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5A8" w:rsidRDefault="00B115A8" w:rsidP="00B115A8">
      <w:pPr>
        <w:rPr>
          <w:rFonts w:ascii="Arial" w:hAnsi="Arial" w:cs="Arial"/>
          <w:b/>
          <w:sz w:val="24"/>
          <w:szCs w:val="24"/>
        </w:rPr>
      </w:pPr>
      <w:r>
        <w:rPr>
          <w:rFonts w:ascii="Arial" w:hAnsi="Arial" w:cs="Arial"/>
          <w:b/>
          <w:sz w:val="24"/>
          <w:szCs w:val="24"/>
        </w:rPr>
        <w:t>Annex 1</w:t>
      </w:r>
    </w:p>
    <w:p w:rsidR="00B115A8" w:rsidRDefault="00B115A8" w:rsidP="00B115A8">
      <w:pPr>
        <w:rPr>
          <w:rFonts w:ascii="Arial" w:hAnsi="Arial" w:cs="Arial"/>
          <w:b/>
          <w:sz w:val="24"/>
          <w:szCs w:val="24"/>
        </w:rPr>
      </w:pPr>
      <w:r>
        <w:rPr>
          <w:rFonts w:ascii="Arial" w:hAnsi="Arial" w:cs="Arial"/>
          <w:b/>
          <w:sz w:val="24"/>
          <w:szCs w:val="24"/>
        </w:rPr>
        <w:t xml:space="preserve">Plan </w:t>
      </w:r>
      <w:r w:rsidR="00E8568B">
        <w:rPr>
          <w:rFonts w:ascii="Arial" w:hAnsi="Arial" w:cs="Arial"/>
          <w:b/>
          <w:sz w:val="24"/>
          <w:szCs w:val="24"/>
        </w:rPr>
        <w:t>on</w:t>
      </w:r>
      <w:r>
        <w:rPr>
          <w:rFonts w:ascii="Arial" w:hAnsi="Arial" w:cs="Arial"/>
          <w:b/>
          <w:sz w:val="24"/>
          <w:szCs w:val="24"/>
        </w:rPr>
        <w:t xml:space="preserve"> inactivated polio vaccine introduction into national immunization schedule of Republic of Azerbaijan</w:t>
      </w:r>
    </w:p>
    <w:p w:rsidR="00B115A8" w:rsidRPr="00B32936" w:rsidRDefault="00CD0F50" w:rsidP="00A54140">
      <w:pPr>
        <w:pStyle w:val="ListParagraph"/>
        <w:numPr>
          <w:ilvl w:val="0"/>
          <w:numId w:val="4"/>
        </w:numPr>
        <w:rPr>
          <w:rFonts w:ascii="Arial" w:hAnsi="Arial" w:cs="Arial"/>
          <w:b/>
        </w:rPr>
      </w:pPr>
      <w:r>
        <w:rPr>
          <w:rFonts w:ascii="Arial" w:hAnsi="Arial" w:cs="Arial"/>
          <w:b/>
        </w:rPr>
        <w:t>Country context</w:t>
      </w:r>
    </w:p>
    <w:p w:rsidR="00A54140" w:rsidRPr="00A54140" w:rsidRDefault="00A54140" w:rsidP="00A54140">
      <w:pPr>
        <w:pStyle w:val="ListParagraph"/>
        <w:rPr>
          <w:rFonts w:ascii="Arial" w:hAnsi="Arial" w:cs="Arial"/>
          <w:b/>
          <w:sz w:val="24"/>
          <w:szCs w:val="24"/>
        </w:rPr>
      </w:pPr>
    </w:p>
    <w:p w:rsidR="00286DB2" w:rsidRPr="00B32936" w:rsidRDefault="00A54140" w:rsidP="00A54140">
      <w:pPr>
        <w:pStyle w:val="ListParagraph"/>
        <w:numPr>
          <w:ilvl w:val="1"/>
          <w:numId w:val="2"/>
        </w:numPr>
        <w:jc w:val="both"/>
        <w:rPr>
          <w:rFonts w:ascii="Arial" w:hAnsi="Arial" w:cs="Arial"/>
          <w:sz w:val="20"/>
          <w:szCs w:val="20"/>
        </w:rPr>
      </w:pPr>
      <w:r w:rsidRPr="00B32936">
        <w:rPr>
          <w:rFonts w:ascii="Arial" w:hAnsi="Arial" w:cs="Arial"/>
          <w:sz w:val="20"/>
          <w:szCs w:val="20"/>
        </w:rPr>
        <w:t xml:space="preserve"> </w:t>
      </w:r>
      <w:r w:rsidR="00286DB2" w:rsidRPr="00B32936">
        <w:rPr>
          <w:rFonts w:ascii="Arial" w:hAnsi="Arial" w:cs="Arial"/>
          <w:sz w:val="20"/>
          <w:szCs w:val="20"/>
        </w:rPr>
        <w:t>Geography and demographics</w:t>
      </w:r>
    </w:p>
    <w:p w:rsidR="00B115A8" w:rsidRPr="00B32936" w:rsidRDefault="00B115A8" w:rsidP="00EF3576">
      <w:pPr>
        <w:jc w:val="both"/>
        <w:rPr>
          <w:rFonts w:ascii="Arial" w:hAnsi="Arial" w:cs="Arial"/>
          <w:sz w:val="20"/>
          <w:szCs w:val="20"/>
        </w:rPr>
      </w:pPr>
      <w:r w:rsidRPr="00B32936">
        <w:rPr>
          <w:rFonts w:ascii="Arial" w:hAnsi="Arial" w:cs="Arial"/>
          <w:sz w:val="20"/>
          <w:szCs w:val="20"/>
        </w:rPr>
        <w:t xml:space="preserve">The Republic of Azerbaijan </w:t>
      </w:r>
      <w:r w:rsidR="00A54140" w:rsidRPr="00B32936">
        <w:rPr>
          <w:rFonts w:ascii="Arial" w:hAnsi="Arial" w:cs="Arial"/>
          <w:sz w:val="20"/>
          <w:szCs w:val="20"/>
        </w:rPr>
        <w:t xml:space="preserve">is </w:t>
      </w:r>
      <w:r w:rsidRPr="00B32936">
        <w:rPr>
          <w:rFonts w:ascii="Arial" w:hAnsi="Arial" w:cs="Arial"/>
          <w:sz w:val="20"/>
          <w:szCs w:val="20"/>
        </w:rPr>
        <w:t xml:space="preserve">located in the borderlands of Asia and Europe. It is situated in the south-eastern part of the Southern Caucasus and shares borders in the north with the Russian Federation, in the south with the Islamic Republic of Iran, in the west with Turkey, Georgia and Armenia, and in the east its neighbors across the Caspian Sea are Kazakhstan and Turkmenistan. State borders with Iran 765 km, Turkey 15 km , Russia 390 km, Georgia 480 km, Armenia 1007 km. Azerbaijan is divided into 78 districts, 11 cities, and one autonomous republic of </w:t>
      </w:r>
      <w:proofErr w:type="spellStart"/>
      <w:r w:rsidRPr="00B32936">
        <w:rPr>
          <w:rFonts w:ascii="Arial" w:hAnsi="Arial" w:cs="Arial"/>
          <w:sz w:val="20"/>
          <w:szCs w:val="20"/>
        </w:rPr>
        <w:t>Nakh</w:t>
      </w:r>
      <w:r w:rsidR="006D316E" w:rsidRPr="00B32936">
        <w:rPr>
          <w:rFonts w:ascii="Arial" w:hAnsi="Arial" w:cs="Arial"/>
          <w:sz w:val="20"/>
          <w:szCs w:val="20"/>
        </w:rPr>
        <w:t>iche</w:t>
      </w:r>
      <w:r w:rsidRPr="00B32936">
        <w:rPr>
          <w:rFonts w:ascii="Arial" w:hAnsi="Arial" w:cs="Arial"/>
          <w:sz w:val="20"/>
          <w:szCs w:val="20"/>
        </w:rPr>
        <w:t>van</w:t>
      </w:r>
      <w:proofErr w:type="spellEnd"/>
      <w:r w:rsidRPr="00B32936">
        <w:rPr>
          <w:rFonts w:ascii="Arial" w:hAnsi="Arial" w:cs="Arial"/>
          <w:sz w:val="20"/>
          <w:szCs w:val="20"/>
        </w:rPr>
        <w:t xml:space="preserve"> subdivided into 8 districts and a city. Baku is the capital of Azerbaijan.  Azerbaijan received independency from the Soviet Union on August 30, 1991. Starting 1991 Azerbaijan continues to be plagued by an unresolved conflict with Armenia over the Nagorno-Karabakh region of Azerbaijan.   As a result 20% of territories of Azerbaijan has been occupied by Armenia, and there are 1 million refugees and internally displaced persons (IDPs) in Azerbaijan, of whom about 650 000 are IDPs from Nagorno-Karabakh and the nearby territories¹.  </w:t>
      </w:r>
    </w:p>
    <w:p w:rsidR="00ED2A1B" w:rsidRPr="00B32936" w:rsidRDefault="00286DB2" w:rsidP="00ED2A1B">
      <w:pPr>
        <w:jc w:val="both"/>
        <w:rPr>
          <w:rFonts w:ascii="Arial" w:hAnsi="Arial" w:cs="Arial"/>
          <w:b/>
          <w:sz w:val="20"/>
          <w:szCs w:val="20"/>
        </w:rPr>
      </w:pPr>
      <w:r w:rsidRPr="00B32936">
        <w:rPr>
          <w:rFonts w:ascii="Arial" w:hAnsi="Arial" w:cs="Arial"/>
          <w:sz w:val="20"/>
          <w:szCs w:val="20"/>
        </w:rPr>
        <w:t>According to State Statistic Committee data for 2013, t</w:t>
      </w:r>
      <w:r w:rsidR="00EF3576" w:rsidRPr="00B32936">
        <w:rPr>
          <w:rFonts w:ascii="Arial" w:hAnsi="Arial" w:cs="Arial"/>
          <w:sz w:val="20"/>
          <w:szCs w:val="20"/>
        </w:rPr>
        <w:t xml:space="preserve">otal population of Azerbaijan </w:t>
      </w:r>
      <w:r w:rsidR="00B115A8" w:rsidRPr="00B32936">
        <w:rPr>
          <w:rFonts w:ascii="Arial" w:hAnsi="Arial" w:cs="Arial"/>
          <w:sz w:val="20"/>
          <w:szCs w:val="20"/>
        </w:rPr>
        <w:t xml:space="preserve">is </w:t>
      </w:r>
      <w:r w:rsidR="00EF3576" w:rsidRPr="00B32936">
        <w:rPr>
          <w:rFonts w:ascii="Arial" w:hAnsi="Arial" w:cs="Arial"/>
          <w:sz w:val="20"/>
          <w:szCs w:val="20"/>
        </w:rPr>
        <w:t xml:space="preserve">  </w:t>
      </w:r>
      <w:r w:rsidR="00B115A8" w:rsidRPr="00B32936">
        <w:rPr>
          <w:rFonts w:ascii="Arial" w:hAnsi="Arial" w:cs="Arial"/>
          <w:sz w:val="20"/>
          <w:szCs w:val="20"/>
        </w:rPr>
        <w:t xml:space="preserve">9 </w:t>
      </w:r>
      <w:r w:rsidRPr="00B32936">
        <w:rPr>
          <w:rFonts w:ascii="Arial" w:hAnsi="Arial" w:cs="Arial"/>
          <w:sz w:val="20"/>
          <w:szCs w:val="20"/>
        </w:rPr>
        <w:t>477</w:t>
      </w:r>
      <w:r w:rsidR="00B115A8" w:rsidRPr="00B32936">
        <w:rPr>
          <w:rFonts w:ascii="Arial" w:hAnsi="Arial" w:cs="Arial"/>
          <w:sz w:val="20"/>
          <w:szCs w:val="20"/>
        </w:rPr>
        <w:t xml:space="preserve"> 100 of which</w:t>
      </w:r>
      <w:r w:rsidR="00B115A8" w:rsidRPr="00B32936">
        <w:rPr>
          <w:rFonts w:ascii="Arial" w:hAnsi="Arial" w:cs="Arial"/>
          <w:b/>
          <w:sz w:val="20"/>
          <w:szCs w:val="20"/>
        </w:rPr>
        <w:t xml:space="preserve"> </w:t>
      </w:r>
      <w:r w:rsidR="00B115A8" w:rsidRPr="00B32936">
        <w:rPr>
          <w:rFonts w:ascii="Arial" w:hAnsi="Arial" w:cs="Arial"/>
          <w:sz w:val="20"/>
          <w:szCs w:val="20"/>
        </w:rPr>
        <w:t xml:space="preserve">53% - urban and 47%- rural population. </w:t>
      </w:r>
      <w:r w:rsidR="00EF3576" w:rsidRPr="00B32936">
        <w:rPr>
          <w:rFonts w:ascii="Arial" w:hAnsi="Arial" w:cs="Arial"/>
          <w:sz w:val="20"/>
          <w:szCs w:val="20"/>
        </w:rPr>
        <w:t xml:space="preserve">Based on the same source in </w:t>
      </w:r>
      <w:proofErr w:type="gramStart"/>
      <w:r w:rsidR="00EF3576" w:rsidRPr="00B32936">
        <w:rPr>
          <w:rFonts w:ascii="Arial" w:hAnsi="Arial" w:cs="Arial"/>
          <w:sz w:val="20"/>
          <w:szCs w:val="20"/>
        </w:rPr>
        <w:t xml:space="preserve">2013 </w:t>
      </w:r>
      <w:r w:rsidR="00B115A8" w:rsidRPr="00B32936">
        <w:rPr>
          <w:rFonts w:ascii="Arial" w:hAnsi="Arial" w:cs="Arial"/>
          <w:sz w:val="20"/>
          <w:szCs w:val="20"/>
        </w:rPr>
        <w:t xml:space="preserve"> the</w:t>
      </w:r>
      <w:proofErr w:type="gramEnd"/>
      <w:r w:rsidR="00B115A8" w:rsidRPr="00B32936">
        <w:rPr>
          <w:rFonts w:ascii="Arial" w:hAnsi="Arial" w:cs="Arial"/>
          <w:sz w:val="20"/>
          <w:szCs w:val="20"/>
        </w:rPr>
        <w:t xml:space="preserve"> natural increase of population </w:t>
      </w:r>
      <w:r w:rsidR="00EF3576" w:rsidRPr="00B32936">
        <w:rPr>
          <w:rFonts w:ascii="Arial" w:hAnsi="Arial" w:cs="Arial"/>
          <w:sz w:val="20"/>
          <w:szCs w:val="20"/>
        </w:rPr>
        <w:t>was</w:t>
      </w:r>
      <w:r w:rsidR="00B115A8" w:rsidRPr="00B32936">
        <w:rPr>
          <w:rFonts w:ascii="Arial" w:hAnsi="Arial" w:cs="Arial"/>
          <w:sz w:val="20"/>
          <w:szCs w:val="20"/>
        </w:rPr>
        <w:t xml:space="preserve"> 12,</w:t>
      </w:r>
      <w:r w:rsidR="00EF3576" w:rsidRPr="00B32936">
        <w:rPr>
          <w:rFonts w:ascii="Arial" w:hAnsi="Arial" w:cs="Arial"/>
          <w:sz w:val="20"/>
          <w:szCs w:val="20"/>
        </w:rPr>
        <w:t>8</w:t>
      </w:r>
      <w:r w:rsidR="00B115A8" w:rsidRPr="00B32936">
        <w:rPr>
          <w:rFonts w:ascii="Arial" w:hAnsi="Arial" w:cs="Arial"/>
          <w:sz w:val="20"/>
          <w:szCs w:val="20"/>
        </w:rPr>
        <w:t xml:space="preserve"> per 1000 of population </w:t>
      </w:r>
      <w:r w:rsidR="00B115A8" w:rsidRPr="00B32936">
        <w:rPr>
          <w:rFonts w:ascii="Arial" w:hAnsi="Arial" w:cs="Arial"/>
          <w:color w:val="0D0D0D" w:themeColor="text1" w:themeTint="F2"/>
          <w:sz w:val="20"/>
          <w:szCs w:val="20"/>
        </w:rPr>
        <w:t>and average life expectancy at birth is 7</w:t>
      </w:r>
      <w:r w:rsidR="003A42E0" w:rsidRPr="00B32936">
        <w:rPr>
          <w:rFonts w:ascii="Arial" w:hAnsi="Arial" w:cs="Arial"/>
          <w:color w:val="0D0D0D" w:themeColor="text1" w:themeTint="F2"/>
          <w:sz w:val="20"/>
          <w:szCs w:val="20"/>
        </w:rPr>
        <w:t>4</w:t>
      </w:r>
      <w:r w:rsidR="00B115A8" w:rsidRPr="00B32936">
        <w:rPr>
          <w:rFonts w:ascii="Arial" w:hAnsi="Arial" w:cs="Arial"/>
          <w:color w:val="0D0D0D" w:themeColor="text1" w:themeTint="F2"/>
          <w:sz w:val="20"/>
          <w:szCs w:val="20"/>
        </w:rPr>
        <w:t>.</w:t>
      </w:r>
      <w:r w:rsidR="003A42E0" w:rsidRPr="00B32936">
        <w:rPr>
          <w:rFonts w:ascii="Arial" w:hAnsi="Arial" w:cs="Arial"/>
          <w:color w:val="0D0D0D" w:themeColor="text1" w:themeTint="F2"/>
          <w:sz w:val="20"/>
          <w:szCs w:val="20"/>
        </w:rPr>
        <w:t>2</w:t>
      </w:r>
      <w:r w:rsidR="00B115A8" w:rsidRPr="00B32936">
        <w:rPr>
          <w:rFonts w:ascii="Arial" w:hAnsi="Arial" w:cs="Arial"/>
          <w:color w:val="0D0D0D" w:themeColor="text1" w:themeTint="F2"/>
          <w:sz w:val="20"/>
          <w:szCs w:val="20"/>
        </w:rPr>
        <w:t xml:space="preserve"> years.</w:t>
      </w:r>
      <w:r w:rsidR="00B115A8" w:rsidRPr="00B32936">
        <w:rPr>
          <w:rFonts w:ascii="Arial" w:hAnsi="Arial" w:cs="Arial"/>
          <w:sz w:val="20"/>
          <w:szCs w:val="20"/>
        </w:rPr>
        <w:t xml:space="preserve"> </w:t>
      </w:r>
      <w:r w:rsidR="003A42E0" w:rsidRPr="00B32936">
        <w:rPr>
          <w:rFonts w:ascii="Arial" w:hAnsi="Arial" w:cs="Arial"/>
          <w:sz w:val="20"/>
          <w:szCs w:val="20"/>
        </w:rPr>
        <w:t xml:space="preserve">Records for last 3 years indicated decrease of </w:t>
      </w:r>
      <w:r w:rsidR="003A42E0" w:rsidRPr="00B32936">
        <w:rPr>
          <w:rFonts w:ascii="Arial" w:hAnsi="Arial" w:cs="Arial"/>
          <w:color w:val="0D0D0D" w:themeColor="text1" w:themeTint="F2"/>
          <w:sz w:val="20"/>
          <w:szCs w:val="20"/>
        </w:rPr>
        <w:t xml:space="preserve">births </w:t>
      </w:r>
      <w:r w:rsidR="00B115A8" w:rsidRPr="00B32936">
        <w:rPr>
          <w:rFonts w:ascii="Arial" w:hAnsi="Arial" w:cs="Arial"/>
          <w:color w:val="0D0D0D" w:themeColor="text1" w:themeTint="F2"/>
          <w:sz w:val="20"/>
          <w:szCs w:val="20"/>
        </w:rPr>
        <w:t>from 1</w:t>
      </w:r>
      <w:r w:rsidR="003A42E0" w:rsidRPr="00B32936">
        <w:rPr>
          <w:rFonts w:ascii="Arial" w:hAnsi="Arial" w:cs="Arial"/>
          <w:color w:val="0D0D0D" w:themeColor="text1" w:themeTint="F2"/>
          <w:sz w:val="20"/>
          <w:szCs w:val="20"/>
        </w:rPr>
        <w:t>9</w:t>
      </w:r>
      <w:r w:rsidR="00B115A8" w:rsidRPr="00B32936">
        <w:rPr>
          <w:rFonts w:ascii="Arial" w:hAnsi="Arial" w:cs="Arial"/>
          <w:color w:val="0D0D0D" w:themeColor="text1" w:themeTint="F2"/>
          <w:sz w:val="20"/>
          <w:szCs w:val="20"/>
        </w:rPr>
        <w:t>.</w:t>
      </w:r>
      <w:r w:rsidR="003A42E0" w:rsidRPr="00B32936">
        <w:rPr>
          <w:rFonts w:ascii="Arial" w:hAnsi="Arial" w:cs="Arial"/>
          <w:color w:val="0D0D0D" w:themeColor="text1" w:themeTint="F2"/>
          <w:sz w:val="20"/>
          <w:szCs w:val="20"/>
        </w:rPr>
        <w:t>4</w:t>
      </w:r>
      <w:r w:rsidR="00B115A8" w:rsidRPr="00B32936">
        <w:rPr>
          <w:rFonts w:ascii="Arial" w:hAnsi="Arial" w:cs="Arial"/>
          <w:color w:val="0D0D0D" w:themeColor="text1" w:themeTint="F2"/>
          <w:sz w:val="20"/>
          <w:szCs w:val="20"/>
        </w:rPr>
        <w:t xml:space="preserve"> to 18.</w:t>
      </w:r>
      <w:r w:rsidR="003A42E0" w:rsidRPr="00B32936">
        <w:rPr>
          <w:rFonts w:ascii="Arial" w:hAnsi="Arial" w:cs="Arial"/>
          <w:color w:val="0D0D0D" w:themeColor="text1" w:themeTint="F2"/>
          <w:sz w:val="20"/>
          <w:szCs w:val="20"/>
        </w:rPr>
        <w:t>6</w:t>
      </w:r>
      <w:r w:rsidR="00B115A8" w:rsidRPr="00B32936">
        <w:rPr>
          <w:rFonts w:ascii="Arial" w:hAnsi="Arial" w:cs="Arial"/>
          <w:color w:val="0D0D0D" w:themeColor="text1" w:themeTint="F2"/>
          <w:sz w:val="20"/>
          <w:szCs w:val="20"/>
        </w:rPr>
        <w:t xml:space="preserve"> per 1000 of population as well as slight decrease of deaths among population from </w:t>
      </w:r>
      <w:r w:rsidR="007C0A06" w:rsidRPr="00B32936">
        <w:rPr>
          <w:rFonts w:ascii="Arial" w:hAnsi="Arial" w:cs="Arial"/>
          <w:color w:val="0D0D0D" w:themeColor="text1" w:themeTint="F2"/>
          <w:sz w:val="20"/>
          <w:szCs w:val="20"/>
        </w:rPr>
        <w:t>5.9</w:t>
      </w:r>
      <w:r w:rsidR="00B115A8" w:rsidRPr="00B32936">
        <w:rPr>
          <w:rFonts w:ascii="Arial" w:hAnsi="Arial" w:cs="Arial"/>
          <w:color w:val="0D0D0D" w:themeColor="text1" w:themeTint="F2"/>
          <w:sz w:val="20"/>
          <w:szCs w:val="20"/>
        </w:rPr>
        <w:t xml:space="preserve"> cases to </w:t>
      </w:r>
      <w:r w:rsidR="007C0A06" w:rsidRPr="00B32936">
        <w:rPr>
          <w:rFonts w:ascii="Arial" w:hAnsi="Arial" w:cs="Arial"/>
          <w:color w:val="0D0D0D" w:themeColor="text1" w:themeTint="F2"/>
          <w:sz w:val="20"/>
          <w:szCs w:val="20"/>
        </w:rPr>
        <w:t>5.8</w:t>
      </w:r>
      <w:r w:rsidR="00B115A8" w:rsidRPr="00B32936">
        <w:rPr>
          <w:rFonts w:ascii="Arial" w:hAnsi="Arial" w:cs="Arial"/>
          <w:color w:val="0D0D0D" w:themeColor="text1" w:themeTint="F2"/>
          <w:sz w:val="20"/>
          <w:szCs w:val="20"/>
        </w:rPr>
        <w:t xml:space="preserve"> cases per 1000 population.  </w:t>
      </w:r>
      <w:r w:rsidR="00B115A8" w:rsidRPr="00150E42">
        <w:rPr>
          <w:rFonts w:ascii="Arial" w:hAnsi="Arial" w:cs="Arial"/>
          <w:color w:val="0D0D0D" w:themeColor="text1" w:themeTint="F2"/>
          <w:sz w:val="20"/>
          <w:szCs w:val="20"/>
        </w:rPr>
        <w:t xml:space="preserve">Main causes of deaths among population are: diseases of the blood circulatory system, oncological conditions, </w:t>
      </w:r>
      <w:r w:rsidR="00150E42" w:rsidRPr="00150E42">
        <w:rPr>
          <w:rFonts w:ascii="Arial" w:hAnsi="Arial" w:cs="Arial"/>
          <w:color w:val="0D0D0D" w:themeColor="text1" w:themeTint="F2"/>
          <w:sz w:val="20"/>
          <w:szCs w:val="20"/>
        </w:rPr>
        <w:t>digestive apparatus</w:t>
      </w:r>
      <w:r w:rsidR="00B115A8" w:rsidRPr="00150E42">
        <w:rPr>
          <w:rFonts w:ascii="Arial" w:hAnsi="Arial" w:cs="Arial"/>
          <w:color w:val="0D0D0D" w:themeColor="text1" w:themeTint="F2"/>
          <w:sz w:val="20"/>
          <w:szCs w:val="20"/>
        </w:rPr>
        <w:t xml:space="preserve"> and accidents/injuries/poisoning.</w:t>
      </w:r>
      <w:r w:rsidR="00B115A8" w:rsidRPr="00B32936">
        <w:rPr>
          <w:rFonts w:ascii="Arial" w:hAnsi="Arial" w:cs="Arial"/>
          <w:color w:val="FF0000"/>
          <w:sz w:val="20"/>
          <w:szCs w:val="20"/>
        </w:rPr>
        <w:t xml:space="preserve"> </w:t>
      </w:r>
      <w:r w:rsidR="00B115A8" w:rsidRPr="00150E42">
        <w:rPr>
          <w:rFonts w:ascii="Arial" w:hAnsi="Arial" w:cs="Arial"/>
          <w:color w:val="0D0D0D" w:themeColor="text1" w:themeTint="F2"/>
          <w:sz w:val="20"/>
          <w:szCs w:val="20"/>
        </w:rPr>
        <w:t xml:space="preserve">Available data over last </w:t>
      </w:r>
      <w:r w:rsidR="00150E42" w:rsidRPr="00150E42">
        <w:rPr>
          <w:rFonts w:ascii="Arial" w:hAnsi="Arial" w:cs="Arial"/>
          <w:color w:val="0D0D0D" w:themeColor="text1" w:themeTint="F2"/>
          <w:sz w:val="20"/>
          <w:szCs w:val="20"/>
        </w:rPr>
        <w:t>3</w:t>
      </w:r>
      <w:r w:rsidR="00B115A8" w:rsidRPr="00150E42">
        <w:rPr>
          <w:rFonts w:ascii="Arial" w:hAnsi="Arial" w:cs="Arial"/>
          <w:color w:val="0D0D0D" w:themeColor="text1" w:themeTint="F2"/>
          <w:sz w:val="20"/>
          <w:szCs w:val="20"/>
        </w:rPr>
        <w:t xml:space="preserve"> years has showed clear tendency in increasing of the portion of deaths related with blood circulatory system</w:t>
      </w:r>
      <w:r w:rsidR="00150E42" w:rsidRPr="00150E42">
        <w:rPr>
          <w:rFonts w:ascii="Arial" w:hAnsi="Arial" w:cs="Arial"/>
          <w:color w:val="0D0D0D" w:themeColor="text1" w:themeTint="F2"/>
          <w:sz w:val="20"/>
          <w:szCs w:val="20"/>
        </w:rPr>
        <w:t xml:space="preserve"> and oncological conditions as well as</w:t>
      </w:r>
      <w:r w:rsidR="00B115A8" w:rsidRPr="00150E42">
        <w:rPr>
          <w:rFonts w:ascii="Arial" w:hAnsi="Arial" w:cs="Arial"/>
          <w:color w:val="0D0D0D" w:themeColor="text1" w:themeTint="F2"/>
          <w:sz w:val="20"/>
          <w:szCs w:val="20"/>
        </w:rPr>
        <w:t xml:space="preserve"> decreasing of portion of deaths related with other listed groups. </w:t>
      </w:r>
      <w:r w:rsidR="00B115A8" w:rsidRPr="00DA6731">
        <w:rPr>
          <w:rFonts w:ascii="Arial" w:hAnsi="Arial" w:cs="Arial"/>
          <w:color w:val="0D0D0D" w:themeColor="text1" w:themeTint="F2"/>
          <w:sz w:val="20"/>
          <w:szCs w:val="20"/>
        </w:rPr>
        <w:t xml:space="preserve">The similar tendency is in infant mortality, thus during </w:t>
      </w:r>
      <w:r w:rsidR="00150E42" w:rsidRPr="00DA6731">
        <w:rPr>
          <w:rFonts w:ascii="Arial" w:hAnsi="Arial" w:cs="Arial"/>
          <w:color w:val="0D0D0D" w:themeColor="text1" w:themeTint="F2"/>
          <w:sz w:val="20"/>
          <w:szCs w:val="20"/>
        </w:rPr>
        <w:t>2011-2013</w:t>
      </w:r>
      <w:r w:rsidR="00B115A8" w:rsidRPr="00DA6731">
        <w:rPr>
          <w:rFonts w:ascii="Arial" w:hAnsi="Arial" w:cs="Arial"/>
          <w:color w:val="0D0D0D" w:themeColor="text1" w:themeTint="F2"/>
          <w:sz w:val="20"/>
          <w:szCs w:val="20"/>
        </w:rPr>
        <w:t xml:space="preserve"> infant mortality rate was decreased from 1</w:t>
      </w:r>
      <w:r w:rsidR="00A901C7" w:rsidRPr="00DA6731">
        <w:rPr>
          <w:rFonts w:ascii="Arial" w:hAnsi="Arial" w:cs="Arial"/>
          <w:color w:val="0D0D0D" w:themeColor="text1" w:themeTint="F2"/>
          <w:sz w:val="20"/>
          <w:szCs w:val="20"/>
        </w:rPr>
        <w:t>1</w:t>
      </w:r>
      <w:r w:rsidR="00B115A8" w:rsidRPr="00DA6731">
        <w:rPr>
          <w:rFonts w:ascii="Arial" w:hAnsi="Arial" w:cs="Arial"/>
          <w:color w:val="0D0D0D" w:themeColor="text1" w:themeTint="F2"/>
          <w:sz w:val="20"/>
          <w:szCs w:val="20"/>
        </w:rPr>
        <w:t>.</w:t>
      </w:r>
      <w:r w:rsidR="00A901C7" w:rsidRPr="00DA6731">
        <w:rPr>
          <w:rFonts w:ascii="Arial" w:hAnsi="Arial" w:cs="Arial"/>
          <w:color w:val="0D0D0D" w:themeColor="text1" w:themeTint="F2"/>
          <w:sz w:val="20"/>
          <w:szCs w:val="20"/>
        </w:rPr>
        <w:t>0</w:t>
      </w:r>
      <w:r w:rsidR="00B115A8" w:rsidRPr="00DA6731">
        <w:rPr>
          <w:rFonts w:ascii="Arial" w:hAnsi="Arial" w:cs="Arial"/>
          <w:color w:val="0D0D0D" w:themeColor="text1" w:themeTint="F2"/>
          <w:sz w:val="20"/>
          <w:szCs w:val="20"/>
        </w:rPr>
        <w:t xml:space="preserve"> to 1</w:t>
      </w:r>
      <w:r w:rsidR="00A901C7" w:rsidRPr="00DA6731">
        <w:rPr>
          <w:rFonts w:ascii="Arial" w:hAnsi="Arial" w:cs="Arial"/>
          <w:color w:val="0D0D0D" w:themeColor="text1" w:themeTint="F2"/>
          <w:sz w:val="20"/>
          <w:szCs w:val="20"/>
        </w:rPr>
        <w:t>0</w:t>
      </w:r>
      <w:r w:rsidR="00B115A8" w:rsidRPr="00DA6731">
        <w:rPr>
          <w:rFonts w:ascii="Arial" w:hAnsi="Arial" w:cs="Arial"/>
          <w:color w:val="0D0D0D" w:themeColor="text1" w:themeTint="F2"/>
          <w:sz w:val="20"/>
          <w:szCs w:val="20"/>
        </w:rPr>
        <w:t>.</w:t>
      </w:r>
      <w:r w:rsidR="00A901C7" w:rsidRPr="00DA6731">
        <w:rPr>
          <w:rFonts w:ascii="Arial" w:hAnsi="Arial" w:cs="Arial"/>
          <w:color w:val="0D0D0D" w:themeColor="text1" w:themeTint="F2"/>
          <w:sz w:val="20"/>
          <w:szCs w:val="20"/>
        </w:rPr>
        <w:t>8</w:t>
      </w:r>
      <w:r w:rsidR="00B115A8" w:rsidRPr="00DA6731">
        <w:rPr>
          <w:rFonts w:ascii="Arial" w:hAnsi="Arial" w:cs="Arial"/>
          <w:color w:val="0D0D0D" w:themeColor="text1" w:themeTint="F2"/>
          <w:sz w:val="20"/>
          <w:szCs w:val="20"/>
        </w:rPr>
        <w:t xml:space="preserve">. Among main reasons of infant deaths are: </w:t>
      </w:r>
      <w:r w:rsidR="00A901C7" w:rsidRPr="00DA6731">
        <w:rPr>
          <w:rFonts w:ascii="Arial" w:hAnsi="Arial" w:cs="Arial"/>
          <w:color w:val="0D0D0D" w:themeColor="text1" w:themeTint="F2"/>
          <w:sz w:val="20"/>
          <w:szCs w:val="20"/>
        </w:rPr>
        <w:t xml:space="preserve">certain conditions arising during perinatal period, </w:t>
      </w:r>
      <w:r w:rsidR="00B115A8" w:rsidRPr="00DA6731">
        <w:rPr>
          <w:rFonts w:ascii="Arial" w:hAnsi="Arial" w:cs="Arial"/>
          <w:color w:val="0D0D0D" w:themeColor="text1" w:themeTint="F2"/>
          <w:sz w:val="20"/>
          <w:szCs w:val="20"/>
        </w:rPr>
        <w:t xml:space="preserve">diseases of respiratory system, </w:t>
      </w:r>
      <w:r w:rsidR="00DA6731" w:rsidRPr="00DA6731">
        <w:rPr>
          <w:rFonts w:ascii="Arial" w:hAnsi="Arial" w:cs="Arial"/>
          <w:color w:val="0D0D0D" w:themeColor="text1" w:themeTint="F2"/>
          <w:sz w:val="20"/>
          <w:szCs w:val="20"/>
        </w:rPr>
        <w:t xml:space="preserve">and </w:t>
      </w:r>
      <w:r w:rsidR="00B115A8" w:rsidRPr="00DA6731">
        <w:rPr>
          <w:rFonts w:ascii="Arial" w:hAnsi="Arial" w:cs="Arial"/>
          <w:color w:val="0D0D0D" w:themeColor="text1" w:themeTint="F2"/>
          <w:sz w:val="20"/>
          <w:szCs w:val="20"/>
        </w:rPr>
        <w:t xml:space="preserve">congenital anomalies. The highest portion of infant deaths is related with diseases of </w:t>
      </w:r>
      <w:r w:rsidR="00DA6731" w:rsidRPr="00DA6731">
        <w:rPr>
          <w:rFonts w:ascii="Arial" w:hAnsi="Arial" w:cs="Arial"/>
          <w:color w:val="0D0D0D" w:themeColor="text1" w:themeTint="F2"/>
          <w:sz w:val="20"/>
          <w:szCs w:val="20"/>
        </w:rPr>
        <w:t>certain conditions arising during perinatal period and it is gradually increased over past 3 years from 29.1 to 59.9 per 10 000 live births</w:t>
      </w:r>
      <w:r w:rsidR="00B115A8" w:rsidRPr="00DA6731">
        <w:rPr>
          <w:rFonts w:ascii="Arial" w:hAnsi="Arial" w:cs="Arial"/>
          <w:color w:val="0D0D0D" w:themeColor="text1" w:themeTint="F2"/>
          <w:sz w:val="20"/>
          <w:szCs w:val="20"/>
        </w:rPr>
        <w:t xml:space="preserve">; </w:t>
      </w:r>
      <w:r w:rsidR="00DA6731" w:rsidRPr="00DA6731">
        <w:rPr>
          <w:rFonts w:ascii="Arial" w:hAnsi="Arial" w:cs="Arial"/>
          <w:color w:val="0D0D0D" w:themeColor="text1" w:themeTint="F2"/>
          <w:sz w:val="20"/>
          <w:szCs w:val="20"/>
        </w:rPr>
        <w:t>at the same time deaths related with respiratory system diseases significantly</w:t>
      </w:r>
      <w:r w:rsidR="00B115A8" w:rsidRPr="00DA6731">
        <w:rPr>
          <w:rFonts w:ascii="Arial" w:hAnsi="Arial" w:cs="Arial"/>
          <w:color w:val="0D0D0D" w:themeColor="text1" w:themeTint="F2"/>
          <w:sz w:val="20"/>
          <w:szCs w:val="20"/>
        </w:rPr>
        <w:t xml:space="preserve"> decreased from </w:t>
      </w:r>
      <w:r w:rsidR="00DA6731" w:rsidRPr="00DA6731">
        <w:rPr>
          <w:rFonts w:ascii="Arial" w:hAnsi="Arial" w:cs="Arial"/>
          <w:color w:val="0D0D0D" w:themeColor="text1" w:themeTint="F2"/>
          <w:sz w:val="20"/>
          <w:szCs w:val="20"/>
        </w:rPr>
        <w:t>28.4</w:t>
      </w:r>
      <w:r w:rsidR="00B115A8" w:rsidRPr="00DA6731">
        <w:rPr>
          <w:rFonts w:ascii="Arial" w:hAnsi="Arial" w:cs="Arial"/>
          <w:color w:val="0D0D0D" w:themeColor="text1" w:themeTint="F2"/>
          <w:sz w:val="20"/>
          <w:szCs w:val="20"/>
        </w:rPr>
        <w:t xml:space="preserve"> to </w:t>
      </w:r>
      <w:r w:rsidR="00DA6731" w:rsidRPr="00DA6731">
        <w:rPr>
          <w:rFonts w:ascii="Arial" w:hAnsi="Arial" w:cs="Arial"/>
          <w:color w:val="0D0D0D" w:themeColor="text1" w:themeTint="F2"/>
          <w:sz w:val="20"/>
          <w:szCs w:val="20"/>
        </w:rPr>
        <w:t>14.1 per 10 000 live births</w:t>
      </w:r>
      <w:r w:rsidR="00B115A8" w:rsidRPr="00DA6731">
        <w:rPr>
          <w:rFonts w:ascii="Arial" w:hAnsi="Arial" w:cs="Arial"/>
          <w:color w:val="0D0D0D" w:themeColor="text1" w:themeTint="F2"/>
          <w:sz w:val="20"/>
          <w:szCs w:val="20"/>
        </w:rPr>
        <w:t xml:space="preserve">.   </w:t>
      </w:r>
    </w:p>
    <w:p w:rsidR="00B115A8" w:rsidRPr="00B32936" w:rsidRDefault="00ED2A1B" w:rsidP="00ED2A1B">
      <w:pPr>
        <w:jc w:val="both"/>
        <w:rPr>
          <w:rFonts w:ascii="Arial" w:hAnsi="Arial" w:cs="Arial"/>
          <w:b/>
          <w:sz w:val="20"/>
          <w:szCs w:val="20"/>
        </w:rPr>
      </w:pPr>
      <w:r w:rsidRPr="00B32936">
        <w:rPr>
          <w:rFonts w:ascii="Arial" w:hAnsi="Arial" w:cs="Arial"/>
          <w:sz w:val="20"/>
          <w:szCs w:val="20"/>
        </w:rPr>
        <w:t>1.2</w:t>
      </w:r>
      <w:r w:rsidRPr="00B32936">
        <w:rPr>
          <w:rFonts w:ascii="Arial" w:hAnsi="Arial" w:cs="Arial"/>
          <w:b/>
          <w:sz w:val="20"/>
          <w:szCs w:val="20"/>
        </w:rPr>
        <w:t xml:space="preserve"> </w:t>
      </w:r>
      <w:r w:rsidR="00EF3576" w:rsidRPr="00B32936">
        <w:rPr>
          <w:rFonts w:ascii="Arial" w:hAnsi="Arial" w:cs="Arial"/>
          <w:sz w:val="20"/>
          <w:szCs w:val="20"/>
        </w:rPr>
        <w:t>Polio eradication</w:t>
      </w:r>
      <w:r w:rsidR="00E8568B" w:rsidRPr="00B32936">
        <w:rPr>
          <w:rFonts w:ascii="Arial" w:hAnsi="Arial" w:cs="Arial"/>
          <w:sz w:val="20"/>
          <w:szCs w:val="20"/>
        </w:rPr>
        <w:t xml:space="preserve"> </w:t>
      </w:r>
      <w:r w:rsidR="00047A0F" w:rsidRPr="00B32936">
        <w:rPr>
          <w:rFonts w:ascii="Arial" w:hAnsi="Arial" w:cs="Arial"/>
          <w:sz w:val="20"/>
          <w:szCs w:val="20"/>
        </w:rPr>
        <w:t>and maintenance of polio free status</w:t>
      </w:r>
    </w:p>
    <w:p w:rsidR="00194384" w:rsidRPr="00B32936" w:rsidRDefault="00A15026" w:rsidP="00194384">
      <w:pPr>
        <w:jc w:val="both"/>
        <w:rPr>
          <w:rFonts w:ascii="Arial" w:hAnsi="Arial" w:cs="Arial"/>
          <w:sz w:val="20"/>
          <w:szCs w:val="20"/>
        </w:rPr>
      </w:pPr>
      <w:r w:rsidRPr="00B32936">
        <w:rPr>
          <w:rFonts w:ascii="Arial" w:hAnsi="Arial" w:cs="Arial"/>
          <w:sz w:val="20"/>
          <w:szCs w:val="20"/>
        </w:rPr>
        <w:t xml:space="preserve">Last polio case has been registered in the country in 1996. </w:t>
      </w:r>
      <w:r w:rsidR="007C0A06" w:rsidRPr="00B32936">
        <w:rPr>
          <w:rFonts w:ascii="Arial" w:hAnsi="Arial" w:cs="Arial"/>
          <w:color w:val="0D0D0D" w:themeColor="text1" w:themeTint="F2"/>
          <w:sz w:val="20"/>
          <w:szCs w:val="20"/>
        </w:rPr>
        <w:t>During 199</w:t>
      </w:r>
      <w:r w:rsidR="00DF5BE5" w:rsidRPr="00B32936">
        <w:rPr>
          <w:rFonts w:ascii="Arial" w:hAnsi="Arial" w:cs="Arial"/>
          <w:color w:val="0D0D0D" w:themeColor="text1" w:themeTint="F2"/>
          <w:sz w:val="20"/>
          <w:szCs w:val="20"/>
        </w:rPr>
        <w:t>6</w:t>
      </w:r>
      <w:r w:rsidR="007C0A06" w:rsidRPr="00B32936">
        <w:rPr>
          <w:rFonts w:ascii="Arial" w:hAnsi="Arial" w:cs="Arial"/>
          <w:color w:val="0D0D0D" w:themeColor="text1" w:themeTint="F2"/>
          <w:sz w:val="20"/>
          <w:szCs w:val="20"/>
        </w:rPr>
        <w:t>-</w:t>
      </w:r>
      <w:r w:rsidRPr="00B32936">
        <w:rPr>
          <w:rFonts w:ascii="Arial" w:hAnsi="Arial" w:cs="Arial"/>
          <w:color w:val="0D0D0D" w:themeColor="text1" w:themeTint="F2"/>
          <w:sz w:val="20"/>
          <w:szCs w:val="20"/>
        </w:rPr>
        <w:t xml:space="preserve"> </w:t>
      </w:r>
      <w:r w:rsidR="00DF5BE5" w:rsidRPr="00B32936">
        <w:rPr>
          <w:rFonts w:ascii="Arial" w:hAnsi="Arial" w:cs="Arial"/>
          <w:color w:val="0D0D0D" w:themeColor="text1" w:themeTint="F2"/>
          <w:sz w:val="20"/>
          <w:szCs w:val="20"/>
        </w:rPr>
        <w:t>2001</w:t>
      </w:r>
      <w:r w:rsidRPr="00B32936">
        <w:rPr>
          <w:rFonts w:ascii="Arial" w:hAnsi="Arial" w:cs="Arial"/>
          <w:color w:val="0D0D0D" w:themeColor="text1" w:themeTint="F2"/>
          <w:sz w:val="20"/>
          <w:szCs w:val="20"/>
        </w:rPr>
        <w:t>, to keep the situation stable,</w:t>
      </w:r>
      <w:r w:rsidR="006D316E" w:rsidRPr="00B32936">
        <w:rPr>
          <w:rFonts w:ascii="Arial" w:hAnsi="Arial" w:cs="Arial"/>
          <w:color w:val="0D0D0D" w:themeColor="text1" w:themeTint="F2"/>
          <w:sz w:val="20"/>
          <w:szCs w:val="20"/>
        </w:rPr>
        <w:t xml:space="preserve"> country</w:t>
      </w:r>
      <w:r w:rsidRPr="00B32936">
        <w:rPr>
          <w:rFonts w:ascii="Arial" w:hAnsi="Arial" w:cs="Arial"/>
          <w:color w:val="0D0D0D" w:themeColor="text1" w:themeTint="F2"/>
          <w:sz w:val="20"/>
          <w:szCs w:val="20"/>
        </w:rPr>
        <w:t xml:space="preserve"> </w:t>
      </w:r>
      <w:r w:rsidR="006D316E" w:rsidRPr="00B32936">
        <w:rPr>
          <w:rFonts w:ascii="Arial" w:hAnsi="Arial" w:cs="Arial"/>
          <w:color w:val="0D0D0D" w:themeColor="text1" w:themeTint="F2"/>
          <w:sz w:val="20"/>
          <w:szCs w:val="20"/>
        </w:rPr>
        <w:t xml:space="preserve">by WHO support implemented </w:t>
      </w:r>
      <w:r w:rsidRPr="00B32936">
        <w:rPr>
          <w:rFonts w:ascii="Arial" w:hAnsi="Arial" w:cs="Arial"/>
          <w:color w:val="0D0D0D" w:themeColor="text1" w:themeTint="F2"/>
          <w:sz w:val="20"/>
          <w:szCs w:val="20"/>
        </w:rPr>
        <w:t>the MECAC</w:t>
      </w:r>
      <w:r w:rsidR="006D316E" w:rsidRPr="00B32936">
        <w:rPr>
          <w:rFonts w:ascii="Arial" w:hAnsi="Arial" w:cs="Arial"/>
          <w:color w:val="0D0D0D" w:themeColor="text1" w:themeTint="F2"/>
          <w:sz w:val="20"/>
          <w:szCs w:val="20"/>
        </w:rPr>
        <w:t>A</w:t>
      </w:r>
      <w:r w:rsidRPr="00B32936">
        <w:rPr>
          <w:rFonts w:ascii="Arial" w:hAnsi="Arial" w:cs="Arial"/>
          <w:color w:val="0D0D0D" w:themeColor="text1" w:themeTint="F2"/>
          <w:sz w:val="20"/>
          <w:szCs w:val="20"/>
        </w:rPr>
        <w:t xml:space="preserve">R and MECACAR </w:t>
      </w:r>
      <w:proofErr w:type="gramStart"/>
      <w:r w:rsidRPr="00B32936">
        <w:rPr>
          <w:rFonts w:ascii="Arial" w:hAnsi="Arial" w:cs="Arial"/>
          <w:color w:val="0D0D0D" w:themeColor="text1" w:themeTint="F2"/>
          <w:sz w:val="20"/>
          <w:szCs w:val="20"/>
        </w:rPr>
        <w:t>Plus</w:t>
      </w:r>
      <w:proofErr w:type="gramEnd"/>
      <w:r w:rsidRPr="00B32936">
        <w:rPr>
          <w:rFonts w:ascii="Arial" w:hAnsi="Arial" w:cs="Arial"/>
          <w:color w:val="0D0D0D" w:themeColor="text1" w:themeTint="F2"/>
          <w:sz w:val="20"/>
          <w:szCs w:val="20"/>
        </w:rPr>
        <w:t xml:space="preserve"> </w:t>
      </w:r>
      <w:r w:rsidR="006D316E" w:rsidRPr="00B32936">
        <w:rPr>
          <w:rFonts w:ascii="Arial" w:hAnsi="Arial" w:cs="Arial"/>
          <w:color w:val="0D0D0D" w:themeColor="text1" w:themeTint="F2"/>
          <w:sz w:val="20"/>
          <w:szCs w:val="20"/>
        </w:rPr>
        <w:t>SIA</w:t>
      </w:r>
      <w:r w:rsidRPr="00B32936">
        <w:rPr>
          <w:rFonts w:ascii="Arial" w:hAnsi="Arial" w:cs="Arial"/>
          <w:color w:val="0D0D0D" w:themeColor="text1" w:themeTint="F2"/>
          <w:sz w:val="20"/>
          <w:szCs w:val="20"/>
        </w:rPr>
        <w:t xml:space="preserve"> </w:t>
      </w:r>
      <w:r w:rsidR="006D316E" w:rsidRPr="00B32936">
        <w:rPr>
          <w:rFonts w:ascii="Arial" w:hAnsi="Arial" w:cs="Arial"/>
          <w:color w:val="0D0D0D" w:themeColor="text1" w:themeTint="F2"/>
          <w:sz w:val="20"/>
          <w:szCs w:val="20"/>
        </w:rPr>
        <w:t>on</w:t>
      </w:r>
      <w:r w:rsidRPr="00B32936">
        <w:rPr>
          <w:rFonts w:ascii="Arial" w:hAnsi="Arial" w:cs="Arial"/>
          <w:color w:val="0D0D0D" w:themeColor="text1" w:themeTint="F2"/>
          <w:sz w:val="20"/>
          <w:szCs w:val="20"/>
        </w:rPr>
        <w:t xml:space="preserve"> polio.</w:t>
      </w:r>
      <w:r w:rsidRPr="00B32936">
        <w:rPr>
          <w:rFonts w:ascii="Arial" w:hAnsi="Arial" w:cs="Arial"/>
          <w:sz w:val="20"/>
          <w:szCs w:val="20"/>
        </w:rPr>
        <w:t xml:space="preserve"> In 2002 Azerbaijan received a c</w:t>
      </w:r>
      <w:r w:rsidR="00B46620" w:rsidRPr="00B32936">
        <w:rPr>
          <w:rFonts w:ascii="Arial" w:hAnsi="Arial" w:cs="Arial"/>
          <w:sz w:val="20"/>
          <w:szCs w:val="20"/>
        </w:rPr>
        <w:t>ertificate on polio free status and up to now c</w:t>
      </w:r>
      <w:r w:rsidR="00DC2B47" w:rsidRPr="00B32936">
        <w:rPr>
          <w:rFonts w:ascii="Arial" w:hAnsi="Arial" w:cs="Arial"/>
          <w:sz w:val="20"/>
          <w:szCs w:val="20"/>
        </w:rPr>
        <w:t xml:space="preserve">ountry regularly submits polio free status maintenance annual updates to Regional Certification Commission (RCC). </w:t>
      </w:r>
      <w:r w:rsidR="00577050" w:rsidRPr="00B32936">
        <w:rPr>
          <w:rFonts w:ascii="Arial" w:hAnsi="Arial" w:cs="Arial"/>
          <w:sz w:val="20"/>
          <w:szCs w:val="20"/>
        </w:rPr>
        <w:t xml:space="preserve">Based on </w:t>
      </w:r>
      <w:r w:rsidR="00DC2B47" w:rsidRPr="00B32936">
        <w:rPr>
          <w:rFonts w:ascii="Arial" w:hAnsi="Arial" w:cs="Arial"/>
          <w:sz w:val="20"/>
          <w:szCs w:val="20"/>
        </w:rPr>
        <w:t>RCC</w:t>
      </w:r>
      <w:r w:rsidR="00577050" w:rsidRPr="00B32936">
        <w:rPr>
          <w:rFonts w:ascii="Arial" w:hAnsi="Arial" w:cs="Arial"/>
          <w:sz w:val="20"/>
          <w:szCs w:val="20"/>
        </w:rPr>
        <w:t xml:space="preserve"> report for 2013 Azerbaijan </w:t>
      </w:r>
      <w:r w:rsidR="00194384" w:rsidRPr="00B32936">
        <w:rPr>
          <w:rFonts w:ascii="Arial" w:hAnsi="Arial" w:cs="Arial"/>
          <w:sz w:val="20"/>
          <w:szCs w:val="20"/>
        </w:rPr>
        <w:t>is considered to be at ‘low risk’ of wild poliovirus transmission, in case of importation.</w:t>
      </w:r>
    </w:p>
    <w:p w:rsidR="0055303B" w:rsidRPr="00B32936" w:rsidRDefault="00B32936" w:rsidP="00194384">
      <w:pPr>
        <w:jc w:val="both"/>
        <w:rPr>
          <w:rFonts w:ascii="Arial" w:hAnsi="Arial" w:cs="Arial"/>
          <w:sz w:val="20"/>
          <w:szCs w:val="20"/>
        </w:rPr>
      </w:pPr>
      <w:r w:rsidRPr="00B32936">
        <w:rPr>
          <w:rFonts w:ascii="Arial" w:hAnsi="Arial" w:cs="Arial"/>
          <w:sz w:val="20"/>
          <w:szCs w:val="20"/>
        </w:rPr>
        <w:t xml:space="preserve">Ministry of Health has established 3-years’ cycle of planning on polio eradication. </w:t>
      </w:r>
      <w:r w:rsidR="00CC517C" w:rsidRPr="00B32936">
        <w:rPr>
          <w:rFonts w:ascii="Arial" w:hAnsi="Arial" w:cs="Arial"/>
          <w:sz w:val="20"/>
          <w:szCs w:val="20"/>
        </w:rPr>
        <w:t>National action plan “On polio</w:t>
      </w:r>
      <w:r w:rsidR="006D316E" w:rsidRPr="00B32936">
        <w:rPr>
          <w:rFonts w:ascii="Arial" w:hAnsi="Arial" w:cs="Arial"/>
          <w:sz w:val="20"/>
          <w:szCs w:val="20"/>
        </w:rPr>
        <w:t xml:space="preserve"> </w:t>
      </w:r>
      <w:r w:rsidR="00CC517C" w:rsidRPr="00B32936">
        <w:rPr>
          <w:rFonts w:ascii="Arial" w:hAnsi="Arial" w:cs="Arial"/>
          <w:sz w:val="20"/>
          <w:szCs w:val="20"/>
        </w:rPr>
        <w:t>free status maintenance</w:t>
      </w:r>
      <w:r w:rsidR="00B37103" w:rsidRPr="00B32936">
        <w:rPr>
          <w:rFonts w:ascii="Arial" w:hAnsi="Arial" w:cs="Arial"/>
          <w:sz w:val="20"/>
          <w:szCs w:val="20"/>
        </w:rPr>
        <w:t>” outlines</w:t>
      </w:r>
      <w:r w:rsidR="00CC517C" w:rsidRPr="00B32936">
        <w:rPr>
          <w:rFonts w:ascii="Arial" w:hAnsi="Arial" w:cs="Arial"/>
          <w:sz w:val="20"/>
          <w:szCs w:val="20"/>
        </w:rPr>
        <w:t xml:space="preserve"> activities on polio surveillance and immunization and along with action plan “On importation of wild polio virus to the country and neighborhood states” provides normative background for implementation of polio eradication program in </w:t>
      </w:r>
      <w:r w:rsidR="00B37103" w:rsidRPr="00B32936">
        <w:rPr>
          <w:rFonts w:ascii="Arial" w:hAnsi="Arial" w:cs="Arial"/>
          <w:sz w:val="20"/>
          <w:szCs w:val="20"/>
        </w:rPr>
        <w:t xml:space="preserve">the </w:t>
      </w:r>
      <w:r w:rsidR="00CC517C" w:rsidRPr="00B32936">
        <w:rPr>
          <w:rFonts w:ascii="Arial" w:hAnsi="Arial" w:cs="Arial"/>
          <w:sz w:val="20"/>
          <w:szCs w:val="20"/>
        </w:rPr>
        <w:t xml:space="preserve">country. </w:t>
      </w:r>
      <w:r w:rsidR="00B37103" w:rsidRPr="00B32936">
        <w:rPr>
          <w:rFonts w:ascii="Arial" w:hAnsi="Arial" w:cs="Arial"/>
          <w:sz w:val="20"/>
          <w:szCs w:val="20"/>
        </w:rPr>
        <w:t>The m</w:t>
      </w:r>
      <w:r w:rsidR="00CC517C" w:rsidRPr="00B32936">
        <w:rPr>
          <w:rFonts w:ascii="Arial" w:hAnsi="Arial" w:cs="Arial"/>
          <w:sz w:val="20"/>
          <w:szCs w:val="20"/>
        </w:rPr>
        <w:t xml:space="preserve">ost recent national </w:t>
      </w:r>
      <w:r w:rsidR="00CC517C" w:rsidRPr="00B32936">
        <w:rPr>
          <w:rFonts w:ascii="Arial" w:hAnsi="Arial" w:cs="Arial"/>
          <w:sz w:val="20"/>
          <w:szCs w:val="20"/>
        </w:rPr>
        <w:lastRenderedPageBreak/>
        <w:t>action plans covering period 201</w:t>
      </w:r>
      <w:r w:rsidR="00B37103" w:rsidRPr="00B32936">
        <w:rPr>
          <w:rFonts w:ascii="Arial" w:hAnsi="Arial" w:cs="Arial"/>
          <w:sz w:val="20"/>
          <w:szCs w:val="20"/>
        </w:rPr>
        <w:t>4</w:t>
      </w:r>
      <w:r w:rsidR="00CC517C" w:rsidRPr="00B32936">
        <w:rPr>
          <w:rFonts w:ascii="Arial" w:hAnsi="Arial" w:cs="Arial"/>
          <w:sz w:val="20"/>
          <w:szCs w:val="20"/>
        </w:rPr>
        <w:t>- 201</w:t>
      </w:r>
      <w:r w:rsidR="00B37103" w:rsidRPr="00B32936">
        <w:rPr>
          <w:rFonts w:ascii="Arial" w:hAnsi="Arial" w:cs="Arial"/>
          <w:sz w:val="20"/>
          <w:szCs w:val="20"/>
        </w:rPr>
        <w:t>6 w</w:t>
      </w:r>
      <w:r w:rsidR="0001153A" w:rsidRPr="00B32936">
        <w:rPr>
          <w:rFonts w:ascii="Arial" w:hAnsi="Arial" w:cs="Arial"/>
          <w:sz w:val="20"/>
          <w:szCs w:val="20"/>
        </w:rPr>
        <w:t>ere</w:t>
      </w:r>
      <w:r w:rsidR="00B37103" w:rsidRPr="00B32936">
        <w:rPr>
          <w:rFonts w:ascii="Arial" w:hAnsi="Arial" w:cs="Arial"/>
          <w:sz w:val="20"/>
          <w:szCs w:val="20"/>
        </w:rPr>
        <w:t xml:space="preserve"> approved by Ministry of Health order </w:t>
      </w:r>
      <w:r w:rsidR="00B37103" w:rsidRPr="00B32936">
        <w:rPr>
          <w:rFonts w:ascii="Arial" w:hAnsi="Arial" w:cs="Arial"/>
          <w:color w:val="0D0D0D" w:themeColor="text1" w:themeTint="F2"/>
          <w:sz w:val="20"/>
          <w:szCs w:val="20"/>
        </w:rPr>
        <w:t xml:space="preserve">N </w:t>
      </w:r>
      <w:r w:rsidR="00C6536F" w:rsidRPr="00B32936">
        <w:rPr>
          <w:rFonts w:ascii="Arial" w:hAnsi="Arial" w:cs="Arial"/>
          <w:color w:val="0D0D0D" w:themeColor="text1" w:themeTint="F2"/>
          <w:sz w:val="20"/>
          <w:szCs w:val="20"/>
        </w:rPr>
        <w:t xml:space="preserve">13 </w:t>
      </w:r>
      <w:r w:rsidR="00B37103" w:rsidRPr="00B32936">
        <w:rPr>
          <w:rFonts w:ascii="Arial" w:hAnsi="Arial" w:cs="Arial"/>
          <w:color w:val="0D0D0D" w:themeColor="text1" w:themeTint="F2"/>
          <w:sz w:val="20"/>
          <w:szCs w:val="20"/>
        </w:rPr>
        <w:t xml:space="preserve">dated </w:t>
      </w:r>
      <w:r w:rsidR="00C6536F" w:rsidRPr="00B32936">
        <w:rPr>
          <w:rFonts w:ascii="Arial" w:hAnsi="Arial" w:cs="Arial"/>
          <w:color w:val="0D0D0D" w:themeColor="text1" w:themeTint="F2"/>
          <w:sz w:val="20"/>
          <w:szCs w:val="20"/>
        </w:rPr>
        <w:t>24 February 2014</w:t>
      </w:r>
      <w:r w:rsidR="00B37103" w:rsidRPr="00B32936">
        <w:rPr>
          <w:rFonts w:ascii="Arial" w:hAnsi="Arial" w:cs="Arial"/>
          <w:color w:val="0D0D0D" w:themeColor="text1" w:themeTint="F2"/>
          <w:sz w:val="20"/>
          <w:szCs w:val="20"/>
        </w:rPr>
        <w:t xml:space="preserve">. </w:t>
      </w:r>
      <w:r w:rsidR="00B37103" w:rsidRPr="00B32936">
        <w:rPr>
          <w:rFonts w:ascii="Arial" w:hAnsi="Arial" w:cs="Arial"/>
          <w:sz w:val="20"/>
          <w:szCs w:val="20"/>
        </w:rPr>
        <w:t>According to the current national action plan “On polio free status maintenance” the introduction of 1 dose of IPV vaccine is scheduled for 2015</w:t>
      </w:r>
      <w:r w:rsidR="00C6536F" w:rsidRPr="00B32936">
        <w:rPr>
          <w:rFonts w:ascii="Arial" w:hAnsi="Arial" w:cs="Arial"/>
          <w:sz w:val="20"/>
          <w:szCs w:val="20"/>
        </w:rPr>
        <w:t xml:space="preserve">. </w:t>
      </w:r>
    </w:p>
    <w:p w:rsidR="00E82950" w:rsidRPr="00B32936" w:rsidRDefault="0001153A" w:rsidP="00A15026">
      <w:pPr>
        <w:jc w:val="both"/>
        <w:rPr>
          <w:rFonts w:ascii="Arial" w:hAnsi="Arial" w:cs="Arial"/>
          <w:color w:val="0D0D0D" w:themeColor="text1" w:themeTint="F2"/>
          <w:sz w:val="20"/>
          <w:szCs w:val="20"/>
        </w:rPr>
      </w:pPr>
      <w:r w:rsidRPr="00B32936">
        <w:rPr>
          <w:rFonts w:ascii="Arial" w:hAnsi="Arial" w:cs="Arial"/>
          <w:sz w:val="20"/>
          <w:szCs w:val="20"/>
        </w:rPr>
        <w:t xml:space="preserve">In framework of polio eradication program Azerbaijan implements AFP and environmental surveillance. </w:t>
      </w:r>
      <w:r w:rsidR="00101099" w:rsidRPr="00B32936">
        <w:rPr>
          <w:rFonts w:ascii="Arial" w:hAnsi="Arial" w:cs="Arial"/>
          <w:sz w:val="20"/>
          <w:szCs w:val="20"/>
        </w:rPr>
        <w:t xml:space="preserve">AFP surveillance also incorporated in Electronic Diseases Surveillance System introduced by the Ministry of Health </w:t>
      </w:r>
      <w:r w:rsidR="00450434" w:rsidRPr="00B32936">
        <w:rPr>
          <w:rFonts w:ascii="Arial" w:hAnsi="Arial" w:cs="Arial"/>
          <w:sz w:val="20"/>
          <w:szCs w:val="20"/>
        </w:rPr>
        <w:t>s</w:t>
      </w:r>
      <w:r w:rsidR="00101099" w:rsidRPr="00B32936">
        <w:rPr>
          <w:rFonts w:ascii="Arial" w:hAnsi="Arial" w:cs="Arial"/>
          <w:sz w:val="20"/>
          <w:szCs w:val="20"/>
        </w:rPr>
        <w:t xml:space="preserve">ince April, 2010. </w:t>
      </w:r>
      <w:r w:rsidR="00432D26" w:rsidRPr="00B32936">
        <w:rPr>
          <w:rFonts w:ascii="Arial" w:hAnsi="Arial" w:cs="Arial"/>
          <w:sz w:val="20"/>
          <w:szCs w:val="20"/>
        </w:rPr>
        <w:t xml:space="preserve">Azerbaijan national laboratory involved in polio surveillance </w:t>
      </w:r>
      <w:r w:rsidR="00FB7809" w:rsidRPr="00B32936">
        <w:rPr>
          <w:rFonts w:ascii="Arial" w:hAnsi="Arial" w:cs="Arial"/>
          <w:sz w:val="20"/>
          <w:szCs w:val="20"/>
        </w:rPr>
        <w:t>is</w:t>
      </w:r>
      <w:r w:rsidR="00432D26" w:rsidRPr="00B32936">
        <w:rPr>
          <w:rFonts w:ascii="Arial" w:hAnsi="Arial" w:cs="Arial"/>
          <w:sz w:val="20"/>
          <w:szCs w:val="20"/>
        </w:rPr>
        <w:t xml:space="preserve"> not accredited by </w:t>
      </w:r>
      <w:proofErr w:type="gramStart"/>
      <w:r w:rsidR="00432D26" w:rsidRPr="00B32936">
        <w:rPr>
          <w:rFonts w:ascii="Arial" w:hAnsi="Arial" w:cs="Arial"/>
          <w:sz w:val="20"/>
          <w:szCs w:val="20"/>
        </w:rPr>
        <w:t>WHO</w:t>
      </w:r>
      <w:proofErr w:type="gramEnd"/>
      <w:r w:rsidR="00432D26" w:rsidRPr="00B32936">
        <w:rPr>
          <w:rFonts w:ascii="Arial" w:hAnsi="Arial" w:cs="Arial"/>
          <w:sz w:val="20"/>
          <w:szCs w:val="20"/>
        </w:rPr>
        <w:t xml:space="preserve"> and therefore all AFP and environmental samples transported to WHO Regional Reference Laboratory in Moscow for </w:t>
      </w:r>
      <w:r w:rsidR="00FB7809" w:rsidRPr="00B32936">
        <w:rPr>
          <w:rFonts w:ascii="Arial" w:hAnsi="Arial" w:cs="Arial"/>
          <w:sz w:val="20"/>
          <w:szCs w:val="20"/>
        </w:rPr>
        <w:t>cell culture</w:t>
      </w:r>
      <w:r w:rsidR="00432D26" w:rsidRPr="00B32936">
        <w:rPr>
          <w:rFonts w:ascii="Arial" w:hAnsi="Arial" w:cs="Arial"/>
          <w:sz w:val="20"/>
          <w:szCs w:val="20"/>
        </w:rPr>
        <w:t xml:space="preserve">. </w:t>
      </w:r>
      <w:r w:rsidRPr="00B32936">
        <w:rPr>
          <w:rFonts w:ascii="Arial" w:hAnsi="Arial" w:cs="Arial"/>
          <w:color w:val="0D0D0D" w:themeColor="text1" w:themeTint="F2"/>
          <w:sz w:val="20"/>
          <w:szCs w:val="20"/>
        </w:rPr>
        <w:t xml:space="preserve">WHO recommended targets for </w:t>
      </w:r>
      <w:r w:rsidR="00E43980" w:rsidRPr="00B32936">
        <w:rPr>
          <w:rFonts w:ascii="Arial" w:hAnsi="Arial" w:cs="Arial"/>
          <w:color w:val="0D0D0D" w:themeColor="text1" w:themeTint="F2"/>
          <w:sz w:val="20"/>
          <w:szCs w:val="20"/>
        </w:rPr>
        <w:t xml:space="preserve">annual </w:t>
      </w:r>
      <w:r w:rsidRPr="00B32936">
        <w:rPr>
          <w:rFonts w:ascii="Arial" w:hAnsi="Arial" w:cs="Arial"/>
          <w:color w:val="0D0D0D" w:themeColor="text1" w:themeTint="F2"/>
          <w:sz w:val="20"/>
          <w:szCs w:val="20"/>
        </w:rPr>
        <w:t xml:space="preserve">non polio AFP rate and surveillance index </w:t>
      </w:r>
      <w:r w:rsidR="005D6CA3" w:rsidRPr="00B32936">
        <w:rPr>
          <w:rFonts w:ascii="Arial" w:hAnsi="Arial" w:cs="Arial"/>
          <w:color w:val="0D0D0D" w:themeColor="text1" w:themeTint="F2"/>
          <w:sz w:val="20"/>
          <w:szCs w:val="20"/>
        </w:rPr>
        <w:t xml:space="preserve">consistently </w:t>
      </w:r>
      <w:r w:rsidR="00E43980" w:rsidRPr="00B32936">
        <w:rPr>
          <w:rFonts w:ascii="Arial" w:hAnsi="Arial" w:cs="Arial"/>
          <w:color w:val="0D0D0D" w:themeColor="text1" w:themeTint="F2"/>
          <w:sz w:val="20"/>
          <w:szCs w:val="20"/>
        </w:rPr>
        <w:t xml:space="preserve">met at national level within last 3 </w:t>
      </w:r>
      <w:proofErr w:type="gramStart"/>
      <w:r w:rsidR="00E43980" w:rsidRPr="00B32936">
        <w:rPr>
          <w:rFonts w:ascii="Arial" w:hAnsi="Arial" w:cs="Arial"/>
          <w:color w:val="0D0D0D" w:themeColor="text1" w:themeTint="F2"/>
          <w:sz w:val="20"/>
          <w:szCs w:val="20"/>
        </w:rPr>
        <w:t>years.</w:t>
      </w:r>
      <w:proofErr w:type="gramEnd"/>
      <w:r w:rsidR="00E43980" w:rsidRPr="00B32936">
        <w:rPr>
          <w:rFonts w:ascii="Arial" w:hAnsi="Arial" w:cs="Arial"/>
          <w:color w:val="FF0000"/>
          <w:sz w:val="20"/>
          <w:szCs w:val="20"/>
        </w:rPr>
        <w:t xml:space="preserve"> </w:t>
      </w:r>
      <w:r w:rsidRPr="00B32936">
        <w:rPr>
          <w:rFonts w:ascii="Arial" w:hAnsi="Arial" w:cs="Arial"/>
          <w:color w:val="FF0000"/>
          <w:sz w:val="20"/>
          <w:szCs w:val="20"/>
        </w:rPr>
        <w:t xml:space="preserve"> </w:t>
      </w:r>
      <w:r w:rsidR="007F10C1" w:rsidRPr="00B32936">
        <w:rPr>
          <w:rFonts w:ascii="Arial" w:hAnsi="Arial" w:cs="Arial"/>
          <w:color w:val="0D0D0D" w:themeColor="text1" w:themeTint="F2"/>
          <w:sz w:val="20"/>
          <w:szCs w:val="20"/>
        </w:rPr>
        <w:t>Latest i</w:t>
      </w:r>
      <w:r w:rsidRPr="00B32936">
        <w:rPr>
          <w:rFonts w:ascii="Arial" w:hAnsi="Arial" w:cs="Arial"/>
          <w:color w:val="0D0D0D" w:themeColor="text1" w:themeTint="F2"/>
          <w:sz w:val="20"/>
          <w:szCs w:val="20"/>
        </w:rPr>
        <w:t xml:space="preserve">ndependent external </w:t>
      </w:r>
      <w:r w:rsidR="00101099" w:rsidRPr="00B32936">
        <w:rPr>
          <w:rFonts w:ascii="Arial" w:hAnsi="Arial" w:cs="Arial"/>
          <w:color w:val="0D0D0D" w:themeColor="text1" w:themeTint="F2"/>
          <w:sz w:val="20"/>
          <w:szCs w:val="20"/>
        </w:rPr>
        <w:t>assessment</w:t>
      </w:r>
      <w:r w:rsidRPr="00B32936">
        <w:rPr>
          <w:rFonts w:ascii="Arial" w:hAnsi="Arial" w:cs="Arial"/>
          <w:color w:val="0D0D0D" w:themeColor="text1" w:themeTint="F2"/>
          <w:sz w:val="20"/>
          <w:szCs w:val="20"/>
        </w:rPr>
        <w:t xml:space="preserve"> of </w:t>
      </w:r>
      <w:r w:rsidR="00101099" w:rsidRPr="00B32936">
        <w:rPr>
          <w:rFonts w:ascii="Arial" w:hAnsi="Arial" w:cs="Arial"/>
          <w:color w:val="0D0D0D" w:themeColor="text1" w:themeTint="F2"/>
          <w:sz w:val="20"/>
          <w:szCs w:val="20"/>
        </w:rPr>
        <w:t xml:space="preserve">polio surveillance in Azerbaijan conducted by WHO expert and consultancy team in May 2012 concludes that </w:t>
      </w:r>
      <w:r w:rsidR="00432D26" w:rsidRPr="00B32936">
        <w:rPr>
          <w:rFonts w:ascii="Arial" w:hAnsi="Arial" w:cs="Arial"/>
          <w:color w:val="0D0D0D" w:themeColor="text1" w:themeTint="F2"/>
          <w:sz w:val="20"/>
          <w:szCs w:val="20"/>
        </w:rPr>
        <w:t xml:space="preserve">in general AFP surveillance system functioning well and </w:t>
      </w:r>
      <w:r w:rsidR="00101099" w:rsidRPr="00B32936">
        <w:rPr>
          <w:rFonts w:ascii="Arial" w:hAnsi="Arial" w:cs="Arial"/>
          <w:color w:val="0D0D0D" w:themeColor="text1" w:themeTint="F2"/>
          <w:sz w:val="20"/>
          <w:szCs w:val="20"/>
        </w:rPr>
        <w:t xml:space="preserve">there is no evidence of wild polio virus circulation in country. </w:t>
      </w:r>
    </w:p>
    <w:p w:rsidR="00E02BCE" w:rsidRPr="00B32936" w:rsidRDefault="00432D26" w:rsidP="00B46620">
      <w:pPr>
        <w:jc w:val="both"/>
        <w:rPr>
          <w:rFonts w:ascii="Arial" w:hAnsi="Arial" w:cs="Arial"/>
          <w:sz w:val="20"/>
          <w:szCs w:val="20"/>
        </w:rPr>
      </w:pPr>
      <w:r w:rsidRPr="00B32936">
        <w:rPr>
          <w:rFonts w:ascii="Arial" w:hAnsi="Arial" w:cs="Arial"/>
          <w:sz w:val="20"/>
          <w:szCs w:val="20"/>
        </w:rPr>
        <w:t xml:space="preserve">Azerbaijan national immunization schedule includes 5 doses of OPV, starting from birth and up to 18 months. </w:t>
      </w:r>
      <w:r w:rsidR="00DC2B47" w:rsidRPr="00B32936">
        <w:rPr>
          <w:rFonts w:ascii="Arial" w:hAnsi="Arial" w:cs="Arial"/>
          <w:sz w:val="20"/>
          <w:szCs w:val="20"/>
        </w:rPr>
        <w:t>Country reports</w:t>
      </w:r>
      <w:r w:rsidRPr="00B32936">
        <w:rPr>
          <w:rFonts w:ascii="Arial" w:hAnsi="Arial" w:cs="Arial"/>
          <w:sz w:val="20"/>
          <w:szCs w:val="20"/>
        </w:rPr>
        <w:t xml:space="preserve"> </w:t>
      </w:r>
      <w:r w:rsidR="00DC2B47" w:rsidRPr="00B32936">
        <w:rPr>
          <w:rFonts w:ascii="Arial" w:hAnsi="Arial" w:cs="Arial"/>
          <w:sz w:val="20"/>
          <w:szCs w:val="20"/>
        </w:rPr>
        <w:t xml:space="preserve">consistently high </w:t>
      </w:r>
      <w:r w:rsidR="00FB7809" w:rsidRPr="00B32936">
        <w:rPr>
          <w:rFonts w:ascii="Arial" w:hAnsi="Arial" w:cs="Arial"/>
          <w:sz w:val="20"/>
          <w:szCs w:val="20"/>
        </w:rPr>
        <w:t xml:space="preserve">coverage </w:t>
      </w:r>
      <w:r w:rsidR="00DC2B47" w:rsidRPr="00B32936">
        <w:rPr>
          <w:rFonts w:ascii="Arial" w:hAnsi="Arial" w:cs="Arial"/>
          <w:sz w:val="20"/>
          <w:szCs w:val="20"/>
        </w:rPr>
        <w:t>by</w:t>
      </w:r>
      <w:r w:rsidR="00FB7809" w:rsidRPr="00B32936">
        <w:rPr>
          <w:rFonts w:ascii="Arial" w:hAnsi="Arial" w:cs="Arial"/>
          <w:sz w:val="20"/>
          <w:szCs w:val="20"/>
        </w:rPr>
        <w:t xml:space="preserve"> </w:t>
      </w:r>
      <w:r w:rsidR="00DC2B47" w:rsidRPr="00B32936">
        <w:rPr>
          <w:rFonts w:ascii="Arial" w:hAnsi="Arial" w:cs="Arial"/>
          <w:sz w:val="20"/>
          <w:szCs w:val="20"/>
        </w:rPr>
        <w:t>polio vaccination</w:t>
      </w:r>
      <w:r w:rsidR="001E1A70" w:rsidRPr="00B32936">
        <w:rPr>
          <w:rFonts w:ascii="Arial" w:hAnsi="Arial" w:cs="Arial"/>
          <w:sz w:val="20"/>
          <w:szCs w:val="20"/>
        </w:rPr>
        <w:t>, particularly i</w:t>
      </w:r>
      <w:r w:rsidR="00FB7809" w:rsidRPr="00B32936">
        <w:rPr>
          <w:rFonts w:ascii="Arial" w:hAnsi="Arial" w:cs="Arial"/>
          <w:sz w:val="20"/>
          <w:szCs w:val="20"/>
        </w:rPr>
        <w:t>n</w:t>
      </w:r>
      <w:r w:rsidR="00DC2B47" w:rsidRPr="00B32936">
        <w:rPr>
          <w:rFonts w:ascii="Arial" w:hAnsi="Arial" w:cs="Arial"/>
          <w:sz w:val="20"/>
          <w:szCs w:val="20"/>
        </w:rPr>
        <w:t xml:space="preserve"> 2013 national vaccination coverage by OPV 1 </w:t>
      </w:r>
      <w:r w:rsidR="00E8568B" w:rsidRPr="00B32936">
        <w:rPr>
          <w:rFonts w:ascii="Arial" w:hAnsi="Arial" w:cs="Arial"/>
          <w:sz w:val="20"/>
          <w:szCs w:val="20"/>
        </w:rPr>
        <w:t xml:space="preserve">and OPV 3 </w:t>
      </w:r>
      <w:r w:rsidR="00DC2B47" w:rsidRPr="00B32936">
        <w:rPr>
          <w:rFonts w:ascii="Arial" w:hAnsi="Arial" w:cs="Arial"/>
          <w:sz w:val="20"/>
          <w:szCs w:val="20"/>
        </w:rPr>
        <w:t>was 97</w:t>
      </w:r>
      <w:proofErr w:type="gramStart"/>
      <w:r w:rsidR="00DC2B47" w:rsidRPr="00B32936">
        <w:rPr>
          <w:rFonts w:ascii="Arial" w:hAnsi="Arial" w:cs="Arial"/>
          <w:sz w:val="20"/>
          <w:szCs w:val="20"/>
        </w:rPr>
        <w:t>,8</w:t>
      </w:r>
      <w:proofErr w:type="gramEnd"/>
      <w:r w:rsidR="00DC2B47" w:rsidRPr="00B32936">
        <w:rPr>
          <w:rFonts w:ascii="Arial" w:hAnsi="Arial" w:cs="Arial"/>
          <w:sz w:val="20"/>
          <w:szCs w:val="20"/>
        </w:rPr>
        <w:t xml:space="preserve"> % and 96.4%</w:t>
      </w:r>
      <w:r w:rsidR="00E8568B" w:rsidRPr="00B32936">
        <w:rPr>
          <w:rFonts w:ascii="Arial" w:hAnsi="Arial" w:cs="Arial"/>
          <w:sz w:val="20"/>
          <w:szCs w:val="20"/>
        </w:rPr>
        <w:t xml:space="preserve"> correspondingly</w:t>
      </w:r>
      <w:r w:rsidR="00DC2B47" w:rsidRPr="00B32936">
        <w:rPr>
          <w:rFonts w:ascii="Arial" w:hAnsi="Arial" w:cs="Arial"/>
          <w:sz w:val="20"/>
          <w:szCs w:val="20"/>
        </w:rPr>
        <w:t>.</w:t>
      </w:r>
      <w:r w:rsidR="00A54140" w:rsidRPr="00B32936">
        <w:rPr>
          <w:rFonts w:ascii="Arial" w:hAnsi="Arial" w:cs="Arial"/>
          <w:sz w:val="20"/>
          <w:szCs w:val="20"/>
        </w:rPr>
        <w:t xml:space="preserve"> </w:t>
      </w:r>
      <w:r w:rsidR="00B13CE5">
        <w:rPr>
          <w:rFonts w:ascii="Arial" w:hAnsi="Arial" w:cs="Arial"/>
          <w:sz w:val="20"/>
          <w:szCs w:val="20"/>
        </w:rPr>
        <w:t>Starting 2011 a</w:t>
      </w:r>
      <w:r w:rsidR="00A54140" w:rsidRPr="00B32936">
        <w:rPr>
          <w:rFonts w:ascii="Arial" w:hAnsi="Arial" w:cs="Arial"/>
          <w:sz w:val="20"/>
          <w:szCs w:val="20"/>
        </w:rPr>
        <w:t xml:space="preserve">ccording to National Action Plan “On polio free status maintenance” all districts with annual Polio 3 coverage ≤90% implements 2-rounds of </w:t>
      </w:r>
      <w:proofErr w:type="spellStart"/>
      <w:r w:rsidR="00A54140" w:rsidRPr="00B32936">
        <w:rPr>
          <w:rFonts w:ascii="Arial" w:hAnsi="Arial" w:cs="Arial"/>
          <w:sz w:val="20"/>
          <w:szCs w:val="20"/>
        </w:rPr>
        <w:t>tOPV</w:t>
      </w:r>
      <w:proofErr w:type="spellEnd"/>
      <w:r w:rsidR="00A54140" w:rsidRPr="00B32936">
        <w:rPr>
          <w:rFonts w:ascii="Arial" w:hAnsi="Arial" w:cs="Arial"/>
          <w:sz w:val="20"/>
          <w:szCs w:val="20"/>
        </w:rPr>
        <w:t xml:space="preserve"> SIA among children 1-5 </w:t>
      </w:r>
      <w:proofErr w:type="spellStart"/>
      <w:r w:rsidR="00A54140" w:rsidRPr="00B32936">
        <w:rPr>
          <w:rFonts w:ascii="Arial" w:hAnsi="Arial" w:cs="Arial"/>
          <w:sz w:val="20"/>
          <w:szCs w:val="20"/>
        </w:rPr>
        <w:t>y.o</w:t>
      </w:r>
      <w:proofErr w:type="spellEnd"/>
      <w:r w:rsidR="00A54140" w:rsidRPr="00B32936">
        <w:rPr>
          <w:rFonts w:ascii="Arial" w:hAnsi="Arial" w:cs="Arial"/>
          <w:sz w:val="20"/>
          <w:szCs w:val="20"/>
        </w:rPr>
        <w:t>. Based on annual polio coverage for 2013</w:t>
      </w:r>
      <w:r w:rsidR="0061354D" w:rsidRPr="00B32936">
        <w:rPr>
          <w:rFonts w:ascii="Arial" w:hAnsi="Arial" w:cs="Arial"/>
          <w:sz w:val="20"/>
          <w:szCs w:val="20"/>
        </w:rPr>
        <w:t xml:space="preserve">, </w:t>
      </w:r>
      <w:r w:rsidR="00A54140" w:rsidRPr="00B32936">
        <w:rPr>
          <w:rFonts w:ascii="Arial" w:hAnsi="Arial" w:cs="Arial"/>
          <w:sz w:val="20"/>
          <w:szCs w:val="20"/>
        </w:rPr>
        <w:t xml:space="preserve"> </w:t>
      </w:r>
      <w:r w:rsidR="009D1A91" w:rsidRPr="009D1A91">
        <w:rPr>
          <w:rFonts w:ascii="Arial" w:hAnsi="Arial" w:cs="Arial"/>
          <w:color w:val="0D0D0D" w:themeColor="text1" w:themeTint="F2"/>
          <w:sz w:val="20"/>
          <w:szCs w:val="20"/>
        </w:rPr>
        <w:t>1874 children</w:t>
      </w:r>
      <w:r w:rsidR="00A54140" w:rsidRPr="009D1A91">
        <w:rPr>
          <w:rFonts w:ascii="Arial" w:hAnsi="Arial" w:cs="Arial"/>
          <w:color w:val="0D0D0D" w:themeColor="text1" w:themeTint="F2"/>
          <w:sz w:val="20"/>
          <w:szCs w:val="20"/>
        </w:rPr>
        <w:t xml:space="preserve"> </w:t>
      </w:r>
      <w:r w:rsidR="0061354D" w:rsidRPr="00B32936">
        <w:rPr>
          <w:rFonts w:ascii="Arial" w:hAnsi="Arial" w:cs="Arial"/>
          <w:sz w:val="20"/>
          <w:szCs w:val="20"/>
        </w:rPr>
        <w:t xml:space="preserve">were targeted and </w:t>
      </w:r>
      <w:r w:rsidR="009D1A91">
        <w:rPr>
          <w:rFonts w:ascii="Arial" w:hAnsi="Arial" w:cs="Arial"/>
          <w:sz w:val="20"/>
          <w:szCs w:val="20"/>
        </w:rPr>
        <w:t xml:space="preserve">1835 (98%) </w:t>
      </w:r>
      <w:r w:rsidR="00A54140" w:rsidRPr="00B32936">
        <w:rPr>
          <w:rFonts w:ascii="Arial" w:hAnsi="Arial" w:cs="Arial"/>
          <w:sz w:val="20"/>
          <w:szCs w:val="20"/>
        </w:rPr>
        <w:t>covered</w:t>
      </w:r>
      <w:r w:rsidR="00AA0E50" w:rsidRPr="00B32936">
        <w:rPr>
          <w:rFonts w:ascii="Arial" w:hAnsi="Arial" w:cs="Arial"/>
          <w:sz w:val="20"/>
          <w:szCs w:val="20"/>
        </w:rPr>
        <w:t xml:space="preserve"> by </w:t>
      </w:r>
      <w:r w:rsidR="00CC200B">
        <w:rPr>
          <w:rFonts w:ascii="Arial" w:hAnsi="Arial" w:cs="Arial"/>
          <w:sz w:val="20"/>
          <w:szCs w:val="20"/>
        </w:rPr>
        <w:t xml:space="preserve">two round </w:t>
      </w:r>
      <w:r w:rsidR="00AA0E50" w:rsidRPr="00B32936">
        <w:rPr>
          <w:rFonts w:ascii="Arial" w:hAnsi="Arial" w:cs="Arial"/>
          <w:sz w:val="20"/>
          <w:szCs w:val="20"/>
        </w:rPr>
        <w:t>SIA</w:t>
      </w:r>
      <w:r w:rsidR="00CC200B">
        <w:rPr>
          <w:rFonts w:ascii="Arial" w:hAnsi="Arial" w:cs="Arial"/>
          <w:sz w:val="20"/>
          <w:szCs w:val="20"/>
        </w:rPr>
        <w:t>s</w:t>
      </w:r>
      <w:r w:rsidR="00A54140" w:rsidRPr="00B32936">
        <w:rPr>
          <w:rFonts w:ascii="Arial" w:hAnsi="Arial" w:cs="Arial"/>
          <w:sz w:val="20"/>
          <w:szCs w:val="20"/>
        </w:rPr>
        <w:t xml:space="preserve"> </w:t>
      </w:r>
      <w:r w:rsidR="00CC200B">
        <w:rPr>
          <w:rFonts w:ascii="Arial" w:hAnsi="Arial" w:cs="Arial"/>
          <w:sz w:val="20"/>
          <w:szCs w:val="20"/>
        </w:rPr>
        <w:t>in framework of</w:t>
      </w:r>
      <w:r w:rsidR="00A54140" w:rsidRPr="00B32936">
        <w:rPr>
          <w:rFonts w:ascii="Arial" w:hAnsi="Arial" w:cs="Arial"/>
          <w:sz w:val="20"/>
          <w:szCs w:val="20"/>
        </w:rPr>
        <w:t xml:space="preserve"> EIW 2014. Latest DHS conducted by Public Health and Reform Center of the Mi</w:t>
      </w:r>
      <w:r w:rsidR="00B46620" w:rsidRPr="00B32936">
        <w:rPr>
          <w:rFonts w:ascii="Arial" w:hAnsi="Arial" w:cs="Arial"/>
          <w:sz w:val="20"/>
          <w:szCs w:val="20"/>
        </w:rPr>
        <w:t>nistry of Health in 2011</w:t>
      </w:r>
      <w:r w:rsidR="00E02BCE" w:rsidRPr="00B32936">
        <w:rPr>
          <w:rFonts w:ascii="Arial" w:hAnsi="Arial" w:cs="Arial"/>
          <w:sz w:val="20"/>
          <w:szCs w:val="20"/>
        </w:rPr>
        <w:t xml:space="preserve"> and pub</w:t>
      </w:r>
      <w:r w:rsidR="00ED2A1B" w:rsidRPr="00B32936">
        <w:rPr>
          <w:rFonts w:ascii="Arial" w:hAnsi="Arial" w:cs="Arial"/>
          <w:sz w:val="20"/>
          <w:szCs w:val="20"/>
        </w:rPr>
        <w:t>li</w:t>
      </w:r>
      <w:r w:rsidR="00E02BCE" w:rsidRPr="00B32936">
        <w:rPr>
          <w:rFonts w:ascii="Arial" w:hAnsi="Arial" w:cs="Arial"/>
          <w:sz w:val="20"/>
          <w:szCs w:val="20"/>
        </w:rPr>
        <w:t>shed in 2014</w:t>
      </w:r>
      <w:r w:rsidR="00B46620" w:rsidRPr="00B32936">
        <w:rPr>
          <w:rFonts w:ascii="Arial" w:hAnsi="Arial" w:cs="Arial"/>
          <w:sz w:val="20"/>
          <w:szCs w:val="20"/>
        </w:rPr>
        <w:t>, showed</w:t>
      </w:r>
      <w:r w:rsidR="00A54140" w:rsidRPr="00B32936">
        <w:rPr>
          <w:rFonts w:ascii="Arial" w:hAnsi="Arial" w:cs="Arial"/>
          <w:sz w:val="20"/>
          <w:szCs w:val="20"/>
        </w:rPr>
        <w:t xml:space="preserve"> </w:t>
      </w:r>
      <w:r w:rsidR="0061354D" w:rsidRPr="00B32936">
        <w:rPr>
          <w:rFonts w:ascii="Arial" w:hAnsi="Arial" w:cs="Arial"/>
          <w:sz w:val="20"/>
          <w:szCs w:val="20"/>
        </w:rPr>
        <w:t>97% coverage by OPV 1 and 85.2% coverage by OPV3 among</w:t>
      </w:r>
      <w:r w:rsidR="00ED2A1B" w:rsidRPr="00B32936">
        <w:rPr>
          <w:rFonts w:ascii="Arial" w:hAnsi="Arial" w:cs="Arial"/>
          <w:sz w:val="20"/>
          <w:szCs w:val="20"/>
        </w:rPr>
        <w:t xml:space="preserve"> 18- to- 29-month-</w:t>
      </w:r>
      <w:r w:rsidR="0061354D" w:rsidRPr="00B32936">
        <w:rPr>
          <w:rFonts w:ascii="Arial" w:hAnsi="Arial" w:cs="Arial"/>
          <w:sz w:val="20"/>
          <w:szCs w:val="20"/>
        </w:rPr>
        <w:t xml:space="preserve"> old children vaccinated at any time prior to </w:t>
      </w:r>
      <w:r w:rsidR="00ED2A1B" w:rsidRPr="00B32936">
        <w:rPr>
          <w:rFonts w:ascii="Arial" w:hAnsi="Arial" w:cs="Arial"/>
          <w:sz w:val="20"/>
          <w:szCs w:val="20"/>
        </w:rPr>
        <w:t xml:space="preserve">the </w:t>
      </w:r>
      <w:r w:rsidR="0061354D" w:rsidRPr="00B32936">
        <w:rPr>
          <w:rFonts w:ascii="Arial" w:hAnsi="Arial" w:cs="Arial"/>
          <w:sz w:val="20"/>
          <w:szCs w:val="20"/>
        </w:rPr>
        <w:t xml:space="preserve">survey. </w:t>
      </w:r>
      <w:r w:rsidR="00B46620" w:rsidRPr="00B32936">
        <w:rPr>
          <w:rFonts w:ascii="Arial" w:hAnsi="Arial" w:cs="Arial"/>
          <w:sz w:val="20"/>
          <w:szCs w:val="20"/>
        </w:rPr>
        <w:t>During 2008- 2011</w:t>
      </w:r>
      <w:r w:rsidR="00E02BCE" w:rsidRPr="00B32936">
        <w:rPr>
          <w:rFonts w:ascii="Arial" w:hAnsi="Arial" w:cs="Arial"/>
          <w:sz w:val="20"/>
          <w:szCs w:val="20"/>
        </w:rPr>
        <w:t>,</w:t>
      </w:r>
      <w:r w:rsidR="00E02BCE" w:rsidRPr="00B32936">
        <w:rPr>
          <w:sz w:val="20"/>
          <w:szCs w:val="20"/>
        </w:rPr>
        <w:t xml:space="preserve"> </w:t>
      </w:r>
      <w:r w:rsidR="00B46620" w:rsidRPr="00B32936">
        <w:rPr>
          <w:rFonts w:ascii="Arial" w:hAnsi="Arial" w:cs="Arial"/>
          <w:sz w:val="20"/>
          <w:szCs w:val="20"/>
        </w:rPr>
        <w:t xml:space="preserve">the WHO-UNICEF joint coverage estimates </w:t>
      </w:r>
      <w:r w:rsidR="00E02BCE" w:rsidRPr="00B32936">
        <w:rPr>
          <w:rFonts w:ascii="Arial" w:hAnsi="Arial" w:cs="Arial"/>
          <w:sz w:val="20"/>
          <w:szCs w:val="20"/>
        </w:rPr>
        <w:t>provided</w:t>
      </w:r>
      <w:r w:rsidR="00B46620" w:rsidRPr="00B32936">
        <w:rPr>
          <w:rFonts w:ascii="Arial" w:hAnsi="Arial" w:cs="Arial"/>
          <w:sz w:val="20"/>
          <w:szCs w:val="20"/>
        </w:rPr>
        <w:t xml:space="preserve"> based on the 2006 DHS survey results</w:t>
      </w:r>
      <w:r w:rsidR="00E02BCE" w:rsidRPr="00B32936">
        <w:rPr>
          <w:rFonts w:ascii="Arial" w:hAnsi="Arial" w:cs="Arial"/>
          <w:sz w:val="20"/>
          <w:szCs w:val="20"/>
        </w:rPr>
        <w:t xml:space="preserve">, </w:t>
      </w:r>
      <w:r w:rsidR="00E02BCE" w:rsidRPr="00B32936">
        <w:rPr>
          <w:sz w:val="20"/>
          <w:szCs w:val="20"/>
        </w:rPr>
        <w:t xml:space="preserve"> </w:t>
      </w:r>
      <w:r w:rsidR="00E02BCE" w:rsidRPr="00B32936">
        <w:rPr>
          <w:rFonts w:ascii="Arial" w:hAnsi="Arial" w:cs="Arial"/>
          <w:sz w:val="20"/>
          <w:szCs w:val="20"/>
        </w:rPr>
        <w:t>since survey evidence did not support officially reported coverage data and due to lack of other validation data</w:t>
      </w:r>
      <w:r w:rsidR="00B46620" w:rsidRPr="00B32936">
        <w:rPr>
          <w:rFonts w:ascii="Arial" w:hAnsi="Arial" w:cs="Arial"/>
          <w:sz w:val="20"/>
          <w:szCs w:val="20"/>
        </w:rPr>
        <w:t>.</w:t>
      </w:r>
      <w:r w:rsidR="00E02BCE" w:rsidRPr="00B32936">
        <w:rPr>
          <w:rFonts w:ascii="Arial" w:hAnsi="Arial" w:cs="Arial"/>
          <w:sz w:val="20"/>
          <w:szCs w:val="20"/>
        </w:rPr>
        <w:t xml:space="preserve">  Notable for that period, Azerbaijan was the only country in the EURO region in terms of discrepancies between country reported coverage and WHO- UNICEF coverage estimates. In 2014, WHO-UNICEF coverage estimates for Azerbaijan have been revised embracing period 2010-2013 based on the most recent DHS results.  </w:t>
      </w:r>
      <w:r w:rsidR="00B46620" w:rsidRPr="00B32936">
        <w:rPr>
          <w:rFonts w:ascii="Arial" w:hAnsi="Arial" w:cs="Arial"/>
          <w:sz w:val="20"/>
          <w:szCs w:val="20"/>
        </w:rPr>
        <w:t xml:space="preserve"> </w:t>
      </w:r>
    </w:p>
    <w:p w:rsidR="00ED2A1B" w:rsidRPr="00B32936" w:rsidRDefault="00ED2A1B" w:rsidP="00ED2A1B">
      <w:pPr>
        <w:jc w:val="both"/>
        <w:rPr>
          <w:rFonts w:ascii="Arial" w:hAnsi="Arial" w:cs="Arial"/>
          <w:sz w:val="20"/>
          <w:szCs w:val="20"/>
        </w:rPr>
      </w:pPr>
      <w:r w:rsidRPr="00B32936">
        <w:rPr>
          <w:rFonts w:ascii="Arial" w:hAnsi="Arial" w:cs="Arial"/>
          <w:sz w:val="20"/>
          <w:szCs w:val="20"/>
        </w:rPr>
        <w:t>1.3 State Immunization Program</w:t>
      </w:r>
    </w:p>
    <w:p w:rsidR="008E3711" w:rsidRDefault="00ED2A1B" w:rsidP="00ED2A1B">
      <w:pPr>
        <w:jc w:val="both"/>
        <w:rPr>
          <w:rFonts w:ascii="Arial" w:hAnsi="Arial" w:cs="Arial"/>
          <w:color w:val="0D0D0D" w:themeColor="text1" w:themeTint="F2"/>
          <w:sz w:val="20"/>
          <w:szCs w:val="20"/>
        </w:rPr>
      </w:pPr>
      <w:r w:rsidRPr="007E4B92">
        <w:rPr>
          <w:rFonts w:ascii="Arial" w:hAnsi="Arial" w:cs="Arial"/>
          <w:color w:val="0D0D0D" w:themeColor="text1" w:themeTint="F2"/>
          <w:sz w:val="20"/>
          <w:szCs w:val="20"/>
        </w:rPr>
        <w:t>The legislative background for state efforts</w:t>
      </w:r>
      <w:r w:rsidR="0013116C" w:rsidRPr="007E4B92">
        <w:rPr>
          <w:rFonts w:ascii="Arial" w:hAnsi="Arial" w:cs="Arial"/>
          <w:color w:val="0D0D0D" w:themeColor="text1" w:themeTint="F2"/>
          <w:sz w:val="20"/>
          <w:szCs w:val="20"/>
        </w:rPr>
        <w:t xml:space="preserve"> in immunization is laid by l</w:t>
      </w:r>
      <w:r w:rsidRPr="007E4B92">
        <w:rPr>
          <w:rFonts w:ascii="Arial" w:hAnsi="Arial" w:cs="Arial"/>
          <w:color w:val="0D0D0D" w:themeColor="text1" w:themeTint="F2"/>
          <w:sz w:val="20"/>
          <w:szCs w:val="20"/>
        </w:rPr>
        <w:t>aw</w:t>
      </w:r>
      <w:r w:rsidR="0013116C" w:rsidRPr="007E4B92">
        <w:rPr>
          <w:rFonts w:ascii="Arial" w:hAnsi="Arial" w:cs="Arial"/>
          <w:color w:val="0D0D0D" w:themeColor="text1" w:themeTint="F2"/>
          <w:sz w:val="20"/>
          <w:szCs w:val="20"/>
        </w:rPr>
        <w:t>s</w:t>
      </w:r>
      <w:r w:rsidRPr="007E4B92">
        <w:rPr>
          <w:rFonts w:ascii="Arial" w:hAnsi="Arial" w:cs="Arial"/>
          <w:color w:val="0D0D0D" w:themeColor="text1" w:themeTint="F2"/>
          <w:sz w:val="20"/>
          <w:szCs w:val="20"/>
        </w:rPr>
        <w:t xml:space="preserve"> </w:t>
      </w:r>
      <w:r w:rsidR="0013116C" w:rsidRPr="007E4B92">
        <w:rPr>
          <w:rFonts w:ascii="Arial" w:hAnsi="Arial" w:cs="Arial"/>
          <w:color w:val="0D0D0D" w:themeColor="text1" w:themeTint="F2"/>
          <w:sz w:val="20"/>
          <w:szCs w:val="20"/>
        </w:rPr>
        <w:t>on Sanitary and Epidemiological Wellbeing and on</w:t>
      </w:r>
      <w:r w:rsidRPr="007E4B92">
        <w:rPr>
          <w:rFonts w:ascii="Arial" w:hAnsi="Arial" w:cs="Arial"/>
          <w:color w:val="0D0D0D" w:themeColor="text1" w:themeTint="F2"/>
          <w:sz w:val="20"/>
          <w:szCs w:val="20"/>
        </w:rPr>
        <w:t xml:space="preserve"> Immunoprophylaxis of Infectious Disease adopted in</w:t>
      </w:r>
      <w:r w:rsidR="0013116C" w:rsidRPr="007E4B92">
        <w:rPr>
          <w:rFonts w:ascii="Arial" w:hAnsi="Arial" w:cs="Arial"/>
          <w:color w:val="0D0D0D" w:themeColor="text1" w:themeTint="F2"/>
          <w:sz w:val="20"/>
          <w:szCs w:val="20"/>
        </w:rPr>
        <w:t xml:space="preserve"> </w:t>
      </w:r>
      <w:r w:rsidR="007E4B92" w:rsidRPr="007E4B92">
        <w:rPr>
          <w:rFonts w:ascii="Arial" w:hAnsi="Arial" w:cs="Arial"/>
          <w:color w:val="0D0D0D" w:themeColor="text1" w:themeTint="F2"/>
          <w:sz w:val="20"/>
          <w:szCs w:val="20"/>
        </w:rPr>
        <w:t>1992 and</w:t>
      </w:r>
      <w:r w:rsidR="0013116C" w:rsidRPr="007E4B92">
        <w:rPr>
          <w:rFonts w:ascii="Arial" w:hAnsi="Arial" w:cs="Arial"/>
          <w:color w:val="0D0D0D" w:themeColor="text1" w:themeTint="F2"/>
          <w:sz w:val="20"/>
          <w:szCs w:val="20"/>
        </w:rPr>
        <w:t xml:space="preserve"> </w:t>
      </w:r>
      <w:r w:rsidRPr="007E4B92">
        <w:rPr>
          <w:rFonts w:ascii="Arial" w:hAnsi="Arial" w:cs="Arial"/>
          <w:color w:val="0D0D0D" w:themeColor="text1" w:themeTint="F2"/>
          <w:sz w:val="20"/>
          <w:szCs w:val="20"/>
        </w:rPr>
        <w:t>2000</w:t>
      </w:r>
      <w:r w:rsidR="007E4B92" w:rsidRPr="007E4B92">
        <w:rPr>
          <w:rFonts w:ascii="Arial" w:hAnsi="Arial" w:cs="Arial"/>
          <w:color w:val="0D0D0D" w:themeColor="text1" w:themeTint="F2"/>
          <w:sz w:val="20"/>
          <w:szCs w:val="20"/>
        </w:rPr>
        <w:t xml:space="preserve"> accordingly</w:t>
      </w:r>
      <w:r w:rsidRPr="007E4B92">
        <w:rPr>
          <w:rFonts w:ascii="Arial" w:hAnsi="Arial" w:cs="Arial"/>
          <w:color w:val="0D0D0D" w:themeColor="text1" w:themeTint="F2"/>
          <w:sz w:val="20"/>
          <w:szCs w:val="20"/>
        </w:rPr>
        <w:t>.</w:t>
      </w:r>
      <w:r w:rsidRPr="007E4B92">
        <w:rPr>
          <w:rFonts w:ascii="Arial" w:hAnsi="Arial" w:cs="Arial"/>
          <w:color w:val="0D0D0D" w:themeColor="text1" w:themeTint="F2"/>
          <w:sz w:val="24"/>
          <w:szCs w:val="24"/>
        </w:rPr>
        <w:t xml:space="preserve"> </w:t>
      </w:r>
      <w:r w:rsidR="008E3711" w:rsidRPr="008E3711">
        <w:rPr>
          <w:rFonts w:ascii="Arial" w:hAnsi="Arial" w:cs="Arial"/>
          <w:color w:val="0D0D0D" w:themeColor="text1" w:themeTint="F2"/>
          <w:sz w:val="20"/>
          <w:szCs w:val="20"/>
        </w:rPr>
        <w:t xml:space="preserve">Since 2005 the Ministry of Health has established 5-years planning cycle for NIP as one of 9 key state programs implemented in the health sector. The first National Action Plan on Infection Diseases Immunoprophylaxis was approved by Cabinet of Ministers in 2005 and it covers period from 2006 to 2010 inclusive. The second National Action Plan on Infection Diseases Immunoprophylaxis was approved by Cabinet of Ministers in 2010 and it covers a period 2011-2015.  </w:t>
      </w:r>
    </w:p>
    <w:p w:rsidR="00426433" w:rsidRDefault="008E3711" w:rsidP="00426433">
      <w:pPr>
        <w:pStyle w:val="NoSpacing"/>
        <w:rPr>
          <w:rFonts w:ascii="Arial" w:hAnsi="Arial" w:cs="Arial"/>
          <w:sz w:val="20"/>
          <w:szCs w:val="20"/>
        </w:rPr>
      </w:pPr>
      <w:r w:rsidRPr="00426433">
        <w:rPr>
          <w:rFonts w:ascii="Arial" w:hAnsi="Arial" w:cs="Arial"/>
          <w:sz w:val="20"/>
          <w:szCs w:val="20"/>
        </w:rPr>
        <w:t xml:space="preserve">Key </w:t>
      </w:r>
      <w:r w:rsidR="00ED2A1B" w:rsidRPr="00426433">
        <w:rPr>
          <w:rFonts w:ascii="Arial" w:hAnsi="Arial" w:cs="Arial"/>
          <w:sz w:val="20"/>
          <w:szCs w:val="20"/>
        </w:rPr>
        <w:t xml:space="preserve">objectives </w:t>
      </w:r>
      <w:r w:rsidR="00426433">
        <w:rPr>
          <w:rFonts w:ascii="Arial" w:hAnsi="Arial" w:cs="Arial"/>
          <w:sz w:val="20"/>
          <w:szCs w:val="20"/>
        </w:rPr>
        <w:t>of the progra</w:t>
      </w:r>
      <w:r w:rsidRPr="00426433">
        <w:rPr>
          <w:rFonts w:ascii="Arial" w:hAnsi="Arial" w:cs="Arial"/>
          <w:sz w:val="20"/>
          <w:szCs w:val="20"/>
        </w:rPr>
        <w:t xml:space="preserve">m </w:t>
      </w:r>
      <w:r w:rsidR="00ED2A1B" w:rsidRPr="00426433">
        <w:rPr>
          <w:rFonts w:ascii="Arial" w:hAnsi="Arial" w:cs="Arial"/>
          <w:sz w:val="20"/>
          <w:szCs w:val="20"/>
        </w:rPr>
        <w:t>are</w:t>
      </w:r>
      <w:r w:rsidR="00B32936" w:rsidRPr="00426433">
        <w:rPr>
          <w:rFonts w:ascii="Arial" w:hAnsi="Arial" w:cs="Arial"/>
          <w:sz w:val="20"/>
          <w:szCs w:val="20"/>
        </w:rPr>
        <w:t xml:space="preserve"> to</w:t>
      </w:r>
      <w:r w:rsidR="00ED2A1B" w:rsidRPr="00426433">
        <w:rPr>
          <w:rFonts w:ascii="Arial" w:hAnsi="Arial" w:cs="Arial"/>
          <w:sz w:val="20"/>
          <w:szCs w:val="20"/>
        </w:rPr>
        <w:t>:</w:t>
      </w:r>
    </w:p>
    <w:p w:rsidR="00426433" w:rsidRDefault="008E3711" w:rsidP="00426433">
      <w:pPr>
        <w:pStyle w:val="NoSpacing"/>
        <w:numPr>
          <w:ilvl w:val="0"/>
          <w:numId w:val="9"/>
        </w:numPr>
        <w:rPr>
          <w:rFonts w:ascii="Arial" w:hAnsi="Arial" w:cs="Arial"/>
          <w:sz w:val="20"/>
          <w:szCs w:val="20"/>
        </w:rPr>
      </w:pPr>
      <w:r w:rsidRPr="00426433">
        <w:rPr>
          <w:rFonts w:ascii="Arial" w:hAnsi="Arial" w:cs="Arial"/>
          <w:sz w:val="20"/>
          <w:szCs w:val="20"/>
        </w:rPr>
        <w:t xml:space="preserve">maintenance 95% and higher </w:t>
      </w:r>
      <w:r w:rsidR="00426433">
        <w:rPr>
          <w:rFonts w:ascii="Arial" w:hAnsi="Arial" w:cs="Arial"/>
          <w:sz w:val="20"/>
          <w:szCs w:val="20"/>
        </w:rPr>
        <w:t xml:space="preserve">vaccination </w:t>
      </w:r>
      <w:r w:rsidRPr="00426433">
        <w:rPr>
          <w:rFonts w:ascii="Arial" w:hAnsi="Arial" w:cs="Arial"/>
          <w:sz w:val="20"/>
          <w:szCs w:val="20"/>
        </w:rPr>
        <w:t>coverage by all antigen</w:t>
      </w:r>
      <w:r w:rsidR="00426433" w:rsidRPr="00426433">
        <w:rPr>
          <w:rFonts w:ascii="Arial" w:hAnsi="Arial" w:cs="Arial"/>
          <w:sz w:val="20"/>
          <w:szCs w:val="20"/>
        </w:rPr>
        <w:t>s included in NIS</w:t>
      </w:r>
    </w:p>
    <w:p w:rsidR="00ED2A1B" w:rsidRDefault="00426433" w:rsidP="00426433">
      <w:pPr>
        <w:pStyle w:val="NoSpacing"/>
        <w:numPr>
          <w:ilvl w:val="0"/>
          <w:numId w:val="9"/>
        </w:numPr>
        <w:rPr>
          <w:rFonts w:ascii="Arial" w:hAnsi="Arial" w:cs="Arial"/>
          <w:sz w:val="20"/>
          <w:szCs w:val="20"/>
        </w:rPr>
      </w:pPr>
      <w:r w:rsidRPr="00426433">
        <w:rPr>
          <w:rFonts w:ascii="Arial" w:hAnsi="Arial" w:cs="Arial"/>
          <w:sz w:val="20"/>
          <w:szCs w:val="20"/>
        </w:rPr>
        <w:t>ensure immunization quality and safety</w:t>
      </w:r>
    </w:p>
    <w:p w:rsidR="00ED2A1B" w:rsidRDefault="00426433" w:rsidP="00426433">
      <w:pPr>
        <w:pStyle w:val="NoSpacing"/>
        <w:numPr>
          <w:ilvl w:val="0"/>
          <w:numId w:val="9"/>
        </w:numPr>
        <w:rPr>
          <w:rFonts w:ascii="Arial" w:hAnsi="Arial" w:cs="Arial"/>
          <w:sz w:val="20"/>
          <w:szCs w:val="20"/>
        </w:rPr>
      </w:pPr>
      <w:r>
        <w:rPr>
          <w:rFonts w:ascii="Arial" w:hAnsi="Arial" w:cs="Arial"/>
          <w:sz w:val="20"/>
          <w:szCs w:val="20"/>
        </w:rPr>
        <w:t xml:space="preserve">assure epidemiological surveillance on infection diseases </w:t>
      </w:r>
    </w:p>
    <w:p w:rsidR="00426433" w:rsidRDefault="00426433" w:rsidP="00426433">
      <w:pPr>
        <w:pStyle w:val="NoSpacing"/>
        <w:numPr>
          <w:ilvl w:val="0"/>
          <w:numId w:val="9"/>
        </w:numPr>
        <w:rPr>
          <w:rFonts w:ascii="Arial" w:hAnsi="Arial" w:cs="Arial"/>
          <w:sz w:val="20"/>
          <w:szCs w:val="20"/>
        </w:rPr>
      </w:pPr>
      <w:r>
        <w:rPr>
          <w:rFonts w:ascii="Arial" w:hAnsi="Arial" w:cs="Arial"/>
          <w:sz w:val="20"/>
          <w:szCs w:val="20"/>
        </w:rPr>
        <w:t>provide capacity building for immunization program staff</w:t>
      </w:r>
    </w:p>
    <w:p w:rsidR="00426433" w:rsidRPr="00426433" w:rsidRDefault="00426433" w:rsidP="00426433">
      <w:pPr>
        <w:pStyle w:val="NoSpacing"/>
        <w:numPr>
          <w:ilvl w:val="0"/>
          <w:numId w:val="9"/>
        </w:numPr>
        <w:rPr>
          <w:rFonts w:ascii="Arial" w:hAnsi="Arial" w:cs="Arial"/>
          <w:sz w:val="20"/>
          <w:szCs w:val="20"/>
        </w:rPr>
      </w:pPr>
      <w:r>
        <w:rPr>
          <w:rFonts w:ascii="Arial" w:hAnsi="Arial" w:cs="Arial"/>
          <w:sz w:val="20"/>
          <w:szCs w:val="20"/>
        </w:rPr>
        <w:t>conduct social mobilization and public awareness among target groups and general population</w:t>
      </w:r>
    </w:p>
    <w:p w:rsidR="00426433" w:rsidRDefault="00426433" w:rsidP="00B32936">
      <w:pPr>
        <w:tabs>
          <w:tab w:val="left" w:pos="720"/>
          <w:tab w:val="left" w:pos="1440"/>
          <w:tab w:val="left" w:pos="2160"/>
          <w:tab w:val="left" w:pos="2880"/>
          <w:tab w:val="left" w:pos="3600"/>
          <w:tab w:val="left" w:pos="4320"/>
          <w:tab w:val="left" w:pos="5108"/>
        </w:tabs>
        <w:jc w:val="both"/>
        <w:rPr>
          <w:rFonts w:ascii="Arial" w:hAnsi="Arial" w:cs="Arial"/>
          <w:color w:val="0D0D0D" w:themeColor="text1" w:themeTint="F2"/>
          <w:sz w:val="20"/>
          <w:szCs w:val="20"/>
        </w:rPr>
      </w:pPr>
    </w:p>
    <w:p w:rsidR="00B13CE5" w:rsidRPr="00B13CE5" w:rsidRDefault="00B13CE5" w:rsidP="00B32936">
      <w:pPr>
        <w:tabs>
          <w:tab w:val="left" w:pos="720"/>
          <w:tab w:val="left" w:pos="1440"/>
          <w:tab w:val="left" w:pos="2160"/>
          <w:tab w:val="left" w:pos="2880"/>
          <w:tab w:val="left" w:pos="3600"/>
          <w:tab w:val="left" w:pos="4320"/>
          <w:tab w:val="left" w:pos="5108"/>
        </w:tabs>
        <w:jc w:val="both"/>
        <w:rPr>
          <w:rFonts w:ascii="Arial" w:hAnsi="Arial" w:cs="Arial"/>
          <w:color w:val="0D0D0D" w:themeColor="text1" w:themeTint="F2"/>
          <w:sz w:val="20"/>
          <w:szCs w:val="20"/>
        </w:rPr>
      </w:pPr>
      <w:r w:rsidRPr="00B13CE5">
        <w:rPr>
          <w:rFonts w:ascii="Arial" w:hAnsi="Arial" w:cs="Arial"/>
          <w:color w:val="0D0D0D" w:themeColor="text1" w:themeTint="F2"/>
          <w:sz w:val="20"/>
          <w:szCs w:val="20"/>
        </w:rPr>
        <w:t xml:space="preserve">From 2006 through 2011 coordination of Immunization Programme has been conducted by Inter-sectional Coordination Committee on International Projects (HSCC alternate). In 2012 by initiative of the Ministry of </w:t>
      </w:r>
      <w:r w:rsidRPr="00B13CE5">
        <w:rPr>
          <w:rFonts w:ascii="Arial" w:hAnsi="Arial" w:cs="Arial"/>
          <w:color w:val="0D0D0D" w:themeColor="text1" w:themeTint="F2"/>
          <w:sz w:val="20"/>
          <w:szCs w:val="20"/>
        </w:rPr>
        <w:lastRenderedPageBreak/>
        <w:t>Health and international partners, including World Health Organization and Rostropovich –</w:t>
      </w:r>
      <w:proofErr w:type="spellStart"/>
      <w:r w:rsidRPr="00B13CE5">
        <w:rPr>
          <w:rFonts w:ascii="Arial" w:hAnsi="Arial" w:cs="Arial"/>
          <w:color w:val="0D0D0D" w:themeColor="text1" w:themeTint="F2"/>
          <w:sz w:val="20"/>
          <w:szCs w:val="20"/>
        </w:rPr>
        <w:t>Vishnevskaya</w:t>
      </w:r>
      <w:proofErr w:type="spellEnd"/>
      <w:r w:rsidRPr="00B13CE5">
        <w:rPr>
          <w:rFonts w:ascii="Arial" w:hAnsi="Arial" w:cs="Arial"/>
          <w:color w:val="0D0D0D" w:themeColor="text1" w:themeTint="F2"/>
          <w:sz w:val="20"/>
          <w:szCs w:val="20"/>
        </w:rPr>
        <w:t xml:space="preserve"> Foundation in order to ensure sustainable coordination it was agreed t</w:t>
      </w:r>
      <w:r w:rsidR="00150E42">
        <w:rPr>
          <w:rFonts w:ascii="Arial" w:hAnsi="Arial" w:cs="Arial"/>
          <w:color w:val="0D0D0D" w:themeColor="text1" w:themeTint="F2"/>
          <w:sz w:val="20"/>
          <w:szCs w:val="20"/>
        </w:rPr>
        <w:t>o include immunization program</w:t>
      </w:r>
      <w:r w:rsidRPr="00B13CE5">
        <w:rPr>
          <w:rFonts w:ascii="Arial" w:hAnsi="Arial" w:cs="Arial"/>
          <w:color w:val="0D0D0D" w:themeColor="text1" w:themeTint="F2"/>
          <w:sz w:val="20"/>
          <w:szCs w:val="20"/>
        </w:rPr>
        <w:t xml:space="preserve"> in the functions of the CCM “the Country Coordinating Mechanism on HIV, TB and Malaria” and change its title to “the Country Coordinating Mech</w:t>
      </w:r>
      <w:r w:rsidR="00150E42">
        <w:rPr>
          <w:rFonts w:ascii="Arial" w:hAnsi="Arial" w:cs="Arial"/>
          <w:color w:val="0D0D0D" w:themeColor="text1" w:themeTint="F2"/>
          <w:sz w:val="20"/>
          <w:szCs w:val="20"/>
        </w:rPr>
        <w:t>anism on International program</w:t>
      </w:r>
      <w:r w:rsidRPr="00B13CE5">
        <w:rPr>
          <w:rFonts w:ascii="Arial" w:hAnsi="Arial" w:cs="Arial"/>
          <w:color w:val="0D0D0D" w:themeColor="text1" w:themeTint="F2"/>
          <w:sz w:val="20"/>
          <w:szCs w:val="20"/>
        </w:rPr>
        <w:t>s in Azerbaijan”. This proposal was supported by Global Fund Portfolio Manager and GF Secretariat and accepted unanimously by CCM Board on 22-nd meeting o</w:t>
      </w:r>
      <w:r w:rsidR="00150E42">
        <w:rPr>
          <w:rFonts w:ascii="Arial" w:hAnsi="Arial" w:cs="Arial"/>
          <w:color w:val="0D0D0D" w:themeColor="text1" w:themeTint="F2"/>
          <w:sz w:val="20"/>
          <w:szCs w:val="20"/>
        </w:rPr>
        <w:t>f the CCM. Immunization program</w:t>
      </w:r>
      <w:r w:rsidRPr="00B13CE5">
        <w:rPr>
          <w:rFonts w:ascii="Arial" w:hAnsi="Arial" w:cs="Arial"/>
          <w:color w:val="0D0D0D" w:themeColor="text1" w:themeTint="F2"/>
          <w:sz w:val="20"/>
          <w:szCs w:val="20"/>
        </w:rPr>
        <w:t xml:space="preserve"> coordinated working group/ task force established under CCM Board and has regular, at least quarterly meetings each year.</w:t>
      </w:r>
    </w:p>
    <w:p w:rsidR="00C7172E" w:rsidRDefault="00B13CE5" w:rsidP="00B32936">
      <w:pPr>
        <w:spacing w:after="60"/>
        <w:jc w:val="both"/>
        <w:rPr>
          <w:rFonts w:ascii="Arial" w:hAnsi="Arial" w:cs="Arial"/>
          <w:sz w:val="20"/>
          <w:szCs w:val="20"/>
        </w:rPr>
      </w:pPr>
      <w:r w:rsidRPr="00B13CE5">
        <w:rPr>
          <w:rFonts w:ascii="Arial" w:hAnsi="Arial" w:cs="Arial"/>
          <w:sz w:val="20"/>
          <w:szCs w:val="20"/>
        </w:rPr>
        <w:t xml:space="preserve">The </w:t>
      </w:r>
      <w:r w:rsidR="007E4B92">
        <w:rPr>
          <w:rFonts w:ascii="Arial" w:hAnsi="Arial" w:cs="Arial"/>
          <w:sz w:val="20"/>
          <w:szCs w:val="20"/>
        </w:rPr>
        <w:t>State</w:t>
      </w:r>
      <w:r w:rsidRPr="00B13CE5">
        <w:rPr>
          <w:rFonts w:ascii="Arial" w:hAnsi="Arial" w:cs="Arial"/>
          <w:sz w:val="20"/>
          <w:szCs w:val="20"/>
        </w:rPr>
        <w:t xml:space="preserve"> Immunization Programme had centralized management by the Ministry of Health, which units and coordinates all resources and activities</w:t>
      </w:r>
      <w:r w:rsidR="00957198">
        <w:rPr>
          <w:rFonts w:ascii="Arial" w:hAnsi="Arial" w:cs="Arial"/>
          <w:sz w:val="20"/>
          <w:szCs w:val="20"/>
        </w:rPr>
        <w:t>,</w:t>
      </w:r>
      <w:r w:rsidR="00957198" w:rsidRPr="00957198">
        <w:rPr>
          <w:rFonts w:ascii="Arial" w:hAnsi="Arial" w:cs="Arial"/>
          <w:sz w:val="20"/>
          <w:szCs w:val="20"/>
        </w:rPr>
        <w:t xml:space="preserve"> </w:t>
      </w:r>
      <w:r w:rsidR="00957198">
        <w:rPr>
          <w:rFonts w:ascii="Arial" w:hAnsi="Arial" w:cs="Arial"/>
          <w:sz w:val="20"/>
          <w:szCs w:val="20"/>
        </w:rPr>
        <w:t>and</w:t>
      </w:r>
      <w:r w:rsidR="00957198" w:rsidRPr="00B13CE5">
        <w:rPr>
          <w:rFonts w:ascii="Arial" w:hAnsi="Arial" w:cs="Arial"/>
          <w:sz w:val="20"/>
          <w:szCs w:val="20"/>
        </w:rPr>
        <w:t xml:space="preserve"> makes sure legal obligations are fulfilled</w:t>
      </w:r>
      <w:r w:rsidR="00957198">
        <w:rPr>
          <w:rFonts w:ascii="Arial" w:hAnsi="Arial" w:cs="Arial"/>
          <w:sz w:val="20"/>
          <w:szCs w:val="20"/>
        </w:rPr>
        <w:t xml:space="preserve"> during immunization activities.</w:t>
      </w:r>
      <w:r w:rsidRPr="00B13CE5">
        <w:rPr>
          <w:rFonts w:ascii="Arial" w:hAnsi="Arial" w:cs="Arial"/>
          <w:sz w:val="20"/>
          <w:szCs w:val="20"/>
        </w:rPr>
        <w:t xml:space="preserve"> The Ministry of Health </w:t>
      </w:r>
      <w:r w:rsidR="00957198">
        <w:rPr>
          <w:rFonts w:ascii="Arial" w:hAnsi="Arial" w:cs="Arial"/>
          <w:sz w:val="20"/>
          <w:szCs w:val="20"/>
        </w:rPr>
        <w:t>supervises</w:t>
      </w:r>
      <w:r>
        <w:rPr>
          <w:rFonts w:ascii="Arial" w:hAnsi="Arial" w:cs="Arial"/>
          <w:sz w:val="20"/>
          <w:szCs w:val="20"/>
        </w:rPr>
        <w:t xml:space="preserve"> interaction of key agencies involved in func</w:t>
      </w:r>
      <w:r w:rsidR="00957198">
        <w:rPr>
          <w:rFonts w:ascii="Arial" w:hAnsi="Arial" w:cs="Arial"/>
          <w:sz w:val="20"/>
          <w:szCs w:val="20"/>
        </w:rPr>
        <w:t>tions of the program</w:t>
      </w:r>
      <w:r w:rsidR="00A901C7">
        <w:rPr>
          <w:rFonts w:ascii="Arial" w:hAnsi="Arial" w:cs="Arial"/>
          <w:sz w:val="20"/>
          <w:szCs w:val="20"/>
        </w:rPr>
        <w:t xml:space="preserve">, </w:t>
      </w:r>
      <w:r w:rsidR="00957198">
        <w:rPr>
          <w:rFonts w:ascii="Arial" w:hAnsi="Arial" w:cs="Arial"/>
          <w:sz w:val="20"/>
          <w:szCs w:val="20"/>
        </w:rPr>
        <w:t xml:space="preserve">particularly Republican Center for Hygiene and Epidemiology (EPI), Innovation and Supply Center and Center for Analytical Expertise of Medicines (NRA).  </w:t>
      </w:r>
      <w:r w:rsidR="007E4B92" w:rsidRPr="00A369CB">
        <w:rPr>
          <w:rFonts w:ascii="Arial" w:hAnsi="Arial" w:cs="Arial"/>
          <w:sz w:val="20"/>
          <w:szCs w:val="20"/>
        </w:rPr>
        <w:t xml:space="preserve">The Programme has organizational structures at national, rayon/municipality and local level. </w:t>
      </w:r>
    </w:p>
    <w:p w:rsidR="00B32936" w:rsidRDefault="00C7172E" w:rsidP="00B32936">
      <w:pPr>
        <w:spacing w:after="60"/>
        <w:jc w:val="both"/>
        <w:rPr>
          <w:rFonts w:ascii="Arial" w:hAnsi="Arial" w:cs="Arial"/>
          <w:sz w:val="20"/>
          <w:szCs w:val="20"/>
        </w:rPr>
      </w:pPr>
      <w:r>
        <w:rPr>
          <w:rFonts w:ascii="Arial" w:hAnsi="Arial" w:cs="Arial"/>
          <w:sz w:val="20"/>
          <w:szCs w:val="20"/>
        </w:rPr>
        <w:t xml:space="preserve">The </w:t>
      </w:r>
      <w:r w:rsidR="00957198" w:rsidRPr="00A369CB">
        <w:rPr>
          <w:rFonts w:ascii="Arial" w:hAnsi="Arial" w:cs="Arial"/>
          <w:sz w:val="20"/>
          <w:szCs w:val="20"/>
        </w:rPr>
        <w:t>Republican Center for Hygiene and Epidemiology</w:t>
      </w:r>
      <w:r w:rsidR="00A369CB">
        <w:rPr>
          <w:rFonts w:ascii="Arial" w:hAnsi="Arial" w:cs="Arial"/>
          <w:sz w:val="20"/>
          <w:szCs w:val="20"/>
        </w:rPr>
        <w:t xml:space="preserve"> (RCHE)</w:t>
      </w:r>
      <w:r w:rsidR="00957198" w:rsidRPr="00A369CB">
        <w:rPr>
          <w:rFonts w:ascii="Arial" w:hAnsi="Arial" w:cs="Arial"/>
          <w:sz w:val="20"/>
          <w:szCs w:val="20"/>
        </w:rPr>
        <w:t xml:space="preserve"> is primarily responsible agency for</w:t>
      </w:r>
      <w:r w:rsidRPr="00C7172E">
        <w:t xml:space="preserve"> </w:t>
      </w:r>
      <w:r w:rsidRPr="00C7172E">
        <w:rPr>
          <w:rFonts w:ascii="Arial" w:hAnsi="Arial" w:cs="Arial"/>
          <w:sz w:val="20"/>
          <w:szCs w:val="20"/>
        </w:rPr>
        <w:t>the organization</w:t>
      </w:r>
      <w:r>
        <w:rPr>
          <w:rFonts w:ascii="Arial" w:hAnsi="Arial" w:cs="Arial"/>
          <w:sz w:val="20"/>
          <w:szCs w:val="20"/>
        </w:rPr>
        <w:t>al</w:t>
      </w:r>
      <w:r w:rsidRPr="00C7172E">
        <w:rPr>
          <w:rFonts w:ascii="Arial" w:hAnsi="Arial" w:cs="Arial"/>
          <w:sz w:val="20"/>
          <w:szCs w:val="20"/>
        </w:rPr>
        <w:t xml:space="preserve"> and methodological work</w:t>
      </w:r>
      <w:r w:rsidR="00B32936" w:rsidRPr="00A369CB">
        <w:rPr>
          <w:rFonts w:ascii="Arial" w:hAnsi="Arial" w:cs="Arial"/>
          <w:sz w:val="20"/>
          <w:szCs w:val="20"/>
        </w:rPr>
        <w:t xml:space="preserve"> </w:t>
      </w:r>
      <w:r>
        <w:rPr>
          <w:rFonts w:ascii="Arial" w:hAnsi="Arial" w:cs="Arial"/>
          <w:sz w:val="20"/>
          <w:szCs w:val="20"/>
        </w:rPr>
        <w:t xml:space="preserve">as well as </w:t>
      </w:r>
      <w:r w:rsidR="00B32936" w:rsidRPr="00A369CB">
        <w:rPr>
          <w:rFonts w:ascii="Arial" w:hAnsi="Arial" w:cs="Arial"/>
          <w:sz w:val="20"/>
          <w:szCs w:val="20"/>
        </w:rPr>
        <w:t xml:space="preserve">implementation of </w:t>
      </w:r>
      <w:r w:rsidR="007E4B92" w:rsidRPr="00A369CB">
        <w:rPr>
          <w:rFonts w:ascii="Arial" w:hAnsi="Arial" w:cs="Arial"/>
          <w:sz w:val="20"/>
          <w:szCs w:val="20"/>
        </w:rPr>
        <w:t>EPI</w:t>
      </w:r>
      <w:r w:rsidR="00B32936" w:rsidRPr="00A369CB">
        <w:rPr>
          <w:rFonts w:ascii="Arial" w:hAnsi="Arial" w:cs="Arial"/>
          <w:sz w:val="20"/>
          <w:szCs w:val="20"/>
        </w:rPr>
        <w:t xml:space="preserve"> through the network of city and district centers. </w:t>
      </w:r>
      <w:r w:rsidR="00957198" w:rsidRPr="00A369CB">
        <w:rPr>
          <w:rFonts w:ascii="Arial" w:hAnsi="Arial" w:cs="Arial"/>
          <w:sz w:val="20"/>
          <w:szCs w:val="20"/>
        </w:rPr>
        <w:t xml:space="preserve">Deputy Director of Republic Centre of Hygiene and </w:t>
      </w:r>
      <w:r w:rsidR="00A369CB" w:rsidRPr="00A369CB">
        <w:rPr>
          <w:rFonts w:ascii="Arial" w:hAnsi="Arial" w:cs="Arial"/>
          <w:sz w:val="20"/>
          <w:szCs w:val="20"/>
        </w:rPr>
        <w:t>Epidemiology</w:t>
      </w:r>
      <w:r w:rsidR="00957198" w:rsidRPr="00A369CB">
        <w:rPr>
          <w:rFonts w:ascii="Arial" w:hAnsi="Arial" w:cs="Arial"/>
          <w:sz w:val="20"/>
          <w:szCs w:val="20"/>
        </w:rPr>
        <w:t xml:space="preserve"> is the manager of the Exp</w:t>
      </w:r>
      <w:r w:rsidR="007E4B92" w:rsidRPr="00A369CB">
        <w:rPr>
          <w:rFonts w:ascii="Arial" w:hAnsi="Arial" w:cs="Arial"/>
          <w:sz w:val="20"/>
          <w:szCs w:val="20"/>
        </w:rPr>
        <w:t xml:space="preserve">anded Programme </w:t>
      </w:r>
      <w:r w:rsidR="00957198" w:rsidRPr="00A369CB">
        <w:rPr>
          <w:rFonts w:ascii="Arial" w:hAnsi="Arial" w:cs="Arial"/>
          <w:sz w:val="20"/>
          <w:szCs w:val="20"/>
        </w:rPr>
        <w:t xml:space="preserve">of Immunization. </w:t>
      </w:r>
      <w:r w:rsidR="00A369CB">
        <w:rPr>
          <w:rFonts w:ascii="Arial" w:hAnsi="Arial" w:cs="Arial"/>
          <w:sz w:val="20"/>
          <w:szCs w:val="20"/>
        </w:rPr>
        <w:t>RCHE</w:t>
      </w:r>
      <w:r w:rsidR="00B32936" w:rsidRPr="00A369CB">
        <w:rPr>
          <w:rFonts w:ascii="Arial" w:hAnsi="Arial" w:cs="Arial"/>
          <w:sz w:val="20"/>
          <w:szCs w:val="20"/>
        </w:rPr>
        <w:t xml:space="preserve"> also tracks the collection of statistical data on the spread of communicable diseases at all levels and determines the target groups and </w:t>
      </w:r>
      <w:r w:rsidR="007E4B92" w:rsidRPr="00A369CB">
        <w:rPr>
          <w:rFonts w:ascii="Arial" w:hAnsi="Arial" w:cs="Arial"/>
          <w:sz w:val="20"/>
          <w:szCs w:val="20"/>
        </w:rPr>
        <w:t xml:space="preserve">forecast for vaccines, participated in AEFI surveillance and </w:t>
      </w:r>
      <w:r>
        <w:rPr>
          <w:rFonts w:ascii="Arial" w:hAnsi="Arial" w:cs="Arial"/>
          <w:sz w:val="20"/>
          <w:szCs w:val="20"/>
        </w:rPr>
        <w:t xml:space="preserve">monitors </w:t>
      </w:r>
      <w:r w:rsidR="00A369CB" w:rsidRPr="00A369CB">
        <w:rPr>
          <w:rFonts w:ascii="Arial" w:hAnsi="Arial" w:cs="Arial"/>
          <w:sz w:val="20"/>
          <w:szCs w:val="20"/>
        </w:rPr>
        <w:t>analyze</w:t>
      </w:r>
      <w:r>
        <w:rPr>
          <w:rFonts w:ascii="Arial" w:hAnsi="Arial" w:cs="Arial"/>
          <w:sz w:val="20"/>
          <w:szCs w:val="20"/>
        </w:rPr>
        <w:t>s</w:t>
      </w:r>
      <w:r w:rsidR="00A369CB">
        <w:rPr>
          <w:rFonts w:ascii="Arial" w:hAnsi="Arial" w:cs="Arial"/>
          <w:sz w:val="20"/>
          <w:szCs w:val="20"/>
        </w:rPr>
        <w:t xml:space="preserve"> immunization coverage</w:t>
      </w:r>
      <w:r w:rsidR="007E4B92" w:rsidRPr="00A369CB">
        <w:rPr>
          <w:rFonts w:ascii="Arial" w:hAnsi="Arial" w:cs="Arial"/>
          <w:sz w:val="20"/>
          <w:szCs w:val="20"/>
        </w:rPr>
        <w:t xml:space="preserve">. </w:t>
      </w:r>
    </w:p>
    <w:p w:rsidR="00A11DC7" w:rsidRDefault="00DD7A13" w:rsidP="00B32936">
      <w:pPr>
        <w:spacing w:after="60"/>
        <w:jc w:val="both"/>
        <w:rPr>
          <w:rFonts w:ascii="Arial" w:hAnsi="Arial" w:cs="Arial"/>
          <w:sz w:val="20"/>
          <w:szCs w:val="20"/>
        </w:rPr>
      </w:pPr>
      <w:r>
        <w:rPr>
          <w:rFonts w:ascii="Arial" w:hAnsi="Arial" w:cs="Arial"/>
          <w:sz w:val="20"/>
          <w:szCs w:val="20"/>
        </w:rPr>
        <w:t>The registration</w:t>
      </w:r>
      <w:r w:rsidR="00D648A6">
        <w:rPr>
          <w:rFonts w:ascii="Arial" w:hAnsi="Arial" w:cs="Arial"/>
          <w:sz w:val="20"/>
          <w:szCs w:val="20"/>
        </w:rPr>
        <w:t>,</w:t>
      </w:r>
      <w:r>
        <w:rPr>
          <w:rFonts w:ascii="Arial" w:hAnsi="Arial" w:cs="Arial"/>
          <w:sz w:val="20"/>
          <w:szCs w:val="20"/>
        </w:rPr>
        <w:t xml:space="preserve"> </w:t>
      </w:r>
      <w:r w:rsidR="00D648A6">
        <w:rPr>
          <w:rFonts w:ascii="Arial" w:hAnsi="Arial" w:cs="Arial"/>
          <w:sz w:val="20"/>
          <w:szCs w:val="20"/>
        </w:rPr>
        <w:t xml:space="preserve">lot release and post marketing control of all medicines and biologicals including vaccine is responsibility of the </w:t>
      </w:r>
      <w:r w:rsidR="00D648A6" w:rsidRPr="00D648A6">
        <w:rPr>
          <w:rFonts w:ascii="Arial" w:hAnsi="Arial" w:cs="Arial"/>
          <w:sz w:val="20"/>
          <w:szCs w:val="20"/>
        </w:rPr>
        <w:t>Center for Analytical Expertise of Medicines</w:t>
      </w:r>
      <w:r w:rsidR="008A7154">
        <w:rPr>
          <w:rFonts w:ascii="Arial" w:hAnsi="Arial" w:cs="Arial"/>
          <w:sz w:val="20"/>
          <w:szCs w:val="20"/>
        </w:rPr>
        <w:t>, established</w:t>
      </w:r>
      <w:r w:rsidR="008A7154" w:rsidRPr="008A7154">
        <w:t xml:space="preserve"> </w:t>
      </w:r>
      <w:r w:rsidR="008A7154" w:rsidRPr="008A7154">
        <w:rPr>
          <w:rFonts w:ascii="Arial" w:hAnsi="Arial" w:cs="Arial"/>
          <w:sz w:val="20"/>
          <w:szCs w:val="20"/>
        </w:rPr>
        <w:t xml:space="preserve">under the Ministry of Health in June 2007. </w:t>
      </w:r>
      <w:r w:rsidR="008A7154">
        <w:rPr>
          <w:rFonts w:ascii="Arial" w:hAnsi="Arial" w:cs="Arial"/>
          <w:sz w:val="20"/>
          <w:szCs w:val="20"/>
        </w:rPr>
        <w:t xml:space="preserve"> </w:t>
      </w:r>
      <w:r w:rsidR="00A11DC7">
        <w:rPr>
          <w:rFonts w:ascii="Arial" w:hAnsi="Arial" w:cs="Arial"/>
          <w:sz w:val="20"/>
          <w:szCs w:val="20"/>
        </w:rPr>
        <w:t xml:space="preserve">According to the state law registration of vaccines is mandatory since March 2008. There is no expedited review procedure implemented for WHO prequalified vaccines, however according to the legislation </w:t>
      </w:r>
      <w:r w:rsidR="00442A50">
        <w:rPr>
          <w:rFonts w:ascii="Arial" w:hAnsi="Arial" w:cs="Arial"/>
          <w:sz w:val="20"/>
          <w:szCs w:val="20"/>
        </w:rPr>
        <w:t xml:space="preserve">there is </w:t>
      </w:r>
      <w:r w:rsidR="00A04E8C">
        <w:rPr>
          <w:rFonts w:ascii="Arial" w:hAnsi="Arial" w:cs="Arial"/>
          <w:sz w:val="20"/>
          <w:szCs w:val="20"/>
        </w:rPr>
        <w:t>waiver/</w:t>
      </w:r>
      <w:r w:rsidR="00442A50">
        <w:rPr>
          <w:rFonts w:ascii="Arial" w:hAnsi="Arial" w:cs="Arial"/>
          <w:sz w:val="20"/>
          <w:szCs w:val="20"/>
        </w:rPr>
        <w:t xml:space="preserve">exception procedure on supply of </w:t>
      </w:r>
      <w:r w:rsidR="00A11DC7">
        <w:rPr>
          <w:rFonts w:ascii="Arial" w:hAnsi="Arial" w:cs="Arial"/>
          <w:sz w:val="20"/>
          <w:szCs w:val="20"/>
        </w:rPr>
        <w:t>WHO prequalified vaccines without registration if epidemiologically required or in case of public health emergency.</w:t>
      </w:r>
      <w:r w:rsidR="00442A50">
        <w:rPr>
          <w:rFonts w:ascii="Arial" w:hAnsi="Arial" w:cs="Arial"/>
          <w:sz w:val="20"/>
          <w:szCs w:val="20"/>
        </w:rPr>
        <w:t xml:space="preserve"> This exception procedure has been </w:t>
      </w:r>
      <w:r w:rsidR="00DC1264">
        <w:rPr>
          <w:rFonts w:ascii="Arial" w:hAnsi="Arial" w:cs="Arial"/>
          <w:sz w:val="20"/>
          <w:szCs w:val="20"/>
        </w:rPr>
        <w:t>implemented without limitation</w:t>
      </w:r>
      <w:r w:rsidR="00442A50">
        <w:rPr>
          <w:rFonts w:ascii="Arial" w:hAnsi="Arial" w:cs="Arial"/>
          <w:sz w:val="20"/>
          <w:szCs w:val="20"/>
        </w:rPr>
        <w:t xml:space="preserve"> during </w:t>
      </w:r>
      <w:proofErr w:type="spellStart"/>
      <w:r w:rsidR="00442A50">
        <w:rPr>
          <w:rFonts w:ascii="Arial" w:hAnsi="Arial" w:cs="Arial"/>
          <w:sz w:val="20"/>
          <w:szCs w:val="20"/>
        </w:rPr>
        <w:t>Hib</w:t>
      </w:r>
      <w:proofErr w:type="spellEnd"/>
      <w:r w:rsidR="00DC1264">
        <w:rPr>
          <w:rFonts w:ascii="Arial" w:hAnsi="Arial" w:cs="Arial"/>
          <w:sz w:val="20"/>
          <w:szCs w:val="20"/>
        </w:rPr>
        <w:t xml:space="preserve">- </w:t>
      </w:r>
      <w:proofErr w:type="spellStart"/>
      <w:r w:rsidR="00DC1264">
        <w:rPr>
          <w:rFonts w:ascii="Arial" w:hAnsi="Arial" w:cs="Arial"/>
          <w:sz w:val="20"/>
          <w:szCs w:val="20"/>
        </w:rPr>
        <w:t>penta</w:t>
      </w:r>
      <w:proofErr w:type="spellEnd"/>
      <w:r w:rsidR="00DC1264">
        <w:rPr>
          <w:rFonts w:ascii="Arial" w:hAnsi="Arial" w:cs="Arial"/>
          <w:sz w:val="20"/>
          <w:szCs w:val="20"/>
        </w:rPr>
        <w:t xml:space="preserve"> vaccine</w:t>
      </w:r>
      <w:r w:rsidR="00442A50">
        <w:rPr>
          <w:rFonts w:ascii="Arial" w:hAnsi="Arial" w:cs="Arial"/>
          <w:sz w:val="20"/>
          <w:szCs w:val="20"/>
        </w:rPr>
        <w:t xml:space="preserve"> introduction, pandemic </w:t>
      </w:r>
      <w:r w:rsidR="0089795F">
        <w:rPr>
          <w:rFonts w:ascii="Arial" w:hAnsi="Arial" w:cs="Arial"/>
          <w:sz w:val="20"/>
          <w:szCs w:val="20"/>
        </w:rPr>
        <w:t xml:space="preserve">influenza </w:t>
      </w:r>
      <w:r w:rsidR="00442A50">
        <w:rPr>
          <w:rFonts w:ascii="Arial" w:hAnsi="Arial" w:cs="Arial"/>
          <w:sz w:val="20"/>
          <w:szCs w:val="20"/>
        </w:rPr>
        <w:t>vaccine supply as well as</w:t>
      </w:r>
      <w:r w:rsidR="00DC1264">
        <w:rPr>
          <w:rFonts w:ascii="Arial" w:hAnsi="Arial" w:cs="Arial"/>
          <w:sz w:val="20"/>
          <w:szCs w:val="20"/>
        </w:rPr>
        <w:t xml:space="preserve"> for</w:t>
      </w:r>
      <w:r w:rsidR="00442A50">
        <w:rPr>
          <w:rFonts w:ascii="Arial" w:hAnsi="Arial" w:cs="Arial"/>
          <w:sz w:val="20"/>
          <w:szCs w:val="20"/>
        </w:rPr>
        <w:t xml:space="preserve"> </w:t>
      </w:r>
      <w:r w:rsidR="009850DA">
        <w:rPr>
          <w:rFonts w:ascii="Arial" w:hAnsi="Arial" w:cs="Arial"/>
          <w:sz w:val="20"/>
          <w:szCs w:val="20"/>
        </w:rPr>
        <w:t>routine</w:t>
      </w:r>
      <w:r w:rsidR="00442A50">
        <w:rPr>
          <w:rFonts w:ascii="Arial" w:hAnsi="Arial" w:cs="Arial"/>
          <w:sz w:val="20"/>
          <w:szCs w:val="20"/>
        </w:rPr>
        <w:t xml:space="preserve"> vaccine procurement for 2014.</w:t>
      </w:r>
    </w:p>
    <w:p w:rsidR="00426433" w:rsidRPr="00A901C7" w:rsidRDefault="00A11DC7" w:rsidP="00B32936">
      <w:pPr>
        <w:spacing w:after="60"/>
        <w:jc w:val="both"/>
        <w:rPr>
          <w:rFonts w:ascii="Arial" w:hAnsi="Arial" w:cs="Arial"/>
          <w:color w:val="FF0000"/>
          <w:sz w:val="20"/>
          <w:szCs w:val="20"/>
        </w:rPr>
      </w:pPr>
      <w:r>
        <w:rPr>
          <w:rFonts w:ascii="Arial" w:hAnsi="Arial" w:cs="Arial"/>
          <w:sz w:val="20"/>
          <w:szCs w:val="20"/>
        </w:rPr>
        <w:t xml:space="preserve"> </w:t>
      </w:r>
      <w:r w:rsidR="00B32936" w:rsidRPr="00C7172E">
        <w:rPr>
          <w:rFonts w:ascii="Arial" w:hAnsi="Arial" w:cs="Arial"/>
          <w:sz w:val="20"/>
          <w:szCs w:val="20"/>
        </w:rPr>
        <w:t>The procurement of all medications and the supply of all vaccines to medical facilities are conducted by the Innovation and Supply Centre, (ISC) which is also responsible for their</w:t>
      </w:r>
      <w:r w:rsidR="00442A50">
        <w:rPr>
          <w:rFonts w:ascii="Arial" w:hAnsi="Arial" w:cs="Arial"/>
          <w:sz w:val="20"/>
          <w:szCs w:val="20"/>
        </w:rPr>
        <w:t xml:space="preserve"> custom clearance,</w:t>
      </w:r>
      <w:r w:rsidR="00B32936" w:rsidRPr="00C7172E">
        <w:rPr>
          <w:rFonts w:ascii="Arial" w:hAnsi="Arial" w:cs="Arial"/>
          <w:sz w:val="20"/>
          <w:szCs w:val="20"/>
        </w:rPr>
        <w:t xml:space="preserve"> storage</w:t>
      </w:r>
      <w:r w:rsidR="00C7172E" w:rsidRPr="00C7172E">
        <w:rPr>
          <w:rFonts w:ascii="Arial" w:hAnsi="Arial" w:cs="Arial"/>
          <w:sz w:val="20"/>
          <w:szCs w:val="20"/>
        </w:rPr>
        <w:t xml:space="preserve"> at national level</w:t>
      </w:r>
      <w:r w:rsidR="00B32936" w:rsidRPr="00C7172E">
        <w:rPr>
          <w:rFonts w:ascii="Arial" w:hAnsi="Arial" w:cs="Arial"/>
          <w:sz w:val="20"/>
          <w:szCs w:val="20"/>
        </w:rPr>
        <w:t xml:space="preserve"> and distribution to </w:t>
      </w:r>
      <w:r w:rsidR="00C7172E" w:rsidRPr="00C7172E">
        <w:rPr>
          <w:rFonts w:ascii="Arial" w:hAnsi="Arial" w:cs="Arial"/>
          <w:sz w:val="20"/>
          <w:szCs w:val="20"/>
        </w:rPr>
        <w:t>sub-national level stores</w:t>
      </w:r>
      <w:r w:rsidR="00B32936" w:rsidRPr="00A901C7">
        <w:rPr>
          <w:rFonts w:ascii="Arial" w:hAnsi="Arial" w:cs="Arial"/>
          <w:color w:val="FF0000"/>
          <w:sz w:val="20"/>
          <w:szCs w:val="20"/>
        </w:rPr>
        <w:t xml:space="preserve">. </w:t>
      </w:r>
      <w:r w:rsidR="008A7154" w:rsidRPr="008A7154">
        <w:rPr>
          <w:rFonts w:ascii="Arial" w:hAnsi="Arial" w:cs="Arial"/>
          <w:color w:val="0D0D0D" w:themeColor="text1" w:themeTint="F2"/>
          <w:sz w:val="20"/>
          <w:szCs w:val="20"/>
        </w:rPr>
        <w:t xml:space="preserve">The </w:t>
      </w:r>
      <w:r w:rsidR="00150E42" w:rsidRPr="00E3202E">
        <w:rPr>
          <w:rFonts w:ascii="Arial" w:hAnsi="Arial" w:cs="Arial"/>
          <w:color w:val="0F243E" w:themeColor="text2" w:themeShade="80"/>
          <w:sz w:val="20"/>
          <w:szCs w:val="20"/>
        </w:rPr>
        <w:t xml:space="preserve">Innovation and Supply Center </w:t>
      </w:r>
      <w:r w:rsidR="008A7154">
        <w:rPr>
          <w:rFonts w:ascii="Arial" w:hAnsi="Arial" w:cs="Arial"/>
          <w:color w:val="0F243E" w:themeColor="text2" w:themeShade="80"/>
          <w:sz w:val="20"/>
          <w:szCs w:val="20"/>
        </w:rPr>
        <w:t xml:space="preserve">was </w:t>
      </w:r>
      <w:r w:rsidR="00150E42" w:rsidRPr="00E3202E">
        <w:rPr>
          <w:rFonts w:ascii="Arial" w:hAnsi="Arial" w:cs="Arial"/>
          <w:color w:val="0F243E" w:themeColor="text2" w:themeShade="80"/>
          <w:sz w:val="20"/>
          <w:szCs w:val="20"/>
        </w:rPr>
        <w:t>estab</w:t>
      </w:r>
      <w:r w:rsidR="00A901C7" w:rsidRPr="00E3202E">
        <w:rPr>
          <w:rFonts w:ascii="Arial" w:hAnsi="Arial" w:cs="Arial"/>
          <w:color w:val="0F243E" w:themeColor="text2" w:themeShade="80"/>
          <w:sz w:val="20"/>
          <w:szCs w:val="20"/>
        </w:rPr>
        <w:t>li</w:t>
      </w:r>
      <w:r w:rsidR="00150E42" w:rsidRPr="00E3202E">
        <w:rPr>
          <w:rFonts w:ascii="Arial" w:hAnsi="Arial" w:cs="Arial"/>
          <w:color w:val="0F243E" w:themeColor="text2" w:themeShade="80"/>
          <w:sz w:val="20"/>
          <w:szCs w:val="20"/>
        </w:rPr>
        <w:t xml:space="preserve">shed in </w:t>
      </w:r>
      <w:r w:rsidR="00150E42" w:rsidRPr="00E3202E">
        <w:rPr>
          <w:rFonts w:ascii="Arial" w:hAnsi="Arial" w:cs="Arial"/>
          <w:color w:val="0D0D0D" w:themeColor="text1" w:themeTint="F2"/>
          <w:sz w:val="20"/>
          <w:szCs w:val="20"/>
        </w:rPr>
        <w:t xml:space="preserve">2006 and up to 2013 procurement </w:t>
      </w:r>
      <w:r w:rsidR="00E3202E" w:rsidRPr="00E3202E">
        <w:rPr>
          <w:rFonts w:ascii="Arial" w:hAnsi="Arial" w:cs="Arial"/>
          <w:color w:val="0D0D0D" w:themeColor="text1" w:themeTint="F2"/>
          <w:sz w:val="20"/>
          <w:szCs w:val="20"/>
        </w:rPr>
        <w:t xml:space="preserve">of all EPI vaccines conducted by Government </w:t>
      </w:r>
      <w:r w:rsidR="008A7154">
        <w:rPr>
          <w:rFonts w:ascii="Arial" w:hAnsi="Arial" w:cs="Arial"/>
          <w:color w:val="0D0D0D" w:themeColor="text1" w:themeTint="F2"/>
          <w:sz w:val="20"/>
          <w:szCs w:val="20"/>
        </w:rPr>
        <w:t xml:space="preserve">commission </w:t>
      </w:r>
      <w:r w:rsidR="00E3202E" w:rsidRPr="00E3202E">
        <w:rPr>
          <w:rFonts w:ascii="Arial" w:hAnsi="Arial" w:cs="Arial"/>
          <w:color w:val="0D0D0D" w:themeColor="text1" w:themeTint="F2"/>
          <w:sz w:val="20"/>
          <w:szCs w:val="20"/>
        </w:rPr>
        <w:t>through open tender in line with the state law on purchase.</w:t>
      </w:r>
      <w:r w:rsidR="00E3202E" w:rsidRPr="00E3202E">
        <w:rPr>
          <w:color w:val="0D0D0D" w:themeColor="text1" w:themeTint="F2"/>
        </w:rPr>
        <w:t xml:space="preserve"> </w:t>
      </w:r>
      <w:r w:rsidR="00E3202E" w:rsidRPr="00E3202E">
        <w:rPr>
          <w:rFonts w:ascii="Arial" w:hAnsi="Arial" w:cs="Arial"/>
          <w:color w:val="0D0D0D" w:themeColor="text1" w:themeTint="F2"/>
          <w:sz w:val="20"/>
          <w:szCs w:val="20"/>
        </w:rPr>
        <w:t xml:space="preserve">Since 2008 the “WHO prequalification” has been added into </w:t>
      </w:r>
      <w:proofErr w:type="spellStart"/>
      <w:r w:rsidR="00E3202E" w:rsidRPr="00E3202E">
        <w:rPr>
          <w:rFonts w:ascii="Arial" w:hAnsi="Arial" w:cs="Arial"/>
          <w:color w:val="0D0D0D" w:themeColor="text1" w:themeTint="F2"/>
          <w:sz w:val="20"/>
          <w:szCs w:val="20"/>
        </w:rPr>
        <w:t>ToR</w:t>
      </w:r>
      <w:proofErr w:type="spellEnd"/>
      <w:r w:rsidR="00E3202E" w:rsidRPr="00E3202E">
        <w:rPr>
          <w:rFonts w:ascii="Arial" w:hAnsi="Arial" w:cs="Arial"/>
          <w:color w:val="0D0D0D" w:themeColor="text1" w:themeTint="F2"/>
          <w:sz w:val="20"/>
          <w:szCs w:val="20"/>
        </w:rPr>
        <w:t xml:space="preserve"> for the tender as one of major requirements.  In 2014 upon consideration of new vaccine prices at open market and cost savings opportunities shown in reports of partners</w:t>
      </w:r>
      <w:r w:rsidR="008A7154">
        <w:rPr>
          <w:rFonts w:ascii="Arial" w:hAnsi="Arial" w:cs="Arial"/>
          <w:color w:val="0D0D0D" w:themeColor="text1" w:themeTint="F2"/>
          <w:sz w:val="20"/>
          <w:szCs w:val="20"/>
        </w:rPr>
        <w:t>’</w:t>
      </w:r>
      <w:r w:rsidR="00E3202E" w:rsidRPr="00E3202E">
        <w:rPr>
          <w:rFonts w:ascii="Arial" w:hAnsi="Arial" w:cs="Arial"/>
          <w:color w:val="0D0D0D" w:themeColor="text1" w:themeTint="F2"/>
          <w:sz w:val="20"/>
          <w:szCs w:val="20"/>
        </w:rPr>
        <w:t xml:space="preserve"> organization</w:t>
      </w:r>
      <w:r w:rsidR="008A7154">
        <w:rPr>
          <w:rFonts w:ascii="Arial" w:hAnsi="Arial" w:cs="Arial"/>
          <w:color w:val="0D0D0D" w:themeColor="text1" w:themeTint="F2"/>
          <w:sz w:val="20"/>
          <w:szCs w:val="20"/>
        </w:rPr>
        <w:t>s</w:t>
      </w:r>
      <w:r w:rsidR="00E3202E" w:rsidRPr="00E3202E">
        <w:rPr>
          <w:rFonts w:ascii="Arial" w:hAnsi="Arial" w:cs="Arial"/>
          <w:color w:val="0D0D0D" w:themeColor="text1" w:themeTint="F2"/>
          <w:sz w:val="20"/>
          <w:szCs w:val="20"/>
        </w:rPr>
        <w:t xml:space="preserve">, </w:t>
      </w:r>
      <w:r w:rsidR="00E3202E">
        <w:rPr>
          <w:rFonts w:ascii="Arial" w:hAnsi="Arial" w:cs="Arial"/>
          <w:color w:val="0D0D0D" w:themeColor="text1" w:themeTint="F2"/>
          <w:sz w:val="20"/>
          <w:szCs w:val="20"/>
        </w:rPr>
        <w:t xml:space="preserve">the </w:t>
      </w:r>
      <w:r w:rsidR="00E3202E" w:rsidRPr="00E3202E">
        <w:rPr>
          <w:rFonts w:ascii="Arial" w:hAnsi="Arial" w:cs="Arial"/>
          <w:color w:val="0D0D0D" w:themeColor="text1" w:themeTint="F2"/>
          <w:sz w:val="20"/>
          <w:szCs w:val="20"/>
        </w:rPr>
        <w:t>Ministry of Health issued decree on procurement of EPI vaccines through UNICEF SD</w:t>
      </w:r>
      <w:r w:rsidR="00E3202E">
        <w:rPr>
          <w:rFonts w:ascii="Arial" w:hAnsi="Arial" w:cs="Arial"/>
          <w:color w:val="0D0D0D" w:themeColor="text1" w:themeTint="F2"/>
          <w:sz w:val="20"/>
          <w:szCs w:val="20"/>
        </w:rPr>
        <w:t xml:space="preserve"> and </w:t>
      </w:r>
      <w:r w:rsidR="008A7154">
        <w:rPr>
          <w:rFonts w:ascii="Arial" w:hAnsi="Arial" w:cs="Arial"/>
          <w:color w:val="0D0D0D" w:themeColor="text1" w:themeTint="F2"/>
          <w:sz w:val="20"/>
          <w:szCs w:val="20"/>
        </w:rPr>
        <w:t>based on this</w:t>
      </w:r>
      <w:r w:rsidR="00E3202E">
        <w:rPr>
          <w:rFonts w:ascii="Arial" w:hAnsi="Arial" w:cs="Arial"/>
          <w:color w:val="0D0D0D" w:themeColor="text1" w:themeTint="F2"/>
          <w:sz w:val="20"/>
          <w:szCs w:val="20"/>
        </w:rPr>
        <w:t xml:space="preserve"> approval </w:t>
      </w:r>
      <w:r w:rsidR="008A7154">
        <w:rPr>
          <w:rFonts w:ascii="Arial" w:hAnsi="Arial" w:cs="Arial"/>
          <w:color w:val="0D0D0D" w:themeColor="text1" w:themeTint="F2"/>
          <w:sz w:val="20"/>
          <w:szCs w:val="20"/>
        </w:rPr>
        <w:t xml:space="preserve">the </w:t>
      </w:r>
      <w:r w:rsidR="00E3202E">
        <w:rPr>
          <w:rFonts w:ascii="Arial" w:hAnsi="Arial" w:cs="Arial"/>
          <w:color w:val="0D0D0D" w:themeColor="text1" w:themeTint="F2"/>
          <w:sz w:val="20"/>
          <w:szCs w:val="20"/>
        </w:rPr>
        <w:t xml:space="preserve">Innovation and Supply Center </w:t>
      </w:r>
      <w:r w:rsidR="008A7154">
        <w:rPr>
          <w:rFonts w:ascii="Arial" w:hAnsi="Arial" w:cs="Arial"/>
          <w:color w:val="0D0D0D" w:themeColor="text1" w:themeTint="F2"/>
          <w:sz w:val="20"/>
          <w:szCs w:val="20"/>
        </w:rPr>
        <w:t xml:space="preserve">has </w:t>
      </w:r>
      <w:r w:rsidR="00E3202E">
        <w:rPr>
          <w:rFonts w:ascii="Arial" w:hAnsi="Arial" w:cs="Arial"/>
          <w:color w:val="0D0D0D" w:themeColor="text1" w:themeTint="F2"/>
          <w:sz w:val="20"/>
          <w:szCs w:val="20"/>
        </w:rPr>
        <w:t>start</w:t>
      </w:r>
      <w:r w:rsidR="008A7154">
        <w:rPr>
          <w:rFonts w:ascii="Arial" w:hAnsi="Arial" w:cs="Arial"/>
          <w:color w:val="0D0D0D" w:themeColor="text1" w:themeTint="F2"/>
          <w:sz w:val="20"/>
          <w:szCs w:val="20"/>
        </w:rPr>
        <w:t>ed</w:t>
      </w:r>
      <w:r w:rsidR="00E3202E">
        <w:rPr>
          <w:rFonts w:ascii="Arial" w:hAnsi="Arial" w:cs="Arial"/>
          <w:color w:val="0D0D0D" w:themeColor="text1" w:themeTint="F2"/>
          <w:sz w:val="20"/>
          <w:szCs w:val="20"/>
        </w:rPr>
        <w:t xml:space="preserve"> to use UNICEF SD as single source for </w:t>
      </w:r>
      <w:r w:rsidR="008A7154">
        <w:rPr>
          <w:rFonts w:ascii="Arial" w:hAnsi="Arial" w:cs="Arial"/>
          <w:color w:val="0D0D0D" w:themeColor="text1" w:themeTint="F2"/>
          <w:sz w:val="20"/>
          <w:szCs w:val="20"/>
        </w:rPr>
        <w:t xml:space="preserve">procurement </w:t>
      </w:r>
      <w:r w:rsidR="00E3202E">
        <w:rPr>
          <w:rFonts w:ascii="Arial" w:hAnsi="Arial" w:cs="Arial"/>
          <w:color w:val="0D0D0D" w:themeColor="text1" w:themeTint="F2"/>
          <w:sz w:val="20"/>
          <w:szCs w:val="20"/>
        </w:rPr>
        <w:t xml:space="preserve">EPI routine vaccines. </w:t>
      </w:r>
    </w:p>
    <w:p w:rsidR="00DD7A13" w:rsidRPr="00DD7A13" w:rsidRDefault="00B32936" w:rsidP="00DD7A13">
      <w:pPr>
        <w:spacing w:after="60"/>
        <w:jc w:val="both"/>
        <w:rPr>
          <w:rFonts w:ascii="Arial" w:hAnsi="Arial" w:cs="Arial"/>
          <w:sz w:val="20"/>
          <w:szCs w:val="20"/>
        </w:rPr>
      </w:pPr>
      <w:r w:rsidRPr="00DD7A13">
        <w:rPr>
          <w:rFonts w:ascii="Arial" w:hAnsi="Arial" w:cs="Arial"/>
          <w:sz w:val="20"/>
          <w:szCs w:val="20"/>
        </w:rPr>
        <w:t xml:space="preserve">Vaccines are administered by primary </w:t>
      </w:r>
      <w:r w:rsidR="00426433" w:rsidRPr="00DD7A13">
        <w:rPr>
          <w:rFonts w:ascii="Arial" w:hAnsi="Arial" w:cs="Arial"/>
          <w:sz w:val="20"/>
          <w:szCs w:val="20"/>
        </w:rPr>
        <w:t xml:space="preserve">health </w:t>
      </w:r>
      <w:r w:rsidRPr="00DD7A13">
        <w:rPr>
          <w:rFonts w:ascii="Arial" w:hAnsi="Arial" w:cs="Arial"/>
          <w:sz w:val="20"/>
          <w:szCs w:val="20"/>
        </w:rPr>
        <w:t>care providers.</w:t>
      </w:r>
      <w:r w:rsidR="00DD7A13" w:rsidRPr="00DD7A13">
        <w:rPr>
          <w:rFonts w:ascii="Arial" w:hAnsi="Arial" w:cs="Arial"/>
          <w:sz w:val="20"/>
          <w:szCs w:val="20"/>
        </w:rPr>
        <w:t xml:space="preserve"> The maternity house, child polyclinic, doctor points and medical points are in charge of vaccination related services. Registration at pediatric polyclinic or other facilities takes place right after discharge from maternity. Immediately upon registration a new born child gets ambulatory card and e-health card, which are (the ambulatory card and e-health card) used as primary tools for registration of vaccination status. Twice a year </w:t>
      </w:r>
      <w:r w:rsidR="00A11DC7">
        <w:rPr>
          <w:rFonts w:ascii="Arial" w:hAnsi="Arial" w:cs="Arial"/>
          <w:sz w:val="20"/>
          <w:szCs w:val="20"/>
        </w:rPr>
        <w:t>door-to-door</w:t>
      </w:r>
      <w:r w:rsidR="00DD7A13" w:rsidRPr="00DD7A13">
        <w:rPr>
          <w:rFonts w:ascii="Arial" w:hAnsi="Arial" w:cs="Arial"/>
          <w:sz w:val="20"/>
          <w:szCs w:val="20"/>
        </w:rPr>
        <w:t xml:space="preserve"> visits are conducted to identify target group. An area pediatrician and a patronage nurse inform parents in advance on the necessity of the vaccination.  Each facility responsible for providing vaccination services should have separate vaccination room for per</w:t>
      </w:r>
      <w:r w:rsidR="005F6187">
        <w:rPr>
          <w:rFonts w:ascii="Arial" w:hAnsi="Arial" w:cs="Arial"/>
          <w:sz w:val="20"/>
          <w:szCs w:val="20"/>
        </w:rPr>
        <w:t xml:space="preserve">manent/fixed vaccination posts.  Small medical points not equipped by refrigerator, vaccination services provided by outreach teams from doctor points. There are just few </w:t>
      </w:r>
      <w:r w:rsidR="005F6187">
        <w:rPr>
          <w:rFonts w:ascii="Arial" w:hAnsi="Arial" w:cs="Arial"/>
          <w:sz w:val="20"/>
          <w:szCs w:val="20"/>
        </w:rPr>
        <w:lastRenderedPageBreak/>
        <w:t>districts have to arrange mobile teams from central polyclinic to provide vaccination services in remote mountain area.</w:t>
      </w:r>
    </w:p>
    <w:p w:rsidR="008E3711" w:rsidRPr="005F6187" w:rsidRDefault="008E3711" w:rsidP="008E3711">
      <w:pPr>
        <w:spacing w:after="60"/>
        <w:jc w:val="both"/>
        <w:rPr>
          <w:rFonts w:ascii="Arial" w:hAnsi="Arial" w:cs="Arial"/>
          <w:sz w:val="20"/>
          <w:szCs w:val="20"/>
        </w:rPr>
      </w:pPr>
      <w:proofErr w:type="spellStart"/>
      <w:proofErr w:type="gramStart"/>
      <w:r w:rsidRPr="005F6187">
        <w:rPr>
          <w:rFonts w:ascii="Arial" w:hAnsi="Arial" w:cs="Arial"/>
          <w:sz w:val="20"/>
          <w:szCs w:val="20"/>
        </w:rPr>
        <w:t>cMYP</w:t>
      </w:r>
      <w:proofErr w:type="spellEnd"/>
      <w:proofErr w:type="gramEnd"/>
      <w:r w:rsidRPr="005F6187">
        <w:rPr>
          <w:rFonts w:ascii="Arial" w:hAnsi="Arial" w:cs="Arial"/>
          <w:sz w:val="20"/>
          <w:szCs w:val="20"/>
        </w:rPr>
        <w:t xml:space="preserve"> on NIP program was developed in accordance with the National Action Plan on Infection Diseases </w:t>
      </w:r>
      <w:r w:rsidR="00B231E8">
        <w:rPr>
          <w:rFonts w:ascii="Arial" w:hAnsi="Arial" w:cs="Arial"/>
          <w:sz w:val="20"/>
          <w:szCs w:val="20"/>
        </w:rPr>
        <w:t>Immunoprophylaxis and reflects its</w:t>
      </w:r>
      <w:r w:rsidRPr="005F6187">
        <w:rPr>
          <w:rFonts w:ascii="Arial" w:hAnsi="Arial" w:cs="Arial"/>
          <w:sz w:val="20"/>
          <w:szCs w:val="20"/>
        </w:rPr>
        <w:t xml:space="preserve"> vision, goals, strategies and targets. The annual national planning cycle for immunization includes updating lists of population served by health facilities, preparing population counts for the age groups targeted for specific immunizations; compiling figures at rayon level and submitting them to the Republican Center for Hygiene and Epidemiology. Pe</w:t>
      </w:r>
      <w:r w:rsidR="00150E42">
        <w:rPr>
          <w:rFonts w:ascii="Arial" w:hAnsi="Arial" w:cs="Arial"/>
          <w:sz w:val="20"/>
          <w:szCs w:val="20"/>
        </w:rPr>
        <w:t>rformance of the program</w:t>
      </w:r>
      <w:r w:rsidRPr="005F6187">
        <w:rPr>
          <w:rFonts w:ascii="Arial" w:hAnsi="Arial" w:cs="Arial"/>
          <w:sz w:val="20"/>
          <w:szCs w:val="20"/>
        </w:rPr>
        <w:t xml:space="preserve"> is assessed against target population groups.  Based on the vaccination schedule, plans to introduce new antigens, vaccine stocks in the field and at the national level, estimates on financial needs for procurement of vaccines and supplies are prepared by RCHE in July each year and submitted to the MoH and Ministry of Finance for preparing the budget for the next year. </w:t>
      </w:r>
      <w:r w:rsidR="002E2855" w:rsidRPr="005F6187">
        <w:rPr>
          <w:rFonts w:ascii="Arial" w:hAnsi="Arial" w:cs="Arial"/>
          <w:sz w:val="20"/>
          <w:szCs w:val="20"/>
        </w:rPr>
        <w:t>Since 2009 the NIP</w:t>
      </w:r>
      <w:r w:rsidR="008A7154">
        <w:rPr>
          <w:rFonts w:ascii="Arial" w:hAnsi="Arial" w:cs="Arial"/>
          <w:sz w:val="20"/>
          <w:szCs w:val="20"/>
        </w:rPr>
        <w:t xml:space="preserve"> vaccines &amp; supplies</w:t>
      </w:r>
      <w:r w:rsidR="002E2855" w:rsidRPr="005F6187">
        <w:rPr>
          <w:rFonts w:ascii="Arial" w:hAnsi="Arial" w:cs="Arial"/>
          <w:sz w:val="20"/>
          <w:szCs w:val="20"/>
        </w:rPr>
        <w:t xml:space="preserve"> </w:t>
      </w:r>
      <w:r w:rsidR="008A7154">
        <w:rPr>
          <w:rFonts w:ascii="Arial" w:hAnsi="Arial" w:cs="Arial"/>
          <w:sz w:val="20"/>
          <w:szCs w:val="20"/>
        </w:rPr>
        <w:t>are</w:t>
      </w:r>
      <w:r w:rsidR="002E2855" w:rsidRPr="005F6187">
        <w:rPr>
          <w:rFonts w:ascii="Arial" w:hAnsi="Arial" w:cs="Arial"/>
          <w:sz w:val="20"/>
          <w:szCs w:val="20"/>
        </w:rPr>
        <w:t xml:space="preserve"> fully funded from state budget, and currently all </w:t>
      </w:r>
      <w:r w:rsidR="002E2855">
        <w:rPr>
          <w:rFonts w:ascii="Arial" w:hAnsi="Arial" w:cs="Arial"/>
          <w:sz w:val="20"/>
          <w:szCs w:val="20"/>
        </w:rPr>
        <w:t>vaccines except GAVI co-</w:t>
      </w:r>
      <w:r w:rsidR="002E2855" w:rsidRPr="005F6187">
        <w:rPr>
          <w:rFonts w:ascii="Arial" w:hAnsi="Arial" w:cs="Arial"/>
          <w:sz w:val="20"/>
          <w:szCs w:val="20"/>
        </w:rPr>
        <w:t xml:space="preserve">financed portion of </w:t>
      </w:r>
      <w:proofErr w:type="spellStart"/>
      <w:r w:rsidR="002E2855" w:rsidRPr="005F6187">
        <w:rPr>
          <w:rFonts w:ascii="Arial" w:hAnsi="Arial" w:cs="Arial"/>
          <w:sz w:val="20"/>
          <w:szCs w:val="20"/>
        </w:rPr>
        <w:t>Hib-penta</w:t>
      </w:r>
      <w:proofErr w:type="spellEnd"/>
      <w:r w:rsidR="002E2855" w:rsidRPr="005F6187">
        <w:rPr>
          <w:rFonts w:ascii="Arial" w:hAnsi="Arial" w:cs="Arial"/>
          <w:sz w:val="20"/>
          <w:szCs w:val="20"/>
        </w:rPr>
        <w:t xml:space="preserve"> and PCV</w:t>
      </w:r>
      <w:r w:rsidR="002E2855">
        <w:rPr>
          <w:rFonts w:ascii="Arial" w:hAnsi="Arial" w:cs="Arial"/>
          <w:sz w:val="20"/>
          <w:szCs w:val="20"/>
        </w:rPr>
        <w:t>,</w:t>
      </w:r>
      <w:r w:rsidR="002E2855" w:rsidRPr="005F6187">
        <w:rPr>
          <w:rFonts w:ascii="Arial" w:hAnsi="Arial" w:cs="Arial"/>
          <w:sz w:val="20"/>
          <w:szCs w:val="20"/>
        </w:rPr>
        <w:t xml:space="preserve"> are</w:t>
      </w:r>
      <w:r w:rsidR="002E2855">
        <w:rPr>
          <w:rFonts w:ascii="Arial" w:hAnsi="Arial" w:cs="Arial"/>
          <w:sz w:val="20"/>
          <w:szCs w:val="20"/>
        </w:rPr>
        <w:t xml:space="preserve"> fully</w:t>
      </w:r>
      <w:r w:rsidR="002E2855" w:rsidRPr="005F6187">
        <w:rPr>
          <w:rFonts w:ascii="Arial" w:hAnsi="Arial" w:cs="Arial"/>
          <w:sz w:val="20"/>
          <w:szCs w:val="20"/>
        </w:rPr>
        <w:t xml:space="preserve"> procured by government through UNICEF SD. </w:t>
      </w:r>
      <w:r w:rsidR="002E2855">
        <w:rPr>
          <w:rFonts w:ascii="Arial" w:hAnsi="Arial" w:cs="Arial"/>
          <w:sz w:val="20"/>
          <w:szCs w:val="20"/>
        </w:rPr>
        <w:t>At the present time</w:t>
      </w:r>
      <w:r w:rsidR="00DA6731">
        <w:rPr>
          <w:rFonts w:ascii="Arial" w:hAnsi="Arial" w:cs="Arial"/>
          <w:sz w:val="20"/>
          <w:szCs w:val="20"/>
        </w:rPr>
        <w:t xml:space="preserve"> </w:t>
      </w:r>
      <w:r w:rsidRPr="005F6187">
        <w:rPr>
          <w:rFonts w:ascii="Arial" w:hAnsi="Arial" w:cs="Arial"/>
          <w:sz w:val="20"/>
          <w:szCs w:val="20"/>
        </w:rPr>
        <w:t>NIP provides free of charge vaccination for 0-6 years old children against 1</w:t>
      </w:r>
      <w:r w:rsidR="00DA6731">
        <w:rPr>
          <w:rFonts w:ascii="Arial" w:hAnsi="Arial" w:cs="Arial"/>
          <w:sz w:val="20"/>
          <w:szCs w:val="20"/>
        </w:rPr>
        <w:t>1</w:t>
      </w:r>
      <w:r w:rsidRPr="005F6187">
        <w:rPr>
          <w:rFonts w:ascii="Arial" w:hAnsi="Arial" w:cs="Arial"/>
          <w:sz w:val="20"/>
          <w:szCs w:val="20"/>
        </w:rPr>
        <w:t xml:space="preserve"> infection diseases: hepatitis B, poliomyelitis, tuberculosis, diphtheria, tetanus, pertuss</w:t>
      </w:r>
      <w:r w:rsidR="00DA6731">
        <w:rPr>
          <w:rFonts w:ascii="Arial" w:hAnsi="Arial" w:cs="Arial"/>
          <w:sz w:val="20"/>
          <w:szCs w:val="20"/>
        </w:rPr>
        <w:t xml:space="preserve">is, measles, mumps, rubella, </w:t>
      </w:r>
      <w:proofErr w:type="spellStart"/>
      <w:r w:rsidR="00DA6731">
        <w:rPr>
          <w:rFonts w:ascii="Arial" w:hAnsi="Arial" w:cs="Arial"/>
          <w:sz w:val="20"/>
          <w:szCs w:val="20"/>
        </w:rPr>
        <w:t>H</w:t>
      </w:r>
      <w:r w:rsidRPr="005F6187">
        <w:rPr>
          <w:rFonts w:ascii="Arial" w:hAnsi="Arial" w:cs="Arial"/>
          <w:sz w:val="20"/>
          <w:szCs w:val="20"/>
        </w:rPr>
        <w:t>aemophilias</w:t>
      </w:r>
      <w:proofErr w:type="spellEnd"/>
      <w:r w:rsidRPr="005F6187">
        <w:rPr>
          <w:rFonts w:ascii="Arial" w:hAnsi="Arial" w:cs="Arial"/>
          <w:sz w:val="20"/>
          <w:szCs w:val="20"/>
        </w:rPr>
        <w:t xml:space="preserve"> </w:t>
      </w:r>
      <w:proofErr w:type="spellStart"/>
      <w:r w:rsidRPr="005F6187">
        <w:rPr>
          <w:rFonts w:ascii="Arial" w:hAnsi="Arial" w:cs="Arial"/>
          <w:sz w:val="20"/>
          <w:szCs w:val="20"/>
        </w:rPr>
        <w:t>influensae</w:t>
      </w:r>
      <w:proofErr w:type="spellEnd"/>
      <w:r w:rsidRPr="005F6187">
        <w:rPr>
          <w:rFonts w:ascii="Arial" w:hAnsi="Arial" w:cs="Arial"/>
          <w:sz w:val="20"/>
          <w:szCs w:val="20"/>
        </w:rPr>
        <w:t xml:space="preserve"> type B</w:t>
      </w:r>
      <w:r w:rsidR="00DA6731">
        <w:rPr>
          <w:rFonts w:ascii="Arial" w:hAnsi="Arial" w:cs="Arial"/>
          <w:sz w:val="20"/>
          <w:szCs w:val="20"/>
        </w:rPr>
        <w:t xml:space="preserve"> and pneumococcus</w:t>
      </w:r>
      <w:r w:rsidRPr="005F6187">
        <w:rPr>
          <w:rFonts w:ascii="Arial" w:hAnsi="Arial" w:cs="Arial"/>
          <w:sz w:val="20"/>
          <w:szCs w:val="20"/>
        </w:rPr>
        <w:t xml:space="preserve">. </w:t>
      </w:r>
      <w:r w:rsidR="002E2855">
        <w:rPr>
          <w:rFonts w:ascii="Arial" w:hAnsi="Arial" w:cs="Arial"/>
          <w:sz w:val="20"/>
          <w:szCs w:val="20"/>
        </w:rPr>
        <w:t xml:space="preserve">Introduction of new and under used vaccine in Azerbaijan NIS has been intensified since 2001, by introduction </w:t>
      </w:r>
      <w:proofErr w:type="spellStart"/>
      <w:r w:rsidR="002E2855">
        <w:rPr>
          <w:rFonts w:ascii="Arial" w:hAnsi="Arial" w:cs="Arial"/>
          <w:sz w:val="20"/>
          <w:szCs w:val="20"/>
        </w:rPr>
        <w:t>HepB</w:t>
      </w:r>
      <w:proofErr w:type="spellEnd"/>
      <w:r w:rsidR="002E2855">
        <w:rPr>
          <w:rFonts w:ascii="Arial" w:hAnsi="Arial" w:cs="Arial"/>
          <w:sz w:val="20"/>
          <w:szCs w:val="20"/>
        </w:rPr>
        <w:t xml:space="preserve"> in 2001, MMR in 2003, </w:t>
      </w:r>
      <w:proofErr w:type="spellStart"/>
      <w:r w:rsidR="002E2855">
        <w:rPr>
          <w:rFonts w:ascii="Arial" w:hAnsi="Arial" w:cs="Arial"/>
          <w:sz w:val="20"/>
          <w:szCs w:val="20"/>
        </w:rPr>
        <w:t>Hib-penta</w:t>
      </w:r>
      <w:proofErr w:type="spellEnd"/>
      <w:r w:rsidR="002E2855">
        <w:rPr>
          <w:rFonts w:ascii="Arial" w:hAnsi="Arial" w:cs="Arial"/>
          <w:sz w:val="20"/>
          <w:szCs w:val="20"/>
        </w:rPr>
        <w:t xml:space="preserve"> in 2011 and PCV in 2013.</w:t>
      </w:r>
    </w:p>
    <w:p w:rsidR="005F6187" w:rsidRPr="005F6187" w:rsidRDefault="005F6187" w:rsidP="008E3711">
      <w:pPr>
        <w:spacing w:after="60"/>
        <w:jc w:val="both"/>
        <w:rPr>
          <w:rFonts w:ascii="Arial" w:hAnsi="Arial" w:cs="Arial"/>
          <w:sz w:val="20"/>
          <w:szCs w:val="20"/>
        </w:rPr>
      </w:pPr>
    </w:p>
    <w:p w:rsidR="00B32936" w:rsidRDefault="00B32936" w:rsidP="00B32936">
      <w:pPr>
        <w:spacing w:after="60"/>
        <w:rPr>
          <w:rFonts w:ascii="Arial" w:hAnsi="Arial" w:cs="Arial"/>
          <w:sz w:val="20"/>
          <w:szCs w:val="20"/>
        </w:rPr>
      </w:pPr>
      <w:r w:rsidRPr="005F6187">
        <w:rPr>
          <w:rFonts w:ascii="Arial" w:hAnsi="Arial" w:cs="Arial"/>
          <w:sz w:val="20"/>
          <w:szCs w:val="20"/>
        </w:rPr>
        <w:t>The</w:t>
      </w:r>
      <w:r w:rsidR="005F6187">
        <w:rPr>
          <w:rFonts w:ascii="Arial" w:hAnsi="Arial" w:cs="Arial"/>
          <w:sz w:val="20"/>
          <w:szCs w:val="20"/>
        </w:rPr>
        <w:t xml:space="preserve"> current </w:t>
      </w:r>
      <w:r w:rsidR="007E4B92" w:rsidRPr="005F6187">
        <w:rPr>
          <w:rFonts w:ascii="Arial" w:hAnsi="Arial" w:cs="Arial"/>
          <w:sz w:val="20"/>
          <w:szCs w:val="20"/>
        </w:rPr>
        <w:t>N</w:t>
      </w:r>
      <w:r w:rsidRPr="005F6187">
        <w:rPr>
          <w:rFonts w:ascii="Arial" w:hAnsi="Arial" w:cs="Arial"/>
          <w:sz w:val="20"/>
          <w:szCs w:val="20"/>
        </w:rPr>
        <w:t xml:space="preserve">ational </w:t>
      </w:r>
      <w:r w:rsidR="007E4B92" w:rsidRPr="005F6187">
        <w:rPr>
          <w:rFonts w:ascii="Arial" w:hAnsi="Arial" w:cs="Arial"/>
          <w:sz w:val="20"/>
          <w:szCs w:val="20"/>
        </w:rPr>
        <w:t>Immunization S</w:t>
      </w:r>
      <w:r w:rsidRPr="005F6187">
        <w:rPr>
          <w:rFonts w:ascii="Arial" w:hAnsi="Arial" w:cs="Arial"/>
          <w:sz w:val="20"/>
          <w:szCs w:val="20"/>
        </w:rPr>
        <w:t>chedule is shown in</w:t>
      </w:r>
      <w:r w:rsidR="007E4B92" w:rsidRPr="005F6187">
        <w:rPr>
          <w:rFonts w:ascii="Arial" w:hAnsi="Arial" w:cs="Arial"/>
          <w:sz w:val="20"/>
          <w:szCs w:val="20"/>
        </w:rPr>
        <w:t xml:space="preserve"> the</w:t>
      </w:r>
      <w:r w:rsidRPr="005F6187">
        <w:rPr>
          <w:rFonts w:ascii="Arial" w:hAnsi="Arial" w:cs="Arial"/>
          <w:sz w:val="20"/>
          <w:szCs w:val="20"/>
        </w:rPr>
        <w:t xml:space="preserve"> table 1 below.</w:t>
      </w:r>
    </w:p>
    <w:p w:rsidR="005F6187" w:rsidRPr="005F6187" w:rsidRDefault="005F6187" w:rsidP="00B32936">
      <w:pPr>
        <w:spacing w:after="60"/>
        <w:rPr>
          <w:rFonts w:ascii="Arial" w:hAnsi="Arial" w:cs="Arial"/>
          <w:sz w:val="20"/>
          <w:szCs w:val="20"/>
        </w:rPr>
      </w:pPr>
    </w:p>
    <w:p w:rsidR="00B32936" w:rsidRPr="005F6187" w:rsidRDefault="00B32936" w:rsidP="00B32936">
      <w:pPr>
        <w:spacing w:after="0"/>
        <w:rPr>
          <w:rFonts w:ascii="Arial" w:hAnsi="Arial" w:cs="Arial"/>
          <w:b/>
          <w:sz w:val="20"/>
          <w:szCs w:val="20"/>
        </w:rPr>
      </w:pPr>
      <w:r w:rsidRPr="005F6187">
        <w:rPr>
          <w:rFonts w:ascii="Arial" w:hAnsi="Arial" w:cs="Arial"/>
          <w:b/>
          <w:sz w:val="20"/>
          <w:szCs w:val="20"/>
        </w:rPr>
        <w:t xml:space="preserve">Table 1: </w:t>
      </w:r>
      <w:r w:rsidR="004D3E04">
        <w:rPr>
          <w:rFonts w:ascii="Arial" w:hAnsi="Arial" w:cs="Arial"/>
          <w:b/>
          <w:sz w:val="20"/>
          <w:szCs w:val="20"/>
        </w:rPr>
        <w:t>Current NIS</w:t>
      </w:r>
      <w:r w:rsidRPr="005F6187">
        <w:rPr>
          <w:rFonts w:ascii="Arial" w:hAnsi="Arial" w:cs="Arial"/>
          <w:b/>
          <w:sz w:val="20"/>
          <w:szCs w:val="20"/>
        </w:rPr>
        <w:t xml:space="preserve">; Azerbaijan </w:t>
      </w:r>
    </w:p>
    <w:tbl>
      <w:tblPr>
        <w:tblW w:w="0" w:type="auto"/>
        <w:tblInd w:w="-8" w:type="dxa"/>
        <w:tblCellMar>
          <w:left w:w="10" w:type="dxa"/>
          <w:right w:w="10" w:type="dxa"/>
        </w:tblCellMar>
        <w:tblLook w:val="0000" w:firstRow="0" w:lastRow="0" w:firstColumn="0" w:lastColumn="0" w:noHBand="0" w:noVBand="0"/>
      </w:tblPr>
      <w:tblGrid>
        <w:gridCol w:w="3085"/>
        <w:gridCol w:w="3969"/>
      </w:tblGrid>
      <w:tr w:rsidR="00B32936" w:rsidRPr="005F6187" w:rsidTr="00127AE0">
        <w:trPr>
          <w:trHeight w:val="243"/>
        </w:trPr>
        <w:tc>
          <w:tcPr>
            <w:tcW w:w="3085"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B32936" w:rsidRPr="005F6187" w:rsidRDefault="00B32936" w:rsidP="00127AE0">
            <w:pPr>
              <w:spacing w:after="0"/>
              <w:jc w:val="both"/>
              <w:rPr>
                <w:rFonts w:ascii="Arial" w:hAnsi="Arial" w:cs="Arial"/>
                <w:b/>
                <w:sz w:val="20"/>
                <w:szCs w:val="20"/>
              </w:rPr>
            </w:pPr>
            <w:r w:rsidRPr="005F6187">
              <w:rPr>
                <w:rFonts w:ascii="Arial" w:hAnsi="Arial" w:cs="Arial"/>
                <w:b/>
                <w:sz w:val="20"/>
                <w:szCs w:val="20"/>
              </w:rPr>
              <w:t>Antigen</w:t>
            </w:r>
          </w:p>
        </w:tc>
        <w:tc>
          <w:tcPr>
            <w:tcW w:w="3969"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B32936" w:rsidRPr="005F6187" w:rsidRDefault="00B32936" w:rsidP="00127AE0">
            <w:pPr>
              <w:spacing w:after="0"/>
              <w:jc w:val="both"/>
              <w:rPr>
                <w:rFonts w:ascii="Arial" w:hAnsi="Arial" w:cs="Arial"/>
                <w:b/>
                <w:sz w:val="20"/>
                <w:szCs w:val="20"/>
              </w:rPr>
            </w:pPr>
            <w:r w:rsidRPr="005F6187">
              <w:rPr>
                <w:rFonts w:ascii="Arial" w:hAnsi="Arial" w:cs="Arial"/>
                <w:b/>
                <w:sz w:val="20"/>
                <w:szCs w:val="20"/>
              </w:rPr>
              <w:t>Age</w:t>
            </w:r>
          </w:p>
        </w:tc>
      </w:tr>
      <w:tr w:rsidR="00B32936" w:rsidRPr="005F6187" w:rsidTr="00127AE0">
        <w:trPr>
          <w:trHeight w:val="243"/>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936" w:rsidRPr="005F6187" w:rsidRDefault="00B32936" w:rsidP="00127AE0">
            <w:pPr>
              <w:spacing w:after="0"/>
              <w:jc w:val="both"/>
              <w:rPr>
                <w:rFonts w:ascii="Arial" w:hAnsi="Arial" w:cs="Arial"/>
                <w:sz w:val="20"/>
                <w:szCs w:val="20"/>
              </w:rPr>
            </w:pPr>
            <w:r w:rsidRPr="005F6187">
              <w:rPr>
                <w:rFonts w:ascii="Arial" w:hAnsi="Arial" w:cs="Arial"/>
                <w:sz w:val="20"/>
                <w:szCs w:val="20"/>
              </w:rPr>
              <w:t>BCG</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936" w:rsidRPr="005F6187" w:rsidRDefault="00B32936" w:rsidP="00127AE0">
            <w:pPr>
              <w:spacing w:after="0"/>
              <w:jc w:val="both"/>
              <w:rPr>
                <w:rFonts w:ascii="Arial" w:hAnsi="Arial" w:cs="Arial"/>
                <w:sz w:val="20"/>
                <w:szCs w:val="20"/>
              </w:rPr>
            </w:pPr>
            <w:r w:rsidRPr="005F6187">
              <w:rPr>
                <w:rFonts w:ascii="Arial" w:hAnsi="Arial" w:cs="Arial"/>
                <w:sz w:val="20"/>
                <w:szCs w:val="20"/>
              </w:rPr>
              <w:t>4-7 days</w:t>
            </w:r>
          </w:p>
        </w:tc>
      </w:tr>
      <w:tr w:rsidR="00B32936" w:rsidRPr="005F6187" w:rsidTr="00127AE0">
        <w:trPr>
          <w:trHeight w:val="243"/>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936" w:rsidRPr="005F6187" w:rsidRDefault="00B32936" w:rsidP="00127AE0">
            <w:pPr>
              <w:spacing w:after="0"/>
              <w:jc w:val="both"/>
              <w:rPr>
                <w:rFonts w:ascii="Arial" w:hAnsi="Arial" w:cs="Arial"/>
                <w:sz w:val="20"/>
                <w:szCs w:val="20"/>
              </w:rPr>
            </w:pPr>
            <w:r w:rsidRPr="005F6187">
              <w:rPr>
                <w:rFonts w:ascii="Arial" w:hAnsi="Arial" w:cs="Arial"/>
                <w:sz w:val="20"/>
                <w:szCs w:val="20"/>
              </w:rPr>
              <w:t>DT</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936" w:rsidRPr="005F6187" w:rsidRDefault="00B32936" w:rsidP="00127AE0">
            <w:pPr>
              <w:spacing w:after="0"/>
              <w:jc w:val="both"/>
              <w:rPr>
                <w:rFonts w:ascii="Arial" w:hAnsi="Arial" w:cs="Arial"/>
                <w:sz w:val="20"/>
                <w:szCs w:val="20"/>
              </w:rPr>
            </w:pPr>
            <w:r w:rsidRPr="005F6187">
              <w:rPr>
                <w:rFonts w:ascii="Arial" w:hAnsi="Arial" w:cs="Arial"/>
                <w:sz w:val="20"/>
                <w:szCs w:val="20"/>
              </w:rPr>
              <w:t>6 years</w:t>
            </w:r>
          </w:p>
        </w:tc>
      </w:tr>
      <w:tr w:rsidR="00B32936" w:rsidRPr="005F6187" w:rsidTr="00127AE0">
        <w:trPr>
          <w:trHeight w:val="243"/>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936" w:rsidRPr="005F6187" w:rsidRDefault="00B32936" w:rsidP="00127AE0">
            <w:pPr>
              <w:spacing w:after="0"/>
              <w:jc w:val="both"/>
              <w:rPr>
                <w:rFonts w:ascii="Arial" w:hAnsi="Arial" w:cs="Arial"/>
                <w:sz w:val="20"/>
                <w:szCs w:val="20"/>
              </w:rPr>
            </w:pPr>
            <w:r w:rsidRPr="005F6187">
              <w:rPr>
                <w:rFonts w:ascii="Arial" w:hAnsi="Arial" w:cs="Arial"/>
                <w:sz w:val="20"/>
                <w:szCs w:val="20"/>
              </w:rPr>
              <w:t>DTP</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936" w:rsidRPr="005F6187" w:rsidRDefault="00B32936" w:rsidP="00127AE0">
            <w:pPr>
              <w:spacing w:after="0"/>
              <w:jc w:val="both"/>
              <w:rPr>
                <w:rFonts w:ascii="Arial" w:hAnsi="Arial" w:cs="Arial"/>
                <w:sz w:val="20"/>
                <w:szCs w:val="20"/>
              </w:rPr>
            </w:pPr>
            <w:r w:rsidRPr="005F6187">
              <w:rPr>
                <w:rFonts w:ascii="Arial" w:hAnsi="Arial" w:cs="Arial"/>
                <w:sz w:val="20"/>
                <w:szCs w:val="20"/>
              </w:rPr>
              <w:t>18 months</w:t>
            </w:r>
          </w:p>
        </w:tc>
      </w:tr>
      <w:tr w:rsidR="00B32936" w:rsidRPr="005F6187" w:rsidTr="00127AE0">
        <w:trPr>
          <w:trHeight w:val="243"/>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936" w:rsidRPr="005F6187" w:rsidRDefault="00B32936" w:rsidP="00127AE0">
            <w:pPr>
              <w:spacing w:after="0"/>
              <w:jc w:val="both"/>
              <w:rPr>
                <w:rFonts w:ascii="Arial" w:hAnsi="Arial" w:cs="Arial"/>
                <w:sz w:val="20"/>
                <w:szCs w:val="20"/>
              </w:rPr>
            </w:pPr>
            <w:r w:rsidRPr="005F6187">
              <w:rPr>
                <w:rFonts w:ascii="Arial" w:hAnsi="Arial" w:cs="Arial"/>
                <w:sz w:val="20"/>
                <w:szCs w:val="20"/>
              </w:rPr>
              <w:t>DTP-</w:t>
            </w:r>
            <w:proofErr w:type="spellStart"/>
            <w:r w:rsidRPr="005F6187">
              <w:rPr>
                <w:rFonts w:ascii="Arial" w:hAnsi="Arial" w:cs="Arial"/>
                <w:sz w:val="20"/>
                <w:szCs w:val="20"/>
              </w:rPr>
              <w:t>Hib</w:t>
            </w:r>
            <w:proofErr w:type="spellEnd"/>
            <w:r w:rsidRPr="005F6187">
              <w:rPr>
                <w:rFonts w:ascii="Arial" w:hAnsi="Arial" w:cs="Arial"/>
                <w:sz w:val="20"/>
                <w:szCs w:val="20"/>
              </w:rPr>
              <w:t>-</w:t>
            </w:r>
            <w:proofErr w:type="spellStart"/>
            <w:r w:rsidRPr="005F6187">
              <w:rPr>
                <w:rFonts w:ascii="Arial" w:hAnsi="Arial" w:cs="Arial"/>
                <w:sz w:val="20"/>
                <w:szCs w:val="20"/>
              </w:rPr>
              <w:t>HepB</w:t>
            </w:r>
            <w:proofErr w:type="spellEnd"/>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936" w:rsidRPr="005F6187" w:rsidRDefault="00B32936" w:rsidP="00127AE0">
            <w:pPr>
              <w:spacing w:after="0"/>
              <w:jc w:val="both"/>
              <w:rPr>
                <w:rFonts w:ascii="Arial" w:hAnsi="Arial" w:cs="Arial"/>
                <w:sz w:val="20"/>
                <w:szCs w:val="20"/>
              </w:rPr>
            </w:pPr>
            <w:r w:rsidRPr="005F6187">
              <w:rPr>
                <w:rFonts w:ascii="Arial" w:hAnsi="Arial" w:cs="Arial"/>
                <w:sz w:val="20"/>
                <w:szCs w:val="20"/>
              </w:rPr>
              <w:t xml:space="preserve">2, 3,4 months </w:t>
            </w:r>
          </w:p>
        </w:tc>
      </w:tr>
      <w:tr w:rsidR="002603A9" w:rsidRPr="005F6187" w:rsidTr="00127AE0">
        <w:trPr>
          <w:trHeight w:val="243"/>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03A9" w:rsidRPr="005F6187" w:rsidRDefault="002603A9" w:rsidP="00127AE0">
            <w:pPr>
              <w:spacing w:after="0"/>
              <w:jc w:val="both"/>
              <w:rPr>
                <w:rFonts w:ascii="Arial" w:hAnsi="Arial" w:cs="Arial"/>
                <w:sz w:val="20"/>
                <w:szCs w:val="20"/>
              </w:rPr>
            </w:pPr>
            <w:r w:rsidRPr="005F6187">
              <w:rPr>
                <w:rFonts w:ascii="Arial" w:hAnsi="Arial" w:cs="Arial"/>
                <w:sz w:val="20"/>
                <w:szCs w:val="20"/>
              </w:rPr>
              <w:t>PCV</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03A9" w:rsidRPr="005F6187" w:rsidRDefault="002603A9" w:rsidP="00127AE0">
            <w:pPr>
              <w:spacing w:after="0"/>
              <w:jc w:val="both"/>
              <w:rPr>
                <w:rFonts w:ascii="Arial" w:hAnsi="Arial" w:cs="Arial"/>
                <w:sz w:val="20"/>
                <w:szCs w:val="20"/>
              </w:rPr>
            </w:pPr>
            <w:r w:rsidRPr="005F6187">
              <w:rPr>
                <w:rFonts w:ascii="Arial" w:hAnsi="Arial" w:cs="Arial"/>
                <w:sz w:val="20"/>
                <w:szCs w:val="20"/>
              </w:rPr>
              <w:t>2, 4, 6 months</w:t>
            </w:r>
          </w:p>
        </w:tc>
      </w:tr>
      <w:tr w:rsidR="00B32936" w:rsidRPr="005F6187" w:rsidTr="00127AE0">
        <w:trPr>
          <w:trHeight w:val="250"/>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936" w:rsidRPr="005F6187" w:rsidRDefault="00B32936" w:rsidP="00127AE0">
            <w:pPr>
              <w:spacing w:after="0"/>
              <w:jc w:val="both"/>
              <w:rPr>
                <w:rFonts w:ascii="Arial" w:hAnsi="Arial" w:cs="Arial"/>
                <w:sz w:val="20"/>
                <w:szCs w:val="20"/>
              </w:rPr>
            </w:pPr>
            <w:proofErr w:type="spellStart"/>
            <w:r w:rsidRPr="005F6187">
              <w:rPr>
                <w:rFonts w:ascii="Arial" w:hAnsi="Arial" w:cs="Arial"/>
                <w:sz w:val="20"/>
                <w:szCs w:val="20"/>
              </w:rPr>
              <w:t>Hep</w:t>
            </w:r>
            <w:proofErr w:type="spellEnd"/>
            <w:r w:rsidRPr="005F6187">
              <w:rPr>
                <w:rFonts w:ascii="Arial" w:hAnsi="Arial" w:cs="Arial"/>
                <w:sz w:val="20"/>
                <w:szCs w:val="20"/>
              </w:rPr>
              <w:t xml:space="preserve"> B</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936" w:rsidRPr="005F6187" w:rsidRDefault="00B32936" w:rsidP="00127AE0">
            <w:pPr>
              <w:spacing w:after="0"/>
              <w:jc w:val="both"/>
              <w:rPr>
                <w:rFonts w:ascii="Arial" w:hAnsi="Arial" w:cs="Arial"/>
                <w:sz w:val="20"/>
                <w:szCs w:val="20"/>
              </w:rPr>
            </w:pPr>
            <w:r w:rsidRPr="005F6187">
              <w:rPr>
                <w:rFonts w:ascii="Arial" w:hAnsi="Arial" w:cs="Arial"/>
                <w:sz w:val="20"/>
                <w:szCs w:val="20"/>
              </w:rPr>
              <w:t>birth</w:t>
            </w:r>
          </w:p>
        </w:tc>
      </w:tr>
      <w:tr w:rsidR="00B32936" w:rsidRPr="005F6187" w:rsidTr="00127AE0">
        <w:trPr>
          <w:trHeight w:val="243"/>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936" w:rsidRPr="005F6187" w:rsidRDefault="00B32936" w:rsidP="00127AE0">
            <w:pPr>
              <w:spacing w:after="0"/>
              <w:jc w:val="both"/>
              <w:rPr>
                <w:rFonts w:ascii="Arial" w:hAnsi="Arial" w:cs="Arial"/>
                <w:sz w:val="20"/>
                <w:szCs w:val="20"/>
              </w:rPr>
            </w:pPr>
            <w:r w:rsidRPr="005F6187">
              <w:rPr>
                <w:rFonts w:ascii="Arial" w:hAnsi="Arial" w:cs="Arial"/>
                <w:sz w:val="20"/>
                <w:szCs w:val="20"/>
              </w:rPr>
              <w:t xml:space="preserve">MMR </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936" w:rsidRPr="005F6187" w:rsidRDefault="00B32936" w:rsidP="00127AE0">
            <w:pPr>
              <w:spacing w:after="0"/>
              <w:jc w:val="both"/>
              <w:rPr>
                <w:rFonts w:ascii="Arial" w:hAnsi="Arial" w:cs="Arial"/>
                <w:sz w:val="20"/>
                <w:szCs w:val="20"/>
              </w:rPr>
            </w:pPr>
            <w:r w:rsidRPr="005F6187">
              <w:rPr>
                <w:rFonts w:ascii="Arial" w:hAnsi="Arial" w:cs="Arial"/>
                <w:sz w:val="20"/>
                <w:szCs w:val="20"/>
              </w:rPr>
              <w:t>1, 6 years</w:t>
            </w:r>
          </w:p>
        </w:tc>
      </w:tr>
      <w:tr w:rsidR="00B32936" w:rsidRPr="005F6187" w:rsidTr="00127AE0">
        <w:trPr>
          <w:trHeight w:val="243"/>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936" w:rsidRPr="005F6187" w:rsidRDefault="00B32936" w:rsidP="00127AE0">
            <w:pPr>
              <w:spacing w:after="0"/>
              <w:jc w:val="both"/>
              <w:rPr>
                <w:rFonts w:ascii="Arial" w:hAnsi="Arial" w:cs="Arial"/>
                <w:sz w:val="20"/>
                <w:szCs w:val="20"/>
              </w:rPr>
            </w:pPr>
            <w:r w:rsidRPr="005F6187">
              <w:rPr>
                <w:rFonts w:ascii="Arial" w:hAnsi="Arial" w:cs="Arial"/>
                <w:sz w:val="20"/>
                <w:szCs w:val="20"/>
              </w:rPr>
              <w:t>OPV</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936" w:rsidRPr="005F6187" w:rsidRDefault="00B32936" w:rsidP="00127AE0">
            <w:pPr>
              <w:spacing w:after="0"/>
              <w:jc w:val="both"/>
              <w:rPr>
                <w:rFonts w:ascii="Arial" w:hAnsi="Arial" w:cs="Arial"/>
                <w:sz w:val="20"/>
                <w:szCs w:val="20"/>
              </w:rPr>
            </w:pPr>
            <w:r w:rsidRPr="005F6187">
              <w:rPr>
                <w:rFonts w:ascii="Arial" w:hAnsi="Arial" w:cs="Arial"/>
                <w:sz w:val="20"/>
                <w:szCs w:val="20"/>
              </w:rPr>
              <w:t>4-7 days;2,3,4,18 months</w:t>
            </w:r>
          </w:p>
        </w:tc>
      </w:tr>
      <w:tr w:rsidR="00B32936" w:rsidRPr="005F6187" w:rsidTr="00127AE0">
        <w:trPr>
          <w:trHeight w:val="250"/>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936" w:rsidRPr="005F6187" w:rsidRDefault="00B32936" w:rsidP="00127AE0">
            <w:pPr>
              <w:spacing w:after="0"/>
              <w:jc w:val="both"/>
              <w:rPr>
                <w:rFonts w:ascii="Arial" w:hAnsi="Arial" w:cs="Arial"/>
                <w:sz w:val="20"/>
                <w:szCs w:val="20"/>
              </w:rPr>
            </w:pPr>
            <w:r w:rsidRPr="005F6187">
              <w:rPr>
                <w:rFonts w:ascii="Arial" w:hAnsi="Arial" w:cs="Arial"/>
                <w:sz w:val="20"/>
                <w:szCs w:val="20"/>
              </w:rPr>
              <w:t>Vitamin A</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936" w:rsidRPr="005F6187" w:rsidRDefault="00B32936" w:rsidP="00127AE0">
            <w:pPr>
              <w:spacing w:after="0"/>
              <w:jc w:val="both"/>
              <w:rPr>
                <w:rFonts w:ascii="Arial" w:hAnsi="Arial" w:cs="Arial"/>
                <w:sz w:val="20"/>
                <w:szCs w:val="20"/>
              </w:rPr>
            </w:pPr>
            <w:r w:rsidRPr="00B07834">
              <w:rPr>
                <w:rFonts w:ascii="Arial" w:hAnsi="Arial" w:cs="Arial"/>
                <w:color w:val="0D0D0D" w:themeColor="text1" w:themeTint="F2"/>
                <w:sz w:val="20"/>
                <w:szCs w:val="20"/>
              </w:rPr>
              <w:t>12, 18 months; 6</w:t>
            </w:r>
            <w:r w:rsidR="00D856F2" w:rsidRPr="00B07834">
              <w:rPr>
                <w:rFonts w:ascii="Arial" w:hAnsi="Arial" w:cs="Arial"/>
                <w:color w:val="0D0D0D" w:themeColor="text1" w:themeTint="F2"/>
                <w:sz w:val="20"/>
                <w:szCs w:val="20"/>
              </w:rPr>
              <w:t xml:space="preserve"> </w:t>
            </w:r>
            <w:r w:rsidRPr="00B07834">
              <w:rPr>
                <w:rFonts w:ascii="Arial" w:hAnsi="Arial" w:cs="Arial"/>
                <w:color w:val="0D0D0D" w:themeColor="text1" w:themeTint="F2"/>
                <w:sz w:val="20"/>
                <w:szCs w:val="20"/>
              </w:rPr>
              <w:t>years</w:t>
            </w:r>
          </w:p>
        </w:tc>
      </w:tr>
    </w:tbl>
    <w:p w:rsidR="00B32936" w:rsidRDefault="00B32936" w:rsidP="00B32936">
      <w:pPr>
        <w:tabs>
          <w:tab w:val="left" w:pos="720"/>
          <w:tab w:val="left" w:pos="1440"/>
          <w:tab w:val="left" w:pos="2160"/>
          <w:tab w:val="left" w:pos="2880"/>
          <w:tab w:val="left" w:pos="3600"/>
          <w:tab w:val="left" w:pos="4320"/>
          <w:tab w:val="left" w:pos="5108"/>
        </w:tabs>
        <w:jc w:val="both"/>
        <w:rPr>
          <w:rFonts w:ascii="Arial" w:hAnsi="Arial" w:cs="Arial"/>
          <w:color w:val="FF0000"/>
          <w:sz w:val="24"/>
          <w:szCs w:val="24"/>
        </w:rPr>
      </w:pPr>
    </w:p>
    <w:p w:rsidR="00D856F2" w:rsidRPr="00D856F2" w:rsidRDefault="00D856F2" w:rsidP="00D856F2">
      <w:pPr>
        <w:tabs>
          <w:tab w:val="left" w:pos="720"/>
          <w:tab w:val="left" w:pos="1440"/>
          <w:tab w:val="left" w:pos="2160"/>
          <w:tab w:val="left" w:pos="2880"/>
          <w:tab w:val="left" w:pos="3600"/>
          <w:tab w:val="left" w:pos="4320"/>
          <w:tab w:val="left" w:pos="5108"/>
        </w:tabs>
        <w:jc w:val="both"/>
        <w:rPr>
          <w:rFonts w:ascii="Arial" w:hAnsi="Arial" w:cs="Arial"/>
          <w:color w:val="0D0D0D" w:themeColor="text1" w:themeTint="F2"/>
          <w:sz w:val="20"/>
          <w:szCs w:val="20"/>
        </w:rPr>
      </w:pPr>
      <w:r w:rsidRPr="00D856F2">
        <w:rPr>
          <w:rFonts w:ascii="Arial" w:hAnsi="Arial" w:cs="Arial"/>
          <w:color w:val="0D0D0D" w:themeColor="text1" w:themeTint="F2"/>
          <w:sz w:val="20"/>
          <w:szCs w:val="20"/>
        </w:rPr>
        <w:t xml:space="preserve">1.4 </w:t>
      </w:r>
      <w:r w:rsidR="00FA4F3E">
        <w:rPr>
          <w:rFonts w:ascii="Arial" w:hAnsi="Arial" w:cs="Arial"/>
          <w:color w:val="0D0D0D" w:themeColor="text1" w:themeTint="F2"/>
          <w:sz w:val="20"/>
          <w:szCs w:val="20"/>
        </w:rPr>
        <w:t>New vaccine introduction d</w:t>
      </w:r>
      <w:r w:rsidRPr="00D856F2">
        <w:rPr>
          <w:rFonts w:ascii="Arial" w:hAnsi="Arial" w:cs="Arial"/>
          <w:color w:val="0D0D0D" w:themeColor="text1" w:themeTint="F2"/>
          <w:sz w:val="20"/>
          <w:szCs w:val="20"/>
        </w:rPr>
        <w:t>ecision making process</w:t>
      </w:r>
    </w:p>
    <w:p w:rsidR="00D856F2" w:rsidRDefault="00D856F2" w:rsidP="00D856F2">
      <w:pPr>
        <w:tabs>
          <w:tab w:val="left" w:pos="720"/>
          <w:tab w:val="left" w:pos="1440"/>
          <w:tab w:val="left" w:pos="2160"/>
          <w:tab w:val="left" w:pos="2880"/>
          <w:tab w:val="left" w:pos="3600"/>
          <w:tab w:val="left" w:pos="4320"/>
          <w:tab w:val="left" w:pos="5108"/>
        </w:tabs>
        <w:jc w:val="both"/>
        <w:rPr>
          <w:rFonts w:ascii="Arial" w:hAnsi="Arial" w:cs="Arial"/>
          <w:color w:val="0D0D0D" w:themeColor="text1" w:themeTint="F2"/>
          <w:sz w:val="20"/>
          <w:szCs w:val="20"/>
        </w:rPr>
      </w:pPr>
      <w:r w:rsidRPr="00D856F2">
        <w:rPr>
          <w:rFonts w:ascii="Arial" w:hAnsi="Arial" w:cs="Arial"/>
          <w:color w:val="0D0D0D" w:themeColor="text1" w:themeTint="F2"/>
          <w:sz w:val="20"/>
          <w:szCs w:val="20"/>
        </w:rPr>
        <w:t xml:space="preserve">During 2009- early 2013  for introduction of new vaccine the Ministry of Health conducted several consultations with chief experts from panel and  ICC meetings to discuss with partners and make final decision. Upon </w:t>
      </w:r>
      <w:proofErr w:type="gramStart"/>
      <w:r w:rsidRPr="00D856F2">
        <w:rPr>
          <w:rFonts w:ascii="Arial" w:hAnsi="Arial" w:cs="Arial"/>
          <w:color w:val="0D0D0D" w:themeColor="text1" w:themeTint="F2"/>
          <w:sz w:val="20"/>
          <w:szCs w:val="20"/>
        </w:rPr>
        <w:t>WHO</w:t>
      </w:r>
      <w:proofErr w:type="gramEnd"/>
      <w:r w:rsidRPr="00D856F2">
        <w:rPr>
          <w:rFonts w:ascii="Arial" w:hAnsi="Arial" w:cs="Arial"/>
          <w:color w:val="0D0D0D" w:themeColor="text1" w:themeTint="F2"/>
          <w:sz w:val="20"/>
          <w:szCs w:val="20"/>
        </w:rPr>
        <w:t xml:space="preserve"> recommendations National Immunization Technical Advisory Group has been established and formally approved by the Ministry of Health order N 103 dated 04.10.2013. NITAG chaired by chief pediatrician of the Ministry of Health and it includes virology, microbiology, epidemiology, pharmacology, neurology and infectious diseases experts. Close collaboration with WHO ETAGE, ECDC technical experts groups as well as sharing experience with NITAGs from other countries are considered as key  strategies for Azerbaijan NITAG development.</w:t>
      </w:r>
    </w:p>
    <w:p w:rsidR="00C674DA" w:rsidRDefault="00D856F2" w:rsidP="00D856F2">
      <w:pPr>
        <w:tabs>
          <w:tab w:val="left" w:pos="720"/>
          <w:tab w:val="left" w:pos="1440"/>
          <w:tab w:val="left" w:pos="2160"/>
          <w:tab w:val="left" w:pos="2880"/>
          <w:tab w:val="left" w:pos="3600"/>
          <w:tab w:val="left" w:pos="4320"/>
          <w:tab w:val="left" w:pos="5108"/>
        </w:tabs>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The Ministry of Health has initiated decision making process on IPV introduction upon </w:t>
      </w:r>
      <w:r w:rsidR="001613EC">
        <w:rPr>
          <w:rFonts w:ascii="Arial" w:hAnsi="Arial" w:cs="Arial"/>
          <w:color w:val="0D0D0D" w:themeColor="text1" w:themeTint="F2"/>
          <w:sz w:val="20"/>
          <w:szCs w:val="20"/>
        </w:rPr>
        <w:t>endorsement of “</w:t>
      </w:r>
      <w:r w:rsidR="001613EC" w:rsidRPr="001613EC">
        <w:rPr>
          <w:rFonts w:ascii="Arial" w:hAnsi="Arial" w:cs="Arial"/>
          <w:color w:val="0D0D0D" w:themeColor="text1" w:themeTint="F2"/>
          <w:sz w:val="20"/>
          <w:szCs w:val="20"/>
        </w:rPr>
        <w:t>Polio Eradication and Endgame Strategic Plan 2013-2018</w:t>
      </w:r>
      <w:r w:rsidR="001613EC">
        <w:rPr>
          <w:rFonts w:ascii="Arial" w:hAnsi="Arial" w:cs="Arial"/>
          <w:color w:val="0D0D0D" w:themeColor="text1" w:themeTint="F2"/>
          <w:sz w:val="20"/>
          <w:szCs w:val="20"/>
        </w:rPr>
        <w:t xml:space="preserve">” by WHO Executive Board and based on </w:t>
      </w:r>
      <w:r>
        <w:rPr>
          <w:rFonts w:ascii="Arial" w:hAnsi="Arial" w:cs="Arial"/>
          <w:color w:val="0D0D0D" w:themeColor="text1" w:themeTint="F2"/>
          <w:sz w:val="20"/>
          <w:szCs w:val="20"/>
        </w:rPr>
        <w:t xml:space="preserve">WHO EURO letter </w:t>
      </w:r>
      <w:r w:rsidR="00C8759B">
        <w:rPr>
          <w:rFonts w:ascii="Arial" w:hAnsi="Arial" w:cs="Arial"/>
          <w:color w:val="0D0D0D" w:themeColor="text1" w:themeTint="F2"/>
          <w:sz w:val="20"/>
          <w:szCs w:val="20"/>
        </w:rPr>
        <w:t>from August 2013, with information on global efforts in introduction IPV vaccine and</w:t>
      </w:r>
      <w:r w:rsidR="00556BD0">
        <w:rPr>
          <w:rFonts w:ascii="Arial" w:hAnsi="Arial" w:cs="Arial"/>
          <w:color w:val="0D0D0D" w:themeColor="text1" w:themeTint="F2"/>
          <w:sz w:val="20"/>
          <w:szCs w:val="20"/>
        </w:rPr>
        <w:t xml:space="preserve"> </w:t>
      </w:r>
      <w:r w:rsidR="00C8759B">
        <w:rPr>
          <w:rFonts w:ascii="Arial" w:hAnsi="Arial" w:cs="Arial"/>
          <w:color w:val="0D0D0D" w:themeColor="text1" w:themeTint="F2"/>
          <w:sz w:val="20"/>
          <w:szCs w:val="20"/>
        </w:rPr>
        <w:t xml:space="preserve"> </w:t>
      </w:r>
      <w:r w:rsidR="00556BD0">
        <w:rPr>
          <w:rFonts w:ascii="Arial" w:hAnsi="Arial" w:cs="Arial"/>
          <w:color w:val="0D0D0D" w:themeColor="text1" w:themeTint="F2"/>
          <w:sz w:val="20"/>
          <w:szCs w:val="20"/>
        </w:rPr>
        <w:lastRenderedPageBreak/>
        <w:t>withdraw type 2 OPV. Upon Ministry of Health request to NITAG, chairman and members received briefing from WHO CO and invited to and participated in WHO regional workshops covered IPV introduction</w:t>
      </w:r>
      <w:r w:rsidR="00C674DA">
        <w:rPr>
          <w:rFonts w:ascii="Arial" w:hAnsi="Arial" w:cs="Arial"/>
          <w:color w:val="0D0D0D" w:themeColor="text1" w:themeTint="F2"/>
          <w:sz w:val="20"/>
          <w:szCs w:val="20"/>
        </w:rPr>
        <w:t xml:space="preserve"> in several sessions</w:t>
      </w:r>
      <w:r w:rsidR="00556BD0">
        <w:rPr>
          <w:rFonts w:ascii="Arial" w:hAnsi="Arial" w:cs="Arial"/>
          <w:color w:val="0D0D0D" w:themeColor="text1" w:themeTint="F2"/>
          <w:sz w:val="20"/>
          <w:szCs w:val="20"/>
        </w:rPr>
        <w:t xml:space="preserve">, including </w:t>
      </w:r>
      <w:r w:rsidR="00556BD0" w:rsidRPr="00556BD0">
        <w:rPr>
          <w:rFonts w:ascii="Arial" w:hAnsi="Arial" w:cs="Arial"/>
          <w:color w:val="0D0D0D" w:themeColor="text1" w:themeTint="F2"/>
          <w:sz w:val="20"/>
          <w:szCs w:val="20"/>
        </w:rPr>
        <w:t xml:space="preserve">Program Managers Meeting </w:t>
      </w:r>
      <w:r w:rsidR="00556BD0">
        <w:rPr>
          <w:rFonts w:ascii="Arial" w:hAnsi="Arial" w:cs="Arial"/>
          <w:color w:val="0D0D0D" w:themeColor="text1" w:themeTint="F2"/>
          <w:sz w:val="20"/>
          <w:szCs w:val="20"/>
        </w:rPr>
        <w:t xml:space="preserve">conducted </w:t>
      </w:r>
      <w:r w:rsidR="00556BD0" w:rsidRPr="00556BD0">
        <w:rPr>
          <w:rFonts w:ascii="Arial" w:hAnsi="Arial" w:cs="Arial"/>
          <w:color w:val="0D0D0D" w:themeColor="text1" w:themeTint="F2"/>
          <w:sz w:val="20"/>
          <w:szCs w:val="20"/>
        </w:rPr>
        <w:t xml:space="preserve">in </w:t>
      </w:r>
      <w:r w:rsidR="00556BD0">
        <w:rPr>
          <w:rFonts w:ascii="Arial" w:hAnsi="Arial" w:cs="Arial"/>
          <w:color w:val="0D0D0D" w:themeColor="text1" w:themeTint="F2"/>
          <w:sz w:val="20"/>
          <w:szCs w:val="20"/>
        </w:rPr>
        <w:t>M</w:t>
      </w:r>
      <w:r w:rsidR="00556BD0" w:rsidRPr="00556BD0">
        <w:rPr>
          <w:rFonts w:ascii="Arial" w:hAnsi="Arial" w:cs="Arial"/>
          <w:color w:val="0D0D0D" w:themeColor="text1" w:themeTint="F2"/>
          <w:sz w:val="20"/>
          <w:szCs w:val="20"/>
        </w:rPr>
        <w:t>arch</w:t>
      </w:r>
      <w:r w:rsidR="00556BD0">
        <w:rPr>
          <w:rFonts w:ascii="Arial" w:hAnsi="Arial" w:cs="Arial"/>
          <w:color w:val="0D0D0D" w:themeColor="text1" w:themeTint="F2"/>
          <w:sz w:val="20"/>
          <w:szCs w:val="20"/>
        </w:rPr>
        <w:t xml:space="preserve">, 2014 and </w:t>
      </w:r>
      <w:r w:rsidR="00556BD0" w:rsidRPr="00556BD0">
        <w:rPr>
          <w:rFonts w:ascii="Arial" w:hAnsi="Arial" w:cs="Arial"/>
          <w:color w:val="0D0D0D" w:themeColor="text1" w:themeTint="F2"/>
          <w:sz w:val="20"/>
          <w:szCs w:val="20"/>
        </w:rPr>
        <w:t>EVM assessment planning workshop in May</w:t>
      </w:r>
      <w:r w:rsidR="00556BD0">
        <w:rPr>
          <w:rFonts w:ascii="Arial" w:hAnsi="Arial" w:cs="Arial"/>
          <w:color w:val="0D0D0D" w:themeColor="text1" w:themeTint="F2"/>
          <w:sz w:val="20"/>
          <w:szCs w:val="20"/>
        </w:rPr>
        <w:t xml:space="preserve"> 2014. </w:t>
      </w:r>
      <w:r w:rsidR="00C674DA">
        <w:rPr>
          <w:rFonts w:ascii="Arial" w:hAnsi="Arial" w:cs="Arial"/>
          <w:color w:val="0D0D0D" w:themeColor="text1" w:themeTint="F2"/>
          <w:sz w:val="20"/>
          <w:szCs w:val="20"/>
        </w:rPr>
        <w:t>NITAG experts as well as EPI manager and NRA also received information and shared their opinion during</w:t>
      </w:r>
      <w:r w:rsidR="00C674DA" w:rsidRPr="00C674DA">
        <w:t xml:space="preserve"> </w:t>
      </w:r>
      <w:r w:rsidR="00C674DA" w:rsidRPr="00C674DA">
        <w:rPr>
          <w:rFonts w:ascii="Arial" w:hAnsi="Arial" w:cs="Arial"/>
          <w:color w:val="0D0D0D" w:themeColor="text1" w:themeTint="F2"/>
          <w:sz w:val="20"/>
          <w:szCs w:val="20"/>
        </w:rPr>
        <w:t xml:space="preserve">in-country needs assessment mission in </w:t>
      </w:r>
      <w:r w:rsidR="00C674DA">
        <w:rPr>
          <w:rFonts w:ascii="Arial" w:hAnsi="Arial" w:cs="Arial"/>
          <w:color w:val="0D0D0D" w:themeColor="text1" w:themeTint="F2"/>
          <w:sz w:val="20"/>
          <w:szCs w:val="20"/>
        </w:rPr>
        <w:t>April 2014.</w:t>
      </w:r>
    </w:p>
    <w:p w:rsidR="00FA4F3E" w:rsidRDefault="00C674DA" w:rsidP="00D856F2">
      <w:pPr>
        <w:tabs>
          <w:tab w:val="left" w:pos="720"/>
          <w:tab w:val="left" w:pos="1440"/>
          <w:tab w:val="left" w:pos="2160"/>
          <w:tab w:val="left" w:pos="2880"/>
          <w:tab w:val="left" w:pos="3600"/>
          <w:tab w:val="left" w:pos="4320"/>
          <w:tab w:val="left" w:pos="5108"/>
        </w:tabs>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For decision making on IPV introduction, Azerbaijan NITAG has considered </w:t>
      </w:r>
      <w:r w:rsidR="00FA4F3E">
        <w:rPr>
          <w:rFonts w:ascii="Arial" w:hAnsi="Arial" w:cs="Arial"/>
          <w:color w:val="0D0D0D" w:themeColor="text1" w:themeTint="F2"/>
          <w:sz w:val="20"/>
          <w:szCs w:val="20"/>
        </w:rPr>
        <w:t xml:space="preserve">epidemiological data, immunization program performance, available vaccine products and their licensing, </w:t>
      </w:r>
      <w:r w:rsidR="001A231F">
        <w:rPr>
          <w:rFonts w:ascii="Arial" w:hAnsi="Arial" w:cs="Arial"/>
          <w:color w:val="0D0D0D" w:themeColor="text1" w:themeTint="F2"/>
          <w:sz w:val="20"/>
          <w:szCs w:val="20"/>
        </w:rPr>
        <w:t xml:space="preserve">exist IPV vaccination experience, </w:t>
      </w:r>
      <w:r w:rsidR="00FA4F3E">
        <w:rPr>
          <w:rFonts w:ascii="Arial" w:hAnsi="Arial" w:cs="Arial"/>
          <w:color w:val="0D0D0D" w:themeColor="text1" w:themeTint="F2"/>
          <w:sz w:val="20"/>
          <w:szCs w:val="20"/>
        </w:rPr>
        <w:t xml:space="preserve">operational issues, </w:t>
      </w:r>
      <w:r w:rsidR="001A231F">
        <w:rPr>
          <w:rFonts w:ascii="Arial" w:hAnsi="Arial" w:cs="Arial"/>
          <w:color w:val="0D0D0D" w:themeColor="text1" w:themeTint="F2"/>
          <w:sz w:val="20"/>
          <w:szCs w:val="20"/>
        </w:rPr>
        <w:t>cost implications and exist financial support opportunities. Immunization staff at WHO CO level has supported to NITAG decision making process by providing required documents as well as participation in NITAG meeting for additional clarifications &amp; information. Particularly following documents and data ha</w:t>
      </w:r>
      <w:r w:rsidR="00993A3C">
        <w:rPr>
          <w:rFonts w:ascii="Arial" w:hAnsi="Arial" w:cs="Arial"/>
          <w:color w:val="0D0D0D" w:themeColor="text1" w:themeTint="F2"/>
          <w:sz w:val="20"/>
          <w:szCs w:val="20"/>
        </w:rPr>
        <w:t>ve</w:t>
      </w:r>
      <w:r w:rsidR="001A231F">
        <w:rPr>
          <w:rFonts w:ascii="Arial" w:hAnsi="Arial" w:cs="Arial"/>
          <w:color w:val="0D0D0D" w:themeColor="text1" w:themeTint="F2"/>
          <w:sz w:val="20"/>
          <w:szCs w:val="20"/>
        </w:rPr>
        <w:t xml:space="preserve"> reviewed by NITAG</w:t>
      </w:r>
      <w:r w:rsidR="00993A3C">
        <w:rPr>
          <w:rFonts w:ascii="Arial" w:hAnsi="Arial" w:cs="Arial"/>
          <w:color w:val="0D0D0D" w:themeColor="text1" w:themeTint="F2"/>
          <w:sz w:val="20"/>
          <w:szCs w:val="20"/>
        </w:rPr>
        <w:t xml:space="preserve"> prior to final decision</w:t>
      </w:r>
      <w:r w:rsidR="001A231F">
        <w:rPr>
          <w:rFonts w:ascii="Arial" w:hAnsi="Arial" w:cs="Arial"/>
          <w:color w:val="0D0D0D" w:themeColor="text1" w:themeTint="F2"/>
          <w:sz w:val="20"/>
          <w:szCs w:val="20"/>
        </w:rPr>
        <w:t>:</w:t>
      </w:r>
    </w:p>
    <w:p w:rsidR="001A231F" w:rsidRDefault="001A231F" w:rsidP="001A231F">
      <w:pPr>
        <w:pStyle w:val="ListParagraph"/>
        <w:numPr>
          <w:ilvl w:val="0"/>
          <w:numId w:val="11"/>
        </w:numPr>
        <w:tabs>
          <w:tab w:val="left" w:pos="720"/>
          <w:tab w:val="left" w:pos="1440"/>
          <w:tab w:val="left" w:pos="2160"/>
          <w:tab w:val="left" w:pos="2880"/>
          <w:tab w:val="left" w:pos="3600"/>
          <w:tab w:val="left" w:pos="4320"/>
          <w:tab w:val="left" w:pos="5108"/>
        </w:tabs>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Summary of </w:t>
      </w:r>
      <w:r w:rsidRPr="001A231F">
        <w:rPr>
          <w:rFonts w:ascii="Arial" w:hAnsi="Arial" w:cs="Arial"/>
          <w:color w:val="0D0D0D" w:themeColor="text1" w:themeTint="F2"/>
          <w:sz w:val="20"/>
          <w:szCs w:val="20"/>
        </w:rPr>
        <w:t>“Polio Eradication and Endgame Strategic Plan 2013-2018”</w:t>
      </w:r>
      <w:r>
        <w:rPr>
          <w:rFonts w:ascii="Arial" w:hAnsi="Arial" w:cs="Arial"/>
          <w:color w:val="0D0D0D" w:themeColor="text1" w:themeTint="F2"/>
          <w:sz w:val="20"/>
          <w:szCs w:val="20"/>
        </w:rPr>
        <w:t xml:space="preserve"> </w:t>
      </w:r>
    </w:p>
    <w:p w:rsidR="001A231F" w:rsidRDefault="00FA4F3E" w:rsidP="001A231F">
      <w:pPr>
        <w:pStyle w:val="ListParagraph"/>
        <w:numPr>
          <w:ilvl w:val="0"/>
          <w:numId w:val="11"/>
        </w:numPr>
        <w:tabs>
          <w:tab w:val="left" w:pos="720"/>
          <w:tab w:val="left" w:pos="1440"/>
          <w:tab w:val="left" w:pos="2160"/>
          <w:tab w:val="left" w:pos="2880"/>
          <w:tab w:val="left" w:pos="3600"/>
          <w:tab w:val="left" w:pos="4320"/>
          <w:tab w:val="left" w:pos="5108"/>
        </w:tabs>
        <w:jc w:val="both"/>
        <w:rPr>
          <w:rFonts w:ascii="Arial" w:hAnsi="Arial" w:cs="Arial"/>
          <w:color w:val="0D0D0D" w:themeColor="text1" w:themeTint="F2"/>
          <w:sz w:val="20"/>
          <w:szCs w:val="20"/>
        </w:rPr>
      </w:pPr>
      <w:r w:rsidRPr="001A231F">
        <w:rPr>
          <w:rFonts w:ascii="Arial" w:hAnsi="Arial" w:cs="Arial"/>
          <w:color w:val="0D0D0D" w:themeColor="text1" w:themeTint="F2"/>
          <w:sz w:val="20"/>
          <w:szCs w:val="20"/>
        </w:rPr>
        <w:t xml:space="preserve">WHO </w:t>
      </w:r>
      <w:r w:rsidR="001A231F">
        <w:rPr>
          <w:rFonts w:ascii="Arial" w:hAnsi="Arial" w:cs="Arial"/>
          <w:color w:val="0D0D0D" w:themeColor="text1" w:themeTint="F2"/>
          <w:sz w:val="20"/>
          <w:szCs w:val="20"/>
        </w:rPr>
        <w:t xml:space="preserve">Position Paper on polio vaccines, </w:t>
      </w:r>
      <w:proofErr w:type="spellStart"/>
      <w:r w:rsidR="001A231F">
        <w:rPr>
          <w:rFonts w:ascii="Arial" w:hAnsi="Arial" w:cs="Arial"/>
          <w:color w:val="0D0D0D" w:themeColor="text1" w:themeTint="F2"/>
          <w:sz w:val="20"/>
          <w:szCs w:val="20"/>
        </w:rPr>
        <w:t>dd</w:t>
      </w:r>
      <w:proofErr w:type="spellEnd"/>
      <w:r w:rsidR="001A231F">
        <w:rPr>
          <w:rFonts w:ascii="Arial" w:hAnsi="Arial" w:cs="Arial"/>
          <w:color w:val="0D0D0D" w:themeColor="text1" w:themeTint="F2"/>
          <w:sz w:val="20"/>
          <w:szCs w:val="20"/>
        </w:rPr>
        <w:t xml:space="preserve"> January 2014, published February 2014</w:t>
      </w:r>
    </w:p>
    <w:p w:rsidR="00993A3C" w:rsidRPr="00993A3C" w:rsidRDefault="00FA4F3E" w:rsidP="00993A3C">
      <w:pPr>
        <w:pStyle w:val="ListParagraph"/>
        <w:numPr>
          <w:ilvl w:val="0"/>
          <w:numId w:val="11"/>
        </w:numPr>
        <w:tabs>
          <w:tab w:val="left" w:pos="720"/>
          <w:tab w:val="left" w:pos="1440"/>
          <w:tab w:val="left" w:pos="2160"/>
          <w:tab w:val="left" w:pos="2880"/>
          <w:tab w:val="left" w:pos="3600"/>
          <w:tab w:val="left" w:pos="4320"/>
          <w:tab w:val="left" w:pos="5108"/>
        </w:tabs>
        <w:jc w:val="both"/>
        <w:rPr>
          <w:rFonts w:ascii="Arial" w:hAnsi="Arial" w:cs="Arial"/>
          <w:color w:val="0D0D0D" w:themeColor="text1" w:themeTint="F2"/>
          <w:sz w:val="20"/>
          <w:szCs w:val="20"/>
        </w:rPr>
      </w:pPr>
      <w:r w:rsidRPr="001A231F">
        <w:rPr>
          <w:rFonts w:ascii="Arial" w:hAnsi="Arial" w:cs="Arial"/>
          <w:color w:val="0D0D0D" w:themeColor="text1" w:themeTint="F2"/>
          <w:sz w:val="20"/>
          <w:szCs w:val="20"/>
        </w:rPr>
        <w:t xml:space="preserve">WHO list of prequalified </w:t>
      </w:r>
      <w:r w:rsidR="001A231F">
        <w:rPr>
          <w:rFonts w:ascii="Arial" w:hAnsi="Arial" w:cs="Arial"/>
          <w:color w:val="0D0D0D" w:themeColor="text1" w:themeTint="F2"/>
          <w:sz w:val="20"/>
          <w:szCs w:val="20"/>
        </w:rPr>
        <w:t xml:space="preserve">IPV </w:t>
      </w:r>
      <w:r w:rsidRPr="001A231F">
        <w:rPr>
          <w:rFonts w:ascii="Arial" w:hAnsi="Arial" w:cs="Arial"/>
          <w:color w:val="0D0D0D" w:themeColor="text1" w:themeTint="F2"/>
          <w:sz w:val="20"/>
          <w:szCs w:val="20"/>
        </w:rPr>
        <w:t xml:space="preserve">products </w:t>
      </w:r>
    </w:p>
    <w:p w:rsidR="00993A3C" w:rsidRDefault="001A231F" w:rsidP="00993A3C">
      <w:pPr>
        <w:pStyle w:val="ListParagraph"/>
        <w:numPr>
          <w:ilvl w:val="0"/>
          <w:numId w:val="11"/>
        </w:numPr>
        <w:tabs>
          <w:tab w:val="left" w:pos="720"/>
          <w:tab w:val="left" w:pos="1440"/>
          <w:tab w:val="left" w:pos="2160"/>
          <w:tab w:val="left" w:pos="2880"/>
          <w:tab w:val="left" w:pos="3600"/>
          <w:tab w:val="left" w:pos="4320"/>
          <w:tab w:val="left" w:pos="5108"/>
        </w:tabs>
        <w:jc w:val="both"/>
        <w:rPr>
          <w:rFonts w:ascii="Arial" w:hAnsi="Arial" w:cs="Arial"/>
          <w:color w:val="0D0D0D" w:themeColor="text1" w:themeTint="F2"/>
          <w:sz w:val="20"/>
          <w:szCs w:val="20"/>
        </w:rPr>
      </w:pPr>
      <w:r>
        <w:rPr>
          <w:rFonts w:ascii="Arial" w:hAnsi="Arial" w:cs="Arial"/>
          <w:color w:val="0D0D0D" w:themeColor="text1" w:themeTint="F2"/>
          <w:sz w:val="20"/>
          <w:szCs w:val="20"/>
        </w:rPr>
        <w:t>Country annual updates on polio free status maintenance for last 3 years</w:t>
      </w:r>
      <w:r w:rsidR="00993A3C" w:rsidRPr="00993A3C">
        <w:rPr>
          <w:rFonts w:ascii="Arial" w:hAnsi="Arial" w:cs="Arial"/>
          <w:color w:val="0D0D0D" w:themeColor="text1" w:themeTint="F2"/>
          <w:sz w:val="20"/>
          <w:szCs w:val="20"/>
        </w:rPr>
        <w:t xml:space="preserve"> </w:t>
      </w:r>
    </w:p>
    <w:p w:rsidR="00993A3C" w:rsidRDefault="00993A3C" w:rsidP="00993A3C">
      <w:pPr>
        <w:pStyle w:val="ListParagraph"/>
        <w:numPr>
          <w:ilvl w:val="0"/>
          <w:numId w:val="11"/>
        </w:numPr>
        <w:tabs>
          <w:tab w:val="left" w:pos="720"/>
          <w:tab w:val="left" w:pos="1440"/>
          <w:tab w:val="left" w:pos="2160"/>
          <w:tab w:val="left" w:pos="2880"/>
          <w:tab w:val="left" w:pos="3600"/>
          <w:tab w:val="left" w:pos="4320"/>
          <w:tab w:val="left" w:pos="5108"/>
        </w:tabs>
        <w:jc w:val="both"/>
        <w:rPr>
          <w:rFonts w:ascii="Arial" w:hAnsi="Arial" w:cs="Arial"/>
          <w:color w:val="0D0D0D" w:themeColor="text1" w:themeTint="F2"/>
          <w:sz w:val="20"/>
          <w:szCs w:val="20"/>
        </w:rPr>
      </w:pPr>
      <w:r>
        <w:rPr>
          <w:rFonts w:ascii="Arial" w:hAnsi="Arial" w:cs="Arial"/>
          <w:color w:val="0D0D0D" w:themeColor="text1" w:themeTint="F2"/>
          <w:sz w:val="20"/>
          <w:szCs w:val="20"/>
        </w:rPr>
        <w:t>RCC reports – summary for last 3 years</w:t>
      </w:r>
    </w:p>
    <w:p w:rsidR="001A231F" w:rsidRDefault="00993A3C" w:rsidP="001A231F">
      <w:pPr>
        <w:pStyle w:val="ListParagraph"/>
        <w:numPr>
          <w:ilvl w:val="0"/>
          <w:numId w:val="11"/>
        </w:numPr>
        <w:tabs>
          <w:tab w:val="left" w:pos="720"/>
          <w:tab w:val="left" w:pos="1440"/>
          <w:tab w:val="left" w:pos="2160"/>
          <w:tab w:val="left" w:pos="2880"/>
          <w:tab w:val="left" w:pos="3600"/>
          <w:tab w:val="left" w:pos="4320"/>
          <w:tab w:val="left" w:pos="5108"/>
        </w:tabs>
        <w:jc w:val="both"/>
        <w:rPr>
          <w:rFonts w:ascii="Arial" w:hAnsi="Arial" w:cs="Arial"/>
          <w:color w:val="0D0D0D" w:themeColor="text1" w:themeTint="F2"/>
          <w:sz w:val="20"/>
          <w:szCs w:val="20"/>
        </w:rPr>
      </w:pPr>
      <w:r>
        <w:rPr>
          <w:rFonts w:ascii="Arial" w:hAnsi="Arial" w:cs="Arial"/>
          <w:color w:val="0D0D0D" w:themeColor="text1" w:themeTint="F2"/>
          <w:sz w:val="20"/>
          <w:szCs w:val="20"/>
        </w:rPr>
        <w:t>WHO global updates on polio- summary for last 3 years</w:t>
      </w:r>
    </w:p>
    <w:p w:rsidR="001A231F" w:rsidRDefault="00993A3C" w:rsidP="001A231F">
      <w:pPr>
        <w:pStyle w:val="ListParagraph"/>
        <w:numPr>
          <w:ilvl w:val="0"/>
          <w:numId w:val="11"/>
        </w:numPr>
        <w:tabs>
          <w:tab w:val="left" w:pos="720"/>
          <w:tab w:val="left" w:pos="1440"/>
          <w:tab w:val="left" w:pos="2160"/>
          <w:tab w:val="left" w:pos="2880"/>
          <w:tab w:val="left" w:pos="3600"/>
          <w:tab w:val="left" w:pos="4320"/>
          <w:tab w:val="left" w:pos="5108"/>
        </w:tabs>
        <w:jc w:val="both"/>
        <w:rPr>
          <w:rFonts w:ascii="Arial" w:hAnsi="Arial" w:cs="Arial"/>
          <w:color w:val="0D0D0D" w:themeColor="text1" w:themeTint="F2"/>
          <w:sz w:val="20"/>
          <w:szCs w:val="20"/>
        </w:rPr>
      </w:pPr>
      <w:r>
        <w:rPr>
          <w:rFonts w:ascii="Arial" w:hAnsi="Arial" w:cs="Arial"/>
          <w:color w:val="0D0D0D" w:themeColor="text1" w:themeTint="F2"/>
          <w:sz w:val="20"/>
          <w:szCs w:val="20"/>
        </w:rPr>
        <w:t>Azerbaijan EPI reported vaccination coverage for last 3 years</w:t>
      </w:r>
    </w:p>
    <w:p w:rsidR="00993A3C" w:rsidRDefault="00993A3C" w:rsidP="001A231F">
      <w:pPr>
        <w:pStyle w:val="ListParagraph"/>
        <w:numPr>
          <w:ilvl w:val="0"/>
          <w:numId w:val="11"/>
        </w:numPr>
        <w:tabs>
          <w:tab w:val="left" w:pos="720"/>
          <w:tab w:val="left" w:pos="1440"/>
          <w:tab w:val="left" w:pos="2160"/>
          <w:tab w:val="left" w:pos="2880"/>
          <w:tab w:val="left" w:pos="3600"/>
          <w:tab w:val="left" w:pos="4320"/>
          <w:tab w:val="left" w:pos="5108"/>
        </w:tabs>
        <w:jc w:val="both"/>
        <w:rPr>
          <w:rFonts w:ascii="Arial" w:hAnsi="Arial" w:cs="Arial"/>
          <w:color w:val="0D0D0D" w:themeColor="text1" w:themeTint="F2"/>
          <w:sz w:val="20"/>
          <w:szCs w:val="20"/>
        </w:rPr>
      </w:pPr>
      <w:r>
        <w:rPr>
          <w:rFonts w:ascii="Arial" w:hAnsi="Arial" w:cs="Arial"/>
          <w:color w:val="0D0D0D" w:themeColor="text1" w:themeTint="F2"/>
          <w:sz w:val="20"/>
          <w:szCs w:val="20"/>
        </w:rPr>
        <w:t>DHS report 2014- summary tables on EPI vaccine coverage</w:t>
      </w:r>
    </w:p>
    <w:p w:rsidR="00993A3C" w:rsidRDefault="00993A3C" w:rsidP="001A231F">
      <w:pPr>
        <w:pStyle w:val="ListParagraph"/>
        <w:numPr>
          <w:ilvl w:val="0"/>
          <w:numId w:val="11"/>
        </w:numPr>
        <w:tabs>
          <w:tab w:val="left" w:pos="720"/>
          <w:tab w:val="left" w:pos="1440"/>
          <w:tab w:val="left" w:pos="2160"/>
          <w:tab w:val="left" w:pos="2880"/>
          <w:tab w:val="left" w:pos="3600"/>
          <w:tab w:val="left" w:pos="4320"/>
          <w:tab w:val="left" w:pos="5108"/>
        </w:tabs>
        <w:jc w:val="both"/>
        <w:rPr>
          <w:rFonts w:ascii="Arial" w:hAnsi="Arial" w:cs="Arial"/>
          <w:color w:val="0D0D0D" w:themeColor="text1" w:themeTint="F2"/>
          <w:sz w:val="20"/>
          <w:szCs w:val="20"/>
        </w:rPr>
      </w:pPr>
      <w:r>
        <w:rPr>
          <w:rFonts w:ascii="Arial" w:hAnsi="Arial" w:cs="Arial"/>
          <w:color w:val="0D0D0D" w:themeColor="text1" w:themeTint="F2"/>
          <w:sz w:val="20"/>
          <w:szCs w:val="20"/>
        </w:rPr>
        <w:t>WHO- UNICEF coverage estimates for Azerbaijan for last 3 years</w:t>
      </w:r>
    </w:p>
    <w:p w:rsidR="00993A3C" w:rsidRDefault="00993A3C" w:rsidP="001A231F">
      <w:pPr>
        <w:pStyle w:val="ListParagraph"/>
        <w:numPr>
          <w:ilvl w:val="0"/>
          <w:numId w:val="11"/>
        </w:numPr>
        <w:tabs>
          <w:tab w:val="left" w:pos="720"/>
          <w:tab w:val="left" w:pos="1440"/>
          <w:tab w:val="left" w:pos="2160"/>
          <w:tab w:val="left" w:pos="2880"/>
          <w:tab w:val="left" w:pos="3600"/>
          <w:tab w:val="left" w:pos="4320"/>
          <w:tab w:val="left" w:pos="5108"/>
        </w:tabs>
        <w:jc w:val="both"/>
        <w:rPr>
          <w:rFonts w:ascii="Arial" w:hAnsi="Arial" w:cs="Arial"/>
          <w:color w:val="0D0D0D" w:themeColor="text1" w:themeTint="F2"/>
          <w:sz w:val="20"/>
          <w:szCs w:val="20"/>
        </w:rPr>
      </w:pPr>
      <w:r w:rsidRPr="00993A3C">
        <w:rPr>
          <w:rFonts w:ascii="Arial" w:hAnsi="Arial" w:cs="Arial"/>
          <w:color w:val="0D0D0D" w:themeColor="text1" w:themeTint="F2"/>
          <w:sz w:val="20"/>
          <w:szCs w:val="20"/>
        </w:rPr>
        <w:t xml:space="preserve">IPV related  NIS of countries of WHO </w:t>
      </w:r>
      <w:r>
        <w:rPr>
          <w:rFonts w:ascii="Arial" w:hAnsi="Arial" w:cs="Arial"/>
          <w:color w:val="0D0D0D" w:themeColor="text1" w:themeTint="F2"/>
          <w:sz w:val="20"/>
          <w:szCs w:val="20"/>
        </w:rPr>
        <w:t>EURO and</w:t>
      </w:r>
      <w:r w:rsidRPr="00993A3C">
        <w:rPr>
          <w:rFonts w:ascii="Arial" w:hAnsi="Arial" w:cs="Arial"/>
          <w:color w:val="0D0D0D" w:themeColor="text1" w:themeTint="F2"/>
          <w:sz w:val="20"/>
          <w:szCs w:val="20"/>
        </w:rPr>
        <w:t xml:space="preserve"> EMRO Regions</w:t>
      </w:r>
      <w:r>
        <w:rPr>
          <w:rFonts w:ascii="Arial" w:hAnsi="Arial" w:cs="Arial"/>
          <w:color w:val="0D0D0D" w:themeColor="text1" w:themeTint="F2"/>
          <w:sz w:val="20"/>
          <w:szCs w:val="20"/>
        </w:rPr>
        <w:t>,</w:t>
      </w:r>
      <w:r w:rsidRPr="00993A3C">
        <w:rPr>
          <w:rFonts w:ascii="Arial" w:hAnsi="Arial" w:cs="Arial"/>
          <w:color w:val="0D0D0D" w:themeColor="text1" w:themeTint="F2"/>
          <w:sz w:val="20"/>
          <w:szCs w:val="20"/>
        </w:rPr>
        <w:t xml:space="preserve"> </w:t>
      </w:r>
      <w:r>
        <w:rPr>
          <w:rFonts w:ascii="Arial" w:hAnsi="Arial" w:cs="Arial"/>
          <w:color w:val="0D0D0D" w:themeColor="text1" w:themeTint="F2"/>
          <w:sz w:val="20"/>
          <w:szCs w:val="20"/>
        </w:rPr>
        <w:t xml:space="preserve">as well as </w:t>
      </w:r>
      <w:r w:rsidRPr="00993A3C">
        <w:rPr>
          <w:rFonts w:ascii="Arial" w:hAnsi="Arial" w:cs="Arial"/>
          <w:color w:val="0D0D0D" w:themeColor="text1" w:themeTint="F2"/>
          <w:sz w:val="20"/>
          <w:szCs w:val="20"/>
        </w:rPr>
        <w:t xml:space="preserve">PAHO </w:t>
      </w:r>
    </w:p>
    <w:p w:rsidR="00FA4F3E" w:rsidRDefault="00993A3C" w:rsidP="001A231F">
      <w:pPr>
        <w:pStyle w:val="ListParagraph"/>
        <w:numPr>
          <w:ilvl w:val="0"/>
          <w:numId w:val="11"/>
        </w:numPr>
        <w:tabs>
          <w:tab w:val="left" w:pos="720"/>
          <w:tab w:val="left" w:pos="1440"/>
          <w:tab w:val="left" w:pos="2160"/>
          <w:tab w:val="left" w:pos="2880"/>
          <w:tab w:val="left" w:pos="3600"/>
          <w:tab w:val="left" w:pos="4320"/>
          <w:tab w:val="left" w:pos="5108"/>
        </w:tabs>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WHO SAGE recent conclusions and recommendations on pertussis vaccines- April 2014 </w:t>
      </w:r>
    </w:p>
    <w:p w:rsidR="00993A3C" w:rsidRDefault="00993A3C" w:rsidP="001A231F">
      <w:pPr>
        <w:pStyle w:val="ListParagraph"/>
        <w:numPr>
          <w:ilvl w:val="0"/>
          <w:numId w:val="11"/>
        </w:numPr>
        <w:tabs>
          <w:tab w:val="left" w:pos="720"/>
          <w:tab w:val="left" w:pos="1440"/>
          <w:tab w:val="left" w:pos="2160"/>
          <w:tab w:val="left" w:pos="2880"/>
          <w:tab w:val="left" w:pos="3600"/>
          <w:tab w:val="left" w:pos="4320"/>
          <w:tab w:val="left" w:pos="5108"/>
        </w:tabs>
        <w:jc w:val="both"/>
        <w:rPr>
          <w:rFonts w:ascii="Arial" w:hAnsi="Arial" w:cs="Arial"/>
          <w:color w:val="0D0D0D" w:themeColor="text1" w:themeTint="F2"/>
          <w:sz w:val="20"/>
          <w:szCs w:val="20"/>
        </w:rPr>
      </w:pPr>
      <w:r>
        <w:rPr>
          <w:rFonts w:ascii="Arial" w:hAnsi="Arial" w:cs="Arial"/>
          <w:color w:val="0D0D0D" w:themeColor="text1" w:themeTint="F2"/>
          <w:sz w:val="20"/>
          <w:szCs w:val="20"/>
        </w:rPr>
        <w:t>Key information on GAVI support to IPV introduction- briefing note from July 2014</w:t>
      </w:r>
    </w:p>
    <w:p w:rsidR="00993A3C" w:rsidRDefault="00045BE0" w:rsidP="001A231F">
      <w:pPr>
        <w:pStyle w:val="ListParagraph"/>
        <w:numPr>
          <w:ilvl w:val="0"/>
          <w:numId w:val="11"/>
        </w:numPr>
        <w:tabs>
          <w:tab w:val="left" w:pos="720"/>
          <w:tab w:val="left" w:pos="1440"/>
          <w:tab w:val="left" w:pos="2160"/>
          <w:tab w:val="left" w:pos="2880"/>
          <w:tab w:val="left" w:pos="3600"/>
          <w:tab w:val="left" w:pos="4320"/>
          <w:tab w:val="left" w:pos="5108"/>
        </w:tabs>
        <w:jc w:val="both"/>
        <w:rPr>
          <w:rFonts w:ascii="Arial" w:hAnsi="Arial" w:cs="Arial"/>
          <w:color w:val="0D0D0D" w:themeColor="text1" w:themeTint="F2"/>
          <w:sz w:val="20"/>
          <w:szCs w:val="20"/>
        </w:rPr>
      </w:pPr>
      <w:r>
        <w:rPr>
          <w:rFonts w:ascii="Arial" w:hAnsi="Arial" w:cs="Arial"/>
          <w:color w:val="0D0D0D" w:themeColor="text1" w:themeTint="F2"/>
          <w:sz w:val="20"/>
          <w:szCs w:val="20"/>
        </w:rPr>
        <w:t>Information on IPV combined vaccines</w:t>
      </w:r>
      <w:r w:rsidR="007340B5">
        <w:rPr>
          <w:rFonts w:ascii="Arial" w:hAnsi="Arial" w:cs="Arial"/>
          <w:color w:val="0D0D0D" w:themeColor="text1" w:themeTint="F2"/>
          <w:sz w:val="20"/>
          <w:szCs w:val="20"/>
        </w:rPr>
        <w:t>’</w:t>
      </w:r>
      <w:r>
        <w:rPr>
          <w:rFonts w:ascii="Arial" w:hAnsi="Arial" w:cs="Arial"/>
          <w:color w:val="0D0D0D" w:themeColor="text1" w:themeTint="F2"/>
          <w:sz w:val="20"/>
          <w:szCs w:val="20"/>
        </w:rPr>
        <w:t xml:space="preserve"> prices in open market and registration of these products in Azerbaijan</w:t>
      </w:r>
    </w:p>
    <w:p w:rsidR="007340B5" w:rsidRPr="00993A3C" w:rsidRDefault="007340B5" w:rsidP="001A231F">
      <w:pPr>
        <w:pStyle w:val="ListParagraph"/>
        <w:numPr>
          <w:ilvl w:val="0"/>
          <w:numId w:val="11"/>
        </w:numPr>
        <w:tabs>
          <w:tab w:val="left" w:pos="720"/>
          <w:tab w:val="left" w:pos="1440"/>
          <w:tab w:val="left" w:pos="2160"/>
          <w:tab w:val="left" w:pos="2880"/>
          <w:tab w:val="left" w:pos="3600"/>
          <w:tab w:val="left" w:pos="4320"/>
          <w:tab w:val="left" w:pos="5108"/>
        </w:tabs>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Country multi-dose open vial policy and logistic arrangements of EPI for routine </w:t>
      </w:r>
      <w:r w:rsidR="004F20E6">
        <w:rPr>
          <w:rFonts w:ascii="Arial" w:hAnsi="Arial" w:cs="Arial"/>
          <w:color w:val="0D0D0D" w:themeColor="text1" w:themeTint="F2"/>
          <w:sz w:val="20"/>
          <w:szCs w:val="20"/>
        </w:rPr>
        <w:t>immunization</w:t>
      </w:r>
    </w:p>
    <w:p w:rsidR="00045BE0" w:rsidRDefault="00045BE0" w:rsidP="00D856F2">
      <w:pPr>
        <w:tabs>
          <w:tab w:val="left" w:pos="720"/>
          <w:tab w:val="left" w:pos="1440"/>
          <w:tab w:val="left" w:pos="2160"/>
          <w:tab w:val="left" w:pos="2880"/>
          <w:tab w:val="left" w:pos="3600"/>
          <w:tab w:val="left" w:pos="4320"/>
          <w:tab w:val="left" w:pos="5108"/>
        </w:tabs>
        <w:jc w:val="both"/>
        <w:rPr>
          <w:rFonts w:ascii="Arial" w:hAnsi="Arial" w:cs="Arial"/>
          <w:color w:val="0D0D0D" w:themeColor="text1" w:themeTint="F2"/>
          <w:sz w:val="20"/>
          <w:szCs w:val="20"/>
        </w:rPr>
      </w:pPr>
      <w:r>
        <w:rPr>
          <w:rFonts w:ascii="Arial" w:hAnsi="Arial" w:cs="Arial"/>
          <w:color w:val="0D0D0D" w:themeColor="text1" w:themeTint="F2"/>
          <w:sz w:val="20"/>
          <w:szCs w:val="20"/>
        </w:rPr>
        <w:t>Based on reviewed documents and data, as well as briefing and clarifications provided by WHO during international and in country meetings, NITAG recommended to the Ministry of Health to introduce 1 dose standalone IPV vaccine for single dose vaccination of children at 6 months of age with further switch to 3 dose vaccination schedule by IPV contained combined vaccine starting from 2018, upon WHO prequalification of IPV contained combined vaccines and updated WHO PP on pertussis vaccine.</w:t>
      </w:r>
    </w:p>
    <w:p w:rsidR="00045BE0" w:rsidRDefault="00045BE0" w:rsidP="00D856F2">
      <w:pPr>
        <w:tabs>
          <w:tab w:val="left" w:pos="720"/>
          <w:tab w:val="left" w:pos="1440"/>
          <w:tab w:val="left" w:pos="2160"/>
          <w:tab w:val="left" w:pos="2880"/>
          <w:tab w:val="left" w:pos="3600"/>
          <w:tab w:val="left" w:pos="4320"/>
          <w:tab w:val="left" w:pos="5108"/>
        </w:tabs>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NITAG </w:t>
      </w:r>
      <w:r w:rsidR="007340B5">
        <w:rPr>
          <w:rFonts w:ascii="Arial" w:hAnsi="Arial" w:cs="Arial"/>
          <w:color w:val="0D0D0D" w:themeColor="text1" w:themeTint="F2"/>
          <w:sz w:val="20"/>
          <w:szCs w:val="20"/>
        </w:rPr>
        <w:t>recommendation</w:t>
      </w:r>
      <w:r>
        <w:rPr>
          <w:rFonts w:ascii="Arial" w:hAnsi="Arial" w:cs="Arial"/>
          <w:color w:val="0D0D0D" w:themeColor="text1" w:themeTint="F2"/>
          <w:sz w:val="20"/>
          <w:szCs w:val="20"/>
        </w:rPr>
        <w:t xml:space="preserve"> has been approved by the M</w:t>
      </w:r>
      <w:r w:rsidR="00D65EC9">
        <w:rPr>
          <w:rFonts w:ascii="Arial" w:hAnsi="Arial" w:cs="Arial"/>
          <w:color w:val="0D0D0D" w:themeColor="text1" w:themeTint="F2"/>
          <w:sz w:val="20"/>
          <w:szCs w:val="20"/>
        </w:rPr>
        <w:t>i</w:t>
      </w:r>
      <w:r>
        <w:rPr>
          <w:rFonts w:ascii="Arial" w:hAnsi="Arial" w:cs="Arial"/>
          <w:color w:val="0D0D0D" w:themeColor="text1" w:themeTint="F2"/>
          <w:sz w:val="20"/>
          <w:szCs w:val="20"/>
        </w:rPr>
        <w:t>nistry of Health</w:t>
      </w:r>
      <w:r w:rsidR="007340B5">
        <w:rPr>
          <w:rFonts w:ascii="Arial" w:hAnsi="Arial" w:cs="Arial"/>
          <w:color w:val="0D0D0D" w:themeColor="text1" w:themeTint="F2"/>
          <w:sz w:val="20"/>
          <w:szCs w:val="20"/>
        </w:rPr>
        <w:t>, and IPV introduction was preliminary scheduled to April 2014. R</w:t>
      </w:r>
      <w:r>
        <w:rPr>
          <w:rFonts w:ascii="Arial" w:hAnsi="Arial" w:cs="Arial"/>
          <w:color w:val="0D0D0D" w:themeColor="text1" w:themeTint="F2"/>
          <w:sz w:val="20"/>
          <w:szCs w:val="20"/>
        </w:rPr>
        <w:t xml:space="preserve">elated </w:t>
      </w:r>
      <w:r w:rsidR="00D65EC9">
        <w:rPr>
          <w:rFonts w:ascii="Arial" w:hAnsi="Arial" w:cs="Arial"/>
          <w:color w:val="0D0D0D" w:themeColor="text1" w:themeTint="F2"/>
          <w:sz w:val="20"/>
          <w:szCs w:val="20"/>
        </w:rPr>
        <w:t xml:space="preserve">information provided by country team at </w:t>
      </w:r>
      <w:r w:rsidR="007340B5" w:rsidRPr="007340B5">
        <w:rPr>
          <w:rFonts w:ascii="Arial" w:hAnsi="Arial" w:cs="Arial"/>
          <w:color w:val="0D0D0D" w:themeColor="text1" w:themeTint="F2"/>
          <w:sz w:val="20"/>
          <w:szCs w:val="20"/>
        </w:rPr>
        <w:t xml:space="preserve">IPV introduction implementation workshop </w:t>
      </w:r>
      <w:r w:rsidR="007340B5">
        <w:rPr>
          <w:rFonts w:ascii="Arial" w:hAnsi="Arial" w:cs="Arial"/>
          <w:color w:val="0D0D0D" w:themeColor="text1" w:themeTint="F2"/>
          <w:sz w:val="20"/>
          <w:szCs w:val="20"/>
        </w:rPr>
        <w:t>conducted in</w:t>
      </w:r>
      <w:r w:rsidR="007340B5" w:rsidRPr="007340B5">
        <w:rPr>
          <w:rFonts w:ascii="Arial" w:hAnsi="Arial" w:cs="Arial"/>
          <w:color w:val="0D0D0D" w:themeColor="text1" w:themeTint="F2"/>
          <w:sz w:val="20"/>
          <w:szCs w:val="20"/>
        </w:rPr>
        <w:t xml:space="preserve"> August</w:t>
      </w:r>
      <w:r w:rsidR="007340B5">
        <w:rPr>
          <w:rFonts w:ascii="Arial" w:hAnsi="Arial" w:cs="Arial"/>
          <w:color w:val="0D0D0D" w:themeColor="text1" w:themeTint="F2"/>
          <w:sz w:val="20"/>
          <w:szCs w:val="20"/>
        </w:rPr>
        <w:t xml:space="preserve">, 2014. During workshop based on feedback and latest updates from </w:t>
      </w:r>
      <w:proofErr w:type="gramStart"/>
      <w:r w:rsidR="007340B5">
        <w:rPr>
          <w:rFonts w:ascii="Arial" w:hAnsi="Arial" w:cs="Arial"/>
          <w:color w:val="0D0D0D" w:themeColor="text1" w:themeTint="F2"/>
          <w:sz w:val="20"/>
          <w:szCs w:val="20"/>
        </w:rPr>
        <w:t>WHO</w:t>
      </w:r>
      <w:proofErr w:type="gramEnd"/>
      <w:r w:rsidR="007340B5">
        <w:rPr>
          <w:rFonts w:ascii="Arial" w:hAnsi="Arial" w:cs="Arial"/>
          <w:color w:val="0D0D0D" w:themeColor="text1" w:themeTint="F2"/>
          <w:sz w:val="20"/>
          <w:szCs w:val="20"/>
        </w:rPr>
        <w:t>, UNICEF SD and GAVI Alliance, country team has critically reviewed country plan on IPV vaccine introduction in terms of timeline and single-dose vaccine availability</w:t>
      </w:r>
      <w:r w:rsidR="007340B5" w:rsidRPr="007340B5">
        <w:rPr>
          <w:rFonts w:ascii="Arial" w:hAnsi="Arial" w:cs="Arial"/>
          <w:color w:val="0D0D0D" w:themeColor="text1" w:themeTint="F2"/>
          <w:sz w:val="20"/>
          <w:szCs w:val="20"/>
        </w:rPr>
        <w:t xml:space="preserve"> </w:t>
      </w:r>
      <w:r w:rsidR="007340B5">
        <w:rPr>
          <w:rFonts w:ascii="Arial" w:hAnsi="Arial" w:cs="Arial"/>
          <w:color w:val="0D0D0D" w:themeColor="text1" w:themeTint="F2"/>
          <w:sz w:val="20"/>
          <w:szCs w:val="20"/>
        </w:rPr>
        <w:t xml:space="preserve">and agreed to postpone IPV introduction to July 1, 2014. </w:t>
      </w:r>
      <w:r w:rsidR="00765FEB">
        <w:rPr>
          <w:rFonts w:ascii="Arial" w:hAnsi="Arial" w:cs="Arial"/>
          <w:color w:val="0D0D0D" w:themeColor="text1" w:themeTint="F2"/>
          <w:sz w:val="20"/>
          <w:szCs w:val="20"/>
        </w:rPr>
        <w:t>Related information has been provided to the Ministry of Health and no objection received on IPV introduction in July 1, 2014.</w:t>
      </w:r>
    </w:p>
    <w:p w:rsidR="00AA6EE1" w:rsidRPr="00143A04" w:rsidRDefault="005F6187" w:rsidP="00D0581E">
      <w:pPr>
        <w:pStyle w:val="ListParagraph"/>
        <w:numPr>
          <w:ilvl w:val="0"/>
          <w:numId w:val="4"/>
        </w:numPr>
        <w:tabs>
          <w:tab w:val="left" w:pos="5108"/>
        </w:tabs>
        <w:rPr>
          <w:rFonts w:ascii="Arial" w:hAnsi="Arial" w:cs="Arial"/>
          <w:color w:val="0D0D0D" w:themeColor="text1" w:themeTint="F2"/>
        </w:rPr>
      </w:pPr>
      <w:r w:rsidRPr="00AA6EE1">
        <w:rPr>
          <w:rFonts w:ascii="Arial" w:hAnsi="Arial" w:cs="Arial"/>
          <w:b/>
          <w:color w:val="0D0D0D" w:themeColor="text1" w:themeTint="F2"/>
        </w:rPr>
        <w:t>IPV  introduction</w:t>
      </w:r>
      <w:r w:rsidR="00AA6EE1" w:rsidRPr="00AA6EE1">
        <w:rPr>
          <w:rFonts w:ascii="Arial" w:hAnsi="Arial" w:cs="Arial"/>
          <w:b/>
          <w:color w:val="0D0D0D" w:themeColor="text1" w:themeTint="F2"/>
        </w:rPr>
        <w:t xml:space="preserve"> </w:t>
      </w:r>
      <w:r w:rsidR="00AA6EE1">
        <w:rPr>
          <w:rFonts w:ascii="Arial" w:hAnsi="Arial" w:cs="Arial"/>
          <w:b/>
          <w:color w:val="0D0D0D" w:themeColor="text1" w:themeTint="F2"/>
        </w:rPr>
        <w:t xml:space="preserve">concept </w:t>
      </w:r>
    </w:p>
    <w:p w:rsidR="00D0581E" w:rsidRPr="00AA6EE1" w:rsidRDefault="00AA6EE1" w:rsidP="00AA6EE1">
      <w:pPr>
        <w:pStyle w:val="ListParagraph"/>
        <w:numPr>
          <w:ilvl w:val="1"/>
          <w:numId w:val="14"/>
        </w:numPr>
        <w:tabs>
          <w:tab w:val="left" w:pos="5108"/>
        </w:tabs>
        <w:rPr>
          <w:rFonts w:ascii="Arial" w:hAnsi="Arial" w:cs="Arial"/>
          <w:color w:val="0D0D0D" w:themeColor="text1" w:themeTint="F2"/>
          <w:sz w:val="20"/>
          <w:szCs w:val="20"/>
        </w:rPr>
      </w:pPr>
      <w:r w:rsidRPr="00AA6EE1">
        <w:rPr>
          <w:rFonts w:ascii="Arial" w:hAnsi="Arial" w:cs="Arial"/>
          <w:color w:val="0D0D0D" w:themeColor="text1" w:themeTint="F2"/>
          <w:sz w:val="20"/>
          <w:szCs w:val="20"/>
        </w:rPr>
        <w:t>G</w:t>
      </w:r>
      <w:r w:rsidR="00D0581E" w:rsidRPr="00AA6EE1">
        <w:rPr>
          <w:rFonts w:ascii="Arial" w:hAnsi="Arial" w:cs="Arial"/>
          <w:color w:val="0D0D0D" w:themeColor="text1" w:themeTint="F2"/>
          <w:sz w:val="20"/>
          <w:szCs w:val="20"/>
        </w:rPr>
        <w:t xml:space="preserve">oal, objectives and </w:t>
      </w:r>
      <w:r w:rsidRPr="00AA6EE1">
        <w:rPr>
          <w:rFonts w:ascii="Arial" w:hAnsi="Arial" w:cs="Arial"/>
          <w:color w:val="0D0D0D" w:themeColor="text1" w:themeTint="F2"/>
          <w:sz w:val="20"/>
          <w:szCs w:val="20"/>
        </w:rPr>
        <w:t>indicators</w:t>
      </w:r>
    </w:p>
    <w:p w:rsidR="00AA6EE1" w:rsidRDefault="00A901C7" w:rsidP="00F515B1">
      <w:pPr>
        <w:tabs>
          <w:tab w:val="left" w:pos="3451"/>
        </w:tabs>
        <w:rPr>
          <w:rFonts w:ascii="Arial" w:hAnsi="Arial" w:cs="Arial"/>
          <w:color w:val="0D0D0D" w:themeColor="text1" w:themeTint="F2"/>
          <w:sz w:val="20"/>
          <w:szCs w:val="20"/>
        </w:rPr>
      </w:pPr>
      <w:r w:rsidRPr="00661515">
        <w:rPr>
          <w:rFonts w:ascii="Arial" w:hAnsi="Arial" w:cs="Arial"/>
          <w:color w:val="0D0D0D" w:themeColor="text1" w:themeTint="F2"/>
          <w:sz w:val="20"/>
          <w:szCs w:val="20"/>
        </w:rPr>
        <w:t>The goal</w:t>
      </w:r>
      <w:r w:rsidR="004263B0">
        <w:rPr>
          <w:rFonts w:ascii="Arial" w:hAnsi="Arial" w:cs="Arial"/>
          <w:color w:val="0D0D0D" w:themeColor="text1" w:themeTint="F2"/>
          <w:sz w:val="20"/>
          <w:szCs w:val="20"/>
        </w:rPr>
        <w:t>s</w:t>
      </w:r>
      <w:r w:rsidRPr="00661515">
        <w:rPr>
          <w:rFonts w:ascii="Arial" w:hAnsi="Arial" w:cs="Arial"/>
          <w:color w:val="0D0D0D" w:themeColor="text1" w:themeTint="F2"/>
          <w:sz w:val="20"/>
          <w:szCs w:val="20"/>
        </w:rPr>
        <w:t xml:space="preserve"> of the Min</w:t>
      </w:r>
      <w:r w:rsidR="00AA6EE1">
        <w:rPr>
          <w:rFonts w:ascii="Arial" w:hAnsi="Arial" w:cs="Arial"/>
          <w:color w:val="0D0D0D" w:themeColor="text1" w:themeTint="F2"/>
          <w:sz w:val="20"/>
          <w:szCs w:val="20"/>
        </w:rPr>
        <w:t>istry of Health of Azerbaijan are:</w:t>
      </w:r>
    </w:p>
    <w:p w:rsidR="00350BE2" w:rsidRPr="004263B0" w:rsidRDefault="00AA6EE1" w:rsidP="004263B0">
      <w:pPr>
        <w:pStyle w:val="NoSpacing"/>
        <w:rPr>
          <w:rFonts w:ascii="Arial" w:hAnsi="Arial" w:cs="Arial"/>
          <w:sz w:val="20"/>
          <w:szCs w:val="20"/>
        </w:rPr>
      </w:pPr>
      <w:r w:rsidRPr="004263B0">
        <w:rPr>
          <w:rFonts w:ascii="Arial" w:hAnsi="Arial" w:cs="Arial"/>
          <w:sz w:val="20"/>
          <w:szCs w:val="20"/>
        </w:rPr>
        <w:t>-</w:t>
      </w:r>
      <w:r w:rsidR="00A901C7" w:rsidRPr="004263B0">
        <w:rPr>
          <w:rFonts w:ascii="Arial" w:hAnsi="Arial" w:cs="Arial"/>
          <w:sz w:val="20"/>
          <w:szCs w:val="20"/>
        </w:rPr>
        <w:t xml:space="preserve"> to increase immunity of pop</w:t>
      </w:r>
      <w:r w:rsidRPr="004263B0">
        <w:rPr>
          <w:rFonts w:ascii="Arial" w:hAnsi="Arial" w:cs="Arial"/>
          <w:sz w:val="20"/>
          <w:szCs w:val="20"/>
        </w:rPr>
        <w:t>ulation against polioviruses,</w:t>
      </w:r>
      <w:r w:rsidR="00A901C7" w:rsidRPr="004263B0">
        <w:rPr>
          <w:rFonts w:ascii="Arial" w:hAnsi="Arial" w:cs="Arial"/>
          <w:sz w:val="20"/>
          <w:szCs w:val="20"/>
        </w:rPr>
        <w:t xml:space="preserve"> </w:t>
      </w:r>
      <w:r w:rsidR="00350BE2" w:rsidRPr="004263B0">
        <w:rPr>
          <w:rFonts w:ascii="Arial" w:hAnsi="Arial" w:cs="Arial"/>
          <w:sz w:val="20"/>
          <w:szCs w:val="20"/>
        </w:rPr>
        <w:t xml:space="preserve">reduce risk of after OPV2 is withdrawn globally and fill the immunity gap by priming population against type 2 polio virus </w:t>
      </w:r>
    </w:p>
    <w:p w:rsidR="004263B0" w:rsidRPr="004263B0" w:rsidRDefault="00AA6EE1" w:rsidP="004263B0">
      <w:pPr>
        <w:pStyle w:val="NoSpacing"/>
        <w:rPr>
          <w:rFonts w:ascii="Arial" w:hAnsi="Arial" w:cs="Arial"/>
          <w:sz w:val="20"/>
          <w:szCs w:val="20"/>
        </w:rPr>
      </w:pPr>
      <w:r w:rsidRPr="004263B0">
        <w:rPr>
          <w:rFonts w:ascii="Arial" w:hAnsi="Arial" w:cs="Arial"/>
          <w:sz w:val="20"/>
          <w:szCs w:val="20"/>
        </w:rPr>
        <w:lastRenderedPageBreak/>
        <w:t xml:space="preserve">- </w:t>
      </w:r>
      <w:proofErr w:type="gramStart"/>
      <w:r w:rsidRPr="004263B0">
        <w:rPr>
          <w:rFonts w:ascii="Arial" w:hAnsi="Arial" w:cs="Arial"/>
          <w:sz w:val="20"/>
          <w:szCs w:val="20"/>
        </w:rPr>
        <w:t>to</w:t>
      </w:r>
      <w:proofErr w:type="gramEnd"/>
      <w:r w:rsidRPr="004263B0">
        <w:rPr>
          <w:rFonts w:ascii="Arial" w:hAnsi="Arial" w:cs="Arial"/>
          <w:sz w:val="20"/>
          <w:szCs w:val="20"/>
        </w:rPr>
        <w:t xml:space="preserve"> </w:t>
      </w:r>
      <w:r w:rsidR="0008491C" w:rsidRPr="004263B0">
        <w:rPr>
          <w:rFonts w:ascii="Arial" w:hAnsi="Arial" w:cs="Arial"/>
          <w:sz w:val="20"/>
          <w:szCs w:val="20"/>
        </w:rPr>
        <w:t>support</w:t>
      </w:r>
      <w:r w:rsidRPr="004263B0">
        <w:rPr>
          <w:rFonts w:ascii="Arial" w:hAnsi="Arial" w:cs="Arial"/>
          <w:sz w:val="20"/>
          <w:szCs w:val="20"/>
        </w:rPr>
        <w:t xml:space="preserve"> timely implementation of  objective</w:t>
      </w:r>
      <w:r w:rsidR="0008491C" w:rsidRPr="004263B0">
        <w:rPr>
          <w:rFonts w:ascii="Arial" w:hAnsi="Arial" w:cs="Arial"/>
          <w:sz w:val="20"/>
          <w:szCs w:val="20"/>
        </w:rPr>
        <w:t xml:space="preserve"> 2 of</w:t>
      </w:r>
      <w:r w:rsidRPr="004263B0">
        <w:rPr>
          <w:rFonts w:ascii="Arial" w:hAnsi="Arial" w:cs="Arial"/>
          <w:sz w:val="20"/>
          <w:szCs w:val="20"/>
        </w:rPr>
        <w:t xml:space="preserve"> “Polio Era</w:t>
      </w:r>
      <w:r w:rsidR="0008491C" w:rsidRPr="004263B0">
        <w:rPr>
          <w:rFonts w:ascii="Arial" w:hAnsi="Arial" w:cs="Arial"/>
          <w:sz w:val="20"/>
          <w:szCs w:val="20"/>
        </w:rPr>
        <w:t>d</w:t>
      </w:r>
      <w:r w:rsidRPr="004263B0">
        <w:rPr>
          <w:rFonts w:ascii="Arial" w:hAnsi="Arial" w:cs="Arial"/>
          <w:sz w:val="20"/>
          <w:szCs w:val="20"/>
        </w:rPr>
        <w:t xml:space="preserve">ication and </w:t>
      </w:r>
      <w:r w:rsidR="0008491C" w:rsidRPr="004263B0">
        <w:rPr>
          <w:rFonts w:ascii="Arial" w:hAnsi="Arial" w:cs="Arial"/>
          <w:sz w:val="20"/>
          <w:szCs w:val="20"/>
        </w:rPr>
        <w:t>Endgame Strategic Plan 2013-2018”</w:t>
      </w:r>
      <w:r w:rsidR="002B6293">
        <w:rPr>
          <w:rFonts w:ascii="Arial" w:hAnsi="Arial" w:cs="Arial"/>
          <w:sz w:val="20"/>
          <w:szCs w:val="20"/>
        </w:rPr>
        <w:t xml:space="preserve"> globally</w:t>
      </w:r>
    </w:p>
    <w:p w:rsidR="0008491C" w:rsidRPr="004263B0" w:rsidRDefault="00F515B1" w:rsidP="004263B0">
      <w:pPr>
        <w:pStyle w:val="NoSpacing"/>
        <w:rPr>
          <w:rFonts w:ascii="Arial" w:hAnsi="Arial" w:cs="Arial"/>
          <w:sz w:val="20"/>
          <w:szCs w:val="20"/>
        </w:rPr>
      </w:pPr>
      <w:r w:rsidRPr="004263B0">
        <w:rPr>
          <w:rFonts w:ascii="Arial" w:hAnsi="Arial" w:cs="Arial"/>
          <w:sz w:val="20"/>
          <w:szCs w:val="20"/>
        </w:rPr>
        <w:t xml:space="preserve"> </w:t>
      </w:r>
      <w:r w:rsidR="0008491C" w:rsidRPr="004263B0">
        <w:rPr>
          <w:rFonts w:ascii="Arial" w:hAnsi="Arial" w:cs="Arial"/>
          <w:sz w:val="20"/>
          <w:szCs w:val="20"/>
        </w:rPr>
        <w:t xml:space="preserve">- </w:t>
      </w:r>
      <w:proofErr w:type="gramStart"/>
      <w:r w:rsidR="0008491C" w:rsidRPr="004263B0">
        <w:rPr>
          <w:rFonts w:ascii="Arial" w:hAnsi="Arial" w:cs="Arial"/>
          <w:sz w:val="20"/>
          <w:szCs w:val="20"/>
        </w:rPr>
        <w:t>to</w:t>
      </w:r>
      <w:proofErr w:type="gramEnd"/>
      <w:r w:rsidR="0008491C" w:rsidRPr="004263B0">
        <w:rPr>
          <w:rFonts w:ascii="Arial" w:hAnsi="Arial" w:cs="Arial"/>
          <w:sz w:val="20"/>
          <w:szCs w:val="20"/>
        </w:rPr>
        <w:t xml:space="preserve"> set up an example for further switch from OPV to IPV</w:t>
      </w:r>
    </w:p>
    <w:p w:rsidR="00A901C7" w:rsidRDefault="00A901C7" w:rsidP="00A901C7">
      <w:pPr>
        <w:tabs>
          <w:tab w:val="left" w:pos="3451"/>
        </w:tabs>
        <w:rPr>
          <w:rFonts w:ascii="Arial" w:hAnsi="Arial" w:cs="Arial"/>
          <w:color w:val="0D0D0D" w:themeColor="text1" w:themeTint="F2"/>
          <w:sz w:val="20"/>
          <w:szCs w:val="20"/>
        </w:rPr>
      </w:pPr>
      <w:r w:rsidRPr="00350BE2">
        <w:rPr>
          <w:rFonts w:ascii="Arial" w:hAnsi="Arial" w:cs="Arial"/>
          <w:color w:val="0D0D0D" w:themeColor="text1" w:themeTint="F2"/>
          <w:sz w:val="20"/>
          <w:szCs w:val="20"/>
        </w:rPr>
        <w:t>Objectives</w:t>
      </w:r>
      <w:r w:rsidR="00D0581E">
        <w:rPr>
          <w:rFonts w:ascii="Arial" w:hAnsi="Arial" w:cs="Arial"/>
          <w:color w:val="0D0D0D" w:themeColor="text1" w:themeTint="F2"/>
          <w:sz w:val="20"/>
          <w:szCs w:val="20"/>
        </w:rPr>
        <w:t xml:space="preserve"> are</w:t>
      </w:r>
      <w:r w:rsidR="00D0581E" w:rsidRPr="00D0581E">
        <w:rPr>
          <w:rFonts w:ascii="Arial" w:hAnsi="Arial" w:cs="Arial"/>
          <w:color w:val="0D0D0D" w:themeColor="text1" w:themeTint="F2"/>
          <w:sz w:val="20"/>
          <w:szCs w:val="20"/>
        </w:rPr>
        <w:t xml:space="preserve"> </w:t>
      </w:r>
      <w:r w:rsidR="00D0581E">
        <w:rPr>
          <w:rFonts w:ascii="Arial" w:hAnsi="Arial" w:cs="Arial"/>
          <w:color w:val="0D0D0D" w:themeColor="text1" w:themeTint="F2"/>
          <w:sz w:val="20"/>
          <w:szCs w:val="20"/>
        </w:rPr>
        <w:t>t</w:t>
      </w:r>
      <w:r w:rsidR="00D0581E" w:rsidRPr="00350BE2">
        <w:rPr>
          <w:rFonts w:ascii="Arial" w:hAnsi="Arial" w:cs="Arial"/>
          <w:color w:val="0D0D0D" w:themeColor="text1" w:themeTint="F2"/>
          <w:sz w:val="20"/>
          <w:szCs w:val="20"/>
        </w:rPr>
        <w:t>o</w:t>
      </w:r>
      <w:r w:rsidR="00D0581E">
        <w:rPr>
          <w:rFonts w:ascii="Arial" w:hAnsi="Arial" w:cs="Arial"/>
          <w:color w:val="0D0D0D" w:themeColor="text1" w:themeTint="F2"/>
          <w:sz w:val="20"/>
          <w:szCs w:val="20"/>
        </w:rPr>
        <w:t>:</w:t>
      </w:r>
    </w:p>
    <w:p w:rsidR="00AA6EE1" w:rsidRPr="004263B0" w:rsidRDefault="00AA6EE1" w:rsidP="004263B0">
      <w:pPr>
        <w:pStyle w:val="NoSpacing"/>
        <w:rPr>
          <w:rFonts w:ascii="Arial" w:hAnsi="Arial" w:cs="Arial"/>
          <w:sz w:val="20"/>
          <w:szCs w:val="20"/>
        </w:rPr>
      </w:pPr>
      <w:r w:rsidRPr="004263B0">
        <w:rPr>
          <w:rFonts w:ascii="Arial" w:hAnsi="Arial" w:cs="Arial"/>
          <w:sz w:val="20"/>
          <w:szCs w:val="20"/>
        </w:rPr>
        <w:t>Sh</w:t>
      </w:r>
      <w:r w:rsidR="0008491C" w:rsidRPr="004263B0">
        <w:rPr>
          <w:rFonts w:ascii="Arial" w:hAnsi="Arial" w:cs="Arial"/>
          <w:sz w:val="20"/>
          <w:szCs w:val="20"/>
        </w:rPr>
        <w:t>ort-</w:t>
      </w:r>
      <w:r w:rsidRPr="004263B0">
        <w:rPr>
          <w:rFonts w:ascii="Arial" w:hAnsi="Arial" w:cs="Arial"/>
          <w:sz w:val="20"/>
          <w:szCs w:val="20"/>
        </w:rPr>
        <w:t>term</w:t>
      </w:r>
      <w:r w:rsidR="0008491C" w:rsidRPr="004263B0">
        <w:rPr>
          <w:rFonts w:ascii="Arial" w:hAnsi="Arial" w:cs="Arial"/>
          <w:sz w:val="20"/>
          <w:szCs w:val="20"/>
        </w:rPr>
        <w:t>- 2015</w:t>
      </w:r>
    </w:p>
    <w:p w:rsidR="00A901C7" w:rsidRDefault="002E2855" w:rsidP="004263B0">
      <w:pPr>
        <w:pStyle w:val="NoSpacing"/>
        <w:rPr>
          <w:rFonts w:ascii="Arial" w:hAnsi="Arial" w:cs="Arial"/>
          <w:sz w:val="20"/>
          <w:szCs w:val="20"/>
        </w:rPr>
      </w:pPr>
      <w:r w:rsidRPr="004263B0">
        <w:rPr>
          <w:rFonts w:ascii="Arial" w:hAnsi="Arial" w:cs="Arial"/>
          <w:sz w:val="20"/>
          <w:szCs w:val="20"/>
        </w:rPr>
        <w:t xml:space="preserve">- </w:t>
      </w:r>
      <w:r w:rsidR="00D0581E" w:rsidRPr="004263B0">
        <w:rPr>
          <w:rFonts w:ascii="Arial" w:hAnsi="Arial" w:cs="Arial"/>
          <w:sz w:val="20"/>
          <w:szCs w:val="20"/>
        </w:rPr>
        <w:t>I</w:t>
      </w:r>
      <w:r w:rsidR="00A901C7" w:rsidRPr="004263B0">
        <w:rPr>
          <w:rFonts w:ascii="Arial" w:hAnsi="Arial" w:cs="Arial"/>
          <w:sz w:val="20"/>
          <w:szCs w:val="20"/>
        </w:rPr>
        <w:t xml:space="preserve">ntroduce Inactivated Polio Vaccine in the National Immunization Schedule starting from </w:t>
      </w:r>
      <w:r w:rsidRPr="004263B0">
        <w:rPr>
          <w:rFonts w:ascii="Arial" w:hAnsi="Arial" w:cs="Arial"/>
          <w:sz w:val="20"/>
          <w:szCs w:val="20"/>
        </w:rPr>
        <w:t>01 July</w:t>
      </w:r>
      <w:r w:rsidR="00AA6EE1" w:rsidRPr="004263B0">
        <w:rPr>
          <w:rFonts w:ascii="Arial" w:hAnsi="Arial" w:cs="Arial"/>
          <w:sz w:val="20"/>
          <w:szCs w:val="20"/>
        </w:rPr>
        <w:t xml:space="preserve"> 2015</w:t>
      </w:r>
    </w:p>
    <w:p w:rsidR="004263B0" w:rsidRPr="004263B0" w:rsidRDefault="004263B0" w:rsidP="004263B0">
      <w:pPr>
        <w:pStyle w:val="NoSpacing"/>
        <w:rPr>
          <w:rFonts w:ascii="Arial" w:hAnsi="Arial" w:cs="Arial"/>
          <w:sz w:val="20"/>
          <w:szCs w:val="20"/>
        </w:rPr>
      </w:pPr>
    </w:p>
    <w:p w:rsidR="0008491C" w:rsidRPr="004263B0" w:rsidRDefault="0008491C" w:rsidP="004263B0">
      <w:pPr>
        <w:pStyle w:val="NoSpacing"/>
        <w:rPr>
          <w:rFonts w:ascii="Arial" w:hAnsi="Arial" w:cs="Arial"/>
          <w:color w:val="0D0D0D" w:themeColor="text1" w:themeTint="F2"/>
          <w:sz w:val="20"/>
          <w:szCs w:val="20"/>
        </w:rPr>
      </w:pPr>
      <w:r w:rsidRPr="004263B0">
        <w:rPr>
          <w:rFonts w:ascii="Arial" w:hAnsi="Arial" w:cs="Arial"/>
          <w:color w:val="0D0D0D" w:themeColor="text1" w:themeTint="F2"/>
          <w:sz w:val="20"/>
          <w:szCs w:val="20"/>
        </w:rPr>
        <w:t>Mid- term- 2016-201</w:t>
      </w:r>
      <w:r w:rsidR="004263B0">
        <w:rPr>
          <w:rFonts w:ascii="Arial" w:hAnsi="Arial" w:cs="Arial"/>
          <w:color w:val="0D0D0D" w:themeColor="text1" w:themeTint="F2"/>
          <w:sz w:val="20"/>
          <w:szCs w:val="20"/>
        </w:rPr>
        <w:t>7</w:t>
      </w:r>
    </w:p>
    <w:p w:rsidR="0008491C" w:rsidRPr="004263B0" w:rsidRDefault="0008491C" w:rsidP="004263B0">
      <w:pPr>
        <w:pStyle w:val="NoSpacing"/>
        <w:rPr>
          <w:rFonts w:ascii="Arial" w:hAnsi="Arial" w:cs="Arial"/>
          <w:color w:val="FF0000"/>
          <w:sz w:val="20"/>
          <w:szCs w:val="20"/>
        </w:rPr>
      </w:pPr>
      <w:r w:rsidRPr="004263B0">
        <w:rPr>
          <w:rFonts w:ascii="Arial" w:hAnsi="Arial" w:cs="Arial"/>
          <w:sz w:val="20"/>
          <w:szCs w:val="20"/>
        </w:rPr>
        <w:t>- Ensure 95% IPV coverage at the national level with at least 90% coverage at the district level by the end of 2016 while maintaining OPV coverage above 95% at national and 90% at district level</w:t>
      </w:r>
      <w:r w:rsidRPr="004263B0">
        <w:rPr>
          <w:rFonts w:ascii="Arial" w:hAnsi="Arial" w:cs="Arial"/>
          <w:color w:val="FF0000"/>
          <w:sz w:val="20"/>
          <w:szCs w:val="20"/>
        </w:rPr>
        <w:t xml:space="preserve">. </w:t>
      </w:r>
    </w:p>
    <w:p w:rsidR="00350BE2" w:rsidRDefault="00350BE2" w:rsidP="004263B0">
      <w:pPr>
        <w:pStyle w:val="NoSpacing"/>
        <w:rPr>
          <w:rFonts w:ascii="Arial" w:hAnsi="Arial" w:cs="Arial"/>
          <w:sz w:val="20"/>
          <w:szCs w:val="20"/>
        </w:rPr>
      </w:pPr>
      <w:r w:rsidRPr="004263B0">
        <w:rPr>
          <w:rFonts w:ascii="Arial" w:hAnsi="Arial" w:cs="Arial"/>
          <w:sz w:val="20"/>
          <w:szCs w:val="20"/>
        </w:rPr>
        <w:t xml:space="preserve">- </w:t>
      </w:r>
      <w:r w:rsidR="00D0581E" w:rsidRPr="004263B0">
        <w:rPr>
          <w:rFonts w:ascii="Arial" w:hAnsi="Arial" w:cs="Arial"/>
          <w:sz w:val="20"/>
          <w:szCs w:val="20"/>
        </w:rPr>
        <w:t>Promote</w:t>
      </w:r>
      <w:r w:rsidRPr="004263B0">
        <w:rPr>
          <w:rFonts w:ascii="Arial" w:hAnsi="Arial" w:cs="Arial"/>
          <w:sz w:val="20"/>
          <w:szCs w:val="20"/>
        </w:rPr>
        <w:t xml:space="preserve"> timely and complete vaccination of children under 1 by all EPI vaccines according to NIS</w:t>
      </w:r>
      <w:r w:rsidR="00B71DD2" w:rsidRPr="004263B0">
        <w:rPr>
          <w:rFonts w:ascii="Arial" w:hAnsi="Arial" w:cs="Arial"/>
          <w:sz w:val="20"/>
          <w:szCs w:val="20"/>
        </w:rPr>
        <w:tab/>
      </w:r>
    </w:p>
    <w:p w:rsidR="004263B0" w:rsidRPr="004263B0" w:rsidRDefault="004263B0" w:rsidP="004263B0">
      <w:pPr>
        <w:pStyle w:val="NoSpacing"/>
        <w:rPr>
          <w:rFonts w:ascii="Arial" w:hAnsi="Arial" w:cs="Arial"/>
          <w:sz w:val="20"/>
          <w:szCs w:val="20"/>
        </w:rPr>
      </w:pPr>
    </w:p>
    <w:p w:rsidR="0008491C" w:rsidRPr="004263B0" w:rsidRDefault="0008491C" w:rsidP="004263B0">
      <w:pPr>
        <w:pStyle w:val="NoSpacing"/>
        <w:rPr>
          <w:rFonts w:ascii="Arial" w:hAnsi="Arial" w:cs="Arial"/>
          <w:sz w:val="20"/>
          <w:szCs w:val="20"/>
        </w:rPr>
      </w:pPr>
      <w:r w:rsidRPr="004263B0">
        <w:rPr>
          <w:rFonts w:ascii="Arial" w:hAnsi="Arial" w:cs="Arial"/>
          <w:sz w:val="20"/>
          <w:szCs w:val="20"/>
        </w:rPr>
        <w:t>Long term- 2018</w:t>
      </w:r>
    </w:p>
    <w:p w:rsidR="0008491C" w:rsidRPr="004263B0" w:rsidRDefault="0008491C" w:rsidP="004263B0">
      <w:pPr>
        <w:pStyle w:val="NoSpacing"/>
        <w:rPr>
          <w:rFonts w:ascii="Arial" w:hAnsi="Arial" w:cs="Arial"/>
          <w:sz w:val="20"/>
          <w:szCs w:val="20"/>
        </w:rPr>
      </w:pPr>
      <w:r w:rsidRPr="004263B0">
        <w:rPr>
          <w:rFonts w:ascii="Arial" w:hAnsi="Arial" w:cs="Arial"/>
          <w:sz w:val="20"/>
          <w:szCs w:val="20"/>
        </w:rPr>
        <w:t>- Address/mitigate program risk for further switch to IPV</w:t>
      </w:r>
      <w:r w:rsidR="005A6E15" w:rsidRPr="004263B0">
        <w:rPr>
          <w:rFonts w:ascii="Arial" w:hAnsi="Arial" w:cs="Arial"/>
          <w:sz w:val="20"/>
          <w:szCs w:val="20"/>
        </w:rPr>
        <w:t xml:space="preserve"> combined</w:t>
      </w:r>
      <w:r w:rsidRPr="004263B0">
        <w:rPr>
          <w:rFonts w:ascii="Arial" w:hAnsi="Arial" w:cs="Arial"/>
          <w:sz w:val="20"/>
          <w:szCs w:val="20"/>
        </w:rPr>
        <w:t xml:space="preserve"> vaccine</w:t>
      </w:r>
    </w:p>
    <w:p w:rsidR="0008491C" w:rsidRDefault="0008491C" w:rsidP="00B71DD2">
      <w:pPr>
        <w:tabs>
          <w:tab w:val="left" w:pos="3451"/>
          <w:tab w:val="right" w:pos="9360"/>
        </w:tabs>
        <w:rPr>
          <w:rFonts w:ascii="Arial" w:hAnsi="Arial" w:cs="Arial"/>
          <w:color w:val="0D0D0D" w:themeColor="text1" w:themeTint="F2"/>
          <w:sz w:val="20"/>
          <w:szCs w:val="20"/>
        </w:rPr>
      </w:pPr>
    </w:p>
    <w:p w:rsidR="00356F4C" w:rsidRPr="00F515B1" w:rsidRDefault="00B71DD2" w:rsidP="00356F4C">
      <w:pPr>
        <w:tabs>
          <w:tab w:val="left" w:pos="3451"/>
        </w:tabs>
        <w:rPr>
          <w:rFonts w:ascii="Arial" w:hAnsi="Arial" w:cs="Arial"/>
          <w:color w:val="0D0D0D" w:themeColor="text1" w:themeTint="F2"/>
          <w:sz w:val="20"/>
          <w:szCs w:val="20"/>
        </w:rPr>
      </w:pPr>
      <w:r>
        <w:rPr>
          <w:rFonts w:ascii="Arial" w:hAnsi="Arial" w:cs="Arial"/>
          <w:color w:val="0D0D0D" w:themeColor="text1" w:themeTint="F2"/>
          <w:sz w:val="20"/>
          <w:szCs w:val="20"/>
        </w:rPr>
        <w:t>F</w:t>
      </w:r>
      <w:r w:rsidR="00D0581E">
        <w:rPr>
          <w:rFonts w:ascii="Arial" w:hAnsi="Arial" w:cs="Arial"/>
          <w:color w:val="0D0D0D" w:themeColor="text1" w:themeTint="F2"/>
          <w:sz w:val="20"/>
          <w:szCs w:val="20"/>
        </w:rPr>
        <w:t>ollowing key indicators will be used against objectives:</w:t>
      </w:r>
    </w:p>
    <w:p w:rsidR="004263B0" w:rsidRPr="004263B0" w:rsidRDefault="00356F4C" w:rsidP="004263B0">
      <w:pPr>
        <w:pStyle w:val="NoSpacing"/>
        <w:rPr>
          <w:rFonts w:ascii="Arial" w:hAnsi="Arial" w:cs="Arial"/>
          <w:sz w:val="20"/>
          <w:szCs w:val="20"/>
        </w:rPr>
      </w:pPr>
      <w:r w:rsidRPr="004263B0">
        <w:rPr>
          <w:rFonts w:ascii="Arial" w:hAnsi="Arial" w:cs="Arial"/>
          <w:sz w:val="20"/>
          <w:szCs w:val="20"/>
        </w:rPr>
        <w:t xml:space="preserve">- IPV vaccination coverage in children under 1 year of age </w:t>
      </w:r>
      <w:r w:rsidR="001A3544" w:rsidRPr="004263B0">
        <w:rPr>
          <w:rFonts w:ascii="Arial" w:hAnsi="Arial" w:cs="Arial"/>
          <w:sz w:val="20"/>
          <w:szCs w:val="20"/>
        </w:rPr>
        <w:t>at national and district levels</w:t>
      </w:r>
    </w:p>
    <w:p w:rsidR="00356F4C" w:rsidRPr="004263B0" w:rsidRDefault="004263B0" w:rsidP="004263B0">
      <w:pPr>
        <w:pStyle w:val="NoSpacing"/>
        <w:rPr>
          <w:rFonts w:ascii="Arial" w:hAnsi="Arial" w:cs="Arial"/>
          <w:sz w:val="20"/>
          <w:szCs w:val="20"/>
        </w:rPr>
      </w:pPr>
      <w:r w:rsidRPr="004263B0">
        <w:rPr>
          <w:rFonts w:ascii="Arial" w:hAnsi="Arial" w:cs="Arial"/>
          <w:sz w:val="20"/>
          <w:szCs w:val="20"/>
        </w:rPr>
        <w:t xml:space="preserve">- </w:t>
      </w:r>
      <w:r w:rsidR="001A3544" w:rsidRPr="004263B0">
        <w:rPr>
          <w:rFonts w:ascii="Arial" w:hAnsi="Arial" w:cs="Arial"/>
          <w:sz w:val="20"/>
          <w:szCs w:val="20"/>
        </w:rPr>
        <w:t xml:space="preserve">OPV3 coverage </w:t>
      </w:r>
    </w:p>
    <w:p w:rsidR="00356F4C" w:rsidRPr="004263B0" w:rsidRDefault="00356F4C" w:rsidP="004263B0">
      <w:pPr>
        <w:pStyle w:val="NoSpacing"/>
        <w:rPr>
          <w:rFonts w:ascii="Arial" w:hAnsi="Arial" w:cs="Arial"/>
          <w:sz w:val="20"/>
          <w:szCs w:val="20"/>
        </w:rPr>
      </w:pPr>
      <w:r w:rsidRPr="004263B0">
        <w:rPr>
          <w:rFonts w:ascii="Arial" w:hAnsi="Arial" w:cs="Arial"/>
          <w:sz w:val="20"/>
          <w:szCs w:val="20"/>
        </w:rPr>
        <w:t xml:space="preserve">- Polio (OPV and IPV) dropout rate, between </w:t>
      </w:r>
      <w:r w:rsidR="00F515B1" w:rsidRPr="004263B0">
        <w:rPr>
          <w:rFonts w:ascii="Arial" w:hAnsi="Arial" w:cs="Arial"/>
          <w:sz w:val="20"/>
          <w:szCs w:val="20"/>
        </w:rPr>
        <w:t>Polio</w:t>
      </w:r>
      <w:r w:rsidRPr="004263B0">
        <w:rPr>
          <w:rFonts w:ascii="Arial" w:hAnsi="Arial" w:cs="Arial"/>
          <w:sz w:val="20"/>
          <w:szCs w:val="20"/>
        </w:rPr>
        <w:t xml:space="preserve">1 and </w:t>
      </w:r>
      <w:r w:rsidR="00F515B1" w:rsidRPr="004263B0">
        <w:rPr>
          <w:rFonts w:ascii="Arial" w:hAnsi="Arial" w:cs="Arial"/>
          <w:sz w:val="20"/>
          <w:szCs w:val="20"/>
        </w:rPr>
        <w:t xml:space="preserve">Polio </w:t>
      </w:r>
      <w:r w:rsidR="00991F6D" w:rsidRPr="004263B0">
        <w:rPr>
          <w:rFonts w:ascii="Arial" w:hAnsi="Arial" w:cs="Arial"/>
          <w:sz w:val="20"/>
          <w:szCs w:val="20"/>
        </w:rPr>
        <w:t>4</w:t>
      </w:r>
    </w:p>
    <w:p w:rsidR="00991F6D" w:rsidRPr="004263B0" w:rsidRDefault="00991F6D" w:rsidP="004263B0">
      <w:pPr>
        <w:pStyle w:val="NoSpacing"/>
        <w:rPr>
          <w:rFonts w:ascii="Arial" w:hAnsi="Arial" w:cs="Arial"/>
          <w:sz w:val="20"/>
          <w:szCs w:val="20"/>
        </w:rPr>
      </w:pPr>
      <w:r w:rsidRPr="004263B0">
        <w:rPr>
          <w:rFonts w:ascii="Arial" w:hAnsi="Arial" w:cs="Arial"/>
          <w:sz w:val="20"/>
          <w:szCs w:val="20"/>
        </w:rPr>
        <w:t>-</w:t>
      </w:r>
      <w:r w:rsidR="004263B0">
        <w:rPr>
          <w:rFonts w:ascii="Arial" w:hAnsi="Arial" w:cs="Arial"/>
          <w:sz w:val="20"/>
          <w:szCs w:val="20"/>
        </w:rPr>
        <w:t xml:space="preserve"> </w:t>
      </w:r>
      <w:r w:rsidRPr="004263B0">
        <w:rPr>
          <w:rFonts w:ascii="Arial" w:hAnsi="Arial" w:cs="Arial"/>
          <w:sz w:val="20"/>
          <w:szCs w:val="20"/>
        </w:rPr>
        <w:t>% of 1 years old children timely completed primary OPV vaccination</w:t>
      </w:r>
      <w:r w:rsidR="00F515B1" w:rsidRPr="004263B0">
        <w:rPr>
          <w:rFonts w:ascii="Arial" w:hAnsi="Arial" w:cs="Arial"/>
          <w:sz w:val="20"/>
          <w:szCs w:val="20"/>
        </w:rPr>
        <w:t>s</w:t>
      </w:r>
      <w:r w:rsidRPr="004263B0">
        <w:rPr>
          <w:rFonts w:ascii="Arial" w:hAnsi="Arial" w:cs="Arial"/>
          <w:sz w:val="20"/>
          <w:szCs w:val="20"/>
        </w:rPr>
        <w:t xml:space="preserve"> and IPV (e-health card register)</w:t>
      </w:r>
    </w:p>
    <w:p w:rsidR="00350BE2" w:rsidRDefault="00350BE2" w:rsidP="004263B0">
      <w:pPr>
        <w:pStyle w:val="NoSpacing"/>
        <w:rPr>
          <w:rFonts w:ascii="Arial" w:hAnsi="Arial" w:cs="Arial"/>
          <w:sz w:val="20"/>
          <w:szCs w:val="20"/>
        </w:rPr>
      </w:pPr>
      <w:r w:rsidRPr="004263B0">
        <w:rPr>
          <w:rFonts w:ascii="Arial" w:hAnsi="Arial" w:cs="Arial"/>
          <w:sz w:val="20"/>
          <w:szCs w:val="20"/>
        </w:rPr>
        <w:t xml:space="preserve">- % of 1 years old children timely completed </w:t>
      </w:r>
      <w:proofErr w:type="spellStart"/>
      <w:r w:rsidRPr="004263B0">
        <w:rPr>
          <w:rFonts w:ascii="Arial" w:hAnsi="Arial" w:cs="Arial"/>
          <w:sz w:val="20"/>
          <w:szCs w:val="20"/>
        </w:rPr>
        <w:t>DTPHibHepB</w:t>
      </w:r>
      <w:proofErr w:type="spellEnd"/>
      <w:r w:rsidRPr="004263B0">
        <w:rPr>
          <w:rFonts w:ascii="Arial" w:hAnsi="Arial" w:cs="Arial"/>
          <w:sz w:val="20"/>
          <w:szCs w:val="20"/>
        </w:rPr>
        <w:t xml:space="preserve"> and PCV vaccinations</w:t>
      </w:r>
      <w:r w:rsidR="004263B0">
        <w:rPr>
          <w:rFonts w:ascii="Arial" w:hAnsi="Arial" w:cs="Arial"/>
          <w:sz w:val="20"/>
          <w:szCs w:val="20"/>
        </w:rPr>
        <w:t xml:space="preserve"> (</w:t>
      </w:r>
      <w:r w:rsidRPr="004263B0">
        <w:rPr>
          <w:rFonts w:ascii="Arial" w:hAnsi="Arial" w:cs="Arial"/>
          <w:sz w:val="20"/>
          <w:szCs w:val="20"/>
        </w:rPr>
        <w:t>e-health card register)</w:t>
      </w:r>
    </w:p>
    <w:p w:rsidR="004263B0" w:rsidRPr="004263B0" w:rsidRDefault="004263B0" w:rsidP="004263B0">
      <w:pPr>
        <w:pStyle w:val="NoSpacing"/>
        <w:rPr>
          <w:rFonts w:ascii="Arial" w:hAnsi="Arial" w:cs="Arial"/>
          <w:sz w:val="20"/>
          <w:szCs w:val="20"/>
        </w:rPr>
      </w:pPr>
    </w:p>
    <w:p w:rsidR="001A3544" w:rsidRPr="004263B0" w:rsidRDefault="001A3544" w:rsidP="004263B0">
      <w:pPr>
        <w:pStyle w:val="NoSpacing"/>
        <w:rPr>
          <w:rFonts w:ascii="Arial" w:hAnsi="Arial" w:cs="Arial"/>
          <w:sz w:val="20"/>
          <w:szCs w:val="20"/>
        </w:rPr>
      </w:pPr>
      <w:r w:rsidRPr="004263B0">
        <w:rPr>
          <w:rFonts w:ascii="Arial" w:hAnsi="Arial" w:cs="Arial"/>
          <w:sz w:val="20"/>
          <w:szCs w:val="20"/>
        </w:rPr>
        <w:t>Additional indicator:</w:t>
      </w:r>
    </w:p>
    <w:p w:rsidR="001A3544" w:rsidRPr="004263B0" w:rsidRDefault="004263B0" w:rsidP="004263B0">
      <w:pPr>
        <w:pStyle w:val="NoSpacing"/>
        <w:rPr>
          <w:rFonts w:ascii="Arial" w:hAnsi="Arial" w:cs="Arial"/>
          <w:sz w:val="20"/>
          <w:szCs w:val="20"/>
        </w:rPr>
      </w:pPr>
      <w:r w:rsidRPr="004263B0">
        <w:rPr>
          <w:rFonts w:ascii="Arial" w:hAnsi="Arial" w:cs="Arial"/>
          <w:sz w:val="20"/>
          <w:szCs w:val="20"/>
        </w:rPr>
        <w:t xml:space="preserve">- </w:t>
      </w:r>
      <w:r w:rsidR="00D209D1" w:rsidRPr="004263B0">
        <w:rPr>
          <w:rFonts w:ascii="Arial" w:hAnsi="Arial" w:cs="Arial"/>
          <w:sz w:val="20"/>
          <w:szCs w:val="20"/>
        </w:rPr>
        <w:t>%</w:t>
      </w:r>
      <w:r w:rsidR="001A3544" w:rsidRPr="004263B0">
        <w:rPr>
          <w:rFonts w:ascii="Arial" w:hAnsi="Arial" w:cs="Arial"/>
          <w:sz w:val="20"/>
          <w:szCs w:val="20"/>
        </w:rPr>
        <w:t>IPV vaccination</w:t>
      </w:r>
      <w:r w:rsidR="00D209D1">
        <w:rPr>
          <w:rFonts w:ascii="Arial" w:hAnsi="Arial" w:cs="Arial"/>
          <w:sz w:val="20"/>
          <w:szCs w:val="20"/>
        </w:rPr>
        <w:t xml:space="preserve"> among</w:t>
      </w:r>
      <w:r w:rsidR="003B3536">
        <w:rPr>
          <w:rFonts w:ascii="Arial" w:hAnsi="Arial" w:cs="Arial"/>
          <w:sz w:val="20"/>
          <w:szCs w:val="20"/>
        </w:rPr>
        <w:t xml:space="preserve"> AFP cases reported by </w:t>
      </w:r>
      <w:r w:rsidR="001A3544" w:rsidRPr="004263B0">
        <w:rPr>
          <w:rFonts w:ascii="Arial" w:hAnsi="Arial" w:cs="Arial"/>
          <w:sz w:val="20"/>
          <w:szCs w:val="20"/>
        </w:rPr>
        <w:t>surveillance system</w:t>
      </w:r>
    </w:p>
    <w:p w:rsidR="00991F6D" w:rsidRDefault="00991F6D" w:rsidP="00356F4C">
      <w:pPr>
        <w:tabs>
          <w:tab w:val="left" w:pos="3451"/>
        </w:tabs>
        <w:rPr>
          <w:rFonts w:ascii="Arial" w:hAnsi="Arial" w:cs="Arial"/>
          <w:color w:val="FF0000"/>
          <w:sz w:val="20"/>
          <w:szCs w:val="20"/>
        </w:rPr>
      </w:pPr>
    </w:p>
    <w:p w:rsidR="00991F6D" w:rsidRPr="00AA6EE1" w:rsidRDefault="00AA6EE1" w:rsidP="00356F4C">
      <w:pPr>
        <w:tabs>
          <w:tab w:val="left" w:pos="3451"/>
        </w:tabs>
        <w:rPr>
          <w:rFonts w:ascii="Arial" w:hAnsi="Arial" w:cs="Arial"/>
          <w:color w:val="0D0D0D" w:themeColor="text1" w:themeTint="F2"/>
          <w:sz w:val="20"/>
          <w:szCs w:val="20"/>
        </w:rPr>
      </w:pPr>
      <w:r w:rsidRPr="00AA6EE1">
        <w:rPr>
          <w:rFonts w:ascii="Arial" w:hAnsi="Arial" w:cs="Arial"/>
          <w:color w:val="0D0D0D" w:themeColor="text1" w:themeTint="F2"/>
          <w:sz w:val="20"/>
          <w:szCs w:val="20"/>
        </w:rPr>
        <w:t>2.2</w:t>
      </w:r>
      <w:r>
        <w:rPr>
          <w:rFonts w:ascii="Arial" w:hAnsi="Arial" w:cs="Arial"/>
          <w:color w:val="0D0D0D" w:themeColor="text1" w:themeTint="F2"/>
          <w:sz w:val="20"/>
          <w:szCs w:val="20"/>
        </w:rPr>
        <w:t xml:space="preserve"> Expected outcome and challenges</w:t>
      </w:r>
    </w:p>
    <w:p w:rsidR="003E5D95" w:rsidRDefault="00BF50DE" w:rsidP="003E5D95">
      <w:pPr>
        <w:tabs>
          <w:tab w:val="left" w:pos="3451"/>
        </w:tabs>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The </w:t>
      </w:r>
      <w:r w:rsidR="005A6E15">
        <w:rPr>
          <w:rFonts w:ascii="Arial" w:hAnsi="Arial" w:cs="Arial"/>
          <w:color w:val="0D0D0D" w:themeColor="text1" w:themeTint="F2"/>
          <w:sz w:val="20"/>
          <w:szCs w:val="20"/>
        </w:rPr>
        <w:t xml:space="preserve">Azerbaijan Government has </w:t>
      </w:r>
      <w:r>
        <w:rPr>
          <w:rFonts w:ascii="Arial" w:hAnsi="Arial" w:cs="Arial"/>
          <w:color w:val="0D0D0D" w:themeColor="text1" w:themeTint="F2"/>
          <w:sz w:val="20"/>
          <w:szCs w:val="20"/>
        </w:rPr>
        <w:t>proved</w:t>
      </w:r>
      <w:r w:rsidR="005A6E15">
        <w:rPr>
          <w:rFonts w:ascii="Arial" w:hAnsi="Arial" w:cs="Arial"/>
          <w:color w:val="0D0D0D" w:themeColor="text1" w:themeTint="F2"/>
          <w:sz w:val="20"/>
          <w:szCs w:val="20"/>
        </w:rPr>
        <w:t xml:space="preserve"> </w:t>
      </w:r>
      <w:r>
        <w:rPr>
          <w:rFonts w:ascii="Arial" w:hAnsi="Arial" w:cs="Arial"/>
          <w:color w:val="0D0D0D" w:themeColor="text1" w:themeTint="F2"/>
          <w:sz w:val="20"/>
          <w:szCs w:val="20"/>
        </w:rPr>
        <w:t xml:space="preserve">its </w:t>
      </w:r>
      <w:r w:rsidR="005A6E15">
        <w:rPr>
          <w:rFonts w:ascii="Arial" w:hAnsi="Arial" w:cs="Arial"/>
          <w:color w:val="0D0D0D" w:themeColor="text1" w:themeTint="F2"/>
          <w:sz w:val="20"/>
          <w:szCs w:val="20"/>
        </w:rPr>
        <w:t xml:space="preserve">strong political commitment to global polio eradication </w:t>
      </w:r>
      <w:r>
        <w:rPr>
          <w:rFonts w:ascii="Arial" w:hAnsi="Arial" w:cs="Arial"/>
          <w:color w:val="0D0D0D" w:themeColor="text1" w:themeTint="F2"/>
          <w:sz w:val="20"/>
          <w:szCs w:val="20"/>
        </w:rPr>
        <w:t xml:space="preserve">by direct leading several polio related initiatives at the country level, including MECACAR, MECACAR Plus and SIA during EIWs, </w:t>
      </w:r>
      <w:r w:rsidR="005A6E15">
        <w:rPr>
          <w:rFonts w:ascii="Arial" w:hAnsi="Arial" w:cs="Arial"/>
          <w:color w:val="0D0D0D" w:themeColor="text1" w:themeTint="F2"/>
          <w:sz w:val="20"/>
          <w:szCs w:val="20"/>
        </w:rPr>
        <w:t xml:space="preserve">and </w:t>
      </w:r>
      <w:r>
        <w:rPr>
          <w:rFonts w:ascii="Arial" w:hAnsi="Arial" w:cs="Arial"/>
          <w:color w:val="0D0D0D" w:themeColor="text1" w:themeTint="F2"/>
          <w:sz w:val="20"/>
          <w:szCs w:val="20"/>
        </w:rPr>
        <w:t xml:space="preserve">the Government’s readiness to introduce </w:t>
      </w:r>
      <w:r w:rsidR="005A6E15">
        <w:rPr>
          <w:rFonts w:ascii="Arial" w:hAnsi="Arial" w:cs="Arial"/>
          <w:color w:val="0D0D0D" w:themeColor="text1" w:themeTint="F2"/>
          <w:sz w:val="20"/>
          <w:szCs w:val="20"/>
        </w:rPr>
        <w:t xml:space="preserve">of </w:t>
      </w:r>
      <w:r w:rsidR="005A6E15" w:rsidRPr="005A6E15">
        <w:rPr>
          <w:rFonts w:ascii="Arial" w:hAnsi="Arial" w:cs="Arial"/>
          <w:color w:val="0D0D0D" w:themeColor="text1" w:themeTint="F2"/>
          <w:sz w:val="20"/>
          <w:szCs w:val="20"/>
        </w:rPr>
        <w:t xml:space="preserve">IPV </w:t>
      </w:r>
      <w:r>
        <w:rPr>
          <w:rFonts w:ascii="Arial" w:hAnsi="Arial" w:cs="Arial"/>
          <w:color w:val="0D0D0D" w:themeColor="text1" w:themeTint="F2"/>
          <w:sz w:val="20"/>
          <w:szCs w:val="20"/>
        </w:rPr>
        <w:t>in NIS on time is another evidence of this. IPV introduction is a key opportunity to</w:t>
      </w:r>
      <w:r w:rsidR="003E5D95">
        <w:rPr>
          <w:rFonts w:ascii="Arial" w:hAnsi="Arial" w:cs="Arial"/>
          <w:color w:val="0D0D0D" w:themeColor="text1" w:themeTint="F2"/>
          <w:sz w:val="20"/>
          <w:szCs w:val="20"/>
        </w:rPr>
        <w:t>:</w:t>
      </w:r>
    </w:p>
    <w:p w:rsidR="00AA62A0" w:rsidRDefault="00AA62A0" w:rsidP="003E5D95">
      <w:pPr>
        <w:tabs>
          <w:tab w:val="left" w:pos="3451"/>
        </w:tabs>
        <w:jc w:val="both"/>
        <w:rPr>
          <w:rFonts w:ascii="Arial" w:hAnsi="Arial" w:cs="Arial"/>
          <w:color w:val="0D0D0D" w:themeColor="text1" w:themeTint="F2"/>
          <w:sz w:val="20"/>
          <w:szCs w:val="20"/>
        </w:rPr>
      </w:pPr>
      <w:r>
        <w:rPr>
          <w:rFonts w:ascii="Arial" w:hAnsi="Arial" w:cs="Arial"/>
          <w:color w:val="0D0D0D" w:themeColor="text1" w:themeTint="F2"/>
          <w:sz w:val="20"/>
          <w:szCs w:val="20"/>
        </w:rPr>
        <w:t>- boost immunity on wild polio virus type 1and 3</w:t>
      </w:r>
    </w:p>
    <w:p w:rsidR="003E5D95" w:rsidRDefault="003E5D95" w:rsidP="003E5D95">
      <w:pPr>
        <w:tabs>
          <w:tab w:val="left" w:pos="3451"/>
        </w:tabs>
        <w:jc w:val="both"/>
        <w:rPr>
          <w:rFonts w:ascii="Arial" w:hAnsi="Arial" w:cs="Arial"/>
          <w:color w:val="0D0D0D" w:themeColor="text1" w:themeTint="F2"/>
          <w:sz w:val="20"/>
          <w:szCs w:val="20"/>
        </w:rPr>
      </w:pPr>
      <w:r>
        <w:rPr>
          <w:rFonts w:ascii="Arial" w:hAnsi="Arial" w:cs="Arial"/>
          <w:color w:val="0D0D0D" w:themeColor="text1" w:themeTint="F2"/>
          <w:sz w:val="20"/>
          <w:szCs w:val="20"/>
        </w:rPr>
        <w:t>-</w:t>
      </w:r>
      <w:r w:rsidR="00BF50DE">
        <w:rPr>
          <w:rFonts w:ascii="Arial" w:hAnsi="Arial" w:cs="Arial"/>
          <w:color w:val="0D0D0D" w:themeColor="text1" w:themeTint="F2"/>
          <w:sz w:val="20"/>
          <w:szCs w:val="20"/>
        </w:rPr>
        <w:t xml:space="preserve"> increase medical workers and public awareness on current achievements</w:t>
      </w:r>
      <w:r>
        <w:rPr>
          <w:rFonts w:ascii="Arial" w:hAnsi="Arial" w:cs="Arial"/>
          <w:color w:val="0D0D0D" w:themeColor="text1" w:themeTint="F2"/>
          <w:sz w:val="20"/>
          <w:szCs w:val="20"/>
        </w:rPr>
        <w:t xml:space="preserve"> of</w:t>
      </w:r>
      <w:r w:rsidR="00BF50DE">
        <w:rPr>
          <w:rFonts w:ascii="Arial" w:hAnsi="Arial" w:cs="Arial"/>
          <w:color w:val="0D0D0D" w:themeColor="text1" w:themeTint="F2"/>
          <w:sz w:val="20"/>
          <w:szCs w:val="20"/>
        </w:rPr>
        <w:t xml:space="preserve"> polio eradication program</w:t>
      </w:r>
    </w:p>
    <w:p w:rsidR="003E5D95" w:rsidRDefault="003E5D95" w:rsidP="003E5D95">
      <w:pPr>
        <w:tabs>
          <w:tab w:val="left" w:pos="3451"/>
        </w:tabs>
        <w:jc w:val="both"/>
        <w:rPr>
          <w:rFonts w:ascii="Arial" w:hAnsi="Arial" w:cs="Arial"/>
          <w:color w:val="0D0D0D" w:themeColor="text1" w:themeTint="F2"/>
          <w:sz w:val="20"/>
          <w:szCs w:val="20"/>
        </w:rPr>
      </w:pPr>
      <w:r>
        <w:rPr>
          <w:rFonts w:ascii="Arial" w:hAnsi="Arial" w:cs="Arial"/>
          <w:color w:val="0D0D0D" w:themeColor="text1" w:themeTint="F2"/>
          <w:sz w:val="20"/>
          <w:szCs w:val="20"/>
        </w:rPr>
        <w:t>- promote timely vaccination of target group</w:t>
      </w:r>
    </w:p>
    <w:p w:rsidR="003E5D95" w:rsidRDefault="003E5D95" w:rsidP="003E5D95">
      <w:pPr>
        <w:tabs>
          <w:tab w:val="left" w:pos="3451"/>
        </w:tabs>
        <w:jc w:val="both"/>
        <w:rPr>
          <w:rFonts w:ascii="Arial" w:hAnsi="Arial" w:cs="Arial"/>
          <w:color w:val="0D0D0D" w:themeColor="text1" w:themeTint="F2"/>
          <w:sz w:val="20"/>
          <w:szCs w:val="20"/>
        </w:rPr>
      </w:pPr>
      <w:r>
        <w:rPr>
          <w:rFonts w:ascii="Arial" w:hAnsi="Arial" w:cs="Arial"/>
          <w:color w:val="0D0D0D" w:themeColor="text1" w:themeTint="F2"/>
          <w:sz w:val="20"/>
          <w:szCs w:val="20"/>
        </w:rPr>
        <w:t>- enhance immunization program ability on new vaccine intake</w:t>
      </w:r>
    </w:p>
    <w:p w:rsidR="00991F6D" w:rsidRDefault="003E5D95" w:rsidP="003E5D95">
      <w:pPr>
        <w:tabs>
          <w:tab w:val="left" w:pos="3451"/>
        </w:tabs>
        <w:jc w:val="both"/>
        <w:rPr>
          <w:rFonts w:ascii="Arial" w:hAnsi="Arial" w:cs="Arial"/>
          <w:color w:val="0D0D0D" w:themeColor="text1" w:themeTint="F2"/>
          <w:sz w:val="20"/>
          <w:szCs w:val="20"/>
        </w:rPr>
      </w:pPr>
      <w:r>
        <w:rPr>
          <w:rFonts w:ascii="Arial" w:hAnsi="Arial" w:cs="Arial"/>
          <w:color w:val="0D0D0D" w:themeColor="text1" w:themeTint="F2"/>
          <w:sz w:val="20"/>
          <w:szCs w:val="20"/>
        </w:rPr>
        <w:t>- provide capacity building for medical staff on administration of injectable polio vaccine</w:t>
      </w:r>
    </w:p>
    <w:p w:rsidR="000155CD" w:rsidRDefault="000155CD" w:rsidP="003E5D95">
      <w:pPr>
        <w:tabs>
          <w:tab w:val="left" w:pos="3451"/>
        </w:tabs>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Besides these major outcomes, it is expected that introduction of IPV vaccine </w:t>
      </w:r>
      <w:r w:rsidR="00CC36A6">
        <w:rPr>
          <w:rFonts w:ascii="Arial" w:hAnsi="Arial" w:cs="Arial"/>
          <w:color w:val="0D0D0D" w:themeColor="text1" w:themeTint="F2"/>
          <w:sz w:val="20"/>
          <w:szCs w:val="20"/>
        </w:rPr>
        <w:t xml:space="preserve">in NIS </w:t>
      </w:r>
      <w:r>
        <w:rPr>
          <w:rFonts w:ascii="Arial" w:hAnsi="Arial" w:cs="Arial"/>
          <w:color w:val="0D0D0D" w:themeColor="text1" w:themeTint="F2"/>
          <w:sz w:val="20"/>
          <w:szCs w:val="20"/>
        </w:rPr>
        <w:t>will ensure</w:t>
      </w:r>
      <w:r w:rsidR="00E005CC">
        <w:rPr>
          <w:rFonts w:ascii="Arial" w:hAnsi="Arial" w:cs="Arial"/>
          <w:color w:val="0D0D0D" w:themeColor="text1" w:themeTint="F2"/>
          <w:sz w:val="20"/>
          <w:szCs w:val="20"/>
        </w:rPr>
        <w:t xml:space="preserve"> free of charge</w:t>
      </w:r>
      <w:r>
        <w:rPr>
          <w:rFonts w:ascii="Arial" w:hAnsi="Arial" w:cs="Arial"/>
          <w:color w:val="0D0D0D" w:themeColor="text1" w:themeTint="F2"/>
          <w:sz w:val="20"/>
          <w:szCs w:val="20"/>
        </w:rPr>
        <w:t xml:space="preserve"> vaccination of immunosuppressed individuals from target group in framework of EPI</w:t>
      </w:r>
      <w:r w:rsidR="00E005CC">
        <w:rPr>
          <w:rFonts w:ascii="Arial" w:hAnsi="Arial" w:cs="Arial"/>
          <w:color w:val="0D0D0D" w:themeColor="text1" w:themeTint="F2"/>
          <w:sz w:val="20"/>
          <w:szCs w:val="20"/>
        </w:rPr>
        <w:t xml:space="preserve">. Due to very limited number of this group and insufficiency of procurement opportunities up to now </w:t>
      </w:r>
      <w:r w:rsidR="002450AE">
        <w:rPr>
          <w:rFonts w:ascii="Arial" w:hAnsi="Arial" w:cs="Arial"/>
          <w:color w:val="0D0D0D" w:themeColor="text1" w:themeTint="F2"/>
          <w:sz w:val="20"/>
          <w:szCs w:val="20"/>
        </w:rPr>
        <w:t xml:space="preserve">related polio vaccination has been available for children with the underlined health conditions only through private vaccination facilities. </w:t>
      </w:r>
    </w:p>
    <w:p w:rsidR="00AA62A0" w:rsidRPr="00AA62A0" w:rsidRDefault="00CF36DF" w:rsidP="005A6E15">
      <w:pPr>
        <w:tabs>
          <w:tab w:val="left" w:pos="3451"/>
        </w:tabs>
        <w:rPr>
          <w:rFonts w:ascii="Arial" w:hAnsi="Arial" w:cs="Arial"/>
          <w:color w:val="0D0D0D" w:themeColor="text1" w:themeTint="F2"/>
          <w:sz w:val="20"/>
          <w:szCs w:val="20"/>
        </w:rPr>
      </w:pPr>
      <w:r>
        <w:rPr>
          <w:rFonts w:ascii="Arial" w:hAnsi="Arial" w:cs="Arial"/>
          <w:color w:val="0D0D0D" w:themeColor="text1" w:themeTint="F2"/>
          <w:sz w:val="20"/>
          <w:szCs w:val="20"/>
        </w:rPr>
        <w:t xml:space="preserve">At the same </w:t>
      </w:r>
      <w:r w:rsidR="00AA62A0">
        <w:rPr>
          <w:rFonts w:ascii="Arial" w:hAnsi="Arial" w:cs="Arial"/>
          <w:color w:val="0D0D0D" w:themeColor="text1" w:themeTint="F2"/>
          <w:sz w:val="20"/>
          <w:szCs w:val="20"/>
        </w:rPr>
        <w:t>EPI</w:t>
      </w:r>
      <w:r w:rsidR="00AA62A0" w:rsidRPr="00AA62A0">
        <w:rPr>
          <w:rFonts w:ascii="Arial" w:hAnsi="Arial" w:cs="Arial"/>
          <w:color w:val="0D0D0D" w:themeColor="text1" w:themeTint="F2"/>
          <w:sz w:val="20"/>
          <w:szCs w:val="20"/>
        </w:rPr>
        <w:t xml:space="preserve"> </w:t>
      </w:r>
      <w:r w:rsidR="00AA62A0">
        <w:rPr>
          <w:rFonts w:ascii="Arial" w:hAnsi="Arial" w:cs="Arial"/>
          <w:color w:val="0D0D0D" w:themeColor="text1" w:themeTint="F2"/>
          <w:sz w:val="20"/>
          <w:szCs w:val="20"/>
        </w:rPr>
        <w:t xml:space="preserve">faced </w:t>
      </w:r>
      <w:r w:rsidR="00AA62A0" w:rsidRPr="00AA62A0">
        <w:rPr>
          <w:rFonts w:ascii="Arial" w:hAnsi="Arial" w:cs="Arial"/>
          <w:color w:val="0D0D0D" w:themeColor="text1" w:themeTint="F2"/>
          <w:sz w:val="20"/>
          <w:szCs w:val="20"/>
        </w:rPr>
        <w:t>several cha</w:t>
      </w:r>
      <w:r w:rsidR="00AA62A0">
        <w:rPr>
          <w:rFonts w:ascii="Arial" w:hAnsi="Arial" w:cs="Arial"/>
          <w:color w:val="0D0D0D" w:themeColor="text1" w:themeTint="F2"/>
          <w:sz w:val="20"/>
          <w:szCs w:val="20"/>
        </w:rPr>
        <w:t xml:space="preserve">llenges related with new vaccine introduction and these </w:t>
      </w:r>
      <w:r w:rsidR="005A6E15" w:rsidRPr="00AA62A0">
        <w:rPr>
          <w:rFonts w:ascii="Arial" w:hAnsi="Arial" w:cs="Arial"/>
          <w:color w:val="0D0D0D" w:themeColor="text1" w:themeTint="F2"/>
          <w:sz w:val="20"/>
          <w:szCs w:val="20"/>
        </w:rPr>
        <w:t>must be taken into consideration</w:t>
      </w:r>
      <w:r w:rsidR="00AA62A0" w:rsidRPr="00AA62A0">
        <w:rPr>
          <w:rFonts w:ascii="Arial" w:hAnsi="Arial" w:cs="Arial"/>
          <w:color w:val="0D0D0D" w:themeColor="text1" w:themeTint="F2"/>
          <w:sz w:val="20"/>
          <w:szCs w:val="20"/>
        </w:rPr>
        <w:t xml:space="preserve"> in order to address them through IPV introduction</w:t>
      </w:r>
      <w:r w:rsidR="005A6E15" w:rsidRPr="00AA62A0">
        <w:rPr>
          <w:rFonts w:ascii="Arial" w:hAnsi="Arial" w:cs="Arial"/>
          <w:color w:val="0D0D0D" w:themeColor="text1" w:themeTint="F2"/>
          <w:sz w:val="20"/>
          <w:szCs w:val="20"/>
        </w:rPr>
        <w:t xml:space="preserve">: </w:t>
      </w:r>
    </w:p>
    <w:p w:rsidR="00AA62A0" w:rsidRDefault="00AA62A0" w:rsidP="00CF36DF">
      <w:pPr>
        <w:pStyle w:val="ListParagraph"/>
        <w:numPr>
          <w:ilvl w:val="0"/>
          <w:numId w:val="11"/>
        </w:numPr>
        <w:tabs>
          <w:tab w:val="left" w:pos="3451"/>
        </w:tabs>
        <w:jc w:val="both"/>
        <w:rPr>
          <w:rFonts w:ascii="Arial" w:hAnsi="Arial" w:cs="Arial"/>
          <w:color w:val="0D0D0D" w:themeColor="text1" w:themeTint="F2"/>
          <w:sz w:val="20"/>
          <w:szCs w:val="20"/>
        </w:rPr>
      </w:pPr>
      <w:r w:rsidRPr="00CF36DF">
        <w:rPr>
          <w:rFonts w:ascii="Arial" w:hAnsi="Arial" w:cs="Arial"/>
          <w:color w:val="0D0D0D" w:themeColor="text1" w:themeTint="F2"/>
          <w:sz w:val="20"/>
          <w:szCs w:val="20"/>
        </w:rPr>
        <w:lastRenderedPageBreak/>
        <w:t xml:space="preserve">High prevalence of false contraindications – despite the fact that Azerbaijan NIS allows IPV </w:t>
      </w:r>
      <w:r w:rsidR="00CF36DF">
        <w:rPr>
          <w:rFonts w:ascii="Arial" w:hAnsi="Arial" w:cs="Arial"/>
          <w:color w:val="0D0D0D" w:themeColor="text1" w:themeTint="F2"/>
          <w:sz w:val="20"/>
          <w:szCs w:val="20"/>
        </w:rPr>
        <w:t>vaccination</w:t>
      </w:r>
      <w:r w:rsidRPr="00CF36DF">
        <w:rPr>
          <w:rFonts w:ascii="Arial" w:hAnsi="Arial" w:cs="Arial"/>
          <w:color w:val="0D0D0D" w:themeColor="text1" w:themeTint="F2"/>
          <w:sz w:val="20"/>
          <w:szCs w:val="20"/>
        </w:rPr>
        <w:t xml:space="preserve"> </w:t>
      </w:r>
      <w:r w:rsidR="00CF36DF">
        <w:rPr>
          <w:rFonts w:ascii="Arial" w:hAnsi="Arial" w:cs="Arial"/>
          <w:color w:val="0D0D0D" w:themeColor="text1" w:themeTint="F2"/>
          <w:sz w:val="20"/>
          <w:szCs w:val="20"/>
        </w:rPr>
        <w:t xml:space="preserve">parallel to </w:t>
      </w:r>
      <w:r w:rsidRPr="00CF36DF">
        <w:rPr>
          <w:rFonts w:ascii="Arial" w:hAnsi="Arial" w:cs="Arial"/>
          <w:color w:val="0D0D0D" w:themeColor="text1" w:themeTint="F2"/>
          <w:sz w:val="20"/>
          <w:szCs w:val="20"/>
        </w:rPr>
        <w:t>3</w:t>
      </w:r>
      <w:r w:rsidRPr="00CF36DF">
        <w:rPr>
          <w:rFonts w:ascii="Arial" w:hAnsi="Arial" w:cs="Arial"/>
          <w:color w:val="0D0D0D" w:themeColor="text1" w:themeTint="F2"/>
          <w:sz w:val="20"/>
          <w:szCs w:val="20"/>
          <w:vertAlign w:val="superscript"/>
        </w:rPr>
        <w:t>rd</w:t>
      </w:r>
      <w:r w:rsidRPr="00CF36DF">
        <w:rPr>
          <w:rFonts w:ascii="Arial" w:hAnsi="Arial" w:cs="Arial"/>
          <w:color w:val="0D0D0D" w:themeColor="text1" w:themeTint="F2"/>
          <w:sz w:val="20"/>
          <w:szCs w:val="20"/>
        </w:rPr>
        <w:t xml:space="preserve"> dose PCV at 6 </w:t>
      </w:r>
      <w:r w:rsidR="00CF36DF" w:rsidRPr="00CF36DF">
        <w:rPr>
          <w:rFonts w:ascii="Arial" w:hAnsi="Arial" w:cs="Arial"/>
          <w:color w:val="0D0D0D" w:themeColor="text1" w:themeTint="F2"/>
          <w:sz w:val="20"/>
          <w:szCs w:val="20"/>
        </w:rPr>
        <w:t>months</w:t>
      </w:r>
      <w:r w:rsidRPr="00CF36DF">
        <w:rPr>
          <w:rFonts w:ascii="Arial" w:hAnsi="Arial" w:cs="Arial"/>
          <w:color w:val="0D0D0D" w:themeColor="text1" w:themeTint="F2"/>
          <w:sz w:val="20"/>
          <w:szCs w:val="20"/>
        </w:rPr>
        <w:t xml:space="preserve"> and by this way to avoid simultaneously administration of more than 2 injections, there is still high probability of delayed vaccination as identified by PCV introduction monitoring conducted in June- July 2014.</w:t>
      </w:r>
      <w:r w:rsidR="00CF36DF">
        <w:rPr>
          <w:rFonts w:ascii="Arial" w:hAnsi="Arial" w:cs="Arial"/>
          <w:color w:val="0D0D0D" w:themeColor="text1" w:themeTint="F2"/>
          <w:sz w:val="20"/>
          <w:szCs w:val="20"/>
        </w:rPr>
        <w:t xml:space="preserve"> However taking into account high priority of the polio eradication program and attention provided by health authorities to polio vaccination coverage, the implementation of IPV at 6 months will increase system precaution on medical contraindications and </w:t>
      </w:r>
      <w:r w:rsidR="00A819B5">
        <w:rPr>
          <w:rFonts w:ascii="Arial" w:hAnsi="Arial" w:cs="Arial"/>
          <w:color w:val="0D0D0D" w:themeColor="text1" w:themeTint="F2"/>
          <w:sz w:val="20"/>
          <w:szCs w:val="20"/>
        </w:rPr>
        <w:t xml:space="preserve">control </w:t>
      </w:r>
      <w:r w:rsidR="00CF36DF">
        <w:rPr>
          <w:rFonts w:ascii="Arial" w:hAnsi="Arial" w:cs="Arial"/>
          <w:color w:val="0D0D0D" w:themeColor="text1" w:themeTint="F2"/>
          <w:sz w:val="20"/>
          <w:szCs w:val="20"/>
        </w:rPr>
        <w:t>strict implementation of the ICD10 and MoH approved procedures.</w:t>
      </w:r>
      <w:r w:rsidR="00A819B5">
        <w:rPr>
          <w:rFonts w:ascii="Arial" w:hAnsi="Arial" w:cs="Arial"/>
          <w:color w:val="0D0D0D" w:themeColor="text1" w:themeTint="F2"/>
          <w:sz w:val="20"/>
          <w:szCs w:val="20"/>
        </w:rPr>
        <w:t xml:space="preserve"> </w:t>
      </w:r>
      <w:r w:rsidR="00CF36DF">
        <w:rPr>
          <w:rFonts w:ascii="Arial" w:hAnsi="Arial" w:cs="Arial"/>
          <w:color w:val="0D0D0D" w:themeColor="text1" w:themeTint="F2"/>
          <w:sz w:val="20"/>
          <w:szCs w:val="20"/>
        </w:rPr>
        <w:t xml:space="preserve"> </w:t>
      </w:r>
    </w:p>
    <w:p w:rsidR="00917114" w:rsidRDefault="00917114" w:rsidP="00CF36DF">
      <w:pPr>
        <w:pStyle w:val="ListParagraph"/>
        <w:numPr>
          <w:ilvl w:val="0"/>
          <w:numId w:val="11"/>
        </w:numPr>
        <w:tabs>
          <w:tab w:val="left" w:pos="3451"/>
        </w:tabs>
        <w:jc w:val="both"/>
        <w:rPr>
          <w:rFonts w:ascii="Arial" w:hAnsi="Arial" w:cs="Arial"/>
          <w:color w:val="0D0D0D" w:themeColor="text1" w:themeTint="F2"/>
          <w:sz w:val="20"/>
          <w:szCs w:val="20"/>
        </w:rPr>
      </w:pPr>
      <w:r>
        <w:rPr>
          <w:rFonts w:ascii="Arial" w:hAnsi="Arial" w:cs="Arial"/>
          <w:color w:val="0D0D0D" w:themeColor="text1" w:themeTint="F2"/>
          <w:sz w:val="20"/>
          <w:szCs w:val="20"/>
        </w:rPr>
        <w:t>High wastage rate due to following issues:</w:t>
      </w:r>
    </w:p>
    <w:p w:rsidR="00A819B5" w:rsidRDefault="00A819B5" w:rsidP="00917114">
      <w:pPr>
        <w:pStyle w:val="ListParagraph"/>
        <w:numPr>
          <w:ilvl w:val="0"/>
          <w:numId w:val="15"/>
        </w:numPr>
        <w:tabs>
          <w:tab w:val="left" w:pos="3451"/>
        </w:tabs>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WHO multi-dose open vial policy has not been adopted by EPI yet. According to country </w:t>
      </w:r>
      <w:r w:rsidR="00917114">
        <w:rPr>
          <w:rFonts w:ascii="Arial" w:hAnsi="Arial" w:cs="Arial"/>
          <w:color w:val="0D0D0D" w:themeColor="text1" w:themeTint="F2"/>
          <w:sz w:val="20"/>
          <w:szCs w:val="20"/>
        </w:rPr>
        <w:t>practices, in general, u</w:t>
      </w:r>
      <w:r w:rsidR="004263B0">
        <w:rPr>
          <w:rFonts w:ascii="Arial" w:hAnsi="Arial" w:cs="Arial"/>
          <w:color w:val="0D0D0D" w:themeColor="text1" w:themeTint="F2"/>
          <w:sz w:val="20"/>
          <w:szCs w:val="20"/>
        </w:rPr>
        <w:t xml:space="preserve">se of multi-dose vials </w:t>
      </w:r>
      <w:r w:rsidR="00917114">
        <w:rPr>
          <w:rFonts w:ascii="Arial" w:hAnsi="Arial" w:cs="Arial"/>
          <w:color w:val="0D0D0D" w:themeColor="text1" w:themeTint="F2"/>
          <w:sz w:val="20"/>
          <w:szCs w:val="20"/>
        </w:rPr>
        <w:t>by EPI</w:t>
      </w:r>
      <w:r w:rsidR="004263B0">
        <w:rPr>
          <w:rFonts w:ascii="Arial" w:hAnsi="Arial" w:cs="Arial"/>
          <w:color w:val="0D0D0D" w:themeColor="text1" w:themeTint="F2"/>
          <w:sz w:val="20"/>
          <w:szCs w:val="20"/>
        </w:rPr>
        <w:t xml:space="preserve"> </w:t>
      </w:r>
      <w:r w:rsidR="00917114">
        <w:rPr>
          <w:rFonts w:ascii="Arial" w:hAnsi="Arial" w:cs="Arial"/>
          <w:color w:val="0D0D0D" w:themeColor="text1" w:themeTint="F2"/>
          <w:sz w:val="20"/>
          <w:szCs w:val="20"/>
        </w:rPr>
        <w:t xml:space="preserve">depends on NRA recommendations indicated at registration documentation of vaccine, which always refers to producer instruction. The same experience applies to OPV multi doses vials currently used at national level. </w:t>
      </w:r>
    </w:p>
    <w:p w:rsidR="00322418" w:rsidRDefault="00CA752E" w:rsidP="006427CF">
      <w:pPr>
        <w:pStyle w:val="ListParagraph"/>
        <w:numPr>
          <w:ilvl w:val="0"/>
          <w:numId w:val="15"/>
        </w:numPr>
        <w:tabs>
          <w:tab w:val="left" w:pos="3451"/>
        </w:tabs>
        <w:jc w:val="both"/>
        <w:rPr>
          <w:rFonts w:ascii="Arial" w:hAnsi="Arial" w:cs="Arial"/>
          <w:color w:val="0D0D0D" w:themeColor="text1" w:themeTint="F2"/>
          <w:sz w:val="20"/>
          <w:szCs w:val="20"/>
        </w:rPr>
      </w:pPr>
      <w:r>
        <w:rPr>
          <w:rFonts w:ascii="Arial" w:hAnsi="Arial" w:cs="Arial"/>
          <w:color w:val="0D0D0D" w:themeColor="text1" w:themeTint="F2"/>
          <w:sz w:val="20"/>
          <w:szCs w:val="20"/>
        </w:rPr>
        <w:t>Country has h</w:t>
      </w:r>
      <w:r w:rsidR="00917114">
        <w:rPr>
          <w:rFonts w:ascii="Arial" w:hAnsi="Arial" w:cs="Arial"/>
          <w:color w:val="0D0D0D" w:themeColor="text1" w:themeTint="F2"/>
          <w:sz w:val="20"/>
          <w:szCs w:val="20"/>
        </w:rPr>
        <w:t xml:space="preserve">igh proportion of medical points with low </w:t>
      </w:r>
      <w:r w:rsidR="005845AC">
        <w:rPr>
          <w:rFonts w:ascii="Arial" w:hAnsi="Arial" w:cs="Arial"/>
          <w:color w:val="0D0D0D" w:themeColor="text1" w:themeTint="F2"/>
          <w:sz w:val="20"/>
          <w:szCs w:val="20"/>
        </w:rPr>
        <w:t>birth cohort</w:t>
      </w:r>
      <w:r w:rsidR="00917114">
        <w:rPr>
          <w:rFonts w:ascii="Arial" w:hAnsi="Arial" w:cs="Arial"/>
          <w:color w:val="0D0D0D" w:themeColor="text1" w:themeTint="F2"/>
          <w:sz w:val="20"/>
          <w:szCs w:val="20"/>
        </w:rPr>
        <w:t xml:space="preserve"> </w:t>
      </w:r>
      <w:r>
        <w:rPr>
          <w:rFonts w:ascii="Arial" w:hAnsi="Arial" w:cs="Arial"/>
          <w:color w:val="0D0D0D" w:themeColor="text1" w:themeTint="F2"/>
          <w:sz w:val="20"/>
          <w:szCs w:val="20"/>
        </w:rPr>
        <w:t xml:space="preserve">targeted for immunization, particularly based on data for 01.09.2014, </w:t>
      </w:r>
      <w:r w:rsidR="006427CF">
        <w:rPr>
          <w:rFonts w:ascii="Arial" w:hAnsi="Arial" w:cs="Arial"/>
          <w:color w:val="0D0D0D" w:themeColor="text1" w:themeTint="F2"/>
          <w:sz w:val="20"/>
          <w:szCs w:val="20"/>
        </w:rPr>
        <w:t xml:space="preserve">1446 (63%) </w:t>
      </w:r>
      <w:r>
        <w:rPr>
          <w:rFonts w:ascii="Arial" w:hAnsi="Arial" w:cs="Arial"/>
          <w:color w:val="0D0D0D" w:themeColor="text1" w:themeTint="F2"/>
          <w:sz w:val="20"/>
          <w:szCs w:val="20"/>
        </w:rPr>
        <w:t>out</w:t>
      </w:r>
      <w:r w:rsidRPr="00CA752E">
        <w:rPr>
          <w:rFonts w:ascii="Arial" w:hAnsi="Arial" w:cs="Arial"/>
          <w:color w:val="0D0D0D" w:themeColor="text1" w:themeTint="F2"/>
          <w:sz w:val="20"/>
          <w:szCs w:val="20"/>
        </w:rPr>
        <w:t xml:space="preserve"> </w:t>
      </w:r>
      <w:r w:rsidR="006427CF">
        <w:rPr>
          <w:rFonts w:ascii="Arial" w:hAnsi="Arial" w:cs="Arial"/>
          <w:color w:val="0D0D0D" w:themeColor="text1" w:themeTint="F2"/>
          <w:sz w:val="20"/>
          <w:szCs w:val="20"/>
        </w:rPr>
        <w:t xml:space="preserve">of </w:t>
      </w:r>
      <w:r w:rsidRPr="00CA752E">
        <w:rPr>
          <w:rFonts w:ascii="Arial" w:hAnsi="Arial" w:cs="Arial"/>
          <w:color w:val="0D0D0D" w:themeColor="text1" w:themeTint="F2"/>
          <w:sz w:val="20"/>
          <w:szCs w:val="20"/>
        </w:rPr>
        <w:t>2265</w:t>
      </w:r>
      <w:r>
        <w:rPr>
          <w:rFonts w:ascii="Arial" w:hAnsi="Arial" w:cs="Arial"/>
          <w:color w:val="0D0D0D" w:themeColor="text1" w:themeTint="F2"/>
          <w:sz w:val="20"/>
          <w:szCs w:val="20"/>
        </w:rPr>
        <w:t xml:space="preserve"> medical facilities providing vaccination </w:t>
      </w:r>
      <w:r w:rsidR="006427CF">
        <w:rPr>
          <w:rFonts w:ascii="Arial" w:hAnsi="Arial" w:cs="Arial"/>
          <w:color w:val="0D0D0D" w:themeColor="text1" w:themeTint="F2"/>
          <w:sz w:val="20"/>
          <w:szCs w:val="20"/>
        </w:rPr>
        <w:t>services have up</w:t>
      </w:r>
      <w:r w:rsidR="00322418">
        <w:rPr>
          <w:rFonts w:ascii="Arial" w:hAnsi="Arial" w:cs="Arial"/>
          <w:color w:val="0D0D0D" w:themeColor="text1" w:themeTint="F2"/>
          <w:sz w:val="20"/>
          <w:szCs w:val="20"/>
        </w:rPr>
        <w:t xml:space="preserve"> to 30 children a</w:t>
      </w:r>
      <w:r w:rsidR="00732F0B">
        <w:rPr>
          <w:rFonts w:ascii="Arial" w:hAnsi="Arial" w:cs="Arial"/>
          <w:color w:val="0D0D0D" w:themeColor="text1" w:themeTint="F2"/>
          <w:sz w:val="20"/>
          <w:szCs w:val="20"/>
        </w:rPr>
        <w:t>nnually targeted by EPI. Th</w:t>
      </w:r>
      <w:r w:rsidR="00092772">
        <w:rPr>
          <w:rFonts w:ascii="Arial" w:hAnsi="Arial" w:cs="Arial"/>
          <w:color w:val="0D0D0D" w:themeColor="text1" w:themeTint="F2"/>
          <w:sz w:val="20"/>
          <w:szCs w:val="20"/>
        </w:rPr>
        <w:t>us</w:t>
      </w:r>
      <w:r w:rsidR="00322418">
        <w:rPr>
          <w:rFonts w:ascii="Arial" w:hAnsi="Arial" w:cs="Arial"/>
          <w:color w:val="0D0D0D" w:themeColor="text1" w:themeTint="F2"/>
          <w:sz w:val="20"/>
          <w:szCs w:val="20"/>
        </w:rPr>
        <w:t xml:space="preserve"> of su</w:t>
      </w:r>
      <w:r w:rsidR="00092772">
        <w:rPr>
          <w:rFonts w:ascii="Arial" w:hAnsi="Arial" w:cs="Arial"/>
          <w:color w:val="0D0D0D" w:themeColor="text1" w:themeTint="F2"/>
          <w:sz w:val="20"/>
          <w:szCs w:val="20"/>
        </w:rPr>
        <w:t>pply of multi-dose presentation</w:t>
      </w:r>
      <w:r w:rsidR="00322418">
        <w:rPr>
          <w:rFonts w:ascii="Arial" w:hAnsi="Arial" w:cs="Arial"/>
          <w:color w:val="0D0D0D" w:themeColor="text1" w:themeTint="F2"/>
          <w:sz w:val="20"/>
          <w:szCs w:val="20"/>
        </w:rPr>
        <w:t xml:space="preserve"> can significantly affect wastage rate and will lead to high number of missing opportunities. </w:t>
      </w:r>
      <w:r w:rsidR="006427CF">
        <w:rPr>
          <w:rFonts w:ascii="Arial" w:hAnsi="Arial" w:cs="Arial"/>
          <w:color w:val="0D0D0D" w:themeColor="text1" w:themeTint="F2"/>
          <w:sz w:val="20"/>
          <w:szCs w:val="20"/>
        </w:rPr>
        <w:t>Deta</w:t>
      </w:r>
      <w:r w:rsidR="00322418">
        <w:rPr>
          <w:rFonts w:ascii="Arial" w:hAnsi="Arial" w:cs="Arial"/>
          <w:color w:val="0D0D0D" w:themeColor="text1" w:themeTint="F2"/>
          <w:sz w:val="20"/>
          <w:szCs w:val="20"/>
        </w:rPr>
        <w:t>i</w:t>
      </w:r>
      <w:r w:rsidR="006427CF">
        <w:rPr>
          <w:rFonts w:ascii="Arial" w:hAnsi="Arial" w:cs="Arial"/>
          <w:color w:val="0D0D0D" w:themeColor="text1" w:themeTint="F2"/>
          <w:sz w:val="20"/>
          <w:szCs w:val="20"/>
        </w:rPr>
        <w:t xml:space="preserve">led </w:t>
      </w:r>
      <w:r w:rsidR="00322418">
        <w:rPr>
          <w:rFonts w:ascii="Arial" w:hAnsi="Arial" w:cs="Arial"/>
          <w:color w:val="0D0D0D" w:themeColor="text1" w:themeTint="F2"/>
          <w:sz w:val="20"/>
          <w:szCs w:val="20"/>
        </w:rPr>
        <w:t xml:space="preserve">information is indicated below. </w:t>
      </w:r>
    </w:p>
    <w:p w:rsidR="00322418" w:rsidRDefault="00322418" w:rsidP="00322418">
      <w:pPr>
        <w:pStyle w:val="ListParagraph"/>
        <w:tabs>
          <w:tab w:val="left" w:pos="3451"/>
        </w:tabs>
        <w:ind w:left="1080"/>
        <w:jc w:val="both"/>
        <w:rPr>
          <w:rFonts w:ascii="Arial" w:hAnsi="Arial" w:cs="Arial"/>
          <w:color w:val="0D0D0D" w:themeColor="text1" w:themeTint="F2"/>
          <w:sz w:val="20"/>
          <w:szCs w:val="20"/>
        </w:rPr>
      </w:pPr>
    </w:p>
    <w:p w:rsidR="00322418" w:rsidRDefault="00CA752E" w:rsidP="00322418">
      <w:pPr>
        <w:pStyle w:val="ListParagraph"/>
        <w:tabs>
          <w:tab w:val="left" w:pos="3451"/>
        </w:tabs>
        <w:ind w:left="1080"/>
        <w:jc w:val="both"/>
        <w:rPr>
          <w:rFonts w:ascii="Arial" w:hAnsi="Arial" w:cs="Arial"/>
          <w:color w:val="0D0D0D" w:themeColor="text1" w:themeTint="F2"/>
          <w:sz w:val="20"/>
          <w:szCs w:val="20"/>
        </w:rPr>
      </w:pPr>
      <w:r>
        <w:rPr>
          <w:rFonts w:ascii="Arial" w:hAnsi="Arial" w:cs="Arial"/>
          <w:color w:val="0D0D0D" w:themeColor="text1" w:themeTint="F2"/>
          <w:sz w:val="20"/>
          <w:szCs w:val="20"/>
        </w:rPr>
        <w:t>828 (36</w:t>
      </w:r>
      <w:proofErr w:type="gramStart"/>
      <w:r>
        <w:rPr>
          <w:rFonts w:ascii="Arial" w:hAnsi="Arial" w:cs="Arial"/>
          <w:color w:val="0D0D0D" w:themeColor="text1" w:themeTint="F2"/>
          <w:sz w:val="20"/>
          <w:szCs w:val="20"/>
        </w:rPr>
        <w:t>,5</w:t>
      </w:r>
      <w:proofErr w:type="gramEnd"/>
      <w:r>
        <w:rPr>
          <w:rFonts w:ascii="Arial" w:hAnsi="Arial" w:cs="Arial"/>
          <w:color w:val="0D0D0D" w:themeColor="text1" w:themeTint="F2"/>
          <w:sz w:val="20"/>
          <w:szCs w:val="20"/>
        </w:rPr>
        <w:t>%)</w:t>
      </w:r>
      <w:r w:rsidR="00322418">
        <w:rPr>
          <w:rFonts w:ascii="Arial" w:hAnsi="Arial" w:cs="Arial"/>
          <w:color w:val="0D0D0D" w:themeColor="text1" w:themeTint="F2"/>
          <w:sz w:val="20"/>
          <w:szCs w:val="20"/>
        </w:rPr>
        <w:t xml:space="preserve"> –</w:t>
      </w:r>
      <w:r w:rsidR="006427CF">
        <w:rPr>
          <w:rFonts w:ascii="Arial" w:hAnsi="Arial" w:cs="Arial"/>
          <w:color w:val="0D0D0D" w:themeColor="text1" w:themeTint="F2"/>
          <w:sz w:val="20"/>
          <w:szCs w:val="20"/>
        </w:rPr>
        <w:t>1-</w:t>
      </w:r>
      <w:r>
        <w:rPr>
          <w:rFonts w:ascii="Arial" w:hAnsi="Arial" w:cs="Arial"/>
          <w:color w:val="0D0D0D" w:themeColor="text1" w:themeTint="F2"/>
          <w:sz w:val="20"/>
          <w:szCs w:val="20"/>
        </w:rPr>
        <w:t xml:space="preserve"> 15</w:t>
      </w:r>
      <w:r w:rsidR="00322418">
        <w:rPr>
          <w:rFonts w:ascii="Arial" w:hAnsi="Arial" w:cs="Arial"/>
          <w:color w:val="0D0D0D" w:themeColor="text1" w:themeTint="F2"/>
          <w:sz w:val="20"/>
          <w:szCs w:val="20"/>
        </w:rPr>
        <w:t xml:space="preserve"> children under 1 annually</w:t>
      </w:r>
    </w:p>
    <w:p w:rsidR="00322418" w:rsidRDefault="00322418" w:rsidP="00322418">
      <w:pPr>
        <w:pStyle w:val="ListParagraph"/>
        <w:tabs>
          <w:tab w:val="left" w:pos="3451"/>
        </w:tabs>
        <w:ind w:left="1080"/>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618 (27, 3%) - </w:t>
      </w:r>
      <w:r w:rsidR="006427CF">
        <w:rPr>
          <w:rFonts w:ascii="Arial" w:hAnsi="Arial" w:cs="Arial"/>
          <w:color w:val="0D0D0D" w:themeColor="text1" w:themeTint="F2"/>
          <w:sz w:val="20"/>
          <w:szCs w:val="20"/>
        </w:rPr>
        <w:t xml:space="preserve">16- 30 </w:t>
      </w:r>
      <w:r w:rsidR="006427CF" w:rsidRPr="006427CF">
        <w:rPr>
          <w:rFonts w:ascii="Arial" w:hAnsi="Arial" w:cs="Arial"/>
          <w:color w:val="0D0D0D" w:themeColor="text1" w:themeTint="F2"/>
          <w:sz w:val="20"/>
          <w:szCs w:val="20"/>
        </w:rPr>
        <w:t>children under 1 annually</w:t>
      </w:r>
    </w:p>
    <w:p w:rsidR="00CA752E" w:rsidRDefault="00322418" w:rsidP="00322418">
      <w:pPr>
        <w:pStyle w:val="ListParagraph"/>
        <w:tabs>
          <w:tab w:val="left" w:pos="3451"/>
        </w:tabs>
        <w:ind w:left="1080"/>
        <w:jc w:val="both"/>
        <w:rPr>
          <w:rFonts w:ascii="Arial" w:hAnsi="Arial" w:cs="Arial"/>
          <w:color w:val="0D0D0D" w:themeColor="text1" w:themeTint="F2"/>
          <w:sz w:val="20"/>
          <w:szCs w:val="20"/>
        </w:rPr>
      </w:pPr>
      <w:r>
        <w:rPr>
          <w:rFonts w:ascii="Arial" w:hAnsi="Arial" w:cs="Arial"/>
          <w:color w:val="0D0D0D" w:themeColor="text1" w:themeTint="F2"/>
          <w:sz w:val="20"/>
          <w:szCs w:val="20"/>
        </w:rPr>
        <w:t>331 (14</w:t>
      </w:r>
      <w:proofErr w:type="gramStart"/>
      <w:r>
        <w:rPr>
          <w:rFonts w:ascii="Arial" w:hAnsi="Arial" w:cs="Arial"/>
          <w:color w:val="0D0D0D" w:themeColor="text1" w:themeTint="F2"/>
          <w:sz w:val="20"/>
          <w:szCs w:val="20"/>
        </w:rPr>
        <w:t>,6</w:t>
      </w:r>
      <w:proofErr w:type="gramEnd"/>
      <w:r>
        <w:rPr>
          <w:rFonts w:ascii="Arial" w:hAnsi="Arial" w:cs="Arial"/>
          <w:color w:val="0D0D0D" w:themeColor="text1" w:themeTint="F2"/>
          <w:sz w:val="20"/>
          <w:szCs w:val="20"/>
        </w:rPr>
        <w:t>%) - 31- 50 children under 1 annually</w:t>
      </w:r>
    </w:p>
    <w:p w:rsidR="00322418" w:rsidRDefault="00322418" w:rsidP="00322418">
      <w:pPr>
        <w:pStyle w:val="ListParagraph"/>
        <w:tabs>
          <w:tab w:val="left" w:pos="3451"/>
        </w:tabs>
        <w:ind w:left="1080"/>
        <w:jc w:val="both"/>
        <w:rPr>
          <w:rFonts w:ascii="Arial" w:hAnsi="Arial" w:cs="Arial"/>
          <w:color w:val="0D0D0D" w:themeColor="text1" w:themeTint="F2"/>
          <w:sz w:val="20"/>
          <w:szCs w:val="20"/>
        </w:rPr>
      </w:pPr>
      <w:r w:rsidRPr="00CA752E">
        <w:rPr>
          <w:rFonts w:ascii="Arial" w:hAnsi="Arial" w:cs="Arial"/>
          <w:color w:val="0D0D0D" w:themeColor="text1" w:themeTint="F2"/>
          <w:sz w:val="20"/>
          <w:szCs w:val="20"/>
        </w:rPr>
        <w:t>273 (12</w:t>
      </w:r>
      <w:proofErr w:type="gramStart"/>
      <w:r w:rsidRPr="00CA752E">
        <w:rPr>
          <w:rFonts w:ascii="Arial" w:hAnsi="Arial" w:cs="Arial"/>
          <w:color w:val="0D0D0D" w:themeColor="text1" w:themeTint="F2"/>
          <w:sz w:val="20"/>
          <w:szCs w:val="20"/>
        </w:rPr>
        <w:t>,0</w:t>
      </w:r>
      <w:proofErr w:type="gramEnd"/>
      <w:r w:rsidRPr="00CA752E">
        <w:rPr>
          <w:rFonts w:ascii="Arial" w:hAnsi="Arial" w:cs="Arial"/>
          <w:color w:val="0D0D0D" w:themeColor="text1" w:themeTint="F2"/>
          <w:sz w:val="20"/>
          <w:szCs w:val="20"/>
        </w:rPr>
        <w:t>%)</w:t>
      </w:r>
      <w:r>
        <w:rPr>
          <w:rFonts w:ascii="Arial" w:hAnsi="Arial" w:cs="Arial"/>
          <w:color w:val="0D0D0D" w:themeColor="text1" w:themeTint="F2"/>
          <w:sz w:val="20"/>
          <w:szCs w:val="20"/>
        </w:rPr>
        <w:t xml:space="preserve"> -</w:t>
      </w:r>
      <w:r w:rsidRPr="00CA752E">
        <w:rPr>
          <w:rFonts w:ascii="Arial" w:hAnsi="Arial" w:cs="Arial"/>
          <w:color w:val="0D0D0D" w:themeColor="text1" w:themeTint="F2"/>
          <w:sz w:val="20"/>
          <w:szCs w:val="20"/>
        </w:rPr>
        <w:t xml:space="preserve"> </w:t>
      </w:r>
      <w:r w:rsidR="00CA752E" w:rsidRPr="00CA752E">
        <w:rPr>
          <w:rFonts w:ascii="Arial" w:hAnsi="Arial" w:cs="Arial"/>
          <w:color w:val="0D0D0D" w:themeColor="text1" w:themeTint="F2"/>
          <w:sz w:val="20"/>
          <w:szCs w:val="20"/>
        </w:rPr>
        <w:t xml:space="preserve">51-100 </w:t>
      </w:r>
      <w:r w:rsidRPr="00322418">
        <w:rPr>
          <w:rFonts w:ascii="Arial" w:hAnsi="Arial" w:cs="Arial"/>
          <w:color w:val="0D0D0D" w:themeColor="text1" w:themeTint="F2"/>
          <w:sz w:val="20"/>
          <w:szCs w:val="20"/>
        </w:rPr>
        <w:t xml:space="preserve">children under 1 annually </w:t>
      </w:r>
    </w:p>
    <w:p w:rsidR="00322418" w:rsidRDefault="00322418" w:rsidP="00322418">
      <w:pPr>
        <w:pStyle w:val="ListParagraph"/>
        <w:tabs>
          <w:tab w:val="left" w:pos="3451"/>
        </w:tabs>
        <w:ind w:left="1080"/>
        <w:jc w:val="both"/>
        <w:rPr>
          <w:rFonts w:ascii="Arial" w:hAnsi="Arial" w:cs="Arial"/>
          <w:color w:val="0D0D0D" w:themeColor="text1" w:themeTint="F2"/>
          <w:sz w:val="20"/>
          <w:szCs w:val="20"/>
        </w:rPr>
      </w:pPr>
      <w:r w:rsidRPr="00CA752E">
        <w:rPr>
          <w:rFonts w:ascii="Arial" w:hAnsi="Arial" w:cs="Arial"/>
          <w:color w:val="0D0D0D" w:themeColor="text1" w:themeTint="F2"/>
          <w:sz w:val="20"/>
          <w:szCs w:val="20"/>
        </w:rPr>
        <w:t>195 (8</w:t>
      </w:r>
      <w:proofErr w:type="gramStart"/>
      <w:r w:rsidRPr="00CA752E">
        <w:rPr>
          <w:rFonts w:ascii="Arial" w:hAnsi="Arial" w:cs="Arial"/>
          <w:color w:val="0D0D0D" w:themeColor="text1" w:themeTint="F2"/>
          <w:sz w:val="20"/>
          <w:szCs w:val="20"/>
        </w:rPr>
        <w:t>,7</w:t>
      </w:r>
      <w:proofErr w:type="gramEnd"/>
      <w:r w:rsidRPr="00CA752E">
        <w:rPr>
          <w:rFonts w:ascii="Arial" w:hAnsi="Arial" w:cs="Arial"/>
          <w:color w:val="0D0D0D" w:themeColor="text1" w:themeTint="F2"/>
          <w:sz w:val="20"/>
          <w:szCs w:val="20"/>
        </w:rPr>
        <w:t>%)</w:t>
      </w:r>
      <w:r>
        <w:rPr>
          <w:rFonts w:ascii="Arial" w:hAnsi="Arial" w:cs="Arial"/>
          <w:color w:val="0D0D0D" w:themeColor="text1" w:themeTint="F2"/>
          <w:sz w:val="20"/>
          <w:szCs w:val="20"/>
        </w:rPr>
        <w:t xml:space="preserve"> - &gt; 1</w:t>
      </w:r>
      <w:r w:rsidR="00CA752E" w:rsidRPr="00CA752E">
        <w:rPr>
          <w:rFonts w:ascii="Arial" w:hAnsi="Arial" w:cs="Arial"/>
          <w:color w:val="0D0D0D" w:themeColor="text1" w:themeTint="F2"/>
          <w:sz w:val="20"/>
          <w:szCs w:val="20"/>
        </w:rPr>
        <w:t xml:space="preserve">00 </w:t>
      </w:r>
      <w:r w:rsidRPr="00322418">
        <w:rPr>
          <w:rFonts w:ascii="Arial" w:hAnsi="Arial" w:cs="Arial"/>
          <w:color w:val="0D0D0D" w:themeColor="text1" w:themeTint="F2"/>
          <w:sz w:val="20"/>
          <w:szCs w:val="20"/>
        </w:rPr>
        <w:t>children under 1 annually</w:t>
      </w:r>
    </w:p>
    <w:p w:rsidR="00322418" w:rsidRDefault="00322418" w:rsidP="00322418">
      <w:pPr>
        <w:pStyle w:val="ListParagraph"/>
        <w:tabs>
          <w:tab w:val="left" w:pos="3451"/>
        </w:tabs>
        <w:ind w:left="1080"/>
        <w:jc w:val="both"/>
        <w:rPr>
          <w:rFonts w:ascii="Arial" w:hAnsi="Arial" w:cs="Arial"/>
          <w:color w:val="0D0D0D" w:themeColor="text1" w:themeTint="F2"/>
          <w:sz w:val="20"/>
          <w:szCs w:val="20"/>
        </w:rPr>
      </w:pPr>
    </w:p>
    <w:p w:rsidR="00AA62A0" w:rsidRDefault="00322418" w:rsidP="00B231E8">
      <w:pPr>
        <w:pStyle w:val="ListParagraph"/>
        <w:tabs>
          <w:tab w:val="left" w:pos="3451"/>
        </w:tabs>
        <w:jc w:val="both"/>
        <w:rPr>
          <w:rFonts w:ascii="Arial" w:hAnsi="Arial" w:cs="Arial"/>
          <w:color w:val="0D0D0D" w:themeColor="text1" w:themeTint="F2"/>
          <w:sz w:val="20"/>
          <w:szCs w:val="20"/>
        </w:rPr>
      </w:pPr>
      <w:r>
        <w:rPr>
          <w:rFonts w:ascii="Arial" w:hAnsi="Arial" w:cs="Arial"/>
          <w:color w:val="0D0D0D" w:themeColor="text1" w:themeTint="F2"/>
          <w:sz w:val="20"/>
          <w:szCs w:val="20"/>
        </w:rPr>
        <w:t>Currently EPI uses mainly 1 and 2 doses vials, whenever these vaccine presentations exist at producers. Therefore procurement of single dose vial IPV is only recommended by NITAG and approved by MoH in order to reduce possible risks, ensure immunization safety, timely vaccination and low wastage rate.</w:t>
      </w:r>
    </w:p>
    <w:p w:rsidR="00455E22" w:rsidRDefault="00455E22" w:rsidP="00AA62A0">
      <w:pPr>
        <w:pStyle w:val="ListParagraph"/>
        <w:tabs>
          <w:tab w:val="left" w:pos="3451"/>
        </w:tabs>
        <w:rPr>
          <w:rFonts w:ascii="Arial" w:hAnsi="Arial" w:cs="Arial"/>
          <w:color w:val="0D0D0D" w:themeColor="text1" w:themeTint="F2"/>
          <w:sz w:val="20"/>
          <w:szCs w:val="20"/>
        </w:rPr>
      </w:pPr>
    </w:p>
    <w:p w:rsidR="00455E22" w:rsidRDefault="00455E22" w:rsidP="00B231E8">
      <w:pPr>
        <w:pStyle w:val="ListParagraph"/>
        <w:numPr>
          <w:ilvl w:val="0"/>
          <w:numId w:val="11"/>
        </w:numPr>
        <w:tabs>
          <w:tab w:val="left" w:pos="3451"/>
        </w:tabs>
        <w:jc w:val="both"/>
        <w:rPr>
          <w:rFonts w:ascii="Arial" w:hAnsi="Arial" w:cs="Arial"/>
          <w:color w:val="0D0D0D" w:themeColor="text1" w:themeTint="F2"/>
          <w:sz w:val="20"/>
          <w:szCs w:val="20"/>
        </w:rPr>
      </w:pPr>
      <w:r>
        <w:rPr>
          <w:rFonts w:ascii="Arial" w:hAnsi="Arial" w:cs="Arial"/>
          <w:color w:val="0D0D0D" w:themeColor="text1" w:themeTint="F2"/>
          <w:sz w:val="20"/>
          <w:szCs w:val="20"/>
        </w:rPr>
        <w:t>Low performing and fragmented AEFI surveillance system</w:t>
      </w:r>
      <w:r w:rsidR="000851F7">
        <w:rPr>
          <w:rFonts w:ascii="Arial" w:hAnsi="Arial" w:cs="Arial"/>
          <w:color w:val="0D0D0D" w:themeColor="text1" w:themeTint="F2"/>
          <w:sz w:val="20"/>
          <w:szCs w:val="20"/>
        </w:rPr>
        <w:t xml:space="preserve">- </w:t>
      </w:r>
      <w:r w:rsidR="00143A04">
        <w:rPr>
          <w:rFonts w:ascii="Arial" w:hAnsi="Arial" w:cs="Arial"/>
          <w:color w:val="0D0D0D" w:themeColor="text1" w:themeTint="F2"/>
          <w:sz w:val="20"/>
          <w:szCs w:val="20"/>
        </w:rPr>
        <w:t xml:space="preserve">Starting 2005 EPI has made several efforts on strengthening AEFI surveillance system and gradually improved AEFI reporting at </w:t>
      </w:r>
      <w:proofErr w:type="spellStart"/>
      <w:r w:rsidR="00143A04">
        <w:rPr>
          <w:rFonts w:ascii="Arial" w:hAnsi="Arial" w:cs="Arial"/>
          <w:color w:val="0D0D0D" w:themeColor="text1" w:themeTint="F2"/>
          <w:sz w:val="20"/>
          <w:szCs w:val="20"/>
        </w:rPr>
        <w:t>phc</w:t>
      </w:r>
      <w:proofErr w:type="spellEnd"/>
      <w:r w:rsidR="00143A04">
        <w:rPr>
          <w:rFonts w:ascii="Arial" w:hAnsi="Arial" w:cs="Arial"/>
          <w:color w:val="0D0D0D" w:themeColor="text1" w:themeTint="F2"/>
          <w:sz w:val="20"/>
          <w:szCs w:val="20"/>
        </w:rPr>
        <w:t xml:space="preserve"> level.</w:t>
      </w:r>
      <w:r w:rsidR="008846DD">
        <w:rPr>
          <w:rFonts w:ascii="Arial" w:hAnsi="Arial" w:cs="Arial"/>
          <w:color w:val="0D0D0D" w:themeColor="text1" w:themeTint="F2"/>
          <w:sz w:val="20"/>
          <w:szCs w:val="20"/>
        </w:rPr>
        <w:t xml:space="preserve"> Thus by order of the Ministry of Health AEFI commission has been created at national level, AEFI reporting has been intensified during SIA and followed by regular reporting</w:t>
      </w:r>
      <w:r w:rsidR="008846DD" w:rsidRPr="008846DD">
        <w:rPr>
          <w:rFonts w:ascii="Arial" w:hAnsi="Arial" w:cs="Arial"/>
          <w:color w:val="0D0D0D" w:themeColor="text1" w:themeTint="F2"/>
          <w:sz w:val="20"/>
          <w:szCs w:val="20"/>
        </w:rPr>
        <w:t xml:space="preserve"> </w:t>
      </w:r>
      <w:r w:rsidR="008846DD">
        <w:rPr>
          <w:rFonts w:ascii="Arial" w:hAnsi="Arial" w:cs="Arial"/>
          <w:color w:val="0D0D0D" w:themeColor="text1" w:themeTint="F2"/>
          <w:sz w:val="20"/>
          <w:szCs w:val="20"/>
        </w:rPr>
        <w:t>for EPI</w:t>
      </w:r>
      <w:r w:rsidR="008846DD" w:rsidRPr="008846DD">
        <w:rPr>
          <w:rFonts w:ascii="Arial" w:hAnsi="Arial" w:cs="Arial"/>
          <w:color w:val="0D0D0D" w:themeColor="text1" w:themeTint="F2"/>
          <w:sz w:val="20"/>
          <w:szCs w:val="20"/>
        </w:rPr>
        <w:t xml:space="preserve"> </w:t>
      </w:r>
      <w:r w:rsidR="008846DD">
        <w:rPr>
          <w:rFonts w:ascii="Arial" w:hAnsi="Arial" w:cs="Arial"/>
          <w:color w:val="0D0D0D" w:themeColor="text1" w:themeTint="F2"/>
          <w:sz w:val="20"/>
          <w:szCs w:val="20"/>
        </w:rPr>
        <w:t xml:space="preserve">routine program. </w:t>
      </w:r>
      <w:r w:rsidR="00143A04">
        <w:rPr>
          <w:rFonts w:ascii="Arial" w:hAnsi="Arial" w:cs="Arial"/>
          <w:color w:val="0D0D0D" w:themeColor="text1" w:themeTint="F2"/>
          <w:sz w:val="20"/>
          <w:szCs w:val="20"/>
        </w:rPr>
        <w:t xml:space="preserve"> </w:t>
      </w:r>
      <w:r w:rsidR="0097643F">
        <w:rPr>
          <w:rFonts w:ascii="Arial" w:hAnsi="Arial" w:cs="Arial"/>
          <w:color w:val="0D0D0D" w:themeColor="text1" w:themeTint="F2"/>
          <w:sz w:val="20"/>
          <w:szCs w:val="20"/>
        </w:rPr>
        <w:t xml:space="preserve">However in terms of AEFI surveillance standards and reporting </w:t>
      </w:r>
      <w:r w:rsidR="008846DD">
        <w:rPr>
          <w:rFonts w:ascii="Arial" w:hAnsi="Arial" w:cs="Arial"/>
          <w:color w:val="0D0D0D" w:themeColor="text1" w:themeTint="F2"/>
          <w:sz w:val="20"/>
          <w:szCs w:val="20"/>
        </w:rPr>
        <w:t>procedures</w:t>
      </w:r>
      <w:r w:rsidR="0097643F">
        <w:rPr>
          <w:rFonts w:ascii="Arial" w:hAnsi="Arial" w:cs="Arial"/>
          <w:color w:val="0D0D0D" w:themeColor="text1" w:themeTint="F2"/>
          <w:sz w:val="20"/>
          <w:szCs w:val="20"/>
        </w:rPr>
        <w:t xml:space="preserve"> availa</w:t>
      </w:r>
      <w:r w:rsidR="008846DD">
        <w:rPr>
          <w:rFonts w:ascii="Arial" w:hAnsi="Arial" w:cs="Arial"/>
          <w:color w:val="0D0D0D" w:themeColor="text1" w:themeTint="F2"/>
          <w:sz w:val="20"/>
          <w:szCs w:val="20"/>
        </w:rPr>
        <w:t xml:space="preserve">ble documents </w:t>
      </w:r>
      <w:r w:rsidR="00B03239">
        <w:rPr>
          <w:rFonts w:ascii="Arial" w:hAnsi="Arial" w:cs="Arial"/>
          <w:color w:val="0D0D0D" w:themeColor="text1" w:themeTint="F2"/>
          <w:sz w:val="20"/>
          <w:szCs w:val="20"/>
        </w:rPr>
        <w:t>require</w:t>
      </w:r>
      <w:r w:rsidR="0097643F">
        <w:rPr>
          <w:rFonts w:ascii="Arial" w:hAnsi="Arial" w:cs="Arial"/>
          <w:color w:val="0D0D0D" w:themeColor="text1" w:themeTint="F2"/>
          <w:sz w:val="20"/>
          <w:szCs w:val="20"/>
        </w:rPr>
        <w:t xml:space="preserve"> significant </w:t>
      </w:r>
      <w:r w:rsidR="00B03239">
        <w:rPr>
          <w:rFonts w:ascii="Arial" w:hAnsi="Arial" w:cs="Arial"/>
          <w:color w:val="0D0D0D" w:themeColor="text1" w:themeTint="F2"/>
          <w:sz w:val="20"/>
          <w:szCs w:val="20"/>
        </w:rPr>
        <w:t>modification</w:t>
      </w:r>
      <w:r w:rsidR="008846DD">
        <w:rPr>
          <w:rFonts w:ascii="Arial" w:hAnsi="Arial" w:cs="Arial"/>
          <w:color w:val="0D0D0D" w:themeColor="text1" w:themeTint="F2"/>
          <w:sz w:val="20"/>
          <w:szCs w:val="20"/>
        </w:rPr>
        <w:t xml:space="preserve"> to address new vaccine specific aspects. Also revision of AEFI surveillance system is needed in order to integrate EPI and NRA efforts and ensure rationale use of resources</w:t>
      </w:r>
      <w:r w:rsidR="00EE105E">
        <w:rPr>
          <w:rFonts w:ascii="Arial" w:hAnsi="Arial" w:cs="Arial"/>
          <w:color w:val="0D0D0D" w:themeColor="text1" w:themeTint="F2"/>
          <w:sz w:val="20"/>
          <w:szCs w:val="20"/>
        </w:rPr>
        <w:t xml:space="preserve"> and adequate data analysis</w:t>
      </w:r>
      <w:r w:rsidR="008846DD">
        <w:rPr>
          <w:rFonts w:ascii="Arial" w:hAnsi="Arial" w:cs="Arial"/>
          <w:color w:val="0D0D0D" w:themeColor="text1" w:themeTint="F2"/>
          <w:sz w:val="20"/>
          <w:szCs w:val="20"/>
        </w:rPr>
        <w:t xml:space="preserve">. </w:t>
      </w:r>
    </w:p>
    <w:p w:rsidR="00CC36A6" w:rsidRPr="00661C9B" w:rsidRDefault="00234E3C" w:rsidP="00B231E8">
      <w:pPr>
        <w:tabs>
          <w:tab w:val="left" w:pos="3451"/>
        </w:tabs>
        <w:rPr>
          <w:rFonts w:ascii="Arial" w:hAnsi="Arial" w:cs="Arial"/>
          <w:color w:val="0D0D0D" w:themeColor="text1" w:themeTint="F2"/>
          <w:sz w:val="20"/>
          <w:szCs w:val="20"/>
        </w:rPr>
      </w:pPr>
      <w:r w:rsidRPr="00661C9B">
        <w:rPr>
          <w:rFonts w:ascii="Arial" w:hAnsi="Arial" w:cs="Arial"/>
          <w:color w:val="0D0D0D" w:themeColor="text1" w:themeTint="F2"/>
          <w:sz w:val="20"/>
          <w:szCs w:val="20"/>
        </w:rPr>
        <w:t xml:space="preserve">EPI strongly monitors gender issue during </w:t>
      </w:r>
      <w:r w:rsidR="00661C9B">
        <w:rPr>
          <w:rFonts w:ascii="Arial" w:hAnsi="Arial" w:cs="Arial"/>
          <w:color w:val="0D0D0D" w:themeColor="text1" w:themeTint="F2"/>
          <w:sz w:val="20"/>
          <w:szCs w:val="20"/>
        </w:rPr>
        <w:t>analysis of</w:t>
      </w:r>
      <w:r w:rsidRPr="00661C9B">
        <w:rPr>
          <w:rFonts w:ascii="Arial" w:hAnsi="Arial" w:cs="Arial"/>
          <w:color w:val="0D0D0D" w:themeColor="text1" w:themeTint="F2"/>
          <w:sz w:val="20"/>
          <w:szCs w:val="20"/>
        </w:rPr>
        <w:t xml:space="preserve"> </w:t>
      </w:r>
      <w:r w:rsidR="00661C9B">
        <w:rPr>
          <w:rFonts w:ascii="Arial" w:hAnsi="Arial" w:cs="Arial"/>
          <w:color w:val="0D0D0D" w:themeColor="text1" w:themeTint="F2"/>
          <w:sz w:val="20"/>
          <w:szCs w:val="20"/>
        </w:rPr>
        <w:t xml:space="preserve">annual </w:t>
      </w:r>
      <w:r w:rsidRPr="00661C9B">
        <w:rPr>
          <w:rFonts w:ascii="Arial" w:hAnsi="Arial" w:cs="Arial"/>
          <w:color w:val="0D0D0D" w:themeColor="text1" w:themeTint="F2"/>
          <w:sz w:val="20"/>
          <w:szCs w:val="20"/>
        </w:rPr>
        <w:t>vaccination coverage</w:t>
      </w:r>
      <w:r w:rsidR="00661C9B">
        <w:rPr>
          <w:rFonts w:ascii="Arial" w:hAnsi="Arial" w:cs="Arial"/>
          <w:color w:val="0D0D0D" w:themeColor="text1" w:themeTint="F2"/>
          <w:sz w:val="20"/>
          <w:szCs w:val="20"/>
        </w:rPr>
        <w:t xml:space="preserve"> data</w:t>
      </w:r>
      <w:r w:rsidR="00661C9B" w:rsidRPr="00661C9B">
        <w:rPr>
          <w:rFonts w:ascii="Arial" w:hAnsi="Arial" w:cs="Arial"/>
          <w:color w:val="0D0D0D" w:themeColor="text1" w:themeTint="F2"/>
          <w:sz w:val="20"/>
          <w:szCs w:val="20"/>
        </w:rPr>
        <w:t xml:space="preserve">. There is no gender </w:t>
      </w:r>
      <w:r w:rsidRPr="00661C9B">
        <w:rPr>
          <w:rFonts w:ascii="Arial" w:hAnsi="Arial" w:cs="Arial"/>
          <w:color w:val="0D0D0D" w:themeColor="text1" w:themeTint="F2"/>
          <w:sz w:val="20"/>
          <w:szCs w:val="20"/>
        </w:rPr>
        <w:t xml:space="preserve">disparity in </w:t>
      </w:r>
      <w:r w:rsidR="00661C9B" w:rsidRPr="00661C9B">
        <w:rPr>
          <w:rFonts w:ascii="Arial" w:hAnsi="Arial" w:cs="Arial"/>
          <w:color w:val="0D0D0D" w:themeColor="text1" w:themeTint="F2"/>
          <w:sz w:val="20"/>
          <w:szCs w:val="20"/>
        </w:rPr>
        <w:t>vaccination coverage reported by country</w:t>
      </w:r>
      <w:r w:rsidRPr="00661C9B">
        <w:rPr>
          <w:rFonts w:ascii="Arial" w:hAnsi="Arial" w:cs="Arial"/>
          <w:color w:val="0D0D0D" w:themeColor="text1" w:themeTint="F2"/>
          <w:sz w:val="20"/>
          <w:szCs w:val="20"/>
        </w:rPr>
        <w:t xml:space="preserve">, and the recent DHS </w:t>
      </w:r>
      <w:r w:rsidR="00661C9B" w:rsidRPr="00661C9B">
        <w:rPr>
          <w:rFonts w:ascii="Arial" w:hAnsi="Arial" w:cs="Arial"/>
          <w:color w:val="0D0D0D" w:themeColor="text1" w:themeTint="F2"/>
          <w:sz w:val="20"/>
          <w:szCs w:val="20"/>
        </w:rPr>
        <w:t xml:space="preserve">also </w:t>
      </w:r>
      <w:r w:rsidRPr="00661C9B">
        <w:rPr>
          <w:rFonts w:ascii="Arial" w:hAnsi="Arial" w:cs="Arial"/>
          <w:color w:val="0D0D0D" w:themeColor="text1" w:themeTint="F2"/>
          <w:sz w:val="20"/>
          <w:szCs w:val="20"/>
        </w:rPr>
        <w:t xml:space="preserve">confirmed no gender gap in immunization between girls and boys. </w:t>
      </w:r>
    </w:p>
    <w:p w:rsidR="00455E22" w:rsidRDefault="00455E22" w:rsidP="00455E22">
      <w:pPr>
        <w:pStyle w:val="ListParagraph"/>
        <w:tabs>
          <w:tab w:val="left" w:pos="3451"/>
        </w:tabs>
        <w:rPr>
          <w:rFonts w:ascii="Arial" w:hAnsi="Arial" w:cs="Arial"/>
          <w:color w:val="0D0D0D" w:themeColor="text1" w:themeTint="F2"/>
          <w:sz w:val="20"/>
          <w:szCs w:val="20"/>
        </w:rPr>
      </w:pPr>
    </w:p>
    <w:p w:rsidR="00EE105E" w:rsidRPr="00EE105E" w:rsidRDefault="00EE105E" w:rsidP="00EE105E">
      <w:pPr>
        <w:pStyle w:val="ListParagraph"/>
        <w:numPr>
          <w:ilvl w:val="0"/>
          <w:numId w:val="4"/>
        </w:numPr>
        <w:tabs>
          <w:tab w:val="left" w:pos="3451"/>
        </w:tabs>
        <w:rPr>
          <w:rFonts w:ascii="Arial" w:hAnsi="Arial" w:cs="Arial"/>
          <w:b/>
        </w:rPr>
      </w:pPr>
      <w:r w:rsidRPr="00EE105E">
        <w:rPr>
          <w:rFonts w:ascii="Arial" w:eastAsia="Arial" w:hAnsi="Arial" w:cs="Arial"/>
          <w:b/>
        </w:rPr>
        <w:t xml:space="preserve">IPV introduction strategies and policies </w:t>
      </w:r>
    </w:p>
    <w:p w:rsidR="00B231E8" w:rsidRDefault="00EE105E" w:rsidP="00B231E8">
      <w:pPr>
        <w:tabs>
          <w:tab w:val="left" w:pos="3451"/>
        </w:tabs>
        <w:jc w:val="both"/>
        <w:rPr>
          <w:rFonts w:ascii="Arial" w:hAnsi="Arial" w:cs="Arial"/>
          <w:sz w:val="20"/>
          <w:szCs w:val="20"/>
        </w:rPr>
      </w:pPr>
      <w:r w:rsidRPr="00B231E8">
        <w:rPr>
          <w:rFonts w:ascii="Arial" w:hAnsi="Arial" w:cs="Arial"/>
          <w:sz w:val="20"/>
          <w:szCs w:val="20"/>
        </w:rPr>
        <w:t>Ministry of Health of Azerbaijan is planning to introduce a nation-wide IPV vaccination from 1 July 2015.  The vaccine of choice is 1-dose IPV</w:t>
      </w:r>
      <w:r w:rsidR="00685FBD" w:rsidRPr="00B231E8">
        <w:rPr>
          <w:rFonts w:ascii="Arial" w:hAnsi="Arial" w:cs="Arial"/>
          <w:sz w:val="20"/>
          <w:szCs w:val="20"/>
        </w:rPr>
        <w:t xml:space="preserve">, prequalified by </w:t>
      </w:r>
      <w:proofErr w:type="gramStart"/>
      <w:r w:rsidR="00685FBD" w:rsidRPr="00B231E8">
        <w:rPr>
          <w:rFonts w:ascii="Arial" w:hAnsi="Arial" w:cs="Arial"/>
          <w:sz w:val="20"/>
          <w:szCs w:val="20"/>
        </w:rPr>
        <w:t>WHO</w:t>
      </w:r>
      <w:proofErr w:type="gramEnd"/>
      <w:r w:rsidR="00685FBD" w:rsidRPr="00B231E8">
        <w:rPr>
          <w:rFonts w:ascii="Arial" w:hAnsi="Arial" w:cs="Arial"/>
          <w:sz w:val="20"/>
          <w:szCs w:val="20"/>
        </w:rPr>
        <w:t xml:space="preserve"> and available at GAVI vaccine list</w:t>
      </w:r>
      <w:r w:rsidRPr="00B231E8">
        <w:rPr>
          <w:rFonts w:ascii="Arial" w:hAnsi="Arial" w:cs="Arial"/>
          <w:sz w:val="20"/>
          <w:szCs w:val="20"/>
        </w:rPr>
        <w:t>.</w:t>
      </w:r>
      <w:r w:rsidRPr="00B231E8">
        <w:rPr>
          <w:rFonts w:ascii="Arial" w:hAnsi="Arial" w:cs="Arial"/>
          <w:b/>
          <w:sz w:val="24"/>
          <w:szCs w:val="24"/>
        </w:rPr>
        <w:t xml:space="preserve"> </w:t>
      </w:r>
      <w:r w:rsidRPr="00B231E8">
        <w:rPr>
          <w:rFonts w:ascii="Arial" w:hAnsi="Arial" w:cs="Arial"/>
          <w:sz w:val="20"/>
          <w:szCs w:val="20"/>
        </w:rPr>
        <w:t xml:space="preserve">The </w:t>
      </w:r>
      <w:r w:rsidRPr="00B231E8">
        <w:rPr>
          <w:rFonts w:ascii="Arial" w:hAnsi="Arial" w:cs="Arial"/>
          <w:sz w:val="20"/>
          <w:szCs w:val="20"/>
        </w:rPr>
        <w:lastRenderedPageBreak/>
        <w:t xml:space="preserve">rationale of </w:t>
      </w:r>
      <w:r w:rsidR="00685FBD" w:rsidRPr="00B231E8">
        <w:rPr>
          <w:rFonts w:ascii="Arial" w:hAnsi="Arial" w:cs="Arial"/>
          <w:sz w:val="20"/>
          <w:szCs w:val="20"/>
        </w:rPr>
        <w:t>requesting only one dose vial, is</w:t>
      </w:r>
      <w:r w:rsidRPr="00B231E8">
        <w:rPr>
          <w:rFonts w:ascii="Arial" w:hAnsi="Arial" w:cs="Arial"/>
          <w:sz w:val="20"/>
          <w:szCs w:val="20"/>
        </w:rPr>
        <w:t xml:space="preserve"> to </w:t>
      </w:r>
      <w:r w:rsidR="00685FBD" w:rsidRPr="00B231E8">
        <w:rPr>
          <w:rFonts w:ascii="Arial" w:hAnsi="Arial" w:cs="Arial"/>
          <w:sz w:val="20"/>
          <w:szCs w:val="20"/>
        </w:rPr>
        <w:t xml:space="preserve">ensure safety of immunization, and </w:t>
      </w:r>
      <w:r w:rsidRPr="00B231E8">
        <w:rPr>
          <w:rFonts w:ascii="Arial" w:hAnsi="Arial" w:cs="Arial"/>
          <w:sz w:val="20"/>
          <w:szCs w:val="20"/>
        </w:rPr>
        <w:t xml:space="preserve">reduce </w:t>
      </w:r>
      <w:r w:rsidR="00685FBD" w:rsidRPr="00B231E8">
        <w:rPr>
          <w:rFonts w:ascii="Arial" w:hAnsi="Arial" w:cs="Arial"/>
          <w:sz w:val="20"/>
          <w:szCs w:val="20"/>
        </w:rPr>
        <w:t xml:space="preserve">missing opportunities and </w:t>
      </w:r>
      <w:r w:rsidRPr="00B231E8">
        <w:rPr>
          <w:rFonts w:ascii="Arial" w:hAnsi="Arial" w:cs="Arial"/>
          <w:sz w:val="20"/>
          <w:szCs w:val="20"/>
        </w:rPr>
        <w:t xml:space="preserve">expected high wastage due </w:t>
      </w:r>
      <w:r w:rsidR="00685FBD" w:rsidRPr="00B231E8">
        <w:rPr>
          <w:rFonts w:ascii="Arial" w:hAnsi="Arial" w:cs="Arial"/>
          <w:sz w:val="20"/>
          <w:szCs w:val="20"/>
        </w:rPr>
        <w:t>current open vial policy and portion of medical facilities with small size of annual target group</w:t>
      </w:r>
      <w:r w:rsidRPr="00B231E8">
        <w:rPr>
          <w:rFonts w:ascii="Arial" w:hAnsi="Arial" w:cs="Arial"/>
          <w:sz w:val="20"/>
          <w:szCs w:val="20"/>
        </w:rPr>
        <w:t xml:space="preserve">. </w:t>
      </w:r>
    </w:p>
    <w:p w:rsidR="002450AE" w:rsidRPr="00B231E8" w:rsidRDefault="002450AE" w:rsidP="00B231E8">
      <w:pPr>
        <w:tabs>
          <w:tab w:val="left" w:pos="3451"/>
        </w:tabs>
        <w:jc w:val="both"/>
        <w:rPr>
          <w:rFonts w:ascii="Arial" w:hAnsi="Arial" w:cs="Arial"/>
          <w:sz w:val="20"/>
          <w:szCs w:val="20"/>
        </w:rPr>
      </w:pPr>
      <w:r w:rsidRPr="00B231E8">
        <w:rPr>
          <w:rFonts w:ascii="Arial" w:hAnsi="Arial" w:cs="Arial"/>
          <w:sz w:val="20"/>
          <w:szCs w:val="20"/>
        </w:rPr>
        <w:t xml:space="preserve">IPV will be </w:t>
      </w:r>
      <w:r w:rsidR="00C662A5" w:rsidRPr="00B231E8">
        <w:rPr>
          <w:rFonts w:ascii="Arial" w:hAnsi="Arial" w:cs="Arial"/>
          <w:sz w:val="20"/>
          <w:szCs w:val="20"/>
        </w:rPr>
        <w:t>provided to all children</w:t>
      </w:r>
      <w:r w:rsidRPr="00B231E8">
        <w:rPr>
          <w:rFonts w:ascii="Arial" w:hAnsi="Arial" w:cs="Arial"/>
          <w:sz w:val="20"/>
          <w:szCs w:val="20"/>
        </w:rPr>
        <w:t xml:space="preserve"> at 6 months of age jointly with the 2-nd dose of PCV. This in line with WHO recommendation on adding one dose of IPV to the immunization session not early than 14 weeks as well as justified by results of studies on immune respond to one dose IPV. Administering IPV at 6 months of age will also allow to avoid three injections at a visit</w:t>
      </w:r>
      <w:r w:rsidR="00A629B2" w:rsidRPr="00B231E8">
        <w:rPr>
          <w:rFonts w:ascii="Arial" w:hAnsi="Arial" w:cs="Arial"/>
          <w:sz w:val="20"/>
          <w:szCs w:val="20"/>
        </w:rPr>
        <w:t xml:space="preserve"> as well as to</w:t>
      </w:r>
      <w:r w:rsidRPr="00B231E8">
        <w:rPr>
          <w:rFonts w:ascii="Arial" w:hAnsi="Arial" w:cs="Arial"/>
          <w:sz w:val="20"/>
          <w:szCs w:val="20"/>
        </w:rPr>
        <w:t xml:space="preserve"> keep number</w:t>
      </w:r>
      <w:r w:rsidR="00A629B2" w:rsidRPr="00B231E8">
        <w:rPr>
          <w:rFonts w:ascii="Arial" w:hAnsi="Arial" w:cs="Arial"/>
          <w:sz w:val="20"/>
          <w:szCs w:val="20"/>
        </w:rPr>
        <w:t xml:space="preserve"> of OPV doses without changes</w:t>
      </w:r>
      <w:r w:rsidRPr="00B231E8">
        <w:rPr>
          <w:rFonts w:ascii="Arial" w:hAnsi="Arial" w:cs="Arial"/>
          <w:sz w:val="20"/>
          <w:szCs w:val="20"/>
        </w:rPr>
        <w:t xml:space="preserve">. </w:t>
      </w:r>
      <w:r w:rsidR="00A629B2" w:rsidRPr="00B231E8">
        <w:rPr>
          <w:rFonts w:ascii="Arial" w:hAnsi="Arial" w:cs="Arial"/>
          <w:sz w:val="20"/>
          <w:szCs w:val="20"/>
        </w:rPr>
        <w:t>IPV will be administered intramuscularly in outer part of right thigh, with PCV injected after in the left thigh.</w:t>
      </w:r>
    </w:p>
    <w:p w:rsidR="00084AFC" w:rsidRPr="00B231E8" w:rsidRDefault="00C662A5" w:rsidP="00B231E8">
      <w:pPr>
        <w:tabs>
          <w:tab w:val="left" w:pos="3451"/>
        </w:tabs>
        <w:jc w:val="both"/>
        <w:rPr>
          <w:rFonts w:ascii="Arial" w:hAnsi="Arial" w:cs="Arial"/>
          <w:sz w:val="20"/>
          <w:szCs w:val="20"/>
        </w:rPr>
      </w:pPr>
      <w:r w:rsidRPr="00B231E8">
        <w:rPr>
          <w:rFonts w:ascii="Arial" w:hAnsi="Arial" w:cs="Arial"/>
          <w:sz w:val="20"/>
          <w:szCs w:val="20"/>
        </w:rPr>
        <w:t xml:space="preserve">Updated </w:t>
      </w:r>
      <w:r w:rsidR="00084AFC" w:rsidRPr="00B231E8">
        <w:rPr>
          <w:rFonts w:ascii="Arial" w:hAnsi="Arial" w:cs="Arial"/>
          <w:sz w:val="20"/>
          <w:szCs w:val="20"/>
        </w:rPr>
        <w:t xml:space="preserve">National Immunization Schedule (NIS) reflecting IPV introduction is shown in the table 2 below. </w:t>
      </w:r>
    </w:p>
    <w:p w:rsidR="002450AE" w:rsidRPr="00B231E8" w:rsidRDefault="00B231E8" w:rsidP="00B231E8">
      <w:pPr>
        <w:tabs>
          <w:tab w:val="left" w:pos="3451"/>
        </w:tabs>
        <w:jc w:val="both"/>
        <w:rPr>
          <w:rFonts w:ascii="Arial" w:hAnsi="Arial" w:cs="Arial"/>
          <w:b/>
          <w:sz w:val="20"/>
          <w:szCs w:val="20"/>
        </w:rPr>
      </w:pPr>
      <w:r>
        <w:rPr>
          <w:rFonts w:ascii="Arial" w:hAnsi="Arial" w:cs="Arial"/>
          <w:sz w:val="20"/>
          <w:szCs w:val="20"/>
        </w:rPr>
        <w:t xml:space="preserve">         </w:t>
      </w:r>
      <w:r w:rsidR="00084AFC" w:rsidRPr="00B231E8">
        <w:rPr>
          <w:rFonts w:ascii="Arial" w:hAnsi="Arial" w:cs="Arial"/>
          <w:b/>
          <w:sz w:val="20"/>
          <w:szCs w:val="20"/>
        </w:rPr>
        <w:t xml:space="preserve">Table 2: Updated NIS; Azerbaijan </w:t>
      </w:r>
    </w:p>
    <w:tbl>
      <w:tblPr>
        <w:tblW w:w="8931" w:type="dxa"/>
        <w:tblInd w:w="675" w:type="dxa"/>
        <w:tblBorders>
          <w:top w:val="single" w:sz="12" w:space="0" w:color="525252"/>
          <w:left w:val="dashed" w:sz="4" w:space="0" w:color="auto"/>
          <w:bottom w:val="single" w:sz="12" w:space="0" w:color="525252"/>
          <w:right w:val="dashed" w:sz="4" w:space="0" w:color="auto"/>
          <w:insideH w:val="dashed" w:sz="4" w:space="0" w:color="auto"/>
          <w:insideV w:val="dashed" w:sz="4" w:space="0" w:color="auto"/>
        </w:tblBorders>
        <w:tblLayout w:type="fixed"/>
        <w:tblLook w:val="0000" w:firstRow="0" w:lastRow="0" w:firstColumn="0" w:lastColumn="0" w:noHBand="0" w:noVBand="0"/>
      </w:tblPr>
      <w:tblGrid>
        <w:gridCol w:w="2552"/>
        <w:gridCol w:w="4171"/>
        <w:gridCol w:w="2208"/>
      </w:tblGrid>
      <w:tr w:rsidR="004D3E04" w:rsidRPr="004D3E04" w:rsidTr="00B231E8">
        <w:trPr>
          <w:cantSplit/>
          <w:trHeight w:val="300"/>
          <w:tblHeader/>
        </w:trPr>
        <w:tc>
          <w:tcPr>
            <w:tcW w:w="2552" w:type="dxa"/>
            <w:vMerge w:val="restart"/>
            <w:vAlign w:val="center"/>
          </w:tcPr>
          <w:p w:rsidR="004D3E04" w:rsidRPr="00BD4C11" w:rsidRDefault="004D3E04" w:rsidP="004D3E04">
            <w:pPr>
              <w:spacing w:before="20" w:after="20" w:line="240" w:lineRule="auto"/>
              <w:jc w:val="center"/>
              <w:rPr>
                <w:rFonts w:ascii="Arial" w:eastAsia="Times New Roman" w:hAnsi="Arial" w:cs="Arial"/>
                <w:bCs/>
                <w:noProof/>
                <w:kern w:val="20"/>
                <w:sz w:val="20"/>
                <w:szCs w:val="20"/>
              </w:rPr>
            </w:pPr>
            <w:r w:rsidRPr="00BD4C11">
              <w:rPr>
                <w:rFonts w:ascii="Arial" w:eastAsia="Times New Roman" w:hAnsi="Arial" w:cs="Arial"/>
                <w:bCs/>
                <w:noProof/>
                <w:kern w:val="20"/>
                <w:sz w:val="20"/>
                <w:szCs w:val="20"/>
              </w:rPr>
              <w:t>Vaccine</w:t>
            </w:r>
          </w:p>
        </w:tc>
        <w:tc>
          <w:tcPr>
            <w:tcW w:w="6379" w:type="dxa"/>
            <w:gridSpan w:val="2"/>
            <w:vAlign w:val="center"/>
          </w:tcPr>
          <w:p w:rsidR="004D3E04" w:rsidRPr="00BD4C11" w:rsidRDefault="004D3E04" w:rsidP="004D3E04">
            <w:pPr>
              <w:spacing w:before="20" w:after="20" w:line="240" w:lineRule="auto"/>
              <w:ind w:firstLine="2795"/>
              <w:jc w:val="both"/>
              <w:rPr>
                <w:rFonts w:ascii="Arial" w:eastAsia="Times New Roman" w:hAnsi="Arial" w:cs="Arial"/>
                <w:bCs/>
                <w:noProof/>
                <w:kern w:val="20"/>
                <w:sz w:val="20"/>
                <w:szCs w:val="20"/>
              </w:rPr>
            </w:pPr>
            <w:r w:rsidRPr="00BD4C11">
              <w:rPr>
                <w:rFonts w:ascii="Arial" w:eastAsia="Times New Roman" w:hAnsi="Arial" w:cs="Arial"/>
                <w:bCs/>
                <w:noProof/>
                <w:kern w:val="20"/>
                <w:sz w:val="20"/>
                <w:szCs w:val="20"/>
              </w:rPr>
              <w:t>Age</w:t>
            </w:r>
          </w:p>
        </w:tc>
      </w:tr>
      <w:tr w:rsidR="004D3E04" w:rsidRPr="004D3E04" w:rsidTr="00B231E8">
        <w:trPr>
          <w:cantSplit/>
          <w:trHeight w:val="300"/>
          <w:tblHeader/>
        </w:trPr>
        <w:tc>
          <w:tcPr>
            <w:tcW w:w="2552" w:type="dxa"/>
            <w:vMerge/>
            <w:vAlign w:val="center"/>
          </w:tcPr>
          <w:p w:rsidR="004D3E04" w:rsidRPr="00BD4C11" w:rsidRDefault="004D3E04" w:rsidP="004D3E04">
            <w:pPr>
              <w:spacing w:before="20" w:after="20" w:line="240" w:lineRule="auto"/>
              <w:jc w:val="both"/>
              <w:rPr>
                <w:rFonts w:ascii="Arial" w:eastAsia="Times New Roman" w:hAnsi="Arial" w:cs="Arial"/>
                <w:b/>
                <w:bCs/>
                <w:noProof/>
                <w:kern w:val="20"/>
                <w:sz w:val="20"/>
                <w:szCs w:val="20"/>
              </w:rPr>
            </w:pPr>
          </w:p>
        </w:tc>
        <w:tc>
          <w:tcPr>
            <w:tcW w:w="4171" w:type="dxa"/>
            <w:vAlign w:val="center"/>
          </w:tcPr>
          <w:p w:rsidR="004D3E04" w:rsidRPr="00BD4C11" w:rsidRDefault="004D3E04" w:rsidP="004D3E04">
            <w:pPr>
              <w:spacing w:before="20" w:after="20" w:line="240" w:lineRule="auto"/>
              <w:jc w:val="center"/>
              <w:rPr>
                <w:rFonts w:ascii="Arial" w:eastAsia="Times New Roman" w:hAnsi="Arial" w:cs="Arial"/>
                <w:noProof/>
                <w:kern w:val="20"/>
                <w:sz w:val="20"/>
                <w:szCs w:val="20"/>
              </w:rPr>
            </w:pPr>
            <w:r w:rsidRPr="00BD4C11">
              <w:rPr>
                <w:rFonts w:ascii="Arial" w:eastAsia="Times New Roman" w:hAnsi="Arial" w:cs="Arial"/>
                <w:noProof/>
                <w:kern w:val="20"/>
                <w:sz w:val="20"/>
                <w:szCs w:val="20"/>
              </w:rPr>
              <w:t>Primary Vaccinations</w:t>
            </w:r>
          </w:p>
        </w:tc>
        <w:tc>
          <w:tcPr>
            <w:tcW w:w="2208" w:type="dxa"/>
            <w:vAlign w:val="center"/>
          </w:tcPr>
          <w:p w:rsidR="004D3E04" w:rsidRPr="00BD4C11" w:rsidRDefault="004D3E04" w:rsidP="004D3E04">
            <w:pPr>
              <w:spacing w:before="20" w:after="20" w:line="240" w:lineRule="auto"/>
              <w:jc w:val="center"/>
              <w:rPr>
                <w:rFonts w:ascii="Arial" w:eastAsia="Times New Roman" w:hAnsi="Arial" w:cs="Arial"/>
                <w:bCs/>
                <w:noProof/>
                <w:kern w:val="20"/>
                <w:sz w:val="20"/>
                <w:szCs w:val="20"/>
              </w:rPr>
            </w:pPr>
            <w:r w:rsidRPr="00BD4C11">
              <w:rPr>
                <w:rFonts w:ascii="Arial" w:eastAsia="Times New Roman" w:hAnsi="Arial" w:cs="Arial"/>
                <w:bCs/>
                <w:noProof/>
                <w:kern w:val="20"/>
                <w:sz w:val="20"/>
                <w:szCs w:val="20"/>
              </w:rPr>
              <w:t>Booster</w:t>
            </w:r>
          </w:p>
        </w:tc>
      </w:tr>
      <w:tr w:rsidR="004D3E04" w:rsidRPr="004D3E04" w:rsidTr="00B231E8">
        <w:trPr>
          <w:cantSplit/>
          <w:trHeight w:val="432"/>
        </w:trPr>
        <w:tc>
          <w:tcPr>
            <w:tcW w:w="2552" w:type="dxa"/>
            <w:vAlign w:val="center"/>
          </w:tcPr>
          <w:p w:rsidR="004D3E04" w:rsidRPr="00BD4C11" w:rsidRDefault="004D3E04" w:rsidP="004D3E04">
            <w:pPr>
              <w:spacing w:before="20" w:after="20" w:line="240" w:lineRule="auto"/>
              <w:jc w:val="both"/>
              <w:rPr>
                <w:rFonts w:ascii="Arial" w:eastAsia="Times New Roman" w:hAnsi="Arial" w:cs="Arial"/>
                <w:bCs/>
                <w:noProof/>
                <w:kern w:val="20"/>
                <w:sz w:val="20"/>
                <w:szCs w:val="20"/>
              </w:rPr>
            </w:pPr>
            <w:r w:rsidRPr="00BD4C11">
              <w:rPr>
                <w:rFonts w:ascii="Arial" w:eastAsia="Times New Roman" w:hAnsi="Arial" w:cs="Arial"/>
                <w:bCs/>
                <w:noProof/>
                <w:kern w:val="20"/>
                <w:sz w:val="20"/>
                <w:szCs w:val="20"/>
              </w:rPr>
              <w:t xml:space="preserve">Hepatitis B </w:t>
            </w:r>
          </w:p>
        </w:tc>
        <w:tc>
          <w:tcPr>
            <w:tcW w:w="4171" w:type="dxa"/>
            <w:vAlign w:val="center"/>
          </w:tcPr>
          <w:p w:rsidR="004D3E04" w:rsidRPr="00BD4C11" w:rsidRDefault="004D3E04" w:rsidP="004D3E04">
            <w:pPr>
              <w:spacing w:before="20" w:after="20" w:line="240" w:lineRule="auto"/>
              <w:rPr>
                <w:rFonts w:ascii="Arial" w:eastAsia="Times New Roman" w:hAnsi="Arial" w:cs="Arial"/>
                <w:noProof/>
                <w:kern w:val="20"/>
                <w:sz w:val="20"/>
                <w:szCs w:val="20"/>
              </w:rPr>
            </w:pPr>
            <w:r w:rsidRPr="00BD4C11">
              <w:rPr>
                <w:rFonts w:ascii="Arial" w:eastAsia="Times New Roman" w:hAnsi="Arial" w:cs="Arial"/>
                <w:noProof/>
                <w:kern w:val="20"/>
                <w:sz w:val="20"/>
                <w:szCs w:val="20"/>
              </w:rPr>
              <w:t xml:space="preserve">At birth, within first 12 hours            </w:t>
            </w:r>
          </w:p>
        </w:tc>
        <w:tc>
          <w:tcPr>
            <w:tcW w:w="2208" w:type="dxa"/>
            <w:vAlign w:val="center"/>
          </w:tcPr>
          <w:p w:rsidR="004D3E04" w:rsidRPr="00BD4C11" w:rsidRDefault="004D3E04" w:rsidP="004D3E04">
            <w:pPr>
              <w:spacing w:before="20" w:after="20" w:line="240" w:lineRule="auto"/>
              <w:jc w:val="both"/>
              <w:rPr>
                <w:rFonts w:ascii="Arial" w:eastAsia="Times New Roman" w:hAnsi="Arial" w:cs="Arial"/>
                <w:noProof/>
                <w:kern w:val="20"/>
                <w:sz w:val="20"/>
                <w:szCs w:val="20"/>
              </w:rPr>
            </w:pPr>
            <w:r w:rsidRPr="00BD4C11">
              <w:rPr>
                <w:rFonts w:ascii="Arial" w:eastAsia="Times New Roman" w:hAnsi="Arial" w:cs="Arial"/>
                <w:noProof/>
                <w:kern w:val="20"/>
                <w:sz w:val="20"/>
                <w:szCs w:val="20"/>
              </w:rPr>
              <w:t>-</w:t>
            </w:r>
          </w:p>
        </w:tc>
      </w:tr>
      <w:tr w:rsidR="004D3E04" w:rsidRPr="004D3E04" w:rsidTr="00B231E8">
        <w:trPr>
          <w:cantSplit/>
          <w:trHeight w:val="315"/>
        </w:trPr>
        <w:tc>
          <w:tcPr>
            <w:tcW w:w="2552" w:type="dxa"/>
            <w:vAlign w:val="center"/>
          </w:tcPr>
          <w:p w:rsidR="004D3E04" w:rsidRPr="00BD4C11" w:rsidRDefault="004D3E04" w:rsidP="004D3E04">
            <w:pPr>
              <w:spacing w:before="20" w:after="20" w:line="240" w:lineRule="auto"/>
              <w:jc w:val="both"/>
              <w:rPr>
                <w:rFonts w:ascii="Arial" w:eastAsia="Times New Roman" w:hAnsi="Arial" w:cs="Arial"/>
                <w:bCs/>
                <w:noProof/>
                <w:kern w:val="20"/>
                <w:sz w:val="20"/>
                <w:szCs w:val="20"/>
              </w:rPr>
            </w:pPr>
            <w:r w:rsidRPr="00BD4C11">
              <w:rPr>
                <w:rFonts w:ascii="Arial" w:eastAsia="Times New Roman" w:hAnsi="Arial" w:cs="Arial"/>
                <w:bCs/>
                <w:noProof/>
                <w:kern w:val="20"/>
                <w:sz w:val="20"/>
                <w:szCs w:val="20"/>
              </w:rPr>
              <w:t>BCG</w:t>
            </w:r>
          </w:p>
        </w:tc>
        <w:tc>
          <w:tcPr>
            <w:tcW w:w="4171" w:type="dxa"/>
            <w:vAlign w:val="center"/>
          </w:tcPr>
          <w:p w:rsidR="004D3E04" w:rsidRPr="00BD4C11" w:rsidRDefault="004D3E04" w:rsidP="004D3E04">
            <w:pPr>
              <w:spacing w:before="20" w:after="20" w:line="240" w:lineRule="auto"/>
              <w:rPr>
                <w:rFonts w:ascii="Arial" w:eastAsia="Times New Roman" w:hAnsi="Arial" w:cs="Arial"/>
                <w:noProof/>
                <w:kern w:val="20"/>
                <w:sz w:val="20"/>
                <w:szCs w:val="20"/>
              </w:rPr>
            </w:pPr>
            <w:r w:rsidRPr="00BD4C11">
              <w:rPr>
                <w:rFonts w:ascii="Arial" w:eastAsia="Times New Roman" w:hAnsi="Arial" w:cs="Arial"/>
                <w:noProof/>
                <w:kern w:val="20"/>
                <w:sz w:val="20"/>
                <w:szCs w:val="20"/>
              </w:rPr>
              <w:t xml:space="preserve">At 4-7 days </w:t>
            </w:r>
          </w:p>
        </w:tc>
        <w:tc>
          <w:tcPr>
            <w:tcW w:w="2208" w:type="dxa"/>
            <w:vAlign w:val="center"/>
          </w:tcPr>
          <w:p w:rsidR="004D3E04" w:rsidRPr="00BD4C11" w:rsidRDefault="004D3E04" w:rsidP="004D3E04">
            <w:pPr>
              <w:spacing w:before="20" w:after="20" w:line="240" w:lineRule="auto"/>
              <w:jc w:val="both"/>
              <w:rPr>
                <w:rFonts w:ascii="Arial" w:eastAsia="Times New Roman" w:hAnsi="Arial" w:cs="Arial"/>
                <w:noProof/>
                <w:kern w:val="20"/>
                <w:sz w:val="20"/>
                <w:szCs w:val="20"/>
              </w:rPr>
            </w:pPr>
            <w:r w:rsidRPr="00BD4C11">
              <w:rPr>
                <w:rFonts w:ascii="Arial" w:eastAsia="Times New Roman" w:hAnsi="Arial" w:cs="Arial"/>
                <w:noProof/>
                <w:kern w:val="20"/>
                <w:sz w:val="20"/>
                <w:szCs w:val="20"/>
              </w:rPr>
              <w:t>-</w:t>
            </w:r>
          </w:p>
        </w:tc>
      </w:tr>
      <w:tr w:rsidR="004D3E04" w:rsidRPr="004D3E04" w:rsidTr="00B231E8">
        <w:trPr>
          <w:cantSplit/>
          <w:trHeight w:val="276"/>
        </w:trPr>
        <w:tc>
          <w:tcPr>
            <w:tcW w:w="2552" w:type="dxa"/>
            <w:vAlign w:val="center"/>
          </w:tcPr>
          <w:p w:rsidR="004D3E04" w:rsidRPr="00BD4C11" w:rsidRDefault="004D3E04" w:rsidP="004D3E04">
            <w:pPr>
              <w:spacing w:before="20" w:after="20" w:line="240" w:lineRule="auto"/>
              <w:jc w:val="both"/>
              <w:rPr>
                <w:rFonts w:ascii="Arial" w:eastAsia="Times New Roman" w:hAnsi="Arial" w:cs="Arial"/>
                <w:bCs/>
                <w:noProof/>
                <w:kern w:val="20"/>
                <w:sz w:val="20"/>
                <w:szCs w:val="20"/>
              </w:rPr>
            </w:pPr>
            <w:r w:rsidRPr="00BD4C11">
              <w:rPr>
                <w:rFonts w:ascii="Arial" w:eastAsia="Times New Roman" w:hAnsi="Arial" w:cs="Arial"/>
                <w:bCs/>
                <w:noProof/>
                <w:kern w:val="20"/>
                <w:sz w:val="20"/>
                <w:szCs w:val="20"/>
              </w:rPr>
              <w:t>OPV</w:t>
            </w:r>
          </w:p>
        </w:tc>
        <w:tc>
          <w:tcPr>
            <w:tcW w:w="4171" w:type="dxa"/>
            <w:vAlign w:val="center"/>
          </w:tcPr>
          <w:p w:rsidR="004D3E04" w:rsidRPr="00BD4C11" w:rsidRDefault="004D3E04" w:rsidP="004D3E04">
            <w:pPr>
              <w:spacing w:before="20" w:after="20" w:line="240" w:lineRule="auto"/>
              <w:rPr>
                <w:rFonts w:ascii="Arial" w:eastAsia="Times New Roman" w:hAnsi="Arial" w:cs="Arial"/>
                <w:noProof/>
                <w:kern w:val="20"/>
                <w:sz w:val="20"/>
                <w:szCs w:val="20"/>
              </w:rPr>
            </w:pPr>
            <w:r w:rsidRPr="00BD4C11">
              <w:rPr>
                <w:rFonts w:ascii="Arial" w:eastAsia="Times New Roman" w:hAnsi="Arial" w:cs="Arial"/>
                <w:noProof/>
                <w:kern w:val="20"/>
                <w:sz w:val="20"/>
                <w:szCs w:val="20"/>
              </w:rPr>
              <w:t xml:space="preserve">At 4- 7 days, 2, 3, 4  </w:t>
            </w:r>
          </w:p>
        </w:tc>
        <w:tc>
          <w:tcPr>
            <w:tcW w:w="2208" w:type="dxa"/>
            <w:vAlign w:val="center"/>
          </w:tcPr>
          <w:p w:rsidR="004D3E04" w:rsidRPr="00BD4C11" w:rsidRDefault="004D3E04" w:rsidP="004D3E04">
            <w:pPr>
              <w:spacing w:before="20" w:after="20" w:line="240" w:lineRule="auto"/>
              <w:jc w:val="both"/>
              <w:rPr>
                <w:rFonts w:ascii="Arial" w:eastAsia="Times New Roman" w:hAnsi="Arial" w:cs="Arial"/>
                <w:noProof/>
                <w:kern w:val="20"/>
                <w:sz w:val="20"/>
                <w:szCs w:val="20"/>
              </w:rPr>
            </w:pPr>
            <w:r w:rsidRPr="00BD4C11">
              <w:rPr>
                <w:rFonts w:ascii="Arial" w:eastAsia="Times New Roman" w:hAnsi="Arial" w:cs="Arial"/>
                <w:noProof/>
                <w:kern w:val="20"/>
                <w:sz w:val="20"/>
                <w:szCs w:val="20"/>
              </w:rPr>
              <w:t>18 months</w:t>
            </w:r>
          </w:p>
        </w:tc>
      </w:tr>
      <w:tr w:rsidR="004D3E04" w:rsidRPr="004D3E04" w:rsidTr="00B231E8">
        <w:trPr>
          <w:cantSplit/>
          <w:trHeight w:val="432"/>
        </w:trPr>
        <w:tc>
          <w:tcPr>
            <w:tcW w:w="2552" w:type="dxa"/>
            <w:vAlign w:val="center"/>
          </w:tcPr>
          <w:p w:rsidR="004D3E04" w:rsidRPr="00BD4C11" w:rsidRDefault="004D3E04" w:rsidP="004D3E04">
            <w:pPr>
              <w:spacing w:before="20" w:after="20" w:line="240" w:lineRule="auto"/>
              <w:jc w:val="both"/>
              <w:rPr>
                <w:rFonts w:ascii="Arial" w:eastAsia="Times New Roman" w:hAnsi="Arial" w:cs="Arial"/>
                <w:b/>
                <w:bCs/>
                <w:noProof/>
                <w:kern w:val="20"/>
                <w:sz w:val="20"/>
                <w:szCs w:val="20"/>
              </w:rPr>
            </w:pPr>
            <w:r w:rsidRPr="00BD4C11">
              <w:rPr>
                <w:rFonts w:ascii="Arial" w:eastAsia="Times New Roman" w:hAnsi="Arial" w:cs="Arial"/>
                <w:bCs/>
                <w:noProof/>
                <w:kern w:val="20"/>
                <w:sz w:val="20"/>
                <w:szCs w:val="20"/>
              </w:rPr>
              <w:t>DTPHibHepB</w:t>
            </w:r>
          </w:p>
        </w:tc>
        <w:tc>
          <w:tcPr>
            <w:tcW w:w="4171" w:type="dxa"/>
            <w:vAlign w:val="center"/>
          </w:tcPr>
          <w:p w:rsidR="004D3E04" w:rsidRPr="00BD4C11" w:rsidRDefault="004D3E04" w:rsidP="004D3E04">
            <w:pPr>
              <w:spacing w:before="20" w:after="20" w:line="240" w:lineRule="auto"/>
              <w:rPr>
                <w:rFonts w:ascii="Arial" w:eastAsia="Times New Roman" w:hAnsi="Arial" w:cs="Arial"/>
                <w:noProof/>
                <w:kern w:val="20"/>
                <w:sz w:val="20"/>
                <w:szCs w:val="20"/>
              </w:rPr>
            </w:pPr>
            <w:r w:rsidRPr="00BD4C11">
              <w:rPr>
                <w:rFonts w:ascii="Arial" w:eastAsia="Times New Roman" w:hAnsi="Arial" w:cs="Arial"/>
                <w:noProof/>
                <w:kern w:val="20"/>
                <w:sz w:val="20"/>
                <w:szCs w:val="20"/>
              </w:rPr>
              <w:t>2, 3 and 4 months</w:t>
            </w:r>
          </w:p>
        </w:tc>
        <w:tc>
          <w:tcPr>
            <w:tcW w:w="2208" w:type="dxa"/>
            <w:vAlign w:val="center"/>
          </w:tcPr>
          <w:p w:rsidR="004D3E04" w:rsidRPr="00BD4C11" w:rsidRDefault="004D3E04" w:rsidP="004D3E04">
            <w:pPr>
              <w:spacing w:before="20" w:after="20" w:line="240" w:lineRule="auto"/>
              <w:jc w:val="both"/>
              <w:rPr>
                <w:rFonts w:ascii="Arial" w:eastAsia="Times New Roman" w:hAnsi="Arial" w:cs="Arial"/>
                <w:noProof/>
                <w:kern w:val="20"/>
                <w:sz w:val="20"/>
                <w:szCs w:val="20"/>
              </w:rPr>
            </w:pPr>
            <w:r w:rsidRPr="00BD4C11">
              <w:rPr>
                <w:rFonts w:ascii="Arial" w:eastAsia="Times New Roman" w:hAnsi="Arial" w:cs="Arial"/>
                <w:noProof/>
                <w:kern w:val="20"/>
                <w:sz w:val="20"/>
                <w:szCs w:val="20"/>
              </w:rPr>
              <w:t>-</w:t>
            </w:r>
          </w:p>
        </w:tc>
      </w:tr>
      <w:tr w:rsidR="004D3E04" w:rsidRPr="004D3E04" w:rsidTr="00B231E8">
        <w:trPr>
          <w:cantSplit/>
          <w:trHeight w:val="432"/>
        </w:trPr>
        <w:tc>
          <w:tcPr>
            <w:tcW w:w="2552" w:type="dxa"/>
            <w:vAlign w:val="center"/>
          </w:tcPr>
          <w:p w:rsidR="004D3E04" w:rsidRPr="00BD4C11" w:rsidRDefault="004D3E04" w:rsidP="004D3E04">
            <w:pPr>
              <w:spacing w:before="20" w:after="20" w:line="240" w:lineRule="auto"/>
              <w:jc w:val="both"/>
              <w:rPr>
                <w:rFonts w:ascii="Arial" w:eastAsia="Times New Roman" w:hAnsi="Arial" w:cs="Arial"/>
                <w:bCs/>
                <w:noProof/>
                <w:kern w:val="20"/>
                <w:sz w:val="20"/>
                <w:szCs w:val="20"/>
              </w:rPr>
            </w:pPr>
            <w:r w:rsidRPr="00BD4C11">
              <w:rPr>
                <w:rFonts w:ascii="Arial" w:eastAsia="Times New Roman" w:hAnsi="Arial" w:cs="Arial"/>
                <w:bCs/>
                <w:noProof/>
                <w:kern w:val="20"/>
                <w:sz w:val="20"/>
                <w:szCs w:val="20"/>
              </w:rPr>
              <w:t>PCV</w:t>
            </w:r>
          </w:p>
        </w:tc>
        <w:tc>
          <w:tcPr>
            <w:tcW w:w="4171" w:type="dxa"/>
            <w:vAlign w:val="center"/>
          </w:tcPr>
          <w:p w:rsidR="004D3E04" w:rsidRPr="00BD4C11" w:rsidRDefault="004D3E04" w:rsidP="004D3E04">
            <w:pPr>
              <w:spacing w:before="20" w:after="20" w:line="240" w:lineRule="auto"/>
              <w:rPr>
                <w:rFonts w:ascii="Arial" w:eastAsia="Times New Roman" w:hAnsi="Arial" w:cs="Arial"/>
                <w:noProof/>
                <w:kern w:val="20"/>
                <w:sz w:val="20"/>
                <w:szCs w:val="20"/>
              </w:rPr>
            </w:pPr>
            <w:r w:rsidRPr="00BD4C11">
              <w:rPr>
                <w:rFonts w:ascii="Arial" w:eastAsia="Times New Roman" w:hAnsi="Arial" w:cs="Arial"/>
                <w:noProof/>
                <w:kern w:val="20"/>
                <w:sz w:val="20"/>
                <w:szCs w:val="20"/>
              </w:rPr>
              <w:t>2, 4 and 6 months</w:t>
            </w:r>
          </w:p>
        </w:tc>
        <w:tc>
          <w:tcPr>
            <w:tcW w:w="2208" w:type="dxa"/>
            <w:vAlign w:val="center"/>
          </w:tcPr>
          <w:p w:rsidR="004D3E04" w:rsidRPr="00BD4C11" w:rsidRDefault="004D3E04" w:rsidP="004D3E04">
            <w:pPr>
              <w:spacing w:before="20" w:after="20" w:line="240" w:lineRule="auto"/>
              <w:jc w:val="both"/>
              <w:rPr>
                <w:rFonts w:ascii="Arial" w:eastAsia="Times New Roman" w:hAnsi="Arial" w:cs="Arial"/>
                <w:noProof/>
                <w:kern w:val="20"/>
                <w:sz w:val="20"/>
                <w:szCs w:val="20"/>
              </w:rPr>
            </w:pPr>
            <w:r w:rsidRPr="00BD4C11">
              <w:rPr>
                <w:rFonts w:ascii="Arial" w:eastAsia="Times New Roman" w:hAnsi="Arial" w:cs="Arial"/>
                <w:noProof/>
                <w:kern w:val="20"/>
                <w:sz w:val="20"/>
                <w:szCs w:val="20"/>
              </w:rPr>
              <w:t>-</w:t>
            </w:r>
          </w:p>
        </w:tc>
      </w:tr>
      <w:tr w:rsidR="004D3E04" w:rsidRPr="004D3E04" w:rsidTr="00B231E8">
        <w:trPr>
          <w:cantSplit/>
          <w:trHeight w:val="432"/>
        </w:trPr>
        <w:tc>
          <w:tcPr>
            <w:tcW w:w="2552" w:type="dxa"/>
            <w:vAlign w:val="center"/>
          </w:tcPr>
          <w:p w:rsidR="004D3E04" w:rsidRPr="00BD4C11" w:rsidRDefault="004D3E04" w:rsidP="004D3E04">
            <w:pPr>
              <w:spacing w:before="20" w:after="20" w:line="240" w:lineRule="auto"/>
              <w:jc w:val="both"/>
              <w:rPr>
                <w:rFonts w:ascii="Arial" w:eastAsia="Times New Roman" w:hAnsi="Arial" w:cs="Arial"/>
                <w:bCs/>
                <w:noProof/>
                <w:kern w:val="20"/>
                <w:sz w:val="20"/>
                <w:szCs w:val="20"/>
              </w:rPr>
            </w:pPr>
            <w:r w:rsidRPr="00BD4C11">
              <w:rPr>
                <w:rFonts w:ascii="Arial" w:eastAsia="Times New Roman" w:hAnsi="Arial" w:cs="Arial"/>
                <w:bCs/>
                <w:noProof/>
                <w:kern w:val="20"/>
                <w:sz w:val="20"/>
                <w:szCs w:val="20"/>
              </w:rPr>
              <w:t>IPV</w:t>
            </w:r>
          </w:p>
        </w:tc>
        <w:tc>
          <w:tcPr>
            <w:tcW w:w="4171" w:type="dxa"/>
            <w:vAlign w:val="center"/>
          </w:tcPr>
          <w:p w:rsidR="004D3E04" w:rsidRPr="00BD4C11" w:rsidRDefault="004D3E04" w:rsidP="004D3E04">
            <w:pPr>
              <w:spacing w:before="20" w:after="20" w:line="240" w:lineRule="auto"/>
              <w:rPr>
                <w:rFonts w:ascii="Arial" w:eastAsia="Times New Roman" w:hAnsi="Arial" w:cs="Arial"/>
                <w:noProof/>
                <w:kern w:val="20"/>
                <w:sz w:val="20"/>
                <w:szCs w:val="20"/>
              </w:rPr>
            </w:pPr>
            <w:r w:rsidRPr="00BD4C11">
              <w:rPr>
                <w:rFonts w:ascii="Arial" w:eastAsia="Times New Roman" w:hAnsi="Arial" w:cs="Arial"/>
                <w:noProof/>
                <w:kern w:val="20"/>
                <w:sz w:val="20"/>
                <w:szCs w:val="20"/>
              </w:rPr>
              <w:t>6 months</w:t>
            </w:r>
          </w:p>
        </w:tc>
        <w:tc>
          <w:tcPr>
            <w:tcW w:w="2208" w:type="dxa"/>
            <w:vAlign w:val="center"/>
          </w:tcPr>
          <w:p w:rsidR="004D3E04" w:rsidRPr="00BD4C11" w:rsidRDefault="004D3E04" w:rsidP="004D3E04">
            <w:pPr>
              <w:spacing w:before="20" w:after="20" w:line="240" w:lineRule="auto"/>
              <w:jc w:val="both"/>
              <w:rPr>
                <w:rFonts w:ascii="Arial" w:eastAsia="Times New Roman" w:hAnsi="Arial" w:cs="Arial"/>
                <w:noProof/>
                <w:kern w:val="20"/>
                <w:sz w:val="20"/>
                <w:szCs w:val="20"/>
              </w:rPr>
            </w:pPr>
            <w:r w:rsidRPr="00BD4C11">
              <w:rPr>
                <w:rFonts w:ascii="Arial" w:eastAsia="Times New Roman" w:hAnsi="Arial" w:cs="Arial"/>
                <w:noProof/>
                <w:kern w:val="20"/>
                <w:sz w:val="20"/>
                <w:szCs w:val="20"/>
              </w:rPr>
              <w:t>-</w:t>
            </w:r>
          </w:p>
        </w:tc>
      </w:tr>
      <w:tr w:rsidR="004D3E04" w:rsidRPr="004D3E04" w:rsidTr="00B231E8">
        <w:trPr>
          <w:cantSplit/>
          <w:trHeight w:val="432"/>
        </w:trPr>
        <w:tc>
          <w:tcPr>
            <w:tcW w:w="2552" w:type="dxa"/>
            <w:vAlign w:val="center"/>
          </w:tcPr>
          <w:p w:rsidR="004D3E04" w:rsidRPr="00BD4C11" w:rsidRDefault="004D3E04" w:rsidP="004D3E04">
            <w:pPr>
              <w:spacing w:before="20" w:after="20" w:line="240" w:lineRule="auto"/>
              <w:rPr>
                <w:rFonts w:ascii="Arial" w:eastAsia="Times New Roman" w:hAnsi="Arial" w:cs="Arial"/>
                <w:bCs/>
                <w:noProof/>
                <w:kern w:val="20"/>
                <w:sz w:val="20"/>
                <w:szCs w:val="20"/>
              </w:rPr>
            </w:pPr>
            <w:r w:rsidRPr="00BD4C11">
              <w:rPr>
                <w:rFonts w:ascii="Arial" w:eastAsia="Times New Roman" w:hAnsi="Arial" w:cs="Arial"/>
                <w:bCs/>
                <w:noProof/>
                <w:kern w:val="20"/>
                <w:sz w:val="20"/>
                <w:szCs w:val="20"/>
              </w:rPr>
              <w:t xml:space="preserve">MMR  </w:t>
            </w:r>
          </w:p>
        </w:tc>
        <w:tc>
          <w:tcPr>
            <w:tcW w:w="4171" w:type="dxa"/>
            <w:vAlign w:val="center"/>
          </w:tcPr>
          <w:p w:rsidR="004D3E04" w:rsidRPr="00BD4C11" w:rsidRDefault="004D3E04" w:rsidP="004D3E04">
            <w:pPr>
              <w:spacing w:before="20" w:after="20" w:line="240" w:lineRule="auto"/>
              <w:rPr>
                <w:rFonts w:ascii="Arial" w:eastAsia="Times New Roman" w:hAnsi="Arial" w:cs="Arial"/>
                <w:noProof/>
                <w:kern w:val="20"/>
                <w:sz w:val="20"/>
                <w:szCs w:val="20"/>
              </w:rPr>
            </w:pPr>
            <w:r w:rsidRPr="00BD4C11">
              <w:rPr>
                <w:rFonts w:ascii="Arial" w:eastAsia="Times New Roman" w:hAnsi="Arial" w:cs="Arial"/>
                <w:noProof/>
                <w:kern w:val="20"/>
                <w:sz w:val="20"/>
                <w:szCs w:val="20"/>
              </w:rPr>
              <w:t>12  months</w:t>
            </w:r>
          </w:p>
        </w:tc>
        <w:tc>
          <w:tcPr>
            <w:tcW w:w="2208" w:type="dxa"/>
            <w:vAlign w:val="center"/>
          </w:tcPr>
          <w:p w:rsidR="004D3E04" w:rsidRPr="00BD4C11" w:rsidRDefault="004D3E04" w:rsidP="004D3E04">
            <w:pPr>
              <w:spacing w:before="20" w:after="20" w:line="240" w:lineRule="auto"/>
              <w:jc w:val="both"/>
              <w:rPr>
                <w:rFonts w:ascii="Arial" w:eastAsia="Times New Roman" w:hAnsi="Arial" w:cs="Arial"/>
                <w:noProof/>
                <w:kern w:val="20"/>
                <w:sz w:val="20"/>
                <w:szCs w:val="20"/>
              </w:rPr>
            </w:pPr>
            <w:r w:rsidRPr="00BD4C11">
              <w:rPr>
                <w:rFonts w:ascii="Arial" w:eastAsia="Times New Roman" w:hAnsi="Arial" w:cs="Arial"/>
                <w:noProof/>
                <w:kern w:val="20"/>
                <w:sz w:val="20"/>
                <w:szCs w:val="20"/>
              </w:rPr>
              <w:t>6 years</w:t>
            </w:r>
          </w:p>
        </w:tc>
      </w:tr>
      <w:tr w:rsidR="004D3E04" w:rsidRPr="004D3E04" w:rsidTr="00B231E8">
        <w:trPr>
          <w:cantSplit/>
          <w:trHeight w:val="432"/>
        </w:trPr>
        <w:tc>
          <w:tcPr>
            <w:tcW w:w="2552" w:type="dxa"/>
            <w:vAlign w:val="center"/>
          </w:tcPr>
          <w:p w:rsidR="004D3E04" w:rsidRPr="00BD4C11" w:rsidRDefault="004D3E04" w:rsidP="004D3E04">
            <w:pPr>
              <w:spacing w:before="20" w:after="20" w:line="240" w:lineRule="auto"/>
              <w:jc w:val="both"/>
              <w:rPr>
                <w:rFonts w:ascii="Arial" w:eastAsia="Times New Roman" w:hAnsi="Arial" w:cs="Arial"/>
                <w:bCs/>
                <w:noProof/>
                <w:kern w:val="20"/>
                <w:sz w:val="20"/>
                <w:szCs w:val="20"/>
              </w:rPr>
            </w:pPr>
            <w:r w:rsidRPr="00BD4C11">
              <w:rPr>
                <w:rFonts w:ascii="Arial" w:eastAsia="Times New Roman" w:hAnsi="Arial" w:cs="Arial"/>
                <w:bCs/>
                <w:noProof/>
                <w:kern w:val="20"/>
                <w:sz w:val="20"/>
                <w:szCs w:val="20"/>
              </w:rPr>
              <w:t>DPT</w:t>
            </w:r>
          </w:p>
        </w:tc>
        <w:tc>
          <w:tcPr>
            <w:tcW w:w="4171" w:type="dxa"/>
            <w:vAlign w:val="center"/>
          </w:tcPr>
          <w:p w:rsidR="004D3E04" w:rsidRPr="00BD4C11" w:rsidRDefault="004D3E04" w:rsidP="004D3E04">
            <w:pPr>
              <w:spacing w:before="20" w:after="20" w:line="240" w:lineRule="auto"/>
              <w:rPr>
                <w:rFonts w:ascii="Arial" w:eastAsia="Times New Roman" w:hAnsi="Arial" w:cs="Arial"/>
                <w:noProof/>
                <w:kern w:val="20"/>
                <w:sz w:val="20"/>
                <w:szCs w:val="20"/>
              </w:rPr>
            </w:pPr>
          </w:p>
        </w:tc>
        <w:tc>
          <w:tcPr>
            <w:tcW w:w="2208" w:type="dxa"/>
            <w:vAlign w:val="center"/>
          </w:tcPr>
          <w:p w:rsidR="004D3E04" w:rsidRPr="00BD4C11" w:rsidRDefault="006527A3" w:rsidP="004D3E04">
            <w:pPr>
              <w:spacing w:before="20" w:after="20" w:line="240" w:lineRule="auto"/>
              <w:jc w:val="both"/>
              <w:rPr>
                <w:rFonts w:ascii="Arial" w:eastAsia="Times New Roman" w:hAnsi="Arial" w:cs="Arial"/>
                <w:noProof/>
                <w:kern w:val="20"/>
                <w:sz w:val="20"/>
                <w:szCs w:val="20"/>
              </w:rPr>
            </w:pPr>
            <w:r w:rsidRPr="00BD4C11">
              <w:rPr>
                <w:rFonts w:ascii="Arial" w:eastAsia="Times New Roman" w:hAnsi="Arial" w:cs="Arial"/>
                <w:noProof/>
                <w:kern w:val="20"/>
                <w:sz w:val="20"/>
                <w:szCs w:val="20"/>
              </w:rPr>
              <w:t>18</w:t>
            </w:r>
            <w:r w:rsidR="004D3E04" w:rsidRPr="00BD4C11">
              <w:rPr>
                <w:rFonts w:ascii="Arial" w:eastAsia="Times New Roman" w:hAnsi="Arial" w:cs="Arial"/>
                <w:noProof/>
                <w:kern w:val="20"/>
                <w:sz w:val="20"/>
                <w:szCs w:val="20"/>
              </w:rPr>
              <w:t xml:space="preserve"> months</w:t>
            </w:r>
          </w:p>
        </w:tc>
      </w:tr>
      <w:tr w:rsidR="004D3E04" w:rsidRPr="004D3E04" w:rsidTr="00B231E8">
        <w:trPr>
          <w:cantSplit/>
          <w:trHeight w:val="432"/>
        </w:trPr>
        <w:tc>
          <w:tcPr>
            <w:tcW w:w="2552" w:type="dxa"/>
            <w:vAlign w:val="center"/>
          </w:tcPr>
          <w:p w:rsidR="004D3E04" w:rsidRPr="00BD4C11" w:rsidRDefault="004D3E04" w:rsidP="004D3E04">
            <w:pPr>
              <w:spacing w:before="20" w:after="20" w:line="240" w:lineRule="auto"/>
              <w:jc w:val="both"/>
              <w:rPr>
                <w:rFonts w:ascii="Arial" w:eastAsia="Times New Roman" w:hAnsi="Arial" w:cs="Arial"/>
                <w:bCs/>
                <w:noProof/>
                <w:kern w:val="20"/>
                <w:sz w:val="20"/>
                <w:szCs w:val="20"/>
              </w:rPr>
            </w:pPr>
            <w:r w:rsidRPr="00BD4C11">
              <w:rPr>
                <w:rFonts w:ascii="Arial" w:eastAsia="Times New Roman" w:hAnsi="Arial" w:cs="Arial"/>
                <w:bCs/>
                <w:noProof/>
                <w:kern w:val="20"/>
                <w:sz w:val="20"/>
                <w:szCs w:val="20"/>
              </w:rPr>
              <w:t>TD</w:t>
            </w:r>
          </w:p>
        </w:tc>
        <w:tc>
          <w:tcPr>
            <w:tcW w:w="4171" w:type="dxa"/>
            <w:vAlign w:val="center"/>
          </w:tcPr>
          <w:p w:rsidR="004D3E04" w:rsidRPr="00BD4C11" w:rsidRDefault="004D3E04" w:rsidP="004D3E04">
            <w:pPr>
              <w:spacing w:before="20" w:after="20" w:line="240" w:lineRule="auto"/>
              <w:rPr>
                <w:rFonts w:ascii="Arial" w:eastAsia="Times New Roman" w:hAnsi="Arial" w:cs="Arial"/>
                <w:noProof/>
                <w:kern w:val="20"/>
                <w:sz w:val="20"/>
                <w:szCs w:val="20"/>
              </w:rPr>
            </w:pPr>
          </w:p>
        </w:tc>
        <w:tc>
          <w:tcPr>
            <w:tcW w:w="2208" w:type="dxa"/>
            <w:vAlign w:val="center"/>
          </w:tcPr>
          <w:p w:rsidR="004D3E04" w:rsidRPr="00BD4C11" w:rsidRDefault="004D3E04" w:rsidP="004D3E04">
            <w:pPr>
              <w:spacing w:before="20" w:after="20" w:line="240" w:lineRule="auto"/>
              <w:jc w:val="both"/>
              <w:rPr>
                <w:rFonts w:ascii="Arial" w:eastAsia="Times New Roman" w:hAnsi="Arial" w:cs="Arial"/>
                <w:noProof/>
                <w:kern w:val="20"/>
                <w:sz w:val="20"/>
                <w:szCs w:val="20"/>
              </w:rPr>
            </w:pPr>
            <w:r w:rsidRPr="00BD4C11">
              <w:rPr>
                <w:rFonts w:ascii="Arial" w:eastAsia="Times New Roman" w:hAnsi="Arial" w:cs="Arial"/>
                <w:noProof/>
                <w:kern w:val="20"/>
                <w:sz w:val="20"/>
                <w:szCs w:val="20"/>
              </w:rPr>
              <w:t>6 years</w:t>
            </w:r>
          </w:p>
        </w:tc>
      </w:tr>
      <w:tr w:rsidR="004D3E04" w:rsidRPr="004D3E04" w:rsidTr="00B231E8">
        <w:trPr>
          <w:cantSplit/>
          <w:trHeight w:val="432"/>
        </w:trPr>
        <w:tc>
          <w:tcPr>
            <w:tcW w:w="2552" w:type="dxa"/>
            <w:vAlign w:val="center"/>
          </w:tcPr>
          <w:p w:rsidR="004D3E04" w:rsidRPr="00BD4C11" w:rsidRDefault="006527A3" w:rsidP="004D3E04">
            <w:pPr>
              <w:spacing w:before="20" w:after="20" w:line="240" w:lineRule="auto"/>
              <w:jc w:val="both"/>
              <w:rPr>
                <w:rFonts w:ascii="Arial" w:eastAsia="Times New Roman" w:hAnsi="Arial" w:cs="Arial"/>
                <w:bCs/>
                <w:noProof/>
                <w:kern w:val="20"/>
                <w:sz w:val="20"/>
                <w:szCs w:val="20"/>
              </w:rPr>
            </w:pPr>
            <w:r w:rsidRPr="00BD4C11">
              <w:rPr>
                <w:rFonts w:ascii="Arial" w:eastAsia="Times New Roman" w:hAnsi="Arial" w:cs="Arial"/>
                <w:bCs/>
                <w:noProof/>
                <w:kern w:val="20"/>
                <w:sz w:val="20"/>
                <w:szCs w:val="20"/>
              </w:rPr>
              <w:t>Vit A</w:t>
            </w:r>
          </w:p>
        </w:tc>
        <w:tc>
          <w:tcPr>
            <w:tcW w:w="4171" w:type="dxa"/>
            <w:vAlign w:val="center"/>
          </w:tcPr>
          <w:p w:rsidR="004D3E04" w:rsidRPr="00BD4C11" w:rsidRDefault="00B07834" w:rsidP="004D3E04">
            <w:pPr>
              <w:spacing w:before="20" w:after="20" w:line="240" w:lineRule="auto"/>
              <w:rPr>
                <w:rFonts w:ascii="Arial" w:eastAsia="Times New Roman" w:hAnsi="Arial" w:cs="Arial"/>
                <w:noProof/>
                <w:kern w:val="20"/>
                <w:sz w:val="20"/>
                <w:szCs w:val="20"/>
              </w:rPr>
            </w:pPr>
            <w:r>
              <w:rPr>
                <w:rFonts w:ascii="Arial" w:eastAsia="Times New Roman" w:hAnsi="Arial" w:cs="Arial"/>
                <w:noProof/>
                <w:kern w:val="20"/>
                <w:sz w:val="20"/>
                <w:szCs w:val="20"/>
              </w:rPr>
              <w:t>12 months, 18 months, 6 years</w:t>
            </w:r>
          </w:p>
        </w:tc>
        <w:tc>
          <w:tcPr>
            <w:tcW w:w="2208" w:type="dxa"/>
            <w:vAlign w:val="center"/>
          </w:tcPr>
          <w:p w:rsidR="004D3E04" w:rsidRPr="00BD4C11" w:rsidRDefault="004D3E04" w:rsidP="004D3E04">
            <w:pPr>
              <w:spacing w:before="20" w:after="20" w:line="240" w:lineRule="auto"/>
              <w:jc w:val="both"/>
              <w:rPr>
                <w:rFonts w:ascii="Arial" w:eastAsia="Times New Roman" w:hAnsi="Arial" w:cs="Arial"/>
                <w:noProof/>
                <w:kern w:val="20"/>
                <w:sz w:val="20"/>
                <w:szCs w:val="20"/>
              </w:rPr>
            </w:pPr>
          </w:p>
        </w:tc>
      </w:tr>
    </w:tbl>
    <w:p w:rsidR="004D3E04" w:rsidRPr="004D3E04" w:rsidRDefault="004D3E04" w:rsidP="00084AFC">
      <w:pPr>
        <w:pStyle w:val="ListParagraph"/>
        <w:tabs>
          <w:tab w:val="left" w:pos="3451"/>
        </w:tabs>
        <w:jc w:val="both"/>
        <w:rPr>
          <w:rFonts w:ascii="Arial" w:hAnsi="Arial" w:cs="Arial"/>
          <w:b/>
          <w:sz w:val="20"/>
          <w:szCs w:val="20"/>
        </w:rPr>
      </w:pPr>
    </w:p>
    <w:p w:rsidR="00C662A5" w:rsidRDefault="00C662A5" w:rsidP="00685FBD">
      <w:pPr>
        <w:pStyle w:val="ListParagraph"/>
        <w:tabs>
          <w:tab w:val="left" w:pos="3451"/>
        </w:tabs>
        <w:jc w:val="both"/>
        <w:rPr>
          <w:rFonts w:ascii="Arial" w:hAnsi="Arial" w:cs="Arial"/>
          <w:sz w:val="20"/>
          <w:szCs w:val="20"/>
        </w:rPr>
      </w:pPr>
    </w:p>
    <w:p w:rsidR="00F8282B" w:rsidRPr="00B231E8" w:rsidRDefault="00433D70" w:rsidP="00B231E8">
      <w:pPr>
        <w:tabs>
          <w:tab w:val="left" w:pos="3451"/>
        </w:tabs>
        <w:jc w:val="both"/>
        <w:rPr>
          <w:rFonts w:ascii="Arial" w:hAnsi="Arial" w:cs="Arial"/>
          <w:sz w:val="20"/>
          <w:szCs w:val="20"/>
        </w:rPr>
      </w:pPr>
      <w:r w:rsidRPr="00B231E8">
        <w:rPr>
          <w:rFonts w:ascii="Arial" w:hAnsi="Arial" w:cs="Arial"/>
          <w:sz w:val="20"/>
          <w:szCs w:val="20"/>
        </w:rPr>
        <w:t xml:space="preserve">Retroactive vaccination for IPV is not considered. Therefore, given the introduction on 1 July 2015, only 50% of survival infants for introduction year are targeted by EPI for IPV immunization. </w:t>
      </w:r>
    </w:p>
    <w:p w:rsidR="002450AE" w:rsidRDefault="00F8282B" w:rsidP="00B231E8">
      <w:pPr>
        <w:tabs>
          <w:tab w:val="left" w:pos="3451"/>
        </w:tabs>
        <w:jc w:val="both"/>
        <w:rPr>
          <w:rFonts w:ascii="Arial" w:hAnsi="Arial" w:cs="Arial"/>
          <w:sz w:val="20"/>
          <w:szCs w:val="20"/>
        </w:rPr>
      </w:pPr>
      <w:r w:rsidRPr="00B231E8">
        <w:rPr>
          <w:rFonts w:ascii="Arial" w:hAnsi="Arial" w:cs="Arial"/>
          <w:sz w:val="20"/>
          <w:szCs w:val="20"/>
        </w:rPr>
        <w:t>The detailed information on size of target group for 3 subsequent years is shown in the table 3 below.</w:t>
      </w:r>
    </w:p>
    <w:p w:rsidR="00B231E8" w:rsidRPr="00B231E8" w:rsidRDefault="00B231E8" w:rsidP="00B231E8">
      <w:pPr>
        <w:tabs>
          <w:tab w:val="left" w:pos="3451"/>
        </w:tabs>
        <w:jc w:val="both"/>
        <w:rPr>
          <w:rFonts w:ascii="Arial" w:hAnsi="Arial" w:cs="Arial"/>
          <w:b/>
          <w:sz w:val="20"/>
          <w:szCs w:val="20"/>
        </w:rPr>
      </w:pPr>
      <w:r w:rsidRPr="00B231E8">
        <w:rPr>
          <w:rFonts w:ascii="Arial" w:hAnsi="Arial" w:cs="Arial"/>
          <w:b/>
          <w:sz w:val="20"/>
          <w:szCs w:val="20"/>
        </w:rPr>
        <w:t xml:space="preserve">          Table 3</w:t>
      </w:r>
      <w:r>
        <w:rPr>
          <w:rFonts w:ascii="Arial" w:hAnsi="Arial" w:cs="Arial"/>
          <w:b/>
          <w:sz w:val="20"/>
          <w:szCs w:val="20"/>
        </w:rPr>
        <w:t xml:space="preserve"> Target groups for 2015-201</w:t>
      </w:r>
      <w:r w:rsidR="00270EB2">
        <w:rPr>
          <w:rFonts w:ascii="Arial" w:hAnsi="Arial" w:cs="Arial"/>
          <w:b/>
          <w:sz w:val="20"/>
          <w:szCs w:val="20"/>
        </w:rPr>
        <w:t>8</w:t>
      </w:r>
    </w:p>
    <w:tbl>
      <w:tblPr>
        <w:tblStyle w:val="TableGrid"/>
        <w:tblW w:w="0" w:type="auto"/>
        <w:tblInd w:w="675" w:type="dxa"/>
        <w:tblLook w:val="05A0" w:firstRow="1" w:lastRow="0" w:firstColumn="1" w:lastColumn="1" w:noHBand="0" w:noVBand="1"/>
      </w:tblPr>
      <w:tblGrid>
        <w:gridCol w:w="1418"/>
        <w:gridCol w:w="2410"/>
        <w:gridCol w:w="2252"/>
        <w:gridCol w:w="2658"/>
      </w:tblGrid>
      <w:tr w:rsidR="00715BC7" w:rsidRPr="00715BC7" w:rsidTr="00B231E8">
        <w:tc>
          <w:tcPr>
            <w:tcW w:w="1418" w:type="dxa"/>
          </w:tcPr>
          <w:p w:rsidR="00715BC7" w:rsidRPr="00715BC7" w:rsidRDefault="00715BC7" w:rsidP="00AF46EB">
            <w:pPr>
              <w:ind w:right="120"/>
              <w:jc w:val="center"/>
              <w:rPr>
                <w:rFonts w:ascii="Arial" w:hAnsi="Arial" w:cs="Arial"/>
                <w:lang w:eastAsia="en-GB"/>
              </w:rPr>
            </w:pPr>
            <w:r w:rsidRPr="00715BC7">
              <w:rPr>
                <w:rFonts w:ascii="Arial" w:hAnsi="Arial" w:cs="Arial"/>
                <w:lang w:eastAsia="en-GB"/>
              </w:rPr>
              <w:t>Year</w:t>
            </w:r>
          </w:p>
        </w:tc>
        <w:tc>
          <w:tcPr>
            <w:tcW w:w="2410" w:type="dxa"/>
          </w:tcPr>
          <w:p w:rsidR="00715BC7" w:rsidRPr="00B231E8" w:rsidRDefault="00715BC7" w:rsidP="00BD4C11">
            <w:pPr>
              <w:ind w:right="120"/>
              <w:jc w:val="center"/>
              <w:rPr>
                <w:rFonts w:ascii="Arial" w:hAnsi="Arial" w:cs="Arial"/>
                <w:lang w:eastAsia="en-GB"/>
              </w:rPr>
            </w:pPr>
            <w:r w:rsidRPr="00715BC7">
              <w:rPr>
                <w:rFonts w:ascii="Arial" w:hAnsi="Arial" w:cs="Arial"/>
                <w:lang w:eastAsia="en-GB"/>
              </w:rPr>
              <w:t>Number in target population for IPV</w:t>
            </w:r>
          </w:p>
        </w:tc>
        <w:tc>
          <w:tcPr>
            <w:tcW w:w="2252" w:type="dxa"/>
          </w:tcPr>
          <w:p w:rsidR="00715BC7" w:rsidRPr="00715BC7" w:rsidRDefault="00715BC7" w:rsidP="00AF46EB">
            <w:pPr>
              <w:ind w:right="120"/>
              <w:jc w:val="center"/>
              <w:rPr>
                <w:rFonts w:ascii="Arial" w:hAnsi="Arial" w:cs="Arial"/>
                <w:lang w:eastAsia="en-GB"/>
              </w:rPr>
            </w:pPr>
            <w:r w:rsidRPr="00715BC7">
              <w:rPr>
                <w:rFonts w:ascii="Arial" w:hAnsi="Arial" w:cs="Arial"/>
                <w:lang w:eastAsia="en-GB"/>
              </w:rPr>
              <w:t>Number in birth cohort</w:t>
            </w:r>
          </w:p>
        </w:tc>
        <w:tc>
          <w:tcPr>
            <w:tcW w:w="2658" w:type="dxa"/>
          </w:tcPr>
          <w:p w:rsidR="00715BC7" w:rsidRPr="00715BC7" w:rsidRDefault="00715BC7" w:rsidP="00AF46EB">
            <w:pPr>
              <w:ind w:right="120"/>
              <w:jc w:val="center"/>
              <w:rPr>
                <w:rFonts w:ascii="Arial" w:hAnsi="Arial" w:cs="Arial"/>
                <w:lang w:eastAsia="en-GB"/>
              </w:rPr>
            </w:pPr>
            <w:r w:rsidRPr="00715BC7">
              <w:rPr>
                <w:rFonts w:ascii="Arial" w:hAnsi="Arial" w:cs="Arial"/>
                <w:lang w:eastAsia="en-GB"/>
              </w:rPr>
              <w:t>Number of surviving infants</w:t>
            </w:r>
          </w:p>
        </w:tc>
      </w:tr>
      <w:tr w:rsidR="00AF46EB" w:rsidRPr="00715BC7" w:rsidTr="00B231E8">
        <w:tc>
          <w:tcPr>
            <w:tcW w:w="1418" w:type="dxa"/>
          </w:tcPr>
          <w:p w:rsidR="00AF46EB" w:rsidRPr="00715BC7" w:rsidRDefault="00AF46EB" w:rsidP="00715BC7">
            <w:pPr>
              <w:ind w:right="120"/>
              <w:jc w:val="center"/>
              <w:rPr>
                <w:rFonts w:ascii="Arial" w:hAnsi="Arial" w:cs="Arial"/>
                <w:lang w:eastAsia="en-GB"/>
              </w:rPr>
            </w:pPr>
            <w:r w:rsidRPr="00715BC7">
              <w:rPr>
                <w:rFonts w:ascii="Arial" w:hAnsi="Arial" w:cs="Arial"/>
                <w:lang w:eastAsia="en-GB"/>
              </w:rPr>
              <w:t>2014</w:t>
            </w:r>
          </w:p>
        </w:tc>
        <w:tc>
          <w:tcPr>
            <w:tcW w:w="2410" w:type="dxa"/>
          </w:tcPr>
          <w:p w:rsidR="00AF46EB" w:rsidRPr="00BD4C11" w:rsidRDefault="00AF46EB" w:rsidP="00AF46EB">
            <w:pPr>
              <w:jc w:val="center"/>
              <w:rPr>
                <w:rFonts w:ascii="Arial" w:hAnsi="Arial" w:cs="Arial"/>
              </w:rPr>
            </w:pPr>
            <w:r w:rsidRPr="00BD4C11">
              <w:rPr>
                <w:rFonts w:ascii="Arial" w:hAnsi="Arial" w:cs="Arial"/>
              </w:rPr>
              <w:t>0</w:t>
            </w:r>
          </w:p>
        </w:tc>
        <w:tc>
          <w:tcPr>
            <w:tcW w:w="2252" w:type="dxa"/>
          </w:tcPr>
          <w:p w:rsidR="00AF46EB" w:rsidRPr="00BD4C11" w:rsidRDefault="00AF46EB" w:rsidP="00AF46EB">
            <w:pPr>
              <w:jc w:val="center"/>
              <w:rPr>
                <w:rFonts w:ascii="Arial" w:hAnsi="Arial" w:cs="Arial"/>
              </w:rPr>
            </w:pPr>
            <w:r w:rsidRPr="00BD4C11">
              <w:rPr>
                <w:rFonts w:ascii="Arial" w:hAnsi="Arial" w:cs="Arial"/>
              </w:rPr>
              <w:t>160 543</w:t>
            </w:r>
          </w:p>
        </w:tc>
        <w:tc>
          <w:tcPr>
            <w:tcW w:w="2658" w:type="dxa"/>
          </w:tcPr>
          <w:p w:rsidR="00AF46EB" w:rsidRPr="00BD4C11" w:rsidRDefault="00AF46EB" w:rsidP="00AF46EB">
            <w:pPr>
              <w:jc w:val="center"/>
              <w:rPr>
                <w:rFonts w:ascii="Arial" w:hAnsi="Arial" w:cs="Arial"/>
              </w:rPr>
            </w:pPr>
            <w:r w:rsidRPr="00BD4C11">
              <w:rPr>
                <w:rFonts w:ascii="Arial" w:hAnsi="Arial" w:cs="Arial"/>
              </w:rPr>
              <w:t>158 712</w:t>
            </w:r>
          </w:p>
        </w:tc>
      </w:tr>
      <w:tr w:rsidR="00AF46EB" w:rsidRPr="00715BC7" w:rsidTr="00B231E8">
        <w:tc>
          <w:tcPr>
            <w:tcW w:w="1418" w:type="dxa"/>
          </w:tcPr>
          <w:p w:rsidR="00AF46EB" w:rsidRPr="00715BC7" w:rsidRDefault="00AF46EB" w:rsidP="00715BC7">
            <w:pPr>
              <w:ind w:right="120"/>
              <w:jc w:val="center"/>
              <w:rPr>
                <w:rFonts w:ascii="Arial" w:hAnsi="Arial" w:cs="Arial"/>
                <w:lang w:eastAsia="en-GB"/>
              </w:rPr>
            </w:pPr>
            <w:r w:rsidRPr="00715BC7">
              <w:rPr>
                <w:rFonts w:ascii="Arial" w:hAnsi="Arial" w:cs="Arial"/>
                <w:lang w:eastAsia="en-GB"/>
              </w:rPr>
              <w:t>2015</w:t>
            </w:r>
          </w:p>
        </w:tc>
        <w:tc>
          <w:tcPr>
            <w:tcW w:w="2410" w:type="dxa"/>
          </w:tcPr>
          <w:p w:rsidR="00AF46EB" w:rsidRPr="00BD4C11" w:rsidRDefault="00AF46EB" w:rsidP="00AF46EB">
            <w:pPr>
              <w:jc w:val="center"/>
              <w:rPr>
                <w:rFonts w:ascii="Arial" w:hAnsi="Arial" w:cs="Arial"/>
                <w:lang w:val="ru-RU"/>
              </w:rPr>
            </w:pPr>
            <w:r w:rsidRPr="00BD4C11">
              <w:rPr>
                <w:rFonts w:ascii="Arial" w:hAnsi="Arial" w:cs="Arial"/>
                <w:lang w:val="ru-RU"/>
              </w:rPr>
              <w:t>80 308</w:t>
            </w:r>
          </w:p>
        </w:tc>
        <w:tc>
          <w:tcPr>
            <w:tcW w:w="2252" w:type="dxa"/>
          </w:tcPr>
          <w:p w:rsidR="00AF46EB" w:rsidRPr="00BD4C11" w:rsidRDefault="00AF46EB" w:rsidP="00AF46EB">
            <w:pPr>
              <w:jc w:val="center"/>
              <w:rPr>
                <w:rFonts w:ascii="Arial" w:hAnsi="Arial" w:cs="Arial"/>
              </w:rPr>
            </w:pPr>
            <w:r w:rsidRPr="00BD4C11">
              <w:rPr>
                <w:rFonts w:ascii="Arial" w:hAnsi="Arial" w:cs="Arial"/>
              </w:rPr>
              <w:t>162 469</w:t>
            </w:r>
          </w:p>
        </w:tc>
        <w:tc>
          <w:tcPr>
            <w:tcW w:w="2658" w:type="dxa"/>
          </w:tcPr>
          <w:p w:rsidR="00AF46EB" w:rsidRPr="00BD4C11" w:rsidRDefault="00AF46EB" w:rsidP="00AF46EB">
            <w:pPr>
              <w:jc w:val="center"/>
              <w:rPr>
                <w:rFonts w:ascii="Arial" w:hAnsi="Arial" w:cs="Arial"/>
              </w:rPr>
            </w:pPr>
            <w:r w:rsidRPr="00BD4C11">
              <w:rPr>
                <w:rFonts w:ascii="Arial" w:hAnsi="Arial" w:cs="Arial"/>
              </w:rPr>
              <w:t>160 617</w:t>
            </w:r>
          </w:p>
        </w:tc>
      </w:tr>
      <w:tr w:rsidR="00270EB2" w:rsidRPr="00715BC7" w:rsidTr="00B231E8">
        <w:tc>
          <w:tcPr>
            <w:tcW w:w="1418" w:type="dxa"/>
          </w:tcPr>
          <w:p w:rsidR="00270EB2" w:rsidRPr="00715BC7" w:rsidRDefault="00270EB2" w:rsidP="00715BC7">
            <w:pPr>
              <w:ind w:right="120"/>
              <w:jc w:val="center"/>
              <w:rPr>
                <w:rFonts w:ascii="Arial" w:hAnsi="Arial" w:cs="Arial"/>
                <w:lang w:eastAsia="en-GB"/>
              </w:rPr>
            </w:pPr>
            <w:r w:rsidRPr="00715BC7">
              <w:rPr>
                <w:rFonts w:ascii="Arial" w:hAnsi="Arial" w:cs="Arial"/>
                <w:lang w:eastAsia="en-GB"/>
              </w:rPr>
              <w:t>2016</w:t>
            </w:r>
          </w:p>
        </w:tc>
        <w:tc>
          <w:tcPr>
            <w:tcW w:w="2410" w:type="dxa"/>
          </w:tcPr>
          <w:p w:rsidR="00270EB2" w:rsidRPr="00270EB2" w:rsidRDefault="00270EB2" w:rsidP="00270EB2">
            <w:pPr>
              <w:rPr>
                <w:rFonts w:ascii="Arial" w:hAnsi="Arial" w:cs="Arial"/>
              </w:rPr>
            </w:pPr>
            <w:r>
              <w:rPr>
                <w:rFonts w:ascii="Arial" w:hAnsi="Arial" w:cs="Arial"/>
              </w:rPr>
              <w:t xml:space="preserve">             </w:t>
            </w:r>
            <w:r w:rsidRPr="00270EB2">
              <w:rPr>
                <w:rFonts w:ascii="Arial" w:hAnsi="Arial" w:cs="Arial"/>
              </w:rPr>
              <w:t>161 299</w:t>
            </w:r>
          </w:p>
        </w:tc>
        <w:tc>
          <w:tcPr>
            <w:tcW w:w="2252" w:type="dxa"/>
          </w:tcPr>
          <w:p w:rsidR="00270EB2" w:rsidRPr="00715BC7" w:rsidRDefault="00270EB2" w:rsidP="00270EB2">
            <w:pPr>
              <w:ind w:right="120"/>
              <w:rPr>
                <w:rFonts w:ascii="Arial" w:hAnsi="Arial" w:cs="Arial"/>
                <w:lang w:eastAsia="en-GB"/>
              </w:rPr>
            </w:pPr>
            <w:r>
              <w:rPr>
                <w:rFonts w:ascii="Arial" w:hAnsi="Arial" w:cs="Arial"/>
                <w:lang w:eastAsia="en-GB"/>
              </w:rPr>
              <w:t xml:space="preserve">            164 256</w:t>
            </w:r>
          </w:p>
        </w:tc>
        <w:tc>
          <w:tcPr>
            <w:tcW w:w="2658" w:type="dxa"/>
          </w:tcPr>
          <w:p w:rsidR="00270EB2" w:rsidRPr="00715BC7" w:rsidRDefault="00270EB2" w:rsidP="00715BC7">
            <w:pPr>
              <w:ind w:right="120"/>
              <w:rPr>
                <w:rFonts w:ascii="Arial" w:hAnsi="Arial" w:cs="Arial"/>
                <w:lang w:eastAsia="en-GB"/>
              </w:rPr>
            </w:pPr>
            <w:r>
              <w:rPr>
                <w:rFonts w:ascii="Arial" w:hAnsi="Arial" w:cs="Arial"/>
                <w:lang w:eastAsia="en-GB"/>
              </w:rPr>
              <w:t xml:space="preserve">                161 299</w:t>
            </w:r>
          </w:p>
        </w:tc>
      </w:tr>
      <w:tr w:rsidR="00270EB2" w:rsidRPr="00715BC7" w:rsidTr="00B231E8">
        <w:tc>
          <w:tcPr>
            <w:tcW w:w="1418" w:type="dxa"/>
          </w:tcPr>
          <w:p w:rsidR="00270EB2" w:rsidRPr="00715BC7" w:rsidRDefault="00270EB2" w:rsidP="00715BC7">
            <w:pPr>
              <w:ind w:right="120"/>
              <w:jc w:val="center"/>
              <w:rPr>
                <w:rFonts w:ascii="Arial" w:hAnsi="Arial" w:cs="Arial"/>
                <w:lang w:eastAsia="en-GB"/>
              </w:rPr>
            </w:pPr>
            <w:r w:rsidRPr="00715BC7">
              <w:rPr>
                <w:rFonts w:ascii="Arial" w:hAnsi="Arial" w:cs="Arial"/>
                <w:lang w:eastAsia="en-GB"/>
              </w:rPr>
              <w:t>2017</w:t>
            </w:r>
          </w:p>
        </w:tc>
        <w:tc>
          <w:tcPr>
            <w:tcW w:w="2410" w:type="dxa"/>
          </w:tcPr>
          <w:p w:rsidR="00270EB2" w:rsidRPr="00270EB2" w:rsidRDefault="00270EB2" w:rsidP="00270EB2">
            <w:pPr>
              <w:rPr>
                <w:rFonts w:ascii="Arial" w:hAnsi="Arial" w:cs="Arial"/>
              </w:rPr>
            </w:pPr>
            <w:r>
              <w:rPr>
                <w:rFonts w:ascii="Arial" w:hAnsi="Arial" w:cs="Arial"/>
              </w:rPr>
              <w:t xml:space="preserve">             </w:t>
            </w:r>
            <w:r w:rsidRPr="00270EB2">
              <w:rPr>
                <w:rFonts w:ascii="Arial" w:hAnsi="Arial" w:cs="Arial"/>
              </w:rPr>
              <w:t>163 072</w:t>
            </w:r>
          </w:p>
        </w:tc>
        <w:tc>
          <w:tcPr>
            <w:tcW w:w="2252" w:type="dxa"/>
          </w:tcPr>
          <w:p w:rsidR="00270EB2" w:rsidRPr="00715BC7" w:rsidRDefault="00270EB2" w:rsidP="00270EB2">
            <w:pPr>
              <w:ind w:right="120"/>
              <w:rPr>
                <w:rFonts w:ascii="Arial" w:hAnsi="Arial" w:cs="Arial"/>
                <w:lang w:eastAsia="en-GB"/>
              </w:rPr>
            </w:pPr>
            <w:r>
              <w:rPr>
                <w:rFonts w:ascii="Arial" w:hAnsi="Arial" w:cs="Arial"/>
                <w:lang w:eastAsia="en-GB"/>
              </w:rPr>
              <w:t xml:space="preserve">            166 062</w:t>
            </w:r>
          </w:p>
        </w:tc>
        <w:tc>
          <w:tcPr>
            <w:tcW w:w="2658" w:type="dxa"/>
          </w:tcPr>
          <w:p w:rsidR="00270EB2" w:rsidRPr="00715BC7" w:rsidRDefault="00270EB2" w:rsidP="00715BC7">
            <w:pPr>
              <w:ind w:right="120"/>
              <w:rPr>
                <w:rFonts w:ascii="Arial" w:hAnsi="Arial" w:cs="Arial"/>
                <w:lang w:eastAsia="en-GB"/>
              </w:rPr>
            </w:pPr>
            <w:r>
              <w:rPr>
                <w:rFonts w:ascii="Arial" w:hAnsi="Arial" w:cs="Arial"/>
                <w:lang w:eastAsia="en-GB"/>
              </w:rPr>
              <w:t xml:space="preserve">                163 072</w:t>
            </w:r>
          </w:p>
        </w:tc>
      </w:tr>
      <w:tr w:rsidR="00270EB2" w:rsidRPr="00715BC7" w:rsidTr="00B231E8">
        <w:tc>
          <w:tcPr>
            <w:tcW w:w="1418" w:type="dxa"/>
          </w:tcPr>
          <w:p w:rsidR="00270EB2" w:rsidRPr="00715BC7" w:rsidRDefault="00270EB2" w:rsidP="00715BC7">
            <w:pPr>
              <w:ind w:right="120"/>
              <w:jc w:val="center"/>
              <w:rPr>
                <w:rFonts w:ascii="Arial" w:hAnsi="Arial" w:cs="Arial"/>
                <w:lang w:eastAsia="en-GB"/>
              </w:rPr>
            </w:pPr>
            <w:r w:rsidRPr="00715BC7">
              <w:rPr>
                <w:rFonts w:ascii="Arial" w:hAnsi="Arial" w:cs="Arial"/>
                <w:lang w:eastAsia="en-GB"/>
              </w:rPr>
              <w:t>2018</w:t>
            </w:r>
          </w:p>
        </w:tc>
        <w:tc>
          <w:tcPr>
            <w:tcW w:w="2410" w:type="dxa"/>
          </w:tcPr>
          <w:p w:rsidR="00270EB2" w:rsidRPr="00270EB2" w:rsidRDefault="00270EB2" w:rsidP="00270EB2">
            <w:pPr>
              <w:rPr>
                <w:rFonts w:ascii="Arial" w:hAnsi="Arial" w:cs="Arial"/>
              </w:rPr>
            </w:pPr>
            <w:r>
              <w:rPr>
                <w:rFonts w:ascii="Arial" w:hAnsi="Arial" w:cs="Arial"/>
              </w:rPr>
              <w:t xml:space="preserve">             </w:t>
            </w:r>
            <w:r w:rsidRPr="00270EB2">
              <w:rPr>
                <w:rFonts w:ascii="Arial" w:hAnsi="Arial" w:cs="Arial"/>
              </w:rPr>
              <w:t>164 867</w:t>
            </w:r>
          </w:p>
        </w:tc>
        <w:tc>
          <w:tcPr>
            <w:tcW w:w="2252" w:type="dxa"/>
          </w:tcPr>
          <w:p w:rsidR="00270EB2" w:rsidRPr="00715BC7" w:rsidRDefault="00270EB2" w:rsidP="00270EB2">
            <w:pPr>
              <w:ind w:right="120"/>
              <w:rPr>
                <w:rFonts w:ascii="Arial" w:hAnsi="Arial" w:cs="Arial"/>
                <w:lang w:eastAsia="en-GB"/>
              </w:rPr>
            </w:pPr>
            <w:r>
              <w:rPr>
                <w:rFonts w:ascii="Arial" w:hAnsi="Arial" w:cs="Arial"/>
                <w:lang w:eastAsia="en-GB"/>
              </w:rPr>
              <w:t xml:space="preserve">            167 889</w:t>
            </w:r>
          </w:p>
        </w:tc>
        <w:tc>
          <w:tcPr>
            <w:tcW w:w="2658" w:type="dxa"/>
          </w:tcPr>
          <w:p w:rsidR="00270EB2" w:rsidRPr="00715BC7" w:rsidRDefault="00270EB2" w:rsidP="00715BC7">
            <w:pPr>
              <w:ind w:right="120"/>
              <w:rPr>
                <w:rFonts w:ascii="Arial" w:hAnsi="Arial" w:cs="Arial"/>
                <w:lang w:eastAsia="en-GB"/>
              </w:rPr>
            </w:pPr>
            <w:r>
              <w:rPr>
                <w:rFonts w:ascii="Arial" w:hAnsi="Arial" w:cs="Arial"/>
                <w:lang w:eastAsia="en-GB"/>
              </w:rPr>
              <w:t xml:space="preserve">                164 867</w:t>
            </w:r>
          </w:p>
        </w:tc>
      </w:tr>
      <w:tr w:rsidR="00715BC7" w:rsidRPr="00715BC7" w:rsidTr="00B231E8">
        <w:tc>
          <w:tcPr>
            <w:tcW w:w="1418" w:type="dxa"/>
          </w:tcPr>
          <w:p w:rsidR="00715BC7" w:rsidRPr="00715BC7" w:rsidRDefault="00715BC7" w:rsidP="00715BC7">
            <w:pPr>
              <w:ind w:right="120"/>
              <w:jc w:val="right"/>
              <w:rPr>
                <w:rFonts w:ascii="Arial" w:hAnsi="Arial" w:cs="Arial"/>
                <w:lang w:eastAsia="en-GB"/>
              </w:rPr>
            </w:pPr>
            <w:r w:rsidRPr="00715BC7">
              <w:rPr>
                <w:rFonts w:ascii="Arial" w:hAnsi="Arial" w:cs="Arial"/>
                <w:lang w:eastAsia="en-GB"/>
              </w:rPr>
              <w:t>Total</w:t>
            </w:r>
          </w:p>
        </w:tc>
        <w:tc>
          <w:tcPr>
            <w:tcW w:w="2410" w:type="dxa"/>
          </w:tcPr>
          <w:p w:rsidR="00715BC7" w:rsidRPr="00715BC7" w:rsidRDefault="00624398" w:rsidP="00270EB2">
            <w:pPr>
              <w:ind w:right="120"/>
              <w:jc w:val="center"/>
              <w:rPr>
                <w:rFonts w:ascii="Arial" w:hAnsi="Arial" w:cs="Arial"/>
                <w:lang w:eastAsia="en-GB"/>
              </w:rPr>
            </w:pPr>
            <w:r>
              <w:rPr>
                <w:rFonts w:ascii="Arial" w:hAnsi="Arial" w:cs="Arial"/>
                <w:lang w:eastAsia="en-GB"/>
              </w:rPr>
              <w:t xml:space="preserve"> </w:t>
            </w:r>
            <w:r w:rsidR="00270EB2">
              <w:rPr>
                <w:rFonts w:ascii="Arial" w:hAnsi="Arial" w:cs="Arial"/>
                <w:lang w:eastAsia="en-GB"/>
              </w:rPr>
              <w:t>596 546</w:t>
            </w:r>
          </w:p>
        </w:tc>
        <w:tc>
          <w:tcPr>
            <w:tcW w:w="2252" w:type="dxa"/>
          </w:tcPr>
          <w:p w:rsidR="00715BC7" w:rsidRPr="00270EB2" w:rsidRDefault="00031AEB" w:rsidP="00270EB2">
            <w:pPr>
              <w:ind w:right="120"/>
              <w:jc w:val="center"/>
              <w:rPr>
                <w:rFonts w:ascii="Arial" w:hAnsi="Arial" w:cs="Arial"/>
                <w:lang w:eastAsia="en-GB"/>
              </w:rPr>
            </w:pPr>
            <w:r>
              <w:rPr>
                <w:rFonts w:ascii="Arial" w:hAnsi="Arial" w:cs="Arial"/>
                <w:lang w:eastAsia="en-GB"/>
              </w:rPr>
              <w:t xml:space="preserve">   </w:t>
            </w:r>
            <w:r w:rsidR="00270EB2" w:rsidRPr="00270EB2">
              <w:rPr>
                <w:rFonts w:ascii="Arial" w:hAnsi="Arial" w:cs="Arial"/>
                <w:lang w:eastAsia="en-GB"/>
              </w:rPr>
              <w:t>821</w:t>
            </w:r>
            <w:r>
              <w:rPr>
                <w:rFonts w:ascii="Arial" w:hAnsi="Arial" w:cs="Arial"/>
                <w:lang w:eastAsia="en-GB"/>
              </w:rPr>
              <w:t xml:space="preserve"> </w:t>
            </w:r>
            <w:r w:rsidR="00270EB2" w:rsidRPr="00270EB2">
              <w:rPr>
                <w:rFonts w:ascii="Arial" w:hAnsi="Arial" w:cs="Arial"/>
                <w:lang w:eastAsia="en-GB"/>
              </w:rPr>
              <w:t>219</w:t>
            </w:r>
          </w:p>
        </w:tc>
        <w:tc>
          <w:tcPr>
            <w:tcW w:w="2658" w:type="dxa"/>
          </w:tcPr>
          <w:p w:rsidR="00715BC7" w:rsidRPr="00715BC7" w:rsidRDefault="00031AEB" w:rsidP="00715BC7">
            <w:pPr>
              <w:ind w:right="120"/>
              <w:rPr>
                <w:rFonts w:ascii="Arial" w:hAnsi="Arial" w:cs="Arial"/>
                <w:lang w:eastAsia="en-GB"/>
              </w:rPr>
            </w:pPr>
            <w:r>
              <w:rPr>
                <w:rFonts w:ascii="Arial" w:hAnsi="Arial" w:cs="Arial"/>
                <w:lang w:eastAsia="en-GB"/>
              </w:rPr>
              <w:t xml:space="preserve">                808 567</w:t>
            </w:r>
          </w:p>
        </w:tc>
      </w:tr>
    </w:tbl>
    <w:p w:rsidR="00715BC7" w:rsidRPr="00715BC7" w:rsidRDefault="00715BC7" w:rsidP="00715BC7">
      <w:pPr>
        <w:spacing w:after="0" w:line="240" w:lineRule="auto"/>
        <w:rPr>
          <w:rFonts w:ascii="Calibri" w:eastAsia="Times New Roman" w:hAnsi="Calibri" w:cs="Calibri"/>
          <w:lang w:eastAsia="en-GB"/>
        </w:rPr>
      </w:pPr>
    </w:p>
    <w:p w:rsidR="00322418" w:rsidRPr="00B231E8" w:rsidRDefault="00BD4C11" w:rsidP="00B231E8">
      <w:pPr>
        <w:tabs>
          <w:tab w:val="left" w:pos="3451"/>
        </w:tabs>
        <w:rPr>
          <w:rFonts w:ascii="Arial" w:hAnsi="Arial" w:cs="Arial"/>
          <w:sz w:val="20"/>
          <w:szCs w:val="20"/>
        </w:rPr>
      </w:pPr>
      <w:r w:rsidRPr="00B231E8">
        <w:rPr>
          <w:rFonts w:ascii="Arial" w:hAnsi="Arial" w:cs="Arial"/>
          <w:sz w:val="20"/>
          <w:szCs w:val="20"/>
        </w:rPr>
        <w:t xml:space="preserve">IPV immunization will be provided through EPI using all available means for routine vaccination, including fixed vaccination points, outreach vaccination session and mobile teams in very limited required circumstances. No special strategies, in addition to routine considered by EPI for IPV introduction. </w:t>
      </w:r>
    </w:p>
    <w:p w:rsidR="00267F5C" w:rsidRDefault="00267F5C" w:rsidP="00267F5C">
      <w:pPr>
        <w:pStyle w:val="ListParagraph"/>
        <w:numPr>
          <w:ilvl w:val="0"/>
          <w:numId w:val="4"/>
        </w:numPr>
        <w:tabs>
          <w:tab w:val="left" w:pos="3451"/>
        </w:tabs>
        <w:rPr>
          <w:rFonts w:ascii="Arial" w:hAnsi="Arial" w:cs="Arial"/>
          <w:b/>
        </w:rPr>
      </w:pPr>
      <w:r w:rsidRPr="00267F5C">
        <w:rPr>
          <w:rFonts w:ascii="Arial" w:hAnsi="Arial" w:cs="Arial"/>
          <w:b/>
        </w:rPr>
        <w:t>Resources, costs, financing, and sustainability</w:t>
      </w:r>
    </w:p>
    <w:p w:rsidR="00B231E8" w:rsidRPr="00B231E8" w:rsidRDefault="00B231E8" w:rsidP="00B231E8">
      <w:pPr>
        <w:tabs>
          <w:tab w:val="left" w:pos="3451"/>
        </w:tabs>
        <w:rPr>
          <w:rFonts w:ascii="Arial" w:hAnsi="Arial" w:cs="Arial"/>
          <w:color w:val="0D0D0D" w:themeColor="text1" w:themeTint="F2"/>
          <w:sz w:val="20"/>
          <w:szCs w:val="20"/>
        </w:rPr>
      </w:pPr>
      <w:r w:rsidRPr="00B231E8">
        <w:rPr>
          <w:rFonts w:ascii="Arial" w:hAnsi="Arial" w:cs="Arial"/>
          <w:color w:val="0D0D0D" w:themeColor="text1" w:themeTint="F2"/>
          <w:sz w:val="20"/>
          <w:szCs w:val="20"/>
        </w:rPr>
        <w:t xml:space="preserve">4.1 </w:t>
      </w:r>
      <w:r w:rsidR="00267F5C" w:rsidRPr="00B231E8">
        <w:rPr>
          <w:rFonts w:ascii="Arial" w:hAnsi="Arial" w:cs="Arial"/>
          <w:color w:val="0D0D0D" w:themeColor="text1" w:themeTint="F2"/>
          <w:sz w:val="20"/>
          <w:szCs w:val="20"/>
        </w:rPr>
        <w:t>Overall trend</w:t>
      </w:r>
      <w:r w:rsidRPr="00B231E8">
        <w:rPr>
          <w:rFonts w:ascii="Arial" w:hAnsi="Arial" w:cs="Arial"/>
          <w:color w:val="0D0D0D" w:themeColor="text1" w:themeTint="F2"/>
          <w:sz w:val="20"/>
          <w:szCs w:val="20"/>
        </w:rPr>
        <w:t>s</w:t>
      </w:r>
      <w:r w:rsidR="00267F5C" w:rsidRPr="00B231E8">
        <w:rPr>
          <w:rFonts w:ascii="Arial" w:hAnsi="Arial" w:cs="Arial"/>
          <w:color w:val="0D0D0D" w:themeColor="text1" w:themeTint="F2"/>
          <w:sz w:val="20"/>
          <w:szCs w:val="20"/>
        </w:rPr>
        <w:t xml:space="preserve"> of country immunization </w:t>
      </w:r>
      <w:r w:rsidR="002901D3">
        <w:rPr>
          <w:rFonts w:ascii="Arial" w:hAnsi="Arial" w:cs="Arial"/>
          <w:color w:val="0D0D0D" w:themeColor="text1" w:themeTint="F2"/>
          <w:sz w:val="20"/>
          <w:szCs w:val="20"/>
        </w:rPr>
        <w:t xml:space="preserve">cost </w:t>
      </w:r>
      <w:r w:rsidR="0032139E">
        <w:rPr>
          <w:rFonts w:ascii="Arial" w:hAnsi="Arial" w:cs="Arial"/>
          <w:color w:val="0D0D0D" w:themeColor="text1" w:themeTint="F2"/>
          <w:sz w:val="20"/>
          <w:szCs w:val="20"/>
        </w:rPr>
        <w:t>and financing</w:t>
      </w:r>
    </w:p>
    <w:p w:rsidR="009C590E" w:rsidRPr="00553327" w:rsidRDefault="009C590E" w:rsidP="009C590E">
      <w:pPr>
        <w:spacing w:after="60"/>
        <w:jc w:val="both"/>
        <w:rPr>
          <w:rFonts w:ascii="Arial" w:hAnsi="Arial" w:cs="Arial"/>
          <w:sz w:val="20"/>
          <w:szCs w:val="20"/>
        </w:rPr>
      </w:pPr>
      <w:r w:rsidRPr="00553327">
        <w:rPr>
          <w:rFonts w:ascii="Arial" w:hAnsi="Arial" w:cs="Arial"/>
          <w:sz w:val="20"/>
          <w:szCs w:val="20"/>
        </w:rPr>
        <w:t xml:space="preserve">The total cost of the immunization activities in Azerbaijan in 2009 was nearly 7 million USD. This amount is immunization-specific only and does not include any health system shared costs. 94, 6 % of the immunization activities in 2009 were funded by the national public sources, </w:t>
      </w:r>
      <w:r w:rsidR="002901D3" w:rsidRPr="00553327">
        <w:rPr>
          <w:rFonts w:ascii="Arial" w:hAnsi="Arial" w:cs="Arial"/>
          <w:sz w:val="20"/>
          <w:szCs w:val="20"/>
        </w:rPr>
        <w:t xml:space="preserve">as shown in table </w:t>
      </w:r>
      <w:r w:rsidR="00553327" w:rsidRPr="00553327">
        <w:rPr>
          <w:rFonts w:ascii="Arial" w:hAnsi="Arial" w:cs="Arial"/>
          <w:sz w:val="20"/>
          <w:szCs w:val="20"/>
        </w:rPr>
        <w:t>4</w:t>
      </w:r>
      <w:r w:rsidRPr="00553327">
        <w:rPr>
          <w:rFonts w:ascii="Arial" w:hAnsi="Arial" w:cs="Arial"/>
          <w:sz w:val="20"/>
          <w:szCs w:val="20"/>
        </w:rPr>
        <w:t xml:space="preserve"> below</w:t>
      </w:r>
    </w:p>
    <w:p w:rsidR="002901D3" w:rsidRPr="00553327" w:rsidRDefault="002901D3" w:rsidP="009C590E">
      <w:pPr>
        <w:spacing w:after="60"/>
        <w:jc w:val="both"/>
        <w:rPr>
          <w:rFonts w:ascii="Arial" w:hAnsi="Arial" w:cs="Arial"/>
          <w:sz w:val="10"/>
          <w:szCs w:val="10"/>
        </w:rPr>
      </w:pPr>
    </w:p>
    <w:p w:rsidR="002901D3" w:rsidRPr="002901D3" w:rsidRDefault="002901D3" w:rsidP="002901D3">
      <w:pPr>
        <w:pStyle w:val="Caption"/>
        <w:spacing w:before="0"/>
        <w:rPr>
          <w:rFonts w:ascii="Arial" w:hAnsi="Arial" w:cs="Arial"/>
          <w:color w:val="auto"/>
          <w:sz w:val="20"/>
          <w:szCs w:val="20"/>
        </w:rPr>
      </w:pPr>
      <w:r w:rsidRPr="002901D3">
        <w:rPr>
          <w:rFonts w:ascii="Arial" w:hAnsi="Arial" w:cs="Arial"/>
          <w:color w:val="auto"/>
          <w:sz w:val="20"/>
          <w:szCs w:val="20"/>
        </w:rPr>
        <w:t xml:space="preserve">Table </w:t>
      </w:r>
      <w:r w:rsidR="00553327">
        <w:rPr>
          <w:rFonts w:ascii="Arial" w:hAnsi="Arial" w:cs="Arial"/>
          <w:color w:val="auto"/>
          <w:sz w:val="20"/>
          <w:szCs w:val="20"/>
        </w:rPr>
        <w:t>4</w:t>
      </w:r>
      <w:r w:rsidRPr="002901D3">
        <w:rPr>
          <w:rFonts w:ascii="Arial" w:hAnsi="Arial" w:cs="Arial"/>
          <w:color w:val="auto"/>
          <w:sz w:val="20"/>
          <w:szCs w:val="20"/>
        </w:rPr>
        <w:t>: Total Immunization Expenditure, 2009</w:t>
      </w:r>
    </w:p>
    <w:p w:rsidR="002901D3" w:rsidRPr="002901D3" w:rsidRDefault="002901D3" w:rsidP="002901D3">
      <w:pPr>
        <w:pStyle w:val="BodyText"/>
        <w:spacing w:before="0" w:after="60"/>
        <w:rPr>
          <w:rFonts w:ascii="Arial" w:hAnsi="Arial" w:cs="Arial"/>
          <w:sz w:val="20"/>
          <w:szCs w:val="20"/>
        </w:rPr>
      </w:pPr>
      <w:r w:rsidRPr="002901D3">
        <w:rPr>
          <w:rFonts w:ascii="Arial" w:hAnsi="Arial" w:cs="Arial"/>
          <w:noProof/>
          <w:sz w:val="20"/>
          <w:szCs w:val="20"/>
          <w:lang w:val="fr-FR" w:eastAsia="fr-FR"/>
        </w:rPr>
        <w:drawing>
          <wp:inline distT="0" distB="0" distL="0" distR="0" wp14:anchorId="28E14B0A" wp14:editId="66087794">
            <wp:extent cx="3418840" cy="197231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418840" cy="1972310"/>
                    </a:xfrm>
                    <a:prstGeom prst="rect">
                      <a:avLst/>
                    </a:prstGeom>
                    <a:noFill/>
                    <a:ln w="9525">
                      <a:noFill/>
                      <a:miter lim="800000"/>
                      <a:headEnd/>
                      <a:tailEnd/>
                    </a:ln>
                  </pic:spPr>
                </pic:pic>
              </a:graphicData>
            </a:graphic>
          </wp:inline>
        </w:drawing>
      </w:r>
    </w:p>
    <w:p w:rsidR="002901D3" w:rsidRPr="002901D3" w:rsidRDefault="002901D3" w:rsidP="002901D3">
      <w:pPr>
        <w:spacing w:after="60"/>
        <w:rPr>
          <w:rFonts w:ascii="Arial" w:hAnsi="Arial" w:cs="Arial"/>
          <w:sz w:val="20"/>
          <w:szCs w:val="20"/>
        </w:rPr>
      </w:pPr>
      <w:r w:rsidRPr="002901D3">
        <w:rPr>
          <w:rFonts w:ascii="Arial" w:hAnsi="Arial" w:cs="Arial"/>
          <w:sz w:val="20"/>
          <w:szCs w:val="20"/>
        </w:rPr>
        <w:t xml:space="preserve">Source: </w:t>
      </w:r>
      <w:proofErr w:type="spellStart"/>
      <w:r w:rsidRPr="002901D3">
        <w:rPr>
          <w:rFonts w:ascii="Arial" w:hAnsi="Arial" w:cs="Arial"/>
          <w:sz w:val="20"/>
          <w:szCs w:val="20"/>
        </w:rPr>
        <w:t>cMYP</w:t>
      </w:r>
      <w:proofErr w:type="spellEnd"/>
      <w:r w:rsidRPr="002901D3">
        <w:rPr>
          <w:rFonts w:ascii="Arial" w:hAnsi="Arial" w:cs="Arial"/>
          <w:sz w:val="20"/>
          <w:szCs w:val="20"/>
        </w:rPr>
        <w:t>, 2011-2015</w:t>
      </w:r>
    </w:p>
    <w:p w:rsidR="009C590E" w:rsidRDefault="009C590E" w:rsidP="002901D3">
      <w:pPr>
        <w:spacing w:after="60"/>
        <w:jc w:val="both"/>
        <w:rPr>
          <w:rFonts w:ascii="Arial" w:hAnsi="Arial" w:cs="Arial"/>
          <w:sz w:val="20"/>
          <w:szCs w:val="20"/>
        </w:rPr>
      </w:pPr>
      <w:r w:rsidRPr="002901D3">
        <w:rPr>
          <w:rFonts w:ascii="Arial" w:hAnsi="Arial" w:cs="Arial"/>
          <w:sz w:val="20"/>
          <w:szCs w:val="20"/>
        </w:rPr>
        <w:t>Spending on the traditional vaccines contributed 56% to the overall spending in 2009. Expenditure on underused vaccines was 12%, and injection supplies contributed 10%; vaccine supply and logistics represents 2/3rds of the cost profile. 10% of funds were spent on other routine recurrent costs, 4% on Personnel involved in the delivery of immunization services, and 2% on cold chain equipment</w:t>
      </w:r>
      <w:r w:rsidR="002901D3">
        <w:rPr>
          <w:rFonts w:ascii="Arial" w:hAnsi="Arial" w:cs="Arial"/>
          <w:sz w:val="20"/>
          <w:szCs w:val="20"/>
        </w:rPr>
        <w:t>, as shown in Figure 1 below</w:t>
      </w:r>
      <w:r w:rsidR="00553327">
        <w:rPr>
          <w:rFonts w:ascii="Arial" w:hAnsi="Arial" w:cs="Arial"/>
          <w:sz w:val="20"/>
          <w:szCs w:val="20"/>
        </w:rPr>
        <w:t>.</w:t>
      </w:r>
    </w:p>
    <w:p w:rsidR="002901D3" w:rsidRPr="0032139E" w:rsidRDefault="002901D3" w:rsidP="002901D3">
      <w:pPr>
        <w:spacing w:after="60"/>
        <w:jc w:val="both"/>
        <w:rPr>
          <w:rFonts w:ascii="Arial" w:hAnsi="Arial" w:cs="Arial"/>
          <w:sz w:val="10"/>
          <w:szCs w:val="10"/>
        </w:rPr>
      </w:pPr>
    </w:p>
    <w:p w:rsidR="002901D3" w:rsidRPr="00553327" w:rsidRDefault="002901D3" w:rsidP="002901D3">
      <w:pPr>
        <w:spacing w:after="60"/>
        <w:rPr>
          <w:rFonts w:ascii="Arial" w:hAnsi="Arial" w:cs="Arial"/>
          <w:b/>
          <w:sz w:val="20"/>
          <w:szCs w:val="20"/>
        </w:rPr>
      </w:pPr>
      <w:bookmarkStart w:id="0" w:name="_Ref261222605"/>
      <w:bookmarkStart w:id="1" w:name="_Ref261222607"/>
      <w:r w:rsidRPr="00553327">
        <w:rPr>
          <w:rFonts w:ascii="Arial" w:hAnsi="Arial" w:cs="Arial"/>
          <w:b/>
          <w:sz w:val="20"/>
          <w:szCs w:val="20"/>
        </w:rPr>
        <w:t xml:space="preserve">Figure </w:t>
      </w:r>
      <w:bookmarkEnd w:id="0"/>
      <w:r w:rsidRPr="00553327">
        <w:rPr>
          <w:rFonts w:ascii="Arial" w:hAnsi="Arial" w:cs="Arial"/>
          <w:b/>
          <w:sz w:val="20"/>
          <w:szCs w:val="20"/>
        </w:rPr>
        <w:t>1: Baseline cost profile, 2009</w:t>
      </w:r>
      <w:bookmarkEnd w:id="1"/>
      <w:r w:rsidRPr="00553327">
        <w:rPr>
          <w:rFonts w:ascii="Arial" w:hAnsi="Arial" w:cs="Arial"/>
          <w:b/>
          <w:sz w:val="20"/>
          <w:szCs w:val="20"/>
        </w:rPr>
        <w:t xml:space="preserve"> (without shared costs)</w:t>
      </w:r>
    </w:p>
    <w:p w:rsidR="002901D3" w:rsidRPr="00247091" w:rsidRDefault="002901D3" w:rsidP="002901D3">
      <w:pPr>
        <w:spacing w:after="60"/>
        <w:rPr>
          <w:rFonts w:cs="Calibri"/>
          <w:b/>
          <w:sz w:val="20"/>
          <w:szCs w:val="20"/>
        </w:rPr>
      </w:pPr>
      <w:r w:rsidRPr="00247091">
        <w:rPr>
          <w:noProof/>
          <w:sz w:val="20"/>
          <w:szCs w:val="20"/>
          <w:lang w:val="fr-FR" w:eastAsia="fr-FR"/>
        </w:rPr>
        <w:drawing>
          <wp:inline distT="0" distB="0" distL="0" distR="0" wp14:anchorId="6DE04467" wp14:editId="4FAD02E0">
            <wp:extent cx="2552281" cy="2479132"/>
            <wp:effectExtent l="0" t="0" r="635" b="0"/>
            <wp:docPr id="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561752" cy="2488331"/>
                    </a:xfrm>
                    <a:prstGeom prst="rect">
                      <a:avLst/>
                    </a:prstGeom>
                    <a:noFill/>
                    <a:ln w="9525">
                      <a:noFill/>
                      <a:miter lim="800000"/>
                      <a:headEnd/>
                      <a:tailEnd/>
                    </a:ln>
                  </pic:spPr>
                </pic:pic>
              </a:graphicData>
            </a:graphic>
          </wp:inline>
        </w:drawing>
      </w:r>
    </w:p>
    <w:p w:rsidR="002901D3" w:rsidRPr="0032139E" w:rsidRDefault="002901D3" w:rsidP="002901D3">
      <w:pPr>
        <w:spacing w:after="60"/>
        <w:rPr>
          <w:rFonts w:ascii="Arial" w:hAnsi="Arial" w:cs="Arial"/>
          <w:sz w:val="20"/>
          <w:szCs w:val="20"/>
        </w:rPr>
      </w:pPr>
      <w:r w:rsidRPr="0032139E">
        <w:rPr>
          <w:rFonts w:ascii="Arial" w:hAnsi="Arial" w:cs="Arial"/>
          <w:sz w:val="20"/>
          <w:szCs w:val="20"/>
        </w:rPr>
        <w:lastRenderedPageBreak/>
        <w:t xml:space="preserve">Source: Figure adapted from </w:t>
      </w:r>
      <w:proofErr w:type="spellStart"/>
      <w:r w:rsidRPr="0032139E">
        <w:rPr>
          <w:rFonts w:ascii="Arial" w:hAnsi="Arial" w:cs="Arial"/>
          <w:sz w:val="20"/>
          <w:szCs w:val="20"/>
        </w:rPr>
        <w:t>cMYP</w:t>
      </w:r>
      <w:proofErr w:type="spellEnd"/>
      <w:r w:rsidRPr="0032139E">
        <w:rPr>
          <w:rFonts w:ascii="Arial" w:hAnsi="Arial" w:cs="Arial"/>
          <w:sz w:val="20"/>
          <w:szCs w:val="20"/>
        </w:rPr>
        <w:t>, 2011-2015</w:t>
      </w:r>
    </w:p>
    <w:p w:rsidR="0032139E" w:rsidRDefault="0032139E" w:rsidP="0032139E">
      <w:pPr>
        <w:spacing w:after="60"/>
        <w:jc w:val="both"/>
        <w:rPr>
          <w:rFonts w:ascii="Arial" w:hAnsi="Arial" w:cs="Arial"/>
          <w:sz w:val="20"/>
          <w:szCs w:val="20"/>
        </w:rPr>
      </w:pPr>
      <w:r w:rsidRPr="002901D3">
        <w:rPr>
          <w:rFonts w:ascii="Arial" w:hAnsi="Arial" w:cs="Arial"/>
          <w:sz w:val="20"/>
          <w:szCs w:val="20"/>
        </w:rPr>
        <w:t>Since 20</w:t>
      </w:r>
      <w:r>
        <w:rPr>
          <w:rFonts w:ascii="Arial" w:hAnsi="Arial" w:cs="Arial"/>
          <w:sz w:val="20"/>
          <w:szCs w:val="20"/>
        </w:rPr>
        <w:t>06</w:t>
      </w:r>
      <w:r w:rsidRPr="002901D3">
        <w:rPr>
          <w:rFonts w:ascii="Arial" w:hAnsi="Arial" w:cs="Arial"/>
          <w:sz w:val="20"/>
          <w:szCs w:val="20"/>
        </w:rPr>
        <w:t xml:space="preserve"> government allocates funds for the immunization activities every year based on the national immunization </w:t>
      </w:r>
      <w:proofErr w:type="spellStart"/>
      <w:r w:rsidRPr="002901D3">
        <w:rPr>
          <w:rFonts w:ascii="Arial" w:hAnsi="Arial" w:cs="Arial"/>
          <w:sz w:val="20"/>
          <w:szCs w:val="20"/>
        </w:rPr>
        <w:t>programme</w:t>
      </w:r>
      <w:proofErr w:type="spellEnd"/>
      <w:r w:rsidRPr="002901D3">
        <w:rPr>
          <w:rFonts w:ascii="Arial" w:hAnsi="Arial" w:cs="Arial"/>
          <w:sz w:val="20"/>
          <w:szCs w:val="20"/>
        </w:rPr>
        <w:t xml:space="preserve"> 5-year action plan, and national immunization schedule. Funds allocated are used for vaccines, injection supplies, cold chain and laboratory equipment.</w:t>
      </w:r>
      <w:r>
        <w:rPr>
          <w:rFonts w:ascii="Arial" w:hAnsi="Arial" w:cs="Arial"/>
          <w:sz w:val="20"/>
          <w:szCs w:val="20"/>
        </w:rPr>
        <w:t xml:space="preserve"> </w:t>
      </w:r>
      <w:r w:rsidRPr="002901D3">
        <w:rPr>
          <w:rFonts w:ascii="Arial" w:hAnsi="Arial" w:cs="Arial"/>
          <w:sz w:val="20"/>
          <w:szCs w:val="20"/>
        </w:rPr>
        <w:t xml:space="preserve">The amount allocated and approved by the Cabinet of </w:t>
      </w:r>
      <w:r>
        <w:rPr>
          <w:rFonts w:ascii="Arial" w:hAnsi="Arial" w:cs="Arial"/>
          <w:sz w:val="20"/>
          <w:szCs w:val="20"/>
        </w:rPr>
        <w:t>M</w:t>
      </w:r>
      <w:r w:rsidRPr="002901D3">
        <w:rPr>
          <w:rFonts w:ascii="Arial" w:hAnsi="Arial" w:cs="Arial"/>
          <w:sz w:val="20"/>
          <w:szCs w:val="20"/>
        </w:rPr>
        <w:t xml:space="preserve">inisters for the period 2006-2010 was as </w:t>
      </w:r>
      <w:r>
        <w:rPr>
          <w:rFonts w:ascii="Arial" w:hAnsi="Arial" w:cs="Arial"/>
          <w:sz w:val="20"/>
          <w:szCs w:val="20"/>
        </w:rPr>
        <w:t>shown in table 5 below.</w:t>
      </w:r>
    </w:p>
    <w:p w:rsidR="0032139E" w:rsidRDefault="0032139E" w:rsidP="00553327">
      <w:pPr>
        <w:spacing w:after="0"/>
        <w:rPr>
          <w:rFonts w:ascii="Arial" w:hAnsi="Arial" w:cs="Arial"/>
          <w:b/>
          <w:sz w:val="20"/>
          <w:szCs w:val="20"/>
        </w:rPr>
      </w:pPr>
    </w:p>
    <w:p w:rsidR="00553327" w:rsidRDefault="00553327" w:rsidP="00553327">
      <w:pPr>
        <w:spacing w:after="0"/>
        <w:rPr>
          <w:rFonts w:ascii="Arial" w:hAnsi="Arial" w:cs="Arial"/>
          <w:b/>
          <w:sz w:val="20"/>
          <w:szCs w:val="20"/>
        </w:rPr>
      </w:pPr>
      <w:r w:rsidRPr="002901D3">
        <w:rPr>
          <w:rFonts w:ascii="Arial" w:hAnsi="Arial" w:cs="Arial"/>
          <w:b/>
          <w:sz w:val="20"/>
          <w:szCs w:val="20"/>
        </w:rPr>
        <w:t xml:space="preserve">Table </w:t>
      </w:r>
      <w:r>
        <w:rPr>
          <w:rFonts w:ascii="Arial" w:hAnsi="Arial" w:cs="Arial"/>
          <w:b/>
          <w:sz w:val="20"/>
          <w:szCs w:val="20"/>
        </w:rPr>
        <w:t>5</w:t>
      </w:r>
      <w:r w:rsidRPr="002901D3">
        <w:rPr>
          <w:rFonts w:ascii="Arial" w:hAnsi="Arial" w:cs="Arial"/>
          <w:b/>
          <w:sz w:val="20"/>
          <w:szCs w:val="20"/>
        </w:rPr>
        <w:t xml:space="preserve">: Funds allocated for </w:t>
      </w:r>
      <w:r>
        <w:rPr>
          <w:rFonts w:ascii="Arial" w:hAnsi="Arial" w:cs="Arial"/>
          <w:b/>
          <w:sz w:val="20"/>
          <w:szCs w:val="20"/>
        </w:rPr>
        <w:t xml:space="preserve">National </w:t>
      </w:r>
      <w:r w:rsidRPr="002901D3">
        <w:rPr>
          <w:rFonts w:ascii="Arial" w:hAnsi="Arial" w:cs="Arial"/>
          <w:b/>
          <w:sz w:val="20"/>
          <w:szCs w:val="20"/>
        </w:rPr>
        <w:t>Immunization Programme (</w:t>
      </w:r>
      <w:r>
        <w:rPr>
          <w:rFonts w:ascii="Arial" w:hAnsi="Arial" w:cs="Arial"/>
          <w:b/>
          <w:sz w:val="20"/>
          <w:szCs w:val="20"/>
        </w:rPr>
        <w:t xml:space="preserve">NIP- direct line; </w:t>
      </w:r>
      <w:r w:rsidRPr="002901D3">
        <w:rPr>
          <w:rFonts w:ascii="Arial" w:hAnsi="Arial" w:cs="Arial"/>
          <w:b/>
          <w:sz w:val="20"/>
          <w:szCs w:val="20"/>
        </w:rPr>
        <w:t>in thousands AZN)</w:t>
      </w:r>
    </w:p>
    <w:p w:rsidR="00553327" w:rsidRPr="002901D3" w:rsidRDefault="00553327" w:rsidP="00553327">
      <w:pPr>
        <w:spacing w:after="0"/>
        <w:rPr>
          <w:rFonts w:ascii="Arial" w:hAnsi="Arial" w:cs="Arial"/>
          <w:b/>
          <w:sz w:val="20"/>
          <w:szCs w:val="20"/>
        </w:rPr>
      </w:pPr>
    </w:p>
    <w:tbl>
      <w:tblPr>
        <w:tblW w:w="0" w:type="auto"/>
        <w:tblInd w:w="108" w:type="dxa"/>
        <w:tblCellMar>
          <w:left w:w="10" w:type="dxa"/>
          <w:right w:w="10" w:type="dxa"/>
        </w:tblCellMar>
        <w:tblLook w:val="0000" w:firstRow="0" w:lastRow="0" w:firstColumn="0" w:lastColumn="0" w:noHBand="0" w:noVBand="0"/>
      </w:tblPr>
      <w:tblGrid>
        <w:gridCol w:w="1513"/>
        <w:gridCol w:w="1629"/>
        <w:gridCol w:w="1629"/>
        <w:gridCol w:w="1629"/>
        <w:gridCol w:w="1629"/>
      </w:tblGrid>
      <w:tr w:rsidR="00553327" w:rsidRPr="002901D3" w:rsidTr="00127AE0">
        <w:trPr>
          <w:trHeight w:val="259"/>
        </w:trPr>
        <w:tc>
          <w:tcPr>
            <w:tcW w:w="1513"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D9D9D9" w:themeFill="background1" w:themeFillShade="D9"/>
            <w:tcMar>
              <w:left w:w="108" w:type="dxa"/>
              <w:right w:w="108" w:type="dxa"/>
            </w:tcMar>
          </w:tcPr>
          <w:p w:rsidR="00553327" w:rsidRPr="002901D3" w:rsidRDefault="00553327" w:rsidP="00127AE0">
            <w:pPr>
              <w:spacing w:after="0"/>
              <w:rPr>
                <w:rFonts w:ascii="Arial" w:hAnsi="Arial" w:cs="Arial"/>
                <w:b/>
                <w:sz w:val="20"/>
                <w:szCs w:val="20"/>
              </w:rPr>
            </w:pPr>
            <w:r w:rsidRPr="002901D3">
              <w:rPr>
                <w:rFonts w:ascii="Arial" w:hAnsi="Arial" w:cs="Arial"/>
                <w:b/>
                <w:sz w:val="20"/>
                <w:szCs w:val="20"/>
              </w:rPr>
              <w:t>2006</w:t>
            </w:r>
          </w:p>
        </w:tc>
        <w:tc>
          <w:tcPr>
            <w:tcW w:w="1629"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D9D9D9" w:themeFill="background1" w:themeFillShade="D9"/>
            <w:tcMar>
              <w:left w:w="108" w:type="dxa"/>
              <w:right w:w="108" w:type="dxa"/>
            </w:tcMar>
          </w:tcPr>
          <w:p w:rsidR="00553327" w:rsidRPr="002901D3" w:rsidRDefault="00553327" w:rsidP="00127AE0">
            <w:pPr>
              <w:spacing w:after="0"/>
              <w:rPr>
                <w:rFonts w:ascii="Arial" w:hAnsi="Arial" w:cs="Arial"/>
                <w:b/>
                <w:sz w:val="20"/>
                <w:szCs w:val="20"/>
              </w:rPr>
            </w:pPr>
            <w:r w:rsidRPr="002901D3">
              <w:rPr>
                <w:rFonts w:ascii="Arial" w:hAnsi="Arial" w:cs="Arial"/>
                <w:b/>
                <w:sz w:val="20"/>
                <w:szCs w:val="20"/>
              </w:rPr>
              <w:t>2007</w:t>
            </w:r>
          </w:p>
        </w:tc>
        <w:tc>
          <w:tcPr>
            <w:tcW w:w="1629"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D9D9D9" w:themeFill="background1" w:themeFillShade="D9"/>
            <w:tcMar>
              <w:left w:w="108" w:type="dxa"/>
              <w:right w:w="108" w:type="dxa"/>
            </w:tcMar>
          </w:tcPr>
          <w:p w:rsidR="00553327" w:rsidRPr="002901D3" w:rsidRDefault="00553327" w:rsidP="00127AE0">
            <w:pPr>
              <w:spacing w:after="0"/>
              <w:rPr>
                <w:rFonts w:ascii="Arial" w:hAnsi="Arial" w:cs="Arial"/>
                <w:b/>
                <w:sz w:val="20"/>
                <w:szCs w:val="20"/>
              </w:rPr>
            </w:pPr>
            <w:r w:rsidRPr="002901D3">
              <w:rPr>
                <w:rFonts w:ascii="Arial" w:hAnsi="Arial" w:cs="Arial"/>
                <w:b/>
                <w:sz w:val="20"/>
                <w:szCs w:val="20"/>
              </w:rPr>
              <w:t>2008</w:t>
            </w:r>
          </w:p>
        </w:tc>
        <w:tc>
          <w:tcPr>
            <w:tcW w:w="1629"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D9D9D9" w:themeFill="background1" w:themeFillShade="D9"/>
            <w:tcMar>
              <w:left w:w="108" w:type="dxa"/>
              <w:right w:w="108" w:type="dxa"/>
            </w:tcMar>
          </w:tcPr>
          <w:p w:rsidR="00553327" w:rsidRPr="002901D3" w:rsidRDefault="00553327" w:rsidP="00127AE0">
            <w:pPr>
              <w:spacing w:after="0"/>
              <w:rPr>
                <w:rFonts w:ascii="Arial" w:hAnsi="Arial" w:cs="Arial"/>
                <w:b/>
                <w:sz w:val="20"/>
                <w:szCs w:val="20"/>
              </w:rPr>
            </w:pPr>
            <w:r w:rsidRPr="002901D3">
              <w:rPr>
                <w:rFonts w:ascii="Arial" w:hAnsi="Arial" w:cs="Arial"/>
                <w:b/>
                <w:sz w:val="20"/>
                <w:szCs w:val="20"/>
              </w:rPr>
              <w:t>2009</w:t>
            </w:r>
          </w:p>
        </w:tc>
        <w:tc>
          <w:tcPr>
            <w:tcW w:w="1629"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D9D9D9" w:themeFill="background1" w:themeFillShade="D9"/>
            <w:tcMar>
              <w:left w:w="108" w:type="dxa"/>
              <w:right w:w="108" w:type="dxa"/>
            </w:tcMar>
          </w:tcPr>
          <w:p w:rsidR="00553327" w:rsidRPr="002901D3" w:rsidRDefault="00553327" w:rsidP="00127AE0">
            <w:pPr>
              <w:spacing w:after="0"/>
              <w:rPr>
                <w:rFonts w:ascii="Arial" w:hAnsi="Arial" w:cs="Arial"/>
                <w:b/>
                <w:sz w:val="20"/>
                <w:szCs w:val="20"/>
              </w:rPr>
            </w:pPr>
            <w:r w:rsidRPr="002901D3">
              <w:rPr>
                <w:rFonts w:ascii="Arial" w:hAnsi="Arial" w:cs="Arial"/>
                <w:b/>
                <w:sz w:val="20"/>
                <w:szCs w:val="20"/>
              </w:rPr>
              <w:t>2010</w:t>
            </w:r>
          </w:p>
        </w:tc>
      </w:tr>
      <w:tr w:rsidR="00553327" w:rsidRPr="002901D3" w:rsidTr="00127AE0">
        <w:trPr>
          <w:trHeight w:val="270"/>
        </w:trPr>
        <w:tc>
          <w:tcPr>
            <w:tcW w:w="1513" w:type="dxa"/>
            <w:tcBorders>
              <w:top w:val="single" w:sz="4" w:space="0" w:color="EEECE1" w:themeColor="background2"/>
              <w:left w:val="single" w:sz="4" w:space="0" w:color="000000"/>
              <w:bottom w:val="single" w:sz="4" w:space="0" w:color="000000"/>
              <w:right w:val="single" w:sz="4" w:space="0" w:color="000000"/>
            </w:tcBorders>
            <w:shd w:val="clear" w:color="000000" w:fill="FFFFFF"/>
            <w:tcMar>
              <w:left w:w="108" w:type="dxa"/>
              <w:right w:w="108" w:type="dxa"/>
            </w:tcMar>
          </w:tcPr>
          <w:p w:rsidR="00553327" w:rsidRPr="002901D3" w:rsidRDefault="00553327" w:rsidP="00127AE0">
            <w:pPr>
              <w:spacing w:after="0"/>
              <w:rPr>
                <w:rFonts w:ascii="Arial" w:hAnsi="Arial" w:cs="Arial"/>
                <w:sz w:val="20"/>
                <w:szCs w:val="20"/>
              </w:rPr>
            </w:pPr>
            <w:r w:rsidRPr="002901D3">
              <w:rPr>
                <w:rFonts w:ascii="Arial" w:hAnsi="Arial" w:cs="Arial"/>
                <w:sz w:val="20"/>
                <w:szCs w:val="20"/>
              </w:rPr>
              <w:t xml:space="preserve">530 </w:t>
            </w:r>
          </w:p>
        </w:tc>
        <w:tc>
          <w:tcPr>
            <w:tcW w:w="1629" w:type="dxa"/>
            <w:tcBorders>
              <w:top w:val="single" w:sz="4" w:space="0" w:color="EEECE1" w:themeColor="background2"/>
              <w:left w:val="single" w:sz="4" w:space="0" w:color="000000"/>
              <w:bottom w:val="single" w:sz="4" w:space="0" w:color="000000"/>
              <w:right w:val="single" w:sz="4" w:space="0" w:color="000000"/>
            </w:tcBorders>
            <w:shd w:val="clear" w:color="000000" w:fill="FFFFFF"/>
            <w:tcMar>
              <w:left w:w="108" w:type="dxa"/>
              <w:right w:w="108" w:type="dxa"/>
            </w:tcMar>
          </w:tcPr>
          <w:p w:rsidR="00553327" w:rsidRPr="002901D3" w:rsidRDefault="00553327" w:rsidP="00127AE0">
            <w:pPr>
              <w:spacing w:after="0"/>
              <w:rPr>
                <w:rFonts w:ascii="Arial" w:hAnsi="Arial" w:cs="Arial"/>
                <w:sz w:val="20"/>
                <w:szCs w:val="20"/>
              </w:rPr>
            </w:pPr>
            <w:r w:rsidRPr="002901D3">
              <w:rPr>
                <w:rFonts w:ascii="Arial" w:hAnsi="Arial" w:cs="Arial"/>
                <w:sz w:val="20"/>
                <w:szCs w:val="20"/>
              </w:rPr>
              <w:t>1100</w:t>
            </w:r>
          </w:p>
        </w:tc>
        <w:tc>
          <w:tcPr>
            <w:tcW w:w="1629" w:type="dxa"/>
            <w:tcBorders>
              <w:top w:val="single" w:sz="4" w:space="0" w:color="EEECE1" w:themeColor="background2"/>
              <w:left w:val="single" w:sz="4" w:space="0" w:color="000000"/>
              <w:bottom w:val="single" w:sz="4" w:space="0" w:color="000000"/>
              <w:right w:val="single" w:sz="4" w:space="0" w:color="000000"/>
            </w:tcBorders>
            <w:shd w:val="clear" w:color="000000" w:fill="FFFFFF"/>
            <w:tcMar>
              <w:left w:w="108" w:type="dxa"/>
              <w:right w:w="108" w:type="dxa"/>
            </w:tcMar>
          </w:tcPr>
          <w:p w:rsidR="00553327" w:rsidRPr="002901D3" w:rsidRDefault="00553327" w:rsidP="00127AE0">
            <w:pPr>
              <w:spacing w:after="0"/>
              <w:rPr>
                <w:rFonts w:ascii="Arial" w:hAnsi="Arial" w:cs="Arial"/>
                <w:sz w:val="20"/>
                <w:szCs w:val="20"/>
              </w:rPr>
            </w:pPr>
            <w:r w:rsidRPr="002901D3">
              <w:rPr>
                <w:rFonts w:ascii="Arial" w:hAnsi="Arial" w:cs="Arial"/>
                <w:sz w:val="20"/>
                <w:szCs w:val="20"/>
              </w:rPr>
              <w:t>1160</w:t>
            </w:r>
          </w:p>
        </w:tc>
        <w:tc>
          <w:tcPr>
            <w:tcW w:w="1629" w:type="dxa"/>
            <w:tcBorders>
              <w:top w:val="single" w:sz="4" w:space="0" w:color="EEECE1" w:themeColor="background2"/>
              <w:left w:val="single" w:sz="4" w:space="0" w:color="000000"/>
              <w:bottom w:val="single" w:sz="4" w:space="0" w:color="000000"/>
              <w:right w:val="single" w:sz="4" w:space="0" w:color="000000"/>
            </w:tcBorders>
            <w:shd w:val="clear" w:color="000000" w:fill="FFFFFF"/>
            <w:tcMar>
              <w:left w:w="108" w:type="dxa"/>
              <w:right w:w="108" w:type="dxa"/>
            </w:tcMar>
          </w:tcPr>
          <w:p w:rsidR="00553327" w:rsidRPr="002901D3" w:rsidRDefault="00553327" w:rsidP="00127AE0">
            <w:pPr>
              <w:spacing w:after="0"/>
              <w:rPr>
                <w:rFonts w:ascii="Arial" w:hAnsi="Arial" w:cs="Arial"/>
                <w:sz w:val="20"/>
                <w:szCs w:val="20"/>
              </w:rPr>
            </w:pPr>
            <w:r w:rsidRPr="002901D3">
              <w:rPr>
                <w:rFonts w:ascii="Arial" w:hAnsi="Arial" w:cs="Arial"/>
                <w:sz w:val="20"/>
                <w:szCs w:val="20"/>
              </w:rPr>
              <w:t>1180</w:t>
            </w:r>
          </w:p>
        </w:tc>
        <w:tc>
          <w:tcPr>
            <w:tcW w:w="1629" w:type="dxa"/>
            <w:tcBorders>
              <w:top w:val="single" w:sz="4" w:space="0" w:color="EEECE1" w:themeColor="background2"/>
              <w:left w:val="single" w:sz="4" w:space="0" w:color="000000"/>
              <w:bottom w:val="single" w:sz="4" w:space="0" w:color="000000"/>
              <w:right w:val="single" w:sz="4" w:space="0" w:color="000000"/>
            </w:tcBorders>
            <w:shd w:val="clear" w:color="000000" w:fill="FFFFFF"/>
            <w:tcMar>
              <w:left w:w="108" w:type="dxa"/>
              <w:right w:w="108" w:type="dxa"/>
            </w:tcMar>
          </w:tcPr>
          <w:p w:rsidR="00553327" w:rsidRPr="002901D3" w:rsidRDefault="00553327" w:rsidP="00127AE0">
            <w:pPr>
              <w:spacing w:after="0"/>
              <w:rPr>
                <w:rFonts w:ascii="Arial" w:hAnsi="Arial" w:cs="Arial"/>
                <w:sz w:val="20"/>
                <w:szCs w:val="20"/>
              </w:rPr>
            </w:pPr>
            <w:r w:rsidRPr="002901D3">
              <w:rPr>
                <w:rFonts w:ascii="Arial" w:hAnsi="Arial" w:cs="Arial"/>
                <w:sz w:val="20"/>
                <w:szCs w:val="20"/>
              </w:rPr>
              <w:t>1200</w:t>
            </w:r>
          </w:p>
        </w:tc>
      </w:tr>
    </w:tbl>
    <w:p w:rsidR="00553327" w:rsidRPr="002901D3" w:rsidRDefault="00553327" w:rsidP="00553327">
      <w:pPr>
        <w:spacing w:after="60"/>
        <w:rPr>
          <w:rFonts w:ascii="Arial" w:hAnsi="Arial" w:cs="Arial"/>
          <w:sz w:val="20"/>
          <w:szCs w:val="20"/>
        </w:rPr>
      </w:pPr>
      <w:r w:rsidRPr="002901D3">
        <w:rPr>
          <w:rFonts w:ascii="Arial" w:hAnsi="Arial" w:cs="Arial"/>
          <w:sz w:val="20"/>
          <w:szCs w:val="20"/>
        </w:rPr>
        <w:t xml:space="preserve">Source: </w:t>
      </w:r>
      <w:proofErr w:type="spellStart"/>
      <w:r w:rsidRPr="002901D3">
        <w:rPr>
          <w:rFonts w:ascii="Arial" w:hAnsi="Arial" w:cs="Arial"/>
          <w:sz w:val="20"/>
          <w:szCs w:val="20"/>
        </w:rPr>
        <w:t>cMYP</w:t>
      </w:r>
      <w:proofErr w:type="spellEnd"/>
      <w:r w:rsidRPr="002901D3">
        <w:rPr>
          <w:rFonts w:ascii="Arial" w:hAnsi="Arial" w:cs="Arial"/>
          <w:sz w:val="20"/>
          <w:szCs w:val="20"/>
        </w:rPr>
        <w:t xml:space="preserve">, 2011-2015 </w:t>
      </w:r>
    </w:p>
    <w:p w:rsidR="00553327" w:rsidRDefault="00553327" w:rsidP="00553327">
      <w:pPr>
        <w:spacing w:after="120"/>
        <w:jc w:val="both"/>
        <w:rPr>
          <w:rFonts w:cs="Calibri"/>
          <w:sz w:val="20"/>
          <w:szCs w:val="20"/>
        </w:rPr>
      </w:pPr>
    </w:p>
    <w:p w:rsidR="00553327" w:rsidRPr="00553327" w:rsidRDefault="00553327" w:rsidP="00553327">
      <w:pPr>
        <w:spacing w:after="120"/>
        <w:jc w:val="both"/>
        <w:rPr>
          <w:rFonts w:ascii="Arial" w:hAnsi="Arial" w:cs="Arial"/>
          <w:sz w:val="20"/>
          <w:szCs w:val="20"/>
        </w:rPr>
      </w:pPr>
      <w:r w:rsidRPr="00553327">
        <w:rPr>
          <w:rFonts w:ascii="Arial" w:hAnsi="Arial" w:cs="Arial"/>
          <w:sz w:val="20"/>
          <w:szCs w:val="20"/>
        </w:rPr>
        <w:t xml:space="preserve">The </w:t>
      </w:r>
      <w:r w:rsidR="00EE7CEE">
        <w:rPr>
          <w:rFonts w:ascii="Arial" w:hAnsi="Arial" w:cs="Arial"/>
          <w:sz w:val="20"/>
          <w:szCs w:val="20"/>
        </w:rPr>
        <w:t xml:space="preserve">Azerbaijan </w:t>
      </w:r>
      <w:r w:rsidRPr="00553327">
        <w:rPr>
          <w:rFonts w:ascii="Arial" w:hAnsi="Arial" w:cs="Arial"/>
          <w:sz w:val="20"/>
          <w:szCs w:val="20"/>
        </w:rPr>
        <w:t xml:space="preserve">NIP became quite self-sufficient recently. Currently only vaccine support received from donors is the GAVI support to </w:t>
      </w:r>
      <w:proofErr w:type="spellStart"/>
      <w:r w:rsidRPr="00553327">
        <w:rPr>
          <w:rFonts w:ascii="Arial" w:hAnsi="Arial" w:cs="Arial"/>
          <w:sz w:val="20"/>
          <w:szCs w:val="20"/>
        </w:rPr>
        <w:t>Hib</w:t>
      </w:r>
      <w:proofErr w:type="spellEnd"/>
      <w:r w:rsidRPr="00553327">
        <w:rPr>
          <w:rFonts w:ascii="Arial" w:hAnsi="Arial" w:cs="Arial"/>
          <w:sz w:val="20"/>
          <w:szCs w:val="20"/>
        </w:rPr>
        <w:t xml:space="preserve"> containing </w:t>
      </w:r>
      <w:proofErr w:type="spellStart"/>
      <w:r w:rsidRPr="00553327">
        <w:rPr>
          <w:rFonts w:ascii="Arial" w:hAnsi="Arial" w:cs="Arial"/>
          <w:sz w:val="20"/>
          <w:szCs w:val="20"/>
        </w:rPr>
        <w:t>pentavalent</w:t>
      </w:r>
      <w:proofErr w:type="spellEnd"/>
      <w:r w:rsidRPr="00553327">
        <w:rPr>
          <w:rFonts w:ascii="Arial" w:hAnsi="Arial" w:cs="Arial"/>
          <w:sz w:val="20"/>
          <w:szCs w:val="20"/>
        </w:rPr>
        <w:t xml:space="preserve"> vaccine and PCV. All other vaccines in the schedule are covered from </w:t>
      </w:r>
      <w:r w:rsidR="0032139E">
        <w:rPr>
          <w:rFonts w:ascii="Arial" w:hAnsi="Arial" w:cs="Arial"/>
          <w:sz w:val="20"/>
          <w:szCs w:val="20"/>
        </w:rPr>
        <w:t>state</w:t>
      </w:r>
      <w:r w:rsidRPr="00553327">
        <w:rPr>
          <w:rFonts w:ascii="Arial" w:hAnsi="Arial" w:cs="Arial"/>
          <w:sz w:val="20"/>
          <w:szCs w:val="20"/>
        </w:rPr>
        <w:t xml:space="preserve"> budget. The NIP vaccines financed by the Government reached to 81.6% in 2011, rest belonging to the GAVI support (18.4%). </w:t>
      </w:r>
      <w:r w:rsidR="00EE7CEE">
        <w:rPr>
          <w:rFonts w:ascii="Arial" w:hAnsi="Arial" w:cs="Arial"/>
          <w:sz w:val="20"/>
          <w:szCs w:val="20"/>
        </w:rPr>
        <w:t>N</w:t>
      </w:r>
      <w:r w:rsidRPr="00553327">
        <w:rPr>
          <w:rFonts w:ascii="Arial" w:hAnsi="Arial" w:cs="Arial"/>
          <w:sz w:val="20"/>
          <w:szCs w:val="20"/>
        </w:rPr>
        <w:t>o vaccine stock out reported during the</w:t>
      </w:r>
      <w:r w:rsidR="00EE7CEE">
        <w:rPr>
          <w:rFonts w:ascii="Arial" w:hAnsi="Arial" w:cs="Arial"/>
          <w:sz w:val="20"/>
          <w:szCs w:val="20"/>
        </w:rPr>
        <w:t xml:space="preserve"> recent years, including period</w:t>
      </w:r>
      <w:r w:rsidRPr="00553327">
        <w:rPr>
          <w:rFonts w:ascii="Arial" w:hAnsi="Arial" w:cs="Arial"/>
          <w:sz w:val="20"/>
          <w:szCs w:val="20"/>
        </w:rPr>
        <w:t xml:space="preserve"> </w:t>
      </w:r>
      <w:r w:rsidR="00EE7CEE">
        <w:rPr>
          <w:rFonts w:ascii="Arial" w:hAnsi="Arial" w:cs="Arial"/>
          <w:sz w:val="20"/>
          <w:szCs w:val="20"/>
        </w:rPr>
        <w:t>2011-2013</w:t>
      </w:r>
      <w:r w:rsidRPr="00553327">
        <w:rPr>
          <w:rFonts w:ascii="Arial" w:hAnsi="Arial" w:cs="Arial"/>
          <w:sz w:val="20"/>
          <w:szCs w:val="20"/>
        </w:rPr>
        <w:t>.</w:t>
      </w:r>
      <w:r w:rsidR="0032139E">
        <w:rPr>
          <w:rFonts w:ascii="Arial" w:hAnsi="Arial" w:cs="Arial"/>
          <w:sz w:val="20"/>
          <w:szCs w:val="20"/>
        </w:rPr>
        <w:t xml:space="preserve"> </w:t>
      </w:r>
      <w:r w:rsidR="0032139E" w:rsidRPr="0032139E">
        <w:rPr>
          <w:rFonts w:ascii="Arial" w:hAnsi="Arial" w:cs="Arial"/>
          <w:sz w:val="20"/>
          <w:szCs w:val="20"/>
        </w:rPr>
        <w:t xml:space="preserve">The Ministry of Health successfully funded the NIP and fully covered increased country co-financing in years 2011, 2012 and 2013. Vaccine resource requirements (as reflected in the </w:t>
      </w:r>
      <w:proofErr w:type="spellStart"/>
      <w:r w:rsidR="0032139E" w:rsidRPr="0032139E">
        <w:rPr>
          <w:rFonts w:ascii="Arial" w:hAnsi="Arial" w:cs="Arial"/>
          <w:sz w:val="20"/>
          <w:szCs w:val="20"/>
        </w:rPr>
        <w:t>cMYP</w:t>
      </w:r>
      <w:proofErr w:type="spellEnd"/>
      <w:r w:rsidR="0032139E" w:rsidRPr="0032139E">
        <w:rPr>
          <w:rFonts w:ascii="Arial" w:hAnsi="Arial" w:cs="Arial"/>
          <w:sz w:val="20"/>
          <w:szCs w:val="20"/>
        </w:rPr>
        <w:t>) have been communicated to mid-term expenditure framework (MTEF) and required funding was secured for the period 2011-2013.</w:t>
      </w:r>
    </w:p>
    <w:p w:rsidR="00553327" w:rsidRPr="00553327" w:rsidRDefault="00553327" w:rsidP="00553327">
      <w:pPr>
        <w:spacing w:after="120"/>
        <w:jc w:val="both"/>
        <w:rPr>
          <w:rFonts w:ascii="Arial" w:hAnsi="Arial" w:cs="Arial"/>
          <w:sz w:val="20"/>
          <w:szCs w:val="20"/>
        </w:rPr>
      </w:pPr>
      <w:r>
        <w:rPr>
          <w:rFonts w:ascii="Arial" w:hAnsi="Arial" w:cs="Arial"/>
          <w:sz w:val="20"/>
          <w:szCs w:val="20"/>
        </w:rPr>
        <w:t xml:space="preserve">The health </w:t>
      </w:r>
      <w:proofErr w:type="gramStart"/>
      <w:r>
        <w:rPr>
          <w:rFonts w:ascii="Arial" w:hAnsi="Arial" w:cs="Arial"/>
          <w:sz w:val="20"/>
          <w:szCs w:val="20"/>
        </w:rPr>
        <w:t xml:space="preserve">budget </w:t>
      </w:r>
      <w:r w:rsidRPr="00553327">
        <w:rPr>
          <w:rFonts w:ascii="Arial" w:hAnsi="Arial" w:cs="Arial"/>
          <w:sz w:val="20"/>
          <w:szCs w:val="20"/>
        </w:rPr>
        <w:t>(Government Health Expenditure-GHE) from 2003 to 2013</w:t>
      </w:r>
      <w:r>
        <w:rPr>
          <w:rFonts w:ascii="Arial" w:hAnsi="Arial" w:cs="Arial"/>
          <w:sz w:val="20"/>
          <w:szCs w:val="20"/>
        </w:rPr>
        <w:t xml:space="preserve"> are</w:t>
      </w:r>
      <w:proofErr w:type="gramEnd"/>
      <w:r>
        <w:rPr>
          <w:rFonts w:ascii="Arial" w:hAnsi="Arial" w:cs="Arial"/>
          <w:sz w:val="20"/>
          <w:szCs w:val="20"/>
        </w:rPr>
        <w:t xml:space="preserve"> shown in table 6 below</w:t>
      </w:r>
      <w:r w:rsidRPr="00553327">
        <w:rPr>
          <w:rFonts w:ascii="Arial" w:hAnsi="Arial" w:cs="Arial"/>
          <w:sz w:val="20"/>
          <w:szCs w:val="20"/>
        </w:rPr>
        <w:t xml:space="preserve">. Approximately half of the GHE is allocated to central level of the Ministry of Health, two-thirds to sub-national authorities (districts) of the MoH and rest (one sixth) to other ministries. Vaccines are procured centrally by the MoH, therefore the NIP budget and vaccines are funded from budget allocated to central level of the MoH. </w:t>
      </w:r>
    </w:p>
    <w:p w:rsidR="00553327" w:rsidRPr="00553327" w:rsidRDefault="00553327" w:rsidP="00553327">
      <w:pPr>
        <w:spacing w:after="0"/>
        <w:jc w:val="both"/>
        <w:rPr>
          <w:rFonts w:ascii="Arial" w:hAnsi="Arial" w:cs="Arial"/>
          <w:b/>
          <w:sz w:val="20"/>
          <w:szCs w:val="20"/>
        </w:rPr>
      </w:pPr>
      <w:r w:rsidRPr="00553327">
        <w:rPr>
          <w:rFonts w:ascii="Arial" w:hAnsi="Arial" w:cs="Arial"/>
          <w:b/>
          <w:sz w:val="20"/>
          <w:szCs w:val="20"/>
        </w:rPr>
        <w:t>Table 6: Budget allocated for health by the Government (Government Health Expenditure-GHE), 2003 - 2013</w:t>
      </w:r>
    </w:p>
    <w:p w:rsidR="00553327" w:rsidRDefault="00553327" w:rsidP="00553327">
      <w:pPr>
        <w:spacing w:after="120"/>
        <w:jc w:val="both"/>
        <w:rPr>
          <w:rFonts w:cs="Calibri"/>
          <w:sz w:val="20"/>
          <w:szCs w:val="20"/>
        </w:rPr>
      </w:pPr>
      <w:r w:rsidRPr="002F3055">
        <w:rPr>
          <w:rFonts w:cs="Calibri"/>
          <w:noProof/>
          <w:sz w:val="20"/>
          <w:szCs w:val="20"/>
          <w:lang w:val="fr-FR" w:eastAsia="fr-FR"/>
        </w:rPr>
        <w:drawing>
          <wp:inline distT="0" distB="0" distL="0" distR="0" wp14:anchorId="3B5434F3" wp14:editId="2880257F">
            <wp:extent cx="5732890" cy="1987827"/>
            <wp:effectExtent l="0" t="0" r="0" b="0"/>
            <wp:docPr id="5"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
                    <a:srcRect/>
                    <a:stretch>
                      <a:fillRect/>
                    </a:stretch>
                  </pic:blipFill>
                  <pic:spPr bwMode="auto">
                    <a:xfrm>
                      <a:off x="0" y="0"/>
                      <a:ext cx="5732145" cy="1987569"/>
                    </a:xfrm>
                    <a:prstGeom prst="rect">
                      <a:avLst/>
                    </a:prstGeom>
                    <a:noFill/>
                    <a:ln w="9525">
                      <a:noFill/>
                      <a:miter lim="800000"/>
                      <a:headEnd/>
                      <a:tailEnd/>
                    </a:ln>
                  </pic:spPr>
                </pic:pic>
              </a:graphicData>
            </a:graphic>
          </wp:inline>
        </w:drawing>
      </w:r>
    </w:p>
    <w:p w:rsidR="009C590E" w:rsidRPr="00EE7CEE" w:rsidRDefault="00EE7CEE" w:rsidP="00EE7CEE">
      <w:pPr>
        <w:tabs>
          <w:tab w:val="left" w:pos="3451"/>
        </w:tabs>
        <w:jc w:val="both"/>
        <w:rPr>
          <w:rFonts w:ascii="Arial" w:hAnsi="Arial" w:cs="Arial"/>
          <w:color w:val="0D0D0D" w:themeColor="text1" w:themeTint="F2"/>
          <w:sz w:val="20"/>
          <w:szCs w:val="20"/>
        </w:rPr>
      </w:pPr>
      <w:r w:rsidRPr="00EE7CEE">
        <w:rPr>
          <w:rFonts w:ascii="Arial" w:hAnsi="Arial" w:cs="Arial"/>
          <w:color w:val="0D0D0D" w:themeColor="text1" w:themeTint="F2"/>
          <w:sz w:val="20"/>
          <w:szCs w:val="20"/>
        </w:rPr>
        <w:t>Despite the fact that f</w:t>
      </w:r>
      <w:r w:rsidR="009C590E" w:rsidRPr="00EE7CEE">
        <w:rPr>
          <w:rFonts w:ascii="Arial" w:hAnsi="Arial" w:cs="Arial"/>
          <w:color w:val="0D0D0D" w:themeColor="text1" w:themeTint="F2"/>
          <w:sz w:val="20"/>
          <w:szCs w:val="20"/>
        </w:rPr>
        <w:t>inancing of the national immunization activities currently comes mainly from public sources</w:t>
      </w:r>
      <w:r w:rsidRPr="00EE7CEE">
        <w:rPr>
          <w:rFonts w:ascii="Arial" w:hAnsi="Arial" w:cs="Arial"/>
          <w:color w:val="0D0D0D" w:themeColor="text1" w:themeTint="F2"/>
          <w:sz w:val="20"/>
          <w:szCs w:val="20"/>
        </w:rPr>
        <w:t>,</w:t>
      </w:r>
      <w:r w:rsidR="009C590E" w:rsidRPr="00EE7CEE">
        <w:rPr>
          <w:rFonts w:ascii="Arial" w:hAnsi="Arial" w:cs="Arial"/>
          <w:color w:val="0D0D0D" w:themeColor="text1" w:themeTint="F2"/>
          <w:sz w:val="20"/>
          <w:szCs w:val="20"/>
        </w:rPr>
        <w:t xml:space="preserve"> donors provided immunization-related financial and technical support in the past years. A large number of the existing cold chain, laboratory and office equipment were provided by UNICEF, </w:t>
      </w:r>
      <w:r w:rsidR="00F57C5D">
        <w:rPr>
          <w:rFonts w:ascii="Arial" w:hAnsi="Arial" w:cs="Arial"/>
          <w:color w:val="0D0D0D" w:themeColor="text1" w:themeTint="F2"/>
          <w:sz w:val="20"/>
          <w:szCs w:val="20"/>
        </w:rPr>
        <w:t xml:space="preserve">USAID, </w:t>
      </w:r>
      <w:r w:rsidR="009C590E" w:rsidRPr="00EE7CEE">
        <w:rPr>
          <w:rFonts w:ascii="Arial" w:hAnsi="Arial" w:cs="Arial"/>
          <w:color w:val="0D0D0D" w:themeColor="text1" w:themeTint="F2"/>
          <w:sz w:val="20"/>
          <w:szCs w:val="20"/>
        </w:rPr>
        <w:t xml:space="preserve">WHO, World Bank, </w:t>
      </w:r>
      <w:proofErr w:type="spellStart"/>
      <w:r w:rsidR="009C590E" w:rsidRPr="00EE7CEE">
        <w:rPr>
          <w:rFonts w:ascii="Arial" w:hAnsi="Arial" w:cs="Arial"/>
          <w:color w:val="0D0D0D" w:themeColor="text1" w:themeTint="F2"/>
          <w:sz w:val="20"/>
          <w:szCs w:val="20"/>
        </w:rPr>
        <w:t>Vishnevskaya</w:t>
      </w:r>
      <w:proofErr w:type="spellEnd"/>
      <w:r w:rsidR="009C590E" w:rsidRPr="00EE7CEE">
        <w:rPr>
          <w:rFonts w:ascii="Arial" w:hAnsi="Arial" w:cs="Arial"/>
          <w:color w:val="0D0D0D" w:themeColor="text1" w:themeTint="F2"/>
          <w:sz w:val="20"/>
          <w:szCs w:val="20"/>
        </w:rPr>
        <w:t>-Rostropovich Foundation among others. Donor</w:t>
      </w:r>
      <w:r w:rsidR="0032139E">
        <w:rPr>
          <w:rFonts w:ascii="Arial" w:hAnsi="Arial" w:cs="Arial"/>
          <w:color w:val="0D0D0D" w:themeColor="text1" w:themeTint="F2"/>
          <w:sz w:val="20"/>
          <w:szCs w:val="20"/>
        </w:rPr>
        <w:t>s’</w:t>
      </w:r>
      <w:r w:rsidR="009C590E" w:rsidRPr="00EE7CEE">
        <w:rPr>
          <w:rFonts w:ascii="Arial" w:hAnsi="Arial" w:cs="Arial"/>
          <w:color w:val="0D0D0D" w:themeColor="text1" w:themeTint="F2"/>
          <w:sz w:val="20"/>
          <w:szCs w:val="20"/>
        </w:rPr>
        <w:t xml:space="preserve"> support</w:t>
      </w:r>
      <w:r w:rsidR="00996C73">
        <w:rPr>
          <w:rFonts w:ascii="Arial" w:hAnsi="Arial" w:cs="Arial"/>
          <w:color w:val="0D0D0D" w:themeColor="text1" w:themeTint="F2"/>
          <w:sz w:val="20"/>
          <w:szCs w:val="20"/>
        </w:rPr>
        <w:t xml:space="preserve"> </w:t>
      </w:r>
      <w:r w:rsidR="0032139E">
        <w:rPr>
          <w:rFonts w:ascii="Arial" w:hAnsi="Arial" w:cs="Arial"/>
          <w:color w:val="0D0D0D" w:themeColor="text1" w:themeTint="F2"/>
          <w:sz w:val="20"/>
          <w:szCs w:val="20"/>
        </w:rPr>
        <w:t xml:space="preserve">is also </w:t>
      </w:r>
      <w:r w:rsidR="00996C73">
        <w:rPr>
          <w:rFonts w:ascii="Arial" w:hAnsi="Arial" w:cs="Arial"/>
          <w:color w:val="0D0D0D" w:themeColor="text1" w:themeTint="F2"/>
          <w:sz w:val="20"/>
          <w:szCs w:val="20"/>
        </w:rPr>
        <w:t>channeled to program</w:t>
      </w:r>
      <w:r w:rsidR="009C590E" w:rsidRPr="00EE7CEE">
        <w:rPr>
          <w:rFonts w:ascii="Arial" w:hAnsi="Arial" w:cs="Arial"/>
          <w:color w:val="0D0D0D" w:themeColor="text1" w:themeTint="F2"/>
          <w:sz w:val="20"/>
          <w:szCs w:val="20"/>
        </w:rPr>
        <w:t xml:space="preserve"> activi</w:t>
      </w:r>
      <w:r w:rsidR="00996C73">
        <w:rPr>
          <w:rFonts w:ascii="Arial" w:hAnsi="Arial" w:cs="Arial"/>
          <w:color w:val="0D0D0D" w:themeColor="text1" w:themeTint="F2"/>
          <w:sz w:val="20"/>
          <w:szCs w:val="20"/>
        </w:rPr>
        <w:t>ties, surveillance and training</w:t>
      </w:r>
      <w:r w:rsidR="0032139E">
        <w:rPr>
          <w:rFonts w:ascii="Arial" w:hAnsi="Arial" w:cs="Arial"/>
          <w:color w:val="0D0D0D" w:themeColor="text1" w:themeTint="F2"/>
          <w:sz w:val="20"/>
          <w:szCs w:val="20"/>
        </w:rPr>
        <w:t>- the</w:t>
      </w:r>
      <w:r w:rsidR="00996C73">
        <w:rPr>
          <w:rFonts w:ascii="Arial" w:hAnsi="Arial" w:cs="Arial"/>
          <w:color w:val="0D0D0D" w:themeColor="text1" w:themeTint="F2"/>
          <w:sz w:val="20"/>
          <w:szCs w:val="20"/>
        </w:rPr>
        <w:t xml:space="preserve"> key areas </w:t>
      </w:r>
      <w:r w:rsidR="0032139E">
        <w:rPr>
          <w:rFonts w:ascii="Arial" w:hAnsi="Arial" w:cs="Arial"/>
          <w:color w:val="0D0D0D" w:themeColor="text1" w:themeTint="F2"/>
          <w:sz w:val="20"/>
          <w:szCs w:val="20"/>
        </w:rPr>
        <w:t>suffering from</w:t>
      </w:r>
      <w:r w:rsidR="00996C73">
        <w:rPr>
          <w:rFonts w:ascii="Arial" w:hAnsi="Arial" w:cs="Arial"/>
          <w:color w:val="0D0D0D" w:themeColor="text1" w:themeTint="F2"/>
          <w:sz w:val="20"/>
          <w:szCs w:val="20"/>
        </w:rPr>
        <w:t xml:space="preserve"> </w:t>
      </w:r>
      <w:r w:rsidR="0032139E">
        <w:rPr>
          <w:rFonts w:ascii="Arial" w:hAnsi="Arial" w:cs="Arial"/>
          <w:color w:val="0D0D0D" w:themeColor="text1" w:themeTint="F2"/>
          <w:sz w:val="20"/>
          <w:szCs w:val="20"/>
        </w:rPr>
        <w:t>sub-optimal</w:t>
      </w:r>
      <w:r w:rsidR="00996C73">
        <w:rPr>
          <w:rFonts w:ascii="Arial" w:hAnsi="Arial" w:cs="Arial"/>
          <w:color w:val="0D0D0D" w:themeColor="text1" w:themeTint="F2"/>
          <w:sz w:val="20"/>
          <w:szCs w:val="20"/>
        </w:rPr>
        <w:t xml:space="preserve"> state budget allocation. </w:t>
      </w:r>
    </w:p>
    <w:p w:rsidR="00F57C5D" w:rsidRPr="00F57C5D" w:rsidRDefault="00F57C5D" w:rsidP="009C590E">
      <w:pPr>
        <w:tabs>
          <w:tab w:val="left" w:pos="3451"/>
        </w:tabs>
        <w:rPr>
          <w:rFonts w:ascii="Arial" w:hAnsi="Arial" w:cs="Arial"/>
          <w:color w:val="0D0D0D" w:themeColor="text1" w:themeTint="F2"/>
          <w:sz w:val="20"/>
          <w:szCs w:val="20"/>
        </w:rPr>
      </w:pPr>
      <w:proofErr w:type="gramStart"/>
      <w:r w:rsidRPr="00F57C5D">
        <w:rPr>
          <w:rFonts w:ascii="Arial" w:hAnsi="Arial" w:cs="Arial"/>
          <w:color w:val="0D0D0D" w:themeColor="text1" w:themeTint="F2"/>
          <w:sz w:val="20"/>
          <w:szCs w:val="20"/>
        </w:rPr>
        <w:lastRenderedPageBreak/>
        <w:t>4.2  Financial</w:t>
      </w:r>
      <w:proofErr w:type="gramEnd"/>
      <w:r w:rsidRPr="00F57C5D">
        <w:rPr>
          <w:rFonts w:ascii="Arial" w:hAnsi="Arial" w:cs="Arial"/>
          <w:color w:val="0D0D0D" w:themeColor="text1" w:themeTint="F2"/>
          <w:sz w:val="20"/>
          <w:szCs w:val="20"/>
        </w:rPr>
        <w:t xml:space="preserve"> sustainability of National Immunization Program</w:t>
      </w:r>
    </w:p>
    <w:p w:rsidR="00B231E8" w:rsidRDefault="009C590E" w:rsidP="00A04E8C">
      <w:pPr>
        <w:tabs>
          <w:tab w:val="left" w:pos="3451"/>
        </w:tabs>
        <w:jc w:val="both"/>
        <w:rPr>
          <w:rFonts w:ascii="Arial" w:hAnsi="Arial" w:cs="Arial"/>
          <w:color w:val="0D0D0D" w:themeColor="text1" w:themeTint="F2"/>
          <w:sz w:val="20"/>
          <w:szCs w:val="20"/>
        </w:rPr>
      </w:pPr>
      <w:r w:rsidRPr="00F57C5D">
        <w:rPr>
          <w:rFonts w:ascii="Arial" w:hAnsi="Arial" w:cs="Arial"/>
          <w:color w:val="0D0D0D" w:themeColor="text1" w:themeTint="F2"/>
          <w:sz w:val="20"/>
          <w:szCs w:val="20"/>
        </w:rPr>
        <w:t xml:space="preserve">The country has a number of scenarios for the future financing developed in the </w:t>
      </w:r>
      <w:proofErr w:type="spellStart"/>
      <w:r w:rsidRPr="00F57C5D">
        <w:rPr>
          <w:rFonts w:ascii="Arial" w:hAnsi="Arial" w:cs="Arial"/>
          <w:color w:val="0D0D0D" w:themeColor="text1" w:themeTint="F2"/>
          <w:sz w:val="20"/>
          <w:szCs w:val="20"/>
        </w:rPr>
        <w:t>cMYP</w:t>
      </w:r>
      <w:proofErr w:type="spellEnd"/>
      <w:r w:rsidRPr="00F57C5D">
        <w:rPr>
          <w:rFonts w:ascii="Arial" w:hAnsi="Arial" w:cs="Arial"/>
          <w:color w:val="0D0D0D" w:themeColor="text1" w:themeTint="F2"/>
          <w:sz w:val="20"/>
          <w:szCs w:val="20"/>
        </w:rPr>
        <w:t>, and there are appear to be no major problems with future funding or sustainabilit</w:t>
      </w:r>
      <w:r w:rsidR="00055729">
        <w:rPr>
          <w:rFonts w:ascii="Arial" w:hAnsi="Arial" w:cs="Arial"/>
          <w:color w:val="0D0D0D" w:themeColor="text1" w:themeTint="F2"/>
          <w:sz w:val="20"/>
          <w:szCs w:val="20"/>
        </w:rPr>
        <w:t>y for the immunization program</w:t>
      </w:r>
      <w:r w:rsidRPr="00F57C5D">
        <w:rPr>
          <w:rFonts w:ascii="Arial" w:hAnsi="Arial" w:cs="Arial"/>
          <w:color w:val="0D0D0D" w:themeColor="text1" w:themeTint="F2"/>
          <w:sz w:val="20"/>
          <w:szCs w:val="20"/>
        </w:rPr>
        <w:t>.</w:t>
      </w:r>
      <w:r w:rsidR="00055729">
        <w:rPr>
          <w:rFonts w:ascii="Arial" w:hAnsi="Arial" w:cs="Arial"/>
          <w:color w:val="0D0D0D" w:themeColor="text1" w:themeTint="F2"/>
          <w:sz w:val="20"/>
          <w:szCs w:val="20"/>
        </w:rPr>
        <w:t xml:space="preserve"> According to report of </w:t>
      </w:r>
      <w:r w:rsidR="00055729" w:rsidRPr="00055729">
        <w:rPr>
          <w:rFonts w:ascii="Arial" w:hAnsi="Arial" w:cs="Arial"/>
          <w:color w:val="0D0D0D" w:themeColor="text1" w:themeTint="F2"/>
          <w:sz w:val="20"/>
          <w:szCs w:val="20"/>
        </w:rPr>
        <w:t>GAVI graduating country assessment</w:t>
      </w:r>
      <w:r w:rsidR="00055729">
        <w:rPr>
          <w:rFonts w:ascii="Arial" w:hAnsi="Arial" w:cs="Arial"/>
          <w:color w:val="0D0D0D" w:themeColor="text1" w:themeTint="F2"/>
          <w:sz w:val="20"/>
          <w:szCs w:val="20"/>
        </w:rPr>
        <w:t>, conducted in July 2013</w:t>
      </w:r>
      <w:r w:rsidR="00055729" w:rsidRPr="00055729">
        <w:rPr>
          <w:rFonts w:ascii="Arial" w:hAnsi="Arial" w:cs="Arial"/>
          <w:color w:val="0D0D0D" w:themeColor="text1" w:themeTint="F2"/>
          <w:sz w:val="20"/>
          <w:szCs w:val="20"/>
        </w:rPr>
        <w:t>, Azerbaijan was expected to sustain investments in immunization without much threat to financial sustainability. Main reason for that was the rapid economic growth due to oil production and moderate political commitment to the NIP.</w:t>
      </w:r>
    </w:p>
    <w:p w:rsidR="00991F6D" w:rsidRDefault="00055729" w:rsidP="0008357E">
      <w:pPr>
        <w:spacing w:after="120"/>
        <w:jc w:val="both"/>
        <w:rPr>
          <w:rFonts w:ascii="Arial" w:hAnsi="Arial" w:cs="Arial"/>
          <w:sz w:val="20"/>
          <w:szCs w:val="20"/>
        </w:rPr>
      </w:pPr>
      <w:r>
        <w:rPr>
          <w:rFonts w:ascii="Arial" w:hAnsi="Arial" w:cs="Arial"/>
          <w:color w:val="0D0D0D" w:themeColor="text1" w:themeTint="F2"/>
          <w:sz w:val="20"/>
          <w:szCs w:val="20"/>
        </w:rPr>
        <w:t xml:space="preserve">In line with results of </w:t>
      </w:r>
      <w:r w:rsidR="00A04E8C">
        <w:rPr>
          <w:rFonts w:ascii="Arial" w:hAnsi="Arial" w:cs="Arial"/>
          <w:color w:val="0D0D0D" w:themeColor="text1" w:themeTint="F2"/>
          <w:sz w:val="20"/>
          <w:szCs w:val="20"/>
        </w:rPr>
        <w:t xml:space="preserve">the </w:t>
      </w:r>
      <w:r>
        <w:rPr>
          <w:rFonts w:ascii="Arial" w:hAnsi="Arial" w:cs="Arial"/>
          <w:color w:val="0D0D0D" w:themeColor="text1" w:themeTint="F2"/>
          <w:sz w:val="20"/>
          <w:szCs w:val="20"/>
        </w:rPr>
        <w:t xml:space="preserve">assessment </w:t>
      </w:r>
      <w:r w:rsidR="00A04E8C">
        <w:rPr>
          <w:rFonts w:ascii="Arial" w:hAnsi="Arial" w:cs="Arial"/>
          <w:color w:val="0D0D0D" w:themeColor="text1" w:themeTint="F2"/>
          <w:sz w:val="20"/>
          <w:szCs w:val="20"/>
        </w:rPr>
        <w:t>u</w:t>
      </w:r>
      <w:r>
        <w:rPr>
          <w:rFonts w:ascii="Arial" w:hAnsi="Arial" w:cs="Arial"/>
          <w:color w:val="0D0D0D" w:themeColor="text1" w:themeTint="F2"/>
          <w:sz w:val="20"/>
          <w:szCs w:val="20"/>
        </w:rPr>
        <w:t>p to 2014 the main challenge for f</w:t>
      </w:r>
      <w:r w:rsidRPr="00055729">
        <w:rPr>
          <w:rFonts w:ascii="Arial" w:hAnsi="Arial" w:cs="Arial"/>
          <w:color w:val="0D0D0D" w:themeColor="text1" w:themeTint="F2"/>
          <w:sz w:val="20"/>
          <w:szCs w:val="20"/>
        </w:rPr>
        <w:t xml:space="preserve">inancial sustainability of the NIP in Azerbaijan </w:t>
      </w:r>
      <w:r>
        <w:rPr>
          <w:rFonts w:ascii="Arial" w:hAnsi="Arial" w:cs="Arial"/>
          <w:color w:val="0D0D0D" w:themeColor="text1" w:themeTint="F2"/>
          <w:sz w:val="20"/>
          <w:szCs w:val="20"/>
        </w:rPr>
        <w:t>was</w:t>
      </w:r>
      <w:r w:rsidRPr="00055729">
        <w:rPr>
          <w:rFonts w:ascii="Arial" w:hAnsi="Arial" w:cs="Arial"/>
          <w:color w:val="0D0D0D" w:themeColor="text1" w:themeTint="F2"/>
          <w:sz w:val="20"/>
          <w:szCs w:val="20"/>
        </w:rPr>
        <w:t xml:space="preserve"> inefficiency of the procurement system, rather than the amount allocated for procurement of vaccines.</w:t>
      </w:r>
      <w:r>
        <w:rPr>
          <w:rFonts w:ascii="Arial" w:hAnsi="Arial" w:cs="Arial"/>
          <w:color w:val="0D0D0D" w:themeColor="text1" w:themeTint="F2"/>
          <w:sz w:val="20"/>
          <w:szCs w:val="20"/>
        </w:rPr>
        <w:t xml:space="preserve"> In order to address </w:t>
      </w:r>
      <w:r w:rsidR="00A04E8C">
        <w:rPr>
          <w:rFonts w:ascii="Arial" w:hAnsi="Arial" w:cs="Arial"/>
          <w:color w:val="0D0D0D" w:themeColor="text1" w:themeTint="F2"/>
          <w:sz w:val="20"/>
          <w:szCs w:val="20"/>
        </w:rPr>
        <w:t xml:space="preserve">this issue Ministry of Health updated </w:t>
      </w:r>
      <w:proofErr w:type="spellStart"/>
      <w:r w:rsidR="00A04E8C">
        <w:rPr>
          <w:rFonts w:ascii="Arial" w:hAnsi="Arial" w:cs="Arial"/>
          <w:color w:val="0D0D0D" w:themeColor="text1" w:themeTint="F2"/>
          <w:sz w:val="20"/>
          <w:szCs w:val="20"/>
        </w:rPr>
        <w:t>MoU</w:t>
      </w:r>
      <w:proofErr w:type="spellEnd"/>
      <w:r w:rsidR="00A04E8C">
        <w:rPr>
          <w:rFonts w:ascii="Arial" w:hAnsi="Arial" w:cs="Arial"/>
          <w:color w:val="0D0D0D" w:themeColor="text1" w:themeTint="F2"/>
          <w:sz w:val="20"/>
          <w:szCs w:val="20"/>
        </w:rPr>
        <w:t xml:space="preserve"> (memorandum of Understanding) with UNICEF and </w:t>
      </w:r>
      <w:r w:rsidR="00A04E8C" w:rsidRPr="00A04E8C">
        <w:rPr>
          <w:rFonts w:ascii="Arial" w:hAnsi="Arial" w:cs="Arial"/>
          <w:color w:val="0D0D0D" w:themeColor="text1" w:themeTint="F2"/>
          <w:sz w:val="20"/>
          <w:szCs w:val="20"/>
        </w:rPr>
        <w:t>issued decree on procurement of EPI vaccines through UNICEF SD and based on this approval the Innovation and Supply Center has started to use UNICEF SD as single source for procurement EPI routine vaccines.</w:t>
      </w:r>
      <w:r w:rsidR="00A04E8C">
        <w:rPr>
          <w:rFonts w:ascii="Arial" w:hAnsi="Arial" w:cs="Arial"/>
          <w:color w:val="0D0D0D" w:themeColor="text1" w:themeTint="F2"/>
          <w:sz w:val="20"/>
          <w:szCs w:val="20"/>
        </w:rPr>
        <w:t xml:space="preserve"> </w:t>
      </w:r>
      <w:r w:rsidR="00A04E8C">
        <w:rPr>
          <w:rFonts w:ascii="Arial" w:hAnsi="Arial" w:cs="Arial"/>
          <w:sz w:val="20"/>
          <w:szCs w:val="20"/>
        </w:rPr>
        <w:t>P</w:t>
      </w:r>
      <w:r w:rsidR="00A04E8C" w:rsidRPr="00055729">
        <w:rPr>
          <w:rFonts w:ascii="Arial" w:hAnsi="Arial" w:cs="Arial"/>
          <w:sz w:val="20"/>
          <w:szCs w:val="20"/>
        </w:rPr>
        <w:t xml:space="preserve">rocurement of </w:t>
      </w:r>
      <w:r w:rsidR="00A04E8C">
        <w:rPr>
          <w:rFonts w:ascii="Arial" w:hAnsi="Arial" w:cs="Arial"/>
          <w:sz w:val="20"/>
          <w:szCs w:val="20"/>
        </w:rPr>
        <w:t xml:space="preserve">EPI </w:t>
      </w:r>
      <w:r w:rsidR="00A04E8C" w:rsidRPr="00055729">
        <w:rPr>
          <w:rFonts w:ascii="Arial" w:hAnsi="Arial" w:cs="Arial"/>
          <w:sz w:val="20"/>
          <w:szCs w:val="20"/>
        </w:rPr>
        <w:t>vaccines through UNICEF Supply Division (with more competitive and optimum prices)</w:t>
      </w:r>
      <w:r w:rsidR="00A04E8C">
        <w:rPr>
          <w:rFonts w:ascii="Arial" w:hAnsi="Arial" w:cs="Arial"/>
          <w:sz w:val="20"/>
          <w:szCs w:val="20"/>
        </w:rPr>
        <w:t xml:space="preserve"> in 2014 </w:t>
      </w:r>
      <w:r w:rsidR="0008357E">
        <w:rPr>
          <w:rFonts w:ascii="Arial" w:hAnsi="Arial" w:cs="Arial"/>
          <w:sz w:val="20"/>
          <w:szCs w:val="20"/>
        </w:rPr>
        <w:t>bro</w:t>
      </w:r>
      <w:r w:rsidR="001D0B66">
        <w:rPr>
          <w:rFonts w:ascii="Arial" w:hAnsi="Arial" w:cs="Arial"/>
          <w:sz w:val="20"/>
          <w:szCs w:val="20"/>
        </w:rPr>
        <w:t>ught</w:t>
      </w:r>
      <w:r w:rsidR="0008357E">
        <w:rPr>
          <w:rFonts w:ascii="Arial" w:hAnsi="Arial" w:cs="Arial"/>
          <w:sz w:val="20"/>
          <w:szCs w:val="20"/>
        </w:rPr>
        <w:t xml:space="preserve"> to almost 50% cost saving of NIP budget allocated for vaccine &amp; supplies. Vacant financing has been used for procurement of MR vaccine for SIA to respond 2013 outbreak and cover susceptible pockets of population</w:t>
      </w:r>
      <w:r w:rsidR="00A04E8C" w:rsidRPr="00055729">
        <w:rPr>
          <w:rFonts w:ascii="Arial" w:hAnsi="Arial" w:cs="Arial"/>
          <w:sz w:val="20"/>
          <w:szCs w:val="20"/>
        </w:rPr>
        <w:t>,</w:t>
      </w:r>
      <w:r w:rsidR="0008357E">
        <w:rPr>
          <w:rFonts w:ascii="Arial" w:hAnsi="Arial" w:cs="Arial"/>
          <w:sz w:val="20"/>
          <w:szCs w:val="20"/>
        </w:rPr>
        <w:t xml:space="preserve"> as well as for </w:t>
      </w:r>
      <w:proofErr w:type="spellStart"/>
      <w:r w:rsidR="0008357E">
        <w:rPr>
          <w:rFonts w:ascii="Arial" w:hAnsi="Arial" w:cs="Arial"/>
          <w:sz w:val="20"/>
          <w:szCs w:val="20"/>
        </w:rPr>
        <w:t>HepB</w:t>
      </w:r>
      <w:proofErr w:type="spellEnd"/>
      <w:r w:rsidR="0008357E">
        <w:rPr>
          <w:rFonts w:ascii="Arial" w:hAnsi="Arial" w:cs="Arial"/>
          <w:sz w:val="20"/>
          <w:szCs w:val="20"/>
        </w:rPr>
        <w:t xml:space="preserve"> immunization for medical workers. </w:t>
      </w:r>
      <w:r w:rsidR="00A04E8C" w:rsidRPr="00055729">
        <w:rPr>
          <w:rFonts w:ascii="Arial" w:hAnsi="Arial" w:cs="Arial"/>
          <w:sz w:val="20"/>
          <w:szCs w:val="20"/>
        </w:rPr>
        <w:t xml:space="preserve"> </w:t>
      </w:r>
      <w:r w:rsidR="0008357E">
        <w:rPr>
          <w:rFonts w:ascii="Arial" w:hAnsi="Arial" w:cs="Arial"/>
          <w:sz w:val="20"/>
          <w:szCs w:val="20"/>
        </w:rPr>
        <w:t xml:space="preserve">Thus country succeeds in covering previously underfunded components of NIP, which requires large investments due high level priority and limited donors support. Availability of GAVI support for IPV is considered by the Ministry of Health as essential opportunity for timely introduction of IPV vaccine and use of </w:t>
      </w:r>
      <w:r w:rsidR="001D0B66">
        <w:rPr>
          <w:rFonts w:ascii="Arial" w:hAnsi="Arial" w:cs="Arial"/>
          <w:sz w:val="20"/>
          <w:szCs w:val="20"/>
        </w:rPr>
        <w:t xml:space="preserve">saved </w:t>
      </w:r>
      <w:r w:rsidR="0008357E">
        <w:rPr>
          <w:rFonts w:ascii="Arial" w:hAnsi="Arial" w:cs="Arial"/>
          <w:sz w:val="20"/>
          <w:szCs w:val="20"/>
        </w:rPr>
        <w:t>NIP budget for sustaining efforts on measles/rubella eradications particularly by SIA, and improving of surveillance.</w:t>
      </w:r>
    </w:p>
    <w:p w:rsidR="0008357E" w:rsidRDefault="0008357E" w:rsidP="0008357E">
      <w:pPr>
        <w:spacing w:after="120"/>
        <w:jc w:val="both"/>
        <w:rPr>
          <w:rFonts w:ascii="Arial" w:hAnsi="Arial" w:cs="Arial"/>
          <w:sz w:val="20"/>
          <w:szCs w:val="20"/>
        </w:rPr>
      </w:pPr>
    </w:p>
    <w:p w:rsidR="008B76C7" w:rsidRPr="008B76C7" w:rsidRDefault="008B76C7" w:rsidP="008B76C7">
      <w:pPr>
        <w:pStyle w:val="ListParagraph"/>
        <w:numPr>
          <w:ilvl w:val="0"/>
          <w:numId w:val="4"/>
        </w:numPr>
        <w:spacing w:after="0" w:line="240" w:lineRule="auto"/>
        <w:jc w:val="both"/>
        <w:rPr>
          <w:rFonts w:ascii="Arial" w:eastAsia="Arial" w:hAnsi="Arial" w:cs="Arial"/>
          <w:b/>
          <w:color w:val="0D0D0D" w:themeColor="text1" w:themeTint="F2"/>
        </w:rPr>
      </w:pPr>
      <w:r w:rsidRPr="008B76C7">
        <w:rPr>
          <w:rFonts w:ascii="Arial" w:eastAsia="Arial" w:hAnsi="Arial" w:cs="Arial"/>
          <w:b/>
          <w:color w:val="0D0D0D" w:themeColor="text1" w:themeTint="F2"/>
        </w:rPr>
        <w:t>Strategies and activities for the vaccine introduction, including opportunities to im</w:t>
      </w:r>
      <w:r w:rsidR="00640EF3">
        <w:rPr>
          <w:rFonts w:ascii="Arial" w:eastAsia="Arial" w:hAnsi="Arial" w:cs="Arial"/>
          <w:b/>
          <w:color w:val="0D0D0D" w:themeColor="text1" w:themeTint="F2"/>
        </w:rPr>
        <w:t>prove the immunization program</w:t>
      </w:r>
      <w:r w:rsidRPr="008B76C7">
        <w:rPr>
          <w:rFonts w:ascii="Arial" w:eastAsia="Arial" w:hAnsi="Arial" w:cs="Arial"/>
          <w:b/>
          <w:color w:val="0D0D0D" w:themeColor="text1" w:themeTint="F2"/>
        </w:rPr>
        <w:t xml:space="preserve"> and overall health system during the introduction</w:t>
      </w:r>
    </w:p>
    <w:p w:rsidR="00661C9B" w:rsidRDefault="00661C9B" w:rsidP="00661C9B">
      <w:pPr>
        <w:spacing w:after="0" w:line="240" w:lineRule="auto"/>
        <w:contextualSpacing/>
        <w:jc w:val="both"/>
        <w:rPr>
          <w:rFonts w:ascii="Arial" w:eastAsia="Arial" w:hAnsi="Arial" w:cs="Arial"/>
          <w:b/>
          <w:bCs/>
          <w:color w:val="0D0D0D" w:themeColor="text1" w:themeTint="F2"/>
        </w:rPr>
      </w:pPr>
    </w:p>
    <w:p w:rsidR="00661C9B" w:rsidRDefault="00661C9B" w:rsidP="00661C9B">
      <w:pPr>
        <w:spacing w:after="0" w:line="240" w:lineRule="auto"/>
        <w:contextualSpacing/>
        <w:jc w:val="both"/>
        <w:rPr>
          <w:rFonts w:ascii="Arial" w:eastAsia="Arial" w:hAnsi="Arial" w:cs="Arial"/>
          <w:b/>
          <w:bCs/>
          <w:color w:val="0D0D0D" w:themeColor="text1" w:themeTint="F2"/>
          <w:sz w:val="20"/>
          <w:szCs w:val="20"/>
        </w:rPr>
      </w:pPr>
      <w:r w:rsidRPr="00661C9B">
        <w:rPr>
          <w:rFonts w:ascii="Arial" w:eastAsia="Arial" w:hAnsi="Arial" w:cs="Arial"/>
          <w:bCs/>
          <w:color w:val="0D0D0D" w:themeColor="text1" w:themeTint="F2"/>
          <w:sz w:val="20"/>
          <w:szCs w:val="20"/>
        </w:rPr>
        <w:t>5.1 Coordination and monitoring the preparation and implementation of the vaccine introduction</w:t>
      </w:r>
      <w:r w:rsidRPr="00661C9B">
        <w:rPr>
          <w:rFonts w:ascii="Arial" w:eastAsia="Arial" w:hAnsi="Arial" w:cs="Arial"/>
          <w:b/>
          <w:bCs/>
          <w:color w:val="0D0D0D" w:themeColor="text1" w:themeTint="F2"/>
          <w:sz w:val="20"/>
          <w:szCs w:val="20"/>
        </w:rPr>
        <w:t xml:space="preserve"> </w:t>
      </w:r>
    </w:p>
    <w:p w:rsidR="00661C9B" w:rsidRPr="00661C9B" w:rsidRDefault="00661C9B" w:rsidP="00661C9B">
      <w:pPr>
        <w:spacing w:after="0" w:line="240" w:lineRule="auto"/>
        <w:contextualSpacing/>
        <w:jc w:val="both"/>
        <w:rPr>
          <w:rFonts w:ascii="Arial" w:eastAsia="Arial" w:hAnsi="Arial" w:cs="Arial"/>
          <w:bCs/>
          <w:color w:val="0D0D0D" w:themeColor="text1" w:themeTint="F2"/>
          <w:sz w:val="20"/>
          <w:szCs w:val="20"/>
        </w:rPr>
      </w:pPr>
    </w:p>
    <w:p w:rsidR="00AD66FF" w:rsidRDefault="00661C9B" w:rsidP="00640EF3">
      <w:pPr>
        <w:spacing w:after="0" w:line="240" w:lineRule="auto"/>
        <w:contextualSpacing/>
        <w:jc w:val="both"/>
        <w:rPr>
          <w:rFonts w:ascii="Arial" w:eastAsia="Arial" w:hAnsi="Arial" w:cs="Arial"/>
          <w:bCs/>
          <w:color w:val="0D0D0D" w:themeColor="text1" w:themeTint="F2"/>
          <w:sz w:val="20"/>
          <w:szCs w:val="20"/>
        </w:rPr>
      </w:pPr>
      <w:r w:rsidRPr="00661C9B">
        <w:rPr>
          <w:rFonts w:ascii="Arial" w:eastAsia="Arial" w:hAnsi="Arial" w:cs="Arial"/>
          <w:bCs/>
          <w:color w:val="0D0D0D" w:themeColor="text1" w:themeTint="F2"/>
          <w:sz w:val="20"/>
          <w:szCs w:val="20"/>
        </w:rPr>
        <w:t>Coordination of IPV introduction is conducted by CCM WG on immunization, chaired by EPI manager. Group includes representatives from sanitary-epidemiological surveillance sector of the Ministry of Health, Republican Center Hygiene and Epidemiology, Innovation and Supply Center, Public Health and Reform Center</w:t>
      </w:r>
      <w:r w:rsidR="007845C3">
        <w:rPr>
          <w:rFonts w:ascii="Arial" w:eastAsia="Arial" w:hAnsi="Arial" w:cs="Arial"/>
          <w:bCs/>
          <w:color w:val="0D0D0D" w:themeColor="text1" w:themeTint="F2"/>
          <w:sz w:val="20"/>
          <w:szCs w:val="20"/>
        </w:rPr>
        <w:t xml:space="preserve"> (communication/public awareness)</w:t>
      </w:r>
      <w:r w:rsidRPr="00661C9B">
        <w:rPr>
          <w:rFonts w:ascii="Arial" w:eastAsia="Arial" w:hAnsi="Arial" w:cs="Arial"/>
          <w:bCs/>
          <w:color w:val="0D0D0D" w:themeColor="text1" w:themeTint="F2"/>
          <w:sz w:val="20"/>
          <w:szCs w:val="20"/>
        </w:rPr>
        <w:t xml:space="preserve"> and partners agencies involved in immunization, Rostropovich- </w:t>
      </w:r>
      <w:proofErr w:type="spellStart"/>
      <w:r w:rsidRPr="00661C9B">
        <w:rPr>
          <w:rFonts w:ascii="Arial" w:eastAsia="Arial" w:hAnsi="Arial" w:cs="Arial"/>
          <w:bCs/>
          <w:color w:val="0D0D0D" w:themeColor="text1" w:themeTint="F2"/>
          <w:sz w:val="20"/>
          <w:szCs w:val="20"/>
        </w:rPr>
        <w:t>Vishnevskaya</w:t>
      </w:r>
      <w:proofErr w:type="spellEnd"/>
      <w:r w:rsidRPr="00661C9B">
        <w:rPr>
          <w:rFonts w:ascii="Arial" w:eastAsia="Arial" w:hAnsi="Arial" w:cs="Arial"/>
          <w:bCs/>
          <w:color w:val="0D0D0D" w:themeColor="text1" w:themeTint="F2"/>
          <w:sz w:val="20"/>
          <w:szCs w:val="20"/>
        </w:rPr>
        <w:t xml:space="preserve"> Foundation, UNICEF, WHO.</w:t>
      </w:r>
      <w:r>
        <w:rPr>
          <w:rFonts w:ascii="Arial" w:eastAsia="Arial" w:hAnsi="Arial" w:cs="Arial"/>
          <w:bCs/>
          <w:color w:val="0D0D0D" w:themeColor="text1" w:themeTint="F2"/>
          <w:sz w:val="20"/>
          <w:szCs w:val="20"/>
        </w:rPr>
        <w:t xml:space="preserve"> CCM WG has regular meetings, scheduled quarterly based and for vaccine introduction</w:t>
      </w:r>
      <w:r w:rsidR="007845C3">
        <w:rPr>
          <w:rFonts w:ascii="Arial" w:eastAsia="Arial" w:hAnsi="Arial" w:cs="Arial"/>
          <w:bCs/>
          <w:color w:val="0D0D0D" w:themeColor="text1" w:themeTint="F2"/>
          <w:sz w:val="20"/>
          <w:szCs w:val="20"/>
        </w:rPr>
        <w:t xml:space="preserve"> also several ad hoc meetings conducted to address needs and support timely completion of preparation process. Most recent experience with PCV introduction proved that CCM WG on immunization effectively coordinates preparation process and required flexibility is ensured in terms of frequency of meetings and participation of additional agencies, which are not core members of WG, but represented in CCM Board in Azerbaijan. International missions on immunization also invited to CCM WG meeting to present their vision and results, a</w:t>
      </w:r>
      <w:r w:rsidR="00AD66FF">
        <w:rPr>
          <w:rFonts w:ascii="Arial" w:eastAsia="Arial" w:hAnsi="Arial" w:cs="Arial"/>
          <w:bCs/>
          <w:color w:val="0D0D0D" w:themeColor="text1" w:themeTint="F2"/>
          <w:sz w:val="20"/>
          <w:szCs w:val="20"/>
        </w:rPr>
        <w:t>s well as missions’</w:t>
      </w:r>
      <w:r w:rsidR="007845C3">
        <w:rPr>
          <w:rFonts w:ascii="Arial" w:eastAsia="Arial" w:hAnsi="Arial" w:cs="Arial"/>
          <w:bCs/>
          <w:color w:val="0D0D0D" w:themeColor="text1" w:themeTint="F2"/>
          <w:sz w:val="20"/>
          <w:szCs w:val="20"/>
        </w:rPr>
        <w:t xml:space="preserve"> report</w:t>
      </w:r>
      <w:r w:rsidR="00AD66FF">
        <w:rPr>
          <w:rFonts w:ascii="Arial" w:eastAsia="Arial" w:hAnsi="Arial" w:cs="Arial"/>
          <w:bCs/>
          <w:color w:val="0D0D0D" w:themeColor="text1" w:themeTint="F2"/>
          <w:sz w:val="20"/>
          <w:szCs w:val="20"/>
        </w:rPr>
        <w:t xml:space="preserve">s further included in briefs provided for WG by responsible agencies. Particularly during 2013 several missions participated in CCM WG meeting: Immunization data quality assessment mission, GAVI </w:t>
      </w:r>
      <w:r w:rsidR="00AD66FF" w:rsidRPr="00AD66FF">
        <w:rPr>
          <w:rFonts w:ascii="Arial" w:eastAsia="Arial" w:hAnsi="Arial" w:cs="Arial"/>
          <w:bCs/>
          <w:color w:val="0D0D0D" w:themeColor="text1" w:themeTint="F2"/>
          <w:sz w:val="20"/>
          <w:szCs w:val="20"/>
        </w:rPr>
        <w:t>graduating country assessment</w:t>
      </w:r>
      <w:r w:rsidR="00AD66FF">
        <w:rPr>
          <w:rFonts w:ascii="Arial" w:eastAsia="Arial" w:hAnsi="Arial" w:cs="Arial"/>
          <w:bCs/>
          <w:color w:val="0D0D0D" w:themeColor="text1" w:themeTint="F2"/>
          <w:sz w:val="20"/>
          <w:szCs w:val="20"/>
        </w:rPr>
        <w:t xml:space="preserve"> mission and PCV communication consultancy mission. Also briefs on preparation to PCV10 programmatic readiness assessment and results were provided by </w:t>
      </w:r>
      <w:proofErr w:type="gramStart"/>
      <w:r w:rsidR="00AD66FF">
        <w:rPr>
          <w:rFonts w:ascii="Arial" w:eastAsia="Arial" w:hAnsi="Arial" w:cs="Arial"/>
          <w:bCs/>
          <w:color w:val="0D0D0D" w:themeColor="text1" w:themeTint="F2"/>
          <w:sz w:val="20"/>
          <w:szCs w:val="20"/>
        </w:rPr>
        <w:t>WHO</w:t>
      </w:r>
      <w:proofErr w:type="gramEnd"/>
      <w:r w:rsidR="00AD66FF">
        <w:rPr>
          <w:rFonts w:ascii="Arial" w:eastAsia="Arial" w:hAnsi="Arial" w:cs="Arial"/>
          <w:bCs/>
          <w:color w:val="0D0D0D" w:themeColor="text1" w:themeTint="F2"/>
          <w:sz w:val="20"/>
          <w:szCs w:val="20"/>
        </w:rPr>
        <w:t>.  CCM WG recommendations and meetings minutes field by CCM Secretariat and further submitted to CCM Board in Azerbaijan in order to ensure implementation at country level.</w:t>
      </w:r>
    </w:p>
    <w:p w:rsidR="00AD66FF" w:rsidRDefault="00AD66FF" w:rsidP="00640EF3">
      <w:pPr>
        <w:spacing w:after="0" w:line="240" w:lineRule="auto"/>
        <w:contextualSpacing/>
        <w:jc w:val="both"/>
        <w:rPr>
          <w:rFonts w:ascii="Arial" w:eastAsia="Arial" w:hAnsi="Arial" w:cs="Arial"/>
          <w:bCs/>
          <w:color w:val="0D0D0D" w:themeColor="text1" w:themeTint="F2"/>
          <w:sz w:val="20"/>
          <w:szCs w:val="20"/>
        </w:rPr>
      </w:pPr>
    </w:p>
    <w:p w:rsidR="00AD66FF" w:rsidRDefault="00AD66FF" w:rsidP="00640EF3">
      <w:pPr>
        <w:spacing w:after="0" w:line="240" w:lineRule="auto"/>
        <w:contextualSpacing/>
        <w:jc w:val="both"/>
        <w:rPr>
          <w:rFonts w:ascii="Arial" w:eastAsia="Arial" w:hAnsi="Arial" w:cs="Arial"/>
          <w:bCs/>
          <w:color w:val="0D0D0D" w:themeColor="text1" w:themeTint="F2"/>
          <w:sz w:val="20"/>
          <w:szCs w:val="20"/>
        </w:rPr>
      </w:pPr>
      <w:r>
        <w:rPr>
          <w:rFonts w:ascii="Arial" w:eastAsia="Arial" w:hAnsi="Arial" w:cs="Arial"/>
          <w:bCs/>
          <w:color w:val="0D0D0D" w:themeColor="text1" w:themeTint="F2"/>
          <w:sz w:val="20"/>
          <w:szCs w:val="20"/>
        </w:rPr>
        <w:t>Current IPV introduction plan and application to GAVI A</w:t>
      </w:r>
      <w:r w:rsidR="00282A93">
        <w:rPr>
          <w:rFonts w:ascii="Arial" w:eastAsia="Arial" w:hAnsi="Arial" w:cs="Arial"/>
          <w:bCs/>
          <w:color w:val="0D0D0D" w:themeColor="text1" w:themeTint="F2"/>
          <w:sz w:val="20"/>
          <w:szCs w:val="20"/>
        </w:rPr>
        <w:t xml:space="preserve">lliance </w:t>
      </w:r>
      <w:r>
        <w:rPr>
          <w:rFonts w:ascii="Arial" w:eastAsia="Arial" w:hAnsi="Arial" w:cs="Arial"/>
          <w:bCs/>
          <w:color w:val="0D0D0D" w:themeColor="text1" w:themeTint="F2"/>
          <w:sz w:val="20"/>
          <w:szCs w:val="20"/>
        </w:rPr>
        <w:t xml:space="preserve">have been discussed and approved by CCM WG on Immunization. </w:t>
      </w:r>
      <w:r w:rsidR="00824767">
        <w:rPr>
          <w:rFonts w:ascii="Arial" w:eastAsia="Arial" w:hAnsi="Arial" w:cs="Arial"/>
          <w:bCs/>
          <w:color w:val="0D0D0D" w:themeColor="text1" w:themeTint="F2"/>
          <w:sz w:val="20"/>
          <w:szCs w:val="20"/>
        </w:rPr>
        <w:t>The experience in coordination of PCV10 introduction and lesson learnt will be applied for IPV introduction as well.</w:t>
      </w:r>
    </w:p>
    <w:p w:rsidR="008B76C7" w:rsidRPr="00824767" w:rsidRDefault="008B76C7" w:rsidP="00824767">
      <w:pPr>
        <w:pStyle w:val="ListParagraph"/>
        <w:numPr>
          <w:ilvl w:val="1"/>
          <w:numId w:val="26"/>
        </w:numPr>
        <w:spacing w:after="0" w:line="240" w:lineRule="auto"/>
        <w:jc w:val="both"/>
        <w:rPr>
          <w:rFonts w:ascii="Arial" w:eastAsia="Arial" w:hAnsi="Arial" w:cs="Arial"/>
          <w:b/>
          <w:bCs/>
          <w:color w:val="0D0D0D" w:themeColor="text1" w:themeTint="F2"/>
          <w:sz w:val="20"/>
          <w:szCs w:val="20"/>
        </w:rPr>
      </w:pPr>
      <w:r w:rsidRPr="00824767">
        <w:rPr>
          <w:rFonts w:ascii="Arial" w:eastAsia="Arial" w:hAnsi="Arial" w:cs="Arial"/>
          <w:b/>
          <w:bCs/>
          <w:color w:val="0D0D0D" w:themeColor="text1" w:themeTint="F2"/>
          <w:sz w:val="20"/>
          <w:szCs w:val="20"/>
        </w:rPr>
        <w:lastRenderedPageBreak/>
        <w:t xml:space="preserve"> </w:t>
      </w:r>
      <w:r w:rsidRPr="00824767">
        <w:rPr>
          <w:rFonts w:ascii="Arial" w:eastAsia="Arial" w:hAnsi="Arial" w:cs="Arial"/>
          <w:bCs/>
          <w:color w:val="0D0D0D" w:themeColor="text1" w:themeTint="F2"/>
          <w:sz w:val="20"/>
          <w:szCs w:val="20"/>
        </w:rPr>
        <w:t>Planning for procurement and distribution of vaccine</w:t>
      </w:r>
    </w:p>
    <w:p w:rsidR="008B76C7" w:rsidRPr="008B76C7" w:rsidRDefault="008B76C7" w:rsidP="008B76C7">
      <w:pPr>
        <w:spacing w:after="0" w:line="240" w:lineRule="auto"/>
        <w:ind w:left="86"/>
        <w:jc w:val="both"/>
        <w:rPr>
          <w:rFonts w:ascii="Arial" w:eastAsia="Arial" w:hAnsi="Arial" w:cs="Arial"/>
          <w:b/>
          <w:color w:val="0D0D0D" w:themeColor="text1" w:themeTint="F2"/>
        </w:rPr>
      </w:pPr>
    </w:p>
    <w:p w:rsidR="009850DA" w:rsidRDefault="00824767" w:rsidP="00824767">
      <w:pPr>
        <w:spacing w:after="180" w:line="240" w:lineRule="auto"/>
        <w:jc w:val="both"/>
        <w:rPr>
          <w:rFonts w:ascii="Arial" w:eastAsia="Arial" w:hAnsi="Arial" w:cs="Arial"/>
          <w:color w:val="0D0D0D" w:themeColor="text1" w:themeTint="F2"/>
          <w:sz w:val="20"/>
          <w:szCs w:val="20"/>
        </w:rPr>
      </w:pPr>
      <w:r w:rsidRPr="00824767">
        <w:rPr>
          <w:rFonts w:ascii="Arial" w:eastAsia="Arial" w:hAnsi="Arial" w:cs="Arial"/>
          <w:color w:val="0D0D0D" w:themeColor="text1" w:themeTint="F2"/>
          <w:sz w:val="20"/>
          <w:szCs w:val="20"/>
        </w:rPr>
        <w:t xml:space="preserve">There are few IPV combined vaccines registered by Center of Analytical </w:t>
      </w:r>
      <w:r w:rsidR="009850DA">
        <w:rPr>
          <w:rFonts w:ascii="Arial" w:eastAsia="Arial" w:hAnsi="Arial" w:cs="Arial"/>
          <w:color w:val="0D0D0D" w:themeColor="text1" w:themeTint="F2"/>
          <w:sz w:val="20"/>
          <w:szCs w:val="20"/>
        </w:rPr>
        <w:t>E</w:t>
      </w:r>
      <w:r w:rsidRPr="00824767">
        <w:rPr>
          <w:rFonts w:ascii="Arial" w:eastAsia="Arial" w:hAnsi="Arial" w:cs="Arial"/>
          <w:color w:val="0D0D0D" w:themeColor="text1" w:themeTint="F2"/>
          <w:sz w:val="20"/>
          <w:szCs w:val="20"/>
        </w:rPr>
        <w:t>xpertise of Medicines</w:t>
      </w:r>
      <w:r>
        <w:rPr>
          <w:rFonts w:ascii="Arial" w:eastAsia="Arial" w:hAnsi="Arial" w:cs="Arial"/>
          <w:color w:val="0D0D0D" w:themeColor="text1" w:themeTint="F2"/>
          <w:sz w:val="20"/>
          <w:szCs w:val="20"/>
        </w:rPr>
        <w:t xml:space="preserve"> (NRA)</w:t>
      </w:r>
      <w:r w:rsidRPr="00824767">
        <w:rPr>
          <w:rFonts w:ascii="Arial" w:eastAsia="Arial" w:hAnsi="Arial" w:cs="Arial"/>
          <w:color w:val="0D0D0D" w:themeColor="text1" w:themeTint="F2"/>
          <w:sz w:val="20"/>
          <w:szCs w:val="20"/>
        </w:rPr>
        <w:t xml:space="preserve"> for use in Azerbaijan and all of them used in private sector.</w:t>
      </w:r>
      <w:r>
        <w:rPr>
          <w:rFonts w:ascii="Arial" w:eastAsia="Arial" w:hAnsi="Arial" w:cs="Arial"/>
          <w:b/>
          <w:color w:val="0D0D0D" w:themeColor="text1" w:themeTint="F2"/>
        </w:rPr>
        <w:t xml:space="preserve"> </w:t>
      </w:r>
      <w:r w:rsidRPr="00824767">
        <w:rPr>
          <w:rFonts w:ascii="Arial" w:eastAsia="Arial" w:hAnsi="Arial" w:cs="Arial"/>
          <w:color w:val="0D0D0D" w:themeColor="text1" w:themeTint="F2"/>
          <w:sz w:val="20"/>
          <w:szCs w:val="20"/>
        </w:rPr>
        <w:t xml:space="preserve">At the present time no standalone IPV vaccine registered by NRA. </w:t>
      </w:r>
      <w:r w:rsidR="009850DA" w:rsidRPr="009850DA">
        <w:rPr>
          <w:rFonts w:ascii="Arial" w:eastAsia="Arial" w:hAnsi="Arial" w:cs="Arial"/>
          <w:color w:val="0D0D0D" w:themeColor="text1" w:themeTint="F2"/>
          <w:sz w:val="20"/>
          <w:szCs w:val="20"/>
        </w:rPr>
        <w:t xml:space="preserve">Ministry of Health approved introduction WHO prequalified standalone single dose vial IPV, which will be imported to country using waiver/exception procedure available </w:t>
      </w:r>
      <w:r w:rsidR="009850DA">
        <w:rPr>
          <w:rFonts w:ascii="Arial" w:eastAsia="Arial" w:hAnsi="Arial" w:cs="Arial"/>
          <w:color w:val="0D0D0D" w:themeColor="text1" w:themeTint="F2"/>
          <w:sz w:val="20"/>
          <w:szCs w:val="20"/>
        </w:rPr>
        <w:t>in</w:t>
      </w:r>
      <w:r w:rsidR="009850DA" w:rsidRPr="009850DA">
        <w:rPr>
          <w:rFonts w:ascii="Arial" w:eastAsia="Arial" w:hAnsi="Arial" w:cs="Arial"/>
          <w:color w:val="0D0D0D" w:themeColor="text1" w:themeTint="F2"/>
          <w:sz w:val="20"/>
          <w:szCs w:val="20"/>
        </w:rPr>
        <w:t xml:space="preserve"> the </w:t>
      </w:r>
      <w:r w:rsidR="009850DA">
        <w:rPr>
          <w:rFonts w:ascii="Arial" w:eastAsia="Arial" w:hAnsi="Arial" w:cs="Arial"/>
          <w:color w:val="0D0D0D" w:themeColor="text1" w:themeTint="F2"/>
          <w:sz w:val="20"/>
          <w:szCs w:val="20"/>
        </w:rPr>
        <w:t xml:space="preserve">law on medicines </w:t>
      </w:r>
      <w:r w:rsidR="009850DA" w:rsidRPr="009850DA">
        <w:rPr>
          <w:rFonts w:ascii="Arial" w:eastAsia="Arial" w:hAnsi="Arial" w:cs="Arial"/>
          <w:color w:val="0D0D0D" w:themeColor="text1" w:themeTint="F2"/>
          <w:sz w:val="20"/>
          <w:szCs w:val="20"/>
        </w:rPr>
        <w:t xml:space="preserve"> on supply of WHO prequalified vaccines without registration if epidemiologically required or in case of public health emergency</w:t>
      </w:r>
      <w:r w:rsidR="009850DA">
        <w:rPr>
          <w:rFonts w:ascii="Arial" w:eastAsia="Arial" w:hAnsi="Arial" w:cs="Arial"/>
          <w:color w:val="0D0D0D" w:themeColor="text1" w:themeTint="F2"/>
          <w:sz w:val="20"/>
          <w:szCs w:val="20"/>
        </w:rPr>
        <w:t>. Country has had the experience on use of this procedure including</w:t>
      </w:r>
      <w:r w:rsidR="009850DA" w:rsidRPr="009850DA">
        <w:rPr>
          <w:rFonts w:ascii="Arial" w:eastAsia="Arial" w:hAnsi="Arial" w:cs="Arial"/>
          <w:color w:val="0D0D0D" w:themeColor="text1" w:themeTint="F2"/>
          <w:sz w:val="20"/>
          <w:szCs w:val="20"/>
        </w:rPr>
        <w:t xml:space="preserve"> </w:t>
      </w:r>
      <w:proofErr w:type="spellStart"/>
      <w:r w:rsidR="009850DA" w:rsidRPr="009850DA">
        <w:rPr>
          <w:rFonts w:ascii="Arial" w:eastAsia="Arial" w:hAnsi="Arial" w:cs="Arial"/>
          <w:color w:val="0D0D0D" w:themeColor="text1" w:themeTint="F2"/>
          <w:sz w:val="20"/>
          <w:szCs w:val="20"/>
        </w:rPr>
        <w:t>Hib</w:t>
      </w:r>
      <w:proofErr w:type="spellEnd"/>
      <w:r w:rsidR="009850DA" w:rsidRPr="009850DA">
        <w:rPr>
          <w:rFonts w:ascii="Arial" w:eastAsia="Arial" w:hAnsi="Arial" w:cs="Arial"/>
          <w:color w:val="0D0D0D" w:themeColor="text1" w:themeTint="F2"/>
          <w:sz w:val="20"/>
          <w:szCs w:val="20"/>
        </w:rPr>
        <w:t xml:space="preserve">- </w:t>
      </w:r>
      <w:proofErr w:type="spellStart"/>
      <w:r w:rsidR="009850DA" w:rsidRPr="009850DA">
        <w:rPr>
          <w:rFonts w:ascii="Arial" w:eastAsia="Arial" w:hAnsi="Arial" w:cs="Arial"/>
          <w:color w:val="0D0D0D" w:themeColor="text1" w:themeTint="F2"/>
          <w:sz w:val="20"/>
          <w:szCs w:val="20"/>
        </w:rPr>
        <w:t>penta</w:t>
      </w:r>
      <w:proofErr w:type="spellEnd"/>
      <w:r w:rsidR="009850DA" w:rsidRPr="009850DA">
        <w:rPr>
          <w:rFonts w:ascii="Arial" w:eastAsia="Arial" w:hAnsi="Arial" w:cs="Arial"/>
          <w:color w:val="0D0D0D" w:themeColor="text1" w:themeTint="F2"/>
          <w:sz w:val="20"/>
          <w:szCs w:val="20"/>
        </w:rPr>
        <w:t xml:space="preserve"> vaccine introduction, pandemic influenza vaccine supply as well as for</w:t>
      </w:r>
      <w:r w:rsidR="009850DA">
        <w:rPr>
          <w:rFonts w:ascii="Arial" w:eastAsia="Arial" w:hAnsi="Arial" w:cs="Arial"/>
          <w:color w:val="0D0D0D" w:themeColor="text1" w:themeTint="F2"/>
          <w:sz w:val="20"/>
          <w:szCs w:val="20"/>
        </w:rPr>
        <w:t xml:space="preserve"> procurement of few</w:t>
      </w:r>
      <w:r w:rsidR="009850DA" w:rsidRPr="009850DA">
        <w:rPr>
          <w:rFonts w:ascii="Arial" w:eastAsia="Arial" w:hAnsi="Arial" w:cs="Arial"/>
          <w:color w:val="0D0D0D" w:themeColor="text1" w:themeTint="F2"/>
          <w:sz w:val="20"/>
          <w:szCs w:val="20"/>
        </w:rPr>
        <w:t xml:space="preserve"> </w:t>
      </w:r>
      <w:r w:rsidR="009850DA">
        <w:rPr>
          <w:rFonts w:ascii="Arial" w:eastAsia="Arial" w:hAnsi="Arial" w:cs="Arial"/>
          <w:color w:val="0D0D0D" w:themeColor="text1" w:themeTint="F2"/>
          <w:sz w:val="20"/>
          <w:szCs w:val="20"/>
        </w:rPr>
        <w:t>routine</w:t>
      </w:r>
      <w:r w:rsidR="009850DA" w:rsidRPr="009850DA">
        <w:rPr>
          <w:rFonts w:ascii="Arial" w:eastAsia="Arial" w:hAnsi="Arial" w:cs="Arial"/>
          <w:color w:val="0D0D0D" w:themeColor="text1" w:themeTint="F2"/>
          <w:sz w:val="20"/>
          <w:szCs w:val="20"/>
        </w:rPr>
        <w:t xml:space="preserve"> vaccine for 2014.</w:t>
      </w:r>
      <w:r w:rsidR="009850DA">
        <w:rPr>
          <w:rFonts w:ascii="Arial" w:eastAsia="Arial" w:hAnsi="Arial" w:cs="Arial"/>
          <w:color w:val="0D0D0D" w:themeColor="text1" w:themeTint="F2"/>
          <w:sz w:val="20"/>
          <w:szCs w:val="20"/>
        </w:rPr>
        <w:t xml:space="preserve"> Further vaccine registration in country has to be initiated by producer through submitting </w:t>
      </w:r>
      <w:r w:rsidR="00C74159">
        <w:rPr>
          <w:rFonts w:ascii="Arial" w:eastAsia="Arial" w:hAnsi="Arial" w:cs="Arial"/>
          <w:color w:val="0D0D0D" w:themeColor="text1" w:themeTint="F2"/>
          <w:sz w:val="20"/>
          <w:szCs w:val="20"/>
        </w:rPr>
        <w:t xml:space="preserve">vaccine dossier to NRA, and according to procedure review of documents for registration requires up to 6 months. Detailed information on registration procedures is available on NRA website </w:t>
      </w:r>
      <w:hyperlink r:id="rId12" w:history="1">
        <w:r w:rsidR="00C74159" w:rsidRPr="00D30D63">
          <w:rPr>
            <w:rStyle w:val="Hyperlink"/>
            <w:rFonts w:ascii="Arial" w:eastAsia="Arial" w:hAnsi="Arial" w:cs="Arial"/>
            <w:sz w:val="20"/>
            <w:szCs w:val="20"/>
          </w:rPr>
          <w:t>http://www.pharma.az/</w:t>
        </w:r>
      </w:hyperlink>
      <w:r w:rsidR="00C74159">
        <w:rPr>
          <w:rFonts w:ascii="Arial" w:eastAsia="Arial" w:hAnsi="Arial" w:cs="Arial"/>
          <w:color w:val="0D0D0D" w:themeColor="text1" w:themeTint="F2"/>
          <w:sz w:val="20"/>
          <w:szCs w:val="20"/>
        </w:rPr>
        <w:t xml:space="preserve">. NRA has no established expedited review procedure for WHO prequalified vaccines, however training of staff on this procedure is included in NRA development Plan submitted for WHO review and support in 2013. </w:t>
      </w:r>
      <w:r w:rsidR="00F4019B">
        <w:rPr>
          <w:rFonts w:ascii="Arial" w:eastAsia="Arial" w:hAnsi="Arial" w:cs="Arial"/>
          <w:color w:val="0D0D0D" w:themeColor="text1" w:themeTint="F2"/>
          <w:sz w:val="20"/>
          <w:szCs w:val="20"/>
        </w:rPr>
        <w:t xml:space="preserve">By the end of 2014 </w:t>
      </w:r>
      <w:r w:rsidR="00C74159">
        <w:rPr>
          <w:rFonts w:ascii="Arial" w:eastAsia="Arial" w:hAnsi="Arial" w:cs="Arial"/>
          <w:color w:val="0D0D0D" w:themeColor="text1" w:themeTint="F2"/>
          <w:sz w:val="20"/>
          <w:szCs w:val="20"/>
        </w:rPr>
        <w:t>WHO EURO is planning to conduct Regional workshop for NRA</w:t>
      </w:r>
      <w:r w:rsidR="00F4019B">
        <w:rPr>
          <w:rFonts w:ascii="Arial" w:eastAsia="Arial" w:hAnsi="Arial" w:cs="Arial"/>
          <w:color w:val="0D0D0D" w:themeColor="text1" w:themeTint="F2"/>
          <w:sz w:val="20"/>
          <w:szCs w:val="20"/>
        </w:rPr>
        <w:t>s</w:t>
      </w:r>
      <w:r w:rsidR="00C74159">
        <w:rPr>
          <w:rFonts w:ascii="Arial" w:eastAsia="Arial" w:hAnsi="Arial" w:cs="Arial"/>
          <w:color w:val="0D0D0D" w:themeColor="text1" w:themeTint="F2"/>
          <w:sz w:val="20"/>
          <w:szCs w:val="20"/>
        </w:rPr>
        <w:t xml:space="preserve"> on </w:t>
      </w:r>
      <w:r w:rsidR="00F4019B">
        <w:rPr>
          <w:rFonts w:ascii="Arial" w:eastAsia="Arial" w:hAnsi="Arial" w:cs="Arial"/>
          <w:color w:val="0D0D0D" w:themeColor="text1" w:themeTint="F2"/>
          <w:sz w:val="20"/>
          <w:szCs w:val="20"/>
        </w:rPr>
        <w:t>e</w:t>
      </w:r>
      <w:r w:rsidR="00C74159">
        <w:rPr>
          <w:rFonts w:ascii="Arial" w:eastAsia="Arial" w:hAnsi="Arial" w:cs="Arial"/>
          <w:color w:val="0D0D0D" w:themeColor="text1" w:themeTint="F2"/>
          <w:sz w:val="20"/>
          <w:szCs w:val="20"/>
        </w:rPr>
        <w:t>xpedited review for WHO prequalified vaccines</w:t>
      </w:r>
      <w:r w:rsidR="00F4019B">
        <w:rPr>
          <w:rFonts w:ascii="Arial" w:eastAsia="Arial" w:hAnsi="Arial" w:cs="Arial"/>
          <w:color w:val="0D0D0D" w:themeColor="text1" w:themeTint="F2"/>
          <w:sz w:val="20"/>
          <w:szCs w:val="20"/>
        </w:rPr>
        <w:t>.</w:t>
      </w:r>
      <w:r w:rsidR="00C74159">
        <w:rPr>
          <w:rFonts w:ascii="Arial" w:eastAsia="Arial" w:hAnsi="Arial" w:cs="Arial"/>
          <w:color w:val="0D0D0D" w:themeColor="text1" w:themeTint="F2"/>
          <w:sz w:val="20"/>
          <w:szCs w:val="20"/>
        </w:rPr>
        <w:t xml:space="preserve"> </w:t>
      </w:r>
      <w:r w:rsidR="00F4019B">
        <w:rPr>
          <w:rFonts w:ascii="Arial" w:eastAsia="Arial" w:hAnsi="Arial" w:cs="Arial"/>
          <w:color w:val="0D0D0D" w:themeColor="text1" w:themeTint="F2"/>
          <w:sz w:val="20"/>
          <w:szCs w:val="20"/>
        </w:rPr>
        <w:t>I</w:t>
      </w:r>
      <w:r w:rsidR="00C74159">
        <w:rPr>
          <w:rFonts w:ascii="Arial" w:eastAsia="Arial" w:hAnsi="Arial" w:cs="Arial"/>
          <w:color w:val="0D0D0D" w:themeColor="text1" w:themeTint="F2"/>
          <w:sz w:val="20"/>
          <w:szCs w:val="20"/>
        </w:rPr>
        <w:t xml:space="preserve">t is expected that upon participation on this workshop </w:t>
      </w:r>
      <w:r w:rsidR="00F4019B">
        <w:rPr>
          <w:rFonts w:ascii="Arial" w:eastAsia="Arial" w:hAnsi="Arial" w:cs="Arial"/>
          <w:color w:val="0D0D0D" w:themeColor="text1" w:themeTint="F2"/>
          <w:sz w:val="20"/>
          <w:szCs w:val="20"/>
        </w:rPr>
        <w:t>staff will obtain required knowledge and skills to work on incorporation this procedure in NRA functions.</w:t>
      </w:r>
    </w:p>
    <w:p w:rsidR="00F4019B" w:rsidRDefault="00F4019B" w:rsidP="00824767">
      <w:pPr>
        <w:spacing w:after="180" w:line="240" w:lineRule="auto"/>
        <w:jc w:val="both"/>
        <w:rPr>
          <w:rFonts w:ascii="Arial" w:eastAsia="Arial" w:hAnsi="Arial" w:cs="Arial"/>
          <w:color w:val="0D0D0D" w:themeColor="text1" w:themeTint="F2"/>
          <w:sz w:val="20"/>
          <w:szCs w:val="20"/>
        </w:rPr>
      </w:pPr>
      <w:r>
        <w:rPr>
          <w:rFonts w:ascii="Arial" w:eastAsia="Arial" w:hAnsi="Arial" w:cs="Arial"/>
          <w:color w:val="0D0D0D" w:themeColor="text1" w:themeTint="F2"/>
          <w:sz w:val="20"/>
          <w:szCs w:val="20"/>
        </w:rPr>
        <w:t xml:space="preserve">Since 2014 </w:t>
      </w:r>
      <w:r w:rsidR="00127AE0">
        <w:rPr>
          <w:rFonts w:ascii="Arial" w:eastAsia="Arial" w:hAnsi="Arial" w:cs="Arial"/>
          <w:color w:val="0D0D0D" w:themeColor="text1" w:themeTint="F2"/>
          <w:sz w:val="20"/>
          <w:szCs w:val="20"/>
        </w:rPr>
        <w:t>for routine EPI vaccines the Ministry of Health has switched</w:t>
      </w:r>
      <w:r>
        <w:rPr>
          <w:rFonts w:ascii="Arial" w:eastAsia="Arial" w:hAnsi="Arial" w:cs="Arial"/>
          <w:color w:val="0D0D0D" w:themeColor="text1" w:themeTint="F2"/>
          <w:sz w:val="20"/>
          <w:szCs w:val="20"/>
        </w:rPr>
        <w:t xml:space="preserve"> to </w:t>
      </w:r>
      <w:r w:rsidR="00127AE0">
        <w:rPr>
          <w:rFonts w:ascii="Arial" w:eastAsia="Arial" w:hAnsi="Arial" w:cs="Arial"/>
          <w:color w:val="0D0D0D" w:themeColor="text1" w:themeTint="F2"/>
          <w:sz w:val="20"/>
          <w:szCs w:val="20"/>
        </w:rPr>
        <w:t xml:space="preserve">procurement mode </w:t>
      </w:r>
      <w:r>
        <w:rPr>
          <w:rFonts w:ascii="Arial" w:eastAsia="Arial" w:hAnsi="Arial" w:cs="Arial"/>
          <w:color w:val="0D0D0D" w:themeColor="text1" w:themeTint="F2"/>
          <w:sz w:val="20"/>
          <w:szCs w:val="20"/>
        </w:rPr>
        <w:t>through UNICEF SD. Forecasting of routine vaccine for 2015 was conducted during week 8-12 September, and information on IPV needs was included</w:t>
      </w:r>
      <w:r w:rsidR="003D3C77">
        <w:rPr>
          <w:rFonts w:ascii="Arial" w:eastAsia="Arial" w:hAnsi="Arial" w:cs="Arial"/>
          <w:color w:val="0D0D0D" w:themeColor="text1" w:themeTint="F2"/>
          <w:sz w:val="20"/>
          <w:szCs w:val="20"/>
        </w:rPr>
        <w:t xml:space="preserve"> in the forecast to UNICEF SD</w:t>
      </w:r>
      <w:r>
        <w:rPr>
          <w:rFonts w:ascii="Arial" w:eastAsia="Arial" w:hAnsi="Arial" w:cs="Arial"/>
          <w:color w:val="0D0D0D" w:themeColor="text1" w:themeTint="F2"/>
          <w:sz w:val="20"/>
          <w:szCs w:val="20"/>
        </w:rPr>
        <w:t xml:space="preserve">. </w:t>
      </w:r>
      <w:r w:rsidR="003D3C77">
        <w:rPr>
          <w:rFonts w:ascii="Arial" w:eastAsia="Arial" w:hAnsi="Arial" w:cs="Arial"/>
          <w:color w:val="0D0D0D" w:themeColor="text1" w:themeTint="F2"/>
          <w:sz w:val="20"/>
          <w:szCs w:val="20"/>
        </w:rPr>
        <w:t>IPV vaccine and injection supply needs for 2015-2017 are shown in the table 8 below</w:t>
      </w:r>
    </w:p>
    <w:p w:rsidR="003D3C77" w:rsidRPr="003D3C77" w:rsidRDefault="003D3C77" w:rsidP="00824767">
      <w:pPr>
        <w:spacing w:after="180" w:line="240" w:lineRule="auto"/>
        <w:jc w:val="both"/>
        <w:rPr>
          <w:rFonts w:ascii="Arial" w:eastAsia="Arial" w:hAnsi="Arial" w:cs="Arial"/>
          <w:b/>
          <w:color w:val="0D0D0D" w:themeColor="text1" w:themeTint="F2"/>
          <w:sz w:val="20"/>
          <w:szCs w:val="20"/>
        </w:rPr>
      </w:pPr>
      <w:r>
        <w:rPr>
          <w:rFonts w:ascii="Arial" w:eastAsia="Arial" w:hAnsi="Arial" w:cs="Arial"/>
          <w:color w:val="0D0D0D" w:themeColor="text1" w:themeTint="F2"/>
          <w:sz w:val="20"/>
          <w:szCs w:val="20"/>
        </w:rPr>
        <w:t xml:space="preserve">               </w:t>
      </w:r>
      <w:proofErr w:type="gramStart"/>
      <w:r w:rsidRPr="003D3C77">
        <w:rPr>
          <w:rFonts w:ascii="Arial" w:eastAsia="Arial" w:hAnsi="Arial" w:cs="Arial"/>
          <w:b/>
          <w:color w:val="0D0D0D" w:themeColor="text1" w:themeTint="F2"/>
          <w:sz w:val="20"/>
          <w:szCs w:val="20"/>
        </w:rPr>
        <w:t>Table 8.</w:t>
      </w:r>
      <w:proofErr w:type="gramEnd"/>
      <w:r w:rsidRPr="003D3C77">
        <w:rPr>
          <w:rFonts w:ascii="Arial" w:eastAsia="Arial" w:hAnsi="Arial" w:cs="Arial"/>
          <w:b/>
          <w:color w:val="0D0D0D" w:themeColor="text1" w:themeTint="F2"/>
          <w:sz w:val="20"/>
          <w:szCs w:val="20"/>
        </w:rPr>
        <w:t xml:space="preserve"> Forecast of IPV and related injection supply for 2015- 2018</w:t>
      </w:r>
    </w:p>
    <w:tbl>
      <w:tblPr>
        <w:tblStyle w:val="TableGrid"/>
        <w:tblW w:w="0" w:type="auto"/>
        <w:tblLook w:val="04A0" w:firstRow="1" w:lastRow="0" w:firstColumn="1" w:lastColumn="0" w:noHBand="0" w:noVBand="1"/>
      </w:tblPr>
      <w:tblGrid>
        <w:gridCol w:w="2802"/>
        <w:gridCol w:w="1559"/>
        <w:gridCol w:w="1843"/>
        <w:gridCol w:w="1701"/>
        <w:gridCol w:w="1671"/>
      </w:tblGrid>
      <w:tr w:rsidR="00B07834" w:rsidTr="002B6293">
        <w:tc>
          <w:tcPr>
            <w:tcW w:w="2802" w:type="dxa"/>
          </w:tcPr>
          <w:p w:rsidR="00B07834" w:rsidRDefault="00127AE0" w:rsidP="00824767">
            <w:pPr>
              <w:spacing w:after="180"/>
              <w:jc w:val="both"/>
              <w:rPr>
                <w:rFonts w:ascii="Arial" w:eastAsia="Arial" w:hAnsi="Arial" w:cs="Arial"/>
                <w:color w:val="0D0D0D" w:themeColor="text1" w:themeTint="F2"/>
              </w:rPr>
            </w:pPr>
            <w:r>
              <w:rPr>
                <w:rFonts w:ascii="Arial" w:eastAsia="Arial" w:hAnsi="Arial" w:cs="Arial"/>
                <w:color w:val="0D0D0D" w:themeColor="text1" w:themeTint="F2"/>
              </w:rPr>
              <w:t>Products</w:t>
            </w:r>
          </w:p>
        </w:tc>
        <w:tc>
          <w:tcPr>
            <w:tcW w:w="1559" w:type="dxa"/>
          </w:tcPr>
          <w:p w:rsidR="00B07834" w:rsidRDefault="00127AE0" w:rsidP="00A845AA">
            <w:pPr>
              <w:spacing w:after="180"/>
              <w:jc w:val="center"/>
              <w:rPr>
                <w:rFonts w:ascii="Arial" w:eastAsia="Arial" w:hAnsi="Arial" w:cs="Arial"/>
                <w:color w:val="0D0D0D" w:themeColor="text1" w:themeTint="F2"/>
              </w:rPr>
            </w:pPr>
            <w:r>
              <w:rPr>
                <w:rFonts w:ascii="Arial" w:eastAsia="Arial" w:hAnsi="Arial" w:cs="Arial"/>
                <w:color w:val="0D0D0D" w:themeColor="text1" w:themeTint="F2"/>
              </w:rPr>
              <w:t>2015</w:t>
            </w:r>
          </w:p>
        </w:tc>
        <w:tc>
          <w:tcPr>
            <w:tcW w:w="1843" w:type="dxa"/>
          </w:tcPr>
          <w:p w:rsidR="00B07834" w:rsidRDefault="00127AE0" w:rsidP="00A845AA">
            <w:pPr>
              <w:spacing w:after="180"/>
              <w:jc w:val="center"/>
              <w:rPr>
                <w:rFonts w:ascii="Arial" w:eastAsia="Arial" w:hAnsi="Arial" w:cs="Arial"/>
                <w:color w:val="0D0D0D" w:themeColor="text1" w:themeTint="F2"/>
              </w:rPr>
            </w:pPr>
            <w:r>
              <w:rPr>
                <w:rFonts w:ascii="Arial" w:eastAsia="Arial" w:hAnsi="Arial" w:cs="Arial"/>
                <w:color w:val="0D0D0D" w:themeColor="text1" w:themeTint="F2"/>
              </w:rPr>
              <w:t>2016</w:t>
            </w:r>
          </w:p>
        </w:tc>
        <w:tc>
          <w:tcPr>
            <w:tcW w:w="1701" w:type="dxa"/>
          </w:tcPr>
          <w:p w:rsidR="00B07834" w:rsidRDefault="00127AE0" w:rsidP="00A845AA">
            <w:pPr>
              <w:spacing w:after="180"/>
              <w:jc w:val="center"/>
              <w:rPr>
                <w:rFonts w:ascii="Arial" w:eastAsia="Arial" w:hAnsi="Arial" w:cs="Arial"/>
                <w:color w:val="0D0D0D" w:themeColor="text1" w:themeTint="F2"/>
              </w:rPr>
            </w:pPr>
            <w:r>
              <w:rPr>
                <w:rFonts w:ascii="Arial" w:eastAsia="Arial" w:hAnsi="Arial" w:cs="Arial"/>
                <w:color w:val="0D0D0D" w:themeColor="text1" w:themeTint="F2"/>
              </w:rPr>
              <w:t>2017</w:t>
            </w:r>
          </w:p>
        </w:tc>
        <w:tc>
          <w:tcPr>
            <w:tcW w:w="1671" w:type="dxa"/>
          </w:tcPr>
          <w:p w:rsidR="00B07834" w:rsidRDefault="00127AE0" w:rsidP="00A845AA">
            <w:pPr>
              <w:spacing w:after="180"/>
              <w:jc w:val="center"/>
              <w:rPr>
                <w:rFonts w:ascii="Arial" w:eastAsia="Arial" w:hAnsi="Arial" w:cs="Arial"/>
                <w:color w:val="0D0D0D" w:themeColor="text1" w:themeTint="F2"/>
              </w:rPr>
            </w:pPr>
            <w:r>
              <w:rPr>
                <w:rFonts w:ascii="Arial" w:eastAsia="Arial" w:hAnsi="Arial" w:cs="Arial"/>
                <w:color w:val="0D0D0D" w:themeColor="text1" w:themeTint="F2"/>
              </w:rPr>
              <w:t>2018</w:t>
            </w:r>
          </w:p>
        </w:tc>
      </w:tr>
      <w:tr w:rsidR="00B07834" w:rsidTr="002B6293">
        <w:tc>
          <w:tcPr>
            <w:tcW w:w="2802" w:type="dxa"/>
          </w:tcPr>
          <w:p w:rsidR="00B07834" w:rsidRDefault="00127AE0" w:rsidP="00127AE0">
            <w:pPr>
              <w:spacing w:after="180"/>
              <w:jc w:val="both"/>
              <w:rPr>
                <w:rFonts w:ascii="Arial" w:eastAsia="Arial" w:hAnsi="Arial" w:cs="Arial"/>
                <w:color w:val="0D0D0D" w:themeColor="text1" w:themeTint="F2"/>
              </w:rPr>
            </w:pPr>
            <w:r>
              <w:rPr>
                <w:rFonts w:ascii="Arial" w:eastAsia="Arial" w:hAnsi="Arial" w:cs="Arial"/>
                <w:color w:val="0D0D0D" w:themeColor="text1" w:themeTint="F2"/>
              </w:rPr>
              <w:t>IPV, single dose vial</w:t>
            </w:r>
          </w:p>
        </w:tc>
        <w:tc>
          <w:tcPr>
            <w:tcW w:w="1559" w:type="dxa"/>
          </w:tcPr>
          <w:p w:rsidR="00B07834" w:rsidRDefault="00127AE0" w:rsidP="00824767">
            <w:pPr>
              <w:spacing w:after="180"/>
              <w:jc w:val="both"/>
              <w:rPr>
                <w:rFonts w:ascii="Arial" w:eastAsia="Arial" w:hAnsi="Arial" w:cs="Arial"/>
                <w:color w:val="0D0D0D" w:themeColor="text1" w:themeTint="F2"/>
              </w:rPr>
            </w:pPr>
            <w:r>
              <w:rPr>
                <w:rFonts w:ascii="Arial" w:eastAsia="Arial" w:hAnsi="Arial" w:cs="Arial"/>
                <w:color w:val="0D0D0D" w:themeColor="text1" w:themeTint="F2"/>
              </w:rPr>
              <w:t>80 308</w:t>
            </w:r>
          </w:p>
        </w:tc>
        <w:tc>
          <w:tcPr>
            <w:tcW w:w="1843" w:type="dxa"/>
          </w:tcPr>
          <w:p w:rsidR="00B07834" w:rsidRDefault="002B6293" w:rsidP="002B6293">
            <w:pPr>
              <w:spacing w:after="180"/>
              <w:jc w:val="center"/>
              <w:rPr>
                <w:rFonts w:ascii="Arial" w:eastAsia="Arial" w:hAnsi="Arial" w:cs="Arial"/>
                <w:color w:val="0D0D0D" w:themeColor="text1" w:themeTint="F2"/>
              </w:rPr>
            </w:pPr>
            <w:r w:rsidRPr="002B6293">
              <w:rPr>
                <w:rFonts w:ascii="Arial" w:eastAsia="Arial" w:hAnsi="Arial" w:cs="Arial"/>
                <w:color w:val="0D0D0D" w:themeColor="text1" w:themeTint="F2"/>
              </w:rPr>
              <w:t>161 299</w:t>
            </w:r>
          </w:p>
        </w:tc>
        <w:tc>
          <w:tcPr>
            <w:tcW w:w="1701" w:type="dxa"/>
          </w:tcPr>
          <w:p w:rsidR="00B07834" w:rsidRDefault="002B6293" w:rsidP="002B6293">
            <w:pPr>
              <w:spacing w:after="180"/>
              <w:jc w:val="center"/>
              <w:rPr>
                <w:rFonts w:ascii="Arial" w:eastAsia="Arial" w:hAnsi="Arial" w:cs="Arial"/>
                <w:color w:val="0D0D0D" w:themeColor="text1" w:themeTint="F2"/>
              </w:rPr>
            </w:pPr>
            <w:r>
              <w:rPr>
                <w:rFonts w:ascii="Arial" w:eastAsia="Arial" w:hAnsi="Arial" w:cs="Arial"/>
                <w:color w:val="0D0D0D" w:themeColor="text1" w:themeTint="F2"/>
              </w:rPr>
              <w:t>163 072</w:t>
            </w:r>
          </w:p>
        </w:tc>
        <w:tc>
          <w:tcPr>
            <w:tcW w:w="1671" w:type="dxa"/>
          </w:tcPr>
          <w:p w:rsidR="00B07834" w:rsidRDefault="002B6293" w:rsidP="002B6293">
            <w:pPr>
              <w:spacing w:after="180"/>
              <w:jc w:val="center"/>
              <w:rPr>
                <w:rFonts w:ascii="Arial" w:eastAsia="Arial" w:hAnsi="Arial" w:cs="Arial"/>
                <w:color w:val="0D0D0D" w:themeColor="text1" w:themeTint="F2"/>
              </w:rPr>
            </w:pPr>
            <w:r w:rsidRPr="002B6293">
              <w:rPr>
                <w:rFonts w:ascii="Arial" w:eastAsia="Arial" w:hAnsi="Arial" w:cs="Arial"/>
                <w:color w:val="0D0D0D" w:themeColor="text1" w:themeTint="F2"/>
              </w:rPr>
              <w:t>164 867</w:t>
            </w:r>
          </w:p>
        </w:tc>
      </w:tr>
      <w:tr w:rsidR="00B07834" w:rsidTr="002B6293">
        <w:tc>
          <w:tcPr>
            <w:tcW w:w="2802" w:type="dxa"/>
          </w:tcPr>
          <w:p w:rsidR="00B07834" w:rsidRDefault="00127AE0" w:rsidP="00127AE0">
            <w:pPr>
              <w:spacing w:after="180"/>
              <w:jc w:val="both"/>
              <w:rPr>
                <w:rFonts w:ascii="Arial" w:eastAsia="Arial" w:hAnsi="Arial" w:cs="Arial"/>
                <w:color w:val="0D0D0D" w:themeColor="text1" w:themeTint="F2"/>
              </w:rPr>
            </w:pPr>
            <w:r>
              <w:rPr>
                <w:rFonts w:ascii="Arial" w:eastAsia="Arial" w:hAnsi="Arial" w:cs="Arial"/>
                <w:color w:val="0D0D0D" w:themeColor="text1" w:themeTint="F2"/>
              </w:rPr>
              <w:t>Including wastage (rate 1.05)</w:t>
            </w:r>
          </w:p>
        </w:tc>
        <w:tc>
          <w:tcPr>
            <w:tcW w:w="1559" w:type="dxa"/>
          </w:tcPr>
          <w:p w:rsidR="00B07834" w:rsidRDefault="00127AE0" w:rsidP="00824767">
            <w:pPr>
              <w:spacing w:after="180"/>
              <w:jc w:val="both"/>
              <w:rPr>
                <w:rFonts w:ascii="Arial" w:eastAsia="Arial" w:hAnsi="Arial" w:cs="Arial"/>
                <w:color w:val="0D0D0D" w:themeColor="text1" w:themeTint="F2"/>
              </w:rPr>
            </w:pPr>
            <w:r>
              <w:rPr>
                <w:rFonts w:ascii="Arial" w:eastAsia="Arial" w:hAnsi="Arial" w:cs="Arial"/>
                <w:color w:val="0D0D0D" w:themeColor="text1" w:themeTint="F2"/>
              </w:rPr>
              <w:t>88 539</w:t>
            </w:r>
          </w:p>
        </w:tc>
        <w:tc>
          <w:tcPr>
            <w:tcW w:w="1843" w:type="dxa"/>
          </w:tcPr>
          <w:p w:rsidR="00B07834" w:rsidRDefault="002B6293" w:rsidP="002B6293">
            <w:pPr>
              <w:spacing w:after="180"/>
              <w:jc w:val="center"/>
              <w:rPr>
                <w:rFonts w:ascii="Arial" w:eastAsia="Arial" w:hAnsi="Arial" w:cs="Arial"/>
                <w:color w:val="0D0D0D" w:themeColor="text1" w:themeTint="F2"/>
              </w:rPr>
            </w:pPr>
            <w:r>
              <w:rPr>
                <w:rFonts w:ascii="Arial" w:eastAsia="Arial" w:hAnsi="Arial" w:cs="Arial"/>
                <w:color w:val="0D0D0D" w:themeColor="text1" w:themeTint="F2"/>
              </w:rPr>
              <w:t>169 363</w:t>
            </w:r>
          </w:p>
        </w:tc>
        <w:tc>
          <w:tcPr>
            <w:tcW w:w="1701" w:type="dxa"/>
          </w:tcPr>
          <w:p w:rsidR="00B07834" w:rsidRDefault="00BA5441" w:rsidP="00BA5441">
            <w:pPr>
              <w:tabs>
                <w:tab w:val="center" w:pos="742"/>
              </w:tabs>
              <w:spacing w:after="180"/>
              <w:jc w:val="both"/>
              <w:rPr>
                <w:rFonts w:ascii="Arial" w:eastAsia="Arial" w:hAnsi="Arial" w:cs="Arial"/>
                <w:color w:val="0D0D0D" w:themeColor="text1" w:themeTint="F2"/>
              </w:rPr>
            </w:pPr>
            <w:r>
              <w:rPr>
                <w:rFonts w:ascii="Arial" w:eastAsia="Arial" w:hAnsi="Arial" w:cs="Arial"/>
                <w:color w:val="0D0D0D" w:themeColor="text1" w:themeTint="F2"/>
              </w:rPr>
              <w:t xml:space="preserve"> </w:t>
            </w:r>
            <w:r>
              <w:rPr>
                <w:rFonts w:ascii="Arial" w:eastAsia="Arial" w:hAnsi="Arial" w:cs="Arial"/>
                <w:color w:val="0D0D0D" w:themeColor="text1" w:themeTint="F2"/>
              </w:rPr>
              <w:tab/>
              <w:t>171 225</w:t>
            </w:r>
          </w:p>
        </w:tc>
        <w:tc>
          <w:tcPr>
            <w:tcW w:w="1671" w:type="dxa"/>
          </w:tcPr>
          <w:p w:rsidR="00B07834" w:rsidRDefault="00BA5441" w:rsidP="00824767">
            <w:pPr>
              <w:spacing w:after="180"/>
              <w:jc w:val="both"/>
              <w:rPr>
                <w:rFonts w:ascii="Arial" w:eastAsia="Arial" w:hAnsi="Arial" w:cs="Arial"/>
                <w:color w:val="0D0D0D" w:themeColor="text1" w:themeTint="F2"/>
              </w:rPr>
            </w:pPr>
            <w:r>
              <w:rPr>
                <w:rFonts w:ascii="Arial" w:eastAsia="Arial" w:hAnsi="Arial" w:cs="Arial"/>
                <w:color w:val="0D0D0D" w:themeColor="text1" w:themeTint="F2"/>
              </w:rPr>
              <w:t xml:space="preserve">       173 110</w:t>
            </w:r>
          </w:p>
        </w:tc>
      </w:tr>
      <w:tr w:rsidR="00B07834" w:rsidTr="002B6293">
        <w:tc>
          <w:tcPr>
            <w:tcW w:w="2802" w:type="dxa"/>
          </w:tcPr>
          <w:p w:rsidR="00B07834" w:rsidRDefault="00127AE0" w:rsidP="00824767">
            <w:pPr>
              <w:spacing w:after="180"/>
              <w:jc w:val="both"/>
              <w:rPr>
                <w:rFonts w:ascii="Arial" w:eastAsia="Arial" w:hAnsi="Arial" w:cs="Arial"/>
                <w:color w:val="0D0D0D" w:themeColor="text1" w:themeTint="F2"/>
              </w:rPr>
            </w:pPr>
            <w:r>
              <w:rPr>
                <w:rFonts w:ascii="Arial" w:eastAsia="Arial" w:hAnsi="Arial" w:cs="Arial"/>
                <w:color w:val="0D0D0D" w:themeColor="text1" w:themeTint="F2"/>
              </w:rPr>
              <w:t>Vaccine buffer stock (25%)</w:t>
            </w:r>
          </w:p>
        </w:tc>
        <w:tc>
          <w:tcPr>
            <w:tcW w:w="1559" w:type="dxa"/>
          </w:tcPr>
          <w:p w:rsidR="00B07834" w:rsidRDefault="00127AE0" w:rsidP="00824767">
            <w:pPr>
              <w:spacing w:after="180"/>
              <w:jc w:val="both"/>
              <w:rPr>
                <w:rFonts w:ascii="Arial" w:eastAsia="Arial" w:hAnsi="Arial" w:cs="Arial"/>
                <w:color w:val="0D0D0D" w:themeColor="text1" w:themeTint="F2"/>
              </w:rPr>
            </w:pPr>
            <w:r>
              <w:rPr>
                <w:rFonts w:ascii="Arial" w:eastAsia="Arial" w:hAnsi="Arial" w:cs="Arial"/>
                <w:color w:val="0D0D0D" w:themeColor="text1" w:themeTint="F2"/>
              </w:rPr>
              <w:t>22 135</w:t>
            </w:r>
            <w:r w:rsidR="002B6293" w:rsidRPr="002B6293">
              <w:rPr>
                <w:rFonts w:ascii="Arial" w:eastAsia="Arial" w:hAnsi="Arial" w:cs="Arial"/>
                <w:color w:val="0D0D0D" w:themeColor="text1" w:themeTint="F2"/>
              </w:rPr>
              <w:t>*</w:t>
            </w:r>
          </w:p>
        </w:tc>
        <w:tc>
          <w:tcPr>
            <w:tcW w:w="1843" w:type="dxa"/>
          </w:tcPr>
          <w:p w:rsidR="00B07834" w:rsidRDefault="002B6293" w:rsidP="002B6293">
            <w:pPr>
              <w:spacing w:after="180"/>
              <w:jc w:val="both"/>
              <w:rPr>
                <w:rFonts w:ascii="Arial" w:eastAsia="Arial" w:hAnsi="Arial" w:cs="Arial"/>
                <w:color w:val="0D0D0D" w:themeColor="text1" w:themeTint="F2"/>
              </w:rPr>
            </w:pPr>
            <w:r>
              <w:rPr>
                <w:rFonts w:ascii="Arial" w:eastAsia="Arial" w:hAnsi="Arial" w:cs="Arial"/>
                <w:color w:val="0D0D0D" w:themeColor="text1" w:themeTint="F2"/>
              </w:rPr>
              <w:t xml:space="preserve">         20 205*   </w:t>
            </w:r>
          </w:p>
        </w:tc>
        <w:tc>
          <w:tcPr>
            <w:tcW w:w="1701" w:type="dxa"/>
          </w:tcPr>
          <w:p w:rsidR="00B07834" w:rsidRDefault="00BA5441" w:rsidP="00824767">
            <w:pPr>
              <w:spacing w:after="180"/>
              <w:jc w:val="both"/>
              <w:rPr>
                <w:rFonts w:ascii="Arial" w:eastAsia="Arial" w:hAnsi="Arial" w:cs="Arial"/>
                <w:color w:val="0D0D0D" w:themeColor="text1" w:themeTint="F2"/>
              </w:rPr>
            </w:pPr>
            <w:r>
              <w:rPr>
                <w:rFonts w:ascii="Arial" w:eastAsia="Arial" w:hAnsi="Arial" w:cs="Arial"/>
                <w:color w:val="0D0D0D" w:themeColor="text1" w:themeTint="F2"/>
              </w:rPr>
              <w:t xml:space="preserve">         NA</w:t>
            </w:r>
          </w:p>
        </w:tc>
        <w:tc>
          <w:tcPr>
            <w:tcW w:w="1671" w:type="dxa"/>
          </w:tcPr>
          <w:p w:rsidR="00B07834" w:rsidRDefault="00BA5441" w:rsidP="00824767">
            <w:pPr>
              <w:spacing w:after="180"/>
              <w:jc w:val="both"/>
              <w:rPr>
                <w:rFonts w:ascii="Arial" w:eastAsia="Arial" w:hAnsi="Arial" w:cs="Arial"/>
                <w:color w:val="0D0D0D" w:themeColor="text1" w:themeTint="F2"/>
              </w:rPr>
            </w:pPr>
            <w:r>
              <w:rPr>
                <w:rFonts w:ascii="Arial" w:eastAsia="Arial" w:hAnsi="Arial" w:cs="Arial"/>
                <w:color w:val="0D0D0D" w:themeColor="text1" w:themeTint="F2"/>
              </w:rPr>
              <w:t xml:space="preserve">           NA</w:t>
            </w:r>
          </w:p>
        </w:tc>
      </w:tr>
      <w:tr w:rsidR="00B07834" w:rsidTr="002B6293">
        <w:tc>
          <w:tcPr>
            <w:tcW w:w="2802" w:type="dxa"/>
          </w:tcPr>
          <w:p w:rsidR="00B07834" w:rsidRPr="00F2613F" w:rsidRDefault="00127AE0" w:rsidP="00824767">
            <w:pPr>
              <w:spacing w:after="180"/>
              <w:jc w:val="both"/>
              <w:rPr>
                <w:rFonts w:ascii="Arial" w:eastAsia="Arial" w:hAnsi="Arial" w:cs="Arial"/>
                <w:b/>
                <w:color w:val="0D0D0D" w:themeColor="text1" w:themeTint="F2"/>
              </w:rPr>
            </w:pPr>
            <w:r w:rsidRPr="00F2613F">
              <w:rPr>
                <w:rFonts w:ascii="Arial" w:eastAsia="Arial" w:hAnsi="Arial" w:cs="Arial"/>
                <w:b/>
                <w:color w:val="0D0D0D" w:themeColor="text1" w:themeTint="F2"/>
              </w:rPr>
              <w:t>Total IPV doses</w:t>
            </w:r>
          </w:p>
        </w:tc>
        <w:tc>
          <w:tcPr>
            <w:tcW w:w="1559" w:type="dxa"/>
          </w:tcPr>
          <w:p w:rsidR="00B07834" w:rsidRPr="00F2613F" w:rsidRDefault="00127AE0" w:rsidP="00824767">
            <w:pPr>
              <w:spacing w:after="180"/>
              <w:jc w:val="both"/>
              <w:rPr>
                <w:rFonts w:ascii="Arial" w:eastAsia="Arial" w:hAnsi="Arial" w:cs="Arial"/>
                <w:b/>
                <w:color w:val="0D0D0D" w:themeColor="text1" w:themeTint="F2"/>
              </w:rPr>
            </w:pPr>
            <w:r w:rsidRPr="00F2613F">
              <w:rPr>
                <w:rFonts w:ascii="Arial" w:eastAsia="Arial" w:hAnsi="Arial" w:cs="Arial"/>
                <w:b/>
                <w:color w:val="0D0D0D" w:themeColor="text1" w:themeTint="F2"/>
              </w:rPr>
              <w:t>110 674</w:t>
            </w:r>
          </w:p>
        </w:tc>
        <w:tc>
          <w:tcPr>
            <w:tcW w:w="1843" w:type="dxa"/>
          </w:tcPr>
          <w:p w:rsidR="00B07834" w:rsidRPr="00F2613F" w:rsidRDefault="002B6293" w:rsidP="00824767">
            <w:pPr>
              <w:spacing w:after="180"/>
              <w:jc w:val="both"/>
              <w:rPr>
                <w:rFonts w:ascii="Arial" w:eastAsia="Arial" w:hAnsi="Arial" w:cs="Arial"/>
                <w:b/>
                <w:color w:val="0D0D0D" w:themeColor="text1" w:themeTint="F2"/>
              </w:rPr>
            </w:pPr>
            <w:r>
              <w:rPr>
                <w:rFonts w:ascii="Arial" w:eastAsia="Arial" w:hAnsi="Arial" w:cs="Arial"/>
                <w:b/>
                <w:color w:val="0D0D0D" w:themeColor="text1" w:themeTint="F2"/>
              </w:rPr>
              <w:t xml:space="preserve">        189 568</w:t>
            </w:r>
          </w:p>
        </w:tc>
        <w:tc>
          <w:tcPr>
            <w:tcW w:w="1701" w:type="dxa"/>
          </w:tcPr>
          <w:p w:rsidR="00B07834" w:rsidRPr="00F2613F" w:rsidRDefault="00BA5441" w:rsidP="00824767">
            <w:pPr>
              <w:spacing w:after="180"/>
              <w:jc w:val="both"/>
              <w:rPr>
                <w:rFonts w:ascii="Arial" w:eastAsia="Arial" w:hAnsi="Arial" w:cs="Arial"/>
                <w:b/>
                <w:color w:val="0D0D0D" w:themeColor="text1" w:themeTint="F2"/>
              </w:rPr>
            </w:pPr>
            <w:r>
              <w:rPr>
                <w:rFonts w:ascii="Arial" w:eastAsia="Arial" w:hAnsi="Arial" w:cs="Arial"/>
                <w:b/>
                <w:color w:val="0D0D0D" w:themeColor="text1" w:themeTint="F2"/>
              </w:rPr>
              <w:t xml:space="preserve">       </w:t>
            </w:r>
            <w:r w:rsidRPr="00BA5441">
              <w:rPr>
                <w:rFonts w:ascii="Arial" w:eastAsia="Arial" w:hAnsi="Arial" w:cs="Arial"/>
                <w:b/>
                <w:color w:val="0D0D0D" w:themeColor="text1" w:themeTint="F2"/>
              </w:rPr>
              <w:t>171 225</w:t>
            </w:r>
          </w:p>
        </w:tc>
        <w:tc>
          <w:tcPr>
            <w:tcW w:w="1671" w:type="dxa"/>
          </w:tcPr>
          <w:p w:rsidR="00B07834" w:rsidRPr="00F2613F" w:rsidRDefault="00BA5441" w:rsidP="00824767">
            <w:pPr>
              <w:spacing w:after="180"/>
              <w:jc w:val="both"/>
              <w:rPr>
                <w:rFonts w:ascii="Arial" w:eastAsia="Arial" w:hAnsi="Arial" w:cs="Arial"/>
                <w:b/>
                <w:color w:val="0D0D0D" w:themeColor="text1" w:themeTint="F2"/>
              </w:rPr>
            </w:pPr>
            <w:r>
              <w:rPr>
                <w:rFonts w:ascii="Arial" w:eastAsia="Arial" w:hAnsi="Arial" w:cs="Arial"/>
                <w:b/>
                <w:color w:val="0D0D0D" w:themeColor="text1" w:themeTint="F2"/>
              </w:rPr>
              <w:t xml:space="preserve">      </w:t>
            </w:r>
            <w:r w:rsidRPr="00BA5441">
              <w:rPr>
                <w:rFonts w:ascii="Arial" w:eastAsia="Arial" w:hAnsi="Arial" w:cs="Arial"/>
                <w:b/>
                <w:color w:val="0D0D0D" w:themeColor="text1" w:themeTint="F2"/>
              </w:rPr>
              <w:t>173 110</w:t>
            </w:r>
          </w:p>
        </w:tc>
      </w:tr>
      <w:tr w:rsidR="00B07834" w:rsidTr="002B6293">
        <w:tc>
          <w:tcPr>
            <w:tcW w:w="2802" w:type="dxa"/>
          </w:tcPr>
          <w:p w:rsidR="00B07834" w:rsidRDefault="00127AE0" w:rsidP="00824767">
            <w:pPr>
              <w:spacing w:after="180"/>
              <w:jc w:val="both"/>
              <w:rPr>
                <w:rFonts w:ascii="Arial" w:eastAsia="Arial" w:hAnsi="Arial" w:cs="Arial"/>
                <w:color w:val="0D0D0D" w:themeColor="text1" w:themeTint="F2"/>
              </w:rPr>
            </w:pPr>
            <w:r>
              <w:rPr>
                <w:rFonts w:ascii="Arial" w:eastAsia="Arial" w:hAnsi="Arial" w:cs="Arial"/>
                <w:color w:val="0D0D0D" w:themeColor="text1" w:themeTint="F2"/>
              </w:rPr>
              <w:t xml:space="preserve">AD syringes </w:t>
            </w:r>
          </w:p>
        </w:tc>
        <w:tc>
          <w:tcPr>
            <w:tcW w:w="1559" w:type="dxa"/>
          </w:tcPr>
          <w:p w:rsidR="00B07834" w:rsidRDefault="00F2613F" w:rsidP="00824767">
            <w:pPr>
              <w:spacing w:after="180"/>
              <w:jc w:val="both"/>
              <w:rPr>
                <w:rFonts w:ascii="Arial" w:eastAsia="Arial" w:hAnsi="Arial" w:cs="Arial"/>
                <w:color w:val="0D0D0D" w:themeColor="text1" w:themeTint="F2"/>
              </w:rPr>
            </w:pPr>
            <w:r>
              <w:rPr>
                <w:rFonts w:ascii="Arial" w:eastAsia="Arial" w:hAnsi="Arial" w:cs="Arial"/>
                <w:color w:val="0D0D0D" w:themeColor="text1" w:themeTint="F2"/>
              </w:rPr>
              <w:t xml:space="preserve"> 80 308</w:t>
            </w:r>
          </w:p>
        </w:tc>
        <w:tc>
          <w:tcPr>
            <w:tcW w:w="1843" w:type="dxa"/>
          </w:tcPr>
          <w:p w:rsidR="00B07834" w:rsidRDefault="002B6293" w:rsidP="00824767">
            <w:pPr>
              <w:spacing w:after="180"/>
              <w:jc w:val="both"/>
              <w:rPr>
                <w:rFonts w:ascii="Arial" w:eastAsia="Arial" w:hAnsi="Arial" w:cs="Arial"/>
                <w:color w:val="0D0D0D" w:themeColor="text1" w:themeTint="F2"/>
              </w:rPr>
            </w:pPr>
            <w:r>
              <w:rPr>
                <w:rFonts w:ascii="Arial" w:eastAsia="Arial" w:hAnsi="Arial" w:cs="Arial"/>
                <w:color w:val="0D0D0D" w:themeColor="text1" w:themeTint="F2"/>
              </w:rPr>
              <w:t xml:space="preserve">        </w:t>
            </w:r>
            <w:r w:rsidRPr="002B6293">
              <w:rPr>
                <w:rFonts w:ascii="Arial" w:eastAsia="Arial" w:hAnsi="Arial" w:cs="Arial"/>
                <w:color w:val="0D0D0D" w:themeColor="text1" w:themeTint="F2"/>
              </w:rPr>
              <w:t>161 299</w:t>
            </w:r>
          </w:p>
        </w:tc>
        <w:tc>
          <w:tcPr>
            <w:tcW w:w="1701" w:type="dxa"/>
          </w:tcPr>
          <w:p w:rsidR="00B07834" w:rsidRDefault="00BA5441" w:rsidP="00824767">
            <w:pPr>
              <w:spacing w:after="180"/>
              <w:jc w:val="both"/>
              <w:rPr>
                <w:rFonts w:ascii="Arial" w:eastAsia="Arial" w:hAnsi="Arial" w:cs="Arial"/>
                <w:color w:val="0D0D0D" w:themeColor="text1" w:themeTint="F2"/>
              </w:rPr>
            </w:pPr>
            <w:r>
              <w:rPr>
                <w:rFonts w:ascii="Arial" w:eastAsia="Arial" w:hAnsi="Arial" w:cs="Arial"/>
                <w:color w:val="0D0D0D" w:themeColor="text1" w:themeTint="F2"/>
              </w:rPr>
              <w:t xml:space="preserve">       </w:t>
            </w:r>
            <w:r w:rsidRPr="00BA5441">
              <w:rPr>
                <w:rFonts w:ascii="Arial" w:eastAsia="Arial" w:hAnsi="Arial" w:cs="Arial"/>
                <w:color w:val="0D0D0D" w:themeColor="text1" w:themeTint="F2"/>
              </w:rPr>
              <w:t>163 072</w:t>
            </w:r>
          </w:p>
        </w:tc>
        <w:tc>
          <w:tcPr>
            <w:tcW w:w="1671" w:type="dxa"/>
          </w:tcPr>
          <w:p w:rsidR="00B07834" w:rsidRDefault="00BA5441" w:rsidP="00824767">
            <w:pPr>
              <w:spacing w:after="180"/>
              <w:jc w:val="both"/>
              <w:rPr>
                <w:rFonts w:ascii="Arial" w:eastAsia="Arial" w:hAnsi="Arial" w:cs="Arial"/>
                <w:color w:val="0D0D0D" w:themeColor="text1" w:themeTint="F2"/>
              </w:rPr>
            </w:pPr>
            <w:r>
              <w:rPr>
                <w:rFonts w:ascii="Arial" w:eastAsia="Arial" w:hAnsi="Arial" w:cs="Arial"/>
                <w:color w:val="0D0D0D" w:themeColor="text1" w:themeTint="F2"/>
              </w:rPr>
              <w:t xml:space="preserve">       </w:t>
            </w:r>
            <w:r w:rsidRPr="00BA5441">
              <w:rPr>
                <w:rFonts w:ascii="Arial" w:eastAsia="Arial" w:hAnsi="Arial" w:cs="Arial"/>
                <w:color w:val="0D0D0D" w:themeColor="text1" w:themeTint="F2"/>
              </w:rPr>
              <w:t>164 867</w:t>
            </w:r>
          </w:p>
        </w:tc>
      </w:tr>
      <w:tr w:rsidR="00B07834" w:rsidTr="002B6293">
        <w:tc>
          <w:tcPr>
            <w:tcW w:w="2802" w:type="dxa"/>
          </w:tcPr>
          <w:p w:rsidR="00B07834" w:rsidRDefault="00F2613F" w:rsidP="00F2613F">
            <w:pPr>
              <w:spacing w:after="180"/>
              <w:jc w:val="both"/>
              <w:rPr>
                <w:rFonts w:ascii="Arial" w:eastAsia="Arial" w:hAnsi="Arial" w:cs="Arial"/>
                <w:color w:val="0D0D0D" w:themeColor="text1" w:themeTint="F2"/>
              </w:rPr>
            </w:pPr>
            <w:r>
              <w:rPr>
                <w:rFonts w:ascii="Arial" w:eastAsia="Arial" w:hAnsi="Arial" w:cs="Arial"/>
                <w:color w:val="0D0D0D" w:themeColor="text1" w:themeTint="F2"/>
              </w:rPr>
              <w:t>Including wastage (rate 1.11)</w:t>
            </w:r>
          </w:p>
        </w:tc>
        <w:tc>
          <w:tcPr>
            <w:tcW w:w="1559" w:type="dxa"/>
          </w:tcPr>
          <w:p w:rsidR="00B07834" w:rsidRDefault="00F2613F" w:rsidP="00824767">
            <w:pPr>
              <w:spacing w:after="180"/>
              <w:jc w:val="both"/>
              <w:rPr>
                <w:rFonts w:ascii="Arial" w:eastAsia="Arial" w:hAnsi="Arial" w:cs="Arial"/>
                <w:color w:val="0D0D0D" w:themeColor="text1" w:themeTint="F2"/>
              </w:rPr>
            </w:pPr>
            <w:r>
              <w:rPr>
                <w:rFonts w:ascii="Arial" w:eastAsia="Arial" w:hAnsi="Arial" w:cs="Arial"/>
                <w:color w:val="0D0D0D" w:themeColor="text1" w:themeTint="F2"/>
              </w:rPr>
              <w:t xml:space="preserve"> 89 141</w:t>
            </w:r>
          </w:p>
        </w:tc>
        <w:tc>
          <w:tcPr>
            <w:tcW w:w="1843" w:type="dxa"/>
          </w:tcPr>
          <w:p w:rsidR="00B07834" w:rsidRDefault="002B6293" w:rsidP="00824767">
            <w:pPr>
              <w:spacing w:after="180"/>
              <w:jc w:val="both"/>
              <w:rPr>
                <w:rFonts w:ascii="Arial" w:eastAsia="Arial" w:hAnsi="Arial" w:cs="Arial"/>
                <w:color w:val="0D0D0D" w:themeColor="text1" w:themeTint="F2"/>
              </w:rPr>
            </w:pPr>
            <w:r>
              <w:rPr>
                <w:rFonts w:ascii="Arial" w:eastAsia="Arial" w:hAnsi="Arial" w:cs="Arial"/>
                <w:color w:val="0D0D0D" w:themeColor="text1" w:themeTint="F2"/>
              </w:rPr>
              <w:t xml:space="preserve">         179 041</w:t>
            </w:r>
          </w:p>
        </w:tc>
        <w:tc>
          <w:tcPr>
            <w:tcW w:w="1701" w:type="dxa"/>
          </w:tcPr>
          <w:p w:rsidR="00B07834" w:rsidRDefault="00BA5441" w:rsidP="00824767">
            <w:pPr>
              <w:spacing w:after="180"/>
              <w:jc w:val="both"/>
              <w:rPr>
                <w:rFonts w:ascii="Arial" w:eastAsia="Arial" w:hAnsi="Arial" w:cs="Arial"/>
                <w:color w:val="0D0D0D" w:themeColor="text1" w:themeTint="F2"/>
              </w:rPr>
            </w:pPr>
            <w:r>
              <w:rPr>
                <w:rFonts w:ascii="Arial" w:eastAsia="Arial" w:hAnsi="Arial" w:cs="Arial"/>
                <w:color w:val="0D0D0D" w:themeColor="text1" w:themeTint="F2"/>
              </w:rPr>
              <w:t xml:space="preserve">       181 009</w:t>
            </w:r>
          </w:p>
        </w:tc>
        <w:tc>
          <w:tcPr>
            <w:tcW w:w="1671" w:type="dxa"/>
          </w:tcPr>
          <w:p w:rsidR="00B07834" w:rsidRDefault="00BA5441" w:rsidP="00824767">
            <w:pPr>
              <w:spacing w:after="180"/>
              <w:jc w:val="both"/>
              <w:rPr>
                <w:rFonts w:ascii="Arial" w:eastAsia="Arial" w:hAnsi="Arial" w:cs="Arial"/>
                <w:color w:val="0D0D0D" w:themeColor="text1" w:themeTint="F2"/>
              </w:rPr>
            </w:pPr>
            <w:r>
              <w:rPr>
                <w:rFonts w:ascii="Arial" w:eastAsia="Arial" w:hAnsi="Arial" w:cs="Arial"/>
                <w:color w:val="0D0D0D" w:themeColor="text1" w:themeTint="F2"/>
              </w:rPr>
              <w:t xml:space="preserve">       183 002</w:t>
            </w:r>
          </w:p>
        </w:tc>
      </w:tr>
      <w:tr w:rsidR="00B07834" w:rsidTr="002B6293">
        <w:tc>
          <w:tcPr>
            <w:tcW w:w="2802" w:type="dxa"/>
          </w:tcPr>
          <w:p w:rsidR="00B07834" w:rsidRPr="00F2613F" w:rsidRDefault="00F2613F" w:rsidP="00824767">
            <w:pPr>
              <w:spacing w:after="180"/>
              <w:jc w:val="both"/>
              <w:rPr>
                <w:rFonts w:ascii="Arial" w:eastAsia="Arial" w:hAnsi="Arial" w:cs="Arial"/>
                <w:b/>
                <w:color w:val="0D0D0D" w:themeColor="text1" w:themeTint="F2"/>
              </w:rPr>
            </w:pPr>
            <w:r w:rsidRPr="00F2613F">
              <w:rPr>
                <w:rFonts w:ascii="Arial" w:eastAsia="Arial" w:hAnsi="Arial" w:cs="Arial"/>
                <w:b/>
                <w:color w:val="0D0D0D" w:themeColor="text1" w:themeTint="F2"/>
              </w:rPr>
              <w:t xml:space="preserve">Total AD syringes </w:t>
            </w:r>
          </w:p>
        </w:tc>
        <w:tc>
          <w:tcPr>
            <w:tcW w:w="1559" w:type="dxa"/>
          </w:tcPr>
          <w:p w:rsidR="00B07834" w:rsidRPr="00F2613F" w:rsidRDefault="00F2613F" w:rsidP="00824767">
            <w:pPr>
              <w:spacing w:after="180"/>
              <w:jc w:val="both"/>
              <w:rPr>
                <w:rFonts w:ascii="Arial" w:eastAsia="Arial" w:hAnsi="Arial" w:cs="Arial"/>
                <w:b/>
                <w:color w:val="0D0D0D" w:themeColor="text1" w:themeTint="F2"/>
              </w:rPr>
            </w:pPr>
            <w:r w:rsidRPr="00F2613F">
              <w:rPr>
                <w:rFonts w:ascii="Arial" w:eastAsia="Arial" w:hAnsi="Arial" w:cs="Arial"/>
                <w:b/>
                <w:color w:val="0D0D0D" w:themeColor="text1" w:themeTint="F2"/>
              </w:rPr>
              <w:t>89 141</w:t>
            </w:r>
          </w:p>
        </w:tc>
        <w:tc>
          <w:tcPr>
            <w:tcW w:w="1843" w:type="dxa"/>
          </w:tcPr>
          <w:p w:rsidR="00B07834" w:rsidRPr="00F2613F" w:rsidRDefault="00BA5441" w:rsidP="00824767">
            <w:pPr>
              <w:spacing w:after="180"/>
              <w:jc w:val="both"/>
              <w:rPr>
                <w:rFonts w:ascii="Arial" w:eastAsia="Arial" w:hAnsi="Arial" w:cs="Arial"/>
                <w:b/>
                <w:color w:val="0D0D0D" w:themeColor="text1" w:themeTint="F2"/>
              </w:rPr>
            </w:pPr>
            <w:r>
              <w:rPr>
                <w:rFonts w:ascii="Arial" w:eastAsia="Arial" w:hAnsi="Arial" w:cs="Arial"/>
                <w:b/>
                <w:color w:val="0D0D0D" w:themeColor="text1" w:themeTint="F2"/>
              </w:rPr>
              <w:t xml:space="preserve">         </w:t>
            </w:r>
            <w:r w:rsidRPr="00BA5441">
              <w:rPr>
                <w:rFonts w:ascii="Arial" w:eastAsia="Arial" w:hAnsi="Arial" w:cs="Arial"/>
                <w:b/>
                <w:color w:val="0D0D0D" w:themeColor="text1" w:themeTint="F2"/>
              </w:rPr>
              <w:t>179 041</w:t>
            </w:r>
          </w:p>
        </w:tc>
        <w:tc>
          <w:tcPr>
            <w:tcW w:w="1701" w:type="dxa"/>
          </w:tcPr>
          <w:p w:rsidR="00B07834" w:rsidRPr="00F2613F" w:rsidRDefault="00BA5441" w:rsidP="00824767">
            <w:pPr>
              <w:spacing w:after="180"/>
              <w:jc w:val="both"/>
              <w:rPr>
                <w:rFonts w:ascii="Arial" w:eastAsia="Arial" w:hAnsi="Arial" w:cs="Arial"/>
                <w:b/>
                <w:color w:val="0D0D0D" w:themeColor="text1" w:themeTint="F2"/>
              </w:rPr>
            </w:pPr>
            <w:r>
              <w:rPr>
                <w:rFonts w:ascii="Arial" w:eastAsia="Arial" w:hAnsi="Arial" w:cs="Arial"/>
                <w:b/>
                <w:color w:val="0D0D0D" w:themeColor="text1" w:themeTint="F2"/>
              </w:rPr>
              <w:t xml:space="preserve">       </w:t>
            </w:r>
            <w:r w:rsidRPr="00BA5441">
              <w:rPr>
                <w:rFonts w:ascii="Arial" w:eastAsia="Arial" w:hAnsi="Arial" w:cs="Arial"/>
                <w:b/>
                <w:color w:val="0D0D0D" w:themeColor="text1" w:themeTint="F2"/>
              </w:rPr>
              <w:t>181 009</w:t>
            </w:r>
          </w:p>
        </w:tc>
        <w:tc>
          <w:tcPr>
            <w:tcW w:w="1671" w:type="dxa"/>
          </w:tcPr>
          <w:p w:rsidR="00B07834" w:rsidRPr="00F2613F" w:rsidRDefault="00BA5441" w:rsidP="00BA5441">
            <w:pPr>
              <w:spacing w:after="180"/>
              <w:jc w:val="center"/>
              <w:rPr>
                <w:rFonts w:ascii="Arial" w:eastAsia="Arial" w:hAnsi="Arial" w:cs="Arial"/>
                <w:b/>
                <w:color w:val="0D0D0D" w:themeColor="text1" w:themeTint="F2"/>
              </w:rPr>
            </w:pPr>
            <w:r w:rsidRPr="00BA5441">
              <w:rPr>
                <w:rFonts w:ascii="Arial" w:eastAsia="Arial" w:hAnsi="Arial" w:cs="Arial"/>
                <w:b/>
                <w:color w:val="0D0D0D" w:themeColor="text1" w:themeTint="F2"/>
              </w:rPr>
              <w:t>183 002</w:t>
            </w:r>
          </w:p>
        </w:tc>
      </w:tr>
      <w:tr w:rsidR="00B07834" w:rsidTr="002B6293">
        <w:tc>
          <w:tcPr>
            <w:tcW w:w="2802" w:type="dxa"/>
          </w:tcPr>
          <w:p w:rsidR="00B07834" w:rsidRPr="00F2613F" w:rsidRDefault="00F2613F" w:rsidP="00F2613F">
            <w:pPr>
              <w:spacing w:after="180"/>
              <w:jc w:val="both"/>
              <w:rPr>
                <w:rFonts w:ascii="Arial" w:eastAsia="Arial" w:hAnsi="Arial" w:cs="Arial"/>
                <w:b/>
                <w:color w:val="0D0D0D" w:themeColor="text1" w:themeTint="F2"/>
              </w:rPr>
            </w:pPr>
            <w:r w:rsidRPr="00F2613F">
              <w:rPr>
                <w:rFonts w:ascii="Arial" w:eastAsia="Arial" w:hAnsi="Arial" w:cs="Arial"/>
                <w:b/>
                <w:color w:val="0D0D0D" w:themeColor="text1" w:themeTint="F2"/>
              </w:rPr>
              <w:t>Total Safety boxes</w:t>
            </w:r>
          </w:p>
        </w:tc>
        <w:tc>
          <w:tcPr>
            <w:tcW w:w="1559" w:type="dxa"/>
          </w:tcPr>
          <w:p w:rsidR="00B07834" w:rsidRPr="00F2613F" w:rsidRDefault="00F2613F" w:rsidP="00824767">
            <w:pPr>
              <w:spacing w:after="180"/>
              <w:jc w:val="both"/>
              <w:rPr>
                <w:rFonts w:ascii="Arial" w:eastAsia="Arial" w:hAnsi="Arial" w:cs="Arial"/>
                <w:b/>
                <w:color w:val="0D0D0D" w:themeColor="text1" w:themeTint="F2"/>
              </w:rPr>
            </w:pPr>
            <w:r w:rsidRPr="00F2613F">
              <w:rPr>
                <w:rFonts w:ascii="Arial" w:eastAsia="Arial" w:hAnsi="Arial" w:cs="Arial"/>
                <w:b/>
                <w:color w:val="0D0D0D" w:themeColor="text1" w:themeTint="F2"/>
              </w:rPr>
              <w:t>1114</w:t>
            </w:r>
          </w:p>
        </w:tc>
        <w:tc>
          <w:tcPr>
            <w:tcW w:w="1843" w:type="dxa"/>
          </w:tcPr>
          <w:p w:rsidR="00B07834" w:rsidRPr="00F2613F" w:rsidRDefault="00BA5441" w:rsidP="00BA5441">
            <w:pPr>
              <w:spacing w:after="180"/>
              <w:jc w:val="center"/>
              <w:rPr>
                <w:rFonts w:ascii="Arial" w:eastAsia="Arial" w:hAnsi="Arial" w:cs="Arial"/>
                <w:b/>
                <w:color w:val="0D0D0D" w:themeColor="text1" w:themeTint="F2"/>
              </w:rPr>
            </w:pPr>
            <w:r>
              <w:rPr>
                <w:rFonts w:ascii="Arial" w:eastAsia="Arial" w:hAnsi="Arial" w:cs="Arial"/>
                <w:b/>
                <w:color w:val="0D0D0D" w:themeColor="text1" w:themeTint="F2"/>
              </w:rPr>
              <w:t>2 238</w:t>
            </w:r>
          </w:p>
        </w:tc>
        <w:tc>
          <w:tcPr>
            <w:tcW w:w="1701" w:type="dxa"/>
          </w:tcPr>
          <w:p w:rsidR="00B07834" w:rsidRPr="00BA5441" w:rsidRDefault="00BA5441" w:rsidP="00BA5441">
            <w:pPr>
              <w:pStyle w:val="ListParagraph"/>
              <w:spacing w:after="180"/>
              <w:ind w:left="360"/>
              <w:rPr>
                <w:rFonts w:ascii="Arial" w:eastAsia="Arial" w:hAnsi="Arial" w:cs="Arial"/>
                <w:b/>
                <w:color w:val="0D0D0D" w:themeColor="text1" w:themeTint="F2"/>
              </w:rPr>
            </w:pPr>
            <w:r>
              <w:rPr>
                <w:rFonts w:ascii="Arial" w:eastAsia="Arial" w:hAnsi="Arial" w:cs="Arial"/>
                <w:b/>
                <w:color w:val="0D0D0D" w:themeColor="text1" w:themeTint="F2"/>
              </w:rPr>
              <w:t xml:space="preserve">2 </w:t>
            </w:r>
            <w:r w:rsidRPr="00BA5441">
              <w:rPr>
                <w:rFonts w:ascii="Arial" w:eastAsia="Arial" w:hAnsi="Arial" w:cs="Arial"/>
                <w:b/>
                <w:color w:val="0D0D0D" w:themeColor="text1" w:themeTint="F2"/>
              </w:rPr>
              <w:t>262</w:t>
            </w:r>
          </w:p>
        </w:tc>
        <w:tc>
          <w:tcPr>
            <w:tcW w:w="1671" w:type="dxa"/>
          </w:tcPr>
          <w:p w:rsidR="00B07834" w:rsidRPr="00F2613F" w:rsidRDefault="00BA5441" w:rsidP="00824767">
            <w:pPr>
              <w:spacing w:after="180"/>
              <w:jc w:val="both"/>
              <w:rPr>
                <w:rFonts w:ascii="Arial" w:eastAsia="Arial" w:hAnsi="Arial" w:cs="Arial"/>
                <w:b/>
                <w:color w:val="0D0D0D" w:themeColor="text1" w:themeTint="F2"/>
              </w:rPr>
            </w:pPr>
            <w:r>
              <w:rPr>
                <w:rFonts w:ascii="Arial" w:eastAsia="Arial" w:hAnsi="Arial" w:cs="Arial"/>
                <w:b/>
                <w:color w:val="0D0D0D" w:themeColor="text1" w:themeTint="F2"/>
              </w:rPr>
              <w:t xml:space="preserve">         2 287</w:t>
            </w:r>
          </w:p>
        </w:tc>
      </w:tr>
    </w:tbl>
    <w:p w:rsidR="00A845AA" w:rsidRPr="00BA5441" w:rsidRDefault="00BA5441" w:rsidP="00BA5441">
      <w:pPr>
        <w:spacing w:after="180" w:line="240" w:lineRule="auto"/>
        <w:jc w:val="both"/>
        <w:rPr>
          <w:rFonts w:ascii="Arial" w:eastAsia="Arial" w:hAnsi="Arial" w:cs="Arial"/>
          <w:color w:val="0D0D0D" w:themeColor="text1" w:themeTint="F2"/>
          <w:sz w:val="20"/>
          <w:szCs w:val="20"/>
        </w:rPr>
      </w:pPr>
      <w:r>
        <w:rPr>
          <w:rFonts w:ascii="Arial" w:eastAsia="Arial" w:hAnsi="Arial" w:cs="Arial"/>
          <w:color w:val="0D0D0D" w:themeColor="text1" w:themeTint="F2"/>
          <w:sz w:val="20"/>
          <w:szCs w:val="20"/>
        </w:rPr>
        <w:t>*</w:t>
      </w:r>
      <w:r w:rsidR="002B6293" w:rsidRPr="00BA5441">
        <w:rPr>
          <w:rFonts w:ascii="Arial" w:eastAsia="Arial" w:hAnsi="Arial" w:cs="Arial"/>
          <w:color w:val="0D0D0D" w:themeColor="text1" w:themeTint="F2"/>
          <w:sz w:val="20"/>
          <w:szCs w:val="20"/>
        </w:rPr>
        <w:t>Vaccine buffer stock has to be adjusted in 2016</w:t>
      </w:r>
    </w:p>
    <w:p w:rsidR="00A845AA" w:rsidRDefault="00A845AA" w:rsidP="00824767">
      <w:pPr>
        <w:spacing w:after="180" w:line="240" w:lineRule="auto"/>
        <w:jc w:val="both"/>
        <w:rPr>
          <w:rFonts w:ascii="Arial" w:eastAsia="Arial" w:hAnsi="Arial" w:cs="Arial"/>
          <w:color w:val="0D0D0D" w:themeColor="text1" w:themeTint="F2"/>
          <w:sz w:val="20"/>
          <w:szCs w:val="20"/>
        </w:rPr>
      </w:pPr>
      <w:r>
        <w:rPr>
          <w:rFonts w:ascii="Arial" w:eastAsia="Arial" w:hAnsi="Arial" w:cs="Arial"/>
          <w:color w:val="0D0D0D" w:themeColor="text1" w:themeTint="F2"/>
          <w:sz w:val="20"/>
          <w:szCs w:val="20"/>
        </w:rPr>
        <w:t>The Innovation and Supply Center of the Ministry of Health is directly responsible for procurement of all EPI vaccines and injections supplies, based on forecast/annual plans developed by Republican Center Hygiene and Epidemiology and approved by the Ministry of Health. For IPV, the Ministry of Health is planning to receive forecasted number of doses and injection supplies from UNICEF SD, funded by GAVI Alliance.</w:t>
      </w:r>
      <w:r w:rsidR="009F605A">
        <w:rPr>
          <w:rFonts w:ascii="Arial" w:eastAsia="Arial" w:hAnsi="Arial" w:cs="Arial"/>
          <w:color w:val="0D0D0D" w:themeColor="text1" w:themeTint="F2"/>
          <w:sz w:val="20"/>
          <w:szCs w:val="20"/>
        </w:rPr>
        <w:t xml:space="preserve"> </w:t>
      </w:r>
      <w:r w:rsidR="008B0218">
        <w:rPr>
          <w:rFonts w:ascii="Arial" w:eastAsia="Arial" w:hAnsi="Arial" w:cs="Arial"/>
          <w:color w:val="0D0D0D" w:themeColor="text1" w:themeTint="F2"/>
          <w:sz w:val="20"/>
          <w:szCs w:val="20"/>
        </w:rPr>
        <w:t xml:space="preserve">At country level, the </w:t>
      </w:r>
      <w:r w:rsidR="008B0218" w:rsidRPr="008B0218">
        <w:rPr>
          <w:rFonts w:ascii="Arial" w:eastAsia="Arial" w:hAnsi="Arial" w:cs="Arial"/>
          <w:color w:val="0D0D0D" w:themeColor="text1" w:themeTint="F2"/>
          <w:sz w:val="20"/>
          <w:szCs w:val="20"/>
        </w:rPr>
        <w:t xml:space="preserve">Innovation and Supply Center of the Ministry of Health is responsible agency for IPV vaccine &amp; injection supplies custom clearance and further transportation to national cold store. </w:t>
      </w:r>
      <w:r w:rsidR="009F605A">
        <w:rPr>
          <w:rFonts w:ascii="Arial" w:eastAsia="Arial" w:hAnsi="Arial" w:cs="Arial"/>
          <w:color w:val="0D0D0D" w:themeColor="text1" w:themeTint="F2"/>
          <w:sz w:val="20"/>
          <w:szCs w:val="20"/>
        </w:rPr>
        <w:t xml:space="preserve">Shipping documents (e-copies) on IPV and injection supplies has to be provided to </w:t>
      </w:r>
      <w:r w:rsidR="008B0218">
        <w:rPr>
          <w:rFonts w:ascii="Arial" w:eastAsia="Arial" w:hAnsi="Arial" w:cs="Arial"/>
          <w:color w:val="0D0D0D" w:themeColor="text1" w:themeTint="F2"/>
          <w:sz w:val="20"/>
          <w:szCs w:val="20"/>
        </w:rPr>
        <w:t xml:space="preserve">the </w:t>
      </w:r>
      <w:r w:rsidR="009F605A">
        <w:rPr>
          <w:rFonts w:ascii="Arial" w:eastAsia="Arial" w:hAnsi="Arial" w:cs="Arial"/>
          <w:color w:val="0D0D0D" w:themeColor="text1" w:themeTint="F2"/>
          <w:sz w:val="20"/>
          <w:szCs w:val="20"/>
        </w:rPr>
        <w:t xml:space="preserve">Innovation and Supply Center at least 2 weeks prior to product arrival to country in order to proceed with tax free custom clearance approval through Cabinet of Ministers. </w:t>
      </w:r>
      <w:r w:rsidR="008B0218">
        <w:rPr>
          <w:rFonts w:ascii="Arial" w:eastAsia="Arial" w:hAnsi="Arial" w:cs="Arial"/>
          <w:color w:val="0D0D0D" w:themeColor="text1" w:themeTint="F2"/>
          <w:sz w:val="20"/>
          <w:szCs w:val="20"/>
        </w:rPr>
        <w:t xml:space="preserve">Minimum required </w:t>
      </w:r>
      <w:r w:rsidR="009F605A">
        <w:rPr>
          <w:rFonts w:ascii="Arial" w:eastAsia="Arial" w:hAnsi="Arial" w:cs="Arial"/>
          <w:color w:val="0D0D0D" w:themeColor="text1" w:themeTint="F2"/>
          <w:sz w:val="20"/>
          <w:szCs w:val="20"/>
        </w:rPr>
        <w:t xml:space="preserve">documents </w:t>
      </w:r>
      <w:r w:rsidR="008B0218">
        <w:rPr>
          <w:rFonts w:ascii="Arial" w:eastAsia="Arial" w:hAnsi="Arial" w:cs="Arial"/>
          <w:color w:val="0D0D0D" w:themeColor="text1" w:themeTint="F2"/>
          <w:sz w:val="20"/>
          <w:szCs w:val="20"/>
        </w:rPr>
        <w:t>for</w:t>
      </w:r>
      <w:r w:rsidR="009F605A">
        <w:rPr>
          <w:rFonts w:ascii="Arial" w:eastAsia="Arial" w:hAnsi="Arial" w:cs="Arial"/>
          <w:color w:val="0D0D0D" w:themeColor="text1" w:themeTint="F2"/>
          <w:sz w:val="20"/>
          <w:szCs w:val="20"/>
        </w:rPr>
        <w:t xml:space="preserve"> Green Light Request</w:t>
      </w:r>
      <w:r w:rsidR="008B0218">
        <w:rPr>
          <w:rFonts w:ascii="Arial" w:eastAsia="Arial" w:hAnsi="Arial" w:cs="Arial"/>
          <w:color w:val="0D0D0D" w:themeColor="text1" w:themeTint="F2"/>
          <w:sz w:val="20"/>
          <w:szCs w:val="20"/>
        </w:rPr>
        <w:t xml:space="preserve"> are listed below</w:t>
      </w:r>
      <w:r w:rsidR="009F605A">
        <w:rPr>
          <w:rFonts w:ascii="Arial" w:eastAsia="Arial" w:hAnsi="Arial" w:cs="Arial"/>
          <w:color w:val="0D0D0D" w:themeColor="text1" w:themeTint="F2"/>
          <w:sz w:val="20"/>
          <w:szCs w:val="20"/>
        </w:rPr>
        <w:t>:</w:t>
      </w:r>
    </w:p>
    <w:p w:rsidR="009F605A" w:rsidRDefault="009F605A" w:rsidP="009F605A">
      <w:pPr>
        <w:pStyle w:val="ListParagraph"/>
        <w:numPr>
          <w:ilvl w:val="0"/>
          <w:numId w:val="11"/>
        </w:numPr>
        <w:spacing w:after="180" w:line="240" w:lineRule="auto"/>
        <w:jc w:val="both"/>
        <w:rPr>
          <w:rFonts w:ascii="Arial" w:eastAsia="Arial" w:hAnsi="Arial" w:cs="Arial"/>
          <w:color w:val="0D0D0D" w:themeColor="text1" w:themeTint="F2"/>
          <w:sz w:val="20"/>
          <w:szCs w:val="20"/>
        </w:rPr>
      </w:pPr>
      <w:r>
        <w:rPr>
          <w:rFonts w:ascii="Arial" w:eastAsia="Arial" w:hAnsi="Arial" w:cs="Arial"/>
          <w:color w:val="0D0D0D" w:themeColor="text1" w:themeTint="F2"/>
          <w:sz w:val="20"/>
          <w:szCs w:val="20"/>
        </w:rPr>
        <w:t>Invoice</w:t>
      </w:r>
    </w:p>
    <w:p w:rsidR="00A269F4" w:rsidRDefault="00A269F4" w:rsidP="009F605A">
      <w:pPr>
        <w:pStyle w:val="ListParagraph"/>
        <w:numPr>
          <w:ilvl w:val="0"/>
          <w:numId w:val="11"/>
        </w:numPr>
        <w:spacing w:after="180" w:line="240" w:lineRule="auto"/>
        <w:jc w:val="both"/>
        <w:rPr>
          <w:rFonts w:ascii="Arial" w:eastAsia="Arial" w:hAnsi="Arial" w:cs="Arial"/>
          <w:color w:val="0D0D0D" w:themeColor="text1" w:themeTint="F2"/>
          <w:sz w:val="20"/>
          <w:szCs w:val="20"/>
        </w:rPr>
      </w:pPr>
      <w:r>
        <w:rPr>
          <w:rFonts w:ascii="Arial" w:eastAsia="Arial" w:hAnsi="Arial" w:cs="Arial"/>
          <w:color w:val="0D0D0D" w:themeColor="text1" w:themeTint="F2"/>
          <w:sz w:val="20"/>
          <w:szCs w:val="20"/>
        </w:rPr>
        <w:lastRenderedPageBreak/>
        <w:t>Air/rail Way Bill</w:t>
      </w:r>
    </w:p>
    <w:p w:rsidR="009F605A" w:rsidRDefault="009F605A" w:rsidP="009F605A">
      <w:pPr>
        <w:pStyle w:val="ListParagraph"/>
        <w:numPr>
          <w:ilvl w:val="0"/>
          <w:numId w:val="11"/>
        </w:numPr>
        <w:spacing w:after="180" w:line="240" w:lineRule="auto"/>
        <w:jc w:val="both"/>
        <w:rPr>
          <w:rFonts w:ascii="Arial" w:eastAsia="Arial" w:hAnsi="Arial" w:cs="Arial"/>
          <w:color w:val="0D0D0D" w:themeColor="text1" w:themeTint="F2"/>
          <w:sz w:val="20"/>
          <w:szCs w:val="20"/>
        </w:rPr>
      </w:pPr>
      <w:r>
        <w:rPr>
          <w:rFonts w:ascii="Arial" w:eastAsia="Arial" w:hAnsi="Arial" w:cs="Arial"/>
          <w:color w:val="0D0D0D" w:themeColor="text1" w:themeTint="F2"/>
          <w:sz w:val="20"/>
          <w:szCs w:val="20"/>
        </w:rPr>
        <w:t>Packing list</w:t>
      </w:r>
    </w:p>
    <w:p w:rsidR="009F605A" w:rsidRDefault="009F605A" w:rsidP="009F605A">
      <w:pPr>
        <w:pStyle w:val="ListParagraph"/>
        <w:numPr>
          <w:ilvl w:val="0"/>
          <w:numId w:val="11"/>
        </w:numPr>
        <w:spacing w:after="180" w:line="240" w:lineRule="auto"/>
        <w:jc w:val="both"/>
        <w:rPr>
          <w:rFonts w:ascii="Arial" w:eastAsia="Arial" w:hAnsi="Arial" w:cs="Arial"/>
          <w:color w:val="0D0D0D" w:themeColor="text1" w:themeTint="F2"/>
          <w:sz w:val="20"/>
          <w:szCs w:val="20"/>
        </w:rPr>
      </w:pPr>
      <w:r>
        <w:rPr>
          <w:rFonts w:ascii="Arial" w:eastAsia="Arial" w:hAnsi="Arial" w:cs="Arial"/>
          <w:color w:val="0D0D0D" w:themeColor="text1" w:themeTint="F2"/>
          <w:sz w:val="20"/>
          <w:szCs w:val="20"/>
        </w:rPr>
        <w:t>Certificate of origin</w:t>
      </w:r>
    </w:p>
    <w:p w:rsidR="009F605A" w:rsidRDefault="009F605A" w:rsidP="009F605A">
      <w:pPr>
        <w:pStyle w:val="ListParagraph"/>
        <w:numPr>
          <w:ilvl w:val="0"/>
          <w:numId w:val="11"/>
        </w:numPr>
        <w:spacing w:after="180" w:line="240" w:lineRule="auto"/>
        <w:jc w:val="both"/>
        <w:rPr>
          <w:rFonts w:ascii="Arial" w:eastAsia="Arial" w:hAnsi="Arial" w:cs="Arial"/>
          <w:color w:val="0D0D0D" w:themeColor="text1" w:themeTint="F2"/>
          <w:sz w:val="20"/>
          <w:szCs w:val="20"/>
        </w:rPr>
      </w:pPr>
      <w:r>
        <w:rPr>
          <w:rFonts w:ascii="Arial" w:eastAsia="Arial" w:hAnsi="Arial" w:cs="Arial"/>
          <w:color w:val="0D0D0D" w:themeColor="text1" w:themeTint="F2"/>
          <w:sz w:val="20"/>
          <w:szCs w:val="20"/>
        </w:rPr>
        <w:t>Certificate of production</w:t>
      </w:r>
    </w:p>
    <w:p w:rsidR="009F605A" w:rsidRDefault="009F605A" w:rsidP="009F605A">
      <w:pPr>
        <w:pStyle w:val="ListParagraph"/>
        <w:numPr>
          <w:ilvl w:val="0"/>
          <w:numId w:val="11"/>
        </w:numPr>
        <w:spacing w:after="180" w:line="240" w:lineRule="auto"/>
        <w:jc w:val="both"/>
        <w:rPr>
          <w:rFonts w:ascii="Arial" w:eastAsia="Arial" w:hAnsi="Arial" w:cs="Arial"/>
          <w:color w:val="0D0D0D" w:themeColor="text1" w:themeTint="F2"/>
          <w:sz w:val="20"/>
          <w:szCs w:val="20"/>
        </w:rPr>
      </w:pPr>
      <w:r>
        <w:rPr>
          <w:rFonts w:ascii="Arial" w:eastAsia="Arial" w:hAnsi="Arial" w:cs="Arial"/>
          <w:color w:val="0D0D0D" w:themeColor="text1" w:themeTint="F2"/>
          <w:sz w:val="20"/>
          <w:szCs w:val="20"/>
        </w:rPr>
        <w:t>Donation letter</w:t>
      </w:r>
    </w:p>
    <w:p w:rsidR="008B0218" w:rsidRDefault="009F605A" w:rsidP="009F605A">
      <w:pPr>
        <w:spacing w:after="180" w:line="240" w:lineRule="auto"/>
        <w:jc w:val="both"/>
        <w:rPr>
          <w:rFonts w:ascii="Arial" w:eastAsia="Arial" w:hAnsi="Arial" w:cs="Arial"/>
          <w:color w:val="0D0D0D" w:themeColor="text1" w:themeTint="F2"/>
          <w:sz w:val="20"/>
          <w:szCs w:val="20"/>
        </w:rPr>
      </w:pPr>
      <w:r>
        <w:rPr>
          <w:rFonts w:ascii="Arial" w:eastAsia="Arial" w:hAnsi="Arial" w:cs="Arial"/>
          <w:color w:val="0D0D0D" w:themeColor="text1" w:themeTint="F2"/>
          <w:sz w:val="20"/>
          <w:szCs w:val="20"/>
        </w:rPr>
        <w:t xml:space="preserve">Original documents have to be attached to shipment, for their availability during custom clearance. </w:t>
      </w:r>
      <w:r w:rsidR="008B0218">
        <w:rPr>
          <w:rFonts w:ascii="Arial" w:eastAsia="Arial" w:hAnsi="Arial" w:cs="Arial"/>
          <w:color w:val="0D0D0D" w:themeColor="text1" w:themeTint="F2"/>
          <w:sz w:val="20"/>
          <w:szCs w:val="20"/>
        </w:rPr>
        <w:t xml:space="preserve">Full list of original documents for shipment can be obtained from the Innovation and Supply Center during Green Light Request. </w:t>
      </w:r>
      <w:r w:rsidR="00B0150C">
        <w:rPr>
          <w:rFonts w:ascii="Arial" w:eastAsia="Arial" w:hAnsi="Arial" w:cs="Arial"/>
          <w:color w:val="0D0D0D" w:themeColor="text1" w:themeTint="F2"/>
          <w:sz w:val="20"/>
          <w:szCs w:val="20"/>
        </w:rPr>
        <w:t xml:space="preserve">Store temperature, if it is out of usual ambiance temperature range for shipment season, should be clearly in Invoice, packing list and way bill documents shipment accompanying, as well as stated in shipment package. </w:t>
      </w:r>
      <w:r>
        <w:rPr>
          <w:rFonts w:ascii="Arial" w:eastAsia="Arial" w:hAnsi="Arial" w:cs="Arial"/>
          <w:color w:val="0D0D0D" w:themeColor="text1" w:themeTint="F2"/>
          <w:sz w:val="20"/>
          <w:szCs w:val="20"/>
        </w:rPr>
        <w:t xml:space="preserve">In order to avoid logistic expenses for storage due to custom clearance, shipment delivery should not take place on weekends and official holidays, since custom office is not </w:t>
      </w:r>
      <w:r w:rsidR="008B0218">
        <w:rPr>
          <w:rFonts w:ascii="Arial" w:eastAsia="Arial" w:hAnsi="Arial" w:cs="Arial"/>
          <w:color w:val="0D0D0D" w:themeColor="text1" w:themeTint="F2"/>
          <w:sz w:val="20"/>
          <w:szCs w:val="20"/>
        </w:rPr>
        <w:t>fully operated</w:t>
      </w:r>
      <w:r>
        <w:rPr>
          <w:rFonts w:ascii="Arial" w:eastAsia="Arial" w:hAnsi="Arial" w:cs="Arial"/>
          <w:color w:val="0D0D0D" w:themeColor="text1" w:themeTint="F2"/>
          <w:sz w:val="20"/>
          <w:szCs w:val="20"/>
        </w:rPr>
        <w:t xml:space="preserve"> these days.</w:t>
      </w:r>
      <w:r w:rsidR="008B0218">
        <w:rPr>
          <w:rFonts w:ascii="Arial" w:eastAsia="Arial" w:hAnsi="Arial" w:cs="Arial"/>
          <w:color w:val="0D0D0D" w:themeColor="text1" w:themeTint="F2"/>
          <w:sz w:val="20"/>
          <w:szCs w:val="20"/>
        </w:rPr>
        <w:t xml:space="preserve"> Experience with </w:t>
      </w:r>
      <w:proofErr w:type="spellStart"/>
      <w:r w:rsidR="008B0218">
        <w:rPr>
          <w:rFonts w:ascii="Arial" w:eastAsia="Arial" w:hAnsi="Arial" w:cs="Arial"/>
          <w:color w:val="0D0D0D" w:themeColor="text1" w:themeTint="F2"/>
          <w:sz w:val="20"/>
          <w:szCs w:val="20"/>
        </w:rPr>
        <w:t>Hib</w:t>
      </w:r>
      <w:proofErr w:type="spellEnd"/>
      <w:r w:rsidR="008B0218">
        <w:rPr>
          <w:rFonts w:ascii="Arial" w:eastAsia="Arial" w:hAnsi="Arial" w:cs="Arial"/>
          <w:color w:val="0D0D0D" w:themeColor="text1" w:themeTint="F2"/>
          <w:sz w:val="20"/>
          <w:szCs w:val="20"/>
        </w:rPr>
        <w:t xml:space="preserve"> </w:t>
      </w:r>
      <w:proofErr w:type="spellStart"/>
      <w:r w:rsidR="008B0218">
        <w:rPr>
          <w:rFonts w:ascii="Arial" w:eastAsia="Arial" w:hAnsi="Arial" w:cs="Arial"/>
          <w:color w:val="0D0D0D" w:themeColor="text1" w:themeTint="F2"/>
          <w:sz w:val="20"/>
          <w:szCs w:val="20"/>
        </w:rPr>
        <w:t>penta</w:t>
      </w:r>
      <w:proofErr w:type="spellEnd"/>
      <w:r w:rsidR="008B0218">
        <w:rPr>
          <w:rFonts w:ascii="Arial" w:eastAsia="Arial" w:hAnsi="Arial" w:cs="Arial"/>
          <w:color w:val="0D0D0D" w:themeColor="text1" w:themeTint="F2"/>
          <w:sz w:val="20"/>
          <w:szCs w:val="20"/>
        </w:rPr>
        <w:t xml:space="preserve"> and PCV introduction has shown no significant delay on custom clearance upon timely receipt of Green Light Request documents.</w:t>
      </w:r>
    </w:p>
    <w:p w:rsidR="00A269F4" w:rsidRDefault="008B0218" w:rsidP="009F605A">
      <w:pPr>
        <w:spacing w:after="180" w:line="240" w:lineRule="auto"/>
        <w:jc w:val="both"/>
        <w:rPr>
          <w:rFonts w:ascii="Arial" w:eastAsia="Arial" w:hAnsi="Arial" w:cs="Arial"/>
          <w:color w:val="0D0D0D" w:themeColor="text1" w:themeTint="F2"/>
          <w:sz w:val="20"/>
          <w:szCs w:val="20"/>
        </w:rPr>
      </w:pPr>
      <w:r>
        <w:rPr>
          <w:rFonts w:ascii="Arial" w:eastAsia="Arial" w:hAnsi="Arial" w:cs="Arial"/>
          <w:color w:val="0D0D0D" w:themeColor="text1" w:themeTint="F2"/>
          <w:sz w:val="20"/>
          <w:szCs w:val="20"/>
        </w:rPr>
        <w:t>The Ministry of Health is planning to implement IPV vaccination starting 01 July 2015, which means that vaccine &amp; injection supplies has to be available at districts level store at least one month ahead</w:t>
      </w:r>
      <w:r w:rsidR="00030F03">
        <w:rPr>
          <w:rFonts w:ascii="Arial" w:eastAsia="Arial" w:hAnsi="Arial" w:cs="Arial"/>
          <w:color w:val="0D0D0D" w:themeColor="text1" w:themeTint="F2"/>
          <w:sz w:val="20"/>
          <w:szCs w:val="20"/>
        </w:rPr>
        <w:t xml:space="preserve">, since </w:t>
      </w:r>
      <w:proofErr w:type="spellStart"/>
      <w:r w:rsidR="00030F03">
        <w:rPr>
          <w:rFonts w:ascii="Arial" w:eastAsia="Arial" w:hAnsi="Arial" w:cs="Arial"/>
          <w:color w:val="0D0D0D" w:themeColor="text1" w:themeTint="F2"/>
          <w:sz w:val="20"/>
          <w:szCs w:val="20"/>
        </w:rPr>
        <w:t>phc</w:t>
      </w:r>
      <w:proofErr w:type="spellEnd"/>
      <w:r w:rsidR="00030F03">
        <w:rPr>
          <w:rFonts w:ascii="Arial" w:eastAsia="Arial" w:hAnsi="Arial" w:cs="Arial"/>
          <w:color w:val="0D0D0D" w:themeColor="text1" w:themeTint="F2"/>
          <w:sz w:val="20"/>
          <w:szCs w:val="20"/>
        </w:rPr>
        <w:t xml:space="preserve"> receives EPI vaccine &amp; suppl</w:t>
      </w:r>
      <w:r w:rsidR="00A269F4">
        <w:rPr>
          <w:rFonts w:ascii="Arial" w:eastAsia="Arial" w:hAnsi="Arial" w:cs="Arial"/>
          <w:color w:val="0D0D0D" w:themeColor="text1" w:themeTint="F2"/>
          <w:sz w:val="20"/>
          <w:szCs w:val="20"/>
        </w:rPr>
        <w:t xml:space="preserve">ies </w:t>
      </w:r>
      <w:r w:rsidR="00030F03">
        <w:rPr>
          <w:rFonts w:ascii="Arial" w:eastAsia="Arial" w:hAnsi="Arial" w:cs="Arial"/>
          <w:color w:val="0D0D0D" w:themeColor="text1" w:themeTint="F2"/>
          <w:sz w:val="20"/>
          <w:szCs w:val="20"/>
        </w:rPr>
        <w:t>monthly</w:t>
      </w:r>
      <w:r>
        <w:rPr>
          <w:rFonts w:ascii="Arial" w:eastAsia="Arial" w:hAnsi="Arial" w:cs="Arial"/>
          <w:color w:val="0D0D0D" w:themeColor="text1" w:themeTint="F2"/>
          <w:sz w:val="20"/>
          <w:szCs w:val="20"/>
        </w:rPr>
        <w:t>. There</w:t>
      </w:r>
      <w:r w:rsidR="00030F03">
        <w:rPr>
          <w:rFonts w:ascii="Arial" w:eastAsia="Arial" w:hAnsi="Arial" w:cs="Arial"/>
          <w:color w:val="0D0D0D" w:themeColor="text1" w:themeTint="F2"/>
          <w:sz w:val="20"/>
          <w:szCs w:val="20"/>
        </w:rPr>
        <w:t xml:space="preserve"> is quarterly based distribution from national to sub-national/district level arranged by the Innovation &amp; Supply center based on distribution list prepared by Republican Center for Hygiene and Epidemiology and approved by the Ministry of Health. IPV and related injection supply has to be distributed to subnational/district stores along with other EPI products required for Q3, 2015, which scheduled end of May early June 2015. So IPV vaccine and supplies forecasted for 2015 has to be shipped to Azerbaijan in the beginning of May 2015, and Green Light Request with required documentation for tax free custom clearance has to be provided no later than 15 April 2015.</w:t>
      </w:r>
      <w:r w:rsidR="00A269F4">
        <w:rPr>
          <w:rFonts w:ascii="Arial" w:eastAsia="Arial" w:hAnsi="Arial" w:cs="Arial"/>
          <w:color w:val="0D0D0D" w:themeColor="text1" w:themeTint="F2"/>
          <w:sz w:val="20"/>
          <w:szCs w:val="20"/>
        </w:rPr>
        <w:t xml:space="preserve"> </w:t>
      </w:r>
    </w:p>
    <w:p w:rsidR="00A269F4" w:rsidRDefault="00A269F4" w:rsidP="009F605A">
      <w:pPr>
        <w:spacing w:after="180" w:line="240" w:lineRule="auto"/>
        <w:jc w:val="both"/>
        <w:rPr>
          <w:rFonts w:ascii="Arial" w:eastAsia="Arial" w:hAnsi="Arial" w:cs="Arial"/>
          <w:color w:val="0D0D0D" w:themeColor="text1" w:themeTint="F2"/>
          <w:sz w:val="20"/>
          <w:szCs w:val="20"/>
        </w:rPr>
      </w:pPr>
      <w:r>
        <w:rPr>
          <w:rFonts w:ascii="Arial" w:eastAsia="Arial" w:hAnsi="Arial" w:cs="Arial"/>
          <w:color w:val="0D0D0D" w:themeColor="text1" w:themeTint="F2"/>
          <w:sz w:val="20"/>
          <w:szCs w:val="20"/>
        </w:rPr>
        <w:t xml:space="preserve">Shipment of IPV and injections supplies in 2016- 2018 </w:t>
      </w:r>
      <w:r w:rsidR="00975D61">
        <w:rPr>
          <w:rFonts w:ascii="Arial" w:eastAsia="Arial" w:hAnsi="Arial" w:cs="Arial"/>
          <w:color w:val="0D0D0D" w:themeColor="text1" w:themeTint="F2"/>
          <w:sz w:val="20"/>
          <w:szCs w:val="20"/>
        </w:rPr>
        <w:t>has to</w:t>
      </w:r>
      <w:r>
        <w:rPr>
          <w:rFonts w:ascii="Arial" w:eastAsia="Arial" w:hAnsi="Arial" w:cs="Arial"/>
          <w:color w:val="0D0D0D" w:themeColor="text1" w:themeTint="F2"/>
          <w:sz w:val="20"/>
          <w:szCs w:val="20"/>
        </w:rPr>
        <w:t xml:space="preserve"> be further adjusted through APR, according to shipment schedule of GAVI co-financed PCV portion, in order to rationalize use of human resources and harmonize obtaining of Cabinet of Ministries permission letter on tax free custom clearance.</w:t>
      </w:r>
    </w:p>
    <w:p w:rsidR="001423DF" w:rsidRDefault="00B0150C" w:rsidP="001423DF">
      <w:pPr>
        <w:spacing w:after="180" w:line="240" w:lineRule="auto"/>
        <w:jc w:val="both"/>
        <w:rPr>
          <w:rFonts w:ascii="Arial" w:eastAsia="Arial" w:hAnsi="Arial" w:cs="Arial"/>
          <w:color w:val="0D0D0D" w:themeColor="text1" w:themeTint="F2"/>
          <w:sz w:val="20"/>
          <w:szCs w:val="20"/>
        </w:rPr>
      </w:pPr>
      <w:r>
        <w:rPr>
          <w:rFonts w:ascii="Arial" w:eastAsia="Arial" w:hAnsi="Arial" w:cs="Arial"/>
          <w:color w:val="0D0D0D" w:themeColor="text1" w:themeTint="F2"/>
          <w:sz w:val="20"/>
          <w:szCs w:val="20"/>
        </w:rPr>
        <w:t xml:space="preserve">According to findings from latest EVM assessment, conducted during 25 August-1 September 2014, Innovation and Supply Center implements required VAR (vaccine arrival report) procedures and currently used VAR form fully meets WHO and UNICEF requirements. </w:t>
      </w:r>
      <w:r w:rsidR="00154E1F">
        <w:rPr>
          <w:rFonts w:ascii="Arial" w:eastAsia="Arial" w:hAnsi="Arial" w:cs="Arial"/>
          <w:color w:val="0D0D0D" w:themeColor="text1" w:themeTint="F2"/>
          <w:sz w:val="20"/>
          <w:szCs w:val="20"/>
        </w:rPr>
        <w:t>VAR completed for each vaccine separately, full set of documents accompanying shipment, as well as country NRA lot release certificates collected and kept per vaccine for every shipment. At the same assessment identified that VARs are not fully completed, and some fields saved empty in the reporting form, even required information is available. Another issue related with shipment was new EVM requirement on product arrival report. In fact Innovation and Supply center has implemented product arrival report using local reporting form,</w:t>
      </w:r>
      <w:r w:rsidR="001423DF">
        <w:rPr>
          <w:rFonts w:ascii="Arial" w:eastAsia="Arial" w:hAnsi="Arial" w:cs="Arial"/>
          <w:color w:val="0D0D0D" w:themeColor="text1" w:themeTint="F2"/>
          <w:sz w:val="20"/>
          <w:szCs w:val="20"/>
        </w:rPr>
        <w:t xml:space="preserve"> which however does not fully meet standards of PAR suggested by WHO/ UNICEF EVM.</w:t>
      </w:r>
      <w:r w:rsidR="001423DF" w:rsidRPr="001423DF">
        <w:rPr>
          <w:rFonts w:ascii="Arial" w:eastAsia="Arial" w:hAnsi="Arial" w:cs="Arial"/>
          <w:color w:val="0D0D0D" w:themeColor="text1" w:themeTint="F2"/>
          <w:sz w:val="20"/>
          <w:szCs w:val="20"/>
        </w:rPr>
        <w:t xml:space="preserve"> </w:t>
      </w:r>
      <w:r w:rsidR="001423DF">
        <w:rPr>
          <w:rFonts w:ascii="Arial" w:eastAsia="Arial" w:hAnsi="Arial" w:cs="Arial"/>
          <w:color w:val="0D0D0D" w:themeColor="text1" w:themeTint="F2"/>
          <w:sz w:val="20"/>
          <w:szCs w:val="20"/>
        </w:rPr>
        <w:t>By the end of assessment, Innovation and Supply Center briefing and received SOP in English and Russian on completion of VAR and PAR, and these issues have been highlighted during de-briefing with management of Innovation and Supply Center.</w:t>
      </w:r>
    </w:p>
    <w:p w:rsidR="008B76C7" w:rsidRDefault="001423DF" w:rsidP="0058273D">
      <w:pPr>
        <w:pStyle w:val="ListParagraph"/>
        <w:numPr>
          <w:ilvl w:val="1"/>
          <w:numId w:val="26"/>
        </w:numPr>
        <w:spacing w:after="180" w:line="240" w:lineRule="auto"/>
        <w:jc w:val="both"/>
        <w:rPr>
          <w:rFonts w:ascii="Arial" w:eastAsia="Arial" w:hAnsi="Arial" w:cs="Arial"/>
          <w:bCs/>
          <w:color w:val="0D0D0D" w:themeColor="text1" w:themeTint="F2"/>
          <w:sz w:val="20"/>
          <w:szCs w:val="20"/>
        </w:rPr>
      </w:pPr>
      <w:r w:rsidRPr="0058273D">
        <w:rPr>
          <w:rFonts w:ascii="Arial" w:eastAsia="Arial" w:hAnsi="Arial" w:cs="Arial"/>
          <w:bCs/>
          <w:color w:val="0D0D0D" w:themeColor="text1" w:themeTint="F2"/>
          <w:sz w:val="20"/>
          <w:szCs w:val="20"/>
        </w:rPr>
        <w:t>C</w:t>
      </w:r>
      <w:r w:rsidR="008B76C7" w:rsidRPr="0058273D">
        <w:rPr>
          <w:rFonts w:ascii="Arial" w:eastAsia="Arial" w:hAnsi="Arial" w:cs="Arial"/>
          <w:bCs/>
          <w:color w:val="0D0D0D" w:themeColor="text1" w:themeTint="F2"/>
          <w:sz w:val="20"/>
          <w:szCs w:val="20"/>
        </w:rPr>
        <w:t>old chain, logistics, and vaccine management</w:t>
      </w:r>
    </w:p>
    <w:p w:rsidR="00FC0EBC" w:rsidRDefault="00867C65" w:rsidP="00975D61">
      <w:pPr>
        <w:spacing w:after="180" w:line="240" w:lineRule="auto"/>
        <w:ind w:left="60"/>
        <w:jc w:val="both"/>
        <w:rPr>
          <w:rFonts w:ascii="Arial" w:eastAsia="Arial" w:hAnsi="Arial" w:cs="Arial"/>
          <w:color w:val="0D0D0D" w:themeColor="text1" w:themeTint="F2"/>
          <w:sz w:val="20"/>
          <w:szCs w:val="20"/>
        </w:rPr>
      </w:pPr>
      <w:r w:rsidRPr="00867C65">
        <w:rPr>
          <w:rFonts w:ascii="Arial" w:eastAsia="Arial" w:hAnsi="Arial" w:cs="Arial"/>
          <w:color w:val="0D0D0D" w:themeColor="text1" w:themeTint="F2"/>
          <w:sz w:val="20"/>
          <w:szCs w:val="20"/>
        </w:rPr>
        <w:t xml:space="preserve">Since 2011 the Ministry of Health has been implementing annual cold chain inventory for national, district and service provider levels, using forms and software developed by WHO support. </w:t>
      </w:r>
    </w:p>
    <w:p w:rsidR="00975D61" w:rsidRDefault="004F0F1B" w:rsidP="00975D61">
      <w:pPr>
        <w:spacing w:after="180" w:line="240" w:lineRule="auto"/>
        <w:ind w:left="60"/>
        <w:jc w:val="both"/>
        <w:rPr>
          <w:rFonts w:ascii="Arial" w:eastAsia="Arial" w:hAnsi="Arial" w:cs="Arial"/>
          <w:color w:val="0D0D0D" w:themeColor="text1" w:themeTint="F2"/>
          <w:sz w:val="20"/>
          <w:szCs w:val="20"/>
        </w:rPr>
      </w:pPr>
      <w:r>
        <w:rPr>
          <w:rFonts w:ascii="Arial" w:eastAsia="Arial" w:hAnsi="Arial" w:cs="Arial"/>
          <w:color w:val="0D0D0D" w:themeColor="text1" w:themeTint="F2"/>
          <w:sz w:val="20"/>
          <w:szCs w:val="20"/>
        </w:rPr>
        <w:t xml:space="preserve">At national level, Innovation and Supply Center of the Ministry of Health is responsible agency for storage of all EPI vaccines and injection supplies. According to </w:t>
      </w:r>
      <w:r w:rsidR="008C29F7">
        <w:rPr>
          <w:rFonts w:ascii="Arial" w:eastAsia="Arial" w:hAnsi="Arial" w:cs="Arial"/>
          <w:color w:val="0D0D0D" w:themeColor="text1" w:themeTint="F2"/>
          <w:sz w:val="20"/>
          <w:szCs w:val="20"/>
        </w:rPr>
        <w:t xml:space="preserve">the </w:t>
      </w:r>
      <w:r>
        <w:rPr>
          <w:rFonts w:ascii="Arial" w:eastAsia="Arial" w:hAnsi="Arial" w:cs="Arial"/>
          <w:color w:val="0D0D0D" w:themeColor="text1" w:themeTint="F2"/>
          <w:sz w:val="20"/>
          <w:szCs w:val="20"/>
        </w:rPr>
        <w:t xml:space="preserve">most recent data confirmed by EVM assessment conducted during 25 August-12 September 2014, </w:t>
      </w:r>
      <w:r w:rsidR="008C29F7">
        <w:rPr>
          <w:rFonts w:ascii="Arial" w:eastAsia="Arial" w:hAnsi="Arial" w:cs="Arial"/>
          <w:color w:val="0D0D0D" w:themeColor="text1" w:themeTint="F2"/>
          <w:sz w:val="20"/>
          <w:szCs w:val="20"/>
        </w:rPr>
        <w:t xml:space="preserve">the </w:t>
      </w:r>
      <w:r>
        <w:rPr>
          <w:rFonts w:ascii="Arial" w:eastAsia="Arial" w:hAnsi="Arial" w:cs="Arial"/>
          <w:color w:val="0D0D0D" w:themeColor="text1" w:themeTint="F2"/>
          <w:sz w:val="20"/>
          <w:szCs w:val="20"/>
        </w:rPr>
        <w:t>Innovation and Supply Center has 6 cold rooms</w:t>
      </w:r>
      <w:r w:rsidR="0072384C">
        <w:rPr>
          <w:rFonts w:ascii="Arial" w:eastAsia="Arial" w:hAnsi="Arial" w:cs="Arial"/>
          <w:color w:val="0D0D0D" w:themeColor="text1" w:themeTint="F2"/>
          <w:sz w:val="20"/>
          <w:szCs w:val="20"/>
        </w:rPr>
        <w:t xml:space="preserve"> at +</w:t>
      </w:r>
      <w:r w:rsidR="0072384C" w:rsidRPr="0072384C">
        <w:rPr>
          <w:rFonts w:ascii="Arial" w:eastAsia="Arial" w:hAnsi="Arial" w:cs="Arial"/>
          <w:color w:val="0D0D0D" w:themeColor="text1" w:themeTint="F2"/>
          <w:sz w:val="18"/>
          <w:szCs w:val="18"/>
        </w:rPr>
        <w:t>2</w:t>
      </w:r>
      <w:r w:rsidR="0072384C">
        <w:rPr>
          <w:rFonts w:ascii="Arial" w:eastAsia="Arial" w:hAnsi="Arial" w:cs="Arial"/>
          <w:color w:val="0D0D0D" w:themeColor="text1" w:themeTint="F2"/>
          <w:sz w:val="20"/>
          <w:szCs w:val="20"/>
        </w:rPr>
        <w:t xml:space="preserve"> +8 C</w:t>
      </w:r>
      <w:r>
        <w:rPr>
          <w:rFonts w:ascii="Arial" w:eastAsia="Arial" w:hAnsi="Arial" w:cs="Arial"/>
          <w:color w:val="0D0D0D" w:themeColor="text1" w:themeTint="F2"/>
          <w:sz w:val="20"/>
          <w:szCs w:val="20"/>
        </w:rPr>
        <w:t>, including 3 main cold</w:t>
      </w:r>
      <w:r w:rsidR="0072384C">
        <w:rPr>
          <w:rFonts w:ascii="Arial" w:eastAsia="Arial" w:hAnsi="Arial" w:cs="Arial"/>
          <w:color w:val="0D0D0D" w:themeColor="text1" w:themeTint="F2"/>
          <w:sz w:val="20"/>
          <w:szCs w:val="20"/>
        </w:rPr>
        <w:t xml:space="preserve"> rooms and 3 reserve cold rooms and total net volume of cold rooms is </w:t>
      </w:r>
      <w:r w:rsidR="008C29F7">
        <w:rPr>
          <w:rFonts w:ascii="Arial" w:eastAsia="Arial" w:hAnsi="Arial" w:cs="Arial"/>
          <w:color w:val="0D0D0D" w:themeColor="text1" w:themeTint="F2"/>
          <w:sz w:val="20"/>
          <w:szCs w:val="20"/>
        </w:rPr>
        <w:t>97850 liters (98 m³). All EPI routine vaccines stored in one cold room, equipped by shelves, with shelves net volume 37 422 liters (37.4</w:t>
      </w:r>
      <w:r w:rsidR="008C29F7" w:rsidRPr="008C29F7">
        <w:t xml:space="preserve"> </w:t>
      </w:r>
      <w:r w:rsidR="008C29F7" w:rsidRPr="008C29F7">
        <w:rPr>
          <w:rFonts w:ascii="Arial" w:eastAsia="Arial" w:hAnsi="Arial" w:cs="Arial"/>
          <w:color w:val="0D0D0D" w:themeColor="text1" w:themeTint="F2"/>
          <w:sz w:val="20"/>
          <w:szCs w:val="20"/>
        </w:rPr>
        <w:t>m³</w:t>
      </w:r>
      <w:r w:rsidR="008C29F7">
        <w:rPr>
          <w:rFonts w:ascii="Arial" w:eastAsia="Arial" w:hAnsi="Arial" w:cs="Arial"/>
          <w:color w:val="0D0D0D" w:themeColor="text1" w:themeTint="F2"/>
          <w:sz w:val="20"/>
          <w:szCs w:val="20"/>
        </w:rPr>
        <w:t xml:space="preserve">). </w:t>
      </w:r>
      <w:r w:rsidR="006B650D">
        <w:rPr>
          <w:rFonts w:ascii="Arial" w:eastAsia="Arial" w:hAnsi="Arial" w:cs="Arial"/>
          <w:color w:val="0D0D0D" w:themeColor="text1" w:themeTint="F2"/>
          <w:sz w:val="20"/>
          <w:szCs w:val="20"/>
        </w:rPr>
        <w:t>Since 2014, due to limitations of invoice procedures at UNICEF SD, country has ordered all EPI vaccines by single shipment, therefore volume per fully immunized child calculated for single shipment, including wastage and buffer stock (15 months).Upon introduction of IPV, the</w:t>
      </w:r>
      <w:r w:rsidR="008D33D1">
        <w:rPr>
          <w:rFonts w:ascii="Arial" w:eastAsia="Arial" w:hAnsi="Arial" w:cs="Arial"/>
          <w:color w:val="0D0D0D" w:themeColor="text1" w:themeTint="F2"/>
          <w:sz w:val="20"/>
          <w:szCs w:val="20"/>
        </w:rPr>
        <w:t xml:space="preserve"> volume requirement for +2 +8C at national level per fully immunized child </w:t>
      </w:r>
      <w:r w:rsidR="006B650D">
        <w:rPr>
          <w:rFonts w:ascii="Arial" w:eastAsia="Arial" w:hAnsi="Arial" w:cs="Arial"/>
          <w:color w:val="0D0D0D" w:themeColor="text1" w:themeTint="F2"/>
          <w:sz w:val="20"/>
          <w:szCs w:val="20"/>
        </w:rPr>
        <w:t>will be</w:t>
      </w:r>
      <w:r w:rsidR="008D33D1">
        <w:rPr>
          <w:rFonts w:ascii="Arial" w:eastAsia="Arial" w:hAnsi="Arial" w:cs="Arial"/>
          <w:color w:val="0D0D0D" w:themeColor="text1" w:themeTint="F2"/>
          <w:sz w:val="20"/>
          <w:szCs w:val="20"/>
        </w:rPr>
        <w:t xml:space="preserve"> 220 cm³  and </w:t>
      </w:r>
      <w:r w:rsidR="00CC200B">
        <w:rPr>
          <w:rFonts w:ascii="Arial" w:eastAsia="Arial" w:hAnsi="Arial" w:cs="Arial"/>
          <w:color w:val="0D0D0D" w:themeColor="text1" w:themeTint="F2"/>
          <w:sz w:val="20"/>
          <w:szCs w:val="20"/>
        </w:rPr>
        <w:t>according to</w:t>
      </w:r>
      <w:r w:rsidR="008D33D1">
        <w:rPr>
          <w:rFonts w:ascii="Arial" w:eastAsia="Arial" w:hAnsi="Arial" w:cs="Arial"/>
          <w:color w:val="0D0D0D" w:themeColor="text1" w:themeTint="F2"/>
          <w:sz w:val="20"/>
          <w:szCs w:val="20"/>
        </w:rPr>
        <w:t xml:space="preserve"> birth cohort </w:t>
      </w:r>
      <w:r w:rsidR="00CC200B">
        <w:rPr>
          <w:rFonts w:ascii="Arial" w:eastAsia="Arial" w:hAnsi="Arial" w:cs="Arial"/>
          <w:color w:val="0D0D0D" w:themeColor="text1" w:themeTint="F2"/>
          <w:sz w:val="20"/>
          <w:szCs w:val="20"/>
        </w:rPr>
        <w:t xml:space="preserve">estimates for 2018, total maximal required </w:t>
      </w:r>
      <w:r w:rsidR="00CC200B">
        <w:rPr>
          <w:rFonts w:ascii="Arial" w:eastAsia="Arial" w:hAnsi="Arial" w:cs="Arial"/>
          <w:color w:val="0D0D0D" w:themeColor="text1" w:themeTint="F2"/>
          <w:sz w:val="20"/>
          <w:szCs w:val="20"/>
        </w:rPr>
        <w:lastRenderedPageBreak/>
        <w:t>storage capacity at national level is 36 935 liters (36, 9</w:t>
      </w:r>
      <w:r w:rsidR="00CC200B" w:rsidRPr="00CC200B">
        <w:t xml:space="preserve"> </w:t>
      </w:r>
      <w:r w:rsidR="00CC200B" w:rsidRPr="00CC200B">
        <w:rPr>
          <w:rFonts w:ascii="Arial" w:eastAsia="Arial" w:hAnsi="Arial" w:cs="Arial"/>
          <w:color w:val="0D0D0D" w:themeColor="text1" w:themeTint="F2"/>
          <w:sz w:val="20"/>
          <w:szCs w:val="20"/>
        </w:rPr>
        <w:t>m³</w:t>
      </w:r>
      <w:r w:rsidR="00CC200B">
        <w:rPr>
          <w:rFonts w:ascii="Arial" w:eastAsia="Arial" w:hAnsi="Arial" w:cs="Arial"/>
          <w:color w:val="0D0D0D" w:themeColor="text1" w:themeTint="F2"/>
          <w:sz w:val="20"/>
          <w:szCs w:val="20"/>
        </w:rPr>
        <w:t xml:space="preserve">). </w:t>
      </w:r>
      <w:r w:rsidR="006B650D">
        <w:rPr>
          <w:rFonts w:ascii="Arial" w:eastAsia="Arial" w:hAnsi="Arial" w:cs="Arial"/>
          <w:color w:val="0D0D0D" w:themeColor="text1" w:themeTint="F2"/>
          <w:sz w:val="20"/>
          <w:szCs w:val="20"/>
        </w:rPr>
        <w:t xml:space="preserve">So, up to 2018 </w:t>
      </w:r>
      <w:r w:rsidR="00975D61">
        <w:rPr>
          <w:rFonts w:ascii="Arial" w:eastAsia="Arial" w:hAnsi="Arial" w:cs="Arial"/>
          <w:color w:val="0D0D0D" w:themeColor="text1" w:themeTint="F2"/>
          <w:sz w:val="20"/>
          <w:szCs w:val="20"/>
        </w:rPr>
        <w:t xml:space="preserve">the </w:t>
      </w:r>
      <w:r w:rsidR="006B650D">
        <w:rPr>
          <w:rFonts w:ascii="Arial" w:eastAsia="Arial" w:hAnsi="Arial" w:cs="Arial"/>
          <w:color w:val="0D0D0D" w:themeColor="text1" w:themeTint="F2"/>
          <w:sz w:val="20"/>
          <w:szCs w:val="20"/>
        </w:rPr>
        <w:t xml:space="preserve">current cold </w:t>
      </w:r>
      <w:r w:rsidR="00975D61">
        <w:rPr>
          <w:rFonts w:ascii="Arial" w:eastAsia="Arial" w:hAnsi="Arial" w:cs="Arial"/>
          <w:color w:val="0D0D0D" w:themeColor="text1" w:themeTint="F2"/>
          <w:sz w:val="20"/>
          <w:szCs w:val="20"/>
        </w:rPr>
        <w:t>room</w:t>
      </w:r>
      <w:r w:rsidR="006B650D">
        <w:rPr>
          <w:rFonts w:ascii="Arial" w:eastAsia="Arial" w:hAnsi="Arial" w:cs="Arial"/>
          <w:color w:val="0D0D0D" w:themeColor="text1" w:themeTint="F2"/>
          <w:sz w:val="20"/>
          <w:szCs w:val="20"/>
        </w:rPr>
        <w:t xml:space="preserve"> at national level is capable to accommodate EPI needs and in short term perspectives </w:t>
      </w:r>
      <w:r w:rsidR="000912B0">
        <w:rPr>
          <w:rFonts w:ascii="Arial" w:eastAsia="Arial" w:hAnsi="Arial" w:cs="Arial"/>
          <w:color w:val="0D0D0D" w:themeColor="text1" w:themeTint="F2"/>
          <w:sz w:val="20"/>
          <w:szCs w:val="20"/>
        </w:rPr>
        <w:t>for</w:t>
      </w:r>
      <w:r w:rsidR="006B650D">
        <w:rPr>
          <w:rFonts w:ascii="Arial" w:eastAsia="Arial" w:hAnsi="Arial" w:cs="Arial"/>
          <w:color w:val="0D0D0D" w:themeColor="text1" w:themeTint="F2"/>
          <w:sz w:val="20"/>
          <w:szCs w:val="20"/>
        </w:rPr>
        <w:t xml:space="preserve"> IPV introduction no investment required in this area. </w:t>
      </w:r>
      <w:r w:rsidR="000912B0">
        <w:rPr>
          <w:rFonts w:ascii="Arial" w:eastAsia="Arial" w:hAnsi="Arial" w:cs="Arial"/>
          <w:color w:val="0D0D0D" w:themeColor="text1" w:themeTint="F2"/>
          <w:sz w:val="20"/>
          <w:szCs w:val="20"/>
        </w:rPr>
        <w:t xml:space="preserve">T-mapping of the </w:t>
      </w:r>
      <w:r w:rsidR="006B650D">
        <w:rPr>
          <w:rFonts w:ascii="Arial" w:eastAsia="Arial" w:hAnsi="Arial" w:cs="Arial"/>
          <w:color w:val="0D0D0D" w:themeColor="text1" w:themeTint="F2"/>
          <w:sz w:val="20"/>
          <w:szCs w:val="20"/>
        </w:rPr>
        <w:t xml:space="preserve">cold room dedicated for vaccine storage </w:t>
      </w:r>
      <w:r w:rsidR="000912B0">
        <w:rPr>
          <w:rFonts w:ascii="Arial" w:eastAsia="Arial" w:hAnsi="Arial" w:cs="Arial"/>
          <w:color w:val="0D0D0D" w:themeColor="text1" w:themeTint="F2"/>
          <w:sz w:val="20"/>
          <w:szCs w:val="20"/>
        </w:rPr>
        <w:t>was conducted by WHO consultant in June 014. The cold room equipped by WHO/UNICEF prequalified continuous temperature monitoring system with alarm functions, which also installed by WHO consultant.</w:t>
      </w:r>
      <w:r w:rsidR="00867C65">
        <w:rPr>
          <w:rFonts w:ascii="Arial" w:eastAsia="Arial" w:hAnsi="Arial" w:cs="Arial"/>
          <w:color w:val="0D0D0D" w:themeColor="text1" w:themeTint="F2"/>
          <w:sz w:val="20"/>
          <w:szCs w:val="20"/>
        </w:rPr>
        <w:t xml:space="preserve"> As shown by EVM 2014, </w:t>
      </w:r>
      <w:r w:rsidR="00975D61">
        <w:rPr>
          <w:rFonts w:ascii="Arial" w:eastAsia="Arial" w:hAnsi="Arial" w:cs="Arial"/>
          <w:color w:val="0D0D0D" w:themeColor="text1" w:themeTint="F2"/>
          <w:sz w:val="20"/>
          <w:szCs w:val="20"/>
        </w:rPr>
        <w:t>key recommendations</w:t>
      </w:r>
      <w:r w:rsidR="00867C65">
        <w:rPr>
          <w:rFonts w:ascii="Arial" w:eastAsia="Arial" w:hAnsi="Arial" w:cs="Arial"/>
          <w:color w:val="0D0D0D" w:themeColor="text1" w:themeTint="F2"/>
          <w:sz w:val="20"/>
          <w:szCs w:val="20"/>
        </w:rPr>
        <w:t xml:space="preserve"> from previous assessment</w:t>
      </w:r>
      <w:r w:rsidR="00975D61">
        <w:rPr>
          <w:rFonts w:ascii="Arial" w:eastAsia="Arial" w:hAnsi="Arial" w:cs="Arial"/>
          <w:color w:val="0D0D0D" w:themeColor="text1" w:themeTint="F2"/>
          <w:sz w:val="20"/>
          <w:szCs w:val="20"/>
        </w:rPr>
        <w:t xml:space="preserve"> </w:t>
      </w:r>
      <w:r w:rsidR="00867C65">
        <w:rPr>
          <w:rFonts w:ascii="Arial" w:eastAsia="Arial" w:hAnsi="Arial" w:cs="Arial"/>
          <w:color w:val="0D0D0D" w:themeColor="text1" w:themeTint="F2"/>
          <w:sz w:val="20"/>
          <w:szCs w:val="20"/>
        </w:rPr>
        <w:t>on arrangement and</w:t>
      </w:r>
      <w:r w:rsidR="00975D61">
        <w:rPr>
          <w:rFonts w:ascii="Arial" w:eastAsia="Arial" w:hAnsi="Arial" w:cs="Arial"/>
          <w:color w:val="0D0D0D" w:themeColor="text1" w:themeTint="F2"/>
          <w:sz w:val="20"/>
          <w:szCs w:val="20"/>
        </w:rPr>
        <w:t xml:space="preserve"> equipment of buffer </w:t>
      </w:r>
      <w:r w:rsidR="00867C65">
        <w:rPr>
          <w:rFonts w:ascii="Arial" w:eastAsia="Arial" w:hAnsi="Arial" w:cs="Arial"/>
          <w:color w:val="0D0D0D" w:themeColor="text1" w:themeTint="F2"/>
          <w:sz w:val="20"/>
          <w:szCs w:val="20"/>
        </w:rPr>
        <w:t>zone of cold store have been also implemented.</w:t>
      </w:r>
    </w:p>
    <w:p w:rsidR="00975D61" w:rsidRDefault="000912B0" w:rsidP="00975D61">
      <w:pPr>
        <w:spacing w:after="180" w:line="240" w:lineRule="auto"/>
        <w:ind w:left="60"/>
        <w:jc w:val="both"/>
        <w:rPr>
          <w:rFonts w:ascii="Arial" w:eastAsia="Arial" w:hAnsi="Arial" w:cs="Arial"/>
          <w:color w:val="0D0D0D" w:themeColor="text1" w:themeTint="F2"/>
          <w:sz w:val="20"/>
          <w:szCs w:val="20"/>
        </w:rPr>
      </w:pPr>
      <w:r>
        <w:rPr>
          <w:rFonts w:ascii="Arial" w:eastAsia="Arial" w:hAnsi="Arial" w:cs="Arial"/>
          <w:color w:val="0D0D0D" w:themeColor="text1" w:themeTint="F2"/>
          <w:sz w:val="20"/>
          <w:szCs w:val="20"/>
        </w:rPr>
        <w:t xml:space="preserve">For OPV total 8 freezers dedicated at national level </w:t>
      </w:r>
      <w:r w:rsidR="00975D61">
        <w:rPr>
          <w:rFonts w:ascii="Arial" w:eastAsia="Arial" w:hAnsi="Arial" w:cs="Arial"/>
          <w:color w:val="0D0D0D" w:themeColor="text1" w:themeTint="F2"/>
          <w:sz w:val="20"/>
          <w:szCs w:val="20"/>
        </w:rPr>
        <w:t xml:space="preserve">with net volume 1897 liters. All freezers equipped by Log Tag for continuous temperature monitoring. </w:t>
      </w:r>
    </w:p>
    <w:p w:rsidR="006047E5" w:rsidRDefault="00951030" w:rsidP="000912B0">
      <w:pPr>
        <w:spacing w:after="180" w:line="240" w:lineRule="auto"/>
        <w:ind w:left="60"/>
        <w:jc w:val="both"/>
        <w:rPr>
          <w:rFonts w:ascii="Arial" w:eastAsia="Arial" w:hAnsi="Arial" w:cs="Arial"/>
          <w:color w:val="0D0D0D" w:themeColor="text1" w:themeTint="F2"/>
          <w:sz w:val="20"/>
          <w:szCs w:val="20"/>
        </w:rPr>
      </w:pPr>
      <w:r>
        <w:rPr>
          <w:rFonts w:ascii="Arial" w:eastAsia="Arial" w:hAnsi="Arial" w:cs="Arial"/>
          <w:color w:val="0D0D0D" w:themeColor="text1" w:themeTint="F2"/>
          <w:sz w:val="20"/>
          <w:szCs w:val="20"/>
        </w:rPr>
        <w:t xml:space="preserve">Current cold stores capacities at </w:t>
      </w:r>
      <w:r w:rsidR="006047E5">
        <w:rPr>
          <w:rFonts w:ascii="Arial" w:eastAsia="Arial" w:hAnsi="Arial" w:cs="Arial"/>
          <w:color w:val="0D0D0D" w:themeColor="text1" w:themeTint="F2"/>
          <w:sz w:val="20"/>
          <w:szCs w:val="20"/>
        </w:rPr>
        <w:t>district</w:t>
      </w:r>
      <w:r>
        <w:rPr>
          <w:rFonts w:ascii="Arial" w:eastAsia="Arial" w:hAnsi="Arial" w:cs="Arial"/>
          <w:color w:val="0D0D0D" w:themeColor="text1" w:themeTint="F2"/>
          <w:sz w:val="20"/>
          <w:szCs w:val="20"/>
        </w:rPr>
        <w:t xml:space="preserve"> level are </w:t>
      </w:r>
      <w:r w:rsidR="00255F97">
        <w:rPr>
          <w:rFonts w:ascii="Arial" w:eastAsia="Arial" w:hAnsi="Arial" w:cs="Arial"/>
          <w:color w:val="0D0D0D" w:themeColor="text1" w:themeTint="F2"/>
          <w:sz w:val="20"/>
          <w:szCs w:val="20"/>
        </w:rPr>
        <w:t xml:space="preserve">sufficient to accommodate IPV introduction, having recent procurement of </w:t>
      </w:r>
      <w:r>
        <w:rPr>
          <w:rFonts w:ascii="Arial" w:eastAsia="Arial" w:hAnsi="Arial" w:cs="Arial"/>
          <w:color w:val="0D0D0D" w:themeColor="text1" w:themeTint="F2"/>
          <w:sz w:val="20"/>
          <w:szCs w:val="20"/>
        </w:rPr>
        <w:t xml:space="preserve">44 WHO/UNICEF prequalified MK404 refrigerators </w:t>
      </w:r>
      <w:r w:rsidR="00255F97">
        <w:rPr>
          <w:rFonts w:ascii="Arial" w:eastAsia="Arial" w:hAnsi="Arial" w:cs="Arial"/>
          <w:color w:val="0D0D0D" w:themeColor="text1" w:themeTint="F2"/>
          <w:sz w:val="20"/>
          <w:szCs w:val="20"/>
        </w:rPr>
        <w:t>in 2013. Among 44 refrigerators, 36 refrigerators are distributed and installed at district stores</w:t>
      </w:r>
      <w:r>
        <w:rPr>
          <w:rFonts w:ascii="Arial" w:eastAsia="Arial" w:hAnsi="Arial" w:cs="Arial"/>
          <w:color w:val="0D0D0D" w:themeColor="text1" w:themeTint="F2"/>
          <w:sz w:val="20"/>
          <w:szCs w:val="20"/>
        </w:rPr>
        <w:t xml:space="preserve"> in 2014</w:t>
      </w:r>
      <w:r w:rsidR="00255F97">
        <w:rPr>
          <w:rFonts w:ascii="Arial" w:eastAsia="Arial" w:hAnsi="Arial" w:cs="Arial"/>
          <w:color w:val="0D0D0D" w:themeColor="text1" w:themeTint="F2"/>
          <w:sz w:val="20"/>
          <w:szCs w:val="20"/>
        </w:rPr>
        <w:t xml:space="preserve">, 1 kept for emergency request at Republican </w:t>
      </w:r>
      <w:r>
        <w:rPr>
          <w:rFonts w:ascii="Arial" w:eastAsia="Arial" w:hAnsi="Arial" w:cs="Arial"/>
          <w:color w:val="0D0D0D" w:themeColor="text1" w:themeTint="F2"/>
          <w:sz w:val="20"/>
          <w:szCs w:val="20"/>
        </w:rPr>
        <w:t>C</w:t>
      </w:r>
      <w:r w:rsidR="00255F97">
        <w:rPr>
          <w:rFonts w:ascii="Arial" w:eastAsia="Arial" w:hAnsi="Arial" w:cs="Arial"/>
          <w:color w:val="0D0D0D" w:themeColor="text1" w:themeTint="F2"/>
          <w:sz w:val="20"/>
          <w:szCs w:val="20"/>
        </w:rPr>
        <w:t xml:space="preserve">enter for Hygiene and Epidemiology and 7 refrigerators are not functioning. Information about 7 refrigerators which are not functioning has been provided by Innovation and Supply Center to UNICEF CO. </w:t>
      </w:r>
      <w:r w:rsidR="0039648B">
        <w:rPr>
          <w:rFonts w:ascii="Arial" w:eastAsia="Arial" w:hAnsi="Arial" w:cs="Arial"/>
          <w:color w:val="0D0D0D" w:themeColor="text1" w:themeTint="F2"/>
          <w:sz w:val="20"/>
          <w:szCs w:val="20"/>
        </w:rPr>
        <w:t xml:space="preserve">Total 179 refrigerators at district level used for vaccine storage and only 110 (62%) of them are WHO/UNICEF prequalified equipment. For replacement of </w:t>
      </w:r>
      <w:r w:rsidR="002E67DD">
        <w:rPr>
          <w:rFonts w:ascii="Arial" w:eastAsia="Arial" w:hAnsi="Arial" w:cs="Arial"/>
          <w:color w:val="0D0D0D" w:themeColor="text1" w:themeTint="F2"/>
          <w:sz w:val="20"/>
          <w:szCs w:val="20"/>
        </w:rPr>
        <w:t xml:space="preserve">most part of </w:t>
      </w:r>
      <w:r w:rsidR="0039648B">
        <w:rPr>
          <w:rFonts w:ascii="Arial" w:eastAsia="Arial" w:hAnsi="Arial" w:cs="Arial"/>
          <w:color w:val="0D0D0D" w:themeColor="text1" w:themeTint="F2"/>
          <w:sz w:val="20"/>
          <w:szCs w:val="20"/>
        </w:rPr>
        <w:t>no</w:t>
      </w:r>
      <w:r w:rsidR="002E67DD">
        <w:rPr>
          <w:rFonts w:ascii="Arial" w:eastAsia="Arial" w:hAnsi="Arial" w:cs="Arial"/>
          <w:color w:val="0D0D0D" w:themeColor="text1" w:themeTint="F2"/>
          <w:sz w:val="20"/>
          <w:szCs w:val="20"/>
        </w:rPr>
        <w:t>n-</w:t>
      </w:r>
      <w:r w:rsidR="0039648B">
        <w:rPr>
          <w:rFonts w:ascii="Arial" w:eastAsia="Arial" w:hAnsi="Arial" w:cs="Arial"/>
          <w:color w:val="0D0D0D" w:themeColor="text1" w:themeTint="F2"/>
          <w:sz w:val="20"/>
          <w:szCs w:val="20"/>
        </w:rPr>
        <w:t xml:space="preserve"> prequalified cold chain equipment at district level p</w:t>
      </w:r>
      <w:r>
        <w:rPr>
          <w:rFonts w:ascii="Arial" w:eastAsia="Arial" w:hAnsi="Arial" w:cs="Arial"/>
          <w:color w:val="0D0D0D" w:themeColor="text1" w:themeTint="F2"/>
          <w:sz w:val="20"/>
          <w:szCs w:val="20"/>
        </w:rPr>
        <w:t xml:space="preserve">rocurement of </w:t>
      </w:r>
      <w:r w:rsidR="00255F97">
        <w:rPr>
          <w:rFonts w:ascii="Arial" w:eastAsia="Arial" w:hAnsi="Arial" w:cs="Arial"/>
          <w:color w:val="0D0D0D" w:themeColor="text1" w:themeTint="F2"/>
          <w:sz w:val="20"/>
          <w:szCs w:val="20"/>
        </w:rPr>
        <w:t>additional 4</w:t>
      </w:r>
      <w:r>
        <w:rPr>
          <w:rFonts w:ascii="Arial" w:eastAsia="Arial" w:hAnsi="Arial" w:cs="Arial"/>
          <w:color w:val="0D0D0D" w:themeColor="text1" w:themeTint="F2"/>
          <w:sz w:val="20"/>
          <w:szCs w:val="20"/>
        </w:rPr>
        <w:t>5</w:t>
      </w:r>
      <w:r w:rsidR="00255F97">
        <w:rPr>
          <w:rFonts w:ascii="Arial" w:eastAsia="Arial" w:hAnsi="Arial" w:cs="Arial"/>
          <w:color w:val="0D0D0D" w:themeColor="text1" w:themeTint="F2"/>
          <w:sz w:val="20"/>
          <w:szCs w:val="20"/>
        </w:rPr>
        <w:t xml:space="preserve"> MK 404 ref</w:t>
      </w:r>
      <w:r>
        <w:rPr>
          <w:rFonts w:ascii="Arial" w:eastAsia="Arial" w:hAnsi="Arial" w:cs="Arial"/>
          <w:color w:val="0D0D0D" w:themeColor="text1" w:themeTint="F2"/>
          <w:sz w:val="20"/>
          <w:szCs w:val="20"/>
        </w:rPr>
        <w:t>rigerators will be implemented by</w:t>
      </w:r>
      <w:r w:rsidR="0039648B">
        <w:rPr>
          <w:rFonts w:ascii="Arial" w:eastAsia="Arial" w:hAnsi="Arial" w:cs="Arial"/>
          <w:color w:val="0D0D0D" w:themeColor="text1" w:themeTint="F2"/>
          <w:sz w:val="20"/>
          <w:szCs w:val="20"/>
        </w:rPr>
        <w:t xml:space="preserve"> the Ministry of Health in 2014</w:t>
      </w:r>
      <w:r>
        <w:rPr>
          <w:rFonts w:ascii="Arial" w:eastAsia="Arial" w:hAnsi="Arial" w:cs="Arial"/>
          <w:color w:val="0D0D0D" w:themeColor="text1" w:themeTint="F2"/>
          <w:sz w:val="20"/>
          <w:szCs w:val="20"/>
        </w:rPr>
        <w:t xml:space="preserve"> </w:t>
      </w:r>
      <w:r w:rsidR="00771BEB">
        <w:rPr>
          <w:rFonts w:ascii="Arial" w:eastAsia="Arial" w:hAnsi="Arial" w:cs="Arial"/>
          <w:color w:val="0D0D0D" w:themeColor="text1" w:themeTint="F2"/>
          <w:sz w:val="20"/>
          <w:szCs w:val="20"/>
        </w:rPr>
        <w:t>using funding allocated in</w:t>
      </w:r>
      <w:r>
        <w:rPr>
          <w:rFonts w:ascii="Arial" w:eastAsia="Arial" w:hAnsi="Arial" w:cs="Arial"/>
          <w:color w:val="0D0D0D" w:themeColor="text1" w:themeTint="F2"/>
          <w:sz w:val="20"/>
          <w:szCs w:val="20"/>
        </w:rPr>
        <w:t xml:space="preserve"> PCV </w:t>
      </w:r>
      <w:r w:rsidR="0039648B">
        <w:rPr>
          <w:rFonts w:ascii="Arial" w:eastAsia="Arial" w:hAnsi="Arial" w:cs="Arial"/>
          <w:color w:val="0D0D0D" w:themeColor="text1" w:themeTint="F2"/>
          <w:sz w:val="20"/>
          <w:szCs w:val="20"/>
        </w:rPr>
        <w:t>VIG</w:t>
      </w:r>
      <w:r>
        <w:rPr>
          <w:rFonts w:ascii="Arial" w:eastAsia="Arial" w:hAnsi="Arial" w:cs="Arial"/>
          <w:color w:val="0D0D0D" w:themeColor="text1" w:themeTint="F2"/>
          <w:sz w:val="20"/>
          <w:szCs w:val="20"/>
        </w:rPr>
        <w:t xml:space="preserve"> </w:t>
      </w:r>
      <w:r w:rsidR="00771BEB">
        <w:rPr>
          <w:rFonts w:ascii="Arial" w:eastAsia="Arial" w:hAnsi="Arial" w:cs="Arial"/>
          <w:color w:val="0D0D0D" w:themeColor="text1" w:themeTint="F2"/>
          <w:sz w:val="20"/>
          <w:szCs w:val="20"/>
        </w:rPr>
        <w:t>budget</w:t>
      </w:r>
      <w:r>
        <w:rPr>
          <w:rFonts w:ascii="Arial" w:eastAsia="Arial" w:hAnsi="Arial" w:cs="Arial"/>
          <w:color w:val="0D0D0D" w:themeColor="text1" w:themeTint="F2"/>
          <w:sz w:val="20"/>
          <w:szCs w:val="20"/>
        </w:rPr>
        <w:t xml:space="preserve">. </w:t>
      </w:r>
      <w:r w:rsidR="00771BEB">
        <w:rPr>
          <w:rFonts w:ascii="Arial" w:eastAsia="Arial" w:hAnsi="Arial" w:cs="Arial"/>
          <w:color w:val="0D0D0D" w:themeColor="text1" w:themeTint="F2"/>
          <w:sz w:val="20"/>
          <w:szCs w:val="20"/>
        </w:rPr>
        <w:t xml:space="preserve">In order to ensure </w:t>
      </w:r>
      <w:r w:rsidR="00253CC3">
        <w:rPr>
          <w:rFonts w:ascii="Arial" w:eastAsia="Arial" w:hAnsi="Arial" w:cs="Arial"/>
          <w:color w:val="0D0D0D" w:themeColor="text1" w:themeTint="F2"/>
          <w:sz w:val="20"/>
          <w:szCs w:val="20"/>
        </w:rPr>
        <w:t xml:space="preserve">full replacement of non-prequalified cold chain equipment, another 24 MK 404 refrigerators has to be procured using IPV VIG. For </w:t>
      </w:r>
      <w:r w:rsidR="00771BEB">
        <w:rPr>
          <w:rFonts w:ascii="Arial" w:eastAsia="Arial" w:hAnsi="Arial" w:cs="Arial"/>
          <w:color w:val="0D0D0D" w:themeColor="text1" w:themeTint="F2"/>
          <w:sz w:val="20"/>
          <w:szCs w:val="20"/>
        </w:rPr>
        <w:t xml:space="preserve">proper temperature monitoring 150 Log Tags and 450 Freeze Tags </w:t>
      </w:r>
      <w:r w:rsidR="0039648B">
        <w:rPr>
          <w:rFonts w:ascii="Arial" w:eastAsia="Arial" w:hAnsi="Arial" w:cs="Arial"/>
          <w:color w:val="0D0D0D" w:themeColor="text1" w:themeTint="F2"/>
          <w:sz w:val="20"/>
          <w:szCs w:val="20"/>
        </w:rPr>
        <w:t>were</w:t>
      </w:r>
      <w:r w:rsidR="00253CC3">
        <w:rPr>
          <w:rFonts w:ascii="Arial" w:eastAsia="Arial" w:hAnsi="Arial" w:cs="Arial"/>
          <w:color w:val="0D0D0D" w:themeColor="text1" w:themeTint="F2"/>
          <w:sz w:val="20"/>
          <w:szCs w:val="20"/>
        </w:rPr>
        <w:t xml:space="preserve"> procured</w:t>
      </w:r>
      <w:r w:rsidR="00771BEB">
        <w:rPr>
          <w:rFonts w:ascii="Arial" w:eastAsia="Arial" w:hAnsi="Arial" w:cs="Arial"/>
          <w:color w:val="0D0D0D" w:themeColor="text1" w:themeTint="F2"/>
          <w:sz w:val="20"/>
          <w:szCs w:val="20"/>
        </w:rPr>
        <w:t xml:space="preserve"> in 2013 for distribution to </w:t>
      </w:r>
      <w:r w:rsidR="00B615D5">
        <w:rPr>
          <w:rFonts w:ascii="Arial" w:eastAsia="Arial" w:hAnsi="Arial" w:cs="Arial"/>
          <w:color w:val="0D0D0D" w:themeColor="text1" w:themeTint="F2"/>
          <w:sz w:val="20"/>
          <w:szCs w:val="20"/>
        </w:rPr>
        <w:t xml:space="preserve">district level stores; however the procured number is not enough to equip all vaccine refrigerators and additional number of Log Tag has to be procured to cover all needs at sub-national level. </w:t>
      </w:r>
      <w:r w:rsidR="00771BEB">
        <w:rPr>
          <w:rFonts w:ascii="Arial" w:eastAsia="Arial" w:hAnsi="Arial" w:cs="Arial"/>
          <w:color w:val="0D0D0D" w:themeColor="text1" w:themeTint="F2"/>
          <w:sz w:val="20"/>
          <w:szCs w:val="20"/>
        </w:rPr>
        <w:t xml:space="preserve">Trainings on Log tag and temperature monitoring </w:t>
      </w:r>
      <w:r w:rsidR="00B615D5">
        <w:rPr>
          <w:rFonts w:ascii="Arial" w:eastAsia="Arial" w:hAnsi="Arial" w:cs="Arial"/>
          <w:color w:val="0D0D0D" w:themeColor="text1" w:themeTint="F2"/>
          <w:sz w:val="20"/>
          <w:szCs w:val="20"/>
        </w:rPr>
        <w:t xml:space="preserve">was </w:t>
      </w:r>
      <w:r w:rsidR="00771BEB">
        <w:rPr>
          <w:rFonts w:ascii="Arial" w:eastAsia="Arial" w:hAnsi="Arial" w:cs="Arial"/>
          <w:color w:val="0D0D0D" w:themeColor="text1" w:themeTint="F2"/>
          <w:sz w:val="20"/>
          <w:szCs w:val="20"/>
        </w:rPr>
        <w:t>conducted by WHO consultant for national level</w:t>
      </w:r>
      <w:r w:rsidR="00B615D5">
        <w:rPr>
          <w:rFonts w:ascii="Arial" w:eastAsia="Arial" w:hAnsi="Arial" w:cs="Arial"/>
          <w:color w:val="0D0D0D" w:themeColor="text1" w:themeTint="F2"/>
          <w:sz w:val="20"/>
          <w:szCs w:val="20"/>
        </w:rPr>
        <w:t xml:space="preserve"> in June 2014</w:t>
      </w:r>
      <w:r w:rsidR="00771BEB">
        <w:rPr>
          <w:rFonts w:ascii="Arial" w:eastAsia="Arial" w:hAnsi="Arial" w:cs="Arial"/>
          <w:color w:val="0D0D0D" w:themeColor="text1" w:themeTint="F2"/>
          <w:sz w:val="20"/>
          <w:szCs w:val="20"/>
        </w:rPr>
        <w:t xml:space="preserve">. </w:t>
      </w:r>
      <w:r w:rsidR="00B615D5">
        <w:rPr>
          <w:rFonts w:ascii="Arial" w:eastAsia="Arial" w:hAnsi="Arial" w:cs="Arial"/>
          <w:color w:val="0D0D0D" w:themeColor="text1" w:themeTint="F2"/>
          <w:sz w:val="20"/>
          <w:szCs w:val="20"/>
        </w:rPr>
        <w:t>Training for district level has been already initiated, covering 5 districts of Baku</w:t>
      </w:r>
      <w:r w:rsidR="0039648B">
        <w:rPr>
          <w:rFonts w:ascii="Arial" w:eastAsia="Arial" w:hAnsi="Arial" w:cs="Arial"/>
          <w:color w:val="0D0D0D" w:themeColor="text1" w:themeTint="F2"/>
          <w:sz w:val="20"/>
          <w:szCs w:val="20"/>
        </w:rPr>
        <w:t xml:space="preserve"> and related funding is </w:t>
      </w:r>
      <w:r w:rsidR="0039648B" w:rsidRPr="0039648B">
        <w:rPr>
          <w:rFonts w:ascii="Arial" w:eastAsia="Arial" w:hAnsi="Arial" w:cs="Arial"/>
          <w:color w:val="0D0D0D" w:themeColor="text1" w:themeTint="F2"/>
          <w:sz w:val="20"/>
          <w:szCs w:val="20"/>
        </w:rPr>
        <w:t xml:space="preserve">allocated in PCV </w:t>
      </w:r>
      <w:r w:rsidR="0039648B">
        <w:rPr>
          <w:rFonts w:ascii="Arial" w:eastAsia="Arial" w:hAnsi="Arial" w:cs="Arial"/>
          <w:color w:val="0D0D0D" w:themeColor="text1" w:themeTint="F2"/>
          <w:sz w:val="20"/>
          <w:szCs w:val="20"/>
        </w:rPr>
        <w:t>VIG</w:t>
      </w:r>
      <w:r w:rsidR="0039648B" w:rsidRPr="0039648B">
        <w:rPr>
          <w:rFonts w:ascii="Arial" w:eastAsia="Arial" w:hAnsi="Arial" w:cs="Arial"/>
          <w:color w:val="0D0D0D" w:themeColor="text1" w:themeTint="F2"/>
          <w:sz w:val="20"/>
          <w:szCs w:val="20"/>
        </w:rPr>
        <w:t xml:space="preserve"> budget</w:t>
      </w:r>
      <w:r w:rsidR="0039648B">
        <w:rPr>
          <w:rFonts w:ascii="Arial" w:eastAsia="Arial" w:hAnsi="Arial" w:cs="Arial"/>
          <w:color w:val="0D0D0D" w:themeColor="text1" w:themeTint="F2"/>
          <w:sz w:val="20"/>
          <w:szCs w:val="20"/>
        </w:rPr>
        <w:t xml:space="preserve">. </w:t>
      </w:r>
    </w:p>
    <w:p w:rsidR="0039648B" w:rsidRDefault="0039648B" w:rsidP="000912B0">
      <w:pPr>
        <w:spacing w:after="180" w:line="240" w:lineRule="auto"/>
        <w:ind w:left="60"/>
        <w:jc w:val="both"/>
        <w:rPr>
          <w:rFonts w:ascii="Arial" w:eastAsia="Arial" w:hAnsi="Arial" w:cs="Arial"/>
          <w:color w:val="0D0D0D" w:themeColor="text1" w:themeTint="F2"/>
          <w:sz w:val="20"/>
          <w:szCs w:val="20"/>
        </w:rPr>
      </w:pPr>
      <w:r>
        <w:rPr>
          <w:rFonts w:ascii="Arial" w:eastAsia="Arial" w:hAnsi="Arial" w:cs="Arial"/>
          <w:color w:val="0D0D0D" w:themeColor="text1" w:themeTint="F2"/>
          <w:sz w:val="20"/>
          <w:szCs w:val="20"/>
        </w:rPr>
        <w:t xml:space="preserve">At service provider level, among </w:t>
      </w:r>
      <w:r w:rsidR="005F5D9C" w:rsidRPr="005F5D9C">
        <w:rPr>
          <w:rFonts w:ascii="Arial" w:eastAsia="Arial" w:hAnsi="Arial" w:cs="Arial"/>
          <w:color w:val="0D0D0D" w:themeColor="text1" w:themeTint="F2"/>
          <w:sz w:val="20"/>
          <w:szCs w:val="20"/>
        </w:rPr>
        <w:t>2265</w:t>
      </w:r>
      <w:r w:rsidR="005F5D9C">
        <w:rPr>
          <w:rFonts w:ascii="Arial" w:eastAsia="Arial" w:hAnsi="Arial" w:cs="Arial"/>
          <w:color w:val="0D0D0D" w:themeColor="text1" w:themeTint="F2"/>
          <w:sz w:val="20"/>
          <w:szCs w:val="20"/>
        </w:rPr>
        <w:t xml:space="preserve"> vaccination points only </w:t>
      </w:r>
      <w:r w:rsidR="005F5D9C" w:rsidRPr="005F5D9C">
        <w:rPr>
          <w:rFonts w:ascii="Arial" w:eastAsia="Arial" w:hAnsi="Arial" w:cs="Arial"/>
          <w:color w:val="0D0D0D" w:themeColor="text1" w:themeTint="F2"/>
          <w:sz w:val="20"/>
          <w:szCs w:val="20"/>
        </w:rPr>
        <w:t>1179</w:t>
      </w:r>
      <w:r w:rsidR="005F5D9C">
        <w:rPr>
          <w:rFonts w:ascii="Arial" w:eastAsia="Arial" w:hAnsi="Arial" w:cs="Arial"/>
          <w:color w:val="0D0D0D" w:themeColor="text1" w:themeTint="F2"/>
          <w:sz w:val="20"/>
          <w:szCs w:val="20"/>
        </w:rPr>
        <w:t xml:space="preserve"> </w:t>
      </w:r>
      <w:r w:rsidR="005F5D9C" w:rsidRPr="005F5D9C">
        <w:rPr>
          <w:rFonts w:ascii="Arial" w:eastAsia="Arial" w:hAnsi="Arial" w:cs="Arial"/>
          <w:color w:val="0D0D0D" w:themeColor="text1" w:themeTint="F2"/>
          <w:sz w:val="20"/>
          <w:szCs w:val="20"/>
        </w:rPr>
        <w:t>(47%)</w:t>
      </w:r>
      <w:r w:rsidR="005F5D9C">
        <w:rPr>
          <w:rFonts w:ascii="Arial" w:eastAsia="Arial" w:hAnsi="Arial" w:cs="Arial"/>
          <w:color w:val="0D0D0D" w:themeColor="text1" w:themeTint="F2"/>
          <w:sz w:val="20"/>
          <w:szCs w:val="20"/>
        </w:rPr>
        <w:t xml:space="preserve"> have functioning refrigerator for vaccine storage. Since fund flow for </w:t>
      </w:r>
      <w:proofErr w:type="spellStart"/>
      <w:r w:rsidR="005F5D9C">
        <w:rPr>
          <w:rFonts w:ascii="Arial" w:eastAsia="Arial" w:hAnsi="Arial" w:cs="Arial"/>
          <w:color w:val="0D0D0D" w:themeColor="text1" w:themeTint="F2"/>
          <w:sz w:val="20"/>
          <w:szCs w:val="20"/>
        </w:rPr>
        <w:t>phc</w:t>
      </w:r>
      <w:proofErr w:type="spellEnd"/>
      <w:r w:rsidR="005F5D9C">
        <w:rPr>
          <w:rFonts w:ascii="Arial" w:eastAsia="Arial" w:hAnsi="Arial" w:cs="Arial"/>
          <w:color w:val="0D0D0D" w:themeColor="text1" w:themeTint="F2"/>
          <w:sz w:val="20"/>
          <w:szCs w:val="20"/>
        </w:rPr>
        <w:t xml:space="preserve"> level comes from District Health Authority from budget allocated by District Executive Power</w:t>
      </w:r>
      <w:r w:rsidR="00B97A5F">
        <w:rPr>
          <w:rFonts w:ascii="Arial" w:eastAsia="Arial" w:hAnsi="Arial" w:cs="Arial"/>
          <w:color w:val="0D0D0D" w:themeColor="text1" w:themeTint="F2"/>
          <w:sz w:val="20"/>
          <w:szCs w:val="20"/>
        </w:rPr>
        <w:t xml:space="preserve">, the situation varies from district to district. </w:t>
      </w:r>
      <w:r w:rsidR="00B97A5F" w:rsidRPr="00B97A5F">
        <w:rPr>
          <w:rFonts w:ascii="Arial" w:eastAsia="Arial" w:hAnsi="Arial" w:cs="Arial"/>
          <w:color w:val="0D0D0D" w:themeColor="text1" w:themeTint="F2"/>
          <w:sz w:val="20"/>
          <w:szCs w:val="20"/>
        </w:rPr>
        <w:t xml:space="preserve"> </w:t>
      </w:r>
      <w:r w:rsidR="00B97A5F">
        <w:rPr>
          <w:rFonts w:ascii="Arial" w:eastAsia="Arial" w:hAnsi="Arial" w:cs="Arial"/>
          <w:color w:val="0D0D0D" w:themeColor="text1" w:themeTint="F2"/>
          <w:sz w:val="20"/>
          <w:szCs w:val="20"/>
        </w:rPr>
        <w:t xml:space="preserve">Most of facilities which not equipped by refrigerators are medical points supervised by </w:t>
      </w:r>
      <w:r w:rsidR="00B97A5F" w:rsidRPr="005F5D9C">
        <w:rPr>
          <w:rFonts w:ascii="Arial" w:eastAsia="Arial" w:hAnsi="Arial" w:cs="Arial"/>
          <w:color w:val="0D0D0D" w:themeColor="text1" w:themeTint="F2"/>
          <w:sz w:val="20"/>
          <w:szCs w:val="20"/>
        </w:rPr>
        <w:t>surrounding</w:t>
      </w:r>
      <w:r w:rsidR="00B97A5F">
        <w:rPr>
          <w:rFonts w:ascii="Arial" w:eastAsia="Arial" w:hAnsi="Arial" w:cs="Arial"/>
          <w:color w:val="0D0D0D" w:themeColor="text1" w:themeTint="F2"/>
          <w:sz w:val="20"/>
          <w:szCs w:val="20"/>
        </w:rPr>
        <w:t xml:space="preserve"> doctor point; vaccination at this medical points provided directly by outreach team from doctor point. Another issue for this level is notable shortage of thermometers. Procurement of 3500 dial thermometers will be conducted in 2014 us</w:t>
      </w:r>
      <w:r w:rsidR="00C7357C">
        <w:rPr>
          <w:rFonts w:ascii="Arial" w:eastAsia="Arial" w:hAnsi="Arial" w:cs="Arial"/>
          <w:color w:val="0D0D0D" w:themeColor="text1" w:themeTint="F2"/>
          <w:sz w:val="20"/>
          <w:szCs w:val="20"/>
        </w:rPr>
        <w:t>ing budget allocated in PCV VIG; and Log Tag procurement for service providers with large size of target group will be budgeted in IPV VIG.</w:t>
      </w:r>
      <w:r w:rsidR="00B97A5F">
        <w:rPr>
          <w:rFonts w:ascii="Arial" w:eastAsia="Arial" w:hAnsi="Arial" w:cs="Arial"/>
          <w:color w:val="0D0D0D" w:themeColor="text1" w:themeTint="F2"/>
          <w:sz w:val="20"/>
          <w:szCs w:val="20"/>
        </w:rPr>
        <w:t xml:space="preserve"> According to latest EVM results, </w:t>
      </w:r>
      <w:r w:rsidR="00C7357C">
        <w:rPr>
          <w:rFonts w:ascii="Arial" w:eastAsia="Arial" w:hAnsi="Arial" w:cs="Arial"/>
          <w:color w:val="0D0D0D" w:themeColor="text1" w:themeTint="F2"/>
          <w:sz w:val="20"/>
          <w:szCs w:val="20"/>
        </w:rPr>
        <w:t>another</w:t>
      </w:r>
      <w:r w:rsidR="00B97A5F">
        <w:rPr>
          <w:rFonts w:ascii="Arial" w:eastAsia="Arial" w:hAnsi="Arial" w:cs="Arial"/>
          <w:color w:val="0D0D0D" w:themeColor="text1" w:themeTint="F2"/>
          <w:sz w:val="20"/>
          <w:szCs w:val="20"/>
        </w:rPr>
        <w:t xml:space="preserve"> critical </w:t>
      </w:r>
      <w:r w:rsidR="00C7357C">
        <w:rPr>
          <w:rFonts w:ascii="Arial" w:eastAsia="Arial" w:hAnsi="Arial" w:cs="Arial"/>
          <w:color w:val="0D0D0D" w:themeColor="text1" w:themeTint="F2"/>
          <w:sz w:val="20"/>
          <w:szCs w:val="20"/>
        </w:rPr>
        <w:t>issue</w:t>
      </w:r>
      <w:r w:rsidR="00B97A5F">
        <w:rPr>
          <w:rFonts w:ascii="Arial" w:eastAsia="Arial" w:hAnsi="Arial" w:cs="Arial"/>
          <w:color w:val="0D0D0D" w:themeColor="text1" w:themeTint="F2"/>
          <w:sz w:val="20"/>
          <w:szCs w:val="20"/>
        </w:rPr>
        <w:t xml:space="preserve"> at service provider level, which has not find solution </w:t>
      </w:r>
      <w:r w:rsidR="00C7357C">
        <w:rPr>
          <w:rFonts w:ascii="Arial" w:eastAsia="Arial" w:hAnsi="Arial" w:cs="Arial"/>
          <w:color w:val="0D0D0D" w:themeColor="text1" w:themeTint="F2"/>
          <w:sz w:val="20"/>
          <w:szCs w:val="20"/>
        </w:rPr>
        <w:t>yet,</w:t>
      </w:r>
      <w:r w:rsidR="00B97A5F">
        <w:rPr>
          <w:rFonts w:ascii="Arial" w:eastAsia="Arial" w:hAnsi="Arial" w:cs="Arial"/>
          <w:color w:val="0D0D0D" w:themeColor="text1" w:themeTint="F2"/>
          <w:sz w:val="20"/>
          <w:szCs w:val="20"/>
        </w:rPr>
        <w:t xml:space="preserve"> is </w:t>
      </w:r>
      <w:r w:rsidR="00C7357C">
        <w:rPr>
          <w:rFonts w:ascii="Arial" w:eastAsia="Arial" w:hAnsi="Arial" w:cs="Arial"/>
          <w:color w:val="0D0D0D" w:themeColor="text1" w:themeTint="F2"/>
          <w:sz w:val="20"/>
          <w:szCs w:val="20"/>
        </w:rPr>
        <w:t>absence</w:t>
      </w:r>
      <w:r w:rsidR="00B97A5F">
        <w:rPr>
          <w:rFonts w:ascii="Arial" w:eastAsia="Arial" w:hAnsi="Arial" w:cs="Arial"/>
          <w:color w:val="0D0D0D" w:themeColor="text1" w:themeTint="F2"/>
          <w:sz w:val="20"/>
          <w:szCs w:val="20"/>
        </w:rPr>
        <w:t xml:space="preserve"> of freeze indicators </w:t>
      </w:r>
      <w:r w:rsidR="00C7357C">
        <w:rPr>
          <w:rFonts w:ascii="Arial" w:eastAsia="Arial" w:hAnsi="Arial" w:cs="Arial"/>
          <w:color w:val="0D0D0D" w:themeColor="text1" w:themeTint="F2"/>
          <w:sz w:val="20"/>
          <w:szCs w:val="20"/>
        </w:rPr>
        <w:t>for</w:t>
      </w:r>
      <w:r w:rsidR="00B97A5F">
        <w:rPr>
          <w:rFonts w:ascii="Arial" w:eastAsia="Arial" w:hAnsi="Arial" w:cs="Arial"/>
          <w:color w:val="0D0D0D" w:themeColor="text1" w:themeTint="F2"/>
          <w:sz w:val="20"/>
          <w:szCs w:val="20"/>
        </w:rPr>
        <w:t xml:space="preserve"> storage</w:t>
      </w:r>
      <w:r w:rsidR="00631D1D" w:rsidRPr="00631D1D">
        <w:rPr>
          <w:rFonts w:ascii="Arial" w:eastAsia="Arial" w:hAnsi="Arial" w:cs="Arial"/>
          <w:color w:val="0D0D0D" w:themeColor="text1" w:themeTint="F2"/>
          <w:sz w:val="20"/>
          <w:szCs w:val="20"/>
        </w:rPr>
        <w:t xml:space="preserve"> </w:t>
      </w:r>
      <w:r w:rsidR="00631D1D">
        <w:rPr>
          <w:rFonts w:ascii="Arial" w:eastAsia="Arial" w:hAnsi="Arial" w:cs="Arial"/>
          <w:color w:val="0D0D0D" w:themeColor="text1" w:themeTint="F2"/>
          <w:sz w:val="20"/>
          <w:szCs w:val="20"/>
        </w:rPr>
        <w:t>and transportation</w:t>
      </w:r>
      <w:r w:rsidR="00B97A5F">
        <w:rPr>
          <w:rFonts w:ascii="Arial" w:eastAsia="Arial" w:hAnsi="Arial" w:cs="Arial"/>
          <w:color w:val="0D0D0D" w:themeColor="text1" w:themeTint="F2"/>
          <w:sz w:val="20"/>
          <w:szCs w:val="20"/>
        </w:rPr>
        <w:t xml:space="preserve">. </w:t>
      </w:r>
      <w:r w:rsidR="00C7357C">
        <w:rPr>
          <w:rFonts w:ascii="Arial" w:eastAsia="Arial" w:hAnsi="Arial" w:cs="Arial"/>
          <w:color w:val="0D0D0D" w:themeColor="text1" w:themeTint="F2"/>
          <w:sz w:val="20"/>
          <w:szCs w:val="20"/>
        </w:rPr>
        <w:t>In order to address this challenge the required funding will be budgeted in IPV VIG.</w:t>
      </w:r>
    </w:p>
    <w:p w:rsidR="00631D1D" w:rsidRDefault="00C7357C" w:rsidP="000912B0">
      <w:pPr>
        <w:spacing w:after="180" w:line="240" w:lineRule="auto"/>
        <w:ind w:left="60"/>
        <w:jc w:val="both"/>
        <w:rPr>
          <w:rFonts w:ascii="Arial" w:eastAsia="Arial" w:hAnsi="Arial" w:cs="Arial"/>
          <w:color w:val="0D0D0D" w:themeColor="text1" w:themeTint="F2"/>
          <w:sz w:val="20"/>
          <w:szCs w:val="20"/>
        </w:rPr>
      </w:pPr>
      <w:r w:rsidRPr="00C7357C">
        <w:rPr>
          <w:rFonts w:ascii="Arial" w:eastAsia="Arial" w:hAnsi="Arial" w:cs="Arial"/>
          <w:color w:val="0D0D0D" w:themeColor="text1" w:themeTint="F2"/>
          <w:sz w:val="20"/>
          <w:szCs w:val="20"/>
        </w:rPr>
        <w:t>Azerbaijan has 3 levels in vaccine distribution system, national, sub-national (district Hygiene and Epidemiology Center- LD) and service provider. Vaccine</w:t>
      </w:r>
      <w:r>
        <w:rPr>
          <w:rFonts w:ascii="Arial" w:eastAsia="Arial" w:hAnsi="Arial" w:cs="Arial"/>
          <w:color w:val="0D0D0D" w:themeColor="text1" w:themeTint="F2"/>
          <w:sz w:val="20"/>
          <w:szCs w:val="20"/>
        </w:rPr>
        <w:t xml:space="preserve"> </w:t>
      </w:r>
      <w:r w:rsidR="00631D1D">
        <w:rPr>
          <w:rFonts w:ascii="Arial" w:eastAsia="Arial" w:hAnsi="Arial" w:cs="Arial"/>
          <w:color w:val="0D0D0D" w:themeColor="text1" w:themeTint="F2"/>
          <w:sz w:val="20"/>
          <w:szCs w:val="20"/>
        </w:rPr>
        <w:t xml:space="preserve">and </w:t>
      </w:r>
      <w:r>
        <w:rPr>
          <w:rFonts w:ascii="Arial" w:eastAsia="Arial" w:hAnsi="Arial" w:cs="Arial"/>
          <w:color w:val="0D0D0D" w:themeColor="text1" w:themeTint="F2"/>
          <w:sz w:val="20"/>
          <w:szCs w:val="20"/>
        </w:rPr>
        <w:t>supplies</w:t>
      </w:r>
      <w:r w:rsidRPr="00C7357C">
        <w:rPr>
          <w:rFonts w:ascii="Arial" w:eastAsia="Arial" w:hAnsi="Arial" w:cs="Arial"/>
          <w:color w:val="0D0D0D" w:themeColor="text1" w:themeTint="F2"/>
          <w:sz w:val="20"/>
          <w:szCs w:val="20"/>
        </w:rPr>
        <w:t xml:space="preserve"> from national store to sub-national stores distributed by Innovation and Supply Center</w:t>
      </w:r>
      <w:r w:rsidR="00631D1D">
        <w:rPr>
          <w:rFonts w:ascii="Arial" w:eastAsia="Arial" w:hAnsi="Arial" w:cs="Arial"/>
          <w:color w:val="0D0D0D" w:themeColor="text1" w:themeTint="F2"/>
          <w:sz w:val="20"/>
          <w:szCs w:val="20"/>
        </w:rPr>
        <w:t xml:space="preserve"> vehicles</w:t>
      </w:r>
      <w:r w:rsidRPr="00C7357C">
        <w:rPr>
          <w:rFonts w:ascii="Arial" w:eastAsia="Arial" w:hAnsi="Arial" w:cs="Arial"/>
          <w:color w:val="0D0D0D" w:themeColor="text1" w:themeTint="F2"/>
          <w:sz w:val="20"/>
          <w:szCs w:val="20"/>
        </w:rPr>
        <w:t>. Refrigerated tracks</w:t>
      </w:r>
      <w:r w:rsidR="00631D1D">
        <w:rPr>
          <w:rFonts w:ascii="Arial" w:eastAsia="Arial" w:hAnsi="Arial" w:cs="Arial"/>
          <w:color w:val="0D0D0D" w:themeColor="text1" w:themeTint="F2"/>
          <w:sz w:val="20"/>
          <w:szCs w:val="20"/>
        </w:rPr>
        <w:t xml:space="preserve"> used for vaccine distribution</w:t>
      </w:r>
      <w:r w:rsidRPr="00C7357C">
        <w:rPr>
          <w:rFonts w:ascii="Arial" w:eastAsia="Arial" w:hAnsi="Arial" w:cs="Arial"/>
          <w:color w:val="0D0D0D" w:themeColor="text1" w:themeTint="F2"/>
          <w:sz w:val="20"/>
          <w:szCs w:val="20"/>
        </w:rPr>
        <w:t xml:space="preserve"> are also equipped by log tags, in line with recommendations provided by WHO consultant. Since refrigerated trucks do not have self-sustained diesel refrigeration units and stand-by electrical power systems for refrigeration, for vaccines transportation insulated shipping containers with icepacks are used. </w:t>
      </w:r>
      <w:r w:rsidR="00631D1D">
        <w:rPr>
          <w:rFonts w:ascii="Arial" w:eastAsia="Arial" w:hAnsi="Arial" w:cs="Arial"/>
          <w:color w:val="0D0D0D" w:themeColor="text1" w:themeTint="F2"/>
          <w:sz w:val="20"/>
          <w:szCs w:val="20"/>
        </w:rPr>
        <w:t xml:space="preserve"> From districts stores service providers collect and deliver v</w:t>
      </w:r>
      <w:r>
        <w:rPr>
          <w:rFonts w:ascii="Arial" w:eastAsia="Arial" w:hAnsi="Arial" w:cs="Arial"/>
          <w:color w:val="0D0D0D" w:themeColor="text1" w:themeTint="F2"/>
          <w:sz w:val="20"/>
          <w:szCs w:val="20"/>
        </w:rPr>
        <w:t>accines &amp;</w:t>
      </w:r>
      <w:r w:rsidR="00631D1D">
        <w:rPr>
          <w:rFonts w:ascii="Arial" w:eastAsia="Arial" w:hAnsi="Arial" w:cs="Arial"/>
          <w:color w:val="0D0D0D" w:themeColor="text1" w:themeTint="F2"/>
          <w:sz w:val="20"/>
          <w:szCs w:val="20"/>
        </w:rPr>
        <w:t xml:space="preserve"> supplies in cold boxes with ice-packs. During transportation from district to service provider, no temperature indicator is used except VVM.  The </w:t>
      </w:r>
      <w:r w:rsidR="00E30C13">
        <w:rPr>
          <w:rFonts w:ascii="Arial" w:eastAsia="Arial" w:hAnsi="Arial" w:cs="Arial"/>
          <w:color w:val="0D0D0D" w:themeColor="text1" w:themeTint="F2"/>
          <w:sz w:val="20"/>
          <w:szCs w:val="20"/>
        </w:rPr>
        <w:t xml:space="preserve">recent EVM assessment </w:t>
      </w:r>
      <w:r w:rsidR="00631D1D">
        <w:rPr>
          <w:rFonts w:ascii="Arial" w:eastAsia="Arial" w:hAnsi="Arial" w:cs="Arial"/>
          <w:color w:val="0D0D0D" w:themeColor="text1" w:themeTint="F2"/>
          <w:sz w:val="20"/>
          <w:szCs w:val="20"/>
        </w:rPr>
        <w:t xml:space="preserve">main recommendation in relation to vaccine transportation is to ensure use of freeze indicators. </w:t>
      </w:r>
    </w:p>
    <w:p w:rsidR="00C7357C" w:rsidRDefault="00C7357C" w:rsidP="000912B0">
      <w:pPr>
        <w:spacing w:after="180" w:line="240" w:lineRule="auto"/>
        <w:ind w:left="60"/>
        <w:jc w:val="both"/>
        <w:rPr>
          <w:rFonts w:ascii="Arial" w:eastAsia="Arial" w:hAnsi="Arial" w:cs="Arial"/>
          <w:color w:val="0D0D0D" w:themeColor="text1" w:themeTint="F2"/>
          <w:sz w:val="20"/>
          <w:szCs w:val="20"/>
        </w:rPr>
      </w:pPr>
    </w:p>
    <w:p w:rsidR="00C7357C" w:rsidRDefault="00C7357C" w:rsidP="000912B0">
      <w:pPr>
        <w:spacing w:after="180" w:line="240" w:lineRule="auto"/>
        <w:ind w:left="60"/>
        <w:jc w:val="both"/>
        <w:rPr>
          <w:rFonts w:ascii="Arial" w:eastAsia="Arial" w:hAnsi="Arial" w:cs="Arial"/>
          <w:color w:val="0D0D0D" w:themeColor="text1" w:themeTint="F2"/>
          <w:sz w:val="20"/>
          <w:szCs w:val="20"/>
        </w:rPr>
      </w:pPr>
    </w:p>
    <w:p w:rsidR="00C7357C" w:rsidRDefault="00C7357C" w:rsidP="000912B0">
      <w:pPr>
        <w:spacing w:after="180" w:line="240" w:lineRule="auto"/>
        <w:ind w:left="60"/>
        <w:jc w:val="both"/>
        <w:rPr>
          <w:rFonts w:ascii="Arial" w:eastAsia="Arial" w:hAnsi="Arial" w:cs="Arial"/>
          <w:color w:val="0D0D0D" w:themeColor="text1" w:themeTint="F2"/>
          <w:sz w:val="20"/>
          <w:szCs w:val="20"/>
        </w:rPr>
      </w:pPr>
    </w:p>
    <w:p w:rsidR="00C7357C" w:rsidRDefault="00C7357C" w:rsidP="000912B0">
      <w:pPr>
        <w:spacing w:after="180" w:line="240" w:lineRule="auto"/>
        <w:ind w:left="60"/>
        <w:jc w:val="both"/>
        <w:rPr>
          <w:rFonts w:ascii="Arial" w:eastAsia="Arial" w:hAnsi="Arial" w:cs="Arial"/>
          <w:color w:val="0D0D0D" w:themeColor="text1" w:themeTint="F2"/>
          <w:sz w:val="20"/>
          <w:szCs w:val="20"/>
        </w:rPr>
      </w:pPr>
    </w:p>
    <w:p w:rsidR="00C7357C" w:rsidRDefault="00C7357C" w:rsidP="000912B0">
      <w:pPr>
        <w:spacing w:after="180" w:line="240" w:lineRule="auto"/>
        <w:ind w:left="60"/>
        <w:jc w:val="both"/>
        <w:rPr>
          <w:rFonts w:ascii="Arial" w:eastAsia="Arial" w:hAnsi="Arial" w:cs="Arial"/>
          <w:color w:val="0D0D0D" w:themeColor="text1" w:themeTint="F2"/>
          <w:sz w:val="20"/>
          <w:szCs w:val="20"/>
        </w:rPr>
      </w:pPr>
    </w:p>
    <w:p w:rsidR="00FC0EBC" w:rsidRPr="0039648B" w:rsidRDefault="0039648B" w:rsidP="000912B0">
      <w:pPr>
        <w:spacing w:after="180" w:line="240" w:lineRule="auto"/>
        <w:ind w:left="60"/>
        <w:jc w:val="both"/>
        <w:rPr>
          <w:rFonts w:ascii="Arial" w:eastAsia="Arial" w:hAnsi="Arial" w:cs="Arial"/>
          <w:b/>
          <w:color w:val="0D0D0D" w:themeColor="text1" w:themeTint="F2"/>
          <w:sz w:val="20"/>
          <w:szCs w:val="20"/>
        </w:rPr>
      </w:pPr>
      <w:r w:rsidRPr="0039648B">
        <w:rPr>
          <w:rFonts w:ascii="Arial" w:eastAsia="Arial" w:hAnsi="Arial" w:cs="Arial"/>
          <w:b/>
          <w:color w:val="0D0D0D" w:themeColor="text1" w:themeTint="F2"/>
          <w:sz w:val="20"/>
          <w:szCs w:val="20"/>
        </w:rPr>
        <w:t>Figure 2- Vaccine distribution</w:t>
      </w:r>
    </w:p>
    <w:p w:rsidR="00FC0EBC" w:rsidRDefault="00FC0EBC" w:rsidP="000912B0">
      <w:pPr>
        <w:spacing w:after="180" w:line="240" w:lineRule="auto"/>
        <w:ind w:left="60"/>
        <w:jc w:val="both"/>
        <w:rPr>
          <w:rFonts w:ascii="Arial" w:eastAsia="Arial" w:hAnsi="Arial" w:cs="Arial"/>
          <w:color w:val="0D0D0D" w:themeColor="text1" w:themeTint="F2"/>
          <w:sz w:val="20"/>
          <w:szCs w:val="20"/>
        </w:rPr>
      </w:pPr>
    </w:p>
    <w:p w:rsidR="00FC0EBC" w:rsidRDefault="00FC0EBC" w:rsidP="000912B0">
      <w:pPr>
        <w:spacing w:after="180" w:line="240" w:lineRule="auto"/>
        <w:ind w:left="60"/>
        <w:jc w:val="both"/>
      </w:pPr>
      <w:r>
        <w:object w:dxaOrig="6905" w:dyaOrig="4524">
          <v:shape id="_x0000_i1026" type="#_x0000_t75" style="width:345.35pt;height:226.3pt" o:ole="" o:bordertopcolor="this" o:borderleftcolor="this" o:borderbottomcolor="this" o:borderrightcolor="this">
            <v:imagedata r:id="rId13" o:title=""/>
            <w10:bordertop type="single" width="4"/>
            <w10:borderleft type="single" width="4"/>
            <w10:borderbottom type="single" width="4"/>
            <w10:borderright type="single" width="4"/>
          </v:shape>
          <o:OLEObject Type="Embed" ProgID="RFFlow4" ShapeID="_x0000_i1026" DrawAspect="Content" ObjectID="_1472394866" r:id="rId14"/>
        </w:object>
      </w:r>
    </w:p>
    <w:p w:rsidR="00C7357C" w:rsidRDefault="00DB59A8" w:rsidP="000912B0">
      <w:pPr>
        <w:spacing w:after="180" w:line="240" w:lineRule="auto"/>
        <w:ind w:left="60"/>
        <w:jc w:val="both"/>
        <w:rPr>
          <w:rFonts w:ascii="Arial" w:eastAsia="Arial" w:hAnsi="Arial" w:cs="Arial"/>
          <w:color w:val="0D0D0D" w:themeColor="text1" w:themeTint="F2"/>
          <w:sz w:val="20"/>
          <w:szCs w:val="20"/>
        </w:rPr>
      </w:pPr>
      <w:r>
        <w:rPr>
          <w:rFonts w:ascii="Arial" w:eastAsia="Arial" w:hAnsi="Arial" w:cs="Arial"/>
          <w:color w:val="0D0D0D" w:themeColor="text1" w:themeTint="F2"/>
          <w:sz w:val="20"/>
          <w:szCs w:val="20"/>
        </w:rPr>
        <w:t xml:space="preserve">According to EVM assessment results stock records system in place and functioning, however set up standards and procedures not always fully implemented at district and service provider levels. The main gap is absence of separate records on diluents; dispute the fact that in line with national requirements quantity of diluent has to be clearly indicated in vaccine&amp; supply log books, this information is always missing at district and service provider levels. </w:t>
      </w:r>
      <w:r w:rsidR="0064477C">
        <w:rPr>
          <w:rFonts w:ascii="Arial" w:eastAsia="Arial" w:hAnsi="Arial" w:cs="Arial"/>
          <w:color w:val="0D0D0D" w:themeColor="text1" w:themeTint="F2"/>
          <w:sz w:val="20"/>
          <w:szCs w:val="20"/>
        </w:rPr>
        <w:t xml:space="preserve">Also modification required to stock management documents in order to reflect status of </w:t>
      </w:r>
      <w:r w:rsidR="002E67DD">
        <w:rPr>
          <w:rFonts w:ascii="Arial" w:eastAsia="Arial" w:hAnsi="Arial" w:cs="Arial"/>
          <w:color w:val="0D0D0D" w:themeColor="text1" w:themeTint="F2"/>
          <w:sz w:val="20"/>
          <w:szCs w:val="20"/>
        </w:rPr>
        <w:t>temperature</w:t>
      </w:r>
      <w:r w:rsidR="0064477C">
        <w:rPr>
          <w:rFonts w:ascii="Arial" w:eastAsia="Arial" w:hAnsi="Arial" w:cs="Arial"/>
          <w:color w:val="0D0D0D" w:themeColor="text1" w:themeTint="F2"/>
          <w:sz w:val="20"/>
          <w:szCs w:val="20"/>
        </w:rPr>
        <w:t xml:space="preserve"> indicator</w:t>
      </w:r>
      <w:r w:rsidR="002E67DD">
        <w:rPr>
          <w:rFonts w:ascii="Arial" w:eastAsia="Arial" w:hAnsi="Arial" w:cs="Arial"/>
          <w:color w:val="0D0D0D" w:themeColor="text1" w:themeTint="F2"/>
          <w:sz w:val="20"/>
          <w:szCs w:val="20"/>
        </w:rPr>
        <w:t xml:space="preserve">s, particularly freeze indicator, </w:t>
      </w:r>
      <w:r w:rsidR="0064477C">
        <w:rPr>
          <w:rFonts w:ascii="Arial" w:eastAsia="Arial" w:hAnsi="Arial" w:cs="Arial"/>
          <w:color w:val="0D0D0D" w:themeColor="text1" w:themeTint="F2"/>
          <w:sz w:val="20"/>
          <w:szCs w:val="20"/>
        </w:rPr>
        <w:t>to be used at the nearest future. Required modification already drafted by EPI under discussion with EVM consultants and updated log book and vaccine issue voucher forms prepared by distribution during Log Tag &amp; temperature monitoring trainings.</w:t>
      </w:r>
    </w:p>
    <w:p w:rsidR="00DB59A8" w:rsidRDefault="00DB59A8" w:rsidP="000912B0">
      <w:pPr>
        <w:spacing w:after="180" w:line="240" w:lineRule="auto"/>
        <w:ind w:left="60"/>
        <w:jc w:val="both"/>
        <w:rPr>
          <w:rFonts w:ascii="Arial" w:eastAsia="Arial" w:hAnsi="Arial" w:cs="Arial"/>
          <w:color w:val="0D0D0D" w:themeColor="text1" w:themeTint="F2"/>
          <w:sz w:val="20"/>
          <w:szCs w:val="20"/>
        </w:rPr>
      </w:pPr>
      <w:r>
        <w:rPr>
          <w:rFonts w:ascii="Arial" w:eastAsia="Arial" w:hAnsi="Arial" w:cs="Arial"/>
          <w:color w:val="0D0D0D" w:themeColor="text1" w:themeTint="F2"/>
          <w:sz w:val="20"/>
          <w:szCs w:val="20"/>
        </w:rPr>
        <w:t xml:space="preserve">Another critical issue identified by recent EVM assessment is insufficient supportive supervision. Minimum required 4 supervisory visits per year are not implemented by national level, mainly due to large number of districts and also due to limited budget allocated to Republican Center for Hygiene and Epidemiology. Despite several </w:t>
      </w:r>
      <w:r w:rsidR="0064477C">
        <w:rPr>
          <w:rFonts w:ascii="Arial" w:eastAsia="Arial" w:hAnsi="Arial" w:cs="Arial"/>
          <w:color w:val="0D0D0D" w:themeColor="text1" w:themeTint="F2"/>
          <w:sz w:val="20"/>
          <w:szCs w:val="20"/>
        </w:rPr>
        <w:t>supervisory visits</w:t>
      </w:r>
      <w:r w:rsidR="00C953A3">
        <w:rPr>
          <w:rFonts w:ascii="Arial" w:eastAsia="Arial" w:hAnsi="Arial" w:cs="Arial"/>
          <w:color w:val="0D0D0D" w:themeColor="text1" w:themeTint="F2"/>
          <w:sz w:val="20"/>
          <w:szCs w:val="20"/>
        </w:rPr>
        <w:t xml:space="preserve">, WHO and </w:t>
      </w:r>
      <w:r w:rsidR="0064477C">
        <w:rPr>
          <w:rFonts w:ascii="Arial" w:eastAsia="Arial" w:hAnsi="Arial" w:cs="Arial"/>
          <w:color w:val="0D0D0D" w:themeColor="text1" w:themeTint="F2"/>
          <w:sz w:val="20"/>
          <w:szCs w:val="20"/>
        </w:rPr>
        <w:t xml:space="preserve"> conducted annually by national staff</w:t>
      </w:r>
      <w:r w:rsidR="00C953A3">
        <w:rPr>
          <w:rFonts w:ascii="Arial" w:eastAsia="Arial" w:hAnsi="Arial" w:cs="Arial"/>
          <w:color w:val="0D0D0D" w:themeColor="text1" w:themeTint="F2"/>
          <w:sz w:val="20"/>
          <w:szCs w:val="20"/>
        </w:rPr>
        <w:t xml:space="preserve"> by WHO support</w:t>
      </w:r>
      <w:r w:rsidR="0064477C">
        <w:rPr>
          <w:rFonts w:ascii="Arial" w:eastAsia="Arial" w:hAnsi="Arial" w:cs="Arial"/>
          <w:color w:val="0D0D0D" w:themeColor="text1" w:themeTint="F2"/>
          <w:sz w:val="20"/>
          <w:szCs w:val="20"/>
        </w:rPr>
        <w:t xml:space="preserve"> in framework of IIP supportive supervision or new vaccine implementation monitoring, or surveillance assessment</w:t>
      </w:r>
      <w:r w:rsidR="00C953A3">
        <w:rPr>
          <w:rFonts w:ascii="Arial" w:eastAsia="Arial" w:hAnsi="Arial" w:cs="Arial"/>
          <w:color w:val="0D0D0D" w:themeColor="text1" w:themeTint="F2"/>
          <w:sz w:val="20"/>
          <w:szCs w:val="20"/>
        </w:rPr>
        <w:t>s</w:t>
      </w:r>
      <w:r w:rsidR="0064477C">
        <w:rPr>
          <w:rFonts w:ascii="Arial" w:eastAsia="Arial" w:hAnsi="Arial" w:cs="Arial"/>
          <w:color w:val="0D0D0D" w:themeColor="text1" w:themeTint="F2"/>
          <w:sz w:val="20"/>
          <w:szCs w:val="20"/>
        </w:rPr>
        <w:t xml:space="preserve">, almost half </w:t>
      </w:r>
      <w:r w:rsidR="00914DCD">
        <w:rPr>
          <w:rFonts w:ascii="Arial" w:eastAsia="Arial" w:hAnsi="Arial" w:cs="Arial"/>
          <w:color w:val="0D0D0D" w:themeColor="text1" w:themeTint="F2"/>
          <w:sz w:val="20"/>
          <w:szCs w:val="20"/>
        </w:rPr>
        <w:t xml:space="preserve">of </w:t>
      </w:r>
      <w:r w:rsidR="0064477C">
        <w:rPr>
          <w:rFonts w:ascii="Arial" w:eastAsia="Arial" w:hAnsi="Arial" w:cs="Arial"/>
          <w:color w:val="0D0D0D" w:themeColor="text1" w:themeTint="F2"/>
          <w:sz w:val="20"/>
          <w:szCs w:val="20"/>
        </w:rPr>
        <w:t>districts has no visit from RCHE</w:t>
      </w:r>
      <w:r w:rsidR="00914DCD">
        <w:rPr>
          <w:rFonts w:ascii="Arial" w:eastAsia="Arial" w:hAnsi="Arial" w:cs="Arial"/>
          <w:color w:val="0D0D0D" w:themeColor="text1" w:themeTint="F2"/>
          <w:sz w:val="20"/>
          <w:szCs w:val="20"/>
        </w:rPr>
        <w:t xml:space="preserve"> within last year. In order to improve situation </w:t>
      </w:r>
      <w:r w:rsidR="00253CC3">
        <w:rPr>
          <w:rFonts w:ascii="Arial" w:eastAsia="Arial" w:hAnsi="Arial" w:cs="Arial"/>
          <w:color w:val="0D0D0D" w:themeColor="text1" w:themeTint="F2"/>
          <w:sz w:val="20"/>
          <w:szCs w:val="20"/>
        </w:rPr>
        <w:t>EPI</w:t>
      </w:r>
      <w:r w:rsidR="00914DCD">
        <w:rPr>
          <w:rFonts w:ascii="Arial" w:eastAsia="Arial" w:hAnsi="Arial" w:cs="Arial"/>
          <w:color w:val="0D0D0D" w:themeColor="text1" w:themeTint="F2"/>
          <w:sz w:val="20"/>
          <w:szCs w:val="20"/>
        </w:rPr>
        <w:t xml:space="preserve"> decided to use e-Work tool recently introduced by the Ministry of Health for EIDSS project trainings. This tool allows providing basic on-job training for sub-national staff without direct travel to the place and rationalizing the work with district in terms of time and financial resources.  </w:t>
      </w:r>
      <w:r w:rsidR="00253CC3">
        <w:rPr>
          <w:rFonts w:ascii="Arial" w:eastAsia="Arial" w:hAnsi="Arial" w:cs="Arial"/>
          <w:color w:val="0D0D0D" w:themeColor="text1" w:themeTint="F2"/>
          <w:sz w:val="20"/>
          <w:szCs w:val="20"/>
        </w:rPr>
        <w:t>At the same time since performance and capacity on immunization significantly varies between</w:t>
      </w:r>
      <w:r w:rsidR="00253CC3" w:rsidRPr="00253CC3">
        <w:rPr>
          <w:rFonts w:ascii="Arial" w:eastAsia="Arial" w:hAnsi="Arial" w:cs="Arial"/>
          <w:color w:val="0D0D0D" w:themeColor="text1" w:themeTint="F2"/>
          <w:sz w:val="20"/>
          <w:szCs w:val="20"/>
        </w:rPr>
        <w:t xml:space="preserve"> </w:t>
      </w:r>
      <w:r w:rsidR="00253CC3">
        <w:rPr>
          <w:rFonts w:ascii="Arial" w:eastAsia="Arial" w:hAnsi="Arial" w:cs="Arial"/>
          <w:color w:val="0D0D0D" w:themeColor="text1" w:themeTint="F2"/>
          <w:sz w:val="20"/>
          <w:szCs w:val="20"/>
        </w:rPr>
        <w:t xml:space="preserve">districts, it was decided to focus for direct visits mainly on poor performing and understaffed places. </w:t>
      </w:r>
      <w:r w:rsidR="0059666E">
        <w:rPr>
          <w:rFonts w:ascii="Arial" w:eastAsia="Arial" w:hAnsi="Arial" w:cs="Arial"/>
          <w:color w:val="0D0D0D" w:themeColor="text1" w:themeTint="F2"/>
          <w:sz w:val="20"/>
          <w:szCs w:val="20"/>
        </w:rPr>
        <w:t>Another opportunity to address this issue to some extend is MLM training to be conducted by WHO support at national level</w:t>
      </w:r>
      <w:r w:rsidR="0059666E" w:rsidRPr="0059666E">
        <w:rPr>
          <w:rFonts w:ascii="Arial" w:eastAsia="Arial" w:hAnsi="Arial" w:cs="Arial"/>
          <w:color w:val="0D0D0D" w:themeColor="text1" w:themeTint="F2"/>
          <w:sz w:val="20"/>
          <w:szCs w:val="20"/>
        </w:rPr>
        <w:t xml:space="preserve"> </w:t>
      </w:r>
      <w:r w:rsidR="0059666E">
        <w:rPr>
          <w:rFonts w:ascii="Arial" w:eastAsia="Arial" w:hAnsi="Arial" w:cs="Arial"/>
          <w:color w:val="0D0D0D" w:themeColor="text1" w:themeTint="F2"/>
          <w:sz w:val="20"/>
          <w:szCs w:val="20"/>
        </w:rPr>
        <w:t>in Q4, 2014; however taking into account limited number of participants it can</w:t>
      </w:r>
      <w:r w:rsidR="006D7C9B">
        <w:rPr>
          <w:rFonts w:ascii="Arial" w:eastAsia="Arial" w:hAnsi="Arial" w:cs="Arial"/>
          <w:color w:val="0D0D0D" w:themeColor="text1" w:themeTint="F2"/>
          <w:sz w:val="20"/>
          <w:szCs w:val="20"/>
        </w:rPr>
        <w:t xml:space="preserve"> </w:t>
      </w:r>
      <w:r w:rsidR="0059666E">
        <w:rPr>
          <w:rFonts w:ascii="Arial" w:eastAsia="Arial" w:hAnsi="Arial" w:cs="Arial"/>
          <w:color w:val="0D0D0D" w:themeColor="text1" w:themeTint="F2"/>
          <w:sz w:val="20"/>
          <w:szCs w:val="20"/>
        </w:rPr>
        <w:t xml:space="preserve">be considered </w:t>
      </w:r>
      <w:r w:rsidR="006D7C9B">
        <w:rPr>
          <w:rFonts w:ascii="Arial" w:eastAsia="Arial" w:hAnsi="Arial" w:cs="Arial"/>
          <w:color w:val="0D0D0D" w:themeColor="text1" w:themeTint="F2"/>
          <w:sz w:val="20"/>
          <w:szCs w:val="20"/>
        </w:rPr>
        <w:t xml:space="preserve">a supporting solution and for substantial improvement of situation more sustainable approach is required. Based on example of introduction of IIP at medical colleges with further follow up through HSS project, implementation of MLM at Doctors’ Post Graduate Institute can be helpful as long term approach and it requires significant funding and dedicated task force. </w:t>
      </w:r>
    </w:p>
    <w:p w:rsidR="006D7C9B" w:rsidRDefault="006D7C9B" w:rsidP="000912B0">
      <w:pPr>
        <w:spacing w:after="180" w:line="240" w:lineRule="auto"/>
        <w:ind w:left="60"/>
        <w:jc w:val="both"/>
        <w:rPr>
          <w:rFonts w:ascii="Arial" w:eastAsia="Arial" w:hAnsi="Arial" w:cs="Arial"/>
          <w:color w:val="0D0D0D" w:themeColor="text1" w:themeTint="F2"/>
          <w:sz w:val="20"/>
          <w:szCs w:val="20"/>
        </w:rPr>
      </w:pPr>
    </w:p>
    <w:p w:rsidR="008B76C7" w:rsidRPr="008B76C7" w:rsidRDefault="008B76C7" w:rsidP="008B76C7">
      <w:pPr>
        <w:spacing w:after="0" w:line="240" w:lineRule="auto"/>
        <w:ind w:left="86"/>
        <w:jc w:val="both"/>
        <w:rPr>
          <w:rFonts w:ascii="Arial" w:eastAsia="Arial" w:hAnsi="Arial" w:cs="Arial"/>
          <w:b/>
          <w:color w:val="0D0D0D" w:themeColor="text1" w:themeTint="F2"/>
        </w:rPr>
      </w:pPr>
    </w:p>
    <w:p w:rsidR="008B76C7" w:rsidRPr="00412C05" w:rsidRDefault="00914DCD" w:rsidP="00914DCD">
      <w:pPr>
        <w:pStyle w:val="ListParagraph"/>
        <w:numPr>
          <w:ilvl w:val="1"/>
          <w:numId w:val="26"/>
        </w:numPr>
        <w:spacing w:after="0" w:line="240" w:lineRule="auto"/>
        <w:jc w:val="both"/>
        <w:rPr>
          <w:rFonts w:ascii="Arial" w:eastAsia="Arial" w:hAnsi="Arial" w:cs="Arial"/>
          <w:color w:val="0D0D0D" w:themeColor="text1" w:themeTint="F2"/>
          <w:sz w:val="20"/>
          <w:szCs w:val="20"/>
        </w:rPr>
      </w:pPr>
      <w:r w:rsidRPr="00914DCD">
        <w:rPr>
          <w:rFonts w:ascii="Arial" w:eastAsia="Arial" w:hAnsi="Arial" w:cs="Arial"/>
          <w:b/>
          <w:color w:val="0D0D0D" w:themeColor="text1" w:themeTint="F2"/>
        </w:rPr>
        <w:lastRenderedPageBreak/>
        <w:t xml:space="preserve"> </w:t>
      </w:r>
      <w:r w:rsidRPr="00412C05">
        <w:rPr>
          <w:rFonts w:ascii="Arial" w:eastAsia="Arial" w:hAnsi="Arial" w:cs="Arial"/>
          <w:bCs/>
          <w:color w:val="0D0D0D" w:themeColor="text1" w:themeTint="F2"/>
          <w:sz w:val="20"/>
          <w:szCs w:val="20"/>
        </w:rPr>
        <w:t>W</w:t>
      </w:r>
      <w:r w:rsidR="008B76C7" w:rsidRPr="00412C05">
        <w:rPr>
          <w:rFonts w:ascii="Arial" w:eastAsia="Arial" w:hAnsi="Arial" w:cs="Arial"/>
          <w:bCs/>
          <w:color w:val="0D0D0D" w:themeColor="text1" w:themeTint="F2"/>
          <w:sz w:val="20"/>
          <w:szCs w:val="20"/>
        </w:rPr>
        <w:t xml:space="preserve">aste management and injection safety needs </w:t>
      </w:r>
    </w:p>
    <w:p w:rsidR="00914DCD" w:rsidRDefault="00914DCD" w:rsidP="00914DCD">
      <w:pPr>
        <w:spacing w:after="0" w:line="240" w:lineRule="auto"/>
        <w:ind w:left="60"/>
        <w:jc w:val="both"/>
        <w:rPr>
          <w:rFonts w:ascii="Arial" w:eastAsia="Arial" w:hAnsi="Arial" w:cs="Arial"/>
          <w:color w:val="0D0D0D" w:themeColor="text1" w:themeTint="F2"/>
        </w:rPr>
      </w:pPr>
    </w:p>
    <w:p w:rsidR="00914DCD" w:rsidRPr="008B139E" w:rsidRDefault="002E67DD" w:rsidP="00914DCD">
      <w:pPr>
        <w:spacing w:after="0" w:line="240" w:lineRule="auto"/>
        <w:ind w:left="60"/>
        <w:jc w:val="both"/>
        <w:rPr>
          <w:rFonts w:ascii="Arial" w:eastAsia="Arial" w:hAnsi="Arial" w:cs="Arial"/>
          <w:color w:val="0D0D0D" w:themeColor="text1" w:themeTint="F2"/>
          <w:sz w:val="20"/>
          <w:szCs w:val="20"/>
        </w:rPr>
      </w:pPr>
      <w:r w:rsidRPr="008B139E">
        <w:rPr>
          <w:rFonts w:ascii="Arial" w:eastAsia="Arial" w:hAnsi="Arial" w:cs="Arial"/>
          <w:color w:val="0D0D0D" w:themeColor="text1" w:themeTint="F2"/>
          <w:sz w:val="20"/>
          <w:szCs w:val="20"/>
        </w:rPr>
        <w:t>Azerbaijan EPI</w:t>
      </w:r>
      <w:r w:rsidR="00914DCD" w:rsidRPr="008B139E">
        <w:rPr>
          <w:rFonts w:ascii="Arial" w:eastAsia="Arial" w:hAnsi="Arial" w:cs="Arial"/>
          <w:color w:val="0D0D0D" w:themeColor="text1" w:themeTint="F2"/>
          <w:sz w:val="20"/>
          <w:szCs w:val="20"/>
        </w:rPr>
        <w:t xml:space="preserve"> f</w:t>
      </w:r>
      <w:r w:rsidRPr="008B139E">
        <w:rPr>
          <w:rFonts w:ascii="Arial" w:eastAsia="Arial" w:hAnsi="Arial" w:cs="Arial"/>
          <w:color w:val="0D0D0D" w:themeColor="text1" w:themeTint="F2"/>
          <w:sz w:val="20"/>
          <w:szCs w:val="20"/>
        </w:rPr>
        <w:t>ully follows standards on injection safety. All vaccines are administrated by AD syringes only and safety boxes are used for waste management. Utilization of safety boxes monitored by EPI and related report</w:t>
      </w:r>
      <w:r w:rsidR="00253CC3" w:rsidRPr="008B139E">
        <w:rPr>
          <w:rFonts w:ascii="Arial" w:eastAsia="Arial" w:hAnsi="Arial" w:cs="Arial"/>
          <w:color w:val="0D0D0D" w:themeColor="text1" w:themeTint="F2"/>
          <w:sz w:val="20"/>
          <w:szCs w:val="20"/>
        </w:rPr>
        <w:t>s</w:t>
      </w:r>
      <w:r w:rsidRPr="008B139E">
        <w:rPr>
          <w:rFonts w:ascii="Arial" w:eastAsia="Arial" w:hAnsi="Arial" w:cs="Arial"/>
          <w:color w:val="0D0D0D" w:themeColor="text1" w:themeTint="F2"/>
          <w:sz w:val="20"/>
          <w:szCs w:val="20"/>
        </w:rPr>
        <w:t xml:space="preserve"> </w:t>
      </w:r>
      <w:r w:rsidR="00253CC3" w:rsidRPr="008B139E">
        <w:rPr>
          <w:rFonts w:ascii="Arial" w:eastAsia="Arial" w:hAnsi="Arial" w:cs="Arial"/>
          <w:color w:val="0D0D0D" w:themeColor="text1" w:themeTint="F2"/>
          <w:sz w:val="20"/>
          <w:szCs w:val="20"/>
        </w:rPr>
        <w:t>have</w:t>
      </w:r>
      <w:r w:rsidRPr="008B139E">
        <w:rPr>
          <w:rFonts w:ascii="Arial" w:eastAsia="Arial" w:hAnsi="Arial" w:cs="Arial"/>
          <w:color w:val="0D0D0D" w:themeColor="text1" w:themeTint="F2"/>
          <w:sz w:val="20"/>
          <w:szCs w:val="20"/>
        </w:rPr>
        <w:t xml:space="preserve"> to be kept at </w:t>
      </w:r>
      <w:proofErr w:type="spellStart"/>
      <w:r w:rsidRPr="008B139E">
        <w:rPr>
          <w:rFonts w:ascii="Arial" w:eastAsia="Arial" w:hAnsi="Arial" w:cs="Arial"/>
          <w:color w:val="0D0D0D" w:themeColor="text1" w:themeTint="F2"/>
          <w:sz w:val="20"/>
          <w:szCs w:val="20"/>
        </w:rPr>
        <w:t>phc</w:t>
      </w:r>
      <w:proofErr w:type="spellEnd"/>
      <w:r w:rsidRPr="008B139E">
        <w:rPr>
          <w:rFonts w:ascii="Arial" w:eastAsia="Arial" w:hAnsi="Arial" w:cs="Arial"/>
          <w:color w:val="0D0D0D" w:themeColor="text1" w:themeTint="F2"/>
          <w:sz w:val="20"/>
          <w:szCs w:val="20"/>
        </w:rPr>
        <w:t xml:space="preserve"> level for minimum 3 years. </w:t>
      </w:r>
      <w:r w:rsidR="00E30C13" w:rsidRPr="008B139E">
        <w:rPr>
          <w:rFonts w:ascii="Arial" w:eastAsia="Arial" w:hAnsi="Arial" w:cs="Arial"/>
          <w:color w:val="0D0D0D" w:themeColor="text1" w:themeTint="F2"/>
          <w:sz w:val="20"/>
          <w:szCs w:val="20"/>
        </w:rPr>
        <w:t xml:space="preserve">Recent EVM assessment preliminary confirmed that staff knowledge and skills in terms of injection safety, including open vial policy, vaccine handling, and waste management are generally good and national guidelines are well known and carefully followed. However in terms of upcoming introduction of IPV, the main challenge of injection safety is related to country open </w:t>
      </w:r>
      <w:r w:rsidR="002908A0" w:rsidRPr="008B139E">
        <w:rPr>
          <w:rFonts w:ascii="Arial" w:eastAsia="Arial" w:hAnsi="Arial" w:cs="Arial"/>
          <w:color w:val="0D0D0D" w:themeColor="text1" w:themeTint="F2"/>
          <w:sz w:val="20"/>
          <w:szCs w:val="20"/>
        </w:rPr>
        <w:t>multi-dose vial policy</w:t>
      </w:r>
      <w:r w:rsidR="00E30C13" w:rsidRPr="008B139E">
        <w:rPr>
          <w:rFonts w:ascii="Arial" w:eastAsia="Arial" w:hAnsi="Arial" w:cs="Arial"/>
          <w:color w:val="0D0D0D" w:themeColor="text1" w:themeTint="F2"/>
          <w:sz w:val="20"/>
          <w:szCs w:val="20"/>
        </w:rPr>
        <w:t xml:space="preserve">. </w:t>
      </w:r>
      <w:r w:rsidR="002908A0" w:rsidRPr="008B139E">
        <w:rPr>
          <w:rFonts w:ascii="Arial" w:eastAsia="Arial" w:hAnsi="Arial" w:cs="Arial"/>
          <w:color w:val="0D0D0D" w:themeColor="text1" w:themeTint="F2"/>
          <w:sz w:val="20"/>
          <w:szCs w:val="20"/>
        </w:rPr>
        <w:t>According to EPI practice and NRA procedures on registration, for new vaccine products open vial policy implemented according to instruction of producers.  In absence of NRA registration, supply of multi-dose presentation of IPV will create challenge for EPI at the beginning of IPV i</w:t>
      </w:r>
      <w:r w:rsidR="008B139E" w:rsidRPr="008B139E">
        <w:rPr>
          <w:rFonts w:ascii="Arial" w:eastAsia="Arial" w:hAnsi="Arial" w:cs="Arial"/>
          <w:color w:val="0D0D0D" w:themeColor="text1" w:themeTint="F2"/>
          <w:sz w:val="20"/>
          <w:szCs w:val="20"/>
        </w:rPr>
        <w:t>mplementation, and provoke unnecessary precaution among vaccinators, which can affect vaccination coverage and wastage rate.</w:t>
      </w:r>
    </w:p>
    <w:p w:rsidR="00914DCD" w:rsidRPr="00914DCD" w:rsidRDefault="00914DCD" w:rsidP="00914DCD">
      <w:pPr>
        <w:pStyle w:val="ListParagraph"/>
        <w:spacing w:after="0" w:line="240" w:lineRule="auto"/>
        <w:ind w:left="420"/>
        <w:jc w:val="both"/>
        <w:rPr>
          <w:rFonts w:ascii="Arial" w:eastAsia="Arial" w:hAnsi="Arial" w:cs="Arial"/>
          <w:color w:val="0D0D0D" w:themeColor="text1" w:themeTint="F2"/>
        </w:rPr>
      </w:pPr>
    </w:p>
    <w:p w:rsidR="008B76C7" w:rsidRPr="001D40CB" w:rsidRDefault="008B139E" w:rsidP="00824767">
      <w:pPr>
        <w:numPr>
          <w:ilvl w:val="1"/>
          <w:numId w:val="26"/>
        </w:numPr>
        <w:spacing w:after="0" w:line="240" w:lineRule="auto"/>
        <w:contextualSpacing/>
        <w:jc w:val="both"/>
        <w:rPr>
          <w:rFonts w:ascii="Arial" w:eastAsia="Arial" w:hAnsi="Arial" w:cs="Arial"/>
          <w:bCs/>
          <w:color w:val="0D0D0D" w:themeColor="text1" w:themeTint="F2"/>
          <w:sz w:val="20"/>
          <w:szCs w:val="20"/>
        </w:rPr>
      </w:pPr>
      <w:r w:rsidRPr="008B139E">
        <w:rPr>
          <w:rFonts w:ascii="Arial" w:eastAsia="Arial" w:hAnsi="Arial" w:cs="Arial"/>
          <w:bCs/>
          <w:color w:val="0D0D0D" w:themeColor="text1" w:themeTint="F2"/>
        </w:rPr>
        <w:t xml:space="preserve"> </w:t>
      </w:r>
      <w:r w:rsidRPr="001D40CB">
        <w:rPr>
          <w:rFonts w:ascii="Arial" w:eastAsia="Arial" w:hAnsi="Arial" w:cs="Arial"/>
          <w:bCs/>
          <w:color w:val="0D0D0D" w:themeColor="text1" w:themeTint="F2"/>
          <w:sz w:val="20"/>
          <w:szCs w:val="20"/>
        </w:rPr>
        <w:t>I</w:t>
      </w:r>
      <w:r w:rsidR="008B76C7" w:rsidRPr="001D40CB">
        <w:rPr>
          <w:rFonts w:ascii="Arial" w:eastAsia="Arial" w:hAnsi="Arial" w:cs="Arial"/>
          <w:bCs/>
          <w:color w:val="0D0D0D" w:themeColor="text1" w:themeTint="F2"/>
          <w:sz w:val="20"/>
          <w:szCs w:val="20"/>
        </w:rPr>
        <w:t>nformation</w:t>
      </w:r>
      <w:r w:rsidRPr="001D40CB">
        <w:rPr>
          <w:rFonts w:ascii="Arial" w:eastAsia="Arial" w:hAnsi="Arial" w:cs="Arial"/>
          <w:bCs/>
          <w:color w:val="0D0D0D" w:themeColor="text1" w:themeTint="F2"/>
          <w:sz w:val="20"/>
          <w:szCs w:val="20"/>
        </w:rPr>
        <w:t xml:space="preserve"> management </w:t>
      </w:r>
      <w:r w:rsidR="008B76C7" w:rsidRPr="001D40CB">
        <w:rPr>
          <w:rFonts w:ascii="Arial" w:eastAsia="Arial" w:hAnsi="Arial" w:cs="Arial"/>
          <w:bCs/>
          <w:color w:val="0D0D0D" w:themeColor="text1" w:themeTint="F2"/>
          <w:sz w:val="20"/>
          <w:szCs w:val="20"/>
        </w:rPr>
        <w:t>/data collection forms and systems</w:t>
      </w:r>
    </w:p>
    <w:p w:rsidR="008B76C7" w:rsidRPr="008B76C7" w:rsidRDefault="008B76C7" w:rsidP="008B76C7">
      <w:pPr>
        <w:spacing w:after="0" w:line="240" w:lineRule="auto"/>
        <w:ind w:left="86"/>
        <w:jc w:val="both"/>
        <w:rPr>
          <w:rFonts w:ascii="Arial" w:eastAsia="Arial" w:hAnsi="Arial" w:cs="Arial"/>
          <w:b/>
          <w:bCs/>
          <w:color w:val="0D0D0D" w:themeColor="text1" w:themeTint="F2"/>
        </w:rPr>
      </w:pPr>
    </w:p>
    <w:p w:rsidR="00C474A6" w:rsidRDefault="008B139E" w:rsidP="008B139E">
      <w:pPr>
        <w:spacing w:after="180" w:line="240" w:lineRule="auto"/>
        <w:jc w:val="both"/>
        <w:rPr>
          <w:rFonts w:ascii="Arial" w:eastAsia="Arial" w:hAnsi="Arial" w:cs="Arial"/>
          <w:color w:val="0D0D0D" w:themeColor="text1" w:themeTint="F2"/>
          <w:sz w:val="20"/>
          <w:szCs w:val="20"/>
        </w:rPr>
      </w:pPr>
      <w:r w:rsidRPr="008B139E">
        <w:rPr>
          <w:rFonts w:ascii="Arial" w:eastAsia="Arial" w:hAnsi="Arial" w:cs="Arial"/>
          <w:color w:val="0D0D0D" w:themeColor="text1" w:themeTint="F2"/>
          <w:sz w:val="20"/>
          <w:szCs w:val="20"/>
        </w:rPr>
        <w:t xml:space="preserve">According to the Ministry of Health procedures, revision of </w:t>
      </w:r>
      <w:r w:rsidR="00C00F68">
        <w:rPr>
          <w:rFonts w:ascii="Arial" w:eastAsia="Arial" w:hAnsi="Arial" w:cs="Arial"/>
          <w:color w:val="0D0D0D" w:themeColor="text1" w:themeTint="F2"/>
          <w:sz w:val="20"/>
          <w:szCs w:val="20"/>
        </w:rPr>
        <w:t xml:space="preserve">electronic and paper </w:t>
      </w:r>
      <w:r w:rsidRPr="008B139E">
        <w:rPr>
          <w:rFonts w:ascii="Arial" w:eastAsia="Arial" w:hAnsi="Arial" w:cs="Arial"/>
          <w:color w:val="0D0D0D" w:themeColor="text1" w:themeTint="F2"/>
          <w:sz w:val="20"/>
          <w:szCs w:val="20"/>
        </w:rPr>
        <w:t>immunization/vaccination recording and reporting forms due to IPV introduction will be initiated and laid into Ministry of Health order on vaccine introduction</w:t>
      </w:r>
      <w:r w:rsidRPr="008B139E">
        <w:rPr>
          <w:rFonts w:ascii="Arial" w:eastAsia="Arial" w:hAnsi="Arial" w:cs="Arial"/>
          <w:color w:val="0D0D0D" w:themeColor="text1" w:themeTint="F2"/>
        </w:rPr>
        <w:t>.</w:t>
      </w:r>
      <w:r w:rsidR="00C00F68">
        <w:rPr>
          <w:rFonts w:ascii="Arial" w:eastAsia="Arial" w:hAnsi="Arial" w:cs="Arial"/>
          <w:color w:val="0D0D0D" w:themeColor="text1" w:themeTint="F2"/>
        </w:rPr>
        <w:t xml:space="preserve"> </w:t>
      </w:r>
      <w:r w:rsidR="00C00F68" w:rsidRPr="00C00F68">
        <w:rPr>
          <w:rFonts w:ascii="Arial" w:eastAsia="Arial" w:hAnsi="Arial" w:cs="Arial"/>
          <w:color w:val="0D0D0D" w:themeColor="text1" w:themeTint="F2"/>
          <w:sz w:val="20"/>
          <w:szCs w:val="20"/>
        </w:rPr>
        <w:t xml:space="preserve">There is no external budget required for modification or printing. </w:t>
      </w:r>
      <w:r w:rsidRPr="00C00F68">
        <w:rPr>
          <w:rFonts w:ascii="Arial" w:eastAsia="Arial" w:hAnsi="Arial" w:cs="Arial"/>
          <w:color w:val="0D0D0D" w:themeColor="text1" w:themeTint="F2"/>
          <w:sz w:val="20"/>
          <w:szCs w:val="20"/>
        </w:rPr>
        <w:t xml:space="preserve"> </w:t>
      </w:r>
    </w:p>
    <w:p w:rsidR="00C00F68" w:rsidRDefault="0042087F" w:rsidP="008B139E">
      <w:pPr>
        <w:spacing w:after="180" w:line="240" w:lineRule="auto"/>
        <w:jc w:val="both"/>
        <w:rPr>
          <w:rFonts w:ascii="Arial" w:eastAsia="Arial" w:hAnsi="Arial" w:cs="Arial"/>
          <w:color w:val="0D0D0D" w:themeColor="text1" w:themeTint="F2"/>
          <w:sz w:val="20"/>
          <w:szCs w:val="20"/>
        </w:rPr>
      </w:pPr>
      <w:r w:rsidRPr="0042087F">
        <w:rPr>
          <w:rFonts w:ascii="Arial" w:eastAsia="Arial" w:hAnsi="Arial" w:cs="Arial"/>
          <w:color w:val="0D0D0D" w:themeColor="text1" w:themeTint="F2"/>
          <w:sz w:val="20"/>
          <w:szCs w:val="20"/>
        </w:rPr>
        <w:t xml:space="preserve">Recent experience of </w:t>
      </w:r>
      <w:proofErr w:type="spellStart"/>
      <w:r w:rsidRPr="0042087F">
        <w:rPr>
          <w:rFonts w:ascii="Arial" w:eastAsia="Arial" w:hAnsi="Arial" w:cs="Arial"/>
          <w:color w:val="0D0D0D" w:themeColor="text1" w:themeTint="F2"/>
          <w:sz w:val="20"/>
          <w:szCs w:val="20"/>
        </w:rPr>
        <w:t>Hib-penta</w:t>
      </w:r>
      <w:proofErr w:type="spellEnd"/>
      <w:r w:rsidRPr="0042087F">
        <w:rPr>
          <w:rFonts w:ascii="Arial" w:eastAsia="Arial" w:hAnsi="Arial" w:cs="Arial"/>
          <w:color w:val="0D0D0D" w:themeColor="text1" w:themeTint="F2"/>
          <w:sz w:val="20"/>
          <w:szCs w:val="20"/>
        </w:rPr>
        <w:t xml:space="preserve"> and PCV introduction has shown that </w:t>
      </w:r>
      <w:r>
        <w:rPr>
          <w:rFonts w:ascii="Arial" w:eastAsia="Arial" w:hAnsi="Arial" w:cs="Arial"/>
          <w:color w:val="0D0D0D" w:themeColor="text1" w:themeTint="F2"/>
          <w:sz w:val="20"/>
          <w:szCs w:val="20"/>
        </w:rPr>
        <w:t>full</w:t>
      </w:r>
      <w:r w:rsidRPr="0042087F">
        <w:rPr>
          <w:rFonts w:ascii="Arial" w:eastAsia="Arial" w:hAnsi="Arial" w:cs="Arial"/>
          <w:color w:val="0D0D0D" w:themeColor="text1" w:themeTint="F2"/>
          <w:sz w:val="20"/>
          <w:szCs w:val="20"/>
        </w:rPr>
        <w:t xml:space="preserve"> modifi</w:t>
      </w:r>
      <w:r>
        <w:rPr>
          <w:rFonts w:ascii="Arial" w:eastAsia="Arial" w:hAnsi="Arial" w:cs="Arial"/>
          <w:color w:val="0D0D0D" w:themeColor="text1" w:themeTint="F2"/>
          <w:sz w:val="20"/>
          <w:szCs w:val="20"/>
        </w:rPr>
        <w:t xml:space="preserve">cation of </w:t>
      </w:r>
      <w:r w:rsidR="00C00F68">
        <w:rPr>
          <w:rFonts w:ascii="Arial" w:eastAsia="Arial" w:hAnsi="Arial" w:cs="Arial"/>
          <w:color w:val="0D0D0D" w:themeColor="text1" w:themeTint="F2"/>
          <w:sz w:val="20"/>
          <w:szCs w:val="20"/>
        </w:rPr>
        <w:t xml:space="preserve">paper </w:t>
      </w:r>
      <w:r w:rsidRPr="0042087F">
        <w:rPr>
          <w:rFonts w:ascii="Arial" w:eastAsia="Arial" w:hAnsi="Arial" w:cs="Arial"/>
          <w:color w:val="0D0D0D" w:themeColor="text1" w:themeTint="F2"/>
          <w:sz w:val="20"/>
          <w:szCs w:val="20"/>
        </w:rPr>
        <w:t xml:space="preserve">recording documents at all levels to reflect all required information </w:t>
      </w:r>
      <w:r>
        <w:rPr>
          <w:rFonts w:ascii="Arial" w:eastAsia="Arial" w:hAnsi="Arial" w:cs="Arial"/>
          <w:color w:val="0D0D0D" w:themeColor="text1" w:themeTint="F2"/>
          <w:sz w:val="20"/>
          <w:szCs w:val="20"/>
        </w:rPr>
        <w:t xml:space="preserve">is completed </w:t>
      </w:r>
      <w:r w:rsidRPr="0042087F">
        <w:rPr>
          <w:rFonts w:ascii="Arial" w:eastAsia="Arial" w:hAnsi="Arial" w:cs="Arial"/>
          <w:color w:val="0D0D0D" w:themeColor="text1" w:themeTint="F2"/>
          <w:sz w:val="20"/>
          <w:szCs w:val="20"/>
        </w:rPr>
        <w:t xml:space="preserve">by </w:t>
      </w:r>
      <w:r w:rsidR="00C00F68">
        <w:rPr>
          <w:rFonts w:ascii="Arial" w:eastAsia="Arial" w:hAnsi="Arial" w:cs="Arial"/>
          <w:color w:val="0D0D0D" w:themeColor="text1" w:themeTint="F2"/>
          <w:sz w:val="20"/>
          <w:szCs w:val="20"/>
        </w:rPr>
        <w:t xml:space="preserve">the </w:t>
      </w:r>
      <w:r w:rsidRPr="0042087F">
        <w:rPr>
          <w:rFonts w:ascii="Arial" w:eastAsia="Arial" w:hAnsi="Arial" w:cs="Arial"/>
          <w:color w:val="0D0D0D" w:themeColor="text1" w:themeTint="F2"/>
          <w:sz w:val="20"/>
          <w:szCs w:val="20"/>
        </w:rPr>
        <w:t>beginning of second year of introduction.</w:t>
      </w:r>
      <w:r>
        <w:rPr>
          <w:rFonts w:ascii="Arial" w:eastAsia="Arial" w:hAnsi="Arial" w:cs="Arial"/>
          <w:color w:val="0D0D0D" w:themeColor="text1" w:themeTint="F2"/>
        </w:rPr>
        <w:t xml:space="preserve">  </w:t>
      </w:r>
      <w:r w:rsidR="008B139E" w:rsidRPr="008B139E">
        <w:rPr>
          <w:rFonts w:ascii="Arial" w:eastAsia="Arial" w:hAnsi="Arial" w:cs="Arial"/>
          <w:b/>
          <w:color w:val="0D0D0D" w:themeColor="text1" w:themeTint="F2"/>
        </w:rPr>
        <w:t xml:space="preserve"> </w:t>
      </w:r>
      <w:r w:rsidRPr="0042087F">
        <w:rPr>
          <w:rFonts w:ascii="Arial" w:eastAsia="Arial" w:hAnsi="Arial" w:cs="Arial"/>
          <w:color w:val="0D0D0D" w:themeColor="text1" w:themeTint="F2"/>
          <w:sz w:val="20"/>
          <w:szCs w:val="20"/>
        </w:rPr>
        <w:t>Despite the fact that information for first year is available usually it is not properly reflected.</w:t>
      </w:r>
      <w:r>
        <w:rPr>
          <w:rFonts w:ascii="Arial" w:eastAsia="Arial" w:hAnsi="Arial" w:cs="Arial"/>
          <w:b/>
          <w:color w:val="0D0D0D" w:themeColor="text1" w:themeTint="F2"/>
        </w:rPr>
        <w:t xml:space="preserve"> </w:t>
      </w:r>
      <w:r w:rsidRPr="00C00F68">
        <w:rPr>
          <w:rFonts w:ascii="Arial" w:eastAsia="Arial" w:hAnsi="Arial" w:cs="Arial"/>
          <w:color w:val="0D0D0D" w:themeColor="text1" w:themeTint="F2"/>
          <w:sz w:val="20"/>
          <w:szCs w:val="20"/>
        </w:rPr>
        <w:t xml:space="preserve">This happens mainly because </w:t>
      </w:r>
      <w:r w:rsidR="00C00F68">
        <w:rPr>
          <w:rFonts w:ascii="Arial" w:eastAsia="Arial" w:hAnsi="Arial" w:cs="Arial"/>
          <w:color w:val="0D0D0D" w:themeColor="text1" w:themeTint="F2"/>
          <w:sz w:val="20"/>
          <w:szCs w:val="20"/>
        </w:rPr>
        <w:t xml:space="preserve">new </w:t>
      </w:r>
      <w:r w:rsidRPr="00C00F68">
        <w:rPr>
          <w:rFonts w:ascii="Arial" w:eastAsia="Arial" w:hAnsi="Arial" w:cs="Arial"/>
          <w:color w:val="0D0D0D" w:themeColor="text1" w:themeTint="F2"/>
          <w:sz w:val="20"/>
          <w:szCs w:val="20"/>
        </w:rPr>
        <w:t>vaccine</w:t>
      </w:r>
      <w:r w:rsidR="00DA3510">
        <w:rPr>
          <w:rFonts w:ascii="Arial" w:eastAsia="Arial" w:hAnsi="Arial" w:cs="Arial"/>
          <w:color w:val="0D0D0D" w:themeColor="text1" w:themeTint="F2"/>
          <w:sz w:val="20"/>
          <w:szCs w:val="20"/>
        </w:rPr>
        <w:t>s</w:t>
      </w:r>
      <w:r w:rsidRPr="00C00F68">
        <w:rPr>
          <w:rFonts w:ascii="Arial" w:eastAsia="Arial" w:hAnsi="Arial" w:cs="Arial"/>
          <w:color w:val="0D0D0D" w:themeColor="text1" w:themeTint="F2"/>
          <w:sz w:val="20"/>
          <w:szCs w:val="20"/>
        </w:rPr>
        <w:t xml:space="preserve"> introduction scheduled to the end o</w:t>
      </w:r>
      <w:r w:rsidR="00C00F68">
        <w:rPr>
          <w:rFonts w:ascii="Arial" w:eastAsia="Arial" w:hAnsi="Arial" w:cs="Arial"/>
          <w:color w:val="0D0D0D" w:themeColor="text1" w:themeTint="F2"/>
          <w:sz w:val="20"/>
          <w:szCs w:val="20"/>
        </w:rPr>
        <w:t>r</w:t>
      </w:r>
      <w:r w:rsidRPr="00C00F68">
        <w:rPr>
          <w:rFonts w:ascii="Arial" w:eastAsia="Arial" w:hAnsi="Arial" w:cs="Arial"/>
          <w:color w:val="0D0D0D" w:themeColor="text1" w:themeTint="F2"/>
          <w:sz w:val="20"/>
          <w:szCs w:val="20"/>
        </w:rPr>
        <w:t xml:space="preserve"> middle of year and </w:t>
      </w:r>
      <w:r w:rsidR="00C00F68" w:rsidRPr="00C00F68">
        <w:rPr>
          <w:rFonts w:ascii="Arial" w:eastAsia="Arial" w:hAnsi="Arial" w:cs="Arial"/>
          <w:color w:val="0D0D0D" w:themeColor="text1" w:themeTint="F2"/>
          <w:sz w:val="20"/>
          <w:szCs w:val="20"/>
        </w:rPr>
        <w:t xml:space="preserve">templates of </w:t>
      </w:r>
      <w:r w:rsidRPr="00C00F68">
        <w:rPr>
          <w:rFonts w:ascii="Arial" w:eastAsia="Arial" w:hAnsi="Arial" w:cs="Arial"/>
          <w:color w:val="0D0D0D" w:themeColor="text1" w:themeTint="F2"/>
          <w:sz w:val="20"/>
          <w:szCs w:val="20"/>
        </w:rPr>
        <w:t>all recoding documents</w:t>
      </w:r>
      <w:r w:rsidR="00C00F68" w:rsidRPr="00C00F68">
        <w:rPr>
          <w:rFonts w:ascii="Arial" w:eastAsia="Arial" w:hAnsi="Arial" w:cs="Arial"/>
          <w:color w:val="0D0D0D" w:themeColor="text1" w:themeTint="F2"/>
          <w:sz w:val="20"/>
          <w:szCs w:val="20"/>
        </w:rPr>
        <w:t xml:space="preserve"> prepared at the </w:t>
      </w:r>
      <w:r w:rsidR="00DA3510">
        <w:rPr>
          <w:rFonts w:ascii="Arial" w:eastAsia="Arial" w:hAnsi="Arial" w:cs="Arial"/>
          <w:color w:val="0D0D0D" w:themeColor="text1" w:themeTint="F2"/>
          <w:sz w:val="20"/>
          <w:szCs w:val="20"/>
        </w:rPr>
        <w:t>end</w:t>
      </w:r>
      <w:r w:rsidR="00C00F68" w:rsidRPr="00C00F68">
        <w:rPr>
          <w:rFonts w:ascii="Arial" w:eastAsia="Arial" w:hAnsi="Arial" w:cs="Arial"/>
          <w:color w:val="0D0D0D" w:themeColor="text1" w:themeTint="F2"/>
          <w:sz w:val="20"/>
          <w:szCs w:val="20"/>
        </w:rPr>
        <w:t xml:space="preserve"> of </w:t>
      </w:r>
      <w:r w:rsidR="00DA3510">
        <w:rPr>
          <w:rFonts w:ascii="Arial" w:eastAsia="Arial" w:hAnsi="Arial" w:cs="Arial"/>
          <w:color w:val="0D0D0D" w:themeColor="text1" w:themeTint="F2"/>
          <w:sz w:val="20"/>
          <w:szCs w:val="20"/>
        </w:rPr>
        <w:t xml:space="preserve">previous </w:t>
      </w:r>
      <w:r w:rsidR="00C00F68" w:rsidRPr="00C00F68">
        <w:rPr>
          <w:rFonts w:ascii="Arial" w:eastAsia="Arial" w:hAnsi="Arial" w:cs="Arial"/>
          <w:color w:val="0D0D0D" w:themeColor="text1" w:themeTint="F2"/>
          <w:sz w:val="20"/>
          <w:szCs w:val="20"/>
        </w:rPr>
        <w:t xml:space="preserve">year. </w:t>
      </w:r>
      <w:r w:rsidR="00DA3510">
        <w:rPr>
          <w:rFonts w:ascii="Arial" w:eastAsia="Arial" w:hAnsi="Arial" w:cs="Arial"/>
          <w:color w:val="0D0D0D" w:themeColor="text1" w:themeTint="F2"/>
          <w:sz w:val="20"/>
          <w:szCs w:val="20"/>
        </w:rPr>
        <w:t xml:space="preserve">The revision of reporting form requires also consultations with and endorsement by State Statistic Committee and it has to be done by December 2014.  </w:t>
      </w:r>
      <w:r w:rsidR="00C00F68">
        <w:rPr>
          <w:rFonts w:ascii="Arial" w:eastAsia="Arial" w:hAnsi="Arial" w:cs="Arial"/>
          <w:color w:val="0D0D0D" w:themeColor="text1" w:themeTint="F2"/>
          <w:sz w:val="20"/>
          <w:szCs w:val="20"/>
        </w:rPr>
        <w:t xml:space="preserve">In order to avoid delay with revision of recording and reporting forms it is required to receive confirmation on IPV supply by </w:t>
      </w:r>
      <w:r w:rsidR="00DA3510">
        <w:rPr>
          <w:rFonts w:ascii="Arial" w:eastAsia="Arial" w:hAnsi="Arial" w:cs="Arial"/>
          <w:color w:val="0D0D0D" w:themeColor="text1" w:themeTint="F2"/>
          <w:sz w:val="20"/>
          <w:szCs w:val="20"/>
        </w:rPr>
        <w:t>end</w:t>
      </w:r>
      <w:r w:rsidR="00C00F68">
        <w:rPr>
          <w:rFonts w:ascii="Arial" w:eastAsia="Arial" w:hAnsi="Arial" w:cs="Arial"/>
          <w:color w:val="0D0D0D" w:themeColor="text1" w:themeTint="F2"/>
          <w:sz w:val="20"/>
          <w:szCs w:val="20"/>
        </w:rPr>
        <w:t xml:space="preserve"> of </w:t>
      </w:r>
      <w:r w:rsidR="00DA3510">
        <w:rPr>
          <w:rFonts w:ascii="Arial" w:eastAsia="Arial" w:hAnsi="Arial" w:cs="Arial"/>
          <w:color w:val="0D0D0D" w:themeColor="text1" w:themeTint="F2"/>
          <w:sz w:val="20"/>
          <w:szCs w:val="20"/>
        </w:rPr>
        <w:t>November</w:t>
      </w:r>
      <w:r w:rsidR="00C00F68">
        <w:rPr>
          <w:rFonts w:ascii="Arial" w:eastAsia="Arial" w:hAnsi="Arial" w:cs="Arial"/>
          <w:color w:val="0D0D0D" w:themeColor="text1" w:themeTint="F2"/>
          <w:sz w:val="20"/>
          <w:szCs w:val="20"/>
        </w:rPr>
        <w:t xml:space="preserve"> 2014. In terms of </w:t>
      </w:r>
      <w:r w:rsidR="00DA3510">
        <w:rPr>
          <w:rFonts w:ascii="Arial" w:eastAsia="Arial" w:hAnsi="Arial" w:cs="Arial"/>
          <w:color w:val="0D0D0D" w:themeColor="text1" w:themeTint="F2"/>
          <w:sz w:val="20"/>
          <w:szCs w:val="20"/>
        </w:rPr>
        <w:t xml:space="preserve">modification to </w:t>
      </w:r>
      <w:r w:rsidR="00C00F68">
        <w:rPr>
          <w:rFonts w:ascii="Arial" w:eastAsia="Arial" w:hAnsi="Arial" w:cs="Arial"/>
          <w:color w:val="0D0D0D" w:themeColor="text1" w:themeTint="F2"/>
          <w:sz w:val="20"/>
          <w:szCs w:val="20"/>
        </w:rPr>
        <w:t xml:space="preserve">forms used by </w:t>
      </w:r>
      <w:r w:rsidR="00002560">
        <w:rPr>
          <w:rFonts w:ascii="Arial" w:eastAsia="Arial" w:hAnsi="Arial" w:cs="Arial"/>
          <w:color w:val="0D0D0D" w:themeColor="text1" w:themeTint="F2"/>
          <w:sz w:val="20"/>
          <w:szCs w:val="20"/>
        </w:rPr>
        <w:t>electronic health information system (</w:t>
      </w:r>
      <w:r w:rsidR="00C00F68">
        <w:rPr>
          <w:rFonts w:ascii="Arial" w:eastAsia="Arial" w:hAnsi="Arial" w:cs="Arial"/>
          <w:color w:val="0D0D0D" w:themeColor="text1" w:themeTint="F2"/>
          <w:sz w:val="20"/>
          <w:szCs w:val="20"/>
        </w:rPr>
        <w:t>e-health card</w:t>
      </w:r>
      <w:r w:rsidR="00002560">
        <w:rPr>
          <w:rFonts w:ascii="Arial" w:eastAsia="Arial" w:hAnsi="Arial" w:cs="Arial"/>
          <w:color w:val="0D0D0D" w:themeColor="text1" w:themeTint="F2"/>
          <w:sz w:val="20"/>
          <w:szCs w:val="20"/>
        </w:rPr>
        <w:t>)</w:t>
      </w:r>
      <w:r w:rsidR="00DA3510">
        <w:rPr>
          <w:rFonts w:ascii="Arial" w:eastAsia="Arial" w:hAnsi="Arial" w:cs="Arial"/>
          <w:color w:val="0D0D0D" w:themeColor="text1" w:themeTint="F2"/>
          <w:sz w:val="20"/>
          <w:szCs w:val="20"/>
        </w:rPr>
        <w:t xml:space="preserve"> </w:t>
      </w:r>
      <w:r w:rsidR="00C00F68">
        <w:rPr>
          <w:rFonts w:ascii="Arial" w:eastAsia="Arial" w:hAnsi="Arial" w:cs="Arial"/>
          <w:color w:val="0D0D0D" w:themeColor="text1" w:themeTint="F2"/>
          <w:sz w:val="20"/>
          <w:szCs w:val="20"/>
        </w:rPr>
        <w:t xml:space="preserve">related </w:t>
      </w:r>
      <w:r w:rsidR="00DA3510">
        <w:rPr>
          <w:rFonts w:ascii="Arial" w:eastAsia="Arial" w:hAnsi="Arial" w:cs="Arial"/>
          <w:color w:val="0D0D0D" w:themeColor="text1" w:themeTint="F2"/>
          <w:sz w:val="20"/>
          <w:szCs w:val="20"/>
        </w:rPr>
        <w:t xml:space="preserve">discussion already initiated </w:t>
      </w:r>
      <w:r w:rsidR="00C00F68">
        <w:rPr>
          <w:rFonts w:ascii="Arial" w:eastAsia="Arial" w:hAnsi="Arial" w:cs="Arial"/>
          <w:color w:val="0D0D0D" w:themeColor="text1" w:themeTint="F2"/>
          <w:sz w:val="20"/>
          <w:szCs w:val="20"/>
        </w:rPr>
        <w:t>by EPI</w:t>
      </w:r>
      <w:r w:rsidR="00002560">
        <w:rPr>
          <w:rFonts w:ascii="Arial" w:eastAsia="Arial" w:hAnsi="Arial" w:cs="Arial"/>
          <w:color w:val="0D0D0D" w:themeColor="text1" w:themeTint="F2"/>
          <w:sz w:val="20"/>
          <w:szCs w:val="20"/>
        </w:rPr>
        <w:t xml:space="preserve"> </w:t>
      </w:r>
      <w:proofErr w:type="gramStart"/>
      <w:r w:rsidR="00002560">
        <w:rPr>
          <w:rFonts w:ascii="Arial" w:eastAsia="Arial" w:hAnsi="Arial" w:cs="Arial"/>
          <w:color w:val="0D0D0D" w:themeColor="text1" w:themeTint="F2"/>
          <w:sz w:val="20"/>
          <w:szCs w:val="20"/>
        </w:rPr>
        <w:t xml:space="preserve">and </w:t>
      </w:r>
      <w:r w:rsidR="00C00F68">
        <w:rPr>
          <w:rFonts w:ascii="Arial" w:eastAsia="Arial" w:hAnsi="Arial" w:cs="Arial"/>
          <w:color w:val="0D0D0D" w:themeColor="text1" w:themeTint="F2"/>
          <w:sz w:val="20"/>
          <w:szCs w:val="20"/>
        </w:rPr>
        <w:t xml:space="preserve"> </w:t>
      </w:r>
      <w:r w:rsidR="00002560">
        <w:rPr>
          <w:rFonts w:ascii="Arial" w:eastAsia="Arial" w:hAnsi="Arial" w:cs="Arial"/>
          <w:color w:val="0D0D0D" w:themeColor="text1" w:themeTint="F2"/>
          <w:sz w:val="20"/>
          <w:szCs w:val="20"/>
        </w:rPr>
        <w:t>its</w:t>
      </w:r>
      <w:proofErr w:type="gramEnd"/>
      <w:r w:rsidR="00002560">
        <w:rPr>
          <w:rFonts w:ascii="Arial" w:eastAsia="Arial" w:hAnsi="Arial" w:cs="Arial"/>
          <w:color w:val="0D0D0D" w:themeColor="text1" w:themeTint="F2"/>
          <w:sz w:val="20"/>
          <w:szCs w:val="20"/>
        </w:rPr>
        <w:t xml:space="preserve"> </w:t>
      </w:r>
      <w:r w:rsidR="00DA3510">
        <w:rPr>
          <w:rFonts w:ascii="Arial" w:eastAsia="Arial" w:hAnsi="Arial" w:cs="Arial"/>
          <w:color w:val="0D0D0D" w:themeColor="text1" w:themeTint="F2"/>
          <w:sz w:val="20"/>
          <w:szCs w:val="20"/>
        </w:rPr>
        <w:t xml:space="preserve">implementation will be done through </w:t>
      </w:r>
      <w:r w:rsidR="00002560">
        <w:rPr>
          <w:rFonts w:ascii="Arial" w:eastAsia="Arial" w:hAnsi="Arial" w:cs="Arial"/>
          <w:color w:val="0D0D0D" w:themeColor="text1" w:themeTint="F2"/>
          <w:sz w:val="20"/>
          <w:szCs w:val="20"/>
        </w:rPr>
        <w:t xml:space="preserve">Information Technologies </w:t>
      </w:r>
      <w:r w:rsidR="00DA3510">
        <w:rPr>
          <w:rFonts w:ascii="Arial" w:eastAsia="Arial" w:hAnsi="Arial" w:cs="Arial"/>
          <w:color w:val="0D0D0D" w:themeColor="text1" w:themeTint="F2"/>
          <w:sz w:val="20"/>
          <w:szCs w:val="20"/>
        </w:rPr>
        <w:t xml:space="preserve"> Center  </w:t>
      </w:r>
      <w:r w:rsidR="00002560">
        <w:rPr>
          <w:rFonts w:ascii="Arial" w:eastAsia="Arial" w:hAnsi="Arial" w:cs="Arial"/>
          <w:color w:val="0D0D0D" w:themeColor="text1" w:themeTint="F2"/>
          <w:sz w:val="20"/>
          <w:szCs w:val="20"/>
        </w:rPr>
        <w:t>of the Ministry of Health</w:t>
      </w:r>
      <w:r w:rsidR="00DA3510">
        <w:rPr>
          <w:rFonts w:ascii="Arial" w:eastAsia="Arial" w:hAnsi="Arial" w:cs="Arial"/>
          <w:color w:val="0D0D0D" w:themeColor="text1" w:themeTint="F2"/>
          <w:sz w:val="20"/>
          <w:szCs w:val="20"/>
        </w:rPr>
        <w:t xml:space="preserve">. </w:t>
      </w:r>
    </w:p>
    <w:p w:rsidR="00C00F68" w:rsidRDefault="00002560" w:rsidP="008B139E">
      <w:pPr>
        <w:spacing w:after="180" w:line="240" w:lineRule="auto"/>
        <w:jc w:val="both"/>
        <w:rPr>
          <w:rFonts w:ascii="Arial" w:eastAsia="Arial" w:hAnsi="Arial" w:cs="Arial"/>
          <w:color w:val="0D0D0D" w:themeColor="text1" w:themeTint="F2"/>
          <w:sz w:val="20"/>
          <w:szCs w:val="20"/>
        </w:rPr>
      </w:pPr>
      <w:r>
        <w:rPr>
          <w:rFonts w:ascii="Arial" w:eastAsia="Arial" w:hAnsi="Arial" w:cs="Arial"/>
          <w:color w:val="0D0D0D" w:themeColor="text1" w:themeTint="F2"/>
          <w:sz w:val="20"/>
          <w:szCs w:val="20"/>
        </w:rPr>
        <w:t xml:space="preserve">In 2013 follow up immunization data quality </w:t>
      </w:r>
      <w:r w:rsidR="00C953A3">
        <w:rPr>
          <w:rFonts w:ascii="Arial" w:eastAsia="Arial" w:hAnsi="Arial" w:cs="Arial"/>
          <w:color w:val="0D0D0D" w:themeColor="text1" w:themeTint="F2"/>
          <w:sz w:val="20"/>
          <w:szCs w:val="20"/>
        </w:rPr>
        <w:t xml:space="preserve">mission was conducted by </w:t>
      </w:r>
      <w:proofErr w:type="gramStart"/>
      <w:r w:rsidR="00C953A3">
        <w:rPr>
          <w:rFonts w:ascii="Arial" w:eastAsia="Arial" w:hAnsi="Arial" w:cs="Arial"/>
          <w:color w:val="0D0D0D" w:themeColor="text1" w:themeTint="F2"/>
          <w:sz w:val="20"/>
          <w:szCs w:val="20"/>
        </w:rPr>
        <w:t>WHO</w:t>
      </w:r>
      <w:proofErr w:type="gramEnd"/>
      <w:r w:rsidR="00C953A3">
        <w:rPr>
          <w:rFonts w:ascii="Arial" w:eastAsia="Arial" w:hAnsi="Arial" w:cs="Arial"/>
          <w:color w:val="0D0D0D" w:themeColor="text1" w:themeTint="F2"/>
          <w:sz w:val="20"/>
          <w:szCs w:val="20"/>
        </w:rPr>
        <w:t xml:space="preserve">, and based on mission results Improvement Plan has been developed and budgeted. Improvement plan covers period 2014-2016 and includes key activities on validation of immunization coverage, improving target population accuracy, data processing and electronic health information system. Implementation of </w:t>
      </w:r>
      <w:r w:rsidR="00C474A6">
        <w:rPr>
          <w:rFonts w:ascii="Arial" w:eastAsia="Arial" w:hAnsi="Arial" w:cs="Arial"/>
          <w:color w:val="0D0D0D" w:themeColor="text1" w:themeTint="F2"/>
          <w:sz w:val="20"/>
          <w:szCs w:val="20"/>
        </w:rPr>
        <w:t xml:space="preserve">the </w:t>
      </w:r>
      <w:r w:rsidR="00C953A3">
        <w:rPr>
          <w:rFonts w:ascii="Arial" w:eastAsia="Arial" w:hAnsi="Arial" w:cs="Arial"/>
          <w:color w:val="0D0D0D" w:themeColor="text1" w:themeTint="F2"/>
          <w:sz w:val="20"/>
          <w:szCs w:val="20"/>
        </w:rPr>
        <w:t xml:space="preserve">plan supported by WHO and </w:t>
      </w:r>
      <w:r w:rsidR="00C474A6">
        <w:rPr>
          <w:rFonts w:ascii="Arial" w:eastAsia="Arial" w:hAnsi="Arial" w:cs="Arial"/>
          <w:color w:val="0D0D0D" w:themeColor="text1" w:themeTint="F2"/>
          <w:sz w:val="20"/>
          <w:szCs w:val="20"/>
        </w:rPr>
        <w:t>all critical shortcoming related with vaccine information system and data quality are addressed</w:t>
      </w:r>
      <w:r w:rsidR="00C953A3">
        <w:rPr>
          <w:rFonts w:ascii="Arial" w:eastAsia="Arial" w:hAnsi="Arial" w:cs="Arial"/>
          <w:color w:val="0D0D0D" w:themeColor="text1" w:themeTint="F2"/>
          <w:sz w:val="20"/>
          <w:szCs w:val="20"/>
        </w:rPr>
        <w:t>.</w:t>
      </w:r>
    </w:p>
    <w:p w:rsidR="00C474A6" w:rsidRDefault="00C474A6" w:rsidP="008B139E">
      <w:pPr>
        <w:spacing w:after="180" w:line="240" w:lineRule="auto"/>
        <w:jc w:val="both"/>
        <w:rPr>
          <w:rFonts w:ascii="Arial" w:eastAsia="Arial" w:hAnsi="Arial" w:cs="Arial"/>
          <w:color w:val="0D0D0D" w:themeColor="text1" w:themeTint="F2"/>
          <w:sz w:val="20"/>
          <w:szCs w:val="20"/>
        </w:rPr>
      </w:pPr>
      <w:r>
        <w:rPr>
          <w:rFonts w:ascii="Arial" w:eastAsia="Arial" w:hAnsi="Arial" w:cs="Arial"/>
          <w:color w:val="0D0D0D" w:themeColor="text1" w:themeTint="F2"/>
          <w:sz w:val="20"/>
          <w:szCs w:val="20"/>
        </w:rPr>
        <w:t xml:space="preserve">The part of information system, which </w:t>
      </w:r>
      <w:r w:rsidR="0059666E">
        <w:rPr>
          <w:rFonts w:ascii="Arial" w:eastAsia="Arial" w:hAnsi="Arial" w:cs="Arial"/>
          <w:color w:val="0D0D0D" w:themeColor="text1" w:themeTint="F2"/>
          <w:sz w:val="20"/>
          <w:szCs w:val="20"/>
        </w:rPr>
        <w:t>requires substantial revision</w:t>
      </w:r>
      <w:r>
        <w:rPr>
          <w:rFonts w:ascii="Arial" w:eastAsia="Arial" w:hAnsi="Arial" w:cs="Arial"/>
          <w:color w:val="0D0D0D" w:themeColor="text1" w:themeTint="F2"/>
          <w:sz w:val="20"/>
          <w:szCs w:val="20"/>
        </w:rPr>
        <w:t xml:space="preserve"> is AEFI reporting and recording. </w:t>
      </w:r>
      <w:r w:rsidR="00612E94">
        <w:rPr>
          <w:rFonts w:ascii="Arial" w:eastAsia="Arial" w:hAnsi="Arial" w:cs="Arial"/>
          <w:color w:val="0D0D0D" w:themeColor="text1" w:themeTint="F2"/>
          <w:sz w:val="20"/>
          <w:szCs w:val="20"/>
        </w:rPr>
        <w:t xml:space="preserve">AEFI surveillance system is </w:t>
      </w:r>
      <w:r>
        <w:rPr>
          <w:rFonts w:ascii="Arial" w:eastAsia="Arial" w:hAnsi="Arial" w:cs="Arial"/>
          <w:color w:val="0D0D0D" w:themeColor="text1" w:themeTint="F2"/>
          <w:sz w:val="20"/>
          <w:szCs w:val="20"/>
        </w:rPr>
        <w:t>fragmented</w:t>
      </w:r>
      <w:r w:rsidR="0059666E">
        <w:rPr>
          <w:rFonts w:ascii="Arial" w:eastAsia="Arial" w:hAnsi="Arial" w:cs="Arial"/>
          <w:color w:val="0D0D0D" w:themeColor="text1" w:themeTint="F2"/>
          <w:sz w:val="20"/>
          <w:szCs w:val="20"/>
        </w:rPr>
        <w:t xml:space="preserve"> at national level</w:t>
      </w:r>
      <w:r>
        <w:rPr>
          <w:rFonts w:ascii="Arial" w:eastAsia="Arial" w:hAnsi="Arial" w:cs="Arial"/>
          <w:color w:val="0D0D0D" w:themeColor="text1" w:themeTint="F2"/>
          <w:sz w:val="20"/>
          <w:szCs w:val="20"/>
        </w:rPr>
        <w:t xml:space="preserve"> and </w:t>
      </w:r>
      <w:r w:rsidR="00612E94">
        <w:rPr>
          <w:rFonts w:ascii="Arial" w:eastAsia="Arial" w:hAnsi="Arial" w:cs="Arial"/>
          <w:color w:val="0D0D0D" w:themeColor="text1" w:themeTint="F2"/>
          <w:sz w:val="20"/>
          <w:szCs w:val="20"/>
        </w:rPr>
        <w:t xml:space="preserve">due to </w:t>
      </w:r>
      <w:r>
        <w:rPr>
          <w:rFonts w:ascii="Arial" w:eastAsia="Arial" w:hAnsi="Arial" w:cs="Arial"/>
          <w:color w:val="0D0D0D" w:themeColor="text1" w:themeTint="F2"/>
          <w:sz w:val="20"/>
          <w:szCs w:val="20"/>
        </w:rPr>
        <w:t>gaps in procedures</w:t>
      </w:r>
      <w:r w:rsidR="00612E94">
        <w:rPr>
          <w:rFonts w:ascii="Arial" w:eastAsia="Arial" w:hAnsi="Arial" w:cs="Arial"/>
          <w:color w:val="0D0D0D" w:themeColor="text1" w:themeTint="F2"/>
          <w:sz w:val="20"/>
          <w:szCs w:val="20"/>
        </w:rPr>
        <w:t xml:space="preserve"> there is limited interaction between EPI and NRA. Also surveillance standards, recording and reporting forms requires </w:t>
      </w:r>
      <w:r w:rsidR="0059666E">
        <w:rPr>
          <w:rFonts w:ascii="Arial" w:eastAsia="Arial" w:hAnsi="Arial" w:cs="Arial"/>
          <w:color w:val="0D0D0D" w:themeColor="text1" w:themeTint="F2"/>
          <w:sz w:val="20"/>
          <w:szCs w:val="20"/>
        </w:rPr>
        <w:t>modification/update</w:t>
      </w:r>
      <w:r w:rsidR="00612E94">
        <w:rPr>
          <w:rFonts w:ascii="Arial" w:eastAsia="Arial" w:hAnsi="Arial" w:cs="Arial"/>
          <w:color w:val="0D0D0D" w:themeColor="text1" w:themeTint="F2"/>
          <w:sz w:val="20"/>
          <w:szCs w:val="20"/>
        </w:rPr>
        <w:t xml:space="preserve"> in order to </w:t>
      </w:r>
      <w:r w:rsidR="0059666E">
        <w:rPr>
          <w:rFonts w:ascii="Arial" w:eastAsia="Arial" w:hAnsi="Arial" w:cs="Arial"/>
          <w:color w:val="0D0D0D" w:themeColor="text1" w:themeTint="F2"/>
          <w:sz w:val="20"/>
          <w:szCs w:val="20"/>
        </w:rPr>
        <w:t>address</w:t>
      </w:r>
      <w:r w:rsidR="00612E94">
        <w:rPr>
          <w:rFonts w:ascii="Arial" w:eastAsia="Arial" w:hAnsi="Arial" w:cs="Arial"/>
          <w:color w:val="0D0D0D" w:themeColor="text1" w:themeTint="F2"/>
          <w:sz w:val="20"/>
          <w:szCs w:val="20"/>
        </w:rPr>
        <w:t xml:space="preserve"> </w:t>
      </w:r>
      <w:r w:rsidR="0059666E">
        <w:rPr>
          <w:rFonts w:ascii="Arial" w:eastAsia="Arial" w:hAnsi="Arial" w:cs="Arial"/>
          <w:color w:val="0D0D0D" w:themeColor="text1" w:themeTint="F2"/>
          <w:sz w:val="20"/>
          <w:szCs w:val="20"/>
        </w:rPr>
        <w:t xml:space="preserve">new vaccine related issues. Partially AEFI surveillance system related activities included in NRA Development Plan </w:t>
      </w:r>
      <w:r w:rsidR="006D7C9B">
        <w:rPr>
          <w:rFonts w:ascii="Arial" w:eastAsia="Arial" w:hAnsi="Arial" w:cs="Arial"/>
          <w:color w:val="0D0D0D" w:themeColor="text1" w:themeTint="F2"/>
          <w:sz w:val="20"/>
          <w:szCs w:val="20"/>
        </w:rPr>
        <w:t xml:space="preserve">elaborated at WHO workshop in 2013, however this plan </w:t>
      </w:r>
      <w:r w:rsidR="00F57045">
        <w:rPr>
          <w:rFonts w:ascii="Arial" w:eastAsia="Arial" w:hAnsi="Arial" w:cs="Arial"/>
          <w:color w:val="0D0D0D" w:themeColor="text1" w:themeTint="F2"/>
          <w:sz w:val="20"/>
          <w:szCs w:val="20"/>
        </w:rPr>
        <w:t>has</w:t>
      </w:r>
      <w:r w:rsidR="006D7C9B">
        <w:rPr>
          <w:rFonts w:ascii="Arial" w:eastAsia="Arial" w:hAnsi="Arial" w:cs="Arial"/>
          <w:color w:val="0D0D0D" w:themeColor="text1" w:themeTint="F2"/>
          <w:sz w:val="20"/>
          <w:szCs w:val="20"/>
        </w:rPr>
        <w:t xml:space="preserve"> not </w:t>
      </w:r>
      <w:r w:rsidR="00F57045">
        <w:rPr>
          <w:rFonts w:ascii="Arial" w:eastAsia="Arial" w:hAnsi="Arial" w:cs="Arial"/>
          <w:color w:val="0D0D0D" w:themeColor="text1" w:themeTint="F2"/>
          <w:sz w:val="20"/>
          <w:szCs w:val="20"/>
        </w:rPr>
        <w:t xml:space="preserve">been </w:t>
      </w:r>
      <w:r w:rsidR="006D7C9B">
        <w:rPr>
          <w:rFonts w:ascii="Arial" w:eastAsia="Arial" w:hAnsi="Arial" w:cs="Arial"/>
          <w:color w:val="0D0D0D" w:themeColor="text1" w:themeTint="F2"/>
          <w:sz w:val="20"/>
          <w:szCs w:val="20"/>
        </w:rPr>
        <w:t xml:space="preserve">funded yet and therefore its implementation is delayed. </w:t>
      </w:r>
      <w:r w:rsidR="00F57045">
        <w:rPr>
          <w:rFonts w:ascii="Arial" w:eastAsia="Arial" w:hAnsi="Arial" w:cs="Arial"/>
          <w:color w:val="0D0D0D" w:themeColor="text1" w:themeTint="F2"/>
          <w:sz w:val="20"/>
          <w:szCs w:val="20"/>
        </w:rPr>
        <w:t>In order to address AEFI surveillance shortcomings, country has requested WHO technical and expertise support prior to IPV introduction.</w:t>
      </w:r>
    </w:p>
    <w:p w:rsidR="008B76C7" w:rsidRPr="00F57045" w:rsidRDefault="00E33BA2" w:rsidP="00824767">
      <w:pPr>
        <w:numPr>
          <w:ilvl w:val="1"/>
          <w:numId w:val="26"/>
        </w:numPr>
        <w:spacing w:after="0" w:line="240" w:lineRule="auto"/>
        <w:contextualSpacing/>
        <w:jc w:val="both"/>
        <w:rPr>
          <w:rFonts w:ascii="Arial" w:eastAsia="Arial" w:hAnsi="Arial" w:cs="Arial"/>
          <w:bCs/>
          <w:color w:val="0D0D0D" w:themeColor="text1" w:themeTint="F2"/>
          <w:sz w:val="20"/>
          <w:szCs w:val="20"/>
        </w:rPr>
      </w:pPr>
      <w:r>
        <w:rPr>
          <w:rFonts w:ascii="Arial" w:eastAsia="Arial" w:hAnsi="Arial" w:cs="Arial"/>
          <w:bCs/>
          <w:color w:val="0D0D0D" w:themeColor="text1" w:themeTint="F2"/>
          <w:sz w:val="20"/>
          <w:szCs w:val="20"/>
        </w:rPr>
        <w:t>M</w:t>
      </w:r>
      <w:r w:rsidR="008B76C7" w:rsidRPr="00F57045">
        <w:rPr>
          <w:rFonts w:ascii="Arial" w:eastAsia="Arial" w:hAnsi="Arial" w:cs="Arial"/>
          <w:bCs/>
          <w:color w:val="0D0D0D" w:themeColor="text1" w:themeTint="F2"/>
          <w:sz w:val="20"/>
          <w:szCs w:val="20"/>
        </w:rPr>
        <w:t>onitoring and evaluation of the new vaccine introduction</w:t>
      </w:r>
    </w:p>
    <w:p w:rsidR="008B76C7" w:rsidRPr="008B76C7" w:rsidRDefault="008B76C7" w:rsidP="008B76C7">
      <w:pPr>
        <w:spacing w:after="0" w:line="240" w:lineRule="auto"/>
        <w:ind w:left="86"/>
        <w:jc w:val="both"/>
        <w:rPr>
          <w:rFonts w:ascii="Arial" w:eastAsia="Arial" w:hAnsi="Arial" w:cs="Arial"/>
          <w:b/>
          <w:color w:val="0D0D0D" w:themeColor="text1" w:themeTint="F2"/>
        </w:rPr>
      </w:pPr>
    </w:p>
    <w:p w:rsidR="008B76C7" w:rsidRPr="00F233D7" w:rsidRDefault="00F57045" w:rsidP="00F57045">
      <w:pPr>
        <w:spacing w:after="180" w:line="240" w:lineRule="auto"/>
        <w:jc w:val="both"/>
        <w:rPr>
          <w:rFonts w:ascii="Arial" w:eastAsia="Arial" w:hAnsi="Arial" w:cs="Arial"/>
          <w:color w:val="0D0D0D" w:themeColor="text1" w:themeTint="F2"/>
          <w:sz w:val="20"/>
          <w:szCs w:val="20"/>
        </w:rPr>
      </w:pPr>
      <w:r w:rsidRPr="00F233D7">
        <w:rPr>
          <w:rFonts w:ascii="Arial" w:eastAsia="Arial" w:hAnsi="Arial" w:cs="Arial"/>
          <w:color w:val="0D0D0D" w:themeColor="text1" w:themeTint="F2"/>
          <w:sz w:val="20"/>
          <w:szCs w:val="20"/>
        </w:rPr>
        <w:t xml:space="preserve">Country has </w:t>
      </w:r>
      <w:r w:rsidR="00F233D7" w:rsidRPr="00F233D7">
        <w:rPr>
          <w:rFonts w:ascii="Arial" w:eastAsia="Arial" w:hAnsi="Arial" w:cs="Arial"/>
          <w:color w:val="0D0D0D" w:themeColor="text1" w:themeTint="F2"/>
          <w:sz w:val="20"/>
          <w:szCs w:val="20"/>
        </w:rPr>
        <w:t xml:space="preserve">significant experience in monitoring of new vaccine implementation.  Since introduction </w:t>
      </w:r>
      <w:proofErr w:type="spellStart"/>
      <w:r w:rsidR="00F233D7" w:rsidRPr="00F233D7">
        <w:rPr>
          <w:rFonts w:ascii="Arial" w:eastAsia="Arial" w:hAnsi="Arial" w:cs="Arial"/>
          <w:color w:val="0D0D0D" w:themeColor="text1" w:themeTint="F2"/>
          <w:sz w:val="20"/>
          <w:szCs w:val="20"/>
        </w:rPr>
        <w:t>Hib-penta</w:t>
      </w:r>
      <w:proofErr w:type="spellEnd"/>
      <w:r w:rsidR="00F233D7" w:rsidRPr="00F233D7">
        <w:rPr>
          <w:rFonts w:ascii="Arial" w:eastAsia="Arial" w:hAnsi="Arial" w:cs="Arial"/>
          <w:color w:val="0D0D0D" w:themeColor="text1" w:themeTint="F2"/>
          <w:sz w:val="20"/>
          <w:szCs w:val="20"/>
        </w:rPr>
        <w:t xml:space="preserve">, national staff by WHO support has developed monitoring checklists, covering issues on target group planning, vaccine &amp; supply distribution, cold chain, vaccine management, injection safety, social mobilization and supportive supervision. </w:t>
      </w:r>
      <w:r w:rsidR="007D2EC8">
        <w:rPr>
          <w:rFonts w:ascii="Arial" w:eastAsia="Arial" w:hAnsi="Arial" w:cs="Arial"/>
          <w:color w:val="0D0D0D" w:themeColor="text1" w:themeTint="F2"/>
          <w:sz w:val="20"/>
          <w:szCs w:val="20"/>
        </w:rPr>
        <w:t xml:space="preserve">Monitoring of new vaccine implementation is conducted by staff of Republican Center for Hygiene and Epidemiology by WHO support. The same practice was used for PCV introduction in 2013, enriched by participation of national staff also at programmatic readiness assessment. Also national staff is familiar and skilled in conduction of Post Introduction Evaluations, </w:t>
      </w:r>
      <w:r w:rsidR="007D2EC8">
        <w:rPr>
          <w:rFonts w:ascii="Arial" w:eastAsia="Arial" w:hAnsi="Arial" w:cs="Arial"/>
          <w:color w:val="0D0D0D" w:themeColor="text1" w:themeTint="F2"/>
          <w:sz w:val="20"/>
          <w:szCs w:val="20"/>
        </w:rPr>
        <w:lastRenderedPageBreak/>
        <w:t xml:space="preserve">particularly for </w:t>
      </w:r>
      <w:proofErr w:type="spellStart"/>
      <w:r w:rsidR="007D2EC8">
        <w:rPr>
          <w:rFonts w:ascii="Arial" w:eastAsia="Arial" w:hAnsi="Arial" w:cs="Arial"/>
          <w:color w:val="0D0D0D" w:themeColor="text1" w:themeTint="F2"/>
          <w:sz w:val="20"/>
          <w:szCs w:val="20"/>
        </w:rPr>
        <w:t>Hib</w:t>
      </w:r>
      <w:proofErr w:type="spellEnd"/>
      <w:r w:rsidR="007D2EC8">
        <w:rPr>
          <w:rFonts w:ascii="Arial" w:eastAsia="Arial" w:hAnsi="Arial" w:cs="Arial"/>
          <w:color w:val="0D0D0D" w:themeColor="text1" w:themeTint="F2"/>
          <w:sz w:val="20"/>
          <w:szCs w:val="20"/>
        </w:rPr>
        <w:t xml:space="preserve"> </w:t>
      </w:r>
      <w:proofErr w:type="spellStart"/>
      <w:r w:rsidR="007D2EC8">
        <w:rPr>
          <w:rFonts w:ascii="Arial" w:eastAsia="Arial" w:hAnsi="Arial" w:cs="Arial"/>
          <w:color w:val="0D0D0D" w:themeColor="text1" w:themeTint="F2"/>
          <w:sz w:val="20"/>
          <w:szCs w:val="20"/>
        </w:rPr>
        <w:t>penta</w:t>
      </w:r>
      <w:proofErr w:type="spellEnd"/>
      <w:r w:rsidR="007D2EC8">
        <w:rPr>
          <w:rFonts w:ascii="Arial" w:eastAsia="Arial" w:hAnsi="Arial" w:cs="Arial"/>
          <w:color w:val="0D0D0D" w:themeColor="text1" w:themeTint="F2"/>
          <w:sz w:val="20"/>
          <w:szCs w:val="20"/>
        </w:rPr>
        <w:t xml:space="preserve">. For IPV introduction there are several </w:t>
      </w:r>
      <w:r w:rsidR="00E33BA2">
        <w:rPr>
          <w:rFonts w:ascii="Arial" w:eastAsia="Arial" w:hAnsi="Arial" w:cs="Arial"/>
          <w:color w:val="0D0D0D" w:themeColor="text1" w:themeTint="F2"/>
          <w:sz w:val="20"/>
          <w:szCs w:val="20"/>
        </w:rPr>
        <w:t>activities are planned</w:t>
      </w:r>
      <w:r w:rsidR="00E33BA2" w:rsidRPr="00E33BA2">
        <w:rPr>
          <w:rFonts w:ascii="Arial" w:eastAsia="Arial" w:hAnsi="Arial" w:cs="Arial"/>
          <w:color w:val="0D0D0D" w:themeColor="text1" w:themeTint="F2"/>
          <w:sz w:val="20"/>
          <w:szCs w:val="20"/>
        </w:rPr>
        <w:t xml:space="preserve"> </w:t>
      </w:r>
      <w:r w:rsidR="00E33BA2">
        <w:rPr>
          <w:rFonts w:ascii="Arial" w:eastAsia="Arial" w:hAnsi="Arial" w:cs="Arial"/>
          <w:color w:val="0D0D0D" w:themeColor="text1" w:themeTint="F2"/>
          <w:sz w:val="20"/>
          <w:szCs w:val="20"/>
        </w:rPr>
        <w:t>by WHO support for 2015, particularly pre introduction evaluation in framework of PCV PIE scheduled for Q2, monitoring of IPV introduction by the end of Q3, and IPV PIE in 2016.</w:t>
      </w:r>
    </w:p>
    <w:p w:rsidR="008B76C7" w:rsidRPr="008B76C7" w:rsidRDefault="008B76C7" w:rsidP="008B76C7">
      <w:pPr>
        <w:spacing w:after="0" w:line="240" w:lineRule="auto"/>
        <w:ind w:left="86"/>
        <w:jc w:val="both"/>
        <w:rPr>
          <w:rFonts w:ascii="Arial" w:eastAsia="Arial" w:hAnsi="Arial" w:cs="Arial"/>
          <w:b/>
          <w:color w:val="0D0D0D" w:themeColor="text1" w:themeTint="F2"/>
        </w:rPr>
      </w:pPr>
    </w:p>
    <w:p w:rsidR="008B76C7" w:rsidRPr="00E33BA2" w:rsidRDefault="008B76C7" w:rsidP="00824767">
      <w:pPr>
        <w:numPr>
          <w:ilvl w:val="1"/>
          <w:numId w:val="26"/>
        </w:numPr>
        <w:spacing w:after="0" w:line="240" w:lineRule="auto"/>
        <w:contextualSpacing/>
        <w:jc w:val="both"/>
        <w:rPr>
          <w:rFonts w:ascii="Arial" w:eastAsia="Arial" w:hAnsi="Arial" w:cs="Arial"/>
          <w:bCs/>
          <w:color w:val="0D0D0D" w:themeColor="text1" w:themeTint="F2"/>
          <w:sz w:val="20"/>
          <w:szCs w:val="20"/>
        </w:rPr>
      </w:pPr>
      <w:r w:rsidRPr="00E33BA2">
        <w:rPr>
          <w:rFonts w:ascii="Arial" w:eastAsia="Arial" w:hAnsi="Arial" w:cs="Arial"/>
          <w:bCs/>
          <w:color w:val="0D0D0D" w:themeColor="text1" w:themeTint="F2"/>
          <w:sz w:val="20"/>
          <w:szCs w:val="20"/>
        </w:rPr>
        <w:t xml:space="preserve">Training of health workers </w:t>
      </w:r>
    </w:p>
    <w:p w:rsidR="008B76C7" w:rsidRPr="008B76C7" w:rsidRDefault="008B76C7" w:rsidP="008B76C7">
      <w:pPr>
        <w:spacing w:after="0" w:line="240" w:lineRule="auto"/>
        <w:ind w:left="86"/>
        <w:jc w:val="both"/>
        <w:rPr>
          <w:rFonts w:ascii="Arial" w:eastAsia="Arial" w:hAnsi="Arial" w:cs="Arial"/>
          <w:b/>
          <w:color w:val="0D0D0D" w:themeColor="text1" w:themeTint="F2"/>
        </w:rPr>
      </w:pPr>
    </w:p>
    <w:p w:rsidR="00C84638" w:rsidRDefault="00E33BA2" w:rsidP="00E33BA2">
      <w:pPr>
        <w:spacing w:after="180" w:line="240" w:lineRule="auto"/>
        <w:jc w:val="both"/>
        <w:rPr>
          <w:rFonts w:ascii="Arial" w:eastAsia="Arial" w:hAnsi="Arial" w:cs="Arial"/>
          <w:color w:val="0D0D0D" w:themeColor="text1" w:themeTint="F2"/>
          <w:sz w:val="20"/>
          <w:szCs w:val="20"/>
        </w:rPr>
      </w:pPr>
      <w:r w:rsidRPr="00C84638">
        <w:rPr>
          <w:rFonts w:ascii="Arial" w:eastAsia="Arial" w:hAnsi="Arial" w:cs="Arial"/>
          <w:color w:val="0D0D0D" w:themeColor="text1" w:themeTint="F2"/>
          <w:sz w:val="20"/>
          <w:szCs w:val="20"/>
        </w:rPr>
        <w:t>According to country practices Republican Center for Hygiene and Epidemiology is planning to conduct cascade trainings on IPV introduction, covering, epidemiologists from districts/cities Hygiene and Epidemiology Center, pediatricians involved in immunization and vaccinators. Trainings will be conducted by national level staff 3 months prior to introduction, inter-district approach will be implemented. Follow up trainings will be conducted by senior staff of district/city level HEC</w:t>
      </w:r>
      <w:r w:rsidR="00C84638" w:rsidRPr="00C84638">
        <w:rPr>
          <w:rFonts w:ascii="Arial" w:eastAsia="Arial" w:hAnsi="Arial" w:cs="Arial"/>
          <w:color w:val="0D0D0D" w:themeColor="text1" w:themeTint="F2"/>
          <w:sz w:val="20"/>
          <w:szCs w:val="20"/>
        </w:rPr>
        <w:t xml:space="preserve"> and chief pediatricians.</w:t>
      </w:r>
      <w:r w:rsidR="00C84638">
        <w:rPr>
          <w:rFonts w:ascii="Arial" w:eastAsia="Arial" w:hAnsi="Arial" w:cs="Arial"/>
          <w:color w:val="0D0D0D" w:themeColor="text1" w:themeTint="F2"/>
          <w:sz w:val="20"/>
          <w:szCs w:val="20"/>
        </w:rPr>
        <w:t xml:space="preserve"> As EPI requirement, prior to introduction of IPV all vaccinators should be tested to be certified for IPV administration. </w:t>
      </w:r>
      <w:r w:rsidR="00C84638" w:rsidRPr="00C84638">
        <w:rPr>
          <w:rFonts w:ascii="Arial" w:eastAsia="Arial" w:hAnsi="Arial" w:cs="Arial"/>
          <w:color w:val="0D0D0D" w:themeColor="text1" w:themeTint="F2"/>
          <w:sz w:val="20"/>
          <w:szCs w:val="20"/>
        </w:rPr>
        <w:t xml:space="preserve"> </w:t>
      </w:r>
      <w:r w:rsidR="00C84638">
        <w:rPr>
          <w:rFonts w:ascii="Arial" w:eastAsia="Arial" w:hAnsi="Arial" w:cs="Arial"/>
          <w:color w:val="0D0D0D" w:themeColor="text1" w:themeTint="F2"/>
          <w:sz w:val="20"/>
          <w:szCs w:val="20"/>
        </w:rPr>
        <w:t>R</w:t>
      </w:r>
      <w:r w:rsidR="00C84638" w:rsidRPr="00C84638">
        <w:rPr>
          <w:rFonts w:ascii="Arial" w:eastAsia="Arial" w:hAnsi="Arial" w:cs="Arial"/>
          <w:color w:val="0D0D0D" w:themeColor="text1" w:themeTint="F2"/>
          <w:sz w:val="20"/>
          <w:szCs w:val="20"/>
        </w:rPr>
        <w:t>esults of PCV monitoring and EVM assessment conducted in 2014</w:t>
      </w:r>
      <w:r w:rsidR="00C84638">
        <w:rPr>
          <w:rFonts w:ascii="Arial" w:eastAsia="Arial" w:hAnsi="Arial" w:cs="Arial"/>
          <w:color w:val="0D0D0D" w:themeColor="text1" w:themeTint="F2"/>
          <w:sz w:val="20"/>
          <w:szCs w:val="20"/>
        </w:rPr>
        <w:t xml:space="preserve"> suggest that</w:t>
      </w:r>
      <w:r w:rsidR="00C84638" w:rsidRPr="00C84638">
        <w:rPr>
          <w:rFonts w:ascii="Arial" w:eastAsia="Arial" w:hAnsi="Arial" w:cs="Arial"/>
          <w:color w:val="0D0D0D" w:themeColor="text1" w:themeTint="F2"/>
          <w:sz w:val="20"/>
          <w:szCs w:val="20"/>
        </w:rPr>
        <w:t xml:space="preserve"> in general staff involved in immunization program has good knowledge and skills in terms of cold chain, vac</w:t>
      </w:r>
      <w:r w:rsidR="00C84638">
        <w:rPr>
          <w:rFonts w:ascii="Arial" w:eastAsia="Arial" w:hAnsi="Arial" w:cs="Arial"/>
          <w:color w:val="0D0D0D" w:themeColor="text1" w:themeTint="F2"/>
          <w:sz w:val="20"/>
          <w:szCs w:val="20"/>
        </w:rPr>
        <w:t xml:space="preserve">cine handling, injection safety and certification of vaccinators in most of districts completed prior to vaccine introduction. It is planned to conduct trainings by technical support of </w:t>
      </w:r>
      <w:proofErr w:type="gramStart"/>
      <w:r w:rsidR="00C84638">
        <w:rPr>
          <w:rFonts w:ascii="Arial" w:eastAsia="Arial" w:hAnsi="Arial" w:cs="Arial"/>
          <w:color w:val="0D0D0D" w:themeColor="text1" w:themeTint="F2"/>
          <w:sz w:val="20"/>
          <w:szCs w:val="20"/>
        </w:rPr>
        <w:t>WHO</w:t>
      </w:r>
      <w:proofErr w:type="gramEnd"/>
      <w:r w:rsidR="00C84638">
        <w:rPr>
          <w:rFonts w:ascii="Arial" w:eastAsia="Arial" w:hAnsi="Arial" w:cs="Arial"/>
          <w:color w:val="0D0D0D" w:themeColor="text1" w:themeTint="F2"/>
          <w:sz w:val="20"/>
          <w:szCs w:val="20"/>
        </w:rPr>
        <w:t>.</w:t>
      </w:r>
    </w:p>
    <w:p w:rsidR="00C84638" w:rsidRDefault="00C84638" w:rsidP="00E33BA2">
      <w:pPr>
        <w:spacing w:after="180" w:line="240" w:lineRule="auto"/>
        <w:jc w:val="both"/>
        <w:rPr>
          <w:rFonts w:ascii="Arial" w:eastAsia="Arial" w:hAnsi="Arial" w:cs="Arial"/>
          <w:color w:val="0D0D0D" w:themeColor="text1" w:themeTint="F2"/>
          <w:sz w:val="20"/>
          <w:szCs w:val="20"/>
        </w:rPr>
      </w:pPr>
      <w:r>
        <w:rPr>
          <w:rFonts w:ascii="Arial" w:eastAsia="Arial" w:hAnsi="Arial" w:cs="Arial"/>
          <w:color w:val="0D0D0D" w:themeColor="text1" w:themeTint="F2"/>
          <w:sz w:val="20"/>
          <w:szCs w:val="20"/>
        </w:rPr>
        <w:t xml:space="preserve">WHO developed trainings materials, including guidelines and presentations will be translated and </w:t>
      </w:r>
      <w:r w:rsidR="000A34CF">
        <w:rPr>
          <w:rFonts w:ascii="Arial" w:eastAsia="Arial" w:hAnsi="Arial" w:cs="Arial"/>
          <w:color w:val="0D0D0D" w:themeColor="text1" w:themeTint="F2"/>
          <w:sz w:val="20"/>
          <w:szCs w:val="20"/>
        </w:rPr>
        <w:t>adopted</w:t>
      </w:r>
      <w:r>
        <w:rPr>
          <w:rFonts w:ascii="Arial" w:eastAsia="Arial" w:hAnsi="Arial" w:cs="Arial"/>
          <w:color w:val="0D0D0D" w:themeColor="text1" w:themeTint="F2"/>
          <w:sz w:val="20"/>
          <w:szCs w:val="20"/>
        </w:rPr>
        <w:t xml:space="preserve"> by EPI prior to </w:t>
      </w:r>
      <w:proofErr w:type="gramStart"/>
      <w:r>
        <w:rPr>
          <w:rFonts w:ascii="Arial" w:eastAsia="Arial" w:hAnsi="Arial" w:cs="Arial"/>
          <w:color w:val="0D0D0D" w:themeColor="text1" w:themeTint="F2"/>
          <w:sz w:val="20"/>
          <w:szCs w:val="20"/>
        </w:rPr>
        <w:t>trainings.</w:t>
      </w:r>
      <w:proofErr w:type="gramEnd"/>
      <w:r>
        <w:rPr>
          <w:rFonts w:ascii="Arial" w:eastAsia="Arial" w:hAnsi="Arial" w:cs="Arial"/>
          <w:color w:val="0D0D0D" w:themeColor="text1" w:themeTint="F2"/>
          <w:sz w:val="20"/>
          <w:szCs w:val="20"/>
        </w:rPr>
        <w:t xml:space="preserve"> Printing of trainings materials is </w:t>
      </w:r>
      <w:r w:rsidR="00C21CAD">
        <w:rPr>
          <w:rFonts w:ascii="Arial" w:eastAsia="Arial" w:hAnsi="Arial" w:cs="Arial"/>
          <w:color w:val="0D0D0D" w:themeColor="text1" w:themeTint="F2"/>
          <w:sz w:val="20"/>
          <w:szCs w:val="20"/>
        </w:rPr>
        <w:t xml:space="preserve">budgeted from IPV VIG. Also pre and </w:t>
      </w:r>
      <w:proofErr w:type="spellStart"/>
      <w:r w:rsidR="00C21CAD">
        <w:rPr>
          <w:rFonts w:ascii="Arial" w:eastAsia="Arial" w:hAnsi="Arial" w:cs="Arial"/>
          <w:color w:val="0D0D0D" w:themeColor="text1" w:themeTint="F2"/>
          <w:sz w:val="20"/>
          <w:szCs w:val="20"/>
        </w:rPr>
        <w:t>post test</w:t>
      </w:r>
      <w:proofErr w:type="spellEnd"/>
      <w:r w:rsidR="00C21CAD">
        <w:rPr>
          <w:rFonts w:ascii="Arial" w:eastAsia="Arial" w:hAnsi="Arial" w:cs="Arial"/>
          <w:color w:val="0D0D0D" w:themeColor="text1" w:themeTint="F2"/>
          <w:sz w:val="20"/>
          <w:szCs w:val="20"/>
        </w:rPr>
        <w:t xml:space="preserve"> questionaries’ will be elaborated in order to assess participants knowledge and areas required follow up.</w:t>
      </w:r>
    </w:p>
    <w:p w:rsidR="00C21CAD" w:rsidRPr="00C21CAD" w:rsidRDefault="00C21CAD" w:rsidP="00E33BA2">
      <w:pPr>
        <w:spacing w:after="180" w:line="240" w:lineRule="auto"/>
        <w:jc w:val="both"/>
        <w:rPr>
          <w:rFonts w:ascii="Arial" w:eastAsia="Arial" w:hAnsi="Arial" w:cs="Arial"/>
          <w:color w:val="0D0D0D" w:themeColor="text1" w:themeTint="F2"/>
          <w:sz w:val="20"/>
          <w:szCs w:val="20"/>
        </w:rPr>
      </w:pPr>
      <w:r w:rsidRPr="00C21CAD">
        <w:rPr>
          <w:rFonts w:ascii="Arial" w:eastAsia="Arial" w:hAnsi="Arial" w:cs="Arial"/>
          <w:color w:val="0D0D0D" w:themeColor="text1" w:themeTint="F2"/>
          <w:sz w:val="20"/>
          <w:szCs w:val="20"/>
        </w:rPr>
        <w:t>Upon completion work on adaptation of trainings materials on IPV introduction, final product will be submitted to medical colleges for further incorporation in immunization curriculum.</w:t>
      </w:r>
    </w:p>
    <w:p w:rsidR="008B76C7" w:rsidRDefault="00C21CAD" w:rsidP="00824767">
      <w:pPr>
        <w:numPr>
          <w:ilvl w:val="1"/>
          <w:numId w:val="26"/>
        </w:numPr>
        <w:spacing w:after="0" w:line="240" w:lineRule="auto"/>
        <w:contextualSpacing/>
        <w:jc w:val="both"/>
        <w:rPr>
          <w:rFonts w:ascii="Arial" w:eastAsia="Arial" w:hAnsi="Arial" w:cs="Arial"/>
          <w:bCs/>
          <w:color w:val="0D0D0D" w:themeColor="text1" w:themeTint="F2"/>
          <w:sz w:val="20"/>
          <w:szCs w:val="20"/>
        </w:rPr>
      </w:pPr>
      <w:r>
        <w:rPr>
          <w:rFonts w:ascii="Arial" w:eastAsia="Arial" w:hAnsi="Arial" w:cs="Arial"/>
          <w:bCs/>
          <w:color w:val="0D0D0D" w:themeColor="text1" w:themeTint="F2"/>
          <w:sz w:val="20"/>
          <w:szCs w:val="20"/>
        </w:rPr>
        <w:t>S</w:t>
      </w:r>
      <w:r w:rsidR="008B76C7" w:rsidRPr="00C21CAD">
        <w:rPr>
          <w:rFonts w:ascii="Arial" w:eastAsia="Arial" w:hAnsi="Arial" w:cs="Arial"/>
          <w:bCs/>
          <w:color w:val="0D0D0D" w:themeColor="text1" w:themeTint="F2"/>
          <w:sz w:val="20"/>
          <w:szCs w:val="20"/>
        </w:rPr>
        <w:t>ocial mobilization, communications and advocacy activities</w:t>
      </w:r>
    </w:p>
    <w:p w:rsidR="00216892" w:rsidRDefault="00216892" w:rsidP="00216892">
      <w:pPr>
        <w:spacing w:after="0" w:line="240" w:lineRule="auto"/>
        <w:ind w:left="60"/>
        <w:contextualSpacing/>
        <w:jc w:val="both"/>
        <w:rPr>
          <w:rFonts w:ascii="Arial" w:eastAsia="Arial" w:hAnsi="Arial" w:cs="Arial"/>
          <w:bCs/>
          <w:color w:val="0D0D0D" w:themeColor="text1" w:themeTint="F2"/>
          <w:sz w:val="20"/>
          <w:szCs w:val="20"/>
        </w:rPr>
      </w:pPr>
    </w:p>
    <w:p w:rsidR="00C21CAD" w:rsidRDefault="00C21CAD" w:rsidP="00C21CAD">
      <w:pPr>
        <w:spacing w:after="0" w:line="240" w:lineRule="auto"/>
        <w:ind w:left="60"/>
        <w:contextualSpacing/>
        <w:jc w:val="both"/>
        <w:rPr>
          <w:rFonts w:ascii="Arial" w:eastAsia="Arial" w:hAnsi="Arial" w:cs="Arial"/>
          <w:bCs/>
          <w:color w:val="0D0D0D" w:themeColor="text1" w:themeTint="F2"/>
          <w:sz w:val="20"/>
          <w:szCs w:val="20"/>
        </w:rPr>
      </w:pPr>
      <w:r>
        <w:rPr>
          <w:rFonts w:ascii="Arial" w:eastAsia="Arial" w:hAnsi="Arial" w:cs="Arial"/>
          <w:bCs/>
          <w:color w:val="0D0D0D" w:themeColor="text1" w:themeTint="F2"/>
          <w:sz w:val="20"/>
          <w:szCs w:val="20"/>
        </w:rPr>
        <w:t xml:space="preserve">The Ministry of Health website on Immunization and Vaccine Preventable Diseases will be the main platform for IPV introduction social mobilization and advocacy activities. Website development started </w:t>
      </w:r>
      <w:r w:rsidR="002B6CF1">
        <w:rPr>
          <w:rFonts w:ascii="Arial" w:eastAsia="Arial" w:hAnsi="Arial" w:cs="Arial"/>
          <w:bCs/>
          <w:color w:val="0D0D0D" w:themeColor="text1" w:themeTint="F2"/>
          <w:sz w:val="20"/>
          <w:szCs w:val="20"/>
        </w:rPr>
        <w:t xml:space="preserve">in 2013 by WHO consultancy support and required funding budgeted from PCV VIG. It is expected that website will be launched during EIW 2015. Website target groups are media, health workers, </w:t>
      </w:r>
      <w:proofErr w:type="gramStart"/>
      <w:r w:rsidR="002B6CF1">
        <w:rPr>
          <w:rFonts w:ascii="Arial" w:eastAsia="Arial" w:hAnsi="Arial" w:cs="Arial"/>
          <w:bCs/>
          <w:color w:val="0D0D0D" w:themeColor="text1" w:themeTint="F2"/>
          <w:sz w:val="20"/>
          <w:szCs w:val="20"/>
        </w:rPr>
        <w:t>general</w:t>
      </w:r>
      <w:proofErr w:type="gramEnd"/>
      <w:r w:rsidR="002B6CF1">
        <w:rPr>
          <w:rFonts w:ascii="Arial" w:eastAsia="Arial" w:hAnsi="Arial" w:cs="Arial"/>
          <w:bCs/>
          <w:color w:val="0D0D0D" w:themeColor="text1" w:themeTint="F2"/>
          <w:sz w:val="20"/>
          <w:szCs w:val="20"/>
        </w:rPr>
        <w:t xml:space="preserve"> population and policy makers. </w:t>
      </w:r>
    </w:p>
    <w:p w:rsidR="002B6CF1" w:rsidRDefault="002B6CF1" w:rsidP="00C21CAD">
      <w:pPr>
        <w:spacing w:after="0" w:line="240" w:lineRule="auto"/>
        <w:ind w:left="60"/>
        <w:contextualSpacing/>
        <w:jc w:val="both"/>
        <w:rPr>
          <w:rFonts w:ascii="Arial" w:eastAsia="Arial" w:hAnsi="Arial" w:cs="Arial"/>
          <w:bCs/>
          <w:color w:val="0D0D0D" w:themeColor="text1" w:themeTint="F2"/>
          <w:sz w:val="20"/>
          <w:szCs w:val="20"/>
        </w:rPr>
      </w:pPr>
    </w:p>
    <w:p w:rsidR="002B6CF1" w:rsidRDefault="002B6CF1" w:rsidP="00C21CAD">
      <w:pPr>
        <w:spacing w:after="0" w:line="240" w:lineRule="auto"/>
        <w:ind w:left="60"/>
        <w:contextualSpacing/>
        <w:jc w:val="both"/>
        <w:rPr>
          <w:rFonts w:ascii="Arial" w:eastAsia="Arial" w:hAnsi="Arial" w:cs="Arial"/>
          <w:bCs/>
          <w:color w:val="0D0D0D" w:themeColor="text1" w:themeTint="F2"/>
          <w:sz w:val="20"/>
          <w:szCs w:val="20"/>
        </w:rPr>
      </w:pPr>
      <w:r>
        <w:rPr>
          <w:rFonts w:ascii="Arial" w:eastAsia="Arial" w:hAnsi="Arial" w:cs="Arial"/>
          <w:bCs/>
          <w:color w:val="0D0D0D" w:themeColor="text1" w:themeTint="F2"/>
          <w:sz w:val="20"/>
          <w:szCs w:val="20"/>
        </w:rPr>
        <w:t>In addition to website the national workshop on IPV introduction will be conducted in order to address interest of medical academicians and management. It is planned to conduct this workshop in framework of EIW 2015, with participation of partners and by funding budgeted in PCV VIG.</w:t>
      </w:r>
    </w:p>
    <w:p w:rsidR="002B6CF1" w:rsidRDefault="002B6CF1" w:rsidP="00C21CAD">
      <w:pPr>
        <w:spacing w:after="0" w:line="240" w:lineRule="auto"/>
        <w:ind w:left="60"/>
        <w:contextualSpacing/>
        <w:jc w:val="both"/>
        <w:rPr>
          <w:rFonts w:ascii="Arial" w:eastAsia="Arial" w:hAnsi="Arial" w:cs="Arial"/>
          <w:bCs/>
          <w:color w:val="0D0D0D" w:themeColor="text1" w:themeTint="F2"/>
          <w:sz w:val="20"/>
          <w:szCs w:val="20"/>
        </w:rPr>
      </w:pPr>
    </w:p>
    <w:p w:rsidR="002B6CF1" w:rsidRDefault="002B6CF1" w:rsidP="00C21CAD">
      <w:pPr>
        <w:spacing w:after="0" w:line="240" w:lineRule="auto"/>
        <w:ind w:left="60"/>
        <w:contextualSpacing/>
        <w:jc w:val="both"/>
        <w:rPr>
          <w:rFonts w:ascii="Arial" w:eastAsia="Arial" w:hAnsi="Arial" w:cs="Arial"/>
          <w:bCs/>
          <w:color w:val="0D0D0D" w:themeColor="text1" w:themeTint="F2"/>
          <w:sz w:val="20"/>
          <w:szCs w:val="20"/>
        </w:rPr>
      </w:pPr>
      <w:r>
        <w:rPr>
          <w:rFonts w:ascii="Arial" w:eastAsia="Arial" w:hAnsi="Arial" w:cs="Arial"/>
          <w:bCs/>
          <w:color w:val="0D0D0D" w:themeColor="text1" w:themeTint="F2"/>
          <w:sz w:val="20"/>
          <w:szCs w:val="20"/>
        </w:rPr>
        <w:t>As regular practices for new vaccine introduction printing of posters on updated NIS for vaccination rooms and booklets for parents is considered by state funding allocated to Public Health and Reform Center on</w:t>
      </w:r>
      <w:r w:rsidR="00216892">
        <w:rPr>
          <w:rFonts w:ascii="Arial" w:eastAsia="Arial" w:hAnsi="Arial" w:cs="Arial"/>
          <w:bCs/>
          <w:color w:val="0D0D0D" w:themeColor="text1" w:themeTint="F2"/>
          <w:sz w:val="20"/>
          <w:szCs w:val="20"/>
        </w:rPr>
        <w:t xml:space="preserve"> annual</w:t>
      </w:r>
      <w:r>
        <w:rPr>
          <w:rFonts w:ascii="Arial" w:eastAsia="Arial" w:hAnsi="Arial" w:cs="Arial"/>
          <w:bCs/>
          <w:color w:val="0D0D0D" w:themeColor="text1" w:themeTint="F2"/>
          <w:sz w:val="20"/>
          <w:szCs w:val="20"/>
        </w:rPr>
        <w:t xml:space="preserve"> implementation of social mobilization activities</w:t>
      </w:r>
      <w:r w:rsidR="00216892">
        <w:rPr>
          <w:rFonts w:ascii="Arial" w:eastAsia="Arial" w:hAnsi="Arial" w:cs="Arial"/>
          <w:bCs/>
          <w:color w:val="0D0D0D" w:themeColor="text1" w:themeTint="F2"/>
          <w:sz w:val="20"/>
          <w:szCs w:val="20"/>
        </w:rPr>
        <w:t xml:space="preserve"> indicated in program on Immunoprophylaxis of Infectious Diseases, for 2011-2015.</w:t>
      </w:r>
    </w:p>
    <w:p w:rsidR="00216892" w:rsidRDefault="00216892" w:rsidP="00C21CAD">
      <w:pPr>
        <w:spacing w:after="0" w:line="240" w:lineRule="auto"/>
        <w:ind w:left="60"/>
        <w:contextualSpacing/>
        <w:jc w:val="both"/>
        <w:rPr>
          <w:rFonts w:ascii="Arial" w:eastAsia="Arial" w:hAnsi="Arial" w:cs="Arial"/>
          <w:bCs/>
          <w:color w:val="0D0D0D" w:themeColor="text1" w:themeTint="F2"/>
          <w:sz w:val="20"/>
          <w:szCs w:val="20"/>
        </w:rPr>
      </w:pPr>
    </w:p>
    <w:p w:rsidR="00216892" w:rsidRPr="00C21CAD" w:rsidRDefault="00216892" w:rsidP="00C21CAD">
      <w:pPr>
        <w:spacing w:after="0" w:line="240" w:lineRule="auto"/>
        <w:ind w:left="60"/>
        <w:contextualSpacing/>
        <w:jc w:val="both"/>
        <w:rPr>
          <w:rFonts w:ascii="Arial" w:eastAsia="Arial" w:hAnsi="Arial" w:cs="Arial"/>
          <w:bCs/>
          <w:color w:val="0D0D0D" w:themeColor="text1" w:themeTint="F2"/>
          <w:sz w:val="20"/>
          <w:szCs w:val="20"/>
        </w:rPr>
      </w:pPr>
      <w:r>
        <w:rPr>
          <w:rFonts w:ascii="Arial" w:eastAsia="Arial" w:hAnsi="Arial" w:cs="Arial"/>
          <w:bCs/>
          <w:color w:val="0D0D0D" w:themeColor="text1" w:themeTint="F2"/>
          <w:sz w:val="20"/>
          <w:szCs w:val="20"/>
        </w:rPr>
        <w:t>Limited KAPB assessment among focus groups is considered prior to development of communication materials and it requires external assistance by partners.</w:t>
      </w:r>
    </w:p>
    <w:p w:rsidR="008B76C7" w:rsidRPr="00C21CAD" w:rsidRDefault="008B76C7" w:rsidP="008B76C7">
      <w:pPr>
        <w:spacing w:after="0" w:line="240" w:lineRule="auto"/>
        <w:ind w:left="86"/>
        <w:jc w:val="both"/>
        <w:rPr>
          <w:rFonts w:ascii="Arial" w:eastAsia="Arial" w:hAnsi="Arial" w:cs="Arial"/>
          <w:color w:val="0D0D0D" w:themeColor="text1" w:themeTint="F2"/>
        </w:rPr>
      </w:pPr>
    </w:p>
    <w:p w:rsidR="008B76C7" w:rsidRPr="00216892" w:rsidRDefault="00216892" w:rsidP="00216892">
      <w:pPr>
        <w:spacing w:after="180" w:line="240" w:lineRule="auto"/>
        <w:jc w:val="both"/>
        <w:rPr>
          <w:rFonts w:ascii="Arial" w:eastAsia="Arial" w:hAnsi="Arial" w:cs="Arial"/>
          <w:color w:val="0D0D0D" w:themeColor="text1" w:themeTint="F2"/>
          <w:sz w:val="20"/>
          <w:szCs w:val="20"/>
        </w:rPr>
      </w:pPr>
      <w:r w:rsidRPr="00216892">
        <w:rPr>
          <w:rFonts w:ascii="Arial" w:eastAsia="Arial" w:hAnsi="Arial" w:cs="Arial"/>
          <w:color w:val="0D0D0D" w:themeColor="text1" w:themeTint="F2"/>
          <w:sz w:val="20"/>
          <w:szCs w:val="20"/>
        </w:rPr>
        <w:t xml:space="preserve">Despite the steps taken by EPI within last several years, communication of immunization related issues with public and mass media still requires improvement. There is no comprehensive communication strategy on immunization program, including crisis communication. All activities on this area planned and implemented in ad hoc </w:t>
      </w:r>
      <w:r w:rsidR="00953F90" w:rsidRPr="00216892">
        <w:rPr>
          <w:rFonts w:ascii="Arial" w:eastAsia="Arial" w:hAnsi="Arial" w:cs="Arial"/>
          <w:color w:val="0D0D0D" w:themeColor="text1" w:themeTint="F2"/>
          <w:sz w:val="20"/>
          <w:szCs w:val="20"/>
        </w:rPr>
        <w:t>base</w:t>
      </w:r>
      <w:r w:rsidRPr="00216892">
        <w:rPr>
          <w:rFonts w:ascii="Arial" w:eastAsia="Arial" w:hAnsi="Arial" w:cs="Arial"/>
          <w:color w:val="0D0D0D" w:themeColor="text1" w:themeTint="F2"/>
          <w:sz w:val="20"/>
          <w:szCs w:val="20"/>
        </w:rPr>
        <w:t xml:space="preserve"> and external support and opportunities are available primarily in framework of mass immunization activities or new vaccine introduction. </w:t>
      </w:r>
      <w:r w:rsidR="00953F90">
        <w:rPr>
          <w:rFonts w:ascii="Arial" w:eastAsia="Arial" w:hAnsi="Arial" w:cs="Arial"/>
          <w:color w:val="0D0D0D" w:themeColor="text1" w:themeTint="F2"/>
          <w:sz w:val="20"/>
          <w:szCs w:val="20"/>
        </w:rPr>
        <w:t xml:space="preserve">NIP so far has not </w:t>
      </w:r>
      <w:r w:rsidR="00953F90" w:rsidRPr="00953F90">
        <w:rPr>
          <w:rFonts w:ascii="Arial" w:eastAsia="Arial" w:hAnsi="Arial" w:cs="Arial"/>
          <w:color w:val="0D0D0D" w:themeColor="text1" w:themeTint="F2"/>
          <w:sz w:val="20"/>
          <w:szCs w:val="20"/>
        </w:rPr>
        <w:t>noticeably</w:t>
      </w:r>
      <w:r w:rsidR="00953F90">
        <w:rPr>
          <w:rFonts w:ascii="Arial" w:eastAsia="Arial" w:hAnsi="Arial" w:cs="Arial"/>
          <w:color w:val="0D0D0D" w:themeColor="text1" w:themeTint="F2"/>
          <w:sz w:val="20"/>
          <w:szCs w:val="20"/>
        </w:rPr>
        <w:t xml:space="preserve"> suffered from insufficient communication/social mobilization, mainly due to strong political commitment to immunization at government level and absence of active anti-vaccination lobby at country level. Latest experience with PCV10 introduction has clearly shown that timely conducted and correctly approached communication are </w:t>
      </w:r>
      <w:r w:rsidR="001D40CB">
        <w:rPr>
          <w:rFonts w:ascii="Arial" w:eastAsia="Arial" w:hAnsi="Arial" w:cs="Arial"/>
          <w:color w:val="0D0D0D" w:themeColor="text1" w:themeTint="F2"/>
          <w:sz w:val="20"/>
          <w:szCs w:val="20"/>
        </w:rPr>
        <w:t xml:space="preserve">essential for vaccine acceptance by medical workers and population, however </w:t>
      </w:r>
      <w:r w:rsidR="00320716">
        <w:rPr>
          <w:rFonts w:ascii="Arial" w:eastAsia="Arial" w:hAnsi="Arial" w:cs="Arial"/>
          <w:color w:val="0D0D0D" w:themeColor="text1" w:themeTint="F2"/>
          <w:sz w:val="20"/>
          <w:szCs w:val="20"/>
        </w:rPr>
        <w:t xml:space="preserve">in order to sustain achievements of program </w:t>
      </w:r>
      <w:r w:rsidR="001D40CB">
        <w:rPr>
          <w:rFonts w:ascii="Arial" w:eastAsia="Arial" w:hAnsi="Arial" w:cs="Arial"/>
          <w:color w:val="0D0D0D" w:themeColor="text1" w:themeTint="F2"/>
          <w:sz w:val="20"/>
          <w:szCs w:val="20"/>
        </w:rPr>
        <w:t xml:space="preserve">it should be provided in regular manner. </w:t>
      </w:r>
    </w:p>
    <w:p w:rsidR="0008357E" w:rsidRPr="003432AC" w:rsidRDefault="001D40CB" w:rsidP="0008357E">
      <w:pPr>
        <w:spacing w:after="120"/>
        <w:jc w:val="both"/>
        <w:rPr>
          <w:rFonts w:ascii="Arial" w:hAnsi="Arial" w:cs="Arial"/>
          <w:b/>
          <w:sz w:val="20"/>
          <w:szCs w:val="20"/>
        </w:rPr>
      </w:pPr>
      <w:r w:rsidRPr="003432AC">
        <w:rPr>
          <w:rFonts w:ascii="Arial" w:hAnsi="Arial" w:cs="Arial"/>
          <w:b/>
          <w:sz w:val="20"/>
          <w:szCs w:val="20"/>
        </w:rPr>
        <w:lastRenderedPageBreak/>
        <w:t xml:space="preserve">Annex </w:t>
      </w:r>
      <w:r w:rsidR="003432AC" w:rsidRPr="003432AC">
        <w:rPr>
          <w:rFonts w:ascii="Arial" w:hAnsi="Arial" w:cs="Arial"/>
          <w:b/>
          <w:sz w:val="20"/>
          <w:szCs w:val="20"/>
        </w:rPr>
        <w:t>2 and 3</w:t>
      </w:r>
      <w:r w:rsidRPr="003432AC">
        <w:rPr>
          <w:rFonts w:ascii="Arial" w:hAnsi="Arial" w:cs="Arial"/>
          <w:b/>
          <w:sz w:val="20"/>
          <w:szCs w:val="20"/>
        </w:rPr>
        <w:t xml:space="preserve">. </w:t>
      </w:r>
      <w:r w:rsidR="003432AC" w:rsidRPr="003432AC">
        <w:rPr>
          <w:rFonts w:ascii="Arial" w:hAnsi="Arial" w:cs="Arial"/>
          <w:b/>
          <w:sz w:val="20"/>
          <w:szCs w:val="20"/>
        </w:rPr>
        <w:t xml:space="preserve">Timetable </w:t>
      </w:r>
      <w:r w:rsidR="009D1A91">
        <w:rPr>
          <w:rFonts w:ascii="Arial" w:hAnsi="Arial" w:cs="Arial"/>
          <w:b/>
          <w:sz w:val="20"/>
          <w:szCs w:val="20"/>
        </w:rPr>
        <w:t>&amp;</w:t>
      </w:r>
      <w:r w:rsidR="003432AC" w:rsidRPr="003432AC">
        <w:rPr>
          <w:rFonts w:ascii="Arial" w:hAnsi="Arial" w:cs="Arial"/>
          <w:b/>
          <w:sz w:val="20"/>
          <w:szCs w:val="20"/>
        </w:rPr>
        <w:t xml:space="preserve"> Budget </w:t>
      </w:r>
    </w:p>
    <w:p w:rsidR="003432AC" w:rsidRDefault="003432AC" w:rsidP="0008357E">
      <w:pPr>
        <w:spacing w:after="120"/>
        <w:jc w:val="both"/>
        <w:rPr>
          <w:rFonts w:ascii="Arial" w:hAnsi="Arial" w:cs="Arial"/>
          <w:sz w:val="20"/>
          <w:szCs w:val="20"/>
        </w:rPr>
      </w:pPr>
    </w:p>
    <w:tbl>
      <w:tblPr>
        <w:tblStyle w:val="TableGrid"/>
        <w:tblW w:w="0" w:type="auto"/>
        <w:tblLook w:val="04A0" w:firstRow="1" w:lastRow="0" w:firstColumn="1" w:lastColumn="0" w:noHBand="0" w:noVBand="1"/>
      </w:tblPr>
      <w:tblGrid>
        <w:gridCol w:w="392"/>
        <w:gridCol w:w="1662"/>
        <w:gridCol w:w="1550"/>
        <w:gridCol w:w="1673"/>
        <w:gridCol w:w="1919"/>
        <w:gridCol w:w="1037"/>
        <w:gridCol w:w="1343"/>
      </w:tblGrid>
      <w:tr w:rsidR="00320716" w:rsidTr="00320716">
        <w:tc>
          <w:tcPr>
            <w:tcW w:w="392" w:type="dxa"/>
          </w:tcPr>
          <w:p w:rsidR="003432AC" w:rsidRDefault="003432AC" w:rsidP="0008357E">
            <w:pPr>
              <w:spacing w:after="120"/>
              <w:jc w:val="both"/>
              <w:rPr>
                <w:rFonts w:ascii="Arial" w:hAnsi="Arial" w:cs="Arial"/>
              </w:rPr>
            </w:pPr>
          </w:p>
        </w:tc>
        <w:tc>
          <w:tcPr>
            <w:tcW w:w="1662" w:type="dxa"/>
          </w:tcPr>
          <w:p w:rsidR="003432AC" w:rsidRPr="003432AC" w:rsidRDefault="003432AC" w:rsidP="00286C69">
            <w:pPr>
              <w:rPr>
                <w:rFonts w:ascii="Arial" w:hAnsi="Arial" w:cs="Arial"/>
                <w:b/>
              </w:rPr>
            </w:pPr>
            <w:r w:rsidRPr="003432AC">
              <w:rPr>
                <w:rFonts w:ascii="Arial" w:hAnsi="Arial" w:cs="Arial"/>
                <w:b/>
              </w:rPr>
              <w:t>Component</w:t>
            </w:r>
          </w:p>
        </w:tc>
        <w:tc>
          <w:tcPr>
            <w:tcW w:w="1550" w:type="dxa"/>
          </w:tcPr>
          <w:p w:rsidR="003432AC" w:rsidRPr="003432AC" w:rsidRDefault="003432AC" w:rsidP="00286C69">
            <w:pPr>
              <w:rPr>
                <w:rFonts w:ascii="Arial" w:hAnsi="Arial" w:cs="Arial"/>
                <w:b/>
              </w:rPr>
            </w:pPr>
            <w:r w:rsidRPr="003432AC">
              <w:rPr>
                <w:rFonts w:ascii="Arial" w:hAnsi="Arial" w:cs="Arial"/>
                <w:b/>
              </w:rPr>
              <w:t>Activity</w:t>
            </w:r>
          </w:p>
        </w:tc>
        <w:tc>
          <w:tcPr>
            <w:tcW w:w="1673" w:type="dxa"/>
          </w:tcPr>
          <w:p w:rsidR="003432AC" w:rsidRPr="003432AC" w:rsidRDefault="003432AC" w:rsidP="00286C69">
            <w:pPr>
              <w:rPr>
                <w:rFonts w:ascii="Arial" w:hAnsi="Arial" w:cs="Arial"/>
                <w:b/>
              </w:rPr>
            </w:pPr>
            <w:r w:rsidRPr="003432AC">
              <w:rPr>
                <w:rFonts w:ascii="Arial" w:hAnsi="Arial" w:cs="Arial"/>
                <w:b/>
              </w:rPr>
              <w:t>Timeline</w:t>
            </w:r>
          </w:p>
        </w:tc>
        <w:tc>
          <w:tcPr>
            <w:tcW w:w="1919" w:type="dxa"/>
          </w:tcPr>
          <w:p w:rsidR="003432AC" w:rsidRPr="003432AC" w:rsidRDefault="003432AC" w:rsidP="00286C69">
            <w:pPr>
              <w:rPr>
                <w:rFonts w:ascii="Arial" w:hAnsi="Arial" w:cs="Arial"/>
                <w:b/>
              </w:rPr>
            </w:pPr>
            <w:r w:rsidRPr="003432AC">
              <w:rPr>
                <w:rFonts w:ascii="Arial" w:hAnsi="Arial" w:cs="Arial"/>
                <w:b/>
              </w:rPr>
              <w:t>Responsible agency</w:t>
            </w:r>
          </w:p>
        </w:tc>
        <w:tc>
          <w:tcPr>
            <w:tcW w:w="1037" w:type="dxa"/>
          </w:tcPr>
          <w:p w:rsidR="003432AC" w:rsidRPr="003432AC" w:rsidRDefault="003432AC" w:rsidP="00286C69">
            <w:pPr>
              <w:rPr>
                <w:rFonts w:ascii="Arial" w:hAnsi="Arial" w:cs="Arial"/>
                <w:b/>
              </w:rPr>
            </w:pPr>
            <w:r w:rsidRPr="003432AC">
              <w:rPr>
                <w:rFonts w:ascii="Arial" w:hAnsi="Arial" w:cs="Arial"/>
                <w:b/>
              </w:rPr>
              <w:t xml:space="preserve">Cost </w:t>
            </w:r>
            <w:r>
              <w:rPr>
                <w:rFonts w:ascii="Arial" w:hAnsi="Arial" w:cs="Arial"/>
                <w:b/>
              </w:rPr>
              <w:t>(USD)</w:t>
            </w:r>
          </w:p>
        </w:tc>
        <w:tc>
          <w:tcPr>
            <w:tcW w:w="1343" w:type="dxa"/>
          </w:tcPr>
          <w:p w:rsidR="003432AC" w:rsidRDefault="003432AC" w:rsidP="00286C69">
            <w:pPr>
              <w:rPr>
                <w:rFonts w:ascii="Arial" w:hAnsi="Arial" w:cs="Arial"/>
                <w:b/>
              </w:rPr>
            </w:pPr>
            <w:r w:rsidRPr="003432AC">
              <w:rPr>
                <w:rFonts w:ascii="Arial" w:hAnsi="Arial" w:cs="Arial"/>
                <w:b/>
              </w:rPr>
              <w:t>Funding</w:t>
            </w:r>
          </w:p>
          <w:p w:rsidR="003432AC" w:rsidRPr="003432AC" w:rsidRDefault="003432AC" w:rsidP="00286C69">
            <w:pPr>
              <w:rPr>
                <w:rFonts w:ascii="Arial" w:hAnsi="Arial" w:cs="Arial"/>
                <w:b/>
              </w:rPr>
            </w:pPr>
            <w:r>
              <w:rPr>
                <w:rFonts w:ascii="Arial" w:hAnsi="Arial" w:cs="Arial"/>
                <w:b/>
              </w:rPr>
              <w:t>source</w:t>
            </w:r>
          </w:p>
        </w:tc>
      </w:tr>
      <w:tr w:rsidR="00320716" w:rsidTr="00320716">
        <w:tc>
          <w:tcPr>
            <w:tcW w:w="392" w:type="dxa"/>
            <w:vMerge w:val="restart"/>
          </w:tcPr>
          <w:p w:rsidR="00320716" w:rsidRDefault="00320716" w:rsidP="0008357E">
            <w:pPr>
              <w:spacing w:after="120"/>
              <w:jc w:val="both"/>
              <w:rPr>
                <w:rFonts w:ascii="Arial" w:hAnsi="Arial" w:cs="Arial"/>
              </w:rPr>
            </w:pPr>
            <w:r>
              <w:rPr>
                <w:rFonts w:ascii="Arial" w:hAnsi="Arial" w:cs="Arial"/>
              </w:rPr>
              <w:t>1.</w:t>
            </w:r>
          </w:p>
        </w:tc>
        <w:tc>
          <w:tcPr>
            <w:tcW w:w="1662" w:type="dxa"/>
            <w:vMerge w:val="restart"/>
          </w:tcPr>
          <w:p w:rsidR="00320716" w:rsidRPr="00412C05" w:rsidRDefault="00320716" w:rsidP="00412C05">
            <w:pPr>
              <w:rPr>
                <w:rFonts w:ascii="Arial" w:hAnsi="Arial" w:cs="Arial"/>
              </w:rPr>
            </w:pPr>
            <w:r w:rsidRPr="00412C05">
              <w:rPr>
                <w:rFonts w:ascii="Arial" w:hAnsi="Arial" w:cs="Arial"/>
              </w:rPr>
              <w:t xml:space="preserve">Coordination of IPV introduction </w:t>
            </w:r>
          </w:p>
        </w:tc>
        <w:tc>
          <w:tcPr>
            <w:tcW w:w="1550" w:type="dxa"/>
          </w:tcPr>
          <w:p w:rsidR="00320716" w:rsidRPr="00412C05" w:rsidRDefault="00320716" w:rsidP="00286C69">
            <w:pPr>
              <w:rPr>
                <w:rFonts w:ascii="Arial" w:hAnsi="Arial" w:cs="Arial"/>
              </w:rPr>
            </w:pPr>
            <w:r w:rsidRPr="00412C05">
              <w:rPr>
                <w:rFonts w:ascii="Arial" w:hAnsi="Arial" w:cs="Arial"/>
              </w:rPr>
              <w:t>Meeting of CCM WG on Immunization</w:t>
            </w:r>
            <w:r>
              <w:rPr>
                <w:rFonts w:ascii="Arial" w:hAnsi="Arial" w:cs="Arial"/>
              </w:rPr>
              <w:t xml:space="preserve"> on endorsement IPV application</w:t>
            </w:r>
          </w:p>
        </w:tc>
        <w:tc>
          <w:tcPr>
            <w:tcW w:w="1673" w:type="dxa"/>
          </w:tcPr>
          <w:p w:rsidR="00320716" w:rsidRPr="00412C05" w:rsidRDefault="00320716" w:rsidP="00286C69">
            <w:pPr>
              <w:rPr>
                <w:rFonts w:ascii="Arial" w:hAnsi="Arial" w:cs="Arial"/>
              </w:rPr>
            </w:pPr>
            <w:r w:rsidRPr="00412C05">
              <w:rPr>
                <w:rFonts w:ascii="Arial" w:hAnsi="Arial" w:cs="Arial"/>
              </w:rPr>
              <w:t>September 2014</w:t>
            </w:r>
          </w:p>
        </w:tc>
        <w:tc>
          <w:tcPr>
            <w:tcW w:w="1919" w:type="dxa"/>
          </w:tcPr>
          <w:p w:rsidR="00320716" w:rsidRDefault="00320716" w:rsidP="00286C69">
            <w:pPr>
              <w:rPr>
                <w:rFonts w:ascii="Arial" w:hAnsi="Arial" w:cs="Arial"/>
              </w:rPr>
            </w:pPr>
            <w:r w:rsidRPr="00412C05">
              <w:rPr>
                <w:rFonts w:ascii="Arial" w:hAnsi="Arial" w:cs="Arial"/>
              </w:rPr>
              <w:t>EPI</w:t>
            </w:r>
            <w:r>
              <w:rPr>
                <w:rFonts w:ascii="Arial" w:hAnsi="Arial" w:cs="Arial"/>
              </w:rPr>
              <w:t xml:space="preserve"> manager,</w:t>
            </w:r>
          </w:p>
          <w:p w:rsidR="00320716" w:rsidRPr="00412C05" w:rsidRDefault="00320716" w:rsidP="00286C69">
            <w:pPr>
              <w:rPr>
                <w:rFonts w:ascii="Arial" w:hAnsi="Arial" w:cs="Arial"/>
              </w:rPr>
            </w:pPr>
            <w:r>
              <w:rPr>
                <w:rFonts w:ascii="Arial" w:hAnsi="Arial" w:cs="Arial"/>
              </w:rPr>
              <w:t>CCM Secretariat</w:t>
            </w:r>
          </w:p>
        </w:tc>
        <w:tc>
          <w:tcPr>
            <w:tcW w:w="1037" w:type="dxa"/>
          </w:tcPr>
          <w:p w:rsidR="00320716" w:rsidRPr="00412C05" w:rsidRDefault="00320716" w:rsidP="009276C4">
            <w:pPr>
              <w:jc w:val="center"/>
              <w:rPr>
                <w:rFonts w:ascii="Arial" w:hAnsi="Arial" w:cs="Arial"/>
              </w:rPr>
            </w:pPr>
            <w:r w:rsidRPr="00412C05">
              <w:rPr>
                <w:rFonts w:ascii="Arial" w:hAnsi="Arial" w:cs="Arial"/>
              </w:rPr>
              <w:t>0</w:t>
            </w:r>
          </w:p>
        </w:tc>
        <w:tc>
          <w:tcPr>
            <w:tcW w:w="1343" w:type="dxa"/>
          </w:tcPr>
          <w:p w:rsidR="00320716" w:rsidRPr="009276C4" w:rsidRDefault="00320716" w:rsidP="009276C4">
            <w:pPr>
              <w:jc w:val="center"/>
              <w:rPr>
                <w:rFonts w:ascii="Arial" w:hAnsi="Arial" w:cs="Arial"/>
              </w:rPr>
            </w:pPr>
            <w:r w:rsidRPr="009276C4">
              <w:rPr>
                <w:rFonts w:ascii="Arial" w:hAnsi="Arial" w:cs="Arial"/>
              </w:rPr>
              <w:t>NA</w:t>
            </w:r>
          </w:p>
        </w:tc>
      </w:tr>
      <w:tr w:rsidR="00320716" w:rsidTr="00320716">
        <w:tc>
          <w:tcPr>
            <w:tcW w:w="392" w:type="dxa"/>
            <w:vMerge/>
          </w:tcPr>
          <w:p w:rsidR="00320716" w:rsidRDefault="00320716" w:rsidP="0008357E">
            <w:pPr>
              <w:spacing w:after="120"/>
              <w:jc w:val="both"/>
              <w:rPr>
                <w:rFonts w:ascii="Arial" w:hAnsi="Arial" w:cs="Arial"/>
              </w:rPr>
            </w:pPr>
          </w:p>
        </w:tc>
        <w:tc>
          <w:tcPr>
            <w:tcW w:w="1662" w:type="dxa"/>
            <w:vMerge/>
          </w:tcPr>
          <w:p w:rsidR="00320716" w:rsidRPr="00412C05" w:rsidRDefault="00320716" w:rsidP="00412C05">
            <w:pPr>
              <w:rPr>
                <w:rFonts w:ascii="Arial" w:hAnsi="Arial" w:cs="Arial"/>
              </w:rPr>
            </w:pPr>
          </w:p>
        </w:tc>
        <w:tc>
          <w:tcPr>
            <w:tcW w:w="1550" w:type="dxa"/>
          </w:tcPr>
          <w:p w:rsidR="00320716" w:rsidRPr="00412C05" w:rsidRDefault="00320716" w:rsidP="00412C05">
            <w:pPr>
              <w:rPr>
                <w:rFonts w:ascii="Arial" w:hAnsi="Arial" w:cs="Arial"/>
              </w:rPr>
            </w:pPr>
            <w:r>
              <w:rPr>
                <w:rFonts w:ascii="Arial" w:hAnsi="Arial" w:cs="Arial"/>
              </w:rPr>
              <w:t>O</w:t>
            </w:r>
            <w:r w:rsidRPr="00412C05">
              <w:rPr>
                <w:rFonts w:ascii="Arial" w:hAnsi="Arial" w:cs="Arial"/>
              </w:rPr>
              <w:t xml:space="preserve">rder on IPV introduction </w:t>
            </w:r>
          </w:p>
        </w:tc>
        <w:tc>
          <w:tcPr>
            <w:tcW w:w="1673" w:type="dxa"/>
          </w:tcPr>
          <w:p w:rsidR="00320716" w:rsidRPr="00412C05" w:rsidRDefault="00320716" w:rsidP="00286C69">
            <w:pPr>
              <w:rPr>
                <w:rFonts w:ascii="Arial" w:hAnsi="Arial" w:cs="Arial"/>
              </w:rPr>
            </w:pPr>
            <w:r w:rsidRPr="00412C05">
              <w:rPr>
                <w:rFonts w:ascii="Arial" w:hAnsi="Arial" w:cs="Arial"/>
              </w:rPr>
              <w:t>December 2014</w:t>
            </w:r>
          </w:p>
        </w:tc>
        <w:tc>
          <w:tcPr>
            <w:tcW w:w="1919" w:type="dxa"/>
          </w:tcPr>
          <w:p w:rsidR="00320716" w:rsidRPr="00412C05" w:rsidRDefault="00320716" w:rsidP="00286C69">
            <w:pPr>
              <w:rPr>
                <w:rFonts w:ascii="Arial" w:hAnsi="Arial" w:cs="Arial"/>
              </w:rPr>
            </w:pPr>
            <w:r w:rsidRPr="00412C05">
              <w:rPr>
                <w:rFonts w:ascii="Arial" w:hAnsi="Arial" w:cs="Arial"/>
              </w:rPr>
              <w:t>Ministry of Health</w:t>
            </w:r>
          </w:p>
        </w:tc>
        <w:tc>
          <w:tcPr>
            <w:tcW w:w="1037" w:type="dxa"/>
          </w:tcPr>
          <w:p w:rsidR="00320716" w:rsidRPr="00412C05" w:rsidRDefault="00320716" w:rsidP="009276C4">
            <w:pPr>
              <w:jc w:val="center"/>
              <w:rPr>
                <w:rFonts w:ascii="Arial" w:hAnsi="Arial" w:cs="Arial"/>
              </w:rPr>
            </w:pPr>
            <w:r w:rsidRPr="00412C05">
              <w:rPr>
                <w:rFonts w:ascii="Arial" w:hAnsi="Arial" w:cs="Arial"/>
              </w:rPr>
              <w:t>0</w:t>
            </w:r>
          </w:p>
        </w:tc>
        <w:tc>
          <w:tcPr>
            <w:tcW w:w="1343" w:type="dxa"/>
          </w:tcPr>
          <w:p w:rsidR="00320716" w:rsidRPr="009276C4" w:rsidRDefault="00320716" w:rsidP="009276C4">
            <w:pPr>
              <w:jc w:val="center"/>
              <w:rPr>
                <w:rFonts w:ascii="Arial" w:hAnsi="Arial" w:cs="Arial"/>
              </w:rPr>
            </w:pPr>
            <w:r w:rsidRPr="009276C4">
              <w:rPr>
                <w:rFonts w:ascii="Arial" w:hAnsi="Arial" w:cs="Arial"/>
              </w:rPr>
              <w:t>NA</w:t>
            </w:r>
          </w:p>
        </w:tc>
      </w:tr>
      <w:tr w:rsidR="00320716" w:rsidTr="00320716">
        <w:tc>
          <w:tcPr>
            <w:tcW w:w="392" w:type="dxa"/>
            <w:vMerge/>
          </w:tcPr>
          <w:p w:rsidR="00320716" w:rsidRDefault="00320716" w:rsidP="0008357E">
            <w:pPr>
              <w:spacing w:after="120"/>
              <w:jc w:val="both"/>
              <w:rPr>
                <w:rFonts w:ascii="Arial" w:hAnsi="Arial" w:cs="Arial"/>
              </w:rPr>
            </w:pPr>
          </w:p>
        </w:tc>
        <w:tc>
          <w:tcPr>
            <w:tcW w:w="1662" w:type="dxa"/>
            <w:vMerge/>
          </w:tcPr>
          <w:p w:rsidR="00320716" w:rsidRPr="00412C05" w:rsidRDefault="00320716" w:rsidP="00412C05">
            <w:pPr>
              <w:rPr>
                <w:rFonts w:ascii="Arial" w:hAnsi="Arial" w:cs="Arial"/>
              </w:rPr>
            </w:pPr>
          </w:p>
        </w:tc>
        <w:tc>
          <w:tcPr>
            <w:tcW w:w="1550" w:type="dxa"/>
          </w:tcPr>
          <w:p w:rsidR="00320716" w:rsidRPr="00412C05" w:rsidRDefault="00320716" w:rsidP="009276C4">
            <w:pPr>
              <w:rPr>
                <w:rFonts w:ascii="Arial" w:hAnsi="Arial" w:cs="Arial"/>
              </w:rPr>
            </w:pPr>
            <w:r>
              <w:rPr>
                <w:rFonts w:ascii="Arial" w:hAnsi="Arial" w:cs="Arial"/>
              </w:rPr>
              <w:t>CCM WG meetings on IPV introduction</w:t>
            </w:r>
          </w:p>
        </w:tc>
        <w:tc>
          <w:tcPr>
            <w:tcW w:w="1673" w:type="dxa"/>
          </w:tcPr>
          <w:p w:rsidR="00320716" w:rsidRPr="00412C05" w:rsidRDefault="00320716" w:rsidP="00286C69">
            <w:pPr>
              <w:rPr>
                <w:rFonts w:ascii="Arial" w:hAnsi="Arial" w:cs="Arial"/>
              </w:rPr>
            </w:pPr>
            <w:r>
              <w:rPr>
                <w:rFonts w:ascii="Arial" w:hAnsi="Arial" w:cs="Arial"/>
              </w:rPr>
              <w:t>Quarterly based</w:t>
            </w:r>
          </w:p>
        </w:tc>
        <w:tc>
          <w:tcPr>
            <w:tcW w:w="1919" w:type="dxa"/>
          </w:tcPr>
          <w:p w:rsidR="00320716" w:rsidRPr="009276C4" w:rsidRDefault="00320716" w:rsidP="009276C4">
            <w:pPr>
              <w:rPr>
                <w:rFonts w:ascii="Arial" w:hAnsi="Arial" w:cs="Arial"/>
              </w:rPr>
            </w:pPr>
            <w:r w:rsidRPr="009276C4">
              <w:rPr>
                <w:rFonts w:ascii="Arial" w:hAnsi="Arial" w:cs="Arial"/>
              </w:rPr>
              <w:t>EPI manager,</w:t>
            </w:r>
          </w:p>
          <w:p w:rsidR="00320716" w:rsidRPr="00412C05" w:rsidRDefault="00320716" w:rsidP="009276C4">
            <w:pPr>
              <w:rPr>
                <w:rFonts w:ascii="Arial" w:hAnsi="Arial" w:cs="Arial"/>
              </w:rPr>
            </w:pPr>
            <w:r w:rsidRPr="009276C4">
              <w:rPr>
                <w:rFonts w:ascii="Arial" w:hAnsi="Arial" w:cs="Arial"/>
              </w:rPr>
              <w:t>CCM Secretariat</w:t>
            </w:r>
          </w:p>
        </w:tc>
        <w:tc>
          <w:tcPr>
            <w:tcW w:w="1037" w:type="dxa"/>
          </w:tcPr>
          <w:p w:rsidR="00320716" w:rsidRPr="00A53BF1" w:rsidRDefault="00320716" w:rsidP="009276C4">
            <w:pPr>
              <w:jc w:val="center"/>
              <w:rPr>
                <w:rFonts w:ascii="Arial" w:hAnsi="Arial" w:cs="Arial"/>
              </w:rPr>
            </w:pPr>
            <w:r w:rsidRPr="00A53BF1">
              <w:rPr>
                <w:rFonts w:ascii="Arial" w:hAnsi="Arial" w:cs="Arial"/>
              </w:rPr>
              <w:t>0</w:t>
            </w:r>
          </w:p>
        </w:tc>
        <w:tc>
          <w:tcPr>
            <w:tcW w:w="1343" w:type="dxa"/>
          </w:tcPr>
          <w:p w:rsidR="00320716" w:rsidRPr="00A53BF1" w:rsidRDefault="00320716" w:rsidP="009276C4">
            <w:pPr>
              <w:jc w:val="center"/>
              <w:rPr>
                <w:rFonts w:ascii="Arial" w:hAnsi="Arial" w:cs="Arial"/>
              </w:rPr>
            </w:pPr>
            <w:r w:rsidRPr="00A53BF1">
              <w:rPr>
                <w:rFonts w:ascii="Arial" w:hAnsi="Arial" w:cs="Arial"/>
              </w:rPr>
              <w:t>NA</w:t>
            </w:r>
          </w:p>
        </w:tc>
      </w:tr>
      <w:tr w:rsidR="00320716" w:rsidTr="00320716">
        <w:tc>
          <w:tcPr>
            <w:tcW w:w="392" w:type="dxa"/>
            <w:vMerge w:val="restart"/>
          </w:tcPr>
          <w:p w:rsidR="000A34CF" w:rsidRDefault="000A34CF" w:rsidP="0008357E">
            <w:pPr>
              <w:spacing w:after="120"/>
              <w:jc w:val="both"/>
              <w:rPr>
                <w:rFonts w:ascii="Arial" w:hAnsi="Arial" w:cs="Arial"/>
              </w:rPr>
            </w:pPr>
            <w:r>
              <w:rPr>
                <w:rFonts w:ascii="Arial" w:hAnsi="Arial" w:cs="Arial"/>
              </w:rPr>
              <w:t>2.</w:t>
            </w:r>
          </w:p>
        </w:tc>
        <w:tc>
          <w:tcPr>
            <w:tcW w:w="1662" w:type="dxa"/>
            <w:vMerge w:val="restart"/>
          </w:tcPr>
          <w:p w:rsidR="000A34CF" w:rsidRDefault="000A34CF" w:rsidP="00412C05">
            <w:pPr>
              <w:spacing w:after="120"/>
              <w:jc w:val="both"/>
              <w:rPr>
                <w:rFonts w:ascii="Arial" w:hAnsi="Arial" w:cs="Arial"/>
              </w:rPr>
            </w:pPr>
            <w:r>
              <w:rPr>
                <w:rFonts w:ascii="Arial" w:hAnsi="Arial" w:cs="Arial"/>
              </w:rPr>
              <w:t xml:space="preserve">Information system, data collection forms and system </w:t>
            </w:r>
          </w:p>
        </w:tc>
        <w:tc>
          <w:tcPr>
            <w:tcW w:w="1550" w:type="dxa"/>
          </w:tcPr>
          <w:p w:rsidR="000A34CF" w:rsidRDefault="000A34CF" w:rsidP="0008357E">
            <w:pPr>
              <w:spacing w:after="120"/>
              <w:jc w:val="both"/>
              <w:rPr>
                <w:rFonts w:ascii="Arial" w:hAnsi="Arial" w:cs="Arial"/>
              </w:rPr>
            </w:pPr>
            <w:r>
              <w:rPr>
                <w:rFonts w:ascii="Arial" w:hAnsi="Arial" w:cs="Arial"/>
              </w:rPr>
              <w:t>Revision of paper based and electronic  recording and reporting forms</w:t>
            </w:r>
          </w:p>
        </w:tc>
        <w:tc>
          <w:tcPr>
            <w:tcW w:w="1673" w:type="dxa"/>
          </w:tcPr>
          <w:p w:rsidR="000A34CF" w:rsidRDefault="000A34CF" w:rsidP="0008357E">
            <w:pPr>
              <w:spacing w:after="120"/>
              <w:jc w:val="both"/>
              <w:rPr>
                <w:rFonts w:ascii="Arial" w:hAnsi="Arial" w:cs="Arial"/>
              </w:rPr>
            </w:pPr>
            <w:r>
              <w:rPr>
                <w:rFonts w:ascii="Arial" w:hAnsi="Arial" w:cs="Arial"/>
              </w:rPr>
              <w:t>December 2014</w:t>
            </w:r>
          </w:p>
        </w:tc>
        <w:tc>
          <w:tcPr>
            <w:tcW w:w="1919" w:type="dxa"/>
          </w:tcPr>
          <w:p w:rsidR="000A34CF" w:rsidRDefault="000A34CF" w:rsidP="0008357E">
            <w:pPr>
              <w:spacing w:after="120"/>
              <w:jc w:val="both"/>
              <w:rPr>
                <w:rFonts w:ascii="Arial" w:hAnsi="Arial" w:cs="Arial"/>
              </w:rPr>
            </w:pPr>
            <w:r>
              <w:rPr>
                <w:rFonts w:ascii="Arial" w:hAnsi="Arial" w:cs="Arial"/>
              </w:rPr>
              <w:t>Ministry of Health</w:t>
            </w:r>
          </w:p>
          <w:p w:rsidR="000A34CF" w:rsidRDefault="000A34CF" w:rsidP="0008357E">
            <w:pPr>
              <w:spacing w:after="120"/>
              <w:jc w:val="both"/>
              <w:rPr>
                <w:rFonts w:ascii="Arial" w:hAnsi="Arial" w:cs="Arial"/>
              </w:rPr>
            </w:pPr>
            <w:r>
              <w:rPr>
                <w:rFonts w:ascii="Arial" w:hAnsi="Arial" w:cs="Arial"/>
              </w:rPr>
              <w:t>Republican Center for Hygiene &amp; Epidemiology</w:t>
            </w:r>
          </w:p>
          <w:p w:rsidR="000A34CF" w:rsidRDefault="000A34CF" w:rsidP="0008357E">
            <w:pPr>
              <w:spacing w:after="120"/>
              <w:jc w:val="both"/>
              <w:rPr>
                <w:rFonts w:ascii="Arial" w:hAnsi="Arial" w:cs="Arial"/>
              </w:rPr>
            </w:pPr>
            <w:r>
              <w:rPr>
                <w:rFonts w:ascii="Arial" w:hAnsi="Arial" w:cs="Arial"/>
              </w:rPr>
              <w:t xml:space="preserve">Information </w:t>
            </w:r>
            <w:r w:rsidR="00320716">
              <w:rPr>
                <w:rFonts w:ascii="Arial" w:hAnsi="Arial" w:cs="Arial"/>
              </w:rPr>
              <w:t>t</w:t>
            </w:r>
            <w:r>
              <w:rPr>
                <w:rFonts w:ascii="Arial" w:hAnsi="Arial" w:cs="Arial"/>
              </w:rPr>
              <w:t xml:space="preserve">echnologies Center of the </w:t>
            </w:r>
            <w:r w:rsidR="00320716">
              <w:rPr>
                <w:rFonts w:ascii="Arial" w:hAnsi="Arial" w:cs="Arial"/>
              </w:rPr>
              <w:t>MoH</w:t>
            </w:r>
          </w:p>
          <w:p w:rsidR="000A34CF" w:rsidRDefault="000A34CF" w:rsidP="0008357E">
            <w:pPr>
              <w:spacing w:after="120"/>
              <w:jc w:val="both"/>
              <w:rPr>
                <w:rFonts w:ascii="Arial" w:hAnsi="Arial" w:cs="Arial"/>
              </w:rPr>
            </w:pPr>
            <w:r>
              <w:rPr>
                <w:rFonts w:ascii="Arial" w:hAnsi="Arial" w:cs="Arial"/>
              </w:rPr>
              <w:t>State Statistic Committee</w:t>
            </w:r>
          </w:p>
        </w:tc>
        <w:tc>
          <w:tcPr>
            <w:tcW w:w="1037" w:type="dxa"/>
          </w:tcPr>
          <w:p w:rsidR="000A34CF" w:rsidRDefault="000A34CF" w:rsidP="009276C4">
            <w:pPr>
              <w:spacing w:after="120"/>
              <w:jc w:val="center"/>
              <w:rPr>
                <w:rFonts w:ascii="Arial" w:hAnsi="Arial" w:cs="Arial"/>
              </w:rPr>
            </w:pPr>
            <w:r>
              <w:rPr>
                <w:rFonts w:ascii="Arial" w:hAnsi="Arial" w:cs="Arial"/>
              </w:rPr>
              <w:t>0</w:t>
            </w:r>
          </w:p>
        </w:tc>
        <w:tc>
          <w:tcPr>
            <w:tcW w:w="1343" w:type="dxa"/>
          </w:tcPr>
          <w:p w:rsidR="000A34CF" w:rsidRPr="009276C4" w:rsidRDefault="000A34CF" w:rsidP="009276C4">
            <w:pPr>
              <w:spacing w:after="120"/>
              <w:jc w:val="center"/>
              <w:rPr>
                <w:rFonts w:ascii="Arial" w:hAnsi="Arial" w:cs="Arial"/>
              </w:rPr>
            </w:pPr>
            <w:r w:rsidRPr="009276C4">
              <w:rPr>
                <w:rFonts w:ascii="Arial" w:hAnsi="Arial" w:cs="Arial"/>
              </w:rPr>
              <w:t>NA</w:t>
            </w:r>
          </w:p>
        </w:tc>
      </w:tr>
      <w:tr w:rsidR="00320716" w:rsidTr="00320716">
        <w:tc>
          <w:tcPr>
            <w:tcW w:w="392" w:type="dxa"/>
            <w:vMerge/>
          </w:tcPr>
          <w:p w:rsidR="000A34CF" w:rsidRDefault="000A34CF" w:rsidP="0008357E">
            <w:pPr>
              <w:spacing w:after="120"/>
              <w:jc w:val="both"/>
              <w:rPr>
                <w:rFonts w:ascii="Arial" w:hAnsi="Arial" w:cs="Arial"/>
              </w:rPr>
            </w:pPr>
          </w:p>
        </w:tc>
        <w:tc>
          <w:tcPr>
            <w:tcW w:w="1662" w:type="dxa"/>
            <w:vMerge/>
          </w:tcPr>
          <w:p w:rsidR="000A34CF" w:rsidRDefault="000A34CF" w:rsidP="0008357E">
            <w:pPr>
              <w:spacing w:after="120"/>
              <w:jc w:val="both"/>
              <w:rPr>
                <w:rFonts w:ascii="Arial" w:hAnsi="Arial" w:cs="Arial"/>
              </w:rPr>
            </w:pPr>
          </w:p>
        </w:tc>
        <w:tc>
          <w:tcPr>
            <w:tcW w:w="1550" w:type="dxa"/>
          </w:tcPr>
          <w:p w:rsidR="000A34CF" w:rsidRDefault="000A34CF" w:rsidP="0008357E">
            <w:pPr>
              <w:spacing w:after="120"/>
              <w:jc w:val="both"/>
              <w:rPr>
                <w:rFonts w:ascii="Arial" w:hAnsi="Arial" w:cs="Arial"/>
              </w:rPr>
            </w:pPr>
            <w:r>
              <w:rPr>
                <w:rFonts w:ascii="Arial" w:hAnsi="Arial" w:cs="Arial"/>
              </w:rPr>
              <w:t>Revision of standards, procedures and recording and reporting forms on AEFI surveillance</w:t>
            </w:r>
          </w:p>
          <w:p w:rsidR="000A34CF" w:rsidRDefault="000A34CF" w:rsidP="0008357E">
            <w:pPr>
              <w:spacing w:after="120"/>
              <w:jc w:val="both"/>
              <w:rPr>
                <w:rFonts w:ascii="Arial" w:hAnsi="Arial" w:cs="Arial"/>
              </w:rPr>
            </w:pPr>
          </w:p>
        </w:tc>
        <w:tc>
          <w:tcPr>
            <w:tcW w:w="1673" w:type="dxa"/>
          </w:tcPr>
          <w:p w:rsidR="000A34CF" w:rsidRDefault="000A34CF" w:rsidP="000A34CF">
            <w:pPr>
              <w:spacing w:after="120"/>
              <w:jc w:val="both"/>
              <w:rPr>
                <w:rFonts w:ascii="Arial" w:hAnsi="Arial" w:cs="Arial"/>
              </w:rPr>
            </w:pPr>
            <w:r>
              <w:rPr>
                <w:rFonts w:ascii="Arial" w:hAnsi="Arial" w:cs="Arial"/>
              </w:rPr>
              <w:t>Q 1, 2015</w:t>
            </w:r>
          </w:p>
        </w:tc>
        <w:tc>
          <w:tcPr>
            <w:tcW w:w="1919" w:type="dxa"/>
          </w:tcPr>
          <w:p w:rsidR="000A34CF" w:rsidRDefault="000A34CF" w:rsidP="000A34CF">
            <w:pPr>
              <w:spacing w:after="120"/>
              <w:jc w:val="both"/>
              <w:rPr>
                <w:rFonts w:ascii="Arial" w:hAnsi="Arial" w:cs="Arial"/>
              </w:rPr>
            </w:pPr>
            <w:r w:rsidRPr="000A34CF">
              <w:rPr>
                <w:rFonts w:ascii="Arial" w:hAnsi="Arial" w:cs="Arial"/>
              </w:rPr>
              <w:t>Republican Center for Hygiene &amp; Epidemiology</w:t>
            </w:r>
          </w:p>
          <w:p w:rsidR="000A34CF" w:rsidRDefault="000A34CF" w:rsidP="000A34CF">
            <w:pPr>
              <w:spacing w:after="120"/>
              <w:jc w:val="both"/>
              <w:rPr>
                <w:rFonts w:ascii="Arial" w:hAnsi="Arial" w:cs="Arial"/>
              </w:rPr>
            </w:pPr>
            <w:r>
              <w:rPr>
                <w:rFonts w:ascii="Arial" w:hAnsi="Arial" w:cs="Arial"/>
              </w:rPr>
              <w:t>Center for Analytical Expertise of Medicines</w:t>
            </w:r>
          </w:p>
          <w:p w:rsidR="000A34CF" w:rsidRDefault="000A34CF" w:rsidP="00320716">
            <w:pPr>
              <w:spacing w:after="120"/>
              <w:jc w:val="both"/>
              <w:rPr>
                <w:rFonts w:ascii="Arial" w:hAnsi="Arial" w:cs="Arial"/>
              </w:rPr>
            </w:pPr>
            <w:r>
              <w:rPr>
                <w:rFonts w:ascii="Arial" w:hAnsi="Arial" w:cs="Arial"/>
              </w:rPr>
              <w:t xml:space="preserve">WHO consultant </w:t>
            </w:r>
          </w:p>
        </w:tc>
        <w:tc>
          <w:tcPr>
            <w:tcW w:w="1037" w:type="dxa"/>
          </w:tcPr>
          <w:p w:rsidR="000A34CF" w:rsidRDefault="000A34CF" w:rsidP="009276C4">
            <w:pPr>
              <w:spacing w:after="120"/>
              <w:jc w:val="center"/>
              <w:rPr>
                <w:rFonts w:ascii="Arial" w:hAnsi="Arial" w:cs="Arial"/>
              </w:rPr>
            </w:pPr>
            <w:r>
              <w:rPr>
                <w:rFonts w:ascii="Arial" w:hAnsi="Arial" w:cs="Arial"/>
              </w:rPr>
              <w:t>15 000</w:t>
            </w:r>
          </w:p>
        </w:tc>
        <w:tc>
          <w:tcPr>
            <w:tcW w:w="1343" w:type="dxa"/>
          </w:tcPr>
          <w:p w:rsidR="000A34CF" w:rsidRPr="009276C4" w:rsidRDefault="000A34CF" w:rsidP="009276C4">
            <w:pPr>
              <w:spacing w:after="120"/>
              <w:jc w:val="center"/>
              <w:rPr>
                <w:rFonts w:ascii="Arial" w:hAnsi="Arial" w:cs="Arial"/>
              </w:rPr>
            </w:pPr>
            <w:r w:rsidRPr="009276C4">
              <w:rPr>
                <w:rFonts w:ascii="Arial" w:hAnsi="Arial" w:cs="Arial"/>
              </w:rPr>
              <w:t>WHO</w:t>
            </w:r>
          </w:p>
        </w:tc>
      </w:tr>
      <w:tr w:rsidR="00320716" w:rsidTr="00320716">
        <w:tc>
          <w:tcPr>
            <w:tcW w:w="392" w:type="dxa"/>
            <w:vMerge w:val="restart"/>
          </w:tcPr>
          <w:p w:rsidR="009276C4" w:rsidRDefault="009276C4" w:rsidP="0008357E">
            <w:pPr>
              <w:spacing w:after="120"/>
              <w:jc w:val="both"/>
              <w:rPr>
                <w:rFonts w:ascii="Arial" w:hAnsi="Arial" w:cs="Arial"/>
              </w:rPr>
            </w:pPr>
            <w:r>
              <w:rPr>
                <w:rFonts w:ascii="Arial" w:hAnsi="Arial" w:cs="Arial"/>
              </w:rPr>
              <w:t>3.</w:t>
            </w:r>
          </w:p>
        </w:tc>
        <w:tc>
          <w:tcPr>
            <w:tcW w:w="1662" w:type="dxa"/>
            <w:vMerge w:val="restart"/>
          </w:tcPr>
          <w:p w:rsidR="009276C4" w:rsidRDefault="009276C4" w:rsidP="009276C4">
            <w:pPr>
              <w:spacing w:after="120"/>
              <w:jc w:val="both"/>
              <w:rPr>
                <w:rFonts w:ascii="Arial" w:hAnsi="Arial" w:cs="Arial"/>
              </w:rPr>
            </w:pPr>
            <w:r>
              <w:rPr>
                <w:rFonts w:ascii="Arial" w:hAnsi="Arial" w:cs="Arial"/>
              </w:rPr>
              <w:t xml:space="preserve">Training </w:t>
            </w:r>
          </w:p>
        </w:tc>
        <w:tc>
          <w:tcPr>
            <w:tcW w:w="1550" w:type="dxa"/>
          </w:tcPr>
          <w:p w:rsidR="009276C4" w:rsidRDefault="009276C4" w:rsidP="009276C4">
            <w:pPr>
              <w:spacing w:after="120"/>
              <w:jc w:val="both"/>
              <w:rPr>
                <w:rFonts w:ascii="Arial" w:hAnsi="Arial" w:cs="Arial"/>
              </w:rPr>
            </w:pPr>
            <w:r>
              <w:rPr>
                <w:rFonts w:ascii="Arial" w:hAnsi="Arial" w:cs="Arial"/>
              </w:rPr>
              <w:t xml:space="preserve">Adaptation of WHO guidelines and training materials </w:t>
            </w:r>
          </w:p>
        </w:tc>
        <w:tc>
          <w:tcPr>
            <w:tcW w:w="1673" w:type="dxa"/>
          </w:tcPr>
          <w:p w:rsidR="009276C4" w:rsidRDefault="009276C4" w:rsidP="0008357E">
            <w:pPr>
              <w:spacing w:after="120"/>
              <w:jc w:val="both"/>
              <w:rPr>
                <w:rFonts w:ascii="Arial" w:hAnsi="Arial" w:cs="Arial"/>
              </w:rPr>
            </w:pPr>
            <w:r>
              <w:rPr>
                <w:rFonts w:ascii="Arial" w:hAnsi="Arial" w:cs="Arial"/>
              </w:rPr>
              <w:t>Q4, 2014-</w:t>
            </w:r>
          </w:p>
          <w:p w:rsidR="009276C4" w:rsidRDefault="009276C4" w:rsidP="0008357E">
            <w:pPr>
              <w:spacing w:after="120"/>
              <w:jc w:val="both"/>
              <w:rPr>
                <w:rFonts w:ascii="Arial" w:hAnsi="Arial" w:cs="Arial"/>
              </w:rPr>
            </w:pPr>
            <w:r>
              <w:rPr>
                <w:rFonts w:ascii="Arial" w:hAnsi="Arial" w:cs="Arial"/>
              </w:rPr>
              <w:t>Q1, 2015</w:t>
            </w:r>
          </w:p>
        </w:tc>
        <w:tc>
          <w:tcPr>
            <w:tcW w:w="1919" w:type="dxa"/>
          </w:tcPr>
          <w:p w:rsidR="009276C4" w:rsidRDefault="009276C4" w:rsidP="0008357E">
            <w:pPr>
              <w:spacing w:after="120"/>
              <w:jc w:val="both"/>
              <w:rPr>
                <w:rFonts w:ascii="Arial" w:hAnsi="Arial" w:cs="Arial"/>
              </w:rPr>
            </w:pPr>
            <w:r w:rsidRPr="000A34CF">
              <w:rPr>
                <w:rFonts w:ascii="Arial" w:hAnsi="Arial" w:cs="Arial"/>
              </w:rPr>
              <w:t>Republican Center for Hygiene &amp; Epidemiology</w:t>
            </w:r>
          </w:p>
        </w:tc>
        <w:tc>
          <w:tcPr>
            <w:tcW w:w="1037" w:type="dxa"/>
          </w:tcPr>
          <w:p w:rsidR="009276C4" w:rsidRDefault="009276C4" w:rsidP="009276C4">
            <w:pPr>
              <w:spacing w:after="120"/>
              <w:jc w:val="center"/>
              <w:rPr>
                <w:rFonts w:ascii="Arial" w:hAnsi="Arial" w:cs="Arial"/>
              </w:rPr>
            </w:pPr>
            <w:r>
              <w:rPr>
                <w:rFonts w:ascii="Arial" w:hAnsi="Arial" w:cs="Arial"/>
              </w:rPr>
              <w:t>0</w:t>
            </w:r>
          </w:p>
        </w:tc>
        <w:tc>
          <w:tcPr>
            <w:tcW w:w="1343" w:type="dxa"/>
          </w:tcPr>
          <w:p w:rsidR="009276C4" w:rsidRPr="009276C4" w:rsidRDefault="009276C4" w:rsidP="009276C4">
            <w:pPr>
              <w:spacing w:after="120"/>
              <w:jc w:val="center"/>
              <w:rPr>
                <w:rFonts w:ascii="Arial" w:hAnsi="Arial" w:cs="Arial"/>
              </w:rPr>
            </w:pPr>
            <w:r w:rsidRPr="009276C4">
              <w:rPr>
                <w:rFonts w:ascii="Arial" w:hAnsi="Arial" w:cs="Arial"/>
              </w:rPr>
              <w:t>NA</w:t>
            </w:r>
          </w:p>
        </w:tc>
      </w:tr>
      <w:tr w:rsidR="00320716" w:rsidTr="00320716">
        <w:tc>
          <w:tcPr>
            <w:tcW w:w="392" w:type="dxa"/>
            <w:vMerge/>
          </w:tcPr>
          <w:p w:rsidR="009276C4" w:rsidRDefault="009276C4" w:rsidP="0008357E">
            <w:pPr>
              <w:spacing w:after="120"/>
              <w:jc w:val="both"/>
              <w:rPr>
                <w:rFonts w:ascii="Arial" w:hAnsi="Arial" w:cs="Arial"/>
              </w:rPr>
            </w:pPr>
          </w:p>
        </w:tc>
        <w:tc>
          <w:tcPr>
            <w:tcW w:w="1662" w:type="dxa"/>
            <w:vMerge/>
          </w:tcPr>
          <w:p w:rsidR="009276C4" w:rsidRDefault="009276C4" w:rsidP="0008357E">
            <w:pPr>
              <w:spacing w:after="120"/>
              <w:jc w:val="both"/>
              <w:rPr>
                <w:rFonts w:ascii="Arial" w:hAnsi="Arial" w:cs="Arial"/>
              </w:rPr>
            </w:pPr>
          </w:p>
        </w:tc>
        <w:tc>
          <w:tcPr>
            <w:tcW w:w="1550" w:type="dxa"/>
          </w:tcPr>
          <w:p w:rsidR="009276C4" w:rsidRDefault="009276C4" w:rsidP="009276C4">
            <w:pPr>
              <w:spacing w:after="120"/>
              <w:jc w:val="both"/>
              <w:rPr>
                <w:rFonts w:ascii="Arial" w:hAnsi="Arial" w:cs="Arial"/>
              </w:rPr>
            </w:pPr>
            <w:r>
              <w:rPr>
                <w:rFonts w:ascii="Arial" w:hAnsi="Arial" w:cs="Arial"/>
              </w:rPr>
              <w:t>Printing of national guidelines and instructions for vaccinators</w:t>
            </w:r>
          </w:p>
        </w:tc>
        <w:tc>
          <w:tcPr>
            <w:tcW w:w="1673" w:type="dxa"/>
          </w:tcPr>
          <w:p w:rsidR="009276C4" w:rsidRDefault="009276C4" w:rsidP="0008357E">
            <w:pPr>
              <w:spacing w:after="120"/>
              <w:jc w:val="both"/>
              <w:rPr>
                <w:rFonts w:ascii="Arial" w:hAnsi="Arial" w:cs="Arial"/>
              </w:rPr>
            </w:pPr>
            <w:r>
              <w:rPr>
                <w:rFonts w:ascii="Arial" w:hAnsi="Arial" w:cs="Arial"/>
              </w:rPr>
              <w:t>Q1, 2015</w:t>
            </w:r>
          </w:p>
        </w:tc>
        <w:tc>
          <w:tcPr>
            <w:tcW w:w="1919" w:type="dxa"/>
          </w:tcPr>
          <w:p w:rsidR="009276C4" w:rsidRPr="000A34CF" w:rsidRDefault="009276C4" w:rsidP="0008357E">
            <w:pPr>
              <w:spacing w:after="120"/>
              <w:jc w:val="both"/>
              <w:rPr>
                <w:rFonts w:ascii="Arial" w:hAnsi="Arial" w:cs="Arial"/>
              </w:rPr>
            </w:pPr>
            <w:r w:rsidRPr="009276C4">
              <w:rPr>
                <w:rFonts w:ascii="Arial" w:hAnsi="Arial" w:cs="Arial"/>
              </w:rPr>
              <w:t>Republican Center for Hygiene &amp; Epidemiology</w:t>
            </w:r>
          </w:p>
        </w:tc>
        <w:tc>
          <w:tcPr>
            <w:tcW w:w="1037" w:type="dxa"/>
          </w:tcPr>
          <w:p w:rsidR="009276C4" w:rsidRDefault="009276C4" w:rsidP="009276C4">
            <w:pPr>
              <w:spacing w:after="120"/>
              <w:jc w:val="center"/>
              <w:rPr>
                <w:rFonts w:ascii="Arial" w:hAnsi="Arial" w:cs="Arial"/>
              </w:rPr>
            </w:pPr>
            <w:r w:rsidRPr="003D7A0F">
              <w:rPr>
                <w:rFonts w:ascii="Arial" w:hAnsi="Arial" w:cs="Arial"/>
                <w:highlight w:val="green"/>
              </w:rPr>
              <w:t>15 000</w:t>
            </w:r>
          </w:p>
        </w:tc>
        <w:tc>
          <w:tcPr>
            <w:tcW w:w="1343" w:type="dxa"/>
          </w:tcPr>
          <w:p w:rsidR="009276C4" w:rsidRPr="003D7A0F" w:rsidRDefault="009276C4" w:rsidP="009276C4">
            <w:pPr>
              <w:spacing w:after="120"/>
              <w:jc w:val="center"/>
              <w:rPr>
                <w:rFonts w:ascii="Arial" w:hAnsi="Arial" w:cs="Arial"/>
                <w:highlight w:val="green"/>
              </w:rPr>
            </w:pPr>
            <w:r w:rsidRPr="003D7A0F">
              <w:rPr>
                <w:rFonts w:ascii="Arial" w:hAnsi="Arial" w:cs="Arial"/>
                <w:highlight w:val="green"/>
              </w:rPr>
              <w:t>GAVI</w:t>
            </w:r>
          </w:p>
          <w:p w:rsidR="009276C4" w:rsidRPr="009276C4" w:rsidRDefault="009276C4" w:rsidP="009276C4">
            <w:pPr>
              <w:spacing w:after="120"/>
              <w:jc w:val="center"/>
              <w:rPr>
                <w:rFonts w:ascii="Arial" w:hAnsi="Arial" w:cs="Arial"/>
              </w:rPr>
            </w:pPr>
            <w:r w:rsidRPr="003D7A0F">
              <w:rPr>
                <w:rFonts w:ascii="Arial" w:hAnsi="Arial" w:cs="Arial"/>
                <w:highlight w:val="green"/>
              </w:rPr>
              <w:t>IPV VIG</w:t>
            </w:r>
          </w:p>
        </w:tc>
      </w:tr>
      <w:tr w:rsidR="00320716" w:rsidTr="00320716">
        <w:tc>
          <w:tcPr>
            <w:tcW w:w="392" w:type="dxa"/>
            <w:vMerge/>
          </w:tcPr>
          <w:p w:rsidR="009276C4" w:rsidRDefault="009276C4" w:rsidP="0008357E">
            <w:pPr>
              <w:spacing w:after="120"/>
              <w:jc w:val="both"/>
              <w:rPr>
                <w:rFonts w:ascii="Arial" w:hAnsi="Arial" w:cs="Arial"/>
              </w:rPr>
            </w:pPr>
          </w:p>
        </w:tc>
        <w:tc>
          <w:tcPr>
            <w:tcW w:w="1662" w:type="dxa"/>
            <w:vMerge/>
          </w:tcPr>
          <w:p w:rsidR="009276C4" w:rsidRDefault="009276C4" w:rsidP="0008357E">
            <w:pPr>
              <w:spacing w:after="120"/>
              <w:jc w:val="both"/>
              <w:rPr>
                <w:rFonts w:ascii="Arial" w:hAnsi="Arial" w:cs="Arial"/>
              </w:rPr>
            </w:pPr>
          </w:p>
        </w:tc>
        <w:tc>
          <w:tcPr>
            <w:tcW w:w="1550" w:type="dxa"/>
          </w:tcPr>
          <w:p w:rsidR="009276C4" w:rsidRDefault="009276C4" w:rsidP="00320716">
            <w:pPr>
              <w:spacing w:after="120"/>
              <w:jc w:val="both"/>
              <w:rPr>
                <w:rFonts w:ascii="Arial" w:hAnsi="Arial" w:cs="Arial"/>
              </w:rPr>
            </w:pPr>
            <w:r>
              <w:rPr>
                <w:rFonts w:ascii="Arial" w:hAnsi="Arial" w:cs="Arial"/>
              </w:rPr>
              <w:t>Inter-district trainings on IP</w:t>
            </w:r>
            <w:r w:rsidR="00320716">
              <w:rPr>
                <w:rFonts w:ascii="Arial" w:hAnsi="Arial" w:cs="Arial"/>
              </w:rPr>
              <w:t xml:space="preserve">V, </w:t>
            </w:r>
            <w:r>
              <w:rPr>
                <w:rFonts w:ascii="Arial" w:hAnsi="Arial" w:cs="Arial"/>
              </w:rPr>
              <w:t xml:space="preserve">including AEFI surveillance </w:t>
            </w:r>
          </w:p>
        </w:tc>
        <w:tc>
          <w:tcPr>
            <w:tcW w:w="1673" w:type="dxa"/>
          </w:tcPr>
          <w:p w:rsidR="009276C4" w:rsidRDefault="009276C4" w:rsidP="0008357E">
            <w:pPr>
              <w:spacing w:after="120"/>
              <w:jc w:val="both"/>
              <w:rPr>
                <w:rFonts w:ascii="Arial" w:hAnsi="Arial" w:cs="Arial"/>
              </w:rPr>
            </w:pPr>
            <w:r>
              <w:rPr>
                <w:rFonts w:ascii="Arial" w:hAnsi="Arial" w:cs="Arial"/>
              </w:rPr>
              <w:t>Q2, 2015</w:t>
            </w:r>
          </w:p>
        </w:tc>
        <w:tc>
          <w:tcPr>
            <w:tcW w:w="1919" w:type="dxa"/>
          </w:tcPr>
          <w:p w:rsidR="009276C4" w:rsidRDefault="009276C4" w:rsidP="0008357E">
            <w:pPr>
              <w:spacing w:after="120"/>
              <w:jc w:val="both"/>
              <w:rPr>
                <w:rFonts w:ascii="Arial" w:hAnsi="Arial" w:cs="Arial"/>
              </w:rPr>
            </w:pPr>
            <w:r w:rsidRPr="000A34CF">
              <w:rPr>
                <w:rFonts w:ascii="Arial" w:hAnsi="Arial" w:cs="Arial"/>
              </w:rPr>
              <w:t>Republican Center for Hygiene &amp; Epidemiology</w:t>
            </w:r>
          </w:p>
        </w:tc>
        <w:tc>
          <w:tcPr>
            <w:tcW w:w="1037" w:type="dxa"/>
          </w:tcPr>
          <w:p w:rsidR="009276C4" w:rsidRDefault="009276C4" w:rsidP="009276C4">
            <w:pPr>
              <w:spacing w:after="120"/>
              <w:jc w:val="center"/>
              <w:rPr>
                <w:rFonts w:ascii="Arial" w:hAnsi="Arial" w:cs="Arial"/>
              </w:rPr>
            </w:pPr>
            <w:r>
              <w:rPr>
                <w:rFonts w:ascii="Arial" w:hAnsi="Arial" w:cs="Arial"/>
              </w:rPr>
              <w:t>15 000</w:t>
            </w:r>
          </w:p>
        </w:tc>
        <w:tc>
          <w:tcPr>
            <w:tcW w:w="1343" w:type="dxa"/>
          </w:tcPr>
          <w:p w:rsidR="009276C4" w:rsidRPr="009276C4" w:rsidRDefault="009276C4" w:rsidP="009276C4">
            <w:pPr>
              <w:spacing w:after="120"/>
              <w:jc w:val="center"/>
              <w:rPr>
                <w:rFonts w:ascii="Arial" w:hAnsi="Arial" w:cs="Arial"/>
              </w:rPr>
            </w:pPr>
            <w:r w:rsidRPr="009276C4">
              <w:rPr>
                <w:rFonts w:ascii="Arial" w:hAnsi="Arial" w:cs="Arial"/>
              </w:rPr>
              <w:t>WHO</w:t>
            </w:r>
          </w:p>
        </w:tc>
      </w:tr>
      <w:tr w:rsidR="00320716" w:rsidTr="00320716">
        <w:tc>
          <w:tcPr>
            <w:tcW w:w="392" w:type="dxa"/>
            <w:vMerge w:val="restart"/>
          </w:tcPr>
          <w:p w:rsidR="009276C4" w:rsidRDefault="009276C4" w:rsidP="0008357E">
            <w:pPr>
              <w:spacing w:after="120"/>
              <w:jc w:val="both"/>
              <w:rPr>
                <w:rFonts w:ascii="Arial" w:hAnsi="Arial" w:cs="Arial"/>
              </w:rPr>
            </w:pPr>
            <w:r>
              <w:rPr>
                <w:rFonts w:ascii="Arial" w:hAnsi="Arial" w:cs="Arial"/>
              </w:rPr>
              <w:lastRenderedPageBreak/>
              <w:t>4.</w:t>
            </w:r>
          </w:p>
        </w:tc>
        <w:tc>
          <w:tcPr>
            <w:tcW w:w="1662" w:type="dxa"/>
            <w:vMerge w:val="restart"/>
          </w:tcPr>
          <w:p w:rsidR="009276C4" w:rsidRDefault="009276C4" w:rsidP="00D160C7">
            <w:pPr>
              <w:spacing w:after="120"/>
              <w:jc w:val="both"/>
              <w:rPr>
                <w:rFonts w:ascii="Arial" w:hAnsi="Arial" w:cs="Arial"/>
              </w:rPr>
            </w:pPr>
            <w:r>
              <w:rPr>
                <w:rFonts w:ascii="Arial" w:hAnsi="Arial" w:cs="Arial"/>
              </w:rPr>
              <w:t>Cold chain, logistic and vaccine management</w:t>
            </w:r>
          </w:p>
        </w:tc>
        <w:tc>
          <w:tcPr>
            <w:tcW w:w="1550" w:type="dxa"/>
          </w:tcPr>
          <w:p w:rsidR="009276C4" w:rsidRDefault="009276C4" w:rsidP="00D160C7">
            <w:pPr>
              <w:spacing w:after="120"/>
              <w:jc w:val="both"/>
              <w:rPr>
                <w:rFonts w:ascii="Arial" w:hAnsi="Arial" w:cs="Arial"/>
              </w:rPr>
            </w:pPr>
            <w:r>
              <w:rPr>
                <w:rFonts w:ascii="Arial" w:hAnsi="Arial" w:cs="Arial"/>
              </w:rPr>
              <w:t xml:space="preserve">Procurement of Log tags and USB interface </w:t>
            </w:r>
          </w:p>
        </w:tc>
        <w:tc>
          <w:tcPr>
            <w:tcW w:w="1673" w:type="dxa"/>
          </w:tcPr>
          <w:p w:rsidR="009276C4" w:rsidRDefault="009276C4" w:rsidP="00D160C7">
            <w:pPr>
              <w:spacing w:after="120"/>
              <w:jc w:val="both"/>
              <w:rPr>
                <w:rFonts w:ascii="Arial" w:hAnsi="Arial" w:cs="Arial"/>
              </w:rPr>
            </w:pPr>
            <w:r>
              <w:rPr>
                <w:rFonts w:ascii="Arial" w:hAnsi="Arial" w:cs="Arial"/>
              </w:rPr>
              <w:t>January</w:t>
            </w:r>
            <w:r w:rsidR="00A53BF1">
              <w:rPr>
                <w:rFonts w:ascii="Arial" w:hAnsi="Arial" w:cs="Arial"/>
              </w:rPr>
              <w:t>- May</w:t>
            </w:r>
            <w:r>
              <w:rPr>
                <w:rFonts w:ascii="Arial" w:hAnsi="Arial" w:cs="Arial"/>
              </w:rPr>
              <w:t xml:space="preserve"> 2015</w:t>
            </w:r>
          </w:p>
        </w:tc>
        <w:tc>
          <w:tcPr>
            <w:tcW w:w="1919" w:type="dxa"/>
          </w:tcPr>
          <w:p w:rsidR="009276C4" w:rsidRDefault="009276C4" w:rsidP="00D160C7">
            <w:pPr>
              <w:spacing w:after="120"/>
              <w:jc w:val="both"/>
              <w:rPr>
                <w:rFonts w:ascii="Arial" w:hAnsi="Arial" w:cs="Arial"/>
              </w:rPr>
            </w:pPr>
            <w:r>
              <w:rPr>
                <w:rFonts w:ascii="Arial" w:hAnsi="Arial" w:cs="Arial"/>
              </w:rPr>
              <w:t>Innovation and Supply Center</w:t>
            </w:r>
          </w:p>
        </w:tc>
        <w:tc>
          <w:tcPr>
            <w:tcW w:w="1037" w:type="dxa"/>
          </w:tcPr>
          <w:p w:rsidR="009276C4" w:rsidRPr="003D7A0F" w:rsidRDefault="009276C4" w:rsidP="004345FA">
            <w:pPr>
              <w:spacing w:after="120"/>
              <w:jc w:val="center"/>
              <w:rPr>
                <w:rFonts w:ascii="Arial" w:hAnsi="Arial" w:cs="Arial"/>
                <w:highlight w:val="green"/>
              </w:rPr>
            </w:pPr>
            <w:r w:rsidRPr="003D7A0F">
              <w:rPr>
                <w:rFonts w:ascii="Arial" w:hAnsi="Arial" w:cs="Arial"/>
                <w:highlight w:val="green"/>
              </w:rPr>
              <w:t>1</w:t>
            </w:r>
            <w:r w:rsidR="004345FA" w:rsidRPr="003D7A0F">
              <w:rPr>
                <w:rFonts w:ascii="Arial" w:hAnsi="Arial" w:cs="Arial"/>
                <w:highlight w:val="green"/>
              </w:rPr>
              <w:t>5</w:t>
            </w:r>
            <w:r w:rsidRPr="003D7A0F">
              <w:rPr>
                <w:rFonts w:ascii="Arial" w:hAnsi="Arial" w:cs="Arial"/>
                <w:highlight w:val="green"/>
              </w:rPr>
              <w:t xml:space="preserve"> 000</w:t>
            </w:r>
          </w:p>
        </w:tc>
        <w:tc>
          <w:tcPr>
            <w:tcW w:w="1343" w:type="dxa"/>
          </w:tcPr>
          <w:p w:rsidR="009276C4" w:rsidRPr="003D7A0F" w:rsidRDefault="009276C4" w:rsidP="009276C4">
            <w:pPr>
              <w:jc w:val="center"/>
              <w:rPr>
                <w:rFonts w:ascii="Arial" w:hAnsi="Arial" w:cs="Arial"/>
                <w:highlight w:val="green"/>
              </w:rPr>
            </w:pPr>
            <w:r w:rsidRPr="003D7A0F">
              <w:rPr>
                <w:rFonts w:ascii="Arial" w:hAnsi="Arial" w:cs="Arial"/>
                <w:highlight w:val="green"/>
              </w:rPr>
              <w:t>GAVI</w:t>
            </w:r>
          </w:p>
          <w:p w:rsidR="009276C4" w:rsidRPr="003D7A0F" w:rsidRDefault="009276C4" w:rsidP="009276C4">
            <w:pPr>
              <w:jc w:val="center"/>
              <w:rPr>
                <w:rFonts w:ascii="Arial" w:hAnsi="Arial" w:cs="Arial"/>
                <w:highlight w:val="green"/>
              </w:rPr>
            </w:pPr>
            <w:r w:rsidRPr="003D7A0F">
              <w:rPr>
                <w:rFonts w:ascii="Arial" w:hAnsi="Arial" w:cs="Arial"/>
                <w:highlight w:val="green"/>
              </w:rPr>
              <w:t>IPV VIG</w:t>
            </w:r>
          </w:p>
        </w:tc>
      </w:tr>
      <w:tr w:rsidR="00320716" w:rsidTr="00320716">
        <w:tc>
          <w:tcPr>
            <w:tcW w:w="392" w:type="dxa"/>
            <w:vMerge/>
          </w:tcPr>
          <w:p w:rsidR="009276C4" w:rsidRDefault="009276C4" w:rsidP="0008357E">
            <w:pPr>
              <w:spacing w:after="120"/>
              <w:jc w:val="both"/>
              <w:rPr>
                <w:rFonts w:ascii="Arial" w:hAnsi="Arial" w:cs="Arial"/>
              </w:rPr>
            </w:pPr>
          </w:p>
        </w:tc>
        <w:tc>
          <w:tcPr>
            <w:tcW w:w="1662" w:type="dxa"/>
            <w:vMerge/>
          </w:tcPr>
          <w:p w:rsidR="009276C4" w:rsidRDefault="009276C4" w:rsidP="00D160C7">
            <w:pPr>
              <w:spacing w:after="120"/>
              <w:jc w:val="both"/>
              <w:rPr>
                <w:rFonts w:ascii="Arial" w:hAnsi="Arial" w:cs="Arial"/>
              </w:rPr>
            </w:pPr>
          </w:p>
        </w:tc>
        <w:tc>
          <w:tcPr>
            <w:tcW w:w="1550" w:type="dxa"/>
          </w:tcPr>
          <w:p w:rsidR="009276C4" w:rsidRDefault="009276C4" w:rsidP="00D160C7">
            <w:pPr>
              <w:spacing w:after="120"/>
              <w:jc w:val="both"/>
              <w:rPr>
                <w:rFonts w:ascii="Arial" w:hAnsi="Arial" w:cs="Arial"/>
              </w:rPr>
            </w:pPr>
            <w:r w:rsidRPr="00E36148">
              <w:rPr>
                <w:rFonts w:ascii="Arial" w:hAnsi="Arial" w:cs="Arial"/>
              </w:rPr>
              <w:t xml:space="preserve">Procurement of </w:t>
            </w:r>
            <w:r>
              <w:rPr>
                <w:rFonts w:ascii="Arial" w:hAnsi="Arial" w:cs="Arial"/>
              </w:rPr>
              <w:t xml:space="preserve"> Freeze tags</w:t>
            </w:r>
          </w:p>
        </w:tc>
        <w:tc>
          <w:tcPr>
            <w:tcW w:w="1673" w:type="dxa"/>
          </w:tcPr>
          <w:p w:rsidR="009276C4" w:rsidRDefault="009276C4" w:rsidP="00D160C7">
            <w:pPr>
              <w:spacing w:after="120"/>
              <w:jc w:val="both"/>
              <w:rPr>
                <w:rFonts w:ascii="Arial" w:hAnsi="Arial" w:cs="Arial"/>
              </w:rPr>
            </w:pPr>
            <w:r>
              <w:rPr>
                <w:rFonts w:ascii="Arial" w:hAnsi="Arial" w:cs="Arial"/>
              </w:rPr>
              <w:t>January</w:t>
            </w:r>
            <w:r w:rsidR="00A53BF1">
              <w:rPr>
                <w:rFonts w:ascii="Arial" w:hAnsi="Arial" w:cs="Arial"/>
              </w:rPr>
              <w:t>- May</w:t>
            </w:r>
            <w:r>
              <w:rPr>
                <w:rFonts w:ascii="Arial" w:hAnsi="Arial" w:cs="Arial"/>
              </w:rPr>
              <w:t xml:space="preserve"> 2015</w:t>
            </w:r>
          </w:p>
        </w:tc>
        <w:tc>
          <w:tcPr>
            <w:tcW w:w="1919" w:type="dxa"/>
          </w:tcPr>
          <w:p w:rsidR="009276C4" w:rsidRDefault="009276C4" w:rsidP="00D160C7">
            <w:pPr>
              <w:spacing w:after="120"/>
              <w:jc w:val="both"/>
              <w:rPr>
                <w:rFonts w:ascii="Arial" w:hAnsi="Arial" w:cs="Arial"/>
              </w:rPr>
            </w:pPr>
            <w:r w:rsidRPr="00E36148">
              <w:rPr>
                <w:rFonts w:ascii="Arial" w:hAnsi="Arial" w:cs="Arial"/>
              </w:rPr>
              <w:t>Innovation and Supply Center</w:t>
            </w:r>
          </w:p>
        </w:tc>
        <w:tc>
          <w:tcPr>
            <w:tcW w:w="1037" w:type="dxa"/>
          </w:tcPr>
          <w:p w:rsidR="009276C4" w:rsidRPr="003D7A0F" w:rsidRDefault="009276C4" w:rsidP="009276C4">
            <w:pPr>
              <w:spacing w:after="120"/>
              <w:jc w:val="center"/>
              <w:rPr>
                <w:rFonts w:ascii="Arial" w:hAnsi="Arial" w:cs="Arial"/>
                <w:highlight w:val="green"/>
              </w:rPr>
            </w:pPr>
            <w:r w:rsidRPr="003D7A0F">
              <w:rPr>
                <w:rFonts w:ascii="Arial" w:hAnsi="Arial" w:cs="Arial"/>
                <w:highlight w:val="green"/>
              </w:rPr>
              <w:t>10 000</w:t>
            </w:r>
          </w:p>
        </w:tc>
        <w:tc>
          <w:tcPr>
            <w:tcW w:w="1343" w:type="dxa"/>
          </w:tcPr>
          <w:p w:rsidR="009276C4" w:rsidRPr="003D7A0F" w:rsidRDefault="009276C4" w:rsidP="009276C4">
            <w:pPr>
              <w:jc w:val="center"/>
              <w:rPr>
                <w:rFonts w:ascii="Arial" w:hAnsi="Arial" w:cs="Arial"/>
                <w:highlight w:val="green"/>
              </w:rPr>
            </w:pPr>
            <w:r w:rsidRPr="003D7A0F">
              <w:rPr>
                <w:rFonts w:ascii="Arial" w:hAnsi="Arial" w:cs="Arial"/>
                <w:highlight w:val="green"/>
              </w:rPr>
              <w:t>GAVI</w:t>
            </w:r>
          </w:p>
          <w:p w:rsidR="009276C4" w:rsidRPr="003D7A0F" w:rsidRDefault="009276C4" w:rsidP="009276C4">
            <w:pPr>
              <w:jc w:val="center"/>
              <w:rPr>
                <w:rFonts w:ascii="Arial" w:hAnsi="Arial" w:cs="Arial"/>
                <w:highlight w:val="green"/>
              </w:rPr>
            </w:pPr>
            <w:r w:rsidRPr="003D7A0F">
              <w:rPr>
                <w:rFonts w:ascii="Arial" w:hAnsi="Arial" w:cs="Arial"/>
                <w:highlight w:val="green"/>
              </w:rPr>
              <w:t>IPV VIG</w:t>
            </w:r>
          </w:p>
        </w:tc>
      </w:tr>
      <w:tr w:rsidR="00320716" w:rsidTr="00320716">
        <w:tc>
          <w:tcPr>
            <w:tcW w:w="392" w:type="dxa"/>
            <w:vMerge/>
          </w:tcPr>
          <w:p w:rsidR="00E36148" w:rsidRDefault="00E36148" w:rsidP="0008357E">
            <w:pPr>
              <w:spacing w:after="120"/>
              <w:jc w:val="both"/>
              <w:rPr>
                <w:rFonts w:ascii="Arial" w:hAnsi="Arial" w:cs="Arial"/>
              </w:rPr>
            </w:pPr>
          </w:p>
        </w:tc>
        <w:tc>
          <w:tcPr>
            <w:tcW w:w="1662" w:type="dxa"/>
            <w:vMerge/>
          </w:tcPr>
          <w:p w:rsidR="00E36148" w:rsidRDefault="00E36148" w:rsidP="00D160C7">
            <w:pPr>
              <w:spacing w:after="120"/>
              <w:jc w:val="both"/>
              <w:rPr>
                <w:rFonts w:ascii="Arial" w:hAnsi="Arial" w:cs="Arial"/>
              </w:rPr>
            </w:pPr>
          </w:p>
        </w:tc>
        <w:tc>
          <w:tcPr>
            <w:tcW w:w="1550" w:type="dxa"/>
          </w:tcPr>
          <w:p w:rsidR="00E36148" w:rsidRDefault="00E36148" w:rsidP="009276C4">
            <w:pPr>
              <w:spacing w:after="120"/>
              <w:jc w:val="both"/>
              <w:rPr>
                <w:rFonts w:ascii="Arial" w:hAnsi="Arial" w:cs="Arial"/>
              </w:rPr>
            </w:pPr>
            <w:r>
              <w:rPr>
                <w:rFonts w:ascii="Arial" w:hAnsi="Arial" w:cs="Arial"/>
              </w:rPr>
              <w:t>Procurement of  MK 404</w:t>
            </w:r>
          </w:p>
        </w:tc>
        <w:tc>
          <w:tcPr>
            <w:tcW w:w="1673" w:type="dxa"/>
          </w:tcPr>
          <w:p w:rsidR="00E36148" w:rsidRDefault="00E36148" w:rsidP="00D160C7">
            <w:pPr>
              <w:spacing w:after="120"/>
              <w:jc w:val="both"/>
              <w:rPr>
                <w:rFonts w:ascii="Arial" w:hAnsi="Arial" w:cs="Arial"/>
              </w:rPr>
            </w:pPr>
            <w:r>
              <w:rPr>
                <w:rFonts w:ascii="Arial" w:hAnsi="Arial" w:cs="Arial"/>
              </w:rPr>
              <w:t>January</w:t>
            </w:r>
            <w:r w:rsidR="00A53BF1">
              <w:rPr>
                <w:rFonts w:ascii="Arial" w:hAnsi="Arial" w:cs="Arial"/>
              </w:rPr>
              <w:t>- May</w:t>
            </w:r>
            <w:r>
              <w:rPr>
                <w:rFonts w:ascii="Arial" w:hAnsi="Arial" w:cs="Arial"/>
              </w:rPr>
              <w:t xml:space="preserve"> 2015</w:t>
            </w:r>
          </w:p>
        </w:tc>
        <w:tc>
          <w:tcPr>
            <w:tcW w:w="1919" w:type="dxa"/>
          </w:tcPr>
          <w:p w:rsidR="00E36148" w:rsidRDefault="00E36148" w:rsidP="00D160C7">
            <w:pPr>
              <w:spacing w:after="120"/>
              <w:jc w:val="both"/>
              <w:rPr>
                <w:rFonts w:ascii="Arial" w:hAnsi="Arial" w:cs="Arial"/>
              </w:rPr>
            </w:pPr>
            <w:r w:rsidRPr="003432AC">
              <w:rPr>
                <w:rFonts w:ascii="Arial" w:hAnsi="Arial" w:cs="Arial"/>
              </w:rPr>
              <w:t>Innovation and Supply Center</w:t>
            </w:r>
          </w:p>
        </w:tc>
        <w:tc>
          <w:tcPr>
            <w:tcW w:w="1037" w:type="dxa"/>
          </w:tcPr>
          <w:p w:rsidR="00E36148" w:rsidRPr="003D7A0F" w:rsidRDefault="00E36148" w:rsidP="009276C4">
            <w:pPr>
              <w:spacing w:after="120"/>
              <w:jc w:val="center"/>
              <w:rPr>
                <w:rFonts w:ascii="Arial" w:hAnsi="Arial" w:cs="Arial"/>
                <w:highlight w:val="green"/>
              </w:rPr>
            </w:pPr>
            <w:r w:rsidRPr="003D7A0F">
              <w:rPr>
                <w:rFonts w:ascii="Arial" w:hAnsi="Arial" w:cs="Arial"/>
                <w:highlight w:val="green"/>
              </w:rPr>
              <w:t>3</w:t>
            </w:r>
            <w:r w:rsidR="009276C4" w:rsidRPr="003D7A0F">
              <w:rPr>
                <w:rFonts w:ascii="Arial" w:hAnsi="Arial" w:cs="Arial"/>
                <w:highlight w:val="green"/>
              </w:rPr>
              <w:t>5</w:t>
            </w:r>
            <w:r w:rsidRPr="003D7A0F">
              <w:rPr>
                <w:rFonts w:ascii="Arial" w:hAnsi="Arial" w:cs="Arial"/>
                <w:highlight w:val="green"/>
              </w:rPr>
              <w:t xml:space="preserve"> 000</w:t>
            </w:r>
          </w:p>
        </w:tc>
        <w:tc>
          <w:tcPr>
            <w:tcW w:w="1343" w:type="dxa"/>
          </w:tcPr>
          <w:p w:rsidR="00E36148" w:rsidRPr="003D7A0F" w:rsidRDefault="00E36148" w:rsidP="009276C4">
            <w:pPr>
              <w:spacing w:after="120"/>
              <w:jc w:val="center"/>
              <w:rPr>
                <w:rFonts w:ascii="Arial" w:hAnsi="Arial" w:cs="Arial"/>
                <w:highlight w:val="green"/>
              </w:rPr>
            </w:pPr>
            <w:r w:rsidRPr="003D7A0F">
              <w:rPr>
                <w:rFonts w:ascii="Arial" w:hAnsi="Arial" w:cs="Arial"/>
                <w:highlight w:val="green"/>
              </w:rPr>
              <w:t>GAVI</w:t>
            </w:r>
          </w:p>
          <w:p w:rsidR="00E36148" w:rsidRPr="003D7A0F" w:rsidRDefault="00E36148" w:rsidP="009276C4">
            <w:pPr>
              <w:spacing w:after="120"/>
              <w:jc w:val="center"/>
              <w:rPr>
                <w:rFonts w:ascii="Arial" w:hAnsi="Arial" w:cs="Arial"/>
                <w:highlight w:val="green"/>
              </w:rPr>
            </w:pPr>
            <w:r w:rsidRPr="003D7A0F">
              <w:rPr>
                <w:rFonts w:ascii="Arial" w:hAnsi="Arial" w:cs="Arial"/>
                <w:highlight w:val="green"/>
              </w:rPr>
              <w:t>IPV VIG</w:t>
            </w:r>
          </w:p>
        </w:tc>
      </w:tr>
      <w:tr w:rsidR="00A53BF1" w:rsidTr="00320716">
        <w:tc>
          <w:tcPr>
            <w:tcW w:w="392" w:type="dxa"/>
            <w:vMerge w:val="restart"/>
          </w:tcPr>
          <w:p w:rsidR="00A53BF1" w:rsidRDefault="00A53BF1" w:rsidP="0008357E">
            <w:pPr>
              <w:spacing w:after="120"/>
              <w:jc w:val="both"/>
              <w:rPr>
                <w:rFonts w:ascii="Arial" w:hAnsi="Arial" w:cs="Arial"/>
              </w:rPr>
            </w:pPr>
            <w:r>
              <w:rPr>
                <w:rFonts w:ascii="Arial" w:hAnsi="Arial" w:cs="Arial"/>
              </w:rPr>
              <w:t>5</w:t>
            </w:r>
          </w:p>
        </w:tc>
        <w:tc>
          <w:tcPr>
            <w:tcW w:w="1662" w:type="dxa"/>
            <w:vMerge w:val="restart"/>
          </w:tcPr>
          <w:p w:rsidR="00A53BF1" w:rsidRDefault="00A53BF1" w:rsidP="00320716">
            <w:pPr>
              <w:spacing w:after="120"/>
              <w:jc w:val="both"/>
              <w:rPr>
                <w:rFonts w:ascii="Arial" w:hAnsi="Arial" w:cs="Arial"/>
              </w:rPr>
            </w:pPr>
            <w:r>
              <w:rPr>
                <w:rFonts w:ascii="Arial" w:hAnsi="Arial" w:cs="Arial"/>
              </w:rPr>
              <w:t xml:space="preserve">Social mobilization, </w:t>
            </w:r>
            <w:r w:rsidRPr="00320716">
              <w:rPr>
                <w:rFonts w:ascii="Arial" w:hAnsi="Arial" w:cs="Arial"/>
              </w:rPr>
              <w:t>communications and advocacy activities</w:t>
            </w:r>
            <w:r>
              <w:rPr>
                <w:rFonts w:ascii="Arial" w:hAnsi="Arial" w:cs="Arial"/>
              </w:rPr>
              <w:t xml:space="preserve"> </w:t>
            </w:r>
          </w:p>
        </w:tc>
        <w:tc>
          <w:tcPr>
            <w:tcW w:w="1550" w:type="dxa"/>
          </w:tcPr>
          <w:p w:rsidR="00A53BF1" w:rsidRDefault="00A53BF1" w:rsidP="0008357E">
            <w:pPr>
              <w:spacing w:after="120"/>
              <w:jc w:val="both"/>
              <w:rPr>
                <w:rFonts w:ascii="Arial" w:hAnsi="Arial" w:cs="Arial"/>
              </w:rPr>
            </w:pPr>
            <w:r>
              <w:rPr>
                <w:rFonts w:ascii="Arial" w:hAnsi="Arial" w:cs="Arial"/>
              </w:rPr>
              <w:t>National conference on IPV introduction and polio eradication</w:t>
            </w:r>
          </w:p>
        </w:tc>
        <w:tc>
          <w:tcPr>
            <w:tcW w:w="1673" w:type="dxa"/>
          </w:tcPr>
          <w:p w:rsidR="00A53BF1" w:rsidRDefault="00A53BF1" w:rsidP="0008357E">
            <w:pPr>
              <w:spacing w:after="120"/>
              <w:jc w:val="both"/>
              <w:rPr>
                <w:rFonts w:ascii="Arial" w:hAnsi="Arial" w:cs="Arial"/>
              </w:rPr>
            </w:pPr>
            <w:r>
              <w:rPr>
                <w:rFonts w:ascii="Arial" w:hAnsi="Arial" w:cs="Arial"/>
              </w:rPr>
              <w:t>April 2015</w:t>
            </w:r>
          </w:p>
        </w:tc>
        <w:tc>
          <w:tcPr>
            <w:tcW w:w="1919" w:type="dxa"/>
          </w:tcPr>
          <w:p w:rsidR="00A53BF1" w:rsidRDefault="00A53BF1" w:rsidP="0008357E">
            <w:pPr>
              <w:spacing w:after="120"/>
              <w:jc w:val="both"/>
              <w:rPr>
                <w:rFonts w:ascii="Arial" w:hAnsi="Arial" w:cs="Arial"/>
              </w:rPr>
            </w:pPr>
            <w:r>
              <w:rPr>
                <w:rFonts w:ascii="Arial" w:hAnsi="Arial" w:cs="Arial"/>
              </w:rPr>
              <w:t>Ministry of Health</w:t>
            </w:r>
          </w:p>
          <w:p w:rsidR="00A53BF1" w:rsidRDefault="00A53BF1" w:rsidP="00320716">
            <w:pPr>
              <w:spacing w:after="120"/>
              <w:jc w:val="both"/>
              <w:rPr>
                <w:rFonts w:ascii="Arial" w:hAnsi="Arial" w:cs="Arial"/>
              </w:rPr>
            </w:pPr>
            <w:r>
              <w:rPr>
                <w:rFonts w:ascii="Arial" w:hAnsi="Arial" w:cs="Arial"/>
              </w:rPr>
              <w:t>Republican Center for Hygiene and Epidemiology</w:t>
            </w:r>
          </w:p>
          <w:p w:rsidR="00A53BF1" w:rsidRDefault="00A53BF1" w:rsidP="00320716">
            <w:pPr>
              <w:spacing w:after="120"/>
              <w:jc w:val="both"/>
              <w:rPr>
                <w:rFonts w:ascii="Arial" w:hAnsi="Arial" w:cs="Arial"/>
              </w:rPr>
            </w:pPr>
            <w:r>
              <w:rPr>
                <w:rFonts w:ascii="Arial" w:hAnsi="Arial" w:cs="Arial"/>
              </w:rPr>
              <w:t>Partners</w:t>
            </w:r>
          </w:p>
        </w:tc>
        <w:tc>
          <w:tcPr>
            <w:tcW w:w="1037" w:type="dxa"/>
          </w:tcPr>
          <w:p w:rsidR="00A53BF1" w:rsidRPr="003D7A0F" w:rsidRDefault="00A53BF1" w:rsidP="004345FA">
            <w:pPr>
              <w:spacing w:after="120"/>
              <w:jc w:val="both"/>
              <w:rPr>
                <w:rFonts w:ascii="Arial" w:hAnsi="Arial" w:cs="Arial"/>
                <w:highlight w:val="green"/>
              </w:rPr>
            </w:pPr>
            <w:r w:rsidRPr="003D7A0F">
              <w:rPr>
                <w:rFonts w:ascii="Arial" w:hAnsi="Arial" w:cs="Arial"/>
                <w:highlight w:val="green"/>
              </w:rPr>
              <w:t xml:space="preserve">  </w:t>
            </w:r>
            <w:r w:rsidR="004345FA" w:rsidRPr="003D7A0F">
              <w:rPr>
                <w:rFonts w:ascii="Arial" w:hAnsi="Arial" w:cs="Arial"/>
                <w:highlight w:val="green"/>
              </w:rPr>
              <w:t>10</w:t>
            </w:r>
            <w:r w:rsidRPr="003D7A0F">
              <w:rPr>
                <w:rFonts w:ascii="Arial" w:hAnsi="Arial" w:cs="Arial"/>
                <w:highlight w:val="green"/>
              </w:rPr>
              <w:t xml:space="preserve"> 000</w:t>
            </w:r>
          </w:p>
        </w:tc>
        <w:tc>
          <w:tcPr>
            <w:tcW w:w="1343" w:type="dxa"/>
          </w:tcPr>
          <w:p w:rsidR="00A53BF1" w:rsidRPr="003D7A0F" w:rsidRDefault="00A53BF1" w:rsidP="00320716">
            <w:pPr>
              <w:spacing w:after="120"/>
              <w:jc w:val="center"/>
              <w:rPr>
                <w:rFonts w:ascii="Arial" w:hAnsi="Arial" w:cs="Arial"/>
                <w:highlight w:val="green"/>
              </w:rPr>
            </w:pPr>
            <w:r w:rsidRPr="003D7A0F">
              <w:rPr>
                <w:rFonts w:ascii="Arial" w:hAnsi="Arial" w:cs="Arial"/>
                <w:highlight w:val="green"/>
              </w:rPr>
              <w:t>GAVI</w:t>
            </w:r>
          </w:p>
          <w:p w:rsidR="00A53BF1" w:rsidRPr="003D7A0F" w:rsidRDefault="00A53BF1" w:rsidP="00320716">
            <w:pPr>
              <w:spacing w:after="120"/>
              <w:jc w:val="center"/>
              <w:rPr>
                <w:rFonts w:ascii="Arial" w:hAnsi="Arial" w:cs="Arial"/>
                <w:highlight w:val="green"/>
              </w:rPr>
            </w:pPr>
            <w:r w:rsidRPr="003D7A0F">
              <w:rPr>
                <w:rFonts w:ascii="Arial" w:hAnsi="Arial" w:cs="Arial"/>
                <w:highlight w:val="green"/>
              </w:rPr>
              <w:t>IPV VIG</w:t>
            </w:r>
          </w:p>
        </w:tc>
      </w:tr>
      <w:tr w:rsidR="00A53BF1" w:rsidTr="00320716">
        <w:tc>
          <w:tcPr>
            <w:tcW w:w="392" w:type="dxa"/>
            <w:vMerge/>
          </w:tcPr>
          <w:p w:rsidR="00A53BF1" w:rsidRDefault="00A53BF1" w:rsidP="0008357E">
            <w:pPr>
              <w:spacing w:after="120"/>
              <w:jc w:val="both"/>
              <w:rPr>
                <w:rFonts w:ascii="Arial" w:hAnsi="Arial" w:cs="Arial"/>
              </w:rPr>
            </w:pPr>
          </w:p>
        </w:tc>
        <w:tc>
          <w:tcPr>
            <w:tcW w:w="1662" w:type="dxa"/>
            <w:vMerge/>
          </w:tcPr>
          <w:p w:rsidR="00A53BF1" w:rsidRDefault="00A53BF1" w:rsidP="0008357E">
            <w:pPr>
              <w:spacing w:after="120"/>
              <w:jc w:val="both"/>
              <w:rPr>
                <w:rFonts w:ascii="Arial" w:hAnsi="Arial" w:cs="Arial"/>
              </w:rPr>
            </w:pPr>
          </w:p>
        </w:tc>
        <w:tc>
          <w:tcPr>
            <w:tcW w:w="1550" w:type="dxa"/>
          </w:tcPr>
          <w:p w:rsidR="00A53BF1" w:rsidRDefault="00A53BF1" w:rsidP="0008357E">
            <w:pPr>
              <w:spacing w:after="120"/>
              <w:jc w:val="both"/>
              <w:rPr>
                <w:rFonts w:ascii="Arial" w:hAnsi="Arial" w:cs="Arial"/>
              </w:rPr>
            </w:pPr>
            <w:r>
              <w:rPr>
                <w:rFonts w:ascii="Arial" w:hAnsi="Arial" w:cs="Arial"/>
              </w:rPr>
              <w:t>KABP in focus groups</w:t>
            </w:r>
          </w:p>
        </w:tc>
        <w:tc>
          <w:tcPr>
            <w:tcW w:w="1673" w:type="dxa"/>
          </w:tcPr>
          <w:p w:rsidR="00A53BF1" w:rsidRDefault="00A53BF1" w:rsidP="0008357E">
            <w:pPr>
              <w:spacing w:after="120"/>
              <w:jc w:val="both"/>
              <w:rPr>
                <w:rFonts w:ascii="Arial" w:hAnsi="Arial" w:cs="Arial"/>
              </w:rPr>
            </w:pPr>
            <w:r>
              <w:rPr>
                <w:rFonts w:ascii="Arial" w:hAnsi="Arial" w:cs="Arial"/>
              </w:rPr>
              <w:t>Q1, 2015</w:t>
            </w:r>
          </w:p>
        </w:tc>
        <w:tc>
          <w:tcPr>
            <w:tcW w:w="1919" w:type="dxa"/>
          </w:tcPr>
          <w:p w:rsidR="00A53BF1" w:rsidRDefault="00A53BF1" w:rsidP="0008357E">
            <w:pPr>
              <w:spacing w:after="120"/>
              <w:jc w:val="both"/>
              <w:rPr>
                <w:rFonts w:ascii="Arial" w:hAnsi="Arial" w:cs="Arial"/>
              </w:rPr>
            </w:pPr>
            <w:r w:rsidRPr="00320716">
              <w:rPr>
                <w:rFonts w:ascii="Arial" w:hAnsi="Arial" w:cs="Arial"/>
              </w:rPr>
              <w:t>Republican Center for Hygiene and Epidemiology</w:t>
            </w:r>
          </w:p>
          <w:p w:rsidR="00A53BF1" w:rsidRDefault="00A53BF1" w:rsidP="00320716">
            <w:pPr>
              <w:spacing w:after="120"/>
              <w:jc w:val="both"/>
              <w:rPr>
                <w:rFonts w:ascii="Arial" w:hAnsi="Arial" w:cs="Arial"/>
              </w:rPr>
            </w:pPr>
            <w:r>
              <w:rPr>
                <w:rFonts w:ascii="Arial" w:hAnsi="Arial" w:cs="Arial"/>
              </w:rPr>
              <w:t xml:space="preserve">Public Health and Reform Center </w:t>
            </w:r>
          </w:p>
          <w:p w:rsidR="00A53BF1" w:rsidRDefault="00A53BF1" w:rsidP="00320716">
            <w:pPr>
              <w:spacing w:after="120"/>
              <w:jc w:val="both"/>
              <w:rPr>
                <w:rFonts w:ascii="Arial" w:hAnsi="Arial" w:cs="Arial"/>
              </w:rPr>
            </w:pPr>
            <w:r>
              <w:rPr>
                <w:rFonts w:ascii="Arial" w:hAnsi="Arial" w:cs="Arial"/>
              </w:rPr>
              <w:t>by WHO communication consultant support</w:t>
            </w:r>
          </w:p>
        </w:tc>
        <w:tc>
          <w:tcPr>
            <w:tcW w:w="1037" w:type="dxa"/>
          </w:tcPr>
          <w:p w:rsidR="00A53BF1" w:rsidRPr="003D7A0F" w:rsidRDefault="00A53BF1" w:rsidP="00A02D47">
            <w:pPr>
              <w:tabs>
                <w:tab w:val="left" w:pos="459"/>
              </w:tabs>
              <w:spacing w:after="120"/>
              <w:jc w:val="both"/>
              <w:rPr>
                <w:rFonts w:ascii="Arial" w:hAnsi="Arial" w:cs="Arial"/>
                <w:highlight w:val="green"/>
              </w:rPr>
            </w:pPr>
            <w:r w:rsidRPr="003D7A0F">
              <w:rPr>
                <w:rFonts w:ascii="Arial" w:hAnsi="Arial" w:cs="Arial"/>
                <w:highlight w:val="green"/>
              </w:rPr>
              <w:t xml:space="preserve">  </w:t>
            </w:r>
            <w:r w:rsidR="00A02D47" w:rsidRPr="003D7A0F">
              <w:rPr>
                <w:rFonts w:ascii="Arial" w:hAnsi="Arial" w:cs="Arial"/>
                <w:highlight w:val="green"/>
              </w:rPr>
              <w:t>5</w:t>
            </w:r>
            <w:r w:rsidRPr="003D7A0F">
              <w:rPr>
                <w:rFonts w:ascii="Arial" w:hAnsi="Arial" w:cs="Arial"/>
                <w:highlight w:val="green"/>
              </w:rPr>
              <w:t xml:space="preserve"> 000</w:t>
            </w:r>
          </w:p>
        </w:tc>
        <w:tc>
          <w:tcPr>
            <w:tcW w:w="1343" w:type="dxa"/>
          </w:tcPr>
          <w:p w:rsidR="00A53BF1" w:rsidRPr="003D7A0F" w:rsidRDefault="00A53BF1" w:rsidP="00320716">
            <w:pPr>
              <w:tabs>
                <w:tab w:val="left" w:pos="459"/>
              </w:tabs>
              <w:spacing w:after="120"/>
              <w:jc w:val="center"/>
              <w:rPr>
                <w:rFonts w:ascii="Arial" w:hAnsi="Arial" w:cs="Arial"/>
                <w:highlight w:val="green"/>
              </w:rPr>
            </w:pPr>
            <w:r w:rsidRPr="003D7A0F">
              <w:rPr>
                <w:rFonts w:ascii="Arial" w:hAnsi="Arial" w:cs="Arial"/>
                <w:highlight w:val="green"/>
              </w:rPr>
              <w:t>GAVI</w:t>
            </w:r>
          </w:p>
          <w:p w:rsidR="00A53BF1" w:rsidRPr="003D7A0F" w:rsidRDefault="00A53BF1" w:rsidP="00320716">
            <w:pPr>
              <w:tabs>
                <w:tab w:val="left" w:pos="459"/>
              </w:tabs>
              <w:spacing w:after="120"/>
              <w:jc w:val="center"/>
              <w:rPr>
                <w:rFonts w:ascii="Arial" w:hAnsi="Arial" w:cs="Arial"/>
                <w:highlight w:val="green"/>
              </w:rPr>
            </w:pPr>
            <w:r w:rsidRPr="003D7A0F">
              <w:rPr>
                <w:rFonts w:ascii="Arial" w:hAnsi="Arial" w:cs="Arial"/>
                <w:highlight w:val="green"/>
              </w:rPr>
              <w:t>IPV VIG</w:t>
            </w:r>
          </w:p>
        </w:tc>
      </w:tr>
      <w:tr w:rsidR="00A53BF1" w:rsidTr="00320716">
        <w:tc>
          <w:tcPr>
            <w:tcW w:w="392" w:type="dxa"/>
            <w:vMerge/>
          </w:tcPr>
          <w:p w:rsidR="00A53BF1" w:rsidRDefault="00A53BF1" w:rsidP="0008357E">
            <w:pPr>
              <w:spacing w:after="120"/>
              <w:jc w:val="both"/>
              <w:rPr>
                <w:rFonts w:ascii="Arial" w:hAnsi="Arial" w:cs="Arial"/>
              </w:rPr>
            </w:pPr>
          </w:p>
        </w:tc>
        <w:tc>
          <w:tcPr>
            <w:tcW w:w="1662" w:type="dxa"/>
            <w:vMerge/>
          </w:tcPr>
          <w:p w:rsidR="00A53BF1" w:rsidRDefault="00A53BF1" w:rsidP="0008357E">
            <w:pPr>
              <w:spacing w:after="120"/>
              <w:jc w:val="both"/>
              <w:rPr>
                <w:rFonts w:ascii="Arial" w:hAnsi="Arial" w:cs="Arial"/>
              </w:rPr>
            </w:pPr>
          </w:p>
        </w:tc>
        <w:tc>
          <w:tcPr>
            <w:tcW w:w="1550" w:type="dxa"/>
          </w:tcPr>
          <w:p w:rsidR="00A53BF1" w:rsidRDefault="00A53BF1" w:rsidP="0008357E">
            <w:pPr>
              <w:spacing w:after="120"/>
              <w:jc w:val="both"/>
              <w:rPr>
                <w:rFonts w:ascii="Arial" w:hAnsi="Arial" w:cs="Arial"/>
              </w:rPr>
            </w:pPr>
            <w:r>
              <w:rPr>
                <w:rFonts w:ascii="Arial" w:hAnsi="Arial" w:cs="Arial"/>
              </w:rPr>
              <w:t>Video spot on NIS</w:t>
            </w:r>
          </w:p>
        </w:tc>
        <w:tc>
          <w:tcPr>
            <w:tcW w:w="1673" w:type="dxa"/>
          </w:tcPr>
          <w:p w:rsidR="00A53BF1" w:rsidRDefault="00A53BF1" w:rsidP="0008357E">
            <w:pPr>
              <w:spacing w:after="120"/>
              <w:jc w:val="both"/>
              <w:rPr>
                <w:rFonts w:ascii="Arial" w:hAnsi="Arial" w:cs="Arial"/>
              </w:rPr>
            </w:pPr>
            <w:r>
              <w:rPr>
                <w:rFonts w:ascii="Arial" w:hAnsi="Arial" w:cs="Arial"/>
              </w:rPr>
              <w:t>Q2, 2015</w:t>
            </w:r>
          </w:p>
        </w:tc>
        <w:tc>
          <w:tcPr>
            <w:tcW w:w="1919" w:type="dxa"/>
          </w:tcPr>
          <w:p w:rsidR="00A53BF1" w:rsidRDefault="00A53BF1" w:rsidP="0008357E">
            <w:pPr>
              <w:spacing w:after="120"/>
              <w:jc w:val="both"/>
              <w:rPr>
                <w:rFonts w:ascii="Arial" w:hAnsi="Arial" w:cs="Arial"/>
              </w:rPr>
            </w:pPr>
            <w:r w:rsidRPr="00A53BF1">
              <w:rPr>
                <w:rFonts w:ascii="Arial" w:hAnsi="Arial" w:cs="Arial"/>
              </w:rPr>
              <w:t>Public Health and Reform Center</w:t>
            </w:r>
          </w:p>
        </w:tc>
        <w:tc>
          <w:tcPr>
            <w:tcW w:w="1037" w:type="dxa"/>
          </w:tcPr>
          <w:p w:rsidR="00A53BF1" w:rsidRPr="003D7A0F" w:rsidRDefault="00A53BF1" w:rsidP="0008357E">
            <w:pPr>
              <w:spacing w:after="120"/>
              <w:jc w:val="both"/>
              <w:rPr>
                <w:rFonts w:ascii="Arial" w:hAnsi="Arial" w:cs="Arial"/>
                <w:highlight w:val="green"/>
              </w:rPr>
            </w:pPr>
            <w:r w:rsidRPr="003D7A0F">
              <w:rPr>
                <w:rFonts w:ascii="Arial" w:hAnsi="Arial" w:cs="Arial"/>
                <w:highlight w:val="green"/>
              </w:rPr>
              <w:t>10 000</w:t>
            </w:r>
          </w:p>
        </w:tc>
        <w:tc>
          <w:tcPr>
            <w:tcW w:w="1343" w:type="dxa"/>
          </w:tcPr>
          <w:p w:rsidR="00A53BF1" w:rsidRPr="003D7A0F" w:rsidRDefault="00A53BF1" w:rsidP="00A53BF1">
            <w:pPr>
              <w:spacing w:after="120"/>
              <w:jc w:val="center"/>
              <w:rPr>
                <w:rFonts w:ascii="Arial" w:hAnsi="Arial" w:cs="Arial"/>
                <w:highlight w:val="green"/>
              </w:rPr>
            </w:pPr>
            <w:r w:rsidRPr="003D7A0F">
              <w:rPr>
                <w:rFonts w:ascii="Arial" w:hAnsi="Arial" w:cs="Arial"/>
                <w:highlight w:val="green"/>
              </w:rPr>
              <w:t>GAVI</w:t>
            </w:r>
          </w:p>
          <w:p w:rsidR="00A53BF1" w:rsidRPr="003D7A0F" w:rsidRDefault="00A53BF1" w:rsidP="00A53BF1">
            <w:pPr>
              <w:spacing w:after="120"/>
              <w:jc w:val="center"/>
              <w:rPr>
                <w:rFonts w:ascii="Arial" w:hAnsi="Arial" w:cs="Arial"/>
                <w:highlight w:val="green"/>
              </w:rPr>
            </w:pPr>
            <w:r w:rsidRPr="003D7A0F">
              <w:rPr>
                <w:rFonts w:ascii="Arial" w:hAnsi="Arial" w:cs="Arial"/>
                <w:highlight w:val="green"/>
              </w:rPr>
              <w:t>IPV VIG</w:t>
            </w:r>
          </w:p>
        </w:tc>
      </w:tr>
      <w:tr w:rsidR="009D1A91" w:rsidTr="00320716">
        <w:tc>
          <w:tcPr>
            <w:tcW w:w="392" w:type="dxa"/>
            <w:vMerge w:val="restart"/>
          </w:tcPr>
          <w:p w:rsidR="009D1A91" w:rsidRDefault="009D1A91" w:rsidP="0008357E">
            <w:pPr>
              <w:spacing w:after="120"/>
              <w:jc w:val="both"/>
              <w:rPr>
                <w:rFonts w:ascii="Arial" w:hAnsi="Arial" w:cs="Arial"/>
              </w:rPr>
            </w:pPr>
            <w:r>
              <w:rPr>
                <w:rFonts w:ascii="Arial" w:hAnsi="Arial" w:cs="Arial"/>
              </w:rPr>
              <w:t>6</w:t>
            </w:r>
          </w:p>
        </w:tc>
        <w:tc>
          <w:tcPr>
            <w:tcW w:w="1662" w:type="dxa"/>
            <w:vMerge w:val="restart"/>
          </w:tcPr>
          <w:p w:rsidR="009D1A91" w:rsidRDefault="009D1A91" w:rsidP="0008357E">
            <w:pPr>
              <w:spacing w:after="120"/>
              <w:jc w:val="both"/>
              <w:rPr>
                <w:rFonts w:ascii="Arial" w:hAnsi="Arial" w:cs="Arial"/>
              </w:rPr>
            </w:pPr>
            <w:r>
              <w:rPr>
                <w:rFonts w:ascii="Arial" w:hAnsi="Arial" w:cs="Arial"/>
              </w:rPr>
              <w:t xml:space="preserve">Monitoring and evaluation </w:t>
            </w:r>
          </w:p>
        </w:tc>
        <w:tc>
          <w:tcPr>
            <w:tcW w:w="1550" w:type="dxa"/>
          </w:tcPr>
          <w:p w:rsidR="009D1A91" w:rsidRDefault="009D1A91" w:rsidP="0008357E">
            <w:pPr>
              <w:spacing w:after="120"/>
              <w:jc w:val="both"/>
              <w:rPr>
                <w:rFonts w:ascii="Arial" w:hAnsi="Arial" w:cs="Arial"/>
              </w:rPr>
            </w:pPr>
            <w:r>
              <w:rPr>
                <w:rFonts w:ascii="Arial" w:hAnsi="Arial" w:cs="Arial"/>
              </w:rPr>
              <w:t xml:space="preserve">Pre vaccine introduction evaluation </w:t>
            </w:r>
          </w:p>
        </w:tc>
        <w:tc>
          <w:tcPr>
            <w:tcW w:w="1673" w:type="dxa"/>
          </w:tcPr>
          <w:p w:rsidR="009D1A91" w:rsidRDefault="009D1A91" w:rsidP="0008357E">
            <w:pPr>
              <w:spacing w:after="120"/>
              <w:jc w:val="both"/>
              <w:rPr>
                <w:rFonts w:ascii="Arial" w:hAnsi="Arial" w:cs="Arial"/>
              </w:rPr>
            </w:pPr>
            <w:r w:rsidRPr="00A53BF1">
              <w:rPr>
                <w:rFonts w:ascii="Arial" w:hAnsi="Arial" w:cs="Arial"/>
              </w:rPr>
              <w:t>Q2, 2015</w:t>
            </w:r>
          </w:p>
        </w:tc>
        <w:tc>
          <w:tcPr>
            <w:tcW w:w="1919" w:type="dxa"/>
          </w:tcPr>
          <w:p w:rsidR="009D1A91" w:rsidRDefault="009D1A91" w:rsidP="0008357E">
            <w:pPr>
              <w:spacing w:after="120"/>
              <w:jc w:val="both"/>
              <w:rPr>
                <w:rFonts w:ascii="Arial" w:hAnsi="Arial" w:cs="Arial"/>
              </w:rPr>
            </w:pPr>
            <w:r>
              <w:rPr>
                <w:rFonts w:ascii="Arial" w:hAnsi="Arial" w:cs="Arial"/>
              </w:rPr>
              <w:t>Ministry of Health</w:t>
            </w:r>
          </w:p>
          <w:p w:rsidR="009D1A91" w:rsidRDefault="009D1A91" w:rsidP="0008357E">
            <w:pPr>
              <w:spacing w:after="120"/>
              <w:jc w:val="both"/>
              <w:rPr>
                <w:rFonts w:ascii="Arial" w:hAnsi="Arial" w:cs="Arial"/>
              </w:rPr>
            </w:pPr>
            <w:r>
              <w:rPr>
                <w:rFonts w:ascii="Arial" w:hAnsi="Arial" w:cs="Arial"/>
              </w:rPr>
              <w:t>Republican Center for Hygiene and Epidemiology</w:t>
            </w:r>
          </w:p>
          <w:p w:rsidR="009D1A91" w:rsidRDefault="009D1A91" w:rsidP="0008357E">
            <w:pPr>
              <w:spacing w:after="120"/>
              <w:jc w:val="both"/>
              <w:rPr>
                <w:rFonts w:ascii="Arial" w:hAnsi="Arial" w:cs="Arial"/>
              </w:rPr>
            </w:pPr>
            <w:r>
              <w:rPr>
                <w:rFonts w:ascii="Arial" w:hAnsi="Arial" w:cs="Arial"/>
              </w:rPr>
              <w:t>by WHO support</w:t>
            </w:r>
          </w:p>
        </w:tc>
        <w:tc>
          <w:tcPr>
            <w:tcW w:w="1037" w:type="dxa"/>
          </w:tcPr>
          <w:p w:rsidR="009D1A91" w:rsidRDefault="009D1A91" w:rsidP="0008357E">
            <w:pPr>
              <w:spacing w:after="120"/>
              <w:jc w:val="both"/>
              <w:rPr>
                <w:rFonts w:ascii="Arial" w:hAnsi="Arial" w:cs="Arial"/>
              </w:rPr>
            </w:pPr>
            <w:r>
              <w:rPr>
                <w:rFonts w:ascii="Arial" w:hAnsi="Arial" w:cs="Arial"/>
              </w:rPr>
              <w:t>NA</w:t>
            </w:r>
          </w:p>
        </w:tc>
        <w:tc>
          <w:tcPr>
            <w:tcW w:w="1343" w:type="dxa"/>
          </w:tcPr>
          <w:p w:rsidR="009D1A91" w:rsidRDefault="009D1A91" w:rsidP="00A53BF1">
            <w:pPr>
              <w:spacing w:after="120"/>
              <w:jc w:val="center"/>
              <w:rPr>
                <w:rFonts w:ascii="Arial" w:hAnsi="Arial" w:cs="Arial"/>
              </w:rPr>
            </w:pPr>
            <w:r>
              <w:rPr>
                <w:rFonts w:ascii="Arial" w:hAnsi="Arial" w:cs="Arial"/>
              </w:rPr>
              <w:t>WHO</w:t>
            </w:r>
          </w:p>
          <w:p w:rsidR="009D1A91" w:rsidRDefault="009D1A91" w:rsidP="00A53BF1">
            <w:pPr>
              <w:spacing w:after="120"/>
              <w:jc w:val="center"/>
              <w:rPr>
                <w:rFonts w:ascii="Arial" w:hAnsi="Arial" w:cs="Arial"/>
              </w:rPr>
            </w:pPr>
            <w:r>
              <w:rPr>
                <w:rFonts w:ascii="Arial" w:hAnsi="Arial" w:cs="Arial"/>
              </w:rPr>
              <w:t>jointly with PCV PIE</w:t>
            </w:r>
          </w:p>
        </w:tc>
      </w:tr>
      <w:tr w:rsidR="009D1A91" w:rsidTr="00320716">
        <w:tc>
          <w:tcPr>
            <w:tcW w:w="392" w:type="dxa"/>
            <w:vMerge/>
          </w:tcPr>
          <w:p w:rsidR="009D1A91" w:rsidRDefault="009D1A91" w:rsidP="0008357E">
            <w:pPr>
              <w:spacing w:after="120"/>
              <w:jc w:val="both"/>
              <w:rPr>
                <w:rFonts w:ascii="Arial" w:hAnsi="Arial" w:cs="Arial"/>
              </w:rPr>
            </w:pPr>
          </w:p>
        </w:tc>
        <w:tc>
          <w:tcPr>
            <w:tcW w:w="1662" w:type="dxa"/>
            <w:vMerge/>
          </w:tcPr>
          <w:p w:rsidR="009D1A91" w:rsidRDefault="009D1A91" w:rsidP="0008357E">
            <w:pPr>
              <w:spacing w:after="120"/>
              <w:jc w:val="both"/>
              <w:rPr>
                <w:rFonts w:ascii="Arial" w:hAnsi="Arial" w:cs="Arial"/>
              </w:rPr>
            </w:pPr>
          </w:p>
        </w:tc>
        <w:tc>
          <w:tcPr>
            <w:tcW w:w="1550" w:type="dxa"/>
          </w:tcPr>
          <w:p w:rsidR="009D1A91" w:rsidRDefault="009D1A91" w:rsidP="00A53BF1">
            <w:pPr>
              <w:spacing w:after="120"/>
              <w:jc w:val="both"/>
              <w:rPr>
                <w:rFonts w:ascii="Arial" w:hAnsi="Arial" w:cs="Arial"/>
              </w:rPr>
            </w:pPr>
            <w:r>
              <w:rPr>
                <w:rFonts w:ascii="Arial" w:hAnsi="Arial" w:cs="Arial"/>
              </w:rPr>
              <w:t xml:space="preserve">Monitoring of IPV introduction </w:t>
            </w:r>
          </w:p>
        </w:tc>
        <w:tc>
          <w:tcPr>
            <w:tcW w:w="1673" w:type="dxa"/>
          </w:tcPr>
          <w:p w:rsidR="009D1A91" w:rsidRDefault="009D1A91" w:rsidP="0008357E">
            <w:pPr>
              <w:spacing w:after="120"/>
              <w:jc w:val="both"/>
              <w:rPr>
                <w:rFonts w:ascii="Arial" w:hAnsi="Arial" w:cs="Arial"/>
              </w:rPr>
            </w:pPr>
            <w:r>
              <w:rPr>
                <w:rFonts w:ascii="Arial" w:hAnsi="Arial" w:cs="Arial"/>
              </w:rPr>
              <w:t>September-October 2015</w:t>
            </w:r>
          </w:p>
        </w:tc>
        <w:tc>
          <w:tcPr>
            <w:tcW w:w="1919" w:type="dxa"/>
          </w:tcPr>
          <w:p w:rsidR="009D1A91" w:rsidRPr="00A53BF1" w:rsidRDefault="009D1A91" w:rsidP="00A53BF1">
            <w:pPr>
              <w:spacing w:after="120"/>
              <w:jc w:val="both"/>
              <w:rPr>
                <w:rFonts w:ascii="Arial" w:hAnsi="Arial" w:cs="Arial"/>
              </w:rPr>
            </w:pPr>
            <w:r w:rsidRPr="00A53BF1">
              <w:rPr>
                <w:rFonts w:ascii="Arial" w:hAnsi="Arial" w:cs="Arial"/>
              </w:rPr>
              <w:t>Republican Center for Hygiene and Epidemiology</w:t>
            </w:r>
          </w:p>
          <w:p w:rsidR="009D1A91" w:rsidRDefault="009D1A91" w:rsidP="00A53BF1">
            <w:pPr>
              <w:spacing w:after="120"/>
              <w:jc w:val="both"/>
              <w:rPr>
                <w:rFonts w:ascii="Arial" w:hAnsi="Arial" w:cs="Arial"/>
              </w:rPr>
            </w:pPr>
            <w:r w:rsidRPr="00A53BF1">
              <w:rPr>
                <w:rFonts w:ascii="Arial" w:hAnsi="Arial" w:cs="Arial"/>
              </w:rPr>
              <w:t>by WHO support</w:t>
            </w:r>
          </w:p>
        </w:tc>
        <w:tc>
          <w:tcPr>
            <w:tcW w:w="1037" w:type="dxa"/>
          </w:tcPr>
          <w:p w:rsidR="009D1A91" w:rsidRPr="003D7A0F" w:rsidRDefault="009D1A91" w:rsidP="00A02D47">
            <w:pPr>
              <w:spacing w:after="120"/>
              <w:jc w:val="both"/>
              <w:rPr>
                <w:rFonts w:ascii="Arial" w:hAnsi="Arial" w:cs="Arial"/>
                <w:highlight w:val="green"/>
              </w:rPr>
            </w:pPr>
            <w:r w:rsidRPr="003D7A0F">
              <w:rPr>
                <w:rFonts w:ascii="Arial" w:hAnsi="Arial" w:cs="Arial"/>
                <w:highlight w:val="green"/>
              </w:rPr>
              <w:t>15 500</w:t>
            </w:r>
          </w:p>
        </w:tc>
        <w:tc>
          <w:tcPr>
            <w:tcW w:w="1343" w:type="dxa"/>
          </w:tcPr>
          <w:p w:rsidR="009D1A91" w:rsidRPr="003D7A0F" w:rsidRDefault="009D1A91" w:rsidP="00A53BF1">
            <w:pPr>
              <w:spacing w:after="120"/>
              <w:jc w:val="center"/>
              <w:rPr>
                <w:rFonts w:ascii="Arial" w:hAnsi="Arial" w:cs="Arial"/>
                <w:highlight w:val="green"/>
              </w:rPr>
            </w:pPr>
            <w:r w:rsidRPr="003D7A0F">
              <w:rPr>
                <w:rFonts w:ascii="Arial" w:hAnsi="Arial" w:cs="Arial"/>
                <w:highlight w:val="green"/>
              </w:rPr>
              <w:t>GAVI</w:t>
            </w:r>
          </w:p>
          <w:p w:rsidR="009D1A91" w:rsidRPr="003D7A0F" w:rsidRDefault="009D1A91" w:rsidP="00A53BF1">
            <w:pPr>
              <w:spacing w:after="120"/>
              <w:jc w:val="center"/>
              <w:rPr>
                <w:rFonts w:ascii="Arial" w:hAnsi="Arial" w:cs="Arial"/>
                <w:highlight w:val="green"/>
              </w:rPr>
            </w:pPr>
            <w:r w:rsidRPr="003D7A0F">
              <w:rPr>
                <w:rFonts w:ascii="Arial" w:hAnsi="Arial" w:cs="Arial"/>
                <w:highlight w:val="green"/>
              </w:rPr>
              <w:t>IPV VIG</w:t>
            </w:r>
          </w:p>
        </w:tc>
      </w:tr>
      <w:tr w:rsidR="009D1A91" w:rsidTr="00320716">
        <w:tc>
          <w:tcPr>
            <w:tcW w:w="392" w:type="dxa"/>
            <w:vMerge/>
          </w:tcPr>
          <w:p w:rsidR="009D1A91" w:rsidRDefault="009D1A91" w:rsidP="0008357E">
            <w:pPr>
              <w:spacing w:after="120"/>
              <w:jc w:val="both"/>
              <w:rPr>
                <w:rFonts w:ascii="Arial" w:hAnsi="Arial" w:cs="Arial"/>
              </w:rPr>
            </w:pPr>
          </w:p>
        </w:tc>
        <w:tc>
          <w:tcPr>
            <w:tcW w:w="1662" w:type="dxa"/>
            <w:vMerge/>
          </w:tcPr>
          <w:p w:rsidR="009D1A91" w:rsidRDefault="009D1A91" w:rsidP="0008357E">
            <w:pPr>
              <w:spacing w:after="120"/>
              <w:jc w:val="both"/>
              <w:rPr>
                <w:rFonts w:ascii="Arial" w:hAnsi="Arial" w:cs="Arial"/>
              </w:rPr>
            </w:pPr>
          </w:p>
        </w:tc>
        <w:tc>
          <w:tcPr>
            <w:tcW w:w="1550" w:type="dxa"/>
          </w:tcPr>
          <w:p w:rsidR="009D1A91" w:rsidRDefault="009D1A91" w:rsidP="0008357E">
            <w:pPr>
              <w:spacing w:after="120"/>
              <w:jc w:val="both"/>
              <w:rPr>
                <w:rFonts w:ascii="Arial" w:hAnsi="Arial" w:cs="Arial"/>
              </w:rPr>
            </w:pPr>
            <w:r>
              <w:rPr>
                <w:rFonts w:ascii="Arial" w:hAnsi="Arial" w:cs="Arial"/>
              </w:rPr>
              <w:t>Supportive supervision to low performing</w:t>
            </w:r>
          </w:p>
          <w:p w:rsidR="009D1A91" w:rsidRDefault="009D1A91" w:rsidP="0008357E">
            <w:pPr>
              <w:spacing w:after="120"/>
              <w:jc w:val="both"/>
              <w:rPr>
                <w:rFonts w:ascii="Arial" w:hAnsi="Arial" w:cs="Arial"/>
              </w:rPr>
            </w:pPr>
            <w:r>
              <w:rPr>
                <w:rFonts w:ascii="Arial" w:hAnsi="Arial" w:cs="Arial"/>
              </w:rPr>
              <w:t>districts</w:t>
            </w:r>
          </w:p>
        </w:tc>
        <w:tc>
          <w:tcPr>
            <w:tcW w:w="1673" w:type="dxa"/>
          </w:tcPr>
          <w:p w:rsidR="009D1A91" w:rsidRDefault="009D1A91" w:rsidP="0008357E">
            <w:pPr>
              <w:spacing w:after="120"/>
              <w:jc w:val="both"/>
              <w:rPr>
                <w:rFonts w:ascii="Arial" w:hAnsi="Arial" w:cs="Arial"/>
              </w:rPr>
            </w:pPr>
            <w:r>
              <w:rPr>
                <w:rFonts w:ascii="Arial" w:hAnsi="Arial" w:cs="Arial"/>
              </w:rPr>
              <w:t>November- December 2015</w:t>
            </w:r>
          </w:p>
        </w:tc>
        <w:tc>
          <w:tcPr>
            <w:tcW w:w="1919" w:type="dxa"/>
          </w:tcPr>
          <w:p w:rsidR="009D1A91" w:rsidRDefault="009D1A91" w:rsidP="0008357E">
            <w:pPr>
              <w:spacing w:after="120"/>
              <w:jc w:val="both"/>
              <w:rPr>
                <w:rFonts w:ascii="Arial" w:hAnsi="Arial" w:cs="Arial"/>
              </w:rPr>
            </w:pPr>
            <w:r w:rsidRPr="00A53BF1">
              <w:rPr>
                <w:rFonts w:ascii="Arial" w:hAnsi="Arial" w:cs="Arial"/>
              </w:rPr>
              <w:t>Republican Center for Hygiene and Epidemiology</w:t>
            </w:r>
            <w:bookmarkStart w:id="2" w:name="_GoBack"/>
            <w:bookmarkEnd w:id="2"/>
          </w:p>
        </w:tc>
        <w:tc>
          <w:tcPr>
            <w:tcW w:w="1037" w:type="dxa"/>
          </w:tcPr>
          <w:p w:rsidR="009D1A91" w:rsidRPr="003D7A0F" w:rsidRDefault="009D1A91" w:rsidP="00A02D47">
            <w:pPr>
              <w:spacing w:after="120"/>
              <w:jc w:val="both"/>
              <w:rPr>
                <w:rFonts w:ascii="Arial" w:hAnsi="Arial" w:cs="Arial"/>
                <w:highlight w:val="green"/>
              </w:rPr>
            </w:pPr>
            <w:r w:rsidRPr="003D7A0F">
              <w:rPr>
                <w:rFonts w:ascii="Arial" w:hAnsi="Arial" w:cs="Arial"/>
                <w:highlight w:val="green"/>
              </w:rPr>
              <w:t>15 500</w:t>
            </w:r>
          </w:p>
        </w:tc>
        <w:tc>
          <w:tcPr>
            <w:tcW w:w="1343" w:type="dxa"/>
          </w:tcPr>
          <w:p w:rsidR="009D1A91" w:rsidRPr="003D7A0F" w:rsidRDefault="009D1A91" w:rsidP="004345FA">
            <w:pPr>
              <w:spacing w:after="120"/>
              <w:jc w:val="center"/>
              <w:rPr>
                <w:rFonts w:ascii="Arial" w:hAnsi="Arial" w:cs="Arial"/>
                <w:highlight w:val="green"/>
              </w:rPr>
            </w:pPr>
            <w:r w:rsidRPr="003D7A0F">
              <w:rPr>
                <w:rFonts w:ascii="Arial" w:hAnsi="Arial" w:cs="Arial"/>
                <w:highlight w:val="green"/>
              </w:rPr>
              <w:t>GAVI</w:t>
            </w:r>
          </w:p>
          <w:p w:rsidR="009D1A91" w:rsidRPr="003D7A0F" w:rsidRDefault="009D1A91" w:rsidP="004345FA">
            <w:pPr>
              <w:spacing w:after="120"/>
              <w:jc w:val="center"/>
              <w:rPr>
                <w:rFonts w:ascii="Arial" w:hAnsi="Arial" w:cs="Arial"/>
                <w:highlight w:val="green"/>
              </w:rPr>
            </w:pPr>
            <w:r w:rsidRPr="003D7A0F">
              <w:rPr>
                <w:rFonts w:ascii="Arial" w:hAnsi="Arial" w:cs="Arial"/>
                <w:highlight w:val="green"/>
              </w:rPr>
              <w:t>IPV VIG</w:t>
            </w:r>
          </w:p>
        </w:tc>
      </w:tr>
      <w:tr w:rsidR="009D1A91" w:rsidTr="00320716">
        <w:tc>
          <w:tcPr>
            <w:tcW w:w="392" w:type="dxa"/>
            <w:vMerge/>
          </w:tcPr>
          <w:p w:rsidR="009D1A91" w:rsidRDefault="009D1A91" w:rsidP="0008357E">
            <w:pPr>
              <w:spacing w:after="120"/>
              <w:jc w:val="both"/>
              <w:rPr>
                <w:rFonts w:ascii="Arial" w:hAnsi="Arial" w:cs="Arial"/>
              </w:rPr>
            </w:pPr>
          </w:p>
        </w:tc>
        <w:tc>
          <w:tcPr>
            <w:tcW w:w="1662" w:type="dxa"/>
            <w:vMerge/>
          </w:tcPr>
          <w:p w:rsidR="009D1A91" w:rsidRDefault="009D1A91" w:rsidP="0008357E">
            <w:pPr>
              <w:spacing w:after="120"/>
              <w:jc w:val="both"/>
              <w:rPr>
                <w:rFonts w:ascii="Arial" w:hAnsi="Arial" w:cs="Arial"/>
              </w:rPr>
            </w:pPr>
          </w:p>
        </w:tc>
        <w:tc>
          <w:tcPr>
            <w:tcW w:w="1550" w:type="dxa"/>
          </w:tcPr>
          <w:p w:rsidR="009D1A91" w:rsidRDefault="009D1A91" w:rsidP="0008357E">
            <w:pPr>
              <w:spacing w:after="120"/>
              <w:jc w:val="both"/>
              <w:rPr>
                <w:rFonts w:ascii="Arial" w:hAnsi="Arial" w:cs="Arial"/>
              </w:rPr>
            </w:pPr>
            <w:r>
              <w:rPr>
                <w:rFonts w:ascii="Arial" w:hAnsi="Arial" w:cs="Arial"/>
              </w:rPr>
              <w:t>IPV PIE</w:t>
            </w:r>
          </w:p>
        </w:tc>
        <w:tc>
          <w:tcPr>
            <w:tcW w:w="1673" w:type="dxa"/>
          </w:tcPr>
          <w:p w:rsidR="009D1A91" w:rsidRDefault="009D1A91" w:rsidP="0008357E">
            <w:pPr>
              <w:spacing w:after="120"/>
              <w:jc w:val="both"/>
              <w:rPr>
                <w:rFonts w:ascii="Arial" w:hAnsi="Arial" w:cs="Arial"/>
              </w:rPr>
            </w:pPr>
            <w:r>
              <w:rPr>
                <w:rFonts w:ascii="Arial" w:hAnsi="Arial" w:cs="Arial"/>
              </w:rPr>
              <w:t>Q3, 2016</w:t>
            </w:r>
          </w:p>
        </w:tc>
        <w:tc>
          <w:tcPr>
            <w:tcW w:w="1919" w:type="dxa"/>
          </w:tcPr>
          <w:p w:rsidR="009D1A91" w:rsidRPr="00500B3F" w:rsidRDefault="009D1A91" w:rsidP="00500B3F">
            <w:pPr>
              <w:spacing w:after="120"/>
              <w:jc w:val="both"/>
              <w:rPr>
                <w:rFonts w:ascii="Arial" w:hAnsi="Arial" w:cs="Arial"/>
              </w:rPr>
            </w:pPr>
            <w:r w:rsidRPr="00500B3F">
              <w:rPr>
                <w:rFonts w:ascii="Arial" w:hAnsi="Arial" w:cs="Arial"/>
              </w:rPr>
              <w:t>Ministry of Health</w:t>
            </w:r>
          </w:p>
          <w:p w:rsidR="009D1A91" w:rsidRPr="00500B3F" w:rsidRDefault="009D1A91" w:rsidP="00500B3F">
            <w:pPr>
              <w:spacing w:after="120"/>
              <w:jc w:val="both"/>
              <w:rPr>
                <w:rFonts w:ascii="Arial" w:hAnsi="Arial" w:cs="Arial"/>
              </w:rPr>
            </w:pPr>
            <w:r w:rsidRPr="00500B3F">
              <w:rPr>
                <w:rFonts w:ascii="Arial" w:hAnsi="Arial" w:cs="Arial"/>
              </w:rPr>
              <w:t>Republican Center for Hygiene and Epidemiology</w:t>
            </w:r>
          </w:p>
          <w:p w:rsidR="009D1A91" w:rsidRDefault="009D1A91" w:rsidP="00500B3F">
            <w:pPr>
              <w:spacing w:after="120"/>
              <w:jc w:val="both"/>
              <w:rPr>
                <w:rFonts w:ascii="Arial" w:hAnsi="Arial" w:cs="Arial"/>
              </w:rPr>
            </w:pPr>
            <w:r w:rsidRPr="00500B3F">
              <w:rPr>
                <w:rFonts w:ascii="Arial" w:hAnsi="Arial" w:cs="Arial"/>
              </w:rPr>
              <w:t>by WHO support</w:t>
            </w:r>
          </w:p>
        </w:tc>
        <w:tc>
          <w:tcPr>
            <w:tcW w:w="1037" w:type="dxa"/>
          </w:tcPr>
          <w:p w:rsidR="009D1A91" w:rsidRDefault="009D1A91" w:rsidP="0008357E">
            <w:pPr>
              <w:spacing w:after="120"/>
              <w:jc w:val="both"/>
              <w:rPr>
                <w:rFonts w:ascii="Arial" w:hAnsi="Arial" w:cs="Arial"/>
              </w:rPr>
            </w:pPr>
            <w:r>
              <w:rPr>
                <w:rFonts w:ascii="Arial" w:hAnsi="Arial" w:cs="Arial"/>
              </w:rPr>
              <w:t>TBC</w:t>
            </w:r>
          </w:p>
        </w:tc>
        <w:tc>
          <w:tcPr>
            <w:tcW w:w="1343" w:type="dxa"/>
          </w:tcPr>
          <w:p w:rsidR="009D1A91" w:rsidRDefault="009D1A91" w:rsidP="00500B3F">
            <w:pPr>
              <w:spacing w:after="120"/>
              <w:jc w:val="center"/>
              <w:rPr>
                <w:rFonts w:ascii="Arial" w:hAnsi="Arial" w:cs="Arial"/>
              </w:rPr>
            </w:pPr>
            <w:r>
              <w:rPr>
                <w:rFonts w:ascii="Arial" w:hAnsi="Arial" w:cs="Arial"/>
              </w:rPr>
              <w:t>WHO</w:t>
            </w:r>
          </w:p>
        </w:tc>
      </w:tr>
    </w:tbl>
    <w:p w:rsidR="0008357E" w:rsidRDefault="0008357E" w:rsidP="006E098C">
      <w:pPr>
        <w:spacing w:after="120"/>
        <w:jc w:val="both"/>
        <w:rPr>
          <w:rFonts w:ascii="Arial" w:hAnsi="Arial" w:cs="Arial"/>
          <w:sz w:val="20"/>
          <w:szCs w:val="20"/>
        </w:rPr>
      </w:pPr>
    </w:p>
    <w:sectPr w:rsidR="0008357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F80" w:rsidRDefault="007D7F80" w:rsidP="00904BD7">
      <w:pPr>
        <w:spacing w:after="0" w:line="240" w:lineRule="auto"/>
      </w:pPr>
      <w:r>
        <w:separator/>
      </w:r>
    </w:p>
  </w:endnote>
  <w:endnote w:type="continuationSeparator" w:id="0">
    <w:p w:rsidR="007D7F80" w:rsidRDefault="007D7F80" w:rsidP="00904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479934"/>
      <w:docPartObj>
        <w:docPartGallery w:val="Page Numbers (Bottom of Page)"/>
        <w:docPartUnique/>
      </w:docPartObj>
    </w:sdtPr>
    <w:sdtEndPr>
      <w:rPr>
        <w:color w:val="808080" w:themeColor="background1" w:themeShade="80"/>
        <w:spacing w:val="60"/>
      </w:rPr>
    </w:sdtEndPr>
    <w:sdtContent>
      <w:p w:rsidR="00C84638" w:rsidRDefault="00C84638">
        <w:pPr>
          <w:pStyle w:val="Footer"/>
          <w:pBdr>
            <w:top w:val="single" w:sz="4" w:space="1" w:color="D9D9D9" w:themeColor="background1" w:themeShade="D9"/>
          </w:pBdr>
          <w:jc w:val="right"/>
        </w:pPr>
        <w:r>
          <w:fldChar w:fldCharType="begin"/>
        </w:r>
        <w:r>
          <w:instrText xml:space="preserve"> PAGE   \* MERGEFORMAT </w:instrText>
        </w:r>
        <w:r>
          <w:fldChar w:fldCharType="separate"/>
        </w:r>
        <w:r w:rsidR="003D7A0F">
          <w:rPr>
            <w:noProof/>
          </w:rPr>
          <w:t>19</w:t>
        </w:r>
        <w:r>
          <w:rPr>
            <w:noProof/>
          </w:rPr>
          <w:fldChar w:fldCharType="end"/>
        </w:r>
        <w:r>
          <w:t xml:space="preserve"> | </w:t>
        </w:r>
        <w:r>
          <w:rPr>
            <w:color w:val="808080" w:themeColor="background1" w:themeShade="80"/>
            <w:spacing w:val="60"/>
          </w:rPr>
          <w:t>Page</w:t>
        </w:r>
      </w:p>
    </w:sdtContent>
  </w:sdt>
  <w:p w:rsidR="00C84638" w:rsidRDefault="00C84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F80" w:rsidRDefault="007D7F80" w:rsidP="00904BD7">
      <w:pPr>
        <w:spacing w:after="0" w:line="240" w:lineRule="auto"/>
      </w:pPr>
      <w:r>
        <w:separator/>
      </w:r>
    </w:p>
  </w:footnote>
  <w:footnote w:type="continuationSeparator" w:id="0">
    <w:p w:rsidR="007D7F80" w:rsidRDefault="007D7F80" w:rsidP="00904B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F980"/>
      </v:shape>
    </w:pict>
  </w:numPicBullet>
  <w:abstractNum w:abstractNumId="0">
    <w:nsid w:val="02D26879"/>
    <w:multiLevelType w:val="multilevel"/>
    <w:tmpl w:val="755014A0"/>
    <w:lvl w:ilvl="0">
      <w:start w:val="1"/>
      <w:numFmt w:val="decimal"/>
      <w:lvlText w:val="%1."/>
      <w:lvlJc w:val="left"/>
      <w:pPr>
        <w:ind w:left="446" w:hanging="360"/>
      </w:pPr>
      <w:rPr>
        <w:rFonts w:hint="default"/>
      </w:rPr>
    </w:lvl>
    <w:lvl w:ilvl="1">
      <w:start w:val="1"/>
      <w:numFmt w:val="decimal"/>
      <w:isLgl/>
      <w:lvlText w:val="%1.%2"/>
      <w:lvlJc w:val="left"/>
      <w:pPr>
        <w:ind w:left="446" w:hanging="360"/>
      </w:pPr>
      <w:rPr>
        <w:rFonts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1">
    <w:nsid w:val="02DA06A1"/>
    <w:multiLevelType w:val="multilevel"/>
    <w:tmpl w:val="465810B6"/>
    <w:lvl w:ilvl="0">
      <w:start w:val="5"/>
      <w:numFmt w:val="decimal"/>
      <w:lvlText w:val="%1"/>
      <w:lvlJc w:val="left"/>
      <w:pPr>
        <w:ind w:left="360" w:hanging="360"/>
      </w:pPr>
      <w:rPr>
        <w:rFonts w:hint="default"/>
      </w:rPr>
    </w:lvl>
    <w:lvl w:ilvl="1">
      <w:start w:val="2"/>
      <w:numFmt w:val="decimal"/>
      <w:lvlText w:val="%1.%2"/>
      <w:lvlJc w:val="left"/>
      <w:pPr>
        <w:ind w:left="420" w:hanging="360"/>
      </w:pPr>
      <w:rPr>
        <w:rFonts w:hint="default"/>
        <w:b w:val="0"/>
        <w:sz w:val="20"/>
        <w:szCs w:val="20"/>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
    <w:nsid w:val="0831703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92C204F"/>
    <w:multiLevelType w:val="hybridMultilevel"/>
    <w:tmpl w:val="73D8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E76F78"/>
    <w:multiLevelType w:val="hybridMultilevel"/>
    <w:tmpl w:val="525CFA22"/>
    <w:lvl w:ilvl="0" w:tplc="04090005">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
    <w:nsid w:val="1A816A8D"/>
    <w:multiLevelType w:val="multilevel"/>
    <w:tmpl w:val="749ACB4E"/>
    <w:lvl w:ilvl="0">
      <w:start w:val="2"/>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6">
    <w:nsid w:val="1BB4732E"/>
    <w:multiLevelType w:val="hybridMultilevel"/>
    <w:tmpl w:val="A1107896"/>
    <w:lvl w:ilvl="0" w:tplc="B0AE9D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5227A0"/>
    <w:multiLevelType w:val="multilevel"/>
    <w:tmpl w:val="A3FEC8CC"/>
    <w:lvl w:ilvl="0">
      <w:start w:val="1"/>
      <w:numFmt w:val="bullet"/>
      <w:lvlText w:val=""/>
      <w:lvlJc w:val="left"/>
      <w:pPr>
        <w:ind w:left="446" w:hanging="360"/>
      </w:pPr>
      <w:rPr>
        <w:rFonts w:ascii="Wingdings" w:hAnsi="Wingdings" w:hint="default"/>
      </w:rPr>
    </w:lvl>
    <w:lvl w:ilvl="1">
      <w:start w:val="1"/>
      <w:numFmt w:val="decimal"/>
      <w:isLgl/>
      <w:lvlText w:val="%1.%2"/>
      <w:lvlJc w:val="left"/>
      <w:pPr>
        <w:ind w:left="446" w:hanging="360"/>
      </w:pPr>
      <w:rPr>
        <w:rFonts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8">
    <w:nsid w:val="29FE23C3"/>
    <w:multiLevelType w:val="hybridMultilevel"/>
    <w:tmpl w:val="9168BB5A"/>
    <w:lvl w:ilvl="0" w:tplc="9C8E6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B05C19"/>
    <w:multiLevelType w:val="hybridMultilevel"/>
    <w:tmpl w:val="C81E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D8284A"/>
    <w:multiLevelType w:val="hybridMultilevel"/>
    <w:tmpl w:val="C82E1862"/>
    <w:lvl w:ilvl="0" w:tplc="A5FAEAC0">
      <w:start w:val="1"/>
      <w:numFmt w:val="bullet"/>
      <w:lvlText w:val=""/>
      <w:lvlJc w:val="left"/>
      <w:pPr>
        <w:ind w:left="720" w:hanging="360"/>
      </w:pPr>
      <w:rPr>
        <w:rFonts w:ascii="Symbol" w:hAnsi="Symbol" w:cs="Symbol" w:hint="default"/>
        <w:color w:val="0000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A20170"/>
    <w:multiLevelType w:val="hybridMultilevel"/>
    <w:tmpl w:val="83A6F4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A33377"/>
    <w:multiLevelType w:val="hybridMultilevel"/>
    <w:tmpl w:val="4A680AC6"/>
    <w:lvl w:ilvl="0" w:tplc="CC4E7F4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BA0DC5"/>
    <w:multiLevelType w:val="multilevel"/>
    <w:tmpl w:val="87C62A5C"/>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3E243D57"/>
    <w:multiLevelType w:val="hybridMultilevel"/>
    <w:tmpl w:val="CBD2B4A4"/>
    <w:lvl w:ilvl="0" w:tplc="04090005">
      <w:start w:val="1"/>
      <w:numFmt w:val="bullet"/>
      <w:lvlText w:val=""/>
      <w:lvlJc w:val="left"/>
      <w:pPr>
        <w:ind w:left="720" w:hanging="360"/>
      </w:pPr>
      <w:rPr>
        <w:rFonts w:ascii="Wingdings" w:hAnsi="Wingdings"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F260AC"/>
    <w:multiLevelType w:val="hybridMultilevel"/>
    <w:tmpl w:val="75248642"/>
    <w:lvl w:ilvl="0" w:tplc="68261058">
      <w:start w:val="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B80149"/>
    <w:multiLevelType w:val="multilevel"/>
    <w:tmpl w:val="EE4EE9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5DB1C25"/>
    <w:multiLevelType w:val="multilevel"/>
    <w:tmpl w:val="B922FAA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47606128"/>
    <w:multiLevelType w:val="hybridMultilevel"/>
    <w:tmpl w:val="E8D029EE"/>
    <w:lvl w:ilvl="0" w:tplc="04090005">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9">
    <w:nsid w:val="4B901F00"/>
    <w:multiLevelType w:val="hybridMultilevel"/>
    <w:tmpl w:val="DD022C18"/>
    <w:lvl w:ilvl="0" w:tplc="04090005">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0">
    <w:nsid w:val="50AC28ED"/>
    <w:multiLevelType w:val="hybridMultilevel"/>
    <w:tmpl w:val="51A2071A"/>
    <w:lvl w:ilvl="0" w:tplc="04090005">
      <w:start w:val="1"/>
      <w:numFmt w:val="bullet"/>
      <w:lvlText w:val=""/>
      <w:lvlJc w:val="left"/>
      <w:pPr>
        <w:ind w:left="438" w:hanging="360"/>
      </w:pPr>
      <w:rPr>
        <w:rFonts w:ascii="Wingdings" w:hAnsi="Wingdings" w:hint="default"/>
      </w:rPr>
    </w:lvl>
    <w:lvl w:ilvl="1" w:tplc="04090003">
      <w:start w:val="1"/>
      <w:numFmt w:val="bullet"/>
      <w:lvlText w:val="o"/>
      <w:lvlJc w:val="left"/>
      <w:pPr>
        <w:ind w:left="1158" w:hanging="360"/>
      </w:pPr>
      <w:rPr>
        <w:rFonts w:ascii="Courier New" w:hAnsi="Courier New" w:cs="Courier New" w:hint="default"/>
      </w:rPr>
    </w:lvl>
    <w:lvl w:ilvl="2" w:tplc="04090005" w:tentative="1">
      <w:start w:val="1"/>
      <w:numFmt w:val="bullet"/>
      <w:lvlText w:val=""/>
      <w:lvlJc w:val="left"/>
      <w:pPr>
        <w:ind w:left="1878" w:hanging="360"/>
      </w:pPr>
      <w:rPr>
        <w:rFonts w:ascii="Wingdings" w:hAnsi="Wingdings" w:hint="default"/>
      </w:rPr>
    </w:lvl>
    <w:lvl w:ilvl="3" w:tplc="04090001" w:tentative="1">
      <w:start w:val="1"/>
      <w:numFmt w:val="bullet"/>
      <w:lvlText w:val=""/>
      <w:lvlJc w:val="left"/>
      <w:pPr>
        <w:ind w:left="2598" w:hanging="360"/>
      </w:pPr>
      <w:rPr>
        <w:rFonts w:ascii="Symbol" w:hAnsi="Symbol" w:hint="default"/>
      </w:rPr>
    </w:lvl>
    <w:lvl w:ilvl="4" w:tplc="04090003" w:tentative="1">
      <w:start w:val="1"/>
      <w:numFmt w:val="bullet"/>
      <w:lvlText w:val="o"/>
      <w:lvlJc w:val="left"/>
      <w:pPr>
        <w:ind w:left="3318" w:hanging="360"/>
      </w:pPr>
      <w:rPr>
        <w:rFonts w:ascii="Courier New" w:hAnsi="Courier New" w:cs="Courier New" w:hint="default"/>
      </w:rPr>
    </w:lvl>
    <w:lvl w:ilvl="5" w:tplc="04090005" w:tentative="1">
      <w:start w:val="1"/>
      <w:numFmt w:val="bullet"/>
      <w:lvlText w:val=""/>
      <w:lvlJc w:val="left"/>
      <w:pPr>
        <w:ind w:left="4038" w:hanging="360"/>
      </w:pPr>
      <w:rPr>
        <w:rFonts w:ascii="Wingdings" w:hAnsi="Wingdings" w:hint="default"/>
      </w:rPr>
    </w:lvl>
    <w:lvl w:ilvl="6" w:tplc="04090001" w:tentative="1">
      <w:start w:val="1"/>
      <w:numFmt w:val="bullet"/>
      <w:lvlText w:val=""/>
      <w:lvlJc w:val="left"/>
      <w:pPr>
        <w:ind w:left="4758" w:hanging="360"/>
      </w:pPr>
      <w:rPr>
        <w:rFonts w:ascii="Symbol" w:hAnsi="Symbol" w:hint="default"/>
      </w:rPr>
    </w:lvl>
    <w:lvl w:ilvl="7" w:tplc="04090003" w:tentative="1">
      <w:start w:val="1"/>
      <w:numFmt w:val="bullet"/>
      <w:lvlText w:val="o"/>
      <w:lvlJc w:val="left"/>
      <w:pPr>
        <w:ind w:left="5478" w:hanging="360"/>
      </w:pPr>
      <w:rPr>
        <w:rFonts w:ascii="Courier New" w:hAnsi="Courier New" w:cs="Courier New" w:hint="default"/>
      </w:rPr>
    </w:lvl>
    <w:lvl w:ilvl="8" w:tplc="04090005" w:tentative="1">
      <w:start w:val="1"/>
      <w:numFmt w:val="bullet"/>
      <w:lvlText w:val=""/>
      <w:lvlJc w:val="left"/>
      <w:pPr>
        <w:ind w:left="6198" w:hanging="360"/>
      </w:pPr>
      <w:rPr>
        <w:rFonts w:ascii="Wingdings" w:hAnsi="Wingdings" w:hint="default"/>
      </w:rPr>
    </w:lvl>
  </w:abstractNum>
  <w:abstractNum w:abstractNumId="21">
    <w:nsid w:val="551428B0"/>
    <w:multiLevelType w:val="multilevel"/>
    <w:tmpl w:val="33B03B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5D7710E"/>
    <w:multiLevelType w:val="hybridMultilevel"/>
    <w:tmpl w:val="3138A936"/>
    <w:lvl w:ilvl="0" w:tplc="C694B34E">
      <w:start w:val="2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BA1013"/>
    <w:multiLevelType w:val="hybridMultilevel"/>
    <w:tmpl w:val="D3A4E2B4"/>
    <w:lvl w:ilvl="0" w:tplc="0000000F">
      <w:start w:val="1"/>
      <w:numFmt w:val="bullet"/>
      <w:lvlText w:val=""/>
      <w:lvlJc w:val="left"/>
      <w:pPr>
        <w:ind w:left="720" w:hanging="360"/>
      </w:pPr>
      <w:rPr>
        <w:rFonts w:ascii="Symbol" w:hAnsi="Symbol" w:cs="Symbol"/>
        <w:color w:val="000000"/>
        <w:sz w:val="22"/>
        <w:szCs w:val="22"/>
        <w:lang w:val="ru-RU" w:eastAsia="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A80B56"/>
    <w:multiLevelType w:val="hybridMultilevel"/>
    <w:tmpl w:val="8A5C6A8C"/>
    <w:lvl w:ilvl="0" w:tplc="2BDE394C">
      <w:start w:val="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C3080A"/>
    <w:multiLevelType w:val="hybridMultilevel"/>
    <w:tmpl w:val="28BAE0D8"/>
    <w:lvl w:ilvl="0" w:tplc="9530F17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117E1B"/>
    <w:multiLevelType w:val="hybridMultilevel"/>
    <w:tmpl w:val="645A4A1C"/>
    <w:lvl w:ilvl="0" w:tplc="04090005">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7">
    <w:nsid w:val="77862489"/>
    <w:multiLevelType w:val="hybridMultilevel"/>
    <w:tmpl w:val="A61E5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8C492A"/>
    <w:multiLevelType w:val="hybridMultilevel"/>
    <w:tmpl w:val="1F320424"/>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6"/>
  </w:num>
  <w:num w:numId="2">
    <w:abstractNumId w:val="21"/>
  </w:num>
  <w:num w:numId="3">
    <w:abstractNumId w:val="27"/>
  </w:num>
  <w:num w:numId="4">
    <w:abstractNumId w:val="13"/>
  </w:num>
  <w:num w:numId="5">
    <w:abstractNumId w:val="2"/>
  </w:num>
  <w:num w:numId="6">
    <w:abstractNumId w:val="9"/>
  </w:num>
  <w:num w:numId="7">
    <w:abstractNumId w:val="3"/>
  </w:num>
  <w:num w:numId="8">
    <w:abstractNumId w:val="23"/>
  </w:num>
  <w:num w:numId="9">
    <w:abstractNumId w:val="10"/>
  </w:num>
  <w:num w:numId="10">
    <w:abstractNumId w:val="25"/>
  </w:num>
  <w:num w:numId="11">
    <w:abstractNumId w:val="12"/>
  </w:num>
  <w:num w:numId="12">
    <w:abstractNumId w:val="6"/>
  </w:num>
  <w:num w:numId="13">
    <w:abstractNumId w:val="17"/>
  </w:num>
  <w:num w:numId="14">
    <w:abstractNumId w:val="5"/>
  </w:num>
  <w:num w:numId="15">
    <w:abstractNumId w:val="8"/>
  </w:num>
  <w:num w:numId="16">
    <w:abstractNumId w:val="0"/>
  </w:num>
  <w:num w:numId="17">
    <w:abstractNumId w:val="20"/>
  </w:num>
  <w:num w:numId="18">
    <w:abstractNumId w:val="11"/>
  </w:num>
  <w:num w:numId="19">
    <w:abstractNumId w:val="4"/>
  </w:num>
  <w:num w:numId="20">
    <w:abstractNumId w:val="26"/>
  </w:num>
  <w:num w:numId="21">
    <w:abstractNumId w:val="28"/>
  </w:num>
  <w:num w:numId="22">
    <w:abstractNumId w:val="19"/>
  </w:num>
  <w:num w:numId="23">
    <w:abstractNumId w:val="14"/>
  </w:num>
  <w:num w:numId="24">
    <w:abstractNumId w:val="7"/>
  </w:num>
  <w:num w:numId="25">
    <w:abstractNumId w:val="18"/>
  </w:num>
  <w:num w:numId="26">
    <w:abstractNumId w:val="1"/>
  </w:num>
  <w:num w:numId="27">
    <w:abstractNumId w:val="22"/>
  </w:num>
  <w:num w:numId="28">
    <w:abstractNumId w:val="24"/>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5A8"/>
    <w:rsid w:val="000024E8"/>
    <w:rsid w:val="00002560"/>
    <w:rsid w:val="0001153A"/>
    <w:rsid w:val="000155CD"/>
    <w:rsid w:val="00030F03"/>
    <w:rsid w:val="000310B3"/>
    <w:rsid w:val="00031AEB"/>
    <w:rsid w:val="00045BE0"/>
    <w:rsid w:val="00047A0F"/>
    <w:rsid w:val="00055729"/>
    <w:rsid w:val="0008357E"/>
    <w:rsid w:val="0008491C"/>
    <w:rsid w:val="00084AFC"/>
    <w:rsid w:val="000851F7"/>
    <w:rsid w:val="000912B0"/>
    <w:rsid w:val="00092772"/>
    <w:rsid w:val="000A34CF"/>
    <w:rsid w:val="000C522D"/>
    <w:rsid w:val="00101099"/>
    <w:rsid w:val="00122176"/>
    <w:rsid w:val="00127AE0"/>
    <w:rsid w:val="0013116C"/>
    <w:rsid w:val="001423DF"/>
    <w:rsid w:val="00143A04"/>
    <w:rsid w:val="00150E42"/>
    <w:rsid w:val="00154E1F"/>
    <w:rsid w:val="001613EC"/>
    <w:rsid w:val="001657FF"/>
    <w:rsid w:val="00181DAA"/>
    <w:rsid w:val="00194384"/>
    <w:rsid w:val="001A231F"/>
    <w:rsid w:val="001A3544"/>
    <w:rsid w:val="001D0B66"/>
    <w:rsid w:val="001D40CB"/>
    <w:rsid w:val="001E1A70"/>
    <w:rsid w:val="00216892"/>
    <w:rsid w:val="00222FEC"/>
    <w:rsid w:val="00234E3C"/>
    <w:rsid w:val="002450AE"/>
    <w:rsid w:val="00253CC3"/>
    <w:rsid w:val="00255F97"/>
    <w:rsid w:val="002603A9"/>
    <w:rsid w:val="00267F5C"/>
    <w:rsid w:val="00270EB2"/>
    <w:rsid w:val="00282A93"/>
    <w:rsid w:val="00286DB2"/>
    <w:rsid w:val="002901D3"/>
    <w:rsid w:val="002908A0"/>
    <w:rsid w:val="002B6293"/>
    <w:rsid w:val="002B6CF1"/>
    <w:rsid w:val="002E2855"/>
    <w:rsid w:val="002E67DD"/>
    <w:rsid w:val="00320716"/>
    <w:rsid w:val="0032139E"/>
    <w:rsid w:val="00322418"/>
    <w:rsid w:val="003432AC"/>
    <w:rsid w:val="00350BE2"/>
    <w:rsid w:val="00356F4C"/>
    <w:rsid w:val="0039648B"/>
    <w:rsid w:val="003A42E0"/>
    <w:rsid w:val="003B3536"/>
    <w:rsid w:val="003D3C77"/>
    <w:rsid w:val="003D7A0F"/>
    <w:rsid w:val="003E5D95"/>
    <w:rsid w:val="003F4902"/>
    <w:rsid w:val="00412C05"/>
    <w:rsid w:val="0042087F"/>
    <w:rsid w:val="004263B0"/>
    <w:rsid w:val="00426433"/>
    <w:rsid w:val="00432D26"/>
    <w:rsid w:val="00433D70"/>
    <w:rsid w:val="004345FA"/>
    <w:rsid w:val="00442A50"/>
    <w:rsid w:val="00447CD3"/>
    <w:rsid w:val="00450434"/>
    <w:rsid w:val="00455E22"/>
    <w:rsid w:val="004D3E04"/>
    <w:rsid w:val="004F0F1B"/>
    <w:rsid w:val="004F20E6"/>
    <w:rsid w:val="004F6612"/>
    <w:rsid w:val="00500B3F"/>
    <w:rsid w:val="00525B44"/>
    <w:rsid w:val="0055303B"/>
    <w:rsid w:val="00553327"/>
    <w:rsid w:val="00556BD0"/>
    <w:rsid w:val="00577050"/>
    <w:rsid w:val="0058273D"/>
    <w:rsid w:val="005845AC"/>
    <w:rsid w:val="0059666E"/>
    <w:rsid w:val="005A6E15"/>
    <w:rsid w:val="005B69AA"/>
    <w:rsid w:val="005D00F8"/>
    <w:rsid w:val="005D113F"/>
    <w:rsid w:val="005D6CA3"/>
    <w:rsid w:val="005F53B9"/>
    <w:rsid w:val="005F5D9C"/>
    <w:rsid w:val="005F6187"/>
    <w:rsid w:val="00602360"/>
    <w:rsid w:val="006047E5"/>
    <w:rsid w:val="00612E94"/>
    <w:rsid w:val="0061354D"/>
    <w:rsid w:val="00624398"/>
    <w:rsid w:val="00631D1D"/>
    <w:rsid w:val="00640EF3"/>
    <w:rsid w:val="006427CF"/>
    <w:rsid w:val="0064477C"/>
    <w:rsid w:val="006527A3"/>
    <w:rsid w:val="00661515"/>
    <w:rsid w:val="00661C9B"/>
    <w:rsid w:val="00662C0D"/>
    <w:rsid w:val="00685FBD"/>
    <w:rsid w:val="006B650D"/>
    <w:rsid w:val="006D316E"/>
    <w:rsid w:val="006D7C9B"/>
    <w:rsid w:val="006E098C"/>
    <w:rsid w:val="00715BC7"/>
    <w:rsid w:val="00717CEB"/>
    <w:rsid w:val="0072384C"/>
    <w:rsid w:val="00732F0B"/>
    <w:rsid w:val="007340B5"/>
    <w:rsid w:val="00765FEB"/>
    <w:rsid w:val="00771BEB"/>
    <w:rsid w:val="007845C3"/>
    <w:rsid w:val="007C0A06"/>
    <w:rsid w:val="007D2EC8"/>
    <w:rsid w:val="007D7F80"/>
    <w:rsid w:val="007E4B92"/>
    <w:rsid w:val="007F10C1"/>
    <w:rsid w:val="00824767"/>
    <w:rsid w:val="008269A6"/>
    <w:rsid w:val="00854615"/>
    <w:rsid w:val="00867C65"/>
    <w:rsid w:val="008846DD"/>
    <w:rsid w:val="0089795F"/>
    <w:rsid w:val="008A7154"/>
    <w:rsid w:val="008B0218"/>
    <w:rsid w:val="008B139E"/>
    <w:rsid w:val="008B76C7"/>
    <w:rsid w:val="008C29F7"/>
    <w:rsid w:val="008D33D1"/>
    <w:rsid w:val="008D7F27"/>
    <w:rsid w:val="008E3711"/>
    <w:rsid w:val="00904BD7"/>
    <w:rsid w:val="00914DCD"/>
    <w:rsid w:val="00917114"/>
    <w:rsid w:val="009276C4"/>
    <w:rsid w:val="00951030"/>
    <w:rsid w:val="00953F90"/>
    <w:rsid w:val="00957198"/>
    <w:rsid w:val="00975D61"/>
    <w:rsid w:val="0097643F"/>
    <w:rsid w:val="009850DA"/>
    <w:rsid w:val="00991F6D"/>
    <w:rsid w:val="00993A3C"/>
    <w:rsid w:val="00996C73"/>
    <w:rsid w:val="009C590E"/>
    <w:rsid w:val="009D1A91"/>
    <w:rsid w:val="009F605A"/>
    <w:rsid w:val="00A02D47"/>
    <w:rsid w:val="00A04E8C"/>
    <w:rsid w:val="00A11DC7"/>
    <w:rsid w:val="00A15026"/>
    <w:rsid w:val="00A269F4"/>
    <w:rsid w:val="00A369CB"/>
    <w:rsid w:val="00A53BF1"/>
    <w:rsid w:val="00A54140"/>
    <w:rsid w:val="00A629B2"/>
    <w:rsid w:val="00A819B5"/>
    <w:rsid w:val="00A845AA"/>
    <w:rsid w:val="00A901C7"/>
    <w:rsid w:val="00A94921"/>
    <w:rsid w:val="00AA0E50"/>
    <w:rsid w:val="00AA62A0"/>
    <w:rsid w:val="00AA6EE1"/>
    <w:rsid w:val="00AB223D"/>
    <w:rsid w:val="00AD66FF"/>
    <w:rsid w:val="00AF46EB"/>
    <w:rsid w:val="00B0150C"/>
    <w:rsid w:val="00B03239"/>
    <w:rsid w:val="00B07834"/>
    <w:rsid w:val="00B115A8"/>
    <w:rsid w:val="00B13CE5"/>
    <w:rsid w:val="00B231E8"/>
    <w:rsid w:val="00B32936"/>
    <w:rsid w:val="00B37103"/>
    <w:rsid w:val="00B46620"/>
    <w:rsid w:val="00B615D5"/>
    <w:rsid w:val="00B71DD2"/>
    <w:rsid w:val="00B86E55"/>
    <w:rsid w:val="00B97A5F"/>
    <w:rsid w:val="00BA5441"/>
    <w:rsid w:val="00BD4C11"/>
    <w:rsid w:val="00BF50DE"/>
    <w:rsid w:val="00C00F68"/>
    <w:rsid w:val="00C21CAD"/>
    <w:rsid w:val="00C33ABC"/>
    <w:rsid w:val="00C474A6"/>
    <w:rsid w:val="00C6536F"/>
    <w:rsid w:val="00C662A5"/>
    <w:rsid w:val="00C674DA"/>
    <w:rsid w:val="00C7172E"/>
    <w:rsid w:val="00C7357C"/>
    <w:rsid w:val="00C74159"/>
    <w:rsid w:val="00C84638"/>
    <w:rsid w:val="00C8759B"/>
    <w:rsid w:val="00C953A3"/>
    <w:rsid w:val="00CA752E"/>
    <w:rsid w:val="00CC0638"/>
    <w:rsid w:val="00CC200B"/>
    <w:rsid w:val="00CC36A6"/>
    <w:rsid w:val="00CC517C"/>
    <w:rsid w:val="00CD0F50"/>
    <w:rsid w:val="00CF36DF"/>
    <w:rsid w:val="00D0581E"/>
    <w:rsid w:val="00D209D1"/>
    <w:rsid w:val="00D648A6"/>
    <w:rsid w:val="00D65EC9"/>
    <w:rsid w:val="00D856F2"/>
    <w:rsid w:val="00DA3510"/>
    <w:rsid w:val="00DA6731"/>
    <w:rsid w:val="00DB59A8"/>
    <w:rsid w:val="00DB72EA"/>
    <w:rsid w:val="00DC1264"/>
    <w:rsid w:val="00DC2B47"/>
    <w:rsid w:val="00DD7A13"/>
    <w:rsid w:val="00DF205C"/>
    <w:rsid w:val="00DF5BE5"/>
    <w:rsid w:val="00E005CC"/>
    <w:rsid w:val="00E02BCE"/>
    <w:rsid w:val="00E30C13"/>
    <w:rsid w:val="00E3202E"/>
    <w:rsid w:val="00E33BA2"/>
    <w:rsid w:val="00E36148"/>
    <w:rsid w:val="00E3703E"/>
    <w:rsid w:val="00E43980"/>
    <w:rsid w:val="00E733D4"/>
    <w:rsid w:val="00E82950"/>
    <w:rsid w:val="00E8568B"/>
    <w:rsid w:val="00ED2A1B"/>
    <w:rsid w:val="00EE105E"/>
    <w:rsid w:val="00EE7CEE"/>
    <w:rsid w:val="00EF3576"/>
    <w:rsid w:val="00EF4C71"/>
    <w:rsid w:val="00F233D7"/>
    <w:rsid w:val="00F2613F"/>
    <w:rsid w:val="00F4019B"/>
    <w:rsid w:val="00F515B1"/>
    <w:rsid w:val="00F57045"/>
    <w:rsid w:val="00F57C5D"/>
    <w:rsid w:val="00F8282B"/>
    <w:rsid w:val="00FA4F3E"/>
    <w:rsid w:val="00FB7809"/>
    <w:rsid w:val="00FC0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5A8"/>
    <w:pPr>
      <w:ind w:left="720"/>
      <w:contextualSpacing/>
    </w:pPr>
  </w:style>
  <w:style w:type="paragraph" w:styleId="Header">
    <w:name w:val="header"/>
    <w:basedOn w:val="Normal"/>
    <w:link w:val="HeaderChar"/>
    <w:uiPriority w:val="99"/>
    <w:unhideWhenUsed/>
    <w:rsid w:val="00904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BD7"/>
  </w:style>
  <w:style w:type="paragraph" w:styleId="Footer">
    <w:name w:val="footer"/>
    <w:basedOn w:val="Normal"/>
    <w:link w:val="FooterChar"/>
    <w:uiPriority w:val="99"/>
    <w:unhideWhenUsed/>
    <w:rsid w:val="00904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BD7"/>
  </w:style>
  <w:style w:type="paragraph" w:styleId="NoSpacing">
    <w:name w:val="No Spacing"/>
    <w:uiPriority w:val="1"/>
    <w:qFormat/>
    <w:rsid w:val="00426433"/>
    <w:pPr>
      <w:spacing w:after="0" w:line="240" w:lineRule="auto"/>
    </w:pPr>
  </w:style>
  <w:style w:type="paragraph" w:styleId="FootnoteText">
    <w:name w:val="footnote text"/>
    <w:basedOn w:val="Normal"/>
    <w:link w:val="FootnoteTextChar"/>
    <w:uiPriority w:val="99"/>
    <w:semiHidden/>
    <w:unhideWhenUsed/>
    <w:rsid w:val="00EE105E"/>
    <w:pPr>
      <w:spacing w:after="0" w:line="240" w:lineRule="auto"/>
      <w:ind w:left="86"/>
    </w:pPr>
    <w:rPr>
      <w:rFonts w:ascii="Arial" w:eastAsia="Arial" w:hAnsi="Arial" w:cs="Arial"/>
      <w:sz w:val="20"/>
      <w:szCs w:val="20"/>
    </w:rPr>
  </w:style>
  <w:style w:type="character" w:customStyle="1" w:styleId="FootnoteTextChar">
    <w:name w:val="Footnote Text Char"/>
    <w:basedOn w:val="DefaultParagraphFont"/>
    <w:link w:val="FootnoteText"/>
    <w:uiPriority w:val="99"/>
    <w:semiHidden/>
    <w:rsid w:val="00EE105E"/>
    <w:rPr>
      <w:rFonts w:ascii="Arial" w:eastAsia="Arial" w:hAnsi="Arial" w:cs="Arial"/>
      <w:sz w:val="20"/>
      <w:szCs w:val="20"/>
    </w:rPr>
  </w:style>
  <w:style w:type="character" w:styleId="FootnoteReference">
    <w:name w:val="footnote reference"/>
    <w:uiPriority w:val="99"/>
    <w:unhideWhenUsed/>
    <w:rsid w:val="00EE105E"/>
    <w:rPr>
      <w:vertAlign w:val="superscript"/>
    </w:rPr>
  </w:style>
  <w:style w:type="table" w:styleId="TableGrid">
    <w:name w:val="Table Grid"/>
    <w:basedOn w:val="TableNormal"/>
    <w:uiPriority w:val="59"/>
    <w:rsid w:val="00715B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9C590E"/>
    <w:pPr>
      <w:spacing w:before="180" w:after="12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9C590E"/>
    <w:rPr>
      <w:rFonts w:ascii="Times New Roman" w:eastAsia="Times New Roman" w:hAnsi="Times New Roman" w:cs="Times New Roman"/>
    </w:rPr>
  </w:style>
  <w:style w:type="paragraph" w:styleId="Caption">
    <w:name w:val="caption"/>
    <w:basedOn w:val="Normal"/>
    <w:next w:val="Normal"/>
    <w:uiPriority w:val="99"/>
    <w:qFormat/>
    <w:rsid w:val="009C590E"/>
    <w:pPr>
      <w:keepNext/>
      <w:tabs>
        <w:tab w:val="left" w:pos="851"/>
      </w:tabs>
      <w:spacing w:before="120" w:after="60" w:line="240" w:lineRule="auto"/>
      <w:ind w:left="851" w:hanging="851"/>
    </w:pPr>
    <w:rPr>
      <w:rFonts w:ascii="Times New Roman" w:eastAsia="Times New Roman" w:hAnsi="Times New Roman" w:cs="Times New Roman"/>
      <w:b/>
      <w:bCs/>
      <w:color w:val="0070C0"/>
      <w:sz w:val="18"/>
      <w:szCs w:val="18"/>
    </w:rPr>
  </w:style>
  <w:style w:type="paragraph" w:styleId="BalloonText">
    <w:name w:val="Balloon Text"/>
    <w:basedOn w:val="Normal"/>
    <w:link w:val="BalloonTextChar"/>
    <w:uiPriority w:val="99"/>
    <w:semiHidden/>
    <w:unhideWhenUsed/>
    <w:rsid w:val="009C5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90E"/>
    <w:rPr>
      <w:rFonts w:ascii="Tahoma" w:hAnsi="Tahoma" w:cs="Tahoma"/>
      <w:sz w:val="16"/>
      <w:szCs w:val="16"/>
    </w:rPr>
  </w:style>
  <w:style w:type="character" w:styleId="Hyperlink">
    <w:name w:val="Hyperlink"/>
    <w:basedOn w:val="DefaultParagraphFont"/>
    <w:uiPriority w:val="99"/>
    <w:unhideWhenUsed/>
    <w:rsid w:val="00C741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5A8"/>
    <w:pPr>
      <w:ind w:left="720"/>
      <w:contextualSpacing/>
    </w:pPr>
  </w:style>
  <w:style w:type="paragraph" w:styleId="Header">
    <w:name w:val="header"/>
    <w:basedOn w:val="Normal"/>
    <w:link w:val="HeaderChar"/>
    <w:uiPriority w:val="99"/>
    <w:unhideWhenUsed/>
    <w:rsid w:val="00904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BD7"/>
  </w:style>
  <w:style w:type="paragraph" w:styleId="Footer">
    <w:name w:val="footer"/>
    <w:basedOn w:val="Normal"/>
    <w:link w:val="FooterChar"/>
    <w:uiPriority w:val="99"/>
    <w:unhideWhenUsed/>
    <w:rsid w:val="00904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BD7"/>
  </w:style>
  <w:style w:type="paragraph" w:styleId="NoSpacing">
    <w:name w:val="No Spacing"/>
    <w:uiPriority w:val="1"/>
    <w:qFormat/>
    <w:rsid w:val="00426433"/>
    <w:pPr>
      <w:spacing w:after="0" w:line="240" w:lineRule="auto"/>
    </w:pPr>
  </w:style>
  <w:style w:type="paragraph" w:styleId="FootnoteText">
    <w:name w:val="footnote text"/>
    <w:basedOn w:val="Normal"/>
    <w:link w:val="FootnoteTextChar"/>
    <w:uiPriority w:val="99"/>
    <w:semiHidden/>
    <w:unhideWhenUsed/>
    <w:rsid w:val="00EE105E"/>
    <w:pPr>
      <w:spacing w:after="0" w:line="240" w:lineRule="auto"/>
      <w:ind w:left="86"/>
    </w:pPr>
    <w:rPr>
      <w:rFonts w:ascii="Arial" w:eastAsia="Arial" w:hAnsi="Arial" w:cs="Arial"/>
      <w:sz w:val="20"/>
      <w:szCs w:val="20"/>
    </w:rPr>
  </w:style>
  <w:style w:type="character" w:customStyle="1" w:styleId="FootnoteTextChar">
    <w:name w:val="Footnote Text Char"/>
    <w:basedOn w:val="DefaultParagraphFont"/>
    <w:link w:val="FootnoteText"/>
    <w:uiPriority w:val="99"/>
    <w:semiHidden/>
    <w:rsid w:val="00EE105E"/>
    <w:rPr>
      <w:rFonts w:ascii="Arial" w:eastAsia="Arial" w:hAnsi="Arial" w:cs="Arial"/>
      <w:sz w:val="20"/>
      <w:szCs w:val="20"/>
    </w:rPr>
  </w:style>
  <w:style w:type="character" w:styleId="FootnoteReference">
    <w:name w:val="footnote reference"/>
    <w:uiPriority w:val="99"/>
    <w:unhideWhenUsed/>
    <w:rsid w:val="00EE105E"/>
    <w:rPr>
      <w:vertAlign w:val="superscript"/>
    </w:rPr>
  </w:style>
  <w:style w:type="table" w:styleId="TableGrid">
    <w:name w:val="Table Grid"/>
    <w:basedOn w:val="TableNormal"/>
    <w:uiPriority w:val="59"/>
    <w:rsid w:val="00715B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9C590E"/>
    <w:pPr>
      <w:spacing w:before="180" w:after="12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9C590E"/>
    <w:rPr>
      <w:rFonts w:ascii="Times New Roman" w:eastAsia="Times New Roman" w:hAnsi="Times New Roman" w:cs="Times New Roman"/>
    </w:rPr>
  </w:style>
  <w:style w:type="paragraph" w:styleId="Caption">
    <w:name w:val="caption"/>
    <w:basedOn w:val="Normal"/>
    <w:next w:val="Normal"/>
    <w:uiPriority w:val="99"/>
    <w:qFormat/>
    <w:rsid w:val="009C590E"/>
    <w:pPr>
      <w:keepNext/>
      <w:tabs>
        <w:tab w:val="left" w:pos="851"/>
      </w:tabs>
      <w:spacing w:before="120" w:after="60" w:line="240" w:lineRule="auto"/>
      <w:ind w:left="851" w:hanging="851"/>
    </w:pPr>
    <w:rPr>
      <w:rFonts w:ascii="Times New Roman" w:eastAsia="Times New Roman" w:hAnsi="Times New Roman" w:cs="Times New Roman"/>
      <w:b/>
      <w:bCs/>
      <w:color w:val="0070C0"/>
      <w:sz w:val="18"/>
      <w:szCs w:val="18"/>
    </w:rPr>
  </w:style>
  <w:style w:type="paragraph" w:styleId="BalloonText">
    <w:name w:val="Balloon Text"/>
    <w:basedOn w:val="Normal"/>
    <w:link w:val="BalloonTextChar"/>
    <w:uiPriority w:val="99"/>
    <w:semiHidden/>
    <w:unhideWhenUsed/>
    <w:rsid w:val="009C5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90E"/>
    <w:rPr>
      <w:rFonts w:ascii="Tahoma" w:hAnsi="Tahoma" w:cs="Tahoma"/>
      <w:sz w:val="16"/>
      <w:szCs w:val="16"/>
    </w:rPr>
  </w:style>
  <w:style w:type="character" w:styleId="Hyperlink">
    <w:name w:val="Hyperlink"/>
    <w:basedOn w:val="DefaultParagraphFont"/>
    <w:uiPriority w:val="99"/>
    <w:unhideWhenUsed/>
    <w:rsid w:val="00C741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34217">
      <w:bodyDiv w:val="1"/>
      <w:marLeft w:val="0"/>
      <w:marRight w:val="0"/>
      <w:marTop w:val="0"/>
      <w:marBottom w:val="0"/>
      <w:divBdr>
        <w:top w:val="none" w:sz="0" w:space="0" w:color="auto"/>
        <w:left w:val="none" w:sz="0" w:space="0" w:color="auto"/>
        <w:bottom w:val="none" w:sz="0" w:space="0" w:color="auto"/>
        <w:right w:val="none" w:sz="0" w:space="0" w:color="auto"/>
      </w:divBdr>
    </w:div>
    <w:div w:id="1517309549">
      <w:bodyDiv w:val="1"/>
      <w:marLeft w:val="0"/>
      <w:marRight w:val="0"/>
      <w:marTop w:val="0"/>
      <w:marBottom w:val="0"/>
      <w:divBdr>
        <w:top w:val="none" w:sz="0" w:space="0" w:color="auto"/>
        <w:left w:val="none" w:sz="0" w:space="0" w:color="auto"/>
        <w:bottom w:val="none" w:sz="0" w:space="0" w:color="auto"/>
        <w:right w:val="none" w:sz="0" w:space="0" w:color="auto"/>
      </w:divBdr>
    </w:div>
    <w:div w:id="2088187102">
      <w:bodyDiv w:val="1"/>
      <w:marLeft w:val="0"/>
      <w:marRight w:val="0"/>
      <w:marTop w:val="0"/>
      <w:marBottom w:val="0"/>
      <w:divBdr>
        <w:top w:val="none" w:sz="0" w:space="0" w:color="auto"/>
        <w:left w:val="none" w:sz="0" w:space="0" w:color="auto"/>
        <w:bottom w:val="none" w:sz="0" w:space="0" w:color="auto"/>
        <w:right w:val="none" w:sz="0" w:space="0" w:color="auto"/>
      </w:divBdr>
      <w:divsChild>
        <w:div w:id="1325278964">
          <w:marLeft w:val="0"/>
          <w:marRight w:val="0"/>
          <w:marTop w:val="0"/>
          <w:marBottom w:val="0"/>
          <w:divBdr>
            <w:top w:val="none" w:sz="0" w:space="0" w:color="auto"/>
            <w:left w:val="none" w:sz="0" w:space="0" w:color="auto"/>
            <w:bottom w:val="none" w:sz="0" w:space="0" w:color="auto"/>
            <w:right w:val="none" w:sz="0" w:space="0" w:color="auto"/>
          </w:divBdr>
          <w:divsChild>
            <w:div w:id="185411195">
              <w:marLeft w:val="0"/>
              <w:marRight w:val="0"/>
              <w:marTop w:val="0"/>
              <w:marBottom w:val="0"/>
              <w:divBdr>
                <w:top w:val="none" w:sz="0" w:space="0" w:color="auto"/>
                <w:left w:val="none" w:sz="0" w:space="0" w:color="auto"/>
                <w:bottom w:val="none" w:sz="0" w:space="0" w:color="auto"/>
                <w:right w:val="none" w:sz="0" w:space="0" w:color="auto"/>
              </w:divBdr>
              <w:divsChild>
                <w:div w:id="1732118315">
                  <w:marLeft w:val="0"/>
                  <w:marRight w:val="0"/>
                  <w:marTop w:val="0"/>
                  <w:marBottom w:val="0"/>
                  <w:divBdr>
                    <w:top w:val="none" w:sz="0" w:space="0" w:color="auto"/>
                    <w:left w:val="none" w:sz="0" w:space="0" w:color="auto"/>
                    <w:bottom w:val="none" w:sz="0" w:space="0" w:color="auto"/>
                    <w:right w:val="none" w:sz="0" w:space="0" w:color="auto"/>
                  </w:divBdr>
                  <w:divsChild>
                    <w:div w:id="1104492629">
                      <w:marLeft w:val="0"/>
                      <w:marRight w:val="0"/>
                      <w:marTop w:val="0"/>
                      <w:marBottom w:val="0"/>
                      <w:divBdr>
                        <w:top w:val="none" w:sz="0" w:space="0" w:color="auto"/>
                        <w:left w:val="none" w:sz="0" w:space="0" w:color="auto"/>
                        <w:bottom w:val="none" w:sz="0" w:space="0" w:color="auto"/>
                        <w:right w:val="none" w:sz="0" w:space="0" w:color="auto"/>
                      </w:divBdr>
                      <w:divsChild>
                        <w:div w:id="903831413">
                          <w:marLeft w:val="0"/>
                          <w:marRight w:val="0"/>
                          <w:marTop w:val="0"/>
                          <w:marBottom w:val="0"/>
                          <w:divBdr>
                            <w:top w:val="none" w:sz="0" w:space="0" w:color="auto"/>
                            <w:left w:val="none" w:sz="0" w:space="0" w:color="auto"/>
                            <w:bottom w:val="none" w:sz="0" w:space="0" w:color="auto"/>
                            <w:right w:val="none" w:sz="0" w:space="0" w:color="auto"/>
                          </w:divBdr>
                        </w:div>
                      </w:divsChild>
                    </w:div>
                    <w:div w:id="806093727">
                      <w:marLeft w:val="0"/>
                      <w:marRight w:val="0"/>
                      <w:marTop w:val="0"/>
                      <w:marBottom w:val="0"/>
                      <w:divBdr>
                        <w:top w:val="none" w:sz="0" w:space="0" w:color="auto"/>
                        <w:left w:val="none" w:sz="0" w:space="0" w:color="auto"/>
                        <w:bottom w:val="none" w:sz="0" w:space="0" w:color="auto"/>
                        <w:right w:val="none" w:sz="0" w:space="0" w:color="auto"/>
                      </w:divBdr>
                      <w:divsChild>
                        <w:div w:id="59313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harma.a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E097F-B7E1-440E-B1AF-EDB418E39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1804</TotalTime>
  <Pages>19</Pages>
  <Words>9357</Words>
  <Characters>51466</Characters>
  <Application>Microsoft Office Word</Application>
  <DocSecurity>0</DocSecurity>
  <Lines>428</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 User (ICT)</dc:creator>
  <cp:lastModifiedBy>Gavi Alliance</cp:lastModifiedBy>
  <cp:revision>94</cp:revision>
  <dcterms:created xsi:type="dcterms:W3CDTF">2014-09-10T16:17:00Z</dcterms:created>
  <dcterms:modified xsi:type="dcterms:W3CDTF">2014-09-16T15:48:00Z</dcterms:modified>
</cp:coreProperties>
</file>