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rPr>
        <w:id w:val="487532776"/>
        <w:docPartObj>
          <w:docPartGallery w:val="Cover Pages"/>
          <w:docPartUnique/>
        </w:docPartObj>
      </w:sdtPr>
      <w:sdtEndPr/>
      <w:sdtContent>
        <w:p w14:paraId="1BF73FC7" w14:textId="77777777" w:rsidR="00F07EC8" w:rsidRPr="00226801" w:rsidRDefault="00F732D8">
          <w:pPr>
            <w:rPr>
              <w:rFonts w:asciiTheme="minorHAnsi" w:hAnsiTheme="minorHAnsi" w:cstheme="minorHAnsi"/>
            </w:rPr>
          </w:pPr>
          <w:r>
            <w:rPr>
              <w:rFonts w:asciiTheme="minorHAnsi" w:hAnsiTheme="minorHAnsi"/>
              <w:b/>
              <w:noProof/>
            </w:rPr>
            <mc:AlternateContent>
              <mc:Choice Requires="wps">
                <w:drawing>
                  <wp:anchor distT="0" distB="0" distL="114300" distR="114300" simplePos="0" relativeHeight="251658240" behindDoc="0" locked="0" layoutInCell="1" allowOverlap="1" wp14:anchorId="4C0DFBA1" wp14:editId="6CF8B9BA">
                    <wp:simplePos x="0" y="0"/>
                    <wp:positionH relativeFrom="margin">
                      <wp:align>center</wp:align>
                    </wp:positionH>
                    <wp:positionV relativeFrom="paragraph">
                      <wp:posOffset>-5065395</wp:posOffset>
                    </wp:positionV>
                    <wp:extent cx="7348793" cy="10490200"/>
                    <wp:effectExtent l="19050" t="19050" r="43180" b="44450"/>
                    <wp:wrapNone/>
                    <wp:docPr id="1" name="Rectangle : avec coins arrondis en diagonale 1"/>
                    <wp:cNvGraphicFramePr/>
                    <a:graphic xmlns:a="http://schemas.openxmlformats.org/drawingml/2006/main">
                      <a:graphicData uri="http://schemas.microsoft.com/office/word/2010/wordprocessingShape">
                        <wps:wsp>
                          <wps:cNvSpPr/>
                          <wps:spPr>
                            <a:xfrm>
                              <a:off x="0" y="0"/>
                              <a:ext cx="7348793" cy="10490200"/>
                            </a:xfrm>
                            <a:prstGeom prst="round2DiagRect">
                              <a:avLst/>
                            </a:prstGeom>
                            <a:solidFill>
                              <a:schemeClr val="bg1"/>
                            </a:solidFill>
                            <a:ln w="57150"/>
                          </wps:spPr>
                          <wps:style>
                            <a:lnRef idx="2">
                              <a:schemeClr val="accent1">
                                <a:shade val="50000"/>
                              </a:schemeClr>
                            </a:lnRef>
                            <a:fillRef idx="1">
                              <a:schemeClr val="accent1"/>
                            </a:fillRef>
                            <a:effectRef idx="0">
                              <a:schemeClr val="accent1"/>
                            </a:effectRef>
                            <a:fontRef idx="minor">
                              <a:schemeClr val="lt1"/>
                            </a:fontRef>
                          </wps:style>
                          <wps:txbx>
                            <w:txbxContent>
                              <w:p w14:paraId="31A7B4F1" w14:textId="77777777" w:rsidR="007B6BFD" w:rsidRPr="00211A44" w:rsidRDefault="007B6BFD" w:rsidP="007B6BFD">
                                <w:pPr>
                                  <w:rPr>
                                    <w:rFonts w:asciiTheme="minorHAnsi" w:hAnsiTheme="minorHAnsi" w:cstheme="minorHAnsi"/>
                                    <w:b/>
                                    <w:bCs/>
                                  </w:rPr>
                                </w:pPr>
                              </w:p>
                              <w:p w14:paraId="09D55540" w14:textId="77777777" w:rsidR="007B6BFD" w:rsidRPr="00211A44" w:rsidRDefault="007B6BFD" w:rsidP="007B6BFD">
                                <w:pPr>
                                  <w:rPr>
                                    <w:rFonts w:asciiTheme="minorHAnsi" w:hAnsiTheme="minorHAnsi" w:cstheme="minorHAnsi"/>
                                    <w:b/>
                                    <w:bCs/>
                                    <w:color w:val="0070C0"/>
                                  </w:rPr>
                                </w:pPr>
                              </w:p>
                              <w:p w14:paraId="5834279B" w14:textId="77777777" w:rsidR="007B6BFD" w:rsidRPr="00211A44" w:rsidRDefault="007B6BFD" w:rsidP="007B6BFD">
                                <w:pPr>
                                  <w:jc w:val="center"/>
                                  <w:rPr>
                                    <w:rFonts w:asciiTheme="minorHAnsi" w:hAnsiTheme="minorHAnsi" w:cstheme="minorHAnsi"/>
                                    <w:b/>
                                    <w:bCs/>
                                    <w:color w:val="0070C0"/>
                                    <w:sz w:val="40"/>
                                    <w:szCs w:val="40"/>
                                  </w:rPr>
                                </w:pPr>
                                <w:r>
                                  <w:rPr>
                                    <w:rFonts w:asciiTheme="minorHAnsi" w:hAnsiTheme="minorHAnsi"/>
                                    <w:b/>
                                    <w:color w:val="0070C0"/>
                                    <w:sz w:val="40"/>
                                  </w:rPr>
                                  <w:t xml:space="preserve">Plan d'action pour le changement de vaccin </w:t>
                                </w:r>
                                <w:proofErr w:type="spellStart"/>
                                <w:r>
                                  <w:rPr>
                                    <w:rFonts w:asciiTheme="minorHAnsi" w:hAnsiTheme="minorHAnsi"/>
                                    <w:b/>
                                    <w:color w:val="0070C0"/>
                                    <w:sz w:val="40"/>
                                  </w:rPr>
                                  <w:t>anti-rotavirus</w:t>
                                </w:r>
                                <w:proofErr w:type="spellEnd"/>
                                <w:r>
                                  <w:rPr>
                                    <w:rFonts w:asciiTheme="minorHAnsi" w:hAnsiTheme="minorHAnsi"/>
                                    <w:b/>
                                    <w:color w:val="0070C0"/>
                                    <w:sz w:val="40"/>
                                  </w:rPr>
                                  <w:t xml:space="preserve"> </w:t>
                                </w:r>
                              </w:p>
                              <w:p w14:paraId="63E0375A" w14:textId="77777777" w:rsidR="007B6BFD" w:rsidRPr="003D013A" w:rsidRDefault="007B6BFD" w:rsidP="007B6BFD">
                                <w:pPr>
                                  <w:jc w:val="center"/>
                                  <w:rPr>
                                    <w:rFonts w:asciiTheme="minorHAnsi" w:hAnsiTheme="minorHAnsi" w:cstheme="minorHAnsi"/>
                                    <w:color w:val="0070C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DFBA1" id="Rectangle : avec coins arrondis en diagonale 1" o:spid="_x0000_s1026" style="position:absolute;margin-left:0;margin-top:-398.85pt;width:578.65pt;height:8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7348793,10490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" adj="-11796480,,5400" path="m1224823,l7348793,r,l7348793,9265377v,676451,-548372,1224823,-1224823,1224823l,10490200r,l,1224823c,548372,548372,,1224823,xe" fillcolor="white [3212]" strokecolor="#243255 [1604]" strokeweight="4.5pt">
                    <v:stroke joinstyle="miter"/>
                    <v:formulas/>
                    <v:path arrowok="t" o:connecttype="custom" o:connectlocs="1224823,0;7348793,0;7348793,0;7348793,9265377;6123970,10490200;0,10490200;0,10490200;0,1224823;1224823,0" o:connectangles="0,0,0,0,0,0,0,0,0" textboxrect="0,0,7348793,10490200"/>
                    <v:textbox>
                      <w:txbxContent>
                        <w:p w:rsidR="007B6BFD" w:rsidRPr="00211A44" w:rsidRDefault="007B6BFD" w:rsidP="007B6BFD">
                          <w:pPr>
                            <w:rPr>
                              <w:rFonts w:asciiTheme="minorHAnsi" w:hAnsiTheme="minorHAnsi" w:cstheme="minorHAnsi"/>
                              <w:b/>
                              <w:bCs/>
                              <w:lang w:val="fr-FR"/>
                            </w:rPr>
                          </w:pPr>
                        </w:p>
                        <w:p w:rsidR="007B6BFD" w:rsidRPr="00211A44" w:rsidRDefault="007B6BFD" w:rsidP="007B6BFD">
                          <w:pPr>
                            <w:rPr>
                              <w:rFonts w:asciiTheme="minorHAnsi" w:hAnsiTheme="minorHAnsi" w:cstheme="minorHAnsi"/>
                              <w:b/>
                              <w:bCs/>
                              <w:color w:val="0070C0"/>
                              <w:lang w:val="fr-FR"/>
                            </w:rPr>
                          </w:pPr>
                        </w:p>
                        <w:p w:rsidR="007B6BFD" w:rsidRPr="00211A44" w:rsidRDefault="007B6BFD" w:rsidP="007B6BFD">
                          <w:pPr>
                            <w:jc w:val="center"/>
                            <w:rPr>
                              <w:b/>
                              <w:bCs/>
                              <w:color w:val="0070C0"/>
                              <w:sz w:val="40"/>
                              <w:szCs w:val="40"/>
                              <w:rFonts w:asciiTheme="minorHAnsi" w:hAnsiTheme="minorHAnsi" w:cstheme="minorHAnsi"/>
                            </w:rPr>
                          </w:pPr>
                          <w:r>
                            <w:rPr>
                              <w:b/>
                              <w:color w:val="0070C0"/>
                              <w:sz w:val="40"/>
                              <w:rFonts w:asciiTheme="minorHAnsi" w:hAnsiTheme="minorHAnsi"/>
                            </w:rPr>
                            <w:t xml:space="preserve">Plan d'action pour le changement de vaccin anti-rotavirus</w:t>
                          </w:r>
                          <w:r>
                            <w:rPr>
                              <w:b/>
                              <w:color w:val="0070C0"/>
                              <w:sz w:val="40"/>
                              <w:rFonts w:asciiTheme="minorHAnsi" w:hAnsiTheme="minorHAnsi"/>
                            </w:rPr>
                            <w:t xml:space="preserve"> </w:t>
                          </w:r>
                        </w:p>
                        <w:p w:rsidR="007B6BFD" w:rsidRPr="003D013A" w:rsidRDefault="007B6BFD" w:rsidP="007B6BFD">
                          <w:pPr>
                            <w:jc w:val="center"/>
                            <w:rPr>
                              <w:rFonts w:asciiTheme="minorHAnsi" w:hAnsiTheme="minorHAnsi" w:cstheme="minorHAnsi"/>
                              <w:color w:val="0070C0"/>
                              <w:lang w:val="en-US"/>
                            </w:rPr>
                          </w:pPr>
                        </w:p>
                      </w:txbxContent>
                    </v:textbox>
                    <w10:wrap anchorx="margin"/>
                  </v:shape>
                </w:pict>
              </mc:Fallback>
            </mc:AlternateContent>
          </w:r>
          <w:r>
            <w:rPr>
              <w:rFonts w:asciiTheme="minorHAnsi" w:hAnsiTheme="minorHAnsi"/>
              <w:noProof/>
            </w:rPr>
            <mc:AlternateContent>
              <mc:Choice Requires="wps">
                <w:drawing>
                  <wp:anchor distT="0" distB="0" distL="114300" distR="114300" simplePos="0" relativeHeight="251658241" behindDoc="1" locked="0" layoutInCell="1" allowOverlap="1" wp14:anchorId="23AA6C58" wp14:editId="74EDDD34">
                    <wp:simplePos x="0" y="0"/>
                    <wp:positionH relativeFrom="column">
                      <wp:posOffset>-959062</wp:posOffset>
                    </wp:positionH>
                    <wp:positionV relativeFrom="paragraph">
                      <wp:posOffset>-933662</wp:posOffset>
                    </wp:positionV>
                    <wp:extent cx="7592695" cy="10721129"/>
                    <wp:effectExtent l="0" t="0" r="1905" b="0"/>
                    <wp:wrapNone/>
                    <wp:docPr id="47" name="Rectangle 47" title="Couleur de la forme d’arrière-plan de la page"/>
                    <wp:cNvGraphicFramePr/>
                    <a:graphic xmlns:a="http://schemas.openxmlformats.org/drawingml/2006/main">
                      <a:graphicData uri="http://schemas.microsoft.com/office/word/2010/wordprocessingShape">
                        <wps:wsp>
                          <wps:cNvSpPr/>
                          <wps:spPr>
                            <a:xfrm>
                              <a:off x="0" y="0"/>
                              <a:ext cx="7592695" cy="1072112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9E06" id="Rectangle 47" o:spid="_x0000_s1026" alt="Title: Couleur de la forme d’arrière-plan de la page" style="position:absolute;margin-left:-75.5pt;margin-top:-73.5pt;width:597.85pt;height:844.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" fillcolor="#4a66ac [3204]" stroked="f" strokeweight="1pt"/>
                </w:pict>
              </mc:Fallback>
            </mc:AlternateContent>
          </w:r>
        </w:p>
      </w:sdtContent>
    </w:sdt>
    <w:p w14:paraId="2BB873EE" w14:textId="77777777" w:rsidR="00F96AF8" w:rsidRPr="00226801" w:rsidRDefault="00F96AF8">
      <w:pPr>
        <w:rPr>
          <w:rFonts w:asciiTheme="minorHAnsi" w:hAnsiTheme="minorHAnsi" w:cstheme="minorHAnsi"/>
          <w:b/>
          <w:bCs/>
        </w:rPr>
      </w:pPr>
    </w:p>
    <w:p w14:paraId="5E442B14" w14:textId="77777777" w:rsidR="007B6BFD" w:rsidRPr="00226801" w:rsidRDefault="007B6BFD">
      <w:pPr>
        <w:rPr>
          <w:rFonts w:asciiTheme="minorHAnsi" w:hAnsiTheme="minorHAnsi" w:cstheme="minorHAnsi"/>
          <w:b/>
          <w:bCs/>
        </w:rPr>
      </w:pPr>
    </w:p>
    <w:p w14:paraId="78359240" w14:textId="77777777" w:rsidR="007B6BFD" w:rsidRPr="00226801" w:rsidRDefault="007B6BFD" w:rsidP="007B6BFD">
      <w:pPr>
        <w:rPr>
          <w:rFonts w:asciiTheme="minorHAnsi" w:hAnsiTheme="minorHAnsi" w:cstheme="minorHAnsi"/>
          <w:b/>
          <w:bCs/>
        </w:rPr>
      </w:pPr>
    </w:p>
    <w:p w14:paraId="3A38A859" w14:textId="77777777" w:rsidR="007B6BFD" w:rsidRPr="00226801" w:rsidRDefault="007B6BFD" w:rsidP="007B6BFD">
      <w:pPr>
        <w:rPr>
          <w:rFonts w:asciiTheme="minorHAnsi" w:hAnsiTheme="minorHAnsi" w:cstheme="minorHAnsi"/>
        </w:rPr>
      </w:pPr>
    </w:p>
    <w:p w14:paraId="2A9F24FE" w14:textId="77777777" w:rsidR="007B6BFD" w:rsidRPr="00226801" w:rsidRDefault="007B6BFD" w:rsidP="007B6BFD">
      <w:pPr>
        <w:rPr>
          <w:rFonts w:asciiTheme="minorHAnsi" w:hAnsiTheme="minorHAnsi" w:cstheme="minorHAnsi"/>
        </w:rPr>
      </w:pPr>
    </w:p>
    <w:p w14:paraId="365AE2C4" w14:textId="77777777" w:rsidR="007B6BFD" w:rsidRPr="00226801" w:rsidRDefault="007B6BFD" w:rsidP="007B6BFD">
      <w:pPr>
        <w:rPr>
          <w:rFonts w:asciiTheme="minorHAnsi" w:hAnsiTheme="minorHAnsi" w:cstheme="minorHAnsi"/>
        </w:rPr>
      </w:pPr>
    </w:p>
    <w:p w14:paraId="57BA3F69" w14:textId="77777777" w:rsidR="007B6BFD" w:rsidRPr="00226801" w:rsidRDefault="007B6BFD" w:rsidP="007B6BFD">
      <w:pPr>
        <w:rPr>
          <w:rFonts w:asciiTheme="minorHAnsi" w:hAnsiTheme="minorHAnsi" w:cstheme="minorHAnsi"/>
        </w:rPr>
      </w:pPr>
    </w:p>
    <w:p w14:paraId="1F1F808E" w14:textId="77777777" w:rsidR="007B6BFD" w:rsidRPr="00226801" w:rsidRDefault="007B6BFD" w:rsidP="007B6BFD">
      <w:pPr>
        <w:rPr>
          <w:rFonts w:asciiTheme="minorHAnsi" w:hAnsiTheme="minorHAnsi" w:cstheme="minorHAnsi"/>
        </w:rPr>
      </w:pPr>
    </w:p>
    <w:p w14:paraId="16938029" w14:textId="77777777" w:rsidR="007B6BFD" w:rsidRPr="00226801" w:rsidRDefault="007B6BFD" w:rsidP="007B6BFD">
      <w:pPr>
        <w:rPr>
          <w:rFonts w:asciiTheme="minorHAnsi" w:hAnsiTheme="minorHAnsi" w:cstheme="minorHAnsi"/>
        </w:rPr>
      </w:pPr>
    </w:p>
    <w:p w14:paraId="33A85DB1" w14:textId="77777777" w:rsidR="007B6BFD" w:rsidRPr="00226801" w:rsidRDefault="007B6BFD" w:rsidP="007B6BFD">
      <w:pPr>
        <w:rPr>
          <w:rFonts w:asciiTheme="minorHAnsi" w:hAnsiTheme="minorHAnsi" w:cstheme="minorHAnsi"/>
        </w:rPr>
      </w:pPr>
    </w:p>
    <w:p w14:paraId="5D1F1D00" w14:textId="77777777" w:rsidR="007B6BFD" w:rsidRPr="00226801" w:rsidRDefault="007B6BFD" w:rsidP="007B6BFD">
      <w:pPr>
        <w:rPr>
          <w:rFonts w:asciiTheme="minorHAnsi" w:hAnsiTheme="minorHAnsi" w:cstheme="minorHAnsi"/>
        </w:rPr>
      </w:pPr>
    </w:p>
    <w:p w14:paraId="0DA870B4" w14:textId="77777777" w:rsidR="007B6BFD" w:rsidRPr="00226801" w:rsidRDefault="007B6BFD" w:rsidP="007B6BFD">
      <w:pPr>
        <w:rPr>
          <w:rFonts w:asciiTheme="minorHAnsi" w:hAnsiTheme="minorHAnsi" w:cstheme="minorHAnsi"/>
        </w:rPr>
      </w:pPr>
    </w:p>
    <w:p w14:paraId="11F86BDB" w14:textId="77777777" w:rsidR="007B6BFD" w:rsidRPr="00226801" w:rsidRDefault="007B6BFD" w:rsidP="007B6BFD">
      <w:pPr>
        <w:rPr>
          <w:rFonts w:asciiTheme="minorHAnsi" w:hAnsiTheme="minorHAnsi" w:cstheme="minorHAnsi"/>
        </w:rPr>
      </w:pPr>
    </w:p>
    <w:p w14:paraId="024E6876" w14:textId="77777777" w:rsidR="007B6BFD" w:rsidRPr="00226801" w:rsidRDefault="007B6BFD" w:rsidP="007B6BFD">
      <w:pPr>
        <w:rPr>
          <w:rFonts w:asciiTheme="minorHAnsi" w:hAnsiTheme="minorHAnsi" w:cstheme="minorHAnsi"/>
        </w:rPr>
      </w:pPr>
    </w:p>
    <w:p w14:paraId="150A1750" w14:textId="77777777" w:rsidR="007B6BFD" w:rsidRPr="00226801" w:rsidRDefault="007B6BFD" w:rsidP="007B6BFD">
      <w:pPr>
        <w:rPr>
          <w:rFonts w:asciiTheme="minorHAnsi" w:hAnsiTheme="minorHAnsi" w:cstheme="minorHAnsi"/>
        </w:rPr>
      </w:pPr>
    </w:p>
    <w:p w14:paraId="3F2D247E" w14:textId="77777777" w:rsidR="007B6BFD" w:rsidRPr="00226801" w:rsidRDefault="007B6BFD" w:rsidP="007B6BFD">
      <w:pPr>
        <w:rPr>
          <w:rFonts w:asciiTheme="minorHAnsi" w:hAnsiTheme="minorHAnsi" w:cstheme="minorHAnsi"/>
        </w:rPr>
      </w:pPr>
    </w:p>
    <w:p w14:paraId="41DDCABE" w14:textId="77777777" w:rsidR="007B6BFD" w:rsidRPr="00226801" w:rsidRDefault="007B6BFD" w:rsidP="007B6BFD">
      <w:pPr>
        <w:rPr>
          <w:rFonts w:asciiTheme="minorHAnsi" w:hAnsiTheme="minorHAnsi" w:cstheme="minorHAnsi"/>
        </w:rPr>
      </w:pPr>
    </w:p>
    <w:p w14:paraId="74B7B41C" w14:textId="77777777" w:rsidR="007B6BFD" w:rsidRPr="00226801" w:rsidRDefault="007B6BFD" w:rsidP="007B6BFD">
      <w:pPr>
        <w:rPr>
          <w:rFonts w:asciiTheme="minorHAnsi" w:hAnsiTheme="minorHAnsi" w:cstheme="minorHAnsi"/>
        </w:rPr>
      </w:pPr>
    </w:p>
    <w:p w14:paraId="46859540" w14:textId="77777777" w:rsidR="007B6BFD" w:rsidRPr="00226801" w:rsidRDefault="007B6BFD" w:rsidP="007B6BFD">
      <w:pPr>
        <w:rPr>
          <w:rFonts w:asciiTheme="minorHAnsi" w:hAnsiTheme="minorHAnsi" w:cstheme="minorHAnsi"/>
        </w:rPr>
      </w:pPr>
    </w:p>
    <w:p w14:paraId="0DBB947D" w14:textId="77777777" w:rsidR="007B6BFD" w:rsidRPr="00226801" w:rsidRDefault="007B6BFD" w:rsidP="007B6BFD">
      <w:pPr>
        <w:rPr>
          <w:rFonts w:asciiTheme="minorHAnsi" w:hAnsiTheme="minorHAnsi" w:cstheme="minorHAnsi"/>
        </w:rPr>
      </w:pPr>
    </w:p>
    <w:p w14:paraId="703C49E3" w14:textId="77777777" w:rsidR="007B6BFD" w:rsidRPr="00226801" w:rsidRDefault="007B6BFD" w:rsidP="007B6BFD">
      <w:pPr>
        <w:rPr>
          <w:rFonts w:asciiTheme="minorHAnsi" w:hAnsiTheme="minorHAnsi" w:cstheme="minorHAnsi"/>
        </w:rPr>
      </w:pPr>
    </w:p>
    <w:p w14:paraId="53EB786F" w14:textId="77777777" w:rsidR="007B6BFD" w:rsidRPr="00226801" w:rsidRDefault="007B6BFD" w:rsidP="007B6BFD">
      <w:pPr>
        <w:rPr>
          <w:rFonts w:asciiTheme="minorHAnsi" w:hAnsiTheme="minorHAnsi" w:cstheme="minorHAnsi"/>
        </w:rPr>
      </w:pPr>
    </w:p>
    <w:p w14:paraId="0B78149E" w14:textId="77777777" w:rsidR="007B6BFD" w:rsidRPr="00226801" w:rsidRDefault="007B6BFD" w:rsidP="007B6BFD">
      <w:pPr>
        <w:rPr>
          <w:rFonts w:asciiTheme="minorHAnsi" w:hAnsiTheme="minorHAnsi" w:cstheme="minorHAnsi"/>
        </w:rPr>
      </w:pPr>
    </w:p>
    <w:p w14:paraId="18BBA028" w14:textId="77777777" w:rsidR="007B6BFD" w:rsidRPr="00226801" w:rsidRDefault="007B6BFD" w:rsidP="007B6BFD">
      <w:pPr>
        <w:rPr>
          <w:rFonts w:asciiTheme="minorHAnsi" w:hAnsiTheme="minorHAnsi" w:cstheme="minorHAnsi"/>
          <w:b/>
          <w:bCs/>
        </w:rPr>
      </w:pPr>
    </w:p>
    <w:p w14:paraId="7FD9307B" w14:textId="77777777" w:rsidR="00176294" w:rsidRPr="00226801" w:rsidRDefault="00176294" w:rsidP="007B6BFD">
      <w:pPr>
        <w:rPr>
          <w:rFonts w:asciiTheme="minorHAnsi" w:hAnsiTheme="minorHAnsi" w:cstheme="minorHAnsi"/>
        </w:rPr>
        <w:sectPr w:rsidR="00176294" w:rsidRPr="00226801" w:rsidSect="00F07EC8">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8" w:footer="708" w:gutter="0"/>
          <w:pgNumType w:start="0"/>
          <w:cols w:space="708"/>
          <w:titlePg/>
          <w:docGrid w:linePitch="360"/>
        </w:sectPr>
      </w:pPr>
    </w:p>
    <w:sdt>
      <w:sdtPr>
        <w:rPr>
          <w:rFonts w:asciiTheme="minorHAnsi" w:eastAsiaTheme="minorEastAsia" w:hAnsiTheme="minorHAnsi" w:cstheme="minorHAnsi"/>
          <w:b w:val="0"/>
          <w:bCs w:val="0"/>
          <w:i w:val="0"/>
          <w:iCs w:val="0"/>
          <w:color w:val="auto"/>
          <w:sz w:val="24"/>
          <w:szCs w:val="24"/>
          <w:lang w:eastAsia="fr-FR"/>
        </w:rPr>
        <w:id w:val="14587432"/>
        <w:docPartObj>
          <w:docPartGallery w:val="Table of Contents"/>
          <w:docPartUnique/>
        </w:docPartObj>
      </w:sdtPr>
      <w:sdtEndPr>
        <w:rPr>
          <w:rFonts w:eastAsia="Times New Roman"/>
        </w:rPr>
      </w:sdtEndPr>
      <w:sdtContent>
        <w:p w14:paraId="4A25EE3F" w14:textId="77777777" w:rsidR="00176294" w:rsidRPr="00226801" w:rsidRDefault="00176294">
          <w:pPr>
            <w:pStyle w:val="TOCHeading"/>
            <w:rPr>
              <w:rFonts w:asciiTheme="minorHAnsi" w:hAnsiTheme="minorHAnsi" w:cstheme="minorHAnsi"/>
              <w:sz w:val="24"/>
              <w:szCs w:val="24"/>
            </w:rPr>
          </w:pPr>
          <w:r>
            <w:rPr>
              <w:rFonts w:asciiTheme="minorHAnsi" w:hAnsiTheme="minorHAnsi"/>
              <w:sz w:val="24"/>
            </w:rPr>
            <w:t>Table des matières</w:t>
          </w:r>
        </w:p>
        <w:p w14:paraId="2C31C1A0" w14:textId="77777777" w:rsidR="004C3206" w:rsidRPr="00226801" w:rsidRDefault="007F6F5C">
          <w:pPr>
            <w:pStyle w:val="TOC1"/>
            <w:tabs>
              <w:tab w:val="left" w:pos="480"/>
              <w:tab w:val="right" w:leader="dot" w:pos="9056"/>
            </w:tabs>
            <w:rPr>
              <w:b w:val="0"/>
              <w:bCs w:val="0"/>
              <w:i w:val="0"/>
              <w:iCs w:val="0"/>
              <w:caps w:val="0"/>
              <w:sz w:val="24"/>
              <w:szCs w:val="24"/>
            </w:rPr>
          </w:pPr>
          <w:hyperlink w:anchor="_Toc101798502" w:history="1">
            <w:r w:rsidR="0037042B">
              <w:rPr>
                <w:rStyle w:val="Hyperlink"/>
              </w:rPr>
              <w:t>1.</w:t>
            </w:r>
          </w:hyperlink>
          <w:hyperlink w:anchor="_Toc101798502" w:history="1">
            <w:r w:rsidR="0037042B">
              <w:rPr>
                <w:rStyle w:val="Hyperlink"/>
                <w:b w:val="0"/>
                <w:i w:val="0"/>
                <w:caps w:val="0"/>
                <w:sz w:val="24"/>
              </w:rPr>
              <w:tab/>
            </w:r>
            <w:r w:rsidR="0037042B">
              <w:rPr>
                <w:rStyle w:val="Hyperlink"/>
              </w:rPr>
              <w:t>Introduction</w:t>
            </w:r>
            <w:r w:rsidR="0037042B">
              <w:rPr>
                <w:rStyle w:val="Hyperlink"/>
                <w:webHidden/>
              </w:rPr>
              <w:tab/>
            </w:r>
            <w:r w:rsidR="004C3206" w:rsidRPr="00226801">
              <w:rPr>
                <w:webHidden/>
              </w:rPr>
              <w:fldChar w:fldCharType="begin"/>
            </w:r>
            <w:r w:rsidR="004C3206" w:rsidRPr="00226801">
              <w:rPr>
                <w:webHidden/>
              </w:rPr>
              <w:instrText xml:space="preserve"> PAGEREF _Toc101798502 \h </w:instrText>
            </w:r>
            <w:r w:rsidR="004C3206" w:rsidRPr="00226801">
              <w:rPr>
                <w:webHidden/>
              </w:rPr>
            </w:r>
            <w:r w:rsidR="004C3206" w:rsidRPr="00226801">
              <w:rPr>
                <w:webHidden/>
              </w:rPr>
              <w:fldChar w:fldCharType="separate"/>
            </w:r>
            <w:r w:rsidR="004C3206" w:rsidRPr="00226801">
              <w:rPr>
                <w:webHidden/>
              </w:rPr>
              <w:t>2</w:t>
            </w:r>
            <w:r w:rsidR="004C3206" w:rsidRPr="00226801">
              <w:rPr>
                <w:webHidden/>
              </w:rPr>
              <w:fldChar w:fldCharType="end"/>
            </w:r>
          </w:hyperlink>
        </w:p>
        <w:p w14:paraId="0BDDEFB2" w14:textId="77777777" w:rsidR="004C3206" w:rsidRPr="00226801" w:rsidRDefault="007F6F5C">
          <w:pPr>
            <w:pStyle w:val="TOC2"/>
            <w:tabs>
              <w:tab w:val="left" w:pos="960"/>
              <w:tab w:val="right" w:leader="dot" w:pos="9056"/>
            </w:tabs>
            <w:rPr>
              <w:i w:val="0"/>
              <w:iCs w:val="0"/>
              <w:smallCaps w:val="0"/>
              <w:sz w:val="24"/>
              <w:szCs w:val="24"/>
            </w:rPr>
          </w:pPr>
          <w:hyperlink w:anchor="_Toc101798503" w:history="1">
            <w:r w:rsidR="0037042B">
              <w:rPr>
                <w:rStyle w:val="Hyperlink"/>
              </w:rPr>
              <w:t>1,1.</w:t>
            </w:r>
          </w:hyperlink>
          <w:hyperlink w:anchor="_Toc101798503" w:history="1">
            <w:r w:rsidR="0037042B">
              <w:rPr>
                <w:rStyle w:val="Hyperlink"/>
                <w:i w:val="0"/>
                <w:smallCaps w:val="0"/>
                <w:sz w:val="24"/>
              </w:rPr>
              <w:tab/>
            </w:r>
            <w:r w:rsidR="0037042B">
              <w:rPr>
                <w:rStyle w:val="Hyperlink"/>
              </w:rPr>
              <w:t xml:space="preserve">Justification du changement de vaccin </w:t>
            </w:r>
            <w:proofErr w:type="spellStart"/>
            <w:r w:rsidR="0037042B">
              <w:rPr>
                <w:rStyle w:val="Hyperlink"/>
              </w:rPr>
              <w:t>anti-rotavirus</w:t>
            </w:r>
            <w:proofErr w:type="spellEnd"/>
            <w:r w:rsidR="0037042B">
              <w:rPr>
                <w:rStyle w:val="Hyperlink"/>
                <w:webHidden/>
              </w:rPr>
              <w:tab/>
              <w:t>2</w:t>
            </w:r>
          </w:hyperlink>
        </w:p>
        <w:p w14:paraId="5C412799" w14:textId="77777777" w:rsidR="004C3206" w:rsidRPr="00226801" w:rsidRDefault="007F6F5C">
          <w:pPr>
            <w:pStyle w:val="TOC1"/>
            <w:tabs>
              <w:tab w:val="left" w:pos="480"/>
              <w:tab w:val="right" w:leader="dot" w:pos="9056"/>
            </w:tabs>
            <w:rPr>
              <w:b w:val="0"/>
              <w:bCs w:val="0"/>
              <w:i w:val="0"/>
              <w:iCs w:val="0"/>
              <w:caps w:val="0"/>
              <w:sz w:val="24"/>
              <w:szCs w:val="24"/>
            </w:rPr>
          </w:pPr>
          <w:hyperlink w:anchor="_Toc101798504" w:history="1">
            <w:r w:rsidR="0037042B">
              <w:rPr>
                <w:rStyle w:val="Hyperlink"/>
              </w:rPr>
              <w:t>2.</w:t>
            </w:r>
          </w:hyperlink>
          <w:hyperlink w:anchor="_Toc101798504" w:history="1">
            <w:r w:rsidR="0037042B">
              <w:rPr>
                <w:rStyle w:val="Hyperlink"/>
                <w:b w:val="0"/>
                <w:i w:val="0"/>
                <w:caps w:val="0"/>
                <w:sz w:val="24"/>
              </w:rPr>
              <w:tab/>
            </w:r>
            <w:r w:rsidR="0037042B">
              <w:rPr>
                <w:rStyle w:val="Hyperlink"/>
              </w:rPr>
              <w:t>Objectifs</w:t>
            </w:r>
            <w:r w:rsidR="0037042B">
              <w:rPr>
                <w:rStyle w:val="Hyperlink"/>
                <w:webHidden/>
              </w:rPr>
              <w:tab/>
              <w:t>2</w:t>
            </w:r>
          </w:hyperlink>
        </w:p>
        <w:p w14:paraId="4A9911AA" w14:textId="77777777" w:rsidR="004C3206" w:rsidRPr="00226801" w:rsidRDefault="007F6F5C">
          <w:pPr>
            <w:pStyle w:val="TOC2"/>
            <w:tabs>
              <w:tab w:val="left" w:pos="960"/>
              <w:tab w:val="right" w:leader="dot" w:pos="9056"/>
            </w:tabs>
            <w:rPr>
              <w:i w:val="0"/>
              <w:iCs w:val="0"/>
              <w:smallCaps w:val="0"/>
              <w:sz w:val="24"/>
              <w:szCs w:val="24"/>
            </w:rPr>
          </w:pPr>
          <w:hyperlink w:anchor="_Toc101798505" w:history="1">
            <w:r w:rsidR="0037042B">
              <w:rPr>
                <w:rStyle w:val="Hyperlink"/>
              </w:rPr>
              <w:t>2,1.</w:t>
            </w:r>
          </w:hyperlink>
          <w:hyperlink w:anchor="_Toc101798505" w:history="1">
            <w:r w:rsidR="0037042B">
              <w:rPr>
                <w:rStyle w:val="Hyperlink"/>
                <w:i w:val="0"/>
                <w:smallCaps w:val="0"/>
                <w:sz w:val="24"/>
              </w:rPr>
              <w:tab/>
            </w:r>
            <w:r w:rsidR="0037042B">
              <w:rPr>
                <w:rStyle w:val="Hyperlink"/>
              </w:rPr>
              <w:t>Objectif général</w:t>
            </w:r>
            <w:r w:rsidR="0037042B">
              <w:rPr>
                <w:rStyle w:val="Hyperlink"/>
                <w:webHidden/>
              </w:rPr>
              <w:tab/>
              <w:t>2</w:t>
            </w:r>
          </w:hyperlink>
        </w:p>
        <w:p w14:paraId="6D4794FA" w14:textId="77777777" w:rsidR="004C3206" w:rsidRPr="00226801" w:rsidRDefault="007F6F5C">
          <w:pPr>
            <w:pStyle w:val="TOC2"/>
            <w:tabs>
              <w:tab w:val="left" w:pos="960"/>
              <w:tab w:val="right" w:leader="dot" w:pos="9056"/>
            </w:tabs>
            <w:rPr>
              <w:i w:val="0"/>
              <w:iCs w:val="0"/>
              <w:smallCaps w:val="0"/>
              <w:sz w:val="24"/>
              <w:szCs w:val="24"/>
            </w:rPr>
          </w:pPr>
          <w:hyperlink w:anchor="_Toc101798506" w:history="1">
            <w:r w:rsidR="0037042B">
              <w:rPr>
                <w:rStyle w:val="Hyperlink"/>
              </w:rPr>
              <w:t>2,2.</w:t>
            </w:r>
          </w:hyperlink>
          <w:hyperlink w:anchor="_Toc101798506" w:history="1">
            <w:r w:rsidR="0037042B">
              <w:rPr>
                <w:rStyle w:val="Hyperlink"/>
              </w:rPr>
              <w:t xml:space="preserve">Objectif spécifique </w:t>
            </w:r>
            <w:r w:rsidR="0037042B">
              <w:rPr>
                <w:rStyle w:val="Hyperlink"/>
                <w:webHidden/>
              </w:rPr>
              <w:t>2</w:t>
            </w:r>
          </w:hyperlink>
        </w:p>
        <w:p w14:paraId="6E2B1C13" w14:textId="77777777" w:rsidR="004C3206" w:rsidRPr="00226801" w:rsidRDefault="007F6F5C">
          <w:pPr>
            <w:pStyle w:val="TOC1"/>
            <w:tabs>
              <w:tab w:val="left" w:pos="480"/>
              <w:tab w:val="right" w:leader="dot" w:pos="9056"/>
            </w:tabs>
            <w:rPr>
              <w:b w:val="0"/>
              <w:bCs w:val="0"/>
              <w:i w:val="0"/>
              <w:iCs w:val="0"/>
              <w:caps w:val="0"/>
              <w:sz w:val="24"/>
              <w:szCs w:val="24"/>
            </w:rPr>
          </w:pPr>
          <w:hyperlink w:anchor="_Toc101798507" w:history="1">
            <w:r w:rsidR="0037042B">
              <w:rPr>
                <w:rStyle w:val="Hyperlink"/>
              </w:rPr>
              <w:t>3.</w:t>
            </w:r>
          </w:hyperlink>
          <w:hyperlink w:anchor="_Toc101798507" w:history="1">
            <w:r w:rsidR="0037042B">
              <w:rPr>
                <w:rStyle w:val="Hyperlink"/>
                <w:b w:val="0"/>
                <w:i w:val="0"/>
                <w:caps w:val="0"/>
                <w:sz w:val="24"/>
              </w:rPr>
              <w:tab/>
            </w:r>
            <w:r w:rsidR="0037042B">
              <w:rPr>
                <w:rStyle w:val="Hyperlink"/>
              </w:rPr>
              <w:t>Axes stratégiques et activités planifiées</w:t>
            </w:r>
            <w:r w:rsidR="0037042B">
              <w:rPr>
                <w:rStyle w:val="Hyperlink"/>
                <w:webHidden/>
              </w:rPr>
              <w:tab/>
              <w:t>2</w:t>
            </w:r>
          </w:hyperlink>
        </w:p>
        <w:p w14:paraId="06E0FC6B" w14:textId="77777777" w:rsidR="004C3206" w:rsidRPr="00226801" w:rsidRDefault="007F6F5C">
          <w:pPr>
            <w:pStyle w:val="TOC2"/>
            <w:tabs>
              <w:tab w:val="left" w:pos="960"/>
              <w:tab w:val="right" w:leader="dot" w:pos="9056"/>
            </w:tabs>
            <w:rPr>
              <w:i w:val="0"/>
              <w:iCs w:val="0"/>
              <w:smallCaps w:val="0"/>
              <w:sz w:val="24"/>
              <w:szCs w:val="24"/>
            </w:rPr>
          </w:pPr>
          <w:hyperlink w:anchor="_Toc101798508" w:history="1">
            <w:r w:rsidR="0037042B">
              <w:rPr>
                <w:rStyle w:val="Hyperlink"/>
              </w:rPr>
              <w:t>3,1.</w:t>
            </w:r>
          </w:hyperlink>
          <w:hyperlink w:anchor="_Toc101798508" w:history="1">
            <w:r w:rsidR="0037042B">
              <w:rPr>
                <w:rStyle w:val="Hyperlink"/>
                <w:i w:val="0"/>
                <w:smallCaps w:val="0"/>
                <w:sz w:val="24"/>
              </w:rPr>
              <w:tab/>
            </w:r>
            <w:r w:rsidR="0037042B">
              <w:rPr>
                <w:rStyle w:val="Hyperlink"/>
              </w:rPr>
              <w:t>Information et renforcement des capacités du personnel en charge de la vaccination</w:t>
            </w:r>
            <w:r w:rsidR="0037042B">
              <w:rPr>
                <w:rStyle w:val="Hyperlink"/>
                <w:webHidden/>
              </w:rPr>
              <w:tab/>
              <w:t>2</w:t>
            </w:r>
          </w:hyperlink>
        </w:p>
        <w:p w14:paraId="00403D90" w14:textId="77777777" w:rsidR="004C3206" w:rsidRPr="00226801" w:rsidRDefault="007F6F5C">
          <w:pPr>
            <w:pStyle w:val="TOC3"/>
            <w:tabs>
              <w:tab w:val="left" w:pos="1200"/>
              <w:tab w:val="right" w:leader="dot" w:pos="9056"/>
            </w:tabs>
            <w:rPr>
              <w:sz w:val="24"/>
              <w:szCs w:val="24"/>
            </w:rPr>
          </w:pPr>
          <w:hyperlink w:anchor="_Toc101798509" w:history="1">
            <w:r w:rsidR="0037042B">
              <w:rPr>
                <w:rStyle w:val="Hyperlink"/>
              </w:rPr>
              <w:t>3,1. 1.</w:t>
            </w:r>
          </w:hyperlink>
          <w:hyperlink w:anchor="_Toc101798509" w:history="1">
            <w:r w:rsidR="0037042B">
              <w:rPr>
                <w:rStyle w:val="Hyperlink"/>
                <w:sz w:val="24"/>
              </w:rPr>
              <w:tab/>
            </w:r>
            <w:r w:rsidR="0037042B">
              <w:rPr>
                <w:rStyle w:val="Hyperlink"/>
              </w:rPr>
              <w:t>Vaccination en pratique</w:t>
            </w:r>
            <w:r w:rsidR="0037042B">
              <w:rPr>
                <w:rStyle w:val="Hyperlink"/>
                <w:webHidden/>
              </w:rPr>
              <w:tab/>
              <w:t>3</w:t>
            </w:r>
          </w:hyperlink>
        </w:p>
        <w:p w14:paraId="3B8662A1" w14:textId="77777777" w:rsidR="004C3206" w:rsidRPr="00226801" w:rsidRDefault="007F6F5C">
          <w:pPr>
            <w:pStyle w:val="TOC3"/>
            <w:tabs>
              <w:tab w:val="left" w:pos="1200"/>
              <w:tab w:val="right" w:leader="dot" w:pos="9056"/>
            </w:tabs>
            <w:rPr>
              <w:sz w:val="24"/>
              <w:szCs w:val="24"/>
            </w:rPr>
          </w:pPr>
          <w:hyperlink w:anchor="_Toc101798510" w:history="1">
            <w:r w:rsidR="0037042B">
              <w:rPr>
                <w:rStyle w:val="Hyperlink"/>
              </w:rPr>
              <w:t>3.1.2.</w:t>
            </w:r>
          </w:hyperlink>
          <w:hyperlink w:anchor="_Toc101798510" w:history="1">
            <w:r w:rsidR="0037042B">
              <w:rPr>
                <w:rStyle w:val="Hyperlink"/>
                <w:sz w:val="24"/>
              </w:rPr>
              <w:tab/>
            </w:r>
            <w:r w:rsidR="0037042B">
              <w:rPr>
                <w:rStyle w:val="Hyperlink"/>
              </w:rPr>
              <w:t>Gestion des manifestations post vaccinales indésirables (MAPI) éventuelles et des événements indésirables d’intérêt particulier (EIIP)</w:t>
            </w:r>
            <w:r w:rsidR="0037042B">
              <w:rPr>
                <w:rStyle w:val="Hyperlink"/>
                <w:webHidden/>
              </w:rPr>
              <w:tab/>
              <w:t>5</w:t>
            </w:r>
          </w:hyperlink>
        </w:p>
        <w:p w14:paraId="2D827F80" w14:textId="77777777" w:rsidR="004C3206" w:rsidRPr="00226801" w:rsidRDefault="007F6F5C">
          <w:pPr>
            <w:pStyle w:val="TOC2"/>
            <w:tabs>
              <w:tab w:val="left" w:pos="960"/>
              <w:tab w:val="right" w:leader="dot" w:pos="9056"/>
            </w:tabs>
            <w:rPr>
              <w:i w:val="0"/>
              <w:iCs w:val="0"/>
              <w:smallCaps w:val="0"/>
              <w:sz w:val="24"/>
              <w:szCs w:val="24"/>
            </w:rPr>
          </w:pPr>
          <w:hyperlink w:anchor="_Toc101798511" w:history="1">
            <w:r w:rsidR="0037042B">
              <w:rPr>
                <w:rStyle w:val="Hyperlink"/>
              </w:rPr>
              <w:t>3,2.</w:t>
            </w:r>
          </w:hyperlink>
          <w:hyperlink w:anchor="_Toc101798511" w:history="1">
            <w:r w:rsidR="0037042B">
              <w:rPr>
                <w:rStyle w:val="Hyperlink"/>
                <w:i w:val="0"/>
                <w:smallCaps w:val="0"/>
                <w:sz w:val="24"/>
              </w:rPr>
              <w:tab/>
            </w:r>
            <w:r w:rsidR="0037042B">
              <w:rPr>
                <w:rStyle w:val="Hyperlink"/>
              </w:rPr>
              <w:t>Information des communautés et des gardiens d’enfants cibles</w:t>
            </w:r>
            <w:r w:rsidR="0037042B">
              <w:rPr>
                <w:rStyle w:val="Hyperlink"/>
                <w:webHidden/>
              </w:rPr>
              <w:tab/>
              <w:t>6</w:t>
            </w:r>
          </w:hyperlink>
        </w:p>
        <w:p w14:paraId="02621E88" w14:textId="77777777" w:rsidR="004C3206" w:rsidRPr="00226801" w:rsidRDefault="007F6F5C">
          <w:pPr>
            <w:pStyle w:val="TOC3"/>
            <w:tabs>
              <w:tab w:val="left" w:pos="1200"/>
              <w:tab w:val="right" w:leader="dot" w:pos="9056"/>
            </w:tabs>
            <w:rPr>
              <w:sz w:val="24"/>
              <w:szCs w:val="24"/>
            </w:rPr>
          </w:pPr>
          <w:hyperlink w:anchor="_Toc101798512" w:history="1">
            <w:r w:rsidR="0037042B">
              <w:rPr>
                <w:rStyle w:val="Hyperlink"/>
              </w:rPr>
              <w:t>3.2.1.</w:t>
            </w:r>
          </w:hyperlink>
          <w:hyperlink w:anchor="_Toc101798512" w:history="1">
            <w:r w:rsidR="0037042B">
              <w:rPr>
                <w:rStyle w:val="Hyperlink"/>
                <w:sz w:val="24"/>
              </w:rPr>
              <w:tab/>
            </w:r>
            <w:r w:rsidR="0037042B">
              <w:rPr>
                <w:rStyle w:val="Hyperlink"/>
              </w:rPr>
              <w:t>Contexte et environnement social actuel</w:t>
            </w:r>
            <w:r w:rsidR="0037042B">
              <w:rPr>
                <w:rStyle w:val="Hyperlink"/>
                <w:webHidden/>
              </w:rPr>
              <w:tab/>
              <w:t>6</w:t>
            </w:r>
          </w:hyperlink>
        </w:p>
        <w:p w14:paraId="0939F065" w14:textId="77777777" w:rsidR="004C3206" w:rsidRPr="00226801" w:rsidRDefault="007F6F5C">
          <w:pPr>
            <w:pStyle w:val="TOC3"/>
            <w:tabs>
              <w:tab w:val="left" w:pos="1200"/>
              <w:tab w:val="right" w:leader="dot" w:pos="9056"/>
            </w:tabs>
            <w:rPr>
              <w:sz w:val="24"/>
              <w:szCs w:val="24"/>
            </w:rPr>
          </w:pPr>
          <w:hyperlink w:anchor="_Toc101798513" w:history="1">
            <w:r w:rsidR="0037042B">
              <w:rPr>
                <w:rStyle w:val="Hyperlink"/>
              </w:rPr>
              <w:t>3.2.2.</w:t>
            </w:r>
          </w:hyperlink>
          <w:hyperlink w:anchor="_Toc101798513" w:history="1">
            <w:r w:rsidR="0037042B">
              <w:rPr>
                <w:rStyle w:val="Hyperlink"/>
                <w:sz w:val="24"/>
              </w:rPr>
              <w:tab/>
            </w:r>
            <w:r w:rsidR="0037042B">
              <w:rPr>
                <w:rStyle w:val="Hyperlink"/>
              </w:rPr>
              <w:t>Activités de communication planifiées</w:t>
            </w:r>
            <w:r w:rsidR="0037042B">
              <w:rPr>
                <w:rStyle w:val="Hyperlink"/>
                <w:webHidden/>
              </w:rPr>
              <w:tab/>
              <w:t>6</w:t>
            </w:r>
          </w:hyperlink>
        </w:p>
        <w:p w14:paraId="0EC813E2" w14:textId="77777777" w:rsidR="004C3206" w:rsidRPr="00226801" w:rsidRDefault="007F6F5C">
          <w:pPr>
            <w:pStyle w:val="TOC2"/>
            <w:tabs>
              <w:tab w:val="left" w:pos="960"/>
              <w:tab w:val="right" w:leader="dot" w:pos="9056"/>
            </w:tabs>
            <w:rPr>
              <w:i w:val="0"/>
              <w:iCs w:val="0"/>
              <w:smallCaps w:val="0"/>
              <w:sz w:val="24"/>
              <w:szCs w:val="24"/>
            </w:rPr>
          </w:pPr>
          <w:hyperlink w:anchor="_Toc101798514" w:history="1">
            <w:r w:rsidR="0037042B">
              <w:rPr>
                <w:rStyle w:val="Hyperlink"/>
              </w:rPr>
              <w:t>1,1.</w:t>
            </w:r>
          </w:hyperlink>
          <w:hyperlink w:anchor="_Toc101798514" w:history="1">
            <w:r w:rsidR="0037042B">
              <w:rPr>
                <w:rStyle w:val="Hyperlink"/>
                <w:i w:val="0"/>
                <w:smallCaps w:val="0"/>
                <w:sz w:val="24"/>
              </w:rPr>
              <w:tab/>
            </w:r>
            <w:r w:rsidR="0037042B">
              <w:rPr>
                <w:rStyle w:val="Hyperlink"/>
              </w:rPr>
              <w:t>Approvisionnement en vaccin et gestion des stocks</w:t>
            </w:r>
            <w:r w:rsidR="0037042B">
              <w:rPr>
                <w:rStyle w:val="Hyperlink"/>
                <w:webHidden/>
              </w:rPr>
              <w:tab/>
              <w:t>8</w:t>
            </w:r>
          </w:hyperlink>
        </w:p>
        <w:p w14:paraId="2CAF909F" w14:textId="77777777" w:rsidR="004C3206" w:rsidRPr="00226801" w:rsidRDefault="007F6F5C">
          <w:pPr>
            <w:pStyle w:val="TOC3"/>
            <w:tabs>
              <w:tab w:val="left" w:pos="1200"/>
              <w:tab w:val="right" w:leader="dot" w:pos="9056"/>
            </w:tabs>
            <w:rPr>
              <w:sz w:val="24"/>
              <w:szCs w:val="24"/>
            </w:rPr>
          </w:pPr>
          <w:hyperlink w:anchor="_Toc101798515" w:history="1">
            <w:r w:rsidR="0037042B">
              <w:rPr>
                <w:rStyle w:val="Hyperlink"/>
              </w:rPr>
              <w:t>1.1.1.</w:t>
            </w:r>
          </w:hyperlink>
          <w:hyperlink w:anchor="_Toc101798515" w:history="1">
            <w:r w:rsidR="0037042B">
              <w:rPr>
                <w:rStyle w:val="Hyperlink"/>
                <w:sz w:val="24"/>
              </w:rPr>
              <w:tab/>
            </w:r>
            <w:r w:rsidR="0037042B">
              <w:rPr>
                <w:rStyle w:val="Hyperlink"/>
              </w:rPr>
              <w:t>Organisation de la chaîne d’approvisionnement</w:t>
            </w:r>
            <w:r w:rsidR="0037042B">
              <w:rPr>
                <w:rStyle w:val="Hyperlink"/>
                <w:webHidden/>
              </w:rPr>
              <w:tab/>
              <w:t>8</w:t>
            </w:r>
          </w:hyperlink>
        </w:p>
        <w:p w14:paraId="664BF1F3" w14:textId="77777777" w:rsidR="004C3206" w:rsidRPr="00226801" w:rsidRDefault="007F6F5C">
          <w:pPr>
            <w:pStyle w:val="TOC3"/>
            <w:tabs>
              <w:tab w:val="left" w:pos="1200"/>
              <w:tab w:val="right" w:leader="dot" w:pos="9056"/>
            </w:tabs>
            <w:rPr>
              <w:sz w:val="24"/>
              <w:szCs w:val="24"/>
            </w:rPr>
          </w:pPr>
          <w:hyperlink w:anchor="_Toc101798516" w:history="1">
            <w:r w:rsidR="0037042B">
              <w:rPr>
                <w:rStyle w:val="Hyperlink"/>
              </w:rPr>
              <w:t>1.1.2.</w:t>
            </w:r>
          </w:hyperlink>
          <w:hyperlink w:anchor="_Toc101798516" w:history="1">
            <w:r w:rsidR="0037042B">
              <w:rPr>
                <w:rStyle w:val="Hyperlink"/>
                <w:sz w:val="24"/>
              </w:rPr>
              <w:tab/>
            </w:r>
            <w:r w:rsidR="0037042B">
              <w:rPr>
                <w:rStyle w:val="Hyperlink"/>
              </w:rPr>
              <w:t>Activités de la logistique planifiées pour le changement</w:t>
            </w:r>
            <w:r w:rsidR="0037042B">
              <w:rPr>
                <w:rStyle w:val="Hyperlink"/>
                <w:webHidden/>
              </w:rPr>
              <w:tab/>
              <w:t>8</w:t>
            </w:r>
          </w:hyperlink>
        </w:p>
        <w:p w14:paraId="0A8DD2BB" w14:textId="77777777" w:rsidR="004C3206" w:rsidRPr="00226801" w:rsidRDefault="007F6F5C">
          <w:pPr>
            <w:pStyle w:val="TOC2"/>
            <w:tabs>
              <w:tab w:val="left" w:pos="960"/>
              <w:tab w:val="right" w:leader="dot" w:pos="9056"/>
            </w:tabs>
            <w:rPr>
              <w:i w:val="0"/>
              <w:iCs w:val="0"/>
              <w:smallCaps w:val="0"/>
              <w:sz w:val="24"/>
              <w:szCs w:val="24"/>
            </w:rPr>
          </w:pPr>
          <w:hyperlink w:anchor="_Toc101798517" w:history="1">
            <w:r w:rsidR="0037042B">
              <w:rPr>
                <w:rStyle w:val="Hyperlink"/>
              </w:rPr>
              <w:t>1,2.</w:t>
            </w:r>
          </w:hyperlink>
          <w:hyperlink w:anchor="_Toc101798517" w:history="1">
            <w:r w:rsidR="0037042B">
              <w:rPr>
                <w:rStyle w:val="Hyperlink"/>
                <w:i w:val="0"/>
                <w:smallCaps w:val="0"/>
                <w:sz w:val="24"/>
              </w:rPr>
              <w:tab/>
            </w:r>
            <w:r w:rsidR="0037042B">
              <w:rPr>
                <w:rStyle w:val="Hyperlink"/>
              </w:rPr>
              <w:t>Gestion des données et suivi des performances</w:t>
            </w:r>
            <w:r w:rsidR="0037042B">
              <w:rPr>
                <w:rStyle w:val="Hyperlink"/>
                <w:webHidden/>
              </w:rPr>
              <w:tab/>
              <w:t>8</w:t>
            </w:r>
          </w:hyperlink>
        </w:p>
        <w:p w14:paraId="7DDA0AD3" w14:textId="77777777" w:rsidR="004C3206" w:rsidRPr="00226801" w:rsidRDefault="007F6F5C">
          <w:pPr>
            <w:pStyle w:val="TOC1"/>
            <w:tabs>
              <w:tab w:val="left" w:pos="480"/>
              <w:tab w:val="right" w:leader="dot" w:pos="9056"/>
            </w:tabs>
            <w:rPr>
              <w:b w:val="0"/>
              <w:bCs w:val="0"/>
              <w:i w:val="0"/>
              <w:iCs w:val="0"/>
              <w:caps w:val="0"/>
              <w:sz w:val="24"/>
              <w:szCs w:val="24"/>
            </w:rPr>
          </w:pPr>
          <w:hyperlink w:anchor="_Toc101798518" w:history="1">
            <w:r w:rsidR="0037042B">
              <w:rPr>
                <w:rStyle w:val="Hyperlink"/>
              </w:rPr>
              <w:t>2.</w:t>
            </w:r>
          </w:hyperlink>
          <w:hyperlink w:anchor="_Toc101798518" w:history="1">
            <w:r w:rsidR="0037042B">
              <w:rPr>
                <w:rStyle w:val="Hyperlink"/>
                <w:b w:val="0"/>
                <w:i w:val="0"/>
                <w:caps w:val="0"/>
                <w:sz w:val="24"/>
              </w:rPr>
              <w:tab/>
            </w:r>
            <w:r w:rsidR="0037042B">
              <w:rPr>
                <w:rStyle w:val="Hyperlink"/>
              </w:rPr>
              <w:t>Chronogramme d’activités</w:t>
            </w:r>
            <w:r w:rsidR="0037042B">
              <w:rPr>
                <w:rStyle w:val="Hyperlink"/>
                <w:webHidden/>
              </w:rPr>
              <w:tab/>
              <w:t>9</w:t>
            </w:r>
          </w:hyperlink>
        </w:p>
        <w:p w14:paraId="30DE3804" w14:textId="77777777" w:rsidR="004C3206" w:rsidRPr="00226801" w:rsidRDefault="007F6F5C">
          <w:pPr>
            <w:pStyle w:val="TOC1"/>
            <w:tabs>
              <w:tab w:val="left" w:pos="480"/>
              <w:tab w:val="right" w:leader="dot" w:pos="9056"/>
            </w:tabs>
            <w:rPr>
              <w:b w:val="0"/>
              <w:bCs w:val="0"/>
              <w:i w:val="0"/>
              <w:iCs w:val="0"/>
              <w:caps w:val="0"/>
              <w:sz w:val="24"/>
              <w:szCs w:val="24"/>
            </w:rPr>
          </w:pPr>
          <w:hyperlink w:anchor="_Toc101798519" w:history="1">
            <w:r w:rsidR="0037042B">
              <w:rPr>
                <w:rStyle w:val="Hyperlink"/>
              </w:rPr>
              <w:t>3.</w:t>
            </w:r>
          </w:hyperlink>
          <w:hyperlink w:anchor="_Toc101798519" w:history="1">
            <w:r w:rsidR="0037042B">
              <w:rPr>
                <w:rStyle w:val="Hyperlink"/>
                <w:b w:val="0"/>
                <w:i w:val="0"/>
                <w:caps w:val="0"/>
                <w:sz w:val="24"/>
              </w:rPr>
              <w:tab/>
            </w:r>
            <w:r w:rsidR="0037042B">
              <w:rPr>
                <w:rStyle w:val="Hyperlink"/>
              </w:rPr>
              <w:t>Budget</w:t>
            </w:r>
            <w:r w:rsidR="0037042B">
              <w:rPr>
                <w:rStyle w:val="Hyperlink"/>
                <w:webHidden/>
              </w:rPr>
              <w:tab/>
              <w:t>9</w:t>
            </w:r>
          </w:hyperlink>
        </w:p>
        <w:p w14:paraId="5817B291" w14:textId="77777777" w:rsidR="004C3206" w:rsidRPr="00226801" w:rsidRDefault="007F6F5C">
          <w:pPr>
            <w:pStyle w:val="TOC1"/>
            <w:tabs>
              <w:tab w:val="left" w:pos="480"/>
              <w:tab w:val="right" w:leader="dot" w:pos="9056"/>
            </w:tabs>
            <w:rPr>
              <w:b w:val="0"/>
              <w:bCs w:val="0"/>
              <w:i w:val="0"/>
              <w:iCs w:val="0"/>
              <w:caps w:val="0"/>
              <w:sz w:val="24"/>
              <w:szCs w:val="24"/>
            </w:rPr>
          </w:pPr>
          <w:hyperlink w:anchor="_Toc101798520" w:history="1">
            <w:r w:rsidR="0037042B">
              <w:rPr>
                <w:rStyle w:val="Hyperlink"/>
              </w:rPr>
              <w:t>4.</w:t>
            </w:r>
          </w:hyperlink>
          <w:hyperlink w:anchor="_Toc101798520" w:history="1">
            <w:r w:rsidR="0037042B">
              <w:rPr>
                <w:rStyle w:val="Hyperlink"/>
                <w:b w:val="0"/>
                <w:i w:val="0"/>
                <w:caps w:val="0"/>
                <w:sz w:val="24"/>
              </w:rPr>
              <w:tab/>
            </w:r>
            <w:r w:rsidR="0037042B">
              <w:rPr>
                <w:rStyle w:val="Hyperlink"/>
              </w:rPr>
              <w:t>Cadre de suivi-évaluation</w:t>
            </w:r>
            <w:r w:rsidR="0037042B">
              <w:rPr>
                <w:rStyle w:val="Hyperlink"/>
                <w:webHidden/>
              </w:rPr>
              <w:tab/>
              <w:t>11</w:t>
            </w:r>
          </w:hyperlink>
        </w:p>
        <w:p w14:paraId="202A3899" w14:textId="77777777" w:rsidR="00176294" w:rsidRPr="00226801" w:rsidRDefault="007F6F5C">
          <w:pPr>
            <w:rPr>
              <w:rFonts w:asciiTheme="minorHAnsi" w:hAnsiTheme="minorHAnsi" w:cstheme="minorHAnsi"/>
            </w:rPr>
          </w:pPr>
        </w:p>
      </w:sdtContent>
    </w:sdt>
    <w:p w14:paraId="0ECA09D8" w14:textId="77777777" w:rsidR="00F96AF8" w:rsidRPr="00226801" w:rsidRDefault="00F96AF8" w:rsidP="00F96AF8">
      <w:pPr>
        <w:jc w:val="center"/>
        <w:rPr>
          <w:rFonts w:asciiTheme="minorHAnsi" w:hAnsiTheme="minorHAnsi" w:cstheme="minorHAnsi"/>
          <w:b/>
          <w:bCs/>
        </w:rPr>
      </w:pPr>
    </w:p>
    <w:p w14:paraId="77E86926" w14:textId="77777777" w:rsidR="00F96AF8" w:rsidRPr="00226801" w:rsidRDefault="00F96AF8" w:rsidP="00F96AF8">
      <w:pPr>
        <w:jc w:val="center"/>
        <w:rPr>
          <w:rFonts w:asciiTheme="minorHAnsi" w:hAnsiTheme="minorHAnsi" w:cstheme="minorHAnsi"/>
          <w:b/>
          <w:bCs/>
        </w:rPr>
      </w:pPr>
    </w:p>
    <w:p w14:paraId="2A16D429" w14:textId="77777777" w:rsidR="00176294" w:rsidRPr="005304F3" w:rsidRDefault="00176294" w:rsidP="007B6BFD">
      <w:pPr>
        <w:tabs>
          <w:tab w:val="left" w:pos="2323"/>
        </w:tabs>
        <w:rPr>
          <w:rFonts w:asciiTheme="minorHAnsi" w:hAnsiTheme="minorHAnsi" w:cstheme="minorHAnsi"/>
          <w:b/>
          <w:bCs/>
        </w:rPr>
      </w:pPr>
      <w:r>
        <w:br w:type="page"/>
      </w:r>
    </w:p>
    <w:p w14:paraId="48D5FE63" w14:textId="77777777" w:rsidR="00560502" w:rsidRPr="005304F3" w:rsidRDefault="00F8762F" w:rsidP="008E5326">
      <w:pPr>
        <w:pStyle w:val="Heading1"/>
        <w:numPr>
          <w:ilvl w:val="0"/>
          <w:numId w:val="3"/>
        </w:numPr>
        <w:rPr>
          <w:rFonts w:asciiTheme="minorHAnsi" w:hAnsiTheme="minorHAnsi" w:cstheme="minorHAnsi"/>
          <w:sz w:val="24"/>
          <w:szCs w:val="24"/>
        </w:rPr>
      </w:pPr>
      <w:bookmarkStart w:id="0" w:name="_Toc101798502"/>
      <w:r>
        <w:rPr>
          <w:rFonts w:asciiTheme="minorHAnsi" w:hAnsiTheme="minorHAnsi"/>
          <w:sz w:val="24"/>
        </w:rPr>
        <w:lastRenderedPageBreak/>
        <w:t>Introduction</w:t>
      </w:r>
      <w:bookmarkEnd w:id="0"/>
    </w:p>
    <w:p w14:paraId="548CFF78" w14:textId="77777777" w:rsidR="00F8762F" w:rsidRPr="00226801" w:rsidRDefault="00F8762F" w:rsidP="008E5326">
      <w:pPr>
        <w:pStyle w:val="Heading2"/>
        <w:numPr>
          <w:ilvl w:val="1"/>
          <w:numId w:val="3"/>
        </w:numPr>
        <w:rPr>
          <w:rFonts w:asciiTheme="minorHAnsi" w:hAnsiTheme="minorHAnsi" w:cstheme="minorHAnsi"/>
          <w:sz w:val="24"/>
          <w:szCs w:val="24"/>
        </w:rPr>
      </w:pPr>
      <w:bookmarkStart w:id="1" w:name="_Toc101798503"/>
      <w:r>
        <w:rPr>
          <w:rFonts w:asciiTheme="minorHAnsi" w:hAnsiTheme="minorHAnsi"/>
          <w:sz w:val="24"/>
        </w:rPr>
        <w:t xml:space="preserve">Justification du changement de forme du vaccin </w:t>
      </w:r>
      <w:proofErr w:type="spellStart"/>
      <w:r>
        <w:rPr>
          <w:rFonts w:asciiTheme="minorHAnsi" w:hAnsiTheme="minorHAnsi"/>
          <w:sz w:val="24"/>
        </w:rPr>
        <w:t>anti-rotavirus</w:t>
      </w:r>
      <w:bookmarkEnd w:id="1"/>
      <w:proofErr w:type="spellEnd"/>
    </w:p>
    <w:p w14:paraId="403180D3" w14:textId="77777777" w:rsidR="00F8762F" w:rsidRPr="00226801" w:rsidRDefault="001D3C54"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color w:val="000000" w:themeColor="text1"/>
        </w:rPr>
      </w:pPr>
      <w:r>
        <w:rPr>
          <w:rFonts w:asciiTheme="minorHAnsi" w:hAnsiTheme="minorHAnsi"/>
          <w:color w:val="000000" w:themeColor="text1"/>
        </w:rPr>
        <w:t>En raison de la limitation de la fourniture du vaccin à partir de 2022.</w:t>
      </w:r>
    </w:p>
    <w:p w14:paraId="4627FD83" w14:textId="77777777" w:rsidR="00F8762F" w:rsidRPr="00226801" w:rsidRDefault="00F8762F"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iCs/>
          <w:color w:val="000000" w:themeColor="text1"/>
        </w:rPr>
      </w:pPr>
      <w:r>
        <w:rPr>
          <w:rFonts w:asciiTheme="minorHAnsi" w:hAnsiTheme="minorHAnsi"/>
          <w:color w:val="000000" w:themeColor="text1"/>
        </w:rPr>
        <w:t>Les options disponibles ont été communiquées en juin 2021. Il s’agissait de 4 présentations différentes en tant que première préférence et 2 présentations supplémentaires en tant qu'options de secours (2ème préférence) au cas où la 1ère ne serait pas disponible.</w:t>
      </w:r>
    </w:p>
    <w:p w14:paraId="073562C9" w14:textId="77777777" w:rsidR="002169C2" w:rsidRPr="00226801" w:rsidRDefault="006D6D93"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iCs/>
          <w:color w:val="000000" w:themeColor="text1"/>
        </w:rPr>
      </w:pPr>
      <w:r>
        <w:rPr>
          <w:rFonts w:asciiTheme="minorHAnsi" w:hAnsiTheme="minorHAnsi"/>
          <w:color w:val="000000" w:themeColor="text1"/>
        </w:rPr>
        <w:t xml:space="preserve">Le Groupe technique consultatif national sur la vaccination (GTCV) a tenu une session spéciale au cours de laquelle la pertinence du changement de vaccin </w:t>
      </w:r>
      <w:proofErr w:type="spellStart"/>
      <w:r>
        <w:rPr>
          <w:rFonts w:asciiTheme="minorHAnsi" w:hAnsiTheme="minorHAnsi"/>
          <w:color w:val="000000" w:themeColor="text1"/>
        </w:rPr>
        <w:t>anti-rotavirus</w:t>
      </w:r>
      <w:proofErr w:type="spellEnd"/>
      <w:r>
        <w:rPr>
          <w:rFonts w:asciiTheme="minorHAnsi" w:hAnsiTheme="minorHAnsi"/>
          <w:color w:val="000000" w:themeColor="text1"/>
        </w:rPr>
        <w:t xml:space="preserve"> a été reconnue et deux options ont été proposées. Le Comité de coordination inter-agences (CCIA) a ensuite approuvé le </w:t>
      </w:r>
      <w:proofErr w:type="spellStart"/>
      <w:r>
        <w:rPr>
          <w:rFonts w:asciiTheme="minorHAnsi" w:hAnsiTheme="minorHAnsi"/>
          <w:color w:val="000000" w:themeColor="text1"/>
        </w:rPr>
        <w:t>Rotasiil</w:t>
      </w:r>
      <w:proofErr w:type="spellEnd"/>
      <w:r>
        <w:rPr>
          <w:rFonts w:asciiTheme="minorHAnsi" w:hAnsiTheme="minorHAnsi"/>
          <w:color w:val="000000" w:themeColor="text1"/>
        </w:rPr>
        <w:t xml:space="preserve">® liquide en tube plastique unidose comme première préférence, et le </w:t>
      </w:r>
      <w:proofErr w:type="spellStart"/>
      <w:r>
        <w:rPr>
          <w:rFonts w:asciiTheme="minorHAnsi" w:hAnsiTheme="minorHAnsi"/>
          <w:color w:val="000000" w:themeColor="text1"/>
        </w:rPr>
        <w:t>Rotavac</w:t>
      </w:r>
      <w:proofErr w:type="spellEnd"/>
      <w:r>
        <w:rPr>
          <w:rFonts w:asciiTheme="minorHAnsi" w:hAnsiTheme="minorHAnsi"/>
          <w:color w:val="000000" w:themeColor="text1"/>
        </w:rPr>
        <w:t>® liquide en tube de dix doses comme deuxième préférence.</w:t>
      </w:r>
    </w:p>
    <w:p w14:paraId="261B647B" w14:textId="77777777" w:rsidR="00ED11B6" w:rsidRPr="00226801" w:rsidRDefault="00ED11B6"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iCs/>
          <w:color w:val="000000" w:themeColor="text1"/>
        </w:rPr>
      </w:pPr>
      <w:r>
        <w:rPr>
          <w:rFonts w:asciiTheme="minorHAnsi" w:hAnsiTheme="minorHAnsi"/>
          <w:color w:val="000000" w:themeColor="text1"/>
        </w:rPr>
        <w:t xml:space="preserve">Ce changement de forme offre l’opportunité d’économiser entre 40 à 60% le coût de cofinancement du vaccin </w:t>
      </w:r>
      <w:proofErr w:type="spellStart"/>
      <w:r>
        <w:rPr>
          <w:rFonts w:asciiTheme="minorHAnsi" w:hAnsiTheme="minorHAnsi"/>
          <w:color w:val="000000" w:themeColor="text1"/>
        </w:rPr>
        <w:t>anti-rotavirus</w:t>
      </w:r>
      <w:proofErr w:type="spellEnd"/>
      <w:r>
        <w:rPr>
          <w:rFonts w:asciiTheme="minorHAnsi" w:hAnsiTheme="minorHAnsi"/>
          <w:color w:val="000000" w:themeColor="text1"/>
        </w:rPr>
        <w:t xml:space="preserve"> et 60 à 70% de volume de stockage. </w:t>
      </w:r>
    </w:p>
    <w:p w14:paraId="03EA83A7" w14:textId="77777777" w:rsidR="002433FE" w:rsidRPr="00226801" w:rsidRDefault="002433FE" w:rsidP="006F755D">
      <w:pPr>
        <w:pStyle w:val="Heading1"/>
        <w:numPr>
          <w:ilvl w:val="0"/>
          <w:numId w:val="3"/>
        </w:numPr>
        <w:rPr>
          <w:rFonts w:asciiTheme="minorHAnsi" w:hAnsiTheme="minorHAnsi" w:cstheme="minorHAnsi"/>
          <w:sz w:val="24"/>
          <w:szCs w:val="24"/>
        </w:rPr>
      </w:pPr>
      <w:bookmarkStart w:id="2" w:name="_Toc101798504"/>
      <w:r>
        <w:rPr>
          <w:rFonts w:asciiTheme="minorHAnsi" w:hAnsiTheme="minorHAnsi"/>
          <w:sz w:val="24"/>
        </w:rPr>
        <w:t>Objectifs</w:t>
      </w:r>
      <w:bookmarkEnd w:id="2"/>
    </w:p>
    <w:p w14:paraId="56C93D49" w14:textId="77777777" w:rsidR="00840789" w:rsidRPr="00226801" w:rsidRDefault="006F755D" w:rsidP="006F755D">
      <w:pPr>
        <w:pStyle w:val="Heading2"/>
        <w:numPr>
          <w:ilvl w:val="1"/>
          <w:numId w:val="3"/>
        </w:numPr>
        <w:rPr>
          <w:rFonts w:asciiTheme="minorHAnsi" w:hAnsiTheme="minorHAnsi" w:cstheme="minorHAnsi"/>
          <w:b w:val="0"/>
          <w:bCs w:val="0"/>
          <w:color w:val="auto"/>
          <w:sz w:val="24"/>
          <w:szCs w:val="24"/>
        </w:rPr>
      </w:pPr>
      <w:bookmarkStart w:id="3" w:name="_Toc101798505"/>
      <w:r>
        <w:rPr>
          <w:rFonts w:asciiTheme="minorHAnsi" w:hAnsiTheme="minorHAnsi"/>
          <w:b w:val="0"/>
          <w:color w:val="auto"/>
          <w:sz w:val="24"/>
        </w:rPr>
        <w:t>Objectif général</w:t>
      </w:r>
      <w:bookmarkEnd w:id="3"/>
    </w:p>
    <w:p w14:paraId="01410C64" w14:textId="77777777" w:rsidR="00840789" w:rsidRPr="00226801" w:rsidRDefault="006F755D" w:rsidP="00D50ADA">
      <w:pPr>
        <w:spacing w:line="276" w:lineRule="auto"/>
        <w:jc w:val="both"/>
        <w:rPr>
          <w:rFonts w:asciiTheme="minorHAnsi" w:hAnsiTheme="minorHAnsi" w:cstheme="minorHAnsi"/>
          <w:i/>
          <w:iCs/>
        </w:rPr>
      </w:pPr>
      <w:r>
        <w:rPr>
          <w:rFonts w:asciiTheme="minorHAnsi" w:hAnsiTheme="minorHAnsi"/>
        </w:rPr>
        <w:t xml:space="preserve">Remplacer le vaccin </w:t>
      </w:r>
      <w:proofErr w:type="spellStart"/>
      <w:r>
        <w:rPr>
          <w:rFonts w:asciiTheme="minorHAnsi" w:hAnsiTheme="minorHAnsi"/>
        </w:rPr>
        <w:t>Rotarix</w:t>
      </w:r>
      <w:proofErr w:type="spellEnd"/>
      <w:r>
        <w:rPr>
          <w:rFonts w:asciiTheme="minorHAnsi" w:hAnsiTheme="minorHAnsi"/>
        </w:rPr>
        <w:t xml:space="preserve">® par le vaccin </w:t>
      </w:r>
      <w:proofErr w:type="spellStart"/>
      <w:r>
        <w:rPr>
          <w:rFonts w:asciiTheme="minorHAnsi" w:hAnsiTheme="minorHAnsi"/>
        </w:rPr>
        <w:t>Rotavac</w:t>
      </w:r>
      <w:proofErr w:type="spellEnd"/>
      <w:r>
        <w:rPr>
          <w:rFonts w:asciiTheme="minorHAnsi" w:hAnsiTheme="minorHAnsi"/>
        </w:rPr>
        <w:t xml:space="preserve">® dans le schéma vaccinal systématique sans compromettre l’offre et la demande du vaccin </w:t>
      </w:r>
      <w:proofErr w:type="spellStart"/>
      <w:r>
        <w:rPr>
          <w:rFonts w:asciiTheme="minorHAnsi" w:hAnsiTheme="minorHAnsi"/>
        </w:rPr>
        <w:t>anti-rotavirus</w:t>
      </w:r>
      <w:proofErr w:type="spellEnd"/>
      <w:r>
        <w:rPr>
          <w:rFonts w:asciiTheme="minorHAnsi" w:hAnsiTheme="minorHAnsi"/>
        </w:rPr>
        <w:t>.</w:t>
      </w:r>
    </w:p>
    <w:p w14:paraId="3784F6E6" w14:textId="77777777" w:rsidR="006F755D" w:rsidRPr="00226801" w:rsidRDefault="00E97B10" w:rsidP="006F755D">
      <w:pPr>
        <w:pStyle w:val="Heading2"/>
        <w:numPr>
          <w:ilvl w:val="1"/>
          <w:numId w:val="3"/>
        </w:numPr>
        <w:rPr>
          <w:rFonts w:asciiTheme="minorHAnsi" w:hAnsiTheme="minorHAnsi" w:cstheme="minorHAnsi"/>
          <w:b w:val="0"/>
          <w:bCs w:val="0"/>
          <w:color w:val="auto"/>
          <w:sz w:val="24"/>
          <w:szCs w:val="24"/>
        </w:rPr>
      </w:pPr>
      <w:bookmarkStart w:id="4" w:name="_Toc101798506"/>
      <w:r>
        <w:rPr>
          <w:rFonts w:asciiTheme="minorHAnsi" w:hAnsiTheme="minorHAnsi"/>
          <w:b w:val="0"/>
          <w:color w:val="auto"/>
          <w:sz w:val="24"/>
        </w:rPr>
        <w:t>Objectifs spécifiques</w:t>
      </w:r>
      <w:bookmarkEnd w:id="4"/>
    </w:p>
    <w:p w14:paraId="0300B398" w14:textId="77777777" w:rsidR="006F755D" w:rsidRPr="00226801" w:rsidRDefault="002411F5" w:rsidP="00D50ADA">
      <w:pPr>
        <w:pStyle w:val="ListParagraph"/>
        <w:numPr>
          <w:ilvl w:val="0"/>
          <w:numId w:val="5"/>
        </w:numPr>
        <w:spacing w:line="276" w:lineRule="auto"/>
        <w:rPr>
          <w:rFonts w:cstheme="minorHAnsi"/>
          <w:i w:val="0"/>
          <w:iCs w:val="0"/>
          <w:sz w:val="24"/>
          <w:szCs w:val="24"/>
        </w:rPr>
      </w:pPr>
      <w:r>
        <w:rPr>
          <w:i w:val="0"/>
          <w:sz w:val="24"/>
        </w:rPr>
        <w:t xml:space="preserve">Informer les personnels de santé sur le changement et les spécificités du vaccin </w:t>
      </w:r>
      <w:proofErr w:type="spellStart"/>
      <w:r>
        <w:rPr>
          <w:i w:val="0"/>
          <w:sz w:val="24"/>
        </w:rPr>
        <w:t>Rotavac</w:t>
      </w:r>
      <w:proofErr w:type="spellEnd"/>
      <w:r>
        <w:rPr>
          <w:i w:val="0"/>
          <w:sz w:val="24"/>
        </w:rPr>
        <w:t xml:space="preserve"> ® et les implications de son introduction dans le schéma vaccinal en remplacement du </w:t>
      </w:r>
      <w:proofErr w:type="spellStart"/>
      <w:r>
        <w:rPr>
          <w:i w:val="0"/>
          <w:sz w:val="24"/>
        </w:rPr>
        <w:t>Rotarix</w:t>
      </w:r>
      <w:proofErr w:type="spellEnd"/>
    </w:p>
    <w:p w14:paraId="4CF68B96" w14:textId="77777777" w:rsidR="002411F5" w:rsidRPr="00226801" w:rsidRDefault="002411F5" w:rsidP="00D50ADA">
      <w:pPr>
        <w:pStyle w:val="ListParagraph"/>
        <w:numPr>
          <w:ilvl w:val="0"/>
          <w:numId w:val="5"/>
        </w:numPr>
        <w:spacing w:line="276" w:lineRule="auto"/>
        <w:rPr>
          <w:rFonts w:cstheme="minorHAnsi"/>
          <w:i w:val="0"/>
          <w:iCs w:val="0"/>
          <w:sz w:val="24"/>
          <w:szCs w:val="24"/>
        </w:rPr>
      </w:pPr>
      <w:r>
        <w:rPr>
          <w:i w:val="0"/>
          <w:sz w:val="24"/>
        </w:rPr>
        <w:t xml:space="preserve">Informer les la communauté et les parents du changement de forme de vaccin </w:t>
      </w:r>
      <w:proofErr w:type="spellStart"/>
      <w:r>
        <w:rPr>
          <w:i w:val="0"/>
          <w:sz w:val="24"/>
        </w:rPr>
        <w:t>anti-rotavirus</w:t>
      </w:r>
      <w:proofErr w:type="spellEnd"/>
    </w:p>
    <w:p w14:paraId="2955CA45" w14:textId="77777777" w:rsidR="002411F5" w:rsidRPr="00226801" w:rsidRDefault="002411F5" w:rsidP="00D50ADA">
      <w:pPr>
        <w:pStyle w:val="ListParagraph"/>
        <w:numPr>
          <w:ilvl w:val="0"/>
          <w:numId w:val="5"/>
        </w:numPr>
        <w:spacing w:line="276" w:lineRule="auto"/>
        <w:rPr>
          <w:rFonts w:cstheme="minorHAnsi"/>
          <w:i w:val="0"/>
          <w:iCs w:val="0"/>
          <w:sz w:val="24"/>
          <w:szCs w:val="24"/>
        </w:rPr>
      </w:pPr>
      <w:r>
        <w:rPr>
          <w:i w:val="0"/>
          <w:sz w:val="24"/>
        </w:rPr>
        <w:t xml:space="preserve">Mettre à la disposition de toutes les formations sanitaires qui vaccinent les doses et les matériels d’injection le vaccin </w:t>
      </w:r>
      <w:proofErr w:type="spellStart"/>
      <w:r>
        <w:rPr>
          <w:i w:val="0"/>
          <w:sz w:val="24"/>
        </w:rPr>
        <w:t>Rotavac</w:t>
      </w:r>
      <w:proofErr w:type="spellEnd"/>
      <w:r>
        <w:rPr>
          <w:i w:val="0"/>
          <w:sz w:val="24"/>
        </w:rPr>
        <w:t xml:space="preserve"> ® </w:t>
      </w:r>
    </w:p>
    <w:p w14:paraId="5B3D7C33" w14:textId="77777777" w:rsidR="002411F5" w:rsidRPr="00226801" w:rsidRDefault="002411F5" w:rsidP="00D50ADA">
      <w:pPr>
        <w:pStyle w:val="ListParagraph"/>
        <w:numPr>
          <w:ilvl w:val="0"/>
          <w:numId w:val="5"/>
        </w:numPr>
        <w:spacing w:line="276" w:lineRule="auto"/>
        <w:rPr>
          <w:rFonts w:cstheme="minorHAnsi"/>
          <w:i w:val="0"/>
          <w:iCs w:val="0"/>
          <w:sz w:val="24"/>
          <w:szCs w:val="24"/>
        </w:rPr>
      </w:pPr>
      <w:r>
        <w:rPr>
          <w:i w:val="0"/>
          <w:sz w:val="24"/>
        </w:rPr>
        <w:t xml:space="preserve">Suivre les performances de la vaccination </w:t>
      </w:r>
      <w:proofErr w:type="spellStart"/>
      <w:r>
        <w:rPr>
          <w:i w:val="0"/>
          <w:sz w:val="24"/>
        </w:rPr>
        <w:t>anti-rotavirus</w:t>
      </w:r>
      <w:proofErr w:type="spellEnd"/>
      <w:r>
        <w:rPr>
          <w:i w:val="0"/>
          <w:sz w:val="24"/>
        </w:rPr>
        <w:t xml:space="preserve">. </w:t>
      </w:r>
    </w:p>
    <w:p w14:paraId="60D2A723" w14:textId="77777777" w:rsidR="002433FE" w:rsidRPr="00226801" w:rsidRDefault="002411F5" w:rsidP="002411F5">
      <w:pPr>
        <w:pStyle w:val="Heading1"/>
        <w:numPr>
          <w:ilvl w:val="0"/>
          <w:numId w:val="3"/>
        </w:numPr>
        <w:rPr>
          <w:rFonts w:asciiTheme="minorHAnsi" w:hAnsiTheme="minorHAnsi" w:cstheme="minorHAnsi"/>
          <w:sz w:val="24"/>
          <w:szCs w:val="24"/>
        </w:rPr>
      </w:pPr>
      <w:bookmarkStart w:id="5" w:name="_Toc101798507"/>
      <w:r>
        <w:rPr>
          <w:rFonts w:asciiTheme="minorHAnsi" w:hAnsiTheme="minorHAnsi"/>
          <w:sz w:val="24"/>
        </w:rPr>
        <w:t>Axes stratégiques et activités planifiés</w:t>
      </w:r>
      <w:bookmarkEnd w:id="5"/>
    </w:p>
    <w:p w14:paraId="0C62D82A" w14:textId="77777777" w:rsidR="002411F5" w:rsidRPr="00226801" w:rsidRDefault="002411F5" w:rsidP="002411F5">
      <w:pPr>
        <w:pStyle w:val="Heading2"/>
        <w:numPr>
          <w:ilvl w:val="1"/>
          <w:numId w:val="3"/>
        </w:numPr>
        <w:rPr>
          <w:rFonts w:asciiTheme="minorHAnsi" w:hAnsiTheme="minorHAnsi" w:cstheme="minorHAnsi"/>
          <w:b w:val="0"/>
          <w:bCs w:val="0"/>
          <w:color w:val="auto"/>
          <w:sz w:val="24"/>
          <w:szCs w:val="24"/>
        </w:rPr>
      </w:pPr>
      <w:bookmarkStart w:id="6" w:name="_Toc101798508"/>
      <w:r>
        <w:rPr>
          <w:rFonts w:asciiTheme="minorHAnsi" w:hAnsiTheme="minorHAnsi"/>
          <w:b w:val="0"/>
          <w:color w:val="auto"/>
          <w:sz w:val="24"/>
        </w:rPr>
        <w:t>Information et renforcement des capacités du personnel en charge de la vaccination</w:t>
      </w:r>
      <w:bookmarkEnd w:id="6"/>
      <w:r>
        <w:rPr>
          <w:rFonts w:asciiTheme="minorHAnsi" w:hAnsiTheme="minorHAnsi"/>
          <w:b w:val="0"/>
          <w:color w:val="auto"/>
          <w:sz w:val="24"/>
        </w:rPr>
        <w:t xml:space="preserve"> </w:t>
      </w:r>
    </w:p>
    <w:p w14:paraId="470B6CB1" w14:textId="77777777" w:rsidR="00157C6D" w:rsidRPr="00226801" w:rsidRDefault="00655B0D" w:rsidP="00D50ADA">
      <w:pPr>
        <w:spacing w:line="276" w:lineRule="auto"/>
        <w:jc w:val="both"/>
        <w:rPr>
          <w:rFonts w:asciiTheme="minorHAnsi" w:hAnsiTheme="minorHAnsi" w:cstheme="minorHAnsi"/>
          <w:i/>
          <w:iCs/>
        </w:rPr>
      </w:pPr>
      <w:r>
        <w:rPr>
          <w:rFonts w:asciiTheme="minorHAnsi" w:hAnsiTheme="minorHAnsi"/>
        </w:rPr>
        <w:t xml:space="preserve">Le personnel responsable de la vaccination à différents niveaux de la pyramide sanitaire devra être informé sur les modalités ou exigences relatives à ce changement. Les différents axes de formation seront : la vaccination en pratique et la surveillance des manifestations post vaccinales indésirables (MAPI) et des événements indésirables d’intérêt particulier (EIIP) et leur prise en charge. Le but de la formation qui se fera en cascade est de mettre à jour les </w:t>
      </w:r>
      <w:r>
        <w:rPr>
          <w:rFonts w:asciiTheme="minorHAnsi" w:hAnsiTheme="minorHAnsi"/>
        </w:rPr>
        <w:lastRenderedPageBreak/>
        <w:t xml:space="preserve">connaissances de base sur la vaccination avec un accent particulier sur les implications du changement du rota sur les pratiques quotidiennes des personnels de santé dans i) la communication interpersonnelle, ii) la gestion des stocks, iii) la collecte des données, iv) la surveillance des MAPI et v) le suivi des performances post changement notamment le passage de 2 doses (pour </w:t>
      </w:r>
      <w:proofErr w:type="spellStart"/>
      <w:r>
        <w:rPr>
          <w:rFonts w:asciiTheme="minorHAnsi" w:hAnsiTheme="minorHAnsi"/>
        </w:rPr>
        <w:t>Rotarix</w:t>
      </w:r>
      <w:proofErr w:type="spellEnd"/>
      <w:r>
        <w:rPr>
          <w:rFonts w:asciiTheme="minorHAnsi" w:hAnsiTheme="minorHAnsi"/>
        </w:rPr>
        <w:t xml:space="preserve">®) à 3 doses (Pour </w:t>
      </w:r>
      <w:proofErr w:type="spellStart"/>
      <w:r>
        <w:rPr>
          <w:rFonts w:asciiTheme="minorHAnsi" w:hAnsiTheme="minorHAnsi"/>
        </w:rPr>
        <w:t>Rotavac</w:t>
      </w:r>
      <w:proofErr w:type="spellEnd"/>
      <w:r>
        <w:rPr>
          <w:rFonts w:asciiTheme="minorHAnsi" w:hAnsiTheme="minorHAnsi"/>
        </w:rPr>
        <w:t xml:space="preserve"> ®).</w:t>
      </w:r>
    </w:p>
    <w:p w14:paraId="1C55AD4D" w14:textId="77777777" w:rsidR="009E44BC" w:rsidRPr="00226801" w:rsidRDefault="009E44BC" w:rsidP="00CB006B">
      <w:pPr>
        <w:pStyle w:val="Caption"/>
        <w:spacing w:before="240" w:after="0"/>
        <w:rPr>
          <w:rFonts w:cstheme="minorHAnsi"/>
          <w:color w:val="000000" w:themeColor="text1"/>
          <w:sz w:val="28"/>
          <w:szCs w:val="28"/>
        </w:rPr>
      </w:pPr>
      <w:r>
        <w:rPr>
          <w:sz w:val="20"/>
        </w:rPr>
        <w:t>Tableau 2 : Effectif des personnels de santé ciblées par les sessions d'information. </w:t>
      </w:r>
    </w:p>
    <w:tbl>
      <w:tblPr>
        <w:tblStyle w:val="ListTable6ColourfulAccent1"/>
        <w:tblW w:w="9074" w:type="dxa"/>
        <w:tblLook w:val="04A0" w:firstRow="1" w:lastRow="0" w:firstColumn="1" w:lastColumn="0" w:noHBand="0" w:noVBand="1"/>
      </w:tblPr>
      <w:tblGrid>
        <w:gridCol w:w="1195"/>
        <w:gridCol w:w="817"/>
        <w:gridCol w:w="817"/>
        <w:gridCol w:w="817"/>
        <w:gridCol w:w="1141"/>
        <w:gridCol w:w="1141"/>
        <w:gridCol w:w="846"/>
        <w:gridCol w:w="1231"/>
        <w:gridCol w:w="1116"/>
      </w:tblGrid>
      <w:tr w:rsidR="002E3225" w:rsidRPr="00226801" w14:paraId="47DDC07D" w14:textId="77777777" w:rsidTr="002E3225">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195" w:type="dxa"/>
            <w:vAlign w:val="center"/>
            <w:hideMark/>
          </w:tcPr>
          <w:p w14:paraId="1DE62523" w14:textId="77777777" w:rsidR="009E44BC" w:rsidRPr="00226801" w:rsidRDefault="009E44BC" w:rsidP="00A7449F">
            <w:pPr>
              <w:pStyle w:val="NoSpacing"/>
              <w:jc w:val="center"/>
              <w:rPr>
                <w:rFonts w:cstheme="minorHAnsi"/>
                <w:sz w:val="16"/>
                <w:szCs w:val="16"/>
              </w:rPr>
            </w:pPr>
            <w:r>
              <w:rPr>
                <w:sz w:val="16"/>
              </w:rPr>
              <w:t>Région</w:t>
            </w:r>
          </w:p>
        </w:tc>
        <w:tc>
          <w:tcPr>
            <w:tcW w:w="817" w:type="dxa"/>
            <w:vAlign w:val="center"/>
            <w:hideMark/>
          </w:tcPr>
          <w:p w14:paraId="212B721B" w14:textId="77777777" w:rsidR="009E44BC" w:rsidRPr="00226801" w:rsidRDefault="009E44BC"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sz w:val="16"/>
              </w:rPr>
              <w:t>Nombre de DS</w:t>
            </w:r>
          </w:p>
        </w:tc>
        <w:tc>
          <w:tcPr>
            <w:tcW w:w="817" w:type="dxa"/>
            <w:vAlign w:val="center"/>
            <w:hideMark/>
          </w:tcPr>
          <w:p w14:paraId="1AC526BD" w14:textId="77777777" w:rsidR="009E44BC" w:rsidRPr="00226801" w:rsidRDefault="009E44BC"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sz w:val="16"/>
              </w:rPr>
              <w:t>Nombre AS</w:t>
            </w:r>
          </w:p>
        </w:tc>
        <w:tc>
          <w:tcPr>
            <w:tcW w:w="817" w:type="dxa"/>
            <w:vAlign w:val="center"/>
            <w:hideMark/>
          </w:tcPr>
          <w:p w14:paraId="186BEB97" w14:textId="77777777" w:rsidR="009E44BC" w:rsidRPr="00226801" w:rsidRDefault="009E44BC"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sz w:val="16"/>
              </w:rPr>
              <w:t>Nombre de FOSA PEV</w:t>
            </w:r>
          </w:p>
        </w:tc>
        <w:tc>
          <w:tcPr>
            <w:tcW w:w="1141" w:type="dxa"/>
            <w:vAlign w:val="center"/>
            <w:hideMark/>
          </w:tcPr>
          <w:p w14:paraId="7F39CBE7" w14:textId="77777777" w:rsidR="009E44BC" w:rsidRPr="00226801" w:rsidRDefault="009E44BC"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sz w:val="16"/>
              </w:rPr>
              <w:t>Animateurs centraux,</w:t>
            </w:r>
          </w:p>
        </w:tc>
        <w:tc>
          <w:tcPr>
            <w:tcW w:w="1141" w:type="dxa"/>
            <w:vAlign w:val="center"/>
            <w:hideMark/>
          </w:tcPr>
          <w:p w14:paraId="67506B21" w14:textId="77777777" w:rsidR="009E44BC" w:rsidRPr="00226801" w:rsidRDefault="009E44BC"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sz w:val="16"/>
              </w:rPr>
              <w:t>Animateurs régionaux pour 100 DS</w:t>
            </w:r>
          </w:p>
        </w:tc>
        <w:tc>
          <w:tcPr>
            <w:tcW w:w="799" w:type="dxa"/>
            <w:vAlign w:val="center"/>
            <w:hideMark/>
          </w:tcPr>
          <w:p w14:paraId="132AC7E7" w14:textId="77777777" w:rsidR="009E44BC" w:rsidRPr="00226801" w:rsidRDefault="002E3225"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proofErr w:type="gramStart"/>
            <w:r>
              <w:rPr>
                <w:sz w:val="16"/>
              </w:rPr>
              <w:t>Membres  ECD</w:t>
            </w:r>
            <w:proofErr w:type="gramEnd"/>
            <w:r>
              <w:rPr>
                <w:sz w:val="16"/>
              </w:rPr>
              <w:t> </w:t>
            </w:r>
          </w:p>
        </w:tc>
        <w:tc>
          <w:tcPr>
            <w:tcW w:w="1231" w:type="dxa"/>
            <w:vAlign w:val="center"/>
            <w:hideMark/>
          </w:tcPr>
          <w:p w14:paraId="6B43A682" w14:textId="77777777" w:rsidR="009E44BC" w:rsidRPr="00226801" w:rsidRDefault="009E44BC"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sz w:val="16"/>
              </w:rPr>
              <w:t>Responsables des centres de santé</w:t>
            </w:r>
          </w:p>
        </w:tc>
        <w:tc>
          <w:tcPr>
            <w:tcW w:w="1116" w:type="dxa"/>
            <w:vAlign w:val="center"/>
            <w:hideMark/>
          </w:tcPr>
          <w:p w14:paraId="1D57AEE8" w14:textId="77777777" w:rsidR="009E44BC" w:rsidRPr="00226801" w:rsidRDefault="009E44BC"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sz w:val="16"/>
              </w:rPr>
              <w:t>Total des participants</w:t>
            </w:r>
          </w:p>
        </w:tc>
      </w:tr>
      <w:tr w:rsidR="002E3225" w:rsidRPr="00226801" w14:paraId="2C39E3DA" w14:textId="77777777" w:rsidTr="004E1E3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212E5CD2" w14:textId="77777777" w:rsidR="009E44BC" w:rsidRPr="00226801" w:rsidRDefault="004E1E36" w:rsidP="00A7449F">
            <w:pPr>
              <w:pStyle w:val="NoSpacing"/>
              <w:rPr>
                <w:rFonts w:cstheme="minorHAnsi"/>
              </w:rPr>
            </w:pPr>
            <w:r>
              <w:t>A</w:t>
            </w:r>
          </w:p>
        </w:tc>
        <w:tc>
          <w:tcPr>
            <w:tcW w:w="817" w:type="dxa"/>
            <w:noWrap/>
            <w:hideMark/>
          </w:tcPr>
          <w:p w14:paraId="0AAB9CD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10</w:t>
            </w:r>
          </w:p>
        </w:tc>
        <w:tc>
          <w:tcPr>
            <w:tcW w:w="817" w:type="dxa"/>
            <w:noWrap/>
            <w:hideMark/>
          </w:tcPr>
          <w:p w14:paraId="74AD8314"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79</w:t>
            </w:r>
          </w:p>
        </w:tc>
        <w:tc>
          <w:tcPr>
            <w:tcW w:w="817" w:type="dxa"/>
            <w:noWrap/>
            <w:hideMark/>
          </w:tcPr>
          <w:p w14:paraId="3F8A8A54"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174</w:t>
            </w:r>
          </w:p>
        </w:tc>
        <w:tc>
          <w:tcPr>
            <w:tcW w:w="1141" w:type="dxa"/>
            <w:noWrap/>
            <w:hideMark/>
          </w:tcPr>
          <w:p w14:paraId="40E9A04B"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w:t>
            </w:r>
          </w:p>
        </w:tc>
        <w:tc>
          <w:tcPr>
            <w:tcW w:w="1141" w:type="dxa"/>
            <w:noWrap/>
            <w:hideMark/>
          </w:tcPr>
          <w:p w14:paraId="5DB726A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5</w:t>
            </w:r>
          </w:p>
        </w:tc>
        <w:tc>
          <w:tcPr>
            <w:tcW w:w="799" w:type="dxa"/>
            <w:noWrap/>
            <w:hideMark/>
          </w:tcPr>
          <w:p w14:paraId="565394FC"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20</w:t>
            </w:r>
          </w:p>
        </w:tc>
        <w:tc>
          <w:tcPr>
            <w:tcW w:w="1231" w:type="dxa"/>
            <w:noWrap/>
            <w:hideMark/>
          </w:tcPr>
          <w:p w14:paraId="5F877517"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79</w:t>
            </w:r>
          </w:p>
        </w:tc>
        <w:tc>
          <w:tcPr>
            <w:tcW w:w="1116" w:type="dxa"/>
            <w:noWrap/>
            <w:hideMark/>
          </w:tcPr>
          <w:p w14:paraId="6AA3E29F"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105</w:t>
            </w:r>
          </w:p>
        </w:tc>
      </w:tr>
      <w:tr w:rsidR="002E3225" w:rsidRPr="00226801" w14:paraId="337C41B0" w14:textId="77777777" w:rsidTr="004E1E36">
        <w:trPr>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43E6DFDD" w14:textId="77777777" w:rsidR="009E44BC" w:rsidRPr="00226801" w:rsidRDefault="004E1E36" w:rsidP="00A7449F">
            <w:pPr>
              <w:pStyle w:val="NoSpacing"/>
              <w:rPr>
                <w:rFonts w:cstheme="minorHAnsi"/>
              </w:rPr>
            </w:pPr>
            <w:r>
              <w:t>B</w:t>
            </w:r>
          </w:p>
        </w:tc>
        <w:tc>
          <w:tcPr>
            <w:tcW w:w="817" w:type="dxa"/>
            <w:noWrap/>
            <w:hideMark/>
          </w:tcPr>
          <w:p w14:paraId="0B26E792"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32</w:t>
            </w:r>
          </w:p>
        </w:tc>
        <w:tc>
          <w:tcPr>
            <w:tcW w:w="817" w:type="dxa"/>
            <w:noWrap/>
            <w:hideMark/>
          </w:tcPr>
          <w:p w14:paraId="6E8E8E0C"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298</w:t>
            </w:r>
          </w:p>
        </w:tc>
        <w:tc>
          <w:tcPr>
            <w:tcW w:w="817" w:type="dxa"/>
            <w:noWrap/>
            <w:hideMark/>
          </w:tcPr>
          <w:p w14:paraId="6DEC6389"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1181</w:t>
            </w:r>
          </w:p>
        </w:tc>
        <w:tc>
          <w:tcPr>
            <w:tcW w:w="1141" w:type="dxa"/>
            <w:noWrap/>
            <w:hideMark/>
          </w:tcPr>
          <w:p w14:paraId="20B35E4E"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2</w:t>
            </w:r>
          </w:p>
        </w:tc>
        <w:tc>
          <w:tcPr>
            <w:tcW w:w="1141" w:type="dxa"/>
            <w:noWrap/>
            <w:hideMark/>
          </w:tcPr>
          <w:p w14:paraId="1C35A098"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16</w:t>
            </w:r>
          </w:p>
        </w:tc>
        <w:tc>
          <w:tcPr>
            <w:tcW w:w="799" w:type="dxa"/>
            <w:noWrap/>
            <w:hideMark/>
          </w:tcPr>
          <w:p w14:paraId="505E9AEB"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64</w:t>
            </w:r>
          </w:p>
        </w:tc>
        <w:tc>
          <w:tcPr>
            <w:tcW w:w="1231" w:type="dxa"/>
            <w:noWrap/>
            <w:hideMark/>
          </w:tcPr>
          <w:p w14:paraId="586A0FF2"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298</w:t>
            </w:r>
          </w:p>
        </w:tc>
        <w:tc>
          <w:tcPr>
            <w:tcW w:w="1116" w:type="dxa"/>
            <w:noWrap/>
            <w:hideMark/>
          </w:tcPr>
          <w:p w14:paraId="77F2AA4D"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380</w:t>
            </w:r>
          </w:p>
        </w:tc>
      </w:tr>
      <w:tr w:rsidR="002E3225" w:rsidRPr="00226801" w14:paraId="53E762F8" w14:textId="77777777" w:rsidTr="004E1E3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40F0BE33" w14:textId="77777777" w:rsidR="009E44BC" w:rsidRPr="00226801" w:rsidRDefault="004E1E36" w:rsidP="00A7449F">
            <w:pPr>
              <w:pStyle w:val="NoSpacing"/>
              <w:rPr>
                <w:rFonts w:cstheme="minorHAnsi"/>
              </w:rPr>
            </w:pPr>
            <w:r>
              <w:t>C</w:t>
            </w:r>
          </w:p>
        </w:tc>
        <w:tc>
          <w:tcPr>
            <w:tcW w:w="817" w:type="dxa"/>
            <w:noWrap/>
            <w:hideMark/>
          </w:tcPr>
          <w:p w14:paraId="6EBD8C62"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15</w:t>
            </w:r>
          </w:p>
        </w:tc>
        <w:tc>
          <w:tcPr>
            <w:tcW w:w="817" w:type="dxa"/>
            <w:noWrap/>
            <w:hideMark/>
          </w:tcPr>
          <w:p w14:paraId="78BF6DFB"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114</w:t>
            </w:r>
          </w:p>
        </w:tc>
        <w:tc>
          <w:tcPr>
            <w:tcW w:w="817" w:type="dxa"/>
            <w:noWrap/>
            <w:hideMark/>
          </w:tcPr>
          <w:p w14:paraId="62EB230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230</w:t>
            </w:r>
          </w:p>
        </w:tc>
        <w:tc>
          <w:tcPr>
            <w:tcW w:w="1141" w:type="dxa"/>
            <w:noWrap/>
            <w:hideMark/>
          </w:tcPr>
          <w:p w14:paraId="71ACA713"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w:t>
            </w:r>
          </w:p>
        </w:tc>
        <w:tc>
          <w:tcPr>
            <w:tcW w:w="1141" w:type="dxa"/>
            <w:noWrap/>
            <w:hideMark/>
          </w:tcPr>
          <w:p w14:paraId="07927FB0"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8</w:t>
            </w:r>
          </w:p>
        </w:tc>
        <w:tc>
          <w:tcPr>
            <w:tcW w:w="799" w:type="dxa"/>
            <w:noWrap/>
            <w:hideMark/>
          </w:tcPr>
          <w:p w14:paraId="1A39391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30</w:t>
            </w:r>
          </w:p>
        </w:tc>
        <w:tc>
          <w:tcPr>
            <w:tcW w:w="1231" w:type="dxa"/>
            <w:noWrap/>
            <w:hideMark/>
          </w:tcPr>
          <w:p w14:paraId="2050CD87"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114</w:t>
            </w:r>
          </w:p>
        </w:tc>
        <w:tc>
          <w:tcPr>
            <w:tcW w:w="1116" w:type="dxa"/>
            <w:noWrap/>
            <w:hideMark/>
          </w:tcPr>
          <w:p w14:paraId="56E96C2A"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153</w:t>
            </w:r>
          </w:p>
        </w:tc>
      </w:tr>
      <w:tr w:rsidR="002E3225" w:rsidRPr="00226801" w14:paraId="57AFE417" w14:textId="77777777" w:rsidTr="004E1E36">
        <w:trPr>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6ECCAA85" w14:textId="77777777" w:rsidR="009E44BC" w:rsidRPr="00226801" w:rsidRDefault="004E1E36" w:rsidP="00A7449F">
            <w:pPr>
              <w:pStyle w:val="NoSpacing"/>
              <w:rPr>
                <w:rFonts w:cstheme="minorHAnsi"/>
              </w:rPr>
            </w:pPr>
            <w:r>
              <w:t>D</w:t>
            </w:r>
          </w:p>
        </w:tc>
        <w:tc>
          <w:tcPr>
            <w:tcW w:w="817" w:type="dxa"/>
            <w:noWrap/>
            <w:hideMark/>
          </w:tcPr>
          <w:p w14:paraId="3CB695C5"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32</w:t>
            </w:r>
          </w:p>
        </w:tc>
        <w:tc>
          <w:tcPr>
            <w:tcW w:w="817" w:type="dxa"/>
            <w:noWrap/>
            <w:hideMark/>
          </w:tcPr>
          <w:p w14:paraId="439C7E4F"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298</w:t>
            </w:r>
          </w:p>
        </w:tc>
        <w:tc>
          <w:tcPr>
            <w:tcW w:w="817" w:type="dxa"/>
            <w:noWrap/>
            <w:hideMark/>
          </w:tcPr>
          <w:p w14:paraId="65A66B12"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362</w:t>
            </w:r>
          </w:p>
        </w:tc>
        <w:tc>
          <w:tcPr>
            <w:tcW w:w="1141" w:type="dxa"/>
            <w:noWrap/>
            <w:hideMark/>
          </w:tcPr>
          <w:p w14:paraId="3C669198"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2</w:t>
            </w:r>
          </w:p>
        </w:tc>
        <w:tc>
          <w:tcPr>
            <w:tcW w:w="1141" w:type="dxa"/>
            <w:noWrap/>
            <w:hideMark/>
          </w:tcPr>
          <w:p w14:paraId="45EC37F4"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16</w:t>
            </w:r>
          </w:p>
        </w:tc>
        <w:tc>
          <w:tcPr>
            <w:tcW w:w="799" w:type="dxa"/>
            <w:noWrap/>
            <w:hideMark/>
          </w:tcPr>
          <w:p w14:paraId="122B6D46"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64</w:t>
            </w:r>
          </w:p>
        </w:tc>
        <w:tc>
          <w:tcPr>
            <w:tcW w:w="1231" w:type="dxa"/>
            <w:noWrap/>
            <w:hideMark/>
          </w:tcPr>
          <w:p w14:paraId="270BE3E8"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298</w:t>
            </w:r>
          </w:p>
        </w:tc>
        <w:tc>
          <w:tcPr>
            <w:tcW w:w="1116" w:type="dxa"/>
            <w:noWrap/>
            <w:hideMark/>
          </w:tcPr>
          <w:p w14:paraId="0E330E15"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380</w:t>
            </w:r>
          </w:p>
        </w:tc>
      </w:tr>
      <w:tr w:rsidR="002E3225" w:rsidRPr="00226801" w14:paraId="164EE216" w14:textId="77777777" w:rsidTr="004E1E3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11CE237F" w14:textId="77777777" w:rsidR="009E44BC" w:rsidRPr="00226801" w:rsidRDefault="004E1E36" w:rsidP="00A7449F">
            <w:pPr>
              <w:pStyle w:val="NoSpacing"/>
              <w:rPr>
                <w:rFonts w:cstheme="minorHAnsi"/>
              </w:rPr>
            </w:pPr>
            <w:r>
              <w:t>B</w:t>
            </w:r>
          </w:p>
        </w:tc>
        <w:tc>
          <w:tcPr>
            <w:tcW w:w="817" w:type="dxa"/>
            <w:noWrap/>
            <w:hideMark/>
          </w:tcPr>
          <w:p w14:paraId="2C346A26"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24</w:t>
            </w:r>
          </w:p>
        </w:tc>
        <w:tc>
          <w:tcPr>
            <w:tcW w:w="817" w:type="dxa"/>
            <w:noWrap/>
            <w:hideMark/>
          </w:tcPr>
          <w:p w14:paraId="71D8F151"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189</w:t>
            </w:r>
          </w:p>
        </w:tc>
        <w:tc>
          <w:tcPr>
            <w:tcW w:w="817" w:type="dxa"/>
            <w:noWrap/>
            <w:hideMark/>
          </w:tcPr>
          <w:p w14:paraId="2AAEB580"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602</w:t>
            </w:r>
          </w:p>
        </w:tc>
        <w:tc>
          <w:tcPr>
            <w:tcW w:w="1141" w:type="dxa"/>
            <w:noWrap/>
            <w:hideMark/>
          </w:tcPr>
          <w:p w14:paraId="0B75B9C2"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2</w:t>
            </w:r>
          </w:p>
        </w:tc>
        <w:tc>
          <w:tcPr>
            <w:tcW w:w="1141" w:type="dxa"/>
            <w:noWrap/>
            <w:hideMark/>
          </w:tcPr>
          <w:p w14:paraId="3E63FB2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12</w:t>
            </w:r>
          </w:p>
        </w:tc>
        <w:tc>
          <w:tcPr>
            <w:tcW w:w="799" w:type="dxa"/>
            <w:noWrap/>
            <w:hideMark/>
          </w:tcPr>
          <w:p w14:paraId="1CA7D3E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48</w:t>
            </w:r>
          </w:p>
        </w:tc>
        <w:tc>
          <w:tcPr>
            <w:tcW w:w="1231" w:type="dxa"/>
            <w:noWrap/>
            <w:hideMark/>
          </w:tcPr>
          <w:p w14:paraId="6D79F81F"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189</w:t>
            </w:r>
          </w:p>
        </w:tc>
        <w:tc>
          <w:tcPr>
            <w:tcW w:w="1116" w:type="dxa"/>
            <w:noWrap/>
            <w:hideMark/>
          </w:tcPr>
          <w:p w14:paraId="7B30B2F9"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251</w:t>
            </w:r>
          </w:p>
        </w:tc>
      </w:tr>
      <w:tr w:rsidR="002E3225" w:rsidRPr="00226801" w14:paraId="1E7FA176" w14:textId="77777777" w:rsidTr="004E1E36">
        <w:trPr>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6B44218F" w14:textId="77777777" w:rsidR="009E44BC" w:rsidRPr="00226801" w:rsidRDefault="004E1E36" w:rsidP="00A7449F">
            <w:pPr>
              <w:pStyle w:val="NoSpacing"/>
              <w:rPr>
                <w:rFonts w:cstheme="minorHAnsi"/>
              </w:rPr>
            </w:pPr>
            <w:r>
              <w:t>F</w:t>
            </w:r>
          </w:p>
        </w:tc>
        <w:tc>
          <w:tcPr>
            <w:tcW w:w="817" w:type="dxa"/>
            <w:noWrap/>
            <w:hideMark/>
          </w:tcPr>
          <w:p w14:paraId="2FC8544D"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15</w:t>
            </w:r>
          </w:p>
        </w:tc>
        <w:tc>
          <w:tcPr>
            <w:tcW w:w="817" w:type="dxa"/>
            <w:noWrap/>
            <w:hideMark/>
          </w:tcPr>
          <w:p w14:paraId="3356D06F"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146</w:t>
            </w:r>
          </w:p>
        </w:tc>
        <w:tc>
          <w:tcPr>
            <w:tcW w:w="817" w:type="dxa"/>
            <w:noWrap/>
            <w:hideMark/>
          </w:tcPr>
          <w:p w14:paraId="24871096"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256</w:t>
            </w:r>
          </w:p>
        </w:tc>
        <w:tc>
          <w:tcPr>
            <w:tcW w:w="1141" w:type="dxa"/>
            <w:noWrap/>
            <w:hideMark/>
          </w:tcPr>
          <w:p w14:paraId="6C94114C"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w:t>
            </w:r>
          </w:p>
        </w:tc>
        <w:tc>
          <w:tcPr>
            <w:tcW w:w="1141" w:type="dxa"/>
            <w:noWrap/>
            <w:hideMark/>
          </w:tcPr>
          <w:p w14:paraId="07688367"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8</w:t>
            </w:r>
          </w:p>
        </w:tc>
        <w:tc>
          <w:tcPr>
            <w:tcW w:w="799" w:type="dxa"/>
            <w:noWrap/>
            <w:hideMark/>
          </w:tcPr>
          <w:p w14:paraId="4F85C462"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30</w:t>
            </w:r>
          </w:p>
        </w:tc>
        <w:tc>
          <w:tcPr>
            <w:tcW w:w="1231" w:type="dxa"/>
            <w:noWrap/>
            <w:hideMark/>
          </w:tcPr>
          <w:p w14:paraId="59CBC5C2"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146</w:t>
            </w:r>
          </w:p>
        </w:tc>
        <w:tc>
          <w:tcPr>
            <w:tcW w:w="1116" w:type="dxa"/>
            <w:noWrap/>
            <w:hideMark/>
          </w:tcPr>
          <w:p w14:paraId="796E7B5D"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185</w:t>
            </w:r>
          </w:p>
        </w:tc>
      </w:tr>
      <w:tr w:rsidR="002E3225" w:rsidRPr="00226801" w14:paraId="585A80F4" w14:textId="77777777" w:rsidTr="004E1E3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2161FD51" w14:textId="77777777" w:rsidR="009E44BC" w:rsidRPr="00226801" w:rsidRDefault="004E1E36" w:rsidP="00A7449F">
            <w:pPr>
              <w:pStyle w:val="NoSpacing"/>
              <w:rPr>
                <w:rFonts w:cstheme="minorHAnsi"/>
              </w:rPr>
            </w:pPr>
            <w:r>
              <w:t>G</w:t>
            </w:r>
          </w:p>
        </w:tc>
        <w:tc>
          <w:tcPr>
            <w:tcW w:w="817" w:type="dxa"/>
            <w:noWrap/>
            <w:hideMark/>
          </w:tcPr>
          <w:p w14:paraId="473FD0E9"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20</w:t>
            </w:r>
          </w:p>
        </w:tc>
        <w:tc>
          <w:tcPr>
            <w:tcW w:w="817" w:type="dxa"/>
            <w:noWrap/>
            <w:hideMark/>
          </w:tcPr>
          <w:p w14:paraId="763E553B"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234</w:t>
            </w:r>
          </w:p>
        </w:tc>
        <w:tc>
          <w:tcPr>
            <w:tcW w:w="817" w:type="dxa"/>
            <w:noWrap/>
            <w:hideMark/>
          </w:tcPr>
          <w:p w14:paraId="5058A96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317</w:t>
            </w:r>
          </w:p>
        </w:tc>
        <w:tc>
          <w:tcPr>
            <w:tcW w:w="1141" w:type="dxa"/>
            <w:noWrap/>
            <w:hideMark/>
          </w:tcPr>
          <w:p w14:paraId="74689123"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w:t>
            </w:r>
          </w:p>
        </w:tc>
        <w:tc>
          <w:tcPr>
            <w:tcW w:w="1141" w:type="dxa"/>
            <w:noWrap/>
            <w:hideMark/>
          </w:tcPr>
          <w:p w14:paraId="6A94E40C"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10</w:t>
            </w:r>
          </w:p>
        </w:tc>
        <w:tc>
          <w:tcPr>
            <w:tcW w:w="799" w:type="dxa"/>
            <w:noWrap/>
            <w:hideMark/>
          </w:tcPr>
          <w:p w14:paraId="6CFD95C5"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40</w:t>
            </w:r>
          </w:p>
        </w:tc>
        <w:tc>
          <w:tcPr>
            <w:tcW w:w="1231" w:type="dxa"/>
            <w:noWrap/>
            <w:hideMark/>
          </w:tcPr>
          <w:p w14:paraId="5767989B"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234</w:t>
            </w:r>
          </w:p>
        </w:tc>
        <w:tc>
          <w:tcPr>
            <w:tcW w:w="1116" w:type="dxa"/>
            <w:noWrap/>
            <w:hideMark/>
          </w:tcPr>
          <w:p w14:paraId="3C565DD5"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285</w:t>
            </w:r>
          </w:p>
        </w:tc>
      </w:tr>
      <w:tr w:rsidR="002E3225" w:rsidRPr="00226801" w14:paraId="6D863DB7" w14:textId="77777777" w:rsidTr="004E1E36">
        <w:trPr>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231202E9" w14:textId="77777777" w:rsidR="009E44BC" w:rsidRPr="00226801" w:rsidRDefault="004E1E36" w:rsidP="00A7449F">
            <w:pPr>
              <w:pStyle w:val="NoSpacing"/>
              <w:rPr>
                <w:rFonts w:cstheme="minorHAnsi"/>
              </w:rPr>
            </w:pPr>
            <w:r>
              <w:t>H</w:t>
            </w:r>
          </w:p>
        </w:tc>
        <w:tc>
          <w:tcPr>
            <w:tcW w:w="817" w:type="dxa"/>
            <w:noWrap/>
            <w:hideMark/>
          </w:tcPr>
          <w:p w14:paraId="05065833"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20</w:t>
            </w:r>
          </w:p>
        </w:tc>
        <w:tc>
          <w:tcPr>
            <w:tcW w:w="817" w:type="dxa"/>
            <w:noWrap/>
            <w:hideMark/>
          </w:tcPr>
          <w:p w14:paraId="5F724ECD"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235</w:t>
            </w:r>
          </w:p>
        </w:tc>
        <w:tc>
          <w:tcPr>
            <w:tcW w:w="817" w:type="dxa"/>
            <w:noWrap/>
            <w:hideMark/>
          </w:tcPr>
          <w:p w14:paraId="3F460A1B"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601</w:t>
            </w:r>
          </w:p>
        </w:tc>
        <w:tc>
          <w:tcPr>
            <w:tcW w:w="1141" w:type="dxa"/>
            <w:noWrap/>
            <w:hideMark/>
          </w:tcPr>
          <w:p w14:paraId="7CFE7C68"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w:t>
            </w:r>
          </w:p>
        </w:tc>
        <w:tc>
          <w:tcPr>
            <w:tcW w:w="1141" w:type="dxa"/>
            <w:noWrap/>
            <w:hideMark/>
          </w:tcPr>
          <w:p w14:paraId="49F79060"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10</w:t>
            </w:r>
          </w:p>
        </w:tc>
        <w:tc>
          <w:tcPr>
            <w:tcW w:w="799" w:type="dxa"/>
            <w:noWrap/>
            <w:hideMark/>
          </w:tcPr>
          <w:p w14:paraId="396A909C"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40</w:t>
            </w:r>
          </w:p>
        </w:tc>
        <w:tc>
          <w:tcPr>
            <w:tcW w:w="1231" w:type="dxa"/>
            <w:noWrap/>
            <w:hideMark/>
          </w:tcPr>
          <w:p w14:paraId="483A936D"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235</w:t>
            </w:r>
          </w:p>
        </w:tc>
        <w:tc>
          <w:tcPr>
            <w:tcW w:w="1116" w:type="dxa"/>
            <w:noWrap/>
            <w:hideMark/>
          </w:tcPr>
          <w:p w14:paraId="0A36A5E0"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286</w:t>
            </w:r>
          </w:p>
        </w:tc>
      </w:tr>
      <w:tr w:rsidR="002E3225" w:rsidRPr="00226801" w14:paraId="2CF606E6" w14:textId="77777777" w:rsidTr="004E1E3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51FA904A" w14:textId="77777777" w:rsidR="009E44BC" w:rsidRPr="00226801" w:rsidRDefault="004E1E36" w:rsidP="00A7449F">
            <w:pPr>
              <w:pStyle w:val="NoSpacing"/>
              <w:rPr>
                <w:rFonts w:cstheme="minorHAnsi"/>
              </w:rPr>
            </w:pPr>
            <w:r>
              <w:t>I</w:t>
            </w:r>
          </w:p>
        </w:tc>
        <w:tc>
          <w:tcPr>
            <w:tcW w:w="817" w:type="dxa"/>
            <w:noWrap/>
            <w:hideMark/>
          </w:tcPr>
          <w:p w14:paraId="147E35A3"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10</w:t>
            </w:r>
          </w:p>
        </w:tc>
        <w:tc>
          <w:tcPr>
            <w:tcW w:w="817" w:type="dxa"/>
            <w:noWrap/>
            <w:hideMark/>
          </w:tcPr>
          <w:p w14:paraId="48DC5E05"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104</w:t>
            </w:r>
          </w:p>
        </w:tc>
        <w:tc>
          <w:tcPr>
            <w:tcW w:w="817" w:type="dxa"/>
            <w:noWrap/>
            <w:hideMark/>
          </w:tcPr>
          <w:p w14:paraId="490FBB4F"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196</w:t>
            </w:r>
          </w:p>
        </w:tc>
        <w:tc>
          <w:tcPr>
            <w:tcW w:w="1141" w:type="dxa"/>
            <w:noWrap/>
            <w:hideMark/>
          </w:tcPr>
          <w:p w14:paraId="7B91A933"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w:t>
            </w:r>
          </w:p>
        </w:tc>
        <w:tc>
          <w:tcPr>
            <w:tcW w:w="1141" w:type="dxa"/>
            <w:noWrap/>
            <w:hideMark/>
          </w:tcPr>
          <w:p w14:paraId="1E151220"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5</w:t>
            </w:r>
          </w:p>
        </w:tc>
        <w:tc>
          <w:tcPr>
            <w:tcW w:w="799" w:type="dxa"/>
            <w:noWrap/>
            <w:hideMark/>
          </w:tcPr>
          <w:p w14:paraId="29650E33"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20</w:t>
            </w:r>
          </w:p>
        </w:tc>
        <w:tc>
          <w:tcPr>
            <w:tcW w:w="1231" w:type="dxa"/>
            <w:noWrap/>
            <w:hideMark/>
          </w:tcPr>
          <w:p w14:paraId="24DE7353"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104</w:t>
            </w:r>
          </w:p>
        </w:tc>
        <w:tc>
          <w:tcPr>
            <w:tcW w:w="1116" w:type="dxa"/>
            <w:noWrap/>
            <w:hideMark/>
          </w:tcPr>
          <w:p w14:paraId="04FB04DB"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130</w:t>
            </w:r>
          </w:p>
        </w:tc>
      </w:tr>
      <w:tr w:rsidR="002E3225" w:rsidRPr="00226801" w14:paraId="7E8F9636" w14:textId="77777777" w:rsidTr="004E1E36">
        <w:trPr>
          <w:trHeight w:val="99"/>
        </w:trPr>
        <w:tc>
          <w:tcPr>
            <w:cnfStyle w:val="001000000000" w:firstRow="0" w:lastRow="0" w:firstColumn="1" w:lastColumn="0" w:oddVBand="0" w:evenVBand="0" w:oddHBand="0" w:evenHBand="0" w:firstRowFirstColumn="0" w:firstRowLastColumn="0" w:lastRowFirstColumn="0" w:lastRowLastColumn="0"/>
            <w:tcW w:w="1195" w:type="dxa"/>
            <w:noWrap/>
          </w:tcPr>
          <w:p w14:paraId="75736803" w14:textId="77777777" w:rsidR="009E44BC" w:rsidRPr="00226801" w:rsidRDefault="004E1E36" w:rsidP="00A7449F">
            <w:pPr>
              <w:pStyle w:val="NoSpacing"/>
              <w:rPr>
                <w:rFonts w:cstheme="minorHAnsi"/>
              </w:rPr>
            </w:pPr>
            <w:r>
              <w:t>K</w:t>
            </w:r>
          </w:p>
        </w:tc>
        <w:tc>
          <w:tcPr>
            <w:tcW w:w="817" w:type="dxa"/>
            <w:noWrap/>
            <w:hideMark/>
          </w:tcPr>
          <w:p w14:paraId="676A3FB6"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19</w:t>
            </w:r>
          </w:p>
        </w:tc>
        <w:tc>
          <w:tcPr>
            <w:tcW w:w="817" w:type="dxa"/>
            <w:noWrap/>
            <w:hideMark/>
          </w:tcPr>
          <w:p w14:paraId="721B166F"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117</w:t>
            </w:r>
          </w:p>
        </w:tc>
        <w:tc>
          <w:tcPr>
            <w:tcW w:w="817" w:type="dxa"/>
            <w:noWrap/>
            <w:hideMark/>
          </w:tcPr>
          <w:p w14:paraId="1438A10E"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225</w:t>
            </w:r>
          </w:p>
        </w:tc>
        <w:tc>
          <w:tcPr>
            <w:tcW w:w="1141" w:type="dxa"/>
            <w:noWrap/>
            <w:hideMark/>
          </w:tcPr>
          <w:p w14:paraId="5B874BF5"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w:t>
            </w:r>
          </w:p>
        </w:tc>
        <w:tc>
          <w:tcPr>
            <w:tcW w:w="1141" w:type="dxa"/>
            <w:noWrap/>
            <w:hideMark/>
          </w:tcPr>
          <w:p w14:paraId="7079E6D8"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10</w:t>
            </w:r>
          </w:p>
        </w:tc>
        <w:tc>
          <w:tcPr>
            <w:tcW w:w="799" w:type="dxa"/>
            <w:noWrap/>
            <w:hideMark/>
          </w:tcPr>
          <w:p w14:paraId="0F99DB71"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38</w:t>
            </w:r>
          </w:p>
        </w:tc>
        <w:tc>
          <w:tcPr>
            <w:tcW w:w="1231" w:type="dxa"/>
            <w:noWrap/>
            <w:hideMark/>
          </w:tcPr>
          <w:p w14:paraId="1C8431FB"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117</w:t>
            </w:r>
          </w:p>
        </w:tc>
        <w:tc>
          <w:tcPr>
            <w:tcW w:w="1116" w:type="dxa"/>
            <w:noWrap/>
            <w:hideMark/>
          </w:tcPr>
          <w:p w14:paraId="167E18F1"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t>166</w:t>
            </w:r>
          </w:p>
        </w:tc>
      </w:tr>
      <w:tr w:rsidR="002E3225" w:rsidRPr="00226801" w14:paraId="54CA3AA9" w14:textId="77777777" w:rsidTr="002E322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hideMark/>
          </w:tcPr>
          <w:p w14:paraId="65828C74" w14:textId="77777777" w:rsidR="009E44BC" w:rsidRPr="00226801" w:rsidRDefault="009E44BC" w:rsidP="00A7449F">
            <w:pPr>
              <w:pStyle w:val="NoSpacing"/>
              <w:rPr>
                <w:rFonts w:cstheme="minorHAnsi"/>
                <w:b w:val="0"/>
                <w:bCs w:val="0"/>
              </w:rPr>
            </w:pPr>
            <w:r>
              <w:rPr>
                <w:b w:val="0"/>
              </w:rPr>
              <w:t>Total</w:t>
            </w:r>
          </w:p>
        </w:tc>
        <w:tc>
          <w:tcPr>
            <w:tcW w:w="817" w:type="dxa"/>
            <w:noWrap/>
            <w:hideMark/>
          </w:tcPr>
          <w:p w14:paraId="5C531B46"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197</w:t>
            </w:r>
          </w:p>
        </w:tc>
        <w:tc>
          <w:tcPr>
            <w:tcW w:w="817" w:type="dxa"/>
            <w:noWrap/>
            <w:hideMark/>
          </w:tcPr>
          <w:p w14:paraId="7B4A4429"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1814</w:t>
            </w:r>
          </w:p>
        </w:tc>
        <w:tc>
          <w:tcPr>
            <w:tcW w:w="817" w:type="dxa"/>
            <w:noWrap/>
            <w:hideMark/>
          </w:tcPr>
          <w:p w14:paraId="6B25E323"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4144</w:t>
            </w:r>
          </w:p>
        </w:tc>
        <w:tc>
          <w:tcPr>
            <w:tcW w:w="1141" w:type="dxa"/>
            <w:noWrap/>
            <w:hideMark/>
          </w:tcPr>
          <w:p w14:paraId="27879480"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13</w:t>
            </w:r>
          </w:p>
        </w:tc>
        <w:tc>
          <w:tcPr>
            <w:tcW w:w="1141" w:type="dxa"/>
            <w:noWrap/>
            <w:hideMark/>
          </w:tcPr>
          <w:p w14:paraId="1758C3C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100</w:t>
            </w:r>
          </w:p>
        </w:tc>
        <w:tc>
          <w:tcPr>
            <w:tcW w:w="799" w:type="dxa"/>
            <w:noWrap/>
            <w:hideMark/>
          </w:tcPr>
          <w:p w14:paraId="435C4605"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394</w:t>
            </w:r>
          </w:p>
        </w:tc>
        <w:tc>
          <w:tcPr>
            <w:tcW w:w="1231" w:type="dxa"/>
            <w:noWrap/>
            <w:hideMark/>
          </w:tcPr>
          <w:p w14:paraId="45F710A6"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1814</w:t>
            </w:r>
          </w:p>
        </w:tc>
        <w:tc>
          <w:tcPr>
            <w:tcW w:w="1116" w:type="dxa"/>
            <w:noWrap/>
            <w:hideMark/>
          </w:tcPr>
          <w:p w14:paraId="32467A2F"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t>2321</w:t>
            </w:r>
          </w:p>
        </w:tc>
      </w:tr>
    </w:tbl>
    <w:p w14:paraId="6D393A36" w14:textId="77777777" w:rsidR="009E44BC" w:rsidRPr="00226801" w:rsidRDefault="005D5B3E" w:rsidP="005D5B3E">
      <w:pPr>
        <w:spacing w:before="240" w:after="240" w:line="276" w:lineRule="auto"/>
        <w:jc w:val="both"/>
        <w:rPr>
          <w:rFonts w:asciiTheme="minorHAnsi" w:hAnsiTheme="minorHAnsi" w:cstheme="minorHAnsi"/>
        </w:rPr>
      </w:pPr>
      <w:r>
        <w:rPr>
          <w:rFonts w:asciiTheme="minorHAnsi" w:hAnsiTheme="minorHAnsi"/>
        </w:rPr>
        <w:t xml:space="preserve">Idéalement, la session d'information du niveau opérationnel devrait inclure toutes les formations sanitaires qui offrent les services de vaccination dans tout le pays. Le budget étant limité pour inclure toutes les formations sanitaires, seuls les responsables des centres de santé participeront aux formations au niveau du district. Les responsables des centres de santé profiteront des réunions à l’occasion d’autre évènement comme les campagnes de vaccination contre la polio pour informer les personnels de santé en charge de vaccination et distribuer les supports de formation et les affiches. </w:t>
      </w:r>
    </w:p>
    <w:p w14:paraId="477B1B22" w14:textId="77777777" w:rsidR="002E3225" w:rsidRPr="00226801" w:rsidRDefault="002E3225" w:rsidP="002E3225">
      <w:pPr>
        <w:pStyle w:val="Caption"/>
        <w:spacing w:before="240" w:after="0"/>
        <w:rPr>
          <w:rFonts w:cstheme="minorHAnsi"/>
          <w:color w:val="000000" w:themeColor="text1"/>
          <w:sz w:val="28"/>
          <w:szCs w:val="28"/>
        </w:rPr>
      </w:pPr>
      <w:r>
        <w:rPr>
          <w:sz w:val="20"/>
        </w:rPr>
        <w:t xml:space="preserve">Tableau </w:t>
      </w:r>
      <w:proofErr w:type="gramStart"/>
      <w:r>
        <w:rPr>
          <w:sz w:val="20"/>
        </w:rPr>
        <w:t>3:</w:t>
      </w:r>
      <w:proofErr w:type="gramEnd"/>
      <w:r>
        <w:rPr>
          <w:sz w:val="20"/>
        </w:rPr>
        <w:t xml:space="preserve"> Profil des participants et des animateurs des sessions d'information </w:t>
      </w:r>
    </w:p>
    <w:tbl>
      <w:tblPr>
        <w:tblStyle w:val="ListTable2-Accent1"/>
        <w:tblW w:w="9102" w:type="dxa"/>
        <w:tblLook w:val="04A0" w:firstRow="1" w:lastRow="0" w:firstColumn="1" w:lastColumn="0" w:noHBand="0" w:noVBand="1"/>
      </w:tblPr>
      <w:tblGrid>
        <w:gridCol w:w="1047"/>
        <w:gridCol w:w="4867"/>
        <w:gridCol w:w="3188"/>
      </w:tblGrid>
      <w:tr w:rsidR="002E3225" w:rsidRPr="00226801" w14:paraId="4D1C5D06" w14:textId="77777777" w:rsidTr="00AA2661">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047" w:type="dxa"/>
          </w:tcPr>
          <w:p w14:paraId="58CCC862" w14:textId="77777777" w:rsidR="002E3225" w:rsidRPr="00E00A22" w:rsidRDefault="002E3225" w:rsidP="002E3225">
            <w:pPr>
              <w:pStyle w:val="NoSpacing"/>
              <w:rPr>
                <w:rFonts w:cstheme="minorHAnsi"/>
              </w:rPr>
            </w:pPr>
            <w:r>
              <w:t>Niveau</w:t>
            </w:r>
          </w:p>
        </w:tc>
        <w:tc>
          <w:tcPr>
            <w:tcW w:w="4867" w:type="dxa"/>
          </w:tcPr>
          <w:p w14:paraId="43303A0F" w14:textId="77777777" w:rsidR="002E3225" w:rsidRPr="00E00A22" w:rsidRDefault="002E3225" w:rsidP="002E3225">
            <w:pPr>
              <w:pStyle w:val="NoSpacing"/>
              <w:cnfStyle w:val="100000000000" w:firstRow="1" w:lastRow="0" w:firstColumn="0" w:lastColumn="0" w:oddVBand="0" w:evenVBand="0" w:oddHBand="0" w:evenHBand="0" w:firstRowFirstColumn="0" w:firstRowLastColumn="0" w:lastRowFirstColumn="0" w:lastRowLastColumn="0"/>
              <w:rPr>
                <w:rFonts w:cstheme="minorHAnsi"/>
              </w:rPr>
            </w:pPr>
            <w:r>
              <w:t>Profil des participants</w:t>
            </w:r>
          </w:p>
        </w:tc>
        <w:tc>
          <w:tcPr>
            <w:tcW w:w="3188" w:type="dxa"/>
          </w:tcPr>
          <w:p w14:paraId="2C301EDA" w14:textId="77777777" w:rsidR="002E3225" w:rsidRPr="00E00A22" w:rsidRDefault="002E3225" w:rsidP="002E3225">
            <w:pPr>
              <w:pStyle w:val="NoSpacing"/>
              <w:cnfStyle w:val="100000000000" w:firstRow="1" w:lastRow="0" w:firstColumn="0" w:lastColumn="0" w:oddVBand="0" w:evenVBand="0" w:oddHBand="0" w:evenHBand="0" w:firstRowFirstColumn="0" w:firstRowLastColumn="0" w:lastRowFirstColumn="0" w:lastRowLastColumn="0"/>
              <w:rPr>
                <w:rFonts w:cstheme="minorHAnsi"/>
              </w:rPr>
            </w:pPr>
            <w:r>
              <w:t>Profil des animateurs</w:t>
            </w:r>
          </w:p>
        </w:tc>
      </w:tr>
      <w:tr w:rsidR="002E3225" w:rsidRPr="00226801" w14:paraId="687ED0E3" w14:textId="77777777" w:rsidTr="00AA2661">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047" w:type="dxa"/>
          </w:tcPr>
          <w:p w14:paraId="54298220" w14:textId="77777777" w:rsidR="002E3225" w:rsidRPr="00E00A22" w:rsidRDefault="002E3225" w:rsidP="002E3225">
            <w:pPr>
              <w:pStyle w:val="NoSpacing"/>
              <w:rPr>
                <w:rFonts w:cstheme="minorHAnsi"/>
              </w:rPr>
            </w:pPr>
            <w:r>
              <w:t>Régional</w:t>
            </w:r>
          </w:p>
        </w:tc>
        <w:tc>
          <w:tcPr>
            <w:tcW w:w="4867" w:type="dxa"/>
          </w:tcPr>
          <w:p w14:paraId="5771E263" w14:textId="77777777" w:rsidR="002E3225" w:rsidRPr="00E00A22" w:rsidRDefault="002E3225" w:rsidP="002E3225">
            <w:pPr>
              <w:pStyle w:val="NoSpacing"/>
              <w:numPr>
                <w:ilvl w:val="0"/>
                <w:numId w:val="15"/>
              </w:numPr>
              <w:cnfStyle w:val="000000100000" w:firstRow="0" w:lastRow="0" w:firstColumn="0" w:lastColumn="0" w:oddVBand="0" w:evenVBand="0" w:oddHBand="1" w:evenHBand="0" w:firstRowFirstColumn="0" w:firstRowLastColumn="0" w:lastRowFirstColumn="0" w:lastRowLastColumn="0"/>
              <w:rPr>
                <w:rFonts w:cstheme="minorHAnsi"/>
              </w:rPr>
            </w:pPr>
            <w:r>
              <w:t>10 Groupes techniques centraux</w:t>
            </w:r>
          </w:p>
          <w:p w14:paraId="4706C4DC" w14:textId="77777777" w:rsidR="002E3225" w:rsidRPr="00E00A22" w:rsidRDefault="002E3225" w:rsidP="002E3225">
            <w:pPr>
              <w:pStyle w:val="NoSpacing"/>
              <w:numPr>
                <w:ilvl w:val="0"/>
                <w:numId w:val="15"/>
              </w:numPr>
              <w:cnfStyle w:val="000000100000" w:firstRow="0" w:lastRow="0" w:firstColumn="0" w:lastColumn="0" w:oddVBand="0" w:evenVBand="0" w:oddHBand="1" w:evenHBand="0" w:firstRowFirstColumn="0" w:firstRowLastColumn="0" w:lastRowFirstColumn="0" w:lastRowLastColumn="0"/>
              <w:rPr>
                <w:rFonts w:cstheme="minorHAnsi"/>
              </w:rPr>
            </w:pPr>
            <w:r>
              <w:t xml:space="preserve">197 Responsables de district de santé (médecins, pharmaciens et administrateurs sanitaires) </w:t>
            </w:r>
          </w:p>
          <w:p w14:paraId="69BAFE0B" w14:textId="77777777" w:rsidR="002E3225" w:rsidRPr="00E00A22" w:rsidRDefault="002E3225" w:rsidP="002E3225">
            <w:pPr>
              <w:pStyle w:val="NoSpacing"/>
              <w:numPr>
                <w:ilvl w:val="0"/>
                <w:numId w:val="15"/>
              </w:numPr>
              <w:cnfStyle w:val="000000100000" w:firstRow="0" w:lastRow="0" w:firstColumn="0" w:lastColumn="0" w:oddVBand="0" w:evenVBand="0" w:oddHBand="1" w:evenHBand="0" w:firstRowFirstColumn="0" w:firstRowLastColumn="0" w:lastRowFirstColumn="0" w:lastRowLastColumn="0"/>
              <w:rPr>
                <w:rFonts w:cstheme="minorHAnsi"/>
              </w:rPr>
            </w:pPr>
            <w:r>
              <w:t>197 Chefs de bureaux de santé, (responsables de la gestion des données et de suivi des micro plans des Responsables de district)</w:t>
            </w:r>
          </w:p>
          <w:p w14:paraId="45B0C8D5" w14:textId="77777777" w:rsidR="002E3225" w:rsidRPr="00E00A22" w:rsidRDefault="002E3225" w:rsidP="002E3225">
            <w:pPr>
              <w:pStyle w:val="NoSpacing"/>
              <w:numPr>
                <w:ilvl w:val="0"/>
                <w:numId w:val="15"/>
              </w:numPr>
              <w:cnfStyle w:val="000000100000" w:firstRow="0" w:lastRow="0" w:firstColumn="0" w:lastColumn="0" w:oddVBand="0" w:evenVBand="0" w:oddHBand="1" w:evenHBand="0" w:firstRowFirstColumn="0" w:firstRowLastColumn="0" w:lastRowFirstColumn="0" w:lastRowLastColumn="0"/>
              <w:rPr>
                <w:rFonts w:cstheme="minorHAnsi"/>
              </w:rPr>
            </w:pPr>
            <w:r>
              <w:t>100 Superviseurs régionaux des activités de vaccination, pour appuyer les sessions d'information au niveau des districts de santé où l’équipe de gestion de district manque des capacités techniques suffisantes pour le faire</w:t>
            </w:r>
          </w:p>
        </w:tc>
        <w:tc>
          <w:tcPr>
            <w:tcW w:w="3188" w:type="dxa"/>
          </w:tcPr>
          <w:p w14:paraId="2A156F3E" w14:textId="77777777" w:rsidR="002E3225" w:rsidRPr="00E00A22" w:rsidRDefault="002E3225" w:rsidP="002E3225">
            <w:pPr>
              <w:pStyle w:val="NoSpacing"/>
              <w:numPr>
                <w:ilvl w:val="0"/>
                <w:numId w:val="15"/>
              </w:numPr>
              <w:cnfStyle w:val="000000100000" w:firstRow="0" w:lastRow="0" w:firstColumn="0" w:lastColumn="0" w:oddVBand="0" w:evenVBand="0" w:oddHBand="1" w:evenHBand="0" w:firstRowFirstColumn="0" w:firstRowLastColumn="0" w:lastRowFirstColumn="0" w:lastRowLastColumn="0"/>
              <w:rPr>
                <w:rFonts w:cstheme="minorHAnsi"/>
              </w:rPr>
            </w:pPr>
            <w:r>
              <w:t xml:space="preserve">13 animateurs centraux, </w:t>
            </w:r>
          </w:p>
          <w:p w14:paraId="13596B87" w14:textId="77777777" w:rsidR="002E3225" w:rsidRPr="00E00A22" w:rsidRDefault="002E3225" w:rsidP="002E3225">
            <w:pPr>
              <w:pStyle w:val="NoSpacing"/>
              <w:cnfStyle w:val="000000100000" w:firstRow="0" w:lastRow="0" w:firstColumn="0" w:lastColumn="0" w:oddVBand="0" w:evenVBand="0" w:oddHBand="1" w:evenHBand="0" w:firstRowFirstColumn="0" w:firstRowLastColumn="0" w:lastRowFirstColumn="0" w:lastRowLastColumn="0"/>
              <w:rPr>
                <w:rFonts w:cstheme="minorHAnsi"/>
              </w:rPr>
            </w:pPr>
            <w:r>
              <w:t>Les régions de l’Extrême Nord, du Littoral et du Centre auront chacune 2 sessions</w:t>
            </w:r>
          </w:p>
        </w:tc>
      </w:tr>
      <w:tr w:rsidR="002E3225" w:rsidRPr="00226801" w14:paraId="690DA7EC" w14:textId="77777777" w:rsidTr="00AA2661">
        <w:trPr>
          <w:trHeight w:val="124"/>
        </w:trPr>
        <w:tc>
          <w:tcPr>
            <w:cnfStyle w:val="001000000000" w:firstRow="0" w:lastRow="0" w:firstColumn="1" w:lastColumn="0" w:oddVBand="0" w:evenVBand="0" w:oddHBand="0" w:evenHBand="0" w:firstRowFirstColumn="0" w:firstRowLastColumn="0" w:lastRowFirstColumn="0" w:lastRowLastColumn="0"/>
            <w:tcW w:w="1047" w:type="dxa"/>
          </w:tcPr>
          <w:p w14:paraId="6420932B" w14:textId="77777777" w:rsidR="002E3225" w:rsidRPr="00E00A22" w:rsidRDefault="002E3225" w:rsidP="002E3225">
            <w:pPr>
              <w:pStyle w:val="NoSpacing"/>
              <w:rPr>
                <w:rFonts w:cstheme="minorHAnsi"/>
              </w:rPr>
            </w:pPr>
            <w:r>
              <w:t>District de santé</w:t>
            </w:r>
          </w:p>
        </w:tc>
        <w:tc>
          <w:tcPr>
            <w:tcW w:w="4867" w:type="dxa"/>
          </w:tcPr>
          <w:p w14:paraId="50BAB861" w14:textId="77777777" w:rsidR="002E3225" w:rsidRPr="00E00A22" w:rsidRDefault="002E3225" w:rsidP="002E3225">
            <w:pPr>
              <w:pStyle w:val="NoSpacing"/>
              <w:numPr>
                <w:ilvl w:val="0"/>
                <w:numId w:val="15"/>
              </w:numPr>
              <w:cnfStyle w:val="000000000000" w:firstRow="0" w:lastRow="0" w:firstColumn="0" w:lastColumn="0" w:oddVBand="0" w:evenVBand="0" w:oddHBand="0" w:evenHBand="0" w:firstRowFirstColumn="0" w:firstRowLastColumn="0" w:lastRowFirstColumn="0" w:lastRowLastColumn="0"/>
              <w:rPr>
                <w:rFonts w:cstheme="minorHAnsi"/>
              </w:rPr>
            </w:pPr>
            <w:r>
              <w:t>1 814 responsables de centres de santé</w:t>
            </w:r>
          </w:p>
        </w:tc>
        <w:tc>
          <w:tcPr>
            <w:tcW w:w="3188" w:type="dxa"/>
          </w:tcPr>
          <w:p w14:paraId="26404053" w14:textId="77777777" w:rsidR="002E3225" w:rsidRPr="00E00A22" w:rsidRDefault="002E3225" w:rsidP="002E3225">
            <w:pPr>
              <w:pStyle w:val="NoSpacing"/>
              <w:numPr>
                <w:ilvl w:val="0"/>
                <w:numId w:val="15"/>
              </w:numPr>
              <w:cnfStyle w:val="000000000000" w:firstRow="0" w:lastRow="0" w:firstColumn="0" w:lastColumn="0" w:oddVBand="0" w:evenVBand="0" w:oddHBand="0" w:evenHBand="0" w:firstRowFirstColumn="0" w:firstRowLastColumn="0" w:lastRowFirstColumn="0" w:lastRowLastColumn="0"/>
              <w:rPr>
                <w:rFonts w:cstheme="minorHAnsi"/>
              </w:rPr>
            </w:pPr>
            <w:r>
              <w:t>197 Équipes exécutives de district</w:t>
            </w:r>
          </w:p>
          <w:p w14:paraId="09F076E3" w14:textId="77777777" w:rsidR="002E3225" w:rsidRPr="00E00A22" w:rsidRDefault="002E3225" w:rsidP="002E3225">
            <w:pPr>
              <w:pStyle w:val="NoSpacing"/>
              <w:numPr>
                <w:ilvl w:val="0"/>
                <w:numId w:val="15"/>
              </w:numPr>
              <w:cnfStyle w:val="000000000000" w:firstRow="0" w:lastRow="0" w:firstColumn="0" w:lastColumn="0" w:oddVBand="0" w:evenVBand="0" w:oddHBand="0" w:evenHBand="0" w:firstRowFirstColumn="0" w:firstRowLastColumn="0" w:lastRowFirstColumn="0" w:lastRowLastColumn="0"/>
              <w:rPr>
                <w:rFonts w:cstheme="minorHAnsi"/>
              </w:rPr>
            </w:pPr>
            <w:r>
              <w:t>100 Superviseurs régionaux des activités de vaccination</w:t>
            </w:r>
          </w:p>
        </w:tc>
      </w:tr>
    </w:tbl>
    <w:p w14:paraId="4BEFF12F" w14:textId="77777777" w:rsidR="007057E6" w:rsidRPr="00226801" w:rsidRDefault="00466880" w:rsidP="00AE4ABF">
      <w:pPr>
        <w:pStyle w:val="Heading3"/>
        <w:numPr>
          <w:ilvl w:val="2"/>
          <w:numId w:val="3"/>
        </w:numPr>
        <w:pBdr>
          <w:bottom w:val="none" w:sz="0" w:space="0" w:color="auto"/>
        </w:pBdr>
        <w:spacing w:before="240" w:after="240"/>
        <w:ind w:left="1225" w:hanging="505"/>
        <w:rPr>
          <w:rFonts w:asciiTheme="minorHAnsi" w:hAnsiTheme="minorHAnsi" w:cstheme="minorHAnsi"/>
          <w:sz w:val="24"/>
          <w:szCs w:val="24"/>
        </w:rPr>
      </w:pPr>
      <w:bookmarkStart w:id="7" w:name="_Toc101798509"/>
      <w:r>
        <w:rPr>
          <w:rFonts w:asciiTheme="minorHAnsi" w:hAnsiTheme="minorHAnsi"/>
          <w:sz w:val="24"/>
        </w:rPr>
        <w:t>Vaccination en pratique</w:t>
      </w:r>
      <w:bookmarkEnd w:id="7"/>
      <w:r>
        <w:rPr>
          <w:rFonts w:asciiTheme="minorHAnsi" w:hAnsiTheme="minorHAnsi"/>
          <w:sz w:val="24"/>
        </w:rPr>
        <w:t xml:space="preserve"> </w:t>
      </w:r>
    </w:p>
    <w:p w14:paraId="4F0479DB" w14:textId="77777777" w:rsidR="00D15927" w:rsidRPr="00226801" w:rsidRDefault="00663E4A" w:rsidP="00AE3081">
      <w:pPr>
        <w:spacing w:before="240" w:after="240" w:line="276" w:lineRule="auto"/>
        <w:jc w:val="both"/>
        <w:rPr>
          <w:rFonts w:asciiTheme="minorHAnsi" w:eastAsia="Arial" w:hAnsiTheme="minorHAnsi" w:cstheme="minorHAnsi"/>
          <w:i/>
          <w:iCs/>
        </w:rPr>
      </w:pPr>
      <w:r>
        <w:rPr>
          <w:rFonts w:asciiTheme="minorHAnsi" w:hAnsiTheme="minorHAnsi"/>
        </w:rPr>
        <w:lastRenderedPageBreak/>
        <w:t xml:space="preserve">La formation se fera en cascade du niveau central au niveau opérationnel.  Avant les cascades de formation, un atelier de trois jours sera organisé pour actualiser i) les modules de formations sur la vaccination en pratique, ii) les outils de collectes et d’enregistrement des données, iii) les supports de communication pour la population et le personnel de santé et iv) les guides pratiques pour les mobilisateurs sociaux. </w:t>
      </w:r>
    </w:p>
    <w:p w14:paraId="79C3A1F8" w14:textId="77777777" w:rsidR="00B06E9B" w:rsidRPr="00226801" w:rsidRDefault="00B06E9B" w:rsidP="00AE3081">
      <w:pPr>
        <w:spacing w:before="240" w:after="240" w:line="276" w:lineRule="auto"/>
        <w:jc w:val="both"/>
        <w:rPr>
          <w:rFonts w:asciiTheme="minorHAnsi" w:eastAsia="Arial" w:hAnsiTheme="minorHAnsi" w:cstheme="minorHAnsi"/>
          <w:i/>
          <w:iCs/>
        </w:rPr>
      </w:pPr>
      <w:r>
        <w:rPr>
          <w:rFonts w:asciiTheme="minorHAnsi" w:hAnsiTheme="minorHAnsi"/>
        </w:rPr>
        <w:t xml:space="preserve">Des réunions préparatoires avec les responsables régionaux seront organisées en prélude </w:t>
      </w:r>
      <w:proofErr w:type="gramStart"/>
      <w:r>
        <w:rPr>
          <w:rFonts w:asciiTheme="minorHAnsi" w:hAnsiTheme="minorHAnsi"/>
        </w:rPr>
        <w:t>aux cascade</w:t>
      </w:r>
      <w:proofErr w:type="gramEnd"/>
      <w:r>
        <w:rPr>
          <w:rFonts w:asciiTheme="minorHAnsi" w:hAnsiTheme="minorHAnsi"/>
        </w:rPr>
        <w:t xml:space="preserve"> de formation en ligne.</w:t>
      </w:r>
      <w:r>
        <w:rPr>
          <w:rFonts w:asciiTheme="minorHAnsi" w:hAnsiTheme="minorHAnsi"/>
          <w:i/>
        </w:rPr>
        <w:t xml:space="preserve"> Trois (03) séances hebdomadaires seront organisées avant la première la session d'information régionale.</w:t>
      </w:r>
    </w:p>
    <w:p w14:paraId="61299802" w14:textId="77777777" w:rsidR="00B62F38" w:rsidRPr="00226801" w:rsidRDefault="00663E4A" w:rsidP="00AE3081">
      <w:pPr>
        <w:spacing w:before="240" w:after="240" w:line="276" w:lineRule="auto"/>
        <w:jc w:val="both"/>
        <w:rPr>
          <w:rFonts w:asciiTheme="minorHAnsi" w:eastAsia="Arial" w:hAnsiTheme="minorHAnsi" w:cstheme="minorHAnsi"/>
          <w:i/>
          <w:iCs/>
        </w:rPr>
      </w:pPr>
      <w:r>
        <w:rPr>
          <w:rFonts w:asciiTheme="minorHAnsi" w:hAnsiTheme="minorHAnsi"/>
          <w:b/>
          <w:bCs/>
        </w:rPr>
        <w:t>Au niveau central</w:t>
      </w:r>
      <w:r>
        <w:rPr>
          <w:rFonts w:asciiTheme="minorHAnsi" w:hAnsiTheme="minorHAnsi"/>
        </w:rPr>
        <w:t xml:space="preserve"> il s’agira d’un (1) jour d’atelier de formation des formateurs qui faciliteront à leur tour les équipes cadres des au niveau régional. </w:t>
      </w:r>
      <w:r>
        <w:rPr>
          <w:rFonts w:asciiTheme="minorHAnsi" w:hAnsiTheme="minorHAnsi"/>
          <w:i/>
        </w:rPr>
        <w:t xml:space="preserve">La session d'information des animateurs centraux consistera à dérouler tout l’agenda de la session régionale et de faire la revue des taches spécifiques à </w:t>
      </w:r>
      <w:proofErr w:type="gramStart"/>
      <w:r>
        <w:rPr>
          <w:rFonts w:asciiTheme="minorHAnsi" w:hAnsiTheme="minorHAnsi"/>
          <w:i/>
        </w:rPr>
        <w:t>effectuer  dans</w:t>
      </w:r>
      <w:proofErr w:type="gramEnd"/>
      <w:r>
        <w:rPr>
          <w:rFonts w:asciiTheme="minorHAnsi" w:hAnsiTheme="minorHAnsi"/>
          <w:i/>
        </w:rPr>
        <w:t xml:space="preserve"> les Régions par les animateurs centraux en dehors de celles relatives au changement rota. Cette session sera animée en ligne pour faciliter aussi la participation des coordonnateurs des groupes technique régionaux.</w:t>
      </w:r>
    </w:p>
    <w:p w14:paraId="13B97ABE" w14:textId="77777777" w:rsidR="009F3C1A" w:rsidRPr="00226801" w:rsidRDefault="009F3C1A" w:rsidP="00AE3081">
      <w:pPr>
        <w:spacing w:before="240" w:after="240" w:line="276" w:lineRule="auto"/>
        <w:jc w:val="both"/>
        <w:rPr>
          <w:rFonts w:asciiTheme="minorHAnsi" w:eastAsia="Arial" w:hAnsiTheme="minorHAnsi" w:cstheme="minorHAnsi"/>
          <w:i/>
          <w:iCs/>
        </w:rPr>
      </w:pPr>
      <w:r>
        <w:rPr>
          <w:rFonts w:asciiTheme="minorHAnsi" w:hAnsiTheme="minorHAnsi"/>
          <w:b/>
          <w:bCs/>
        </w:rPr>
        <w:t xml:space="preserve">Au niveau </w:t>
      </w:r>
      <w:proofErr w:type="gramStart"/>
      <w:r>
        <w:rPr>
          <w:rFonts w:asciiTheme="minorHAnsi" w:hAnsiTheme="minorHAnsi"/>
          <w:b/>
          <w:bCs/>
        </w:rPr>
        <w:t>régional</w:t>
      </w:r>
      <w:r>
        <w:rPr>
          <w:rFonts w:asciiTheme="minorHAnsi" w:hAnsiTheme="minorHAnsi"/>
        </w:rPr>
        <w:t>,  les</w:t>
      </w:r>
      <w:proofErr w:type="gramEnd"/>
      <w:r>
        <w:rPr>
          <w:rFonts w:asciiTheme="minorHAnsi" w:hAnsiTheme="minorHAnsi"/>
        </w:rPr>
        <w:t xml:space="preserve"> équipes cadres de districts et les animateurs régionaux des sessions des districts seront informés par les animateurs centraux au </w:t>
      </w:r>
      <w:r>
        <w:rPr>
          <w:rFonts w:asciiTheme="minorHAnsi" w:hAnsiTheme="minorHAnsi"/>
          <w:i/>
        </w:rPr>
        <w:t>cours d’une session de deux (02) jours</w:t>
      </w:r>
      <w:r>
        <w:rPr>
          <w:rFonts w:asciiTheme="minorHAnsi" w:hAnsiTheme="minorHAnsi"/>
        </w:rPr>
        <w:t xml:space="preserve">. </w:t>
      </w:r>
      <w:r>
        <w:rPr>
          <w:rFonts w:asciiTheme="minorHAnsi" w:hAnsiTheme="minorHAnsi"/>
          <w:i/>
        </w:rPr>
        <w:t xml:space="preserve">La première journée sera </w:t>
      </w:r>
      <w:proofErr w:type="gramStart"/>
      <w:r>
        <w:rPr>
          <w:rFonts w:asciiTheme="minorHAnsi" w:hAnsiTheme="minorHAnsi"/>
          <w:i/>
        </w:rPr>
        <w:t>consacrés</w:t>
      </w:r>
      <w:proofErr w:type="gramEnd"/>
      <w:r>
        <w:rPr>
          <w:rFonts w:asciiTheme="minorHAnsi" w:hAnsiTheme="minorHAnsi"/>
          <w:i/>
        </w:rPr>
        <w:t xml:space="preserve"> aux concepts généraux et la 2</w:t>
      </w:r>
      <w:r>
        <w:rPr>
          <w:rFonts w:asciiTheme="minorHAnsi" w:hAnsiTheme="minorHAnsi"/>
          <w:i/>
          <w:vertAlign w:val="superscript"/>
        </w:rPr>
        <w:t>e</w:t>
      </w:r>
      <w:r>
        <w:rPr>
          <w:rFonts w:asciiTheme="minorHAnsi" w:hAnsiTheme="minorHAnsi"/>
          <w:i/>
        </w:rPr>
        <w:t xml:space="preserve"> journées aux éléments spécifiques du changement rota.</w:t>
      </w:r>
    </w:p>
    <w:p w14:paraId="4DA681B8" w14:textId="77777777" w:rsidR="00B06E9B" w:rsidRPr="00226801" w:rsidRDefault="007E1298" w:rsidP="00AE3081">
      <w:pPr>
        <w:spacing w:before="240" w:after="240" w:line="276" w:lineRule="auto"/>
        <w:jc w:val="both"/>
        <w:rPr>
          <w:rFonts w:asciiTheme="minorHAnsi" w:eastAsia="Arial" w:hAnsiTheme="minorHAnsi" w:cstheme="minorHAnsi"/>
          <w:i/>
          <w:iCs/>
        </w:rPr>
      </w:pPr>
      <w:r>
        <w:rPr>
          <w:rFonts w:asciiTheme="minorHAnsi" w:hAnsiTheme="minorHAnsi"/>
        </w:rPr>
        <w:t xml:space="preserve">Au niveau des districts de santé, les responsables des centres de santé seront formés dans chaque district de santé </w:t>
      </w:r>
      <w:r>
        <w:rPr>
          <w:rFonts w:asciiTheme="minorHAnsi" w:hAnsiTheme="minorHAnsi"/>
          <w:i/>
        </w:rPr>
        <w:t>par les responsables des districts appuyés par</w:t>
      </w:r>
      <w:r>
        <w:rPr>
          <w:rFonts w:asciiTheme="minorHAnsi" w:hAnsiTheme="minorHAnsi"/>
        </w:rPr>
        <w:t xml:space="preserve"> des animateurs régionaux dans certains districts de santé nécessitant un accompagnement de l’équipe de gestion du district.</w:t>
      </w:r>
      <w:r>
        <w:rPr>
          <w:rFonts w:asciiTheme="minorHAnsi" w:hAnsiTheme="minorHAnsi"/>
          <w:i/>
        </w:rPr>
        <w:t xml:space="preserve"> </w:t>
      </w:r>
      <w:r>
        <w:rPr>
          <w:rFonts w:asciiTheme="minorHAnsi" w:hAnsiTheme="minorHAnsi"/>
        </w:rPr>
        <w:t>Les supports de communication, les outils actualisés de collecte des données et le guide du mobilisateur seront distribués à ce niveau.</w:t>
      </w:r>
    </w:p>
    <w:p w14:paraId="07CB609D" w14:textId="77777777" w:rsidR="00D00425" w:rsidRPr="00226801" w:rsidRDefault="00D00425" w:rsidP="00AE3081">
      <w:pPr>
        <w:spacing w:before="240" w:after="240" w:line="276" w:lineRule="auto"/>
        <w:jc w:val="both"/>
        <w:rPr>
          <w:rFonts w:asciiTheme="minorHAnsi" w:eastAsia="Arial" w:hAnsiTheme="minorHAnsi" w:cstheme="minorHAnsi"/>
          <w:i/>
          <w:iCs/>
        </w:rPr>
      </w:pPr>
      <w:r>
        <w:rPr>
          <w:rFonts w:asciiTheme="minorHAnsi" w:hAnsiTheme="minorHAnsi"/>
        </w:rPr>
        <w:t>Un total de 7 modules seront organisés :</w:t>
      </w:r>
    </w:p>
    <w:p w14:paraId="204628AD" w14:textId="77777777" w:rsidR="002E3C65" w:rsidRPr="00226801" w:rsidRDefault="00D00425" w:rsidP="00AE3081">
      <w:pPr>
        <w:pStyle w:val="ListParagraph"/>
        <w:numPr>
          <w:ilvl w:val="0"/>
          <w:numId w:val="8"/>
        </w:numPr>
        <w:spacing w:before="240" w:after="240" w:line="276" w:lineRule="auto"/>
        <w:contextualSpacing w:val="0"/>
        <w:jc w:val="both"/>
        <w:rPr>
          <w:rFonts w:eastAsia="Arial" w:cstheme="minorHAnsi"/>
          <w:i w:val="0"/>
          <w:iCs w:val="0"/>
          <w:sz w:val="24"/>
          <w:szCs w:val="24"/>
        </w:rPr>
      </w:pPr>
      <w:r>
        <w:rPr>
          <w:b/>
          <w:bCs/>
          <w:i w:val="0"/>
          <w:sz w:val="24"/>
        </w:rPr>
        <w:t xml:space="preserve">Maladies cibles du </w:t>
      </w:r>
      <w:proofErr w:type="gramStart"/>
      <w:r>
        <w:rPr>
          <w:b/>
          <w:bCs/>
          <w:i w:val="0"/>
          <w:sz w:val="24"/>
        </w:rPr>
        <w:t>PEV:</w:t>
      </w:r>
      <w:proofErr w:type="gramEnd"/>
      <w:r>
        <w:rPr>
          <w:i w:val="0"/>
          <w:sz w:val="24"/>
        </w:rPr>
        <w:t xml:space="preserve"> Ce module présente toutes les maladies cibles du PEV ainsi le schéma vaccinal du PEV en vigueur en mettant l'accent sur les diarrhées à rotavirus et le vaccin </w:t>
      </w:r>
      <w:proofErr w:type="spellStart"/>
      <w:r>
        <w:rPr>
          <w:i w:val="0"/>
          <w:sz w:val="24"/>
        </w:rPr>
        <w:t>anti-rotavirus</w:t>
      </w:r>
      <w:proofErr w:type="spellEnd"/>
    </w:p>
    <w:p w14:paraId="3E932CD2" w14:textId="77777777" w:rsidR="00D00425" w:rsidRPr="00226801" w:rsidRDefault="00D00425" w:rsidP="00AE3081">
      <w:pPr>
        <w:pStyle w:val="ListParagraph"/>
        <w:numPr>
          <w:ilvl w:val="0"/>
          <w:numId w:val="8"/>
        </w:numPr>
        <w:spacing w:before="240" w:after="240" w:line="276" w:lineRule="auto"/>
        <w:contextualSpacing w:val="0"/>
        <w:jc w:val="both"/>
        <w:rPr>
          <w:rFonts w:eastAsia="Arial" w:cstheme="minorHAnsi"/>
          <w:i w:val="0"/>
          <w:iCs w:val="0"/>
          <w:sz w:val="24"/>
          <w:szCs w:val="24"/>
        </w:rPr>
      </w:pPr>
      <w:r>
        <w:rPr>
          <w:b/>
          <w:i w:val="0"/>
          <w:sz w:val="24"/>
        </w:rPr>
        <w:t>Les vaccins et la chaine de froid</w:t>
      </w:r>
      <w:r>
        <w:rPr>
          <w:i w:val="0"/>
          <w:sz w:val="24"/>
        </w:rPr>
        <w:t xml:space="preserve"> : Ce module indique en quoi consiste la chaîne du froid, quel est le matériel dont les centres de santé ont besoin et comment l’utiliser et l’entretenir. Tous les vaccins du PEV sont présentés, leur composition ; leur innocuité et effets secondaires éventuels ; le mode de conservation et de transport ; le moment d’administration ; le nombre et le volume des doses ; et le point et le mode d’administration. Un accent sera mis sur le changement de présentation du vaccin </w:t>
      </w:r>
      <w:proofErr w:type="spellStart"/>
      <w:r>
        <w:rPr>
          <w:i w:val="0"/>
          <w:sz w:val="24"/>
        </w:rPr>
        <w:t>anti-rotavirus</w:t>
      </w:r>
      <w:proofErr w:type="spellEnd"/>
      <w:r>
        <w:rPr>
          <w:i w:val="0"/>
          <w:sz w:val="24"/>
        </w:rPr>
        <w:t xml:space="preserve"> qui passe d’un flacon </w:t>
      </w:r>
      <w:proofErr w:type="spellStart"/>
      <w:r>
        <w:rPr>
          <w:i w:val="0"/>
          <w:sz w:val="24"/>
        </w:rPr>
        <w:t>monodose</w:t>
      </w:r>
      <w:proofErr w:type="spellEnd"/>
      <w:r>
        <w:rPr>
          <w:i w:val="0"/>
          <w:sz w:val="24"/>
        </w:rPr>
        <w:t xml:space="preserve"> (</w:t>
      </w:r>
      <w:proofErr w:type="spellStart"/>
      <w:r>
        <w:rPr>
          <w:i w:val="0"/>
          <w:sz w:val="24"/>
        </w:rPr>
        <w:t>Rotarix</w:t>
      </w:r>
      <w:proofErr w:type="spellEnd"/>
      <w:r>
        <w:rPr>
          <w:i w:val="0"/>
          <w:sz w:val="24"/>
        </w:rPr>
        <w:t>) à un flacon de 10 doses (</w:t>
      </w:r>
      <w:proofErr w:type="spellStart"/>
      <w:r>
        <w:rPr>
          <w:i w:val="0"/>
          <w:sz w:val="24"/>
        </w:rPr>
        <w:t>Rotavac</w:t>
      </w:r>
      <w:proofErr w:type="spellEnd"/>
      <w:r>
        <w:rPr>
          <w:i w:val="0"/>
          <w:sz w:val="24"/>
        </w:rPr>
        <w:t xml:space="preserve">). La politique du flacon multidoses sera désormais appliquée pour le vaccin </w:t>
      </w:r>
      <w:proofErr w:type="spellStart"/>
      <w:r>
        <w:rPr>
          <w:i w:val="0"/>
          <w:sz w:val="24"/>
        </w:rPr>
        <w:lastRenderedPageBreak/>
        <w:t>anti-rotavirus</w:t>
      </w:r>
      <w:proofErr w:type="spellEnd"/>
      <w:r>
        <w:rPr>
          <w:i w:val="0"/>
          <w:sz w:val="24"/>
        </w:rPr>
        <w:t>. Les acteurs seront édifiés sur le changement du calcul du taux de perte qui passera de 3% à 10%.</w:t>
      </w:r>
    </w:p>
    <w:p w14:paraId="2F2B4211" w14:textId="77777777" w:rsidR="00D00425" w:rsidRPr="00226801" w:rsidRDefault="00D00425" w:rsidP="00AE3081">
      <w:pPr>
        <w:pStyle w:val="ListParagraph"/>
        <w:numPr>
          <w:ilvl w:val="0"/>
          <w:numId w:val="8"/>
        </w:numPr>
        <w:spacing w:before="240" w:after="240" w:line="276" w:lineRule="auto"/>
        <w:contextualSpacing w:val="0"/>
        <w:jc w:val="both"/>
        <w:rPr>
          <w:rFonts w:eastAsia="Arial" w:cstheme="minorHAnsi"/>
          <w:i w:val="0"/>
          <w:iCs w:val="0"/>
          <w:sz w:val="24"/>
          <w:szCs w:val="24"/>
        </w:rPr>
      </w:pPr>
      <w:r>
        <w:rPr>
          <w:b/>
          <w:i w:val="0"/>
          <w:sz w:val="24"/>
        </w:rPr>
        <w:t xml:space="preserve">Sécurité des </w:t>
      </w:r>
      <w:proofErr w:type="gramStart"/>
      <w:r>
        <w:rPr>
          <w:b/>
          <w:i w:val="0"/>
          <w:sz w:val="24"/>
        </w:rPr>
        <w:t>injections:</w:t>
      </w:r>
      <w:proofErr w:type="gramEnd"/>
      <w:r>
        <w:t xml:space="preserve"> </w:t>
      </w:r>
      <w:r>
        <w:rPr>
          <w:i w:val="0"/>
          <w:sz w:val="24"/>
        </w:rPr>
        <w:t xml:space="preserve">La sécurité des injections s’intéresse aux méthodes que les agents de santé devraient appliquer pour pratiquer vaccinales de la manière la plus sûre qu’il soit y compris l’administration des vaccins par voie orale. </w:t>
      </w:r>
    </w:p>
    <w:p w14:paraId="29924E7C" w14:textId="77777777" w:rsidR="00D00425" w:rsidRPr="00226801" w:rsidRDefault="00D00425" w:rsidP="00AE3081">
      <w:pPr>
        <w:pStyle w:val="ListParagraph"/>
        <w:numPr>
          <w:ilvl w:val="0"/>
          <w:numId w:val="8"/>
        </w:numPr>
        <w:spacing w:before="240" w:after="240" w:line="276" w:lineRule="auto"/>
        <w:contextualSpacing w:val="0"/>
        <w:jc w:val="both"/>
        <w:rPr>
          <w:rFonts w:eastAsia="Arial" w:cstheme="minorHAnsi"/>
          <w:i w:val="0"/>
          <w:iCs w:val="0"/>
          <w:sz w:val="24"/>
          <w:szCs w:val="24"/>
        </w:rPr>
      </w:pPr>
      <w:r>
        <w:rPr>
          <w:b/>
          <w:i w:val="0"/>
          <w:sz w:val="24"/>
        </w:rPr>
        <w:t xml:space="preserve">Calendrier des séances de </w:t>
      </w:r>
      <w:proofErr w:type="gramStart"/>
      <w:r>
        <w:rPr>
          <w:b/>
          <w:i w:val="0"/>
          <w:sz w:val="24"/>
        </w:rPr>
        <w:t>vaccination</w:t>
      </w:r>
      <w:r>
        <w:rPr>
          <w:i w:val="0"/>
          <w:sz w:val="24"/>
        </w:rPr>
        <w:t>:</w:t>
      </w:r>
      <w:proofErr w:type="gramEnd"/>
      <w:r>
        <w:rPr>
          <w:i w:val="0"/>
          <w:sz w:val="24"/>
        </w:rPr>
        <w:t xml:space="preserve"> il s’agit de la planification des différentes stratégies de vaccination mises en œuvre dans les formations sanitaires pour atteindre les cibles</w:t>
      </w:r>
    </w:p>
    <w:p w14:paraId="6CD9A963" w14:textId="77777777" w:rsidR="00D00425" w:rsidRPr="00226801" w:rsidRDefault="00D00425" w:rsidP="00AE3081">
      <w:pPr>
        <w:pStyle w:val="ListParagraph"/>
        <w:numPr>
          <w:ilvl w:val="0"/>
          <w:numId w:val="8"/>
        </w:numPr>
        <w:spacing w:before="240" w:after="240" w:line="276" w:lineRule="auto"/>
        <w:contextualSpacing w:val="0"/>
        <w:jc w:val="both"/>
        <w:rPr>
          <w:rFonts w:eastAsia="Arial" w:cstheme="minorHAnsi"/>
          <w:i w:val="0"/>
          <w:iCs w:val="0"/>
          <w:sz w:val="24"/>
          <w:szCs w:val="24"/>
        </w:rPr>
      </w:pPr>
      <w:r>
        <w:rPr>
          <w:b/>
          <w:i w:val="0"/>
          <w:sz w:val="24"/>
        </w:rPr>
        <w:t xml:space="preserve">Le déroulement des séances de vaccination :  </w:t>
      </w:r>
      <w:r>
        <w:rPr>
          <w:i w:val="0"/>
          <w:sz w:val="24"/>
        </w:rPr>
        <w:t xml:space="preserve">On trouvera dans ce module la description des tâches que l’agent de santé doit mener à bien le jour de la séance de vaccination, pour garantir la qualité de celle-ci. Il commence par la préparation nécessaire du poste de vaccination et indique ensuite de manière détaillée comment procéder à l’évaluation de l’état vaccinal des mères et des nourrissons. Il indique également la bonne technique d’administration de chaque vaccin et la façon de communiquer avec les parents pendant et après la séance de vaccination, ainsi que la manière de clôturer cette dernière </w:t>
      </w:r>
    </w:p>
    <w:p w14:paraId="75441999" w14:textId="77777777" w:rsidR="00D00425" w:rsidRPr="00226801" w:rsidRDefault="00D00425" w:rsidP="00AE3081">
      <w:pPr>
        <w:pStyle w:val="ListParagraph"/>
        <w:numPr>
          <w:ilvl w:val="0"/>
          <w:numId w:val="8"/>
        </w:numPr>
        <w:spacing w:before="240" w:after="240" w:line="276" w:lineRule="auto"/>
        <w:contextualSpacing w:val="0"/>
        <w:jc w:val="both"/>
        <w:rPr>
          <w:rFonts w:eastAsia="Arial" w:cstheme="minorHAnsi"/>
          <w:i w:val="0"/>
          <w:iCs w:val="0"/>
          <w:sz w:val="24"/>
          <w:szCs w:val="24"/>
        </w:rPr>
      </w:pPr>
      <w:r>
        <w:rPr>
          <w:b/>
          <w:i w:val="0"/>
          <w:sz w:val="24"/>
        </w:rPr>
        <w:t xml:space="preserve">Collecte et suivi des données : </w:t>
      </w:r>
      <w:r>
        <w:rPr>
          <w:i w:val="0"/>
          <w:sz w:val="24"/>
        </w:rPr>
        <w:t>Ce module traite de la façon de collecter et de transmettre les données et de la manière dont on peut suivre ses performances à l’aide de ses propres données. Il montre également comment améliorer les performances du service en identifiant et en résolvant les problèmes, ainsi qu’en incorporant les solutions apportées dans le plan de travail</w:t>
      </w:r>
    </w:p>
    <w:p w14:paraId="5096EC4E" w14:textId="77777777" w:rsidR="00655B0D" w:rsidRPr="00226801" w:rsidRDefault="00D00425" w:rsidP="00AE3081">
      <w:pPr>
        <w:pStyle w:val="ListParagraph"/>
        <w:numPr>
          <w:ilvl w:val="0"/>
          <w:numId w:val="8"/>
        </w:numPr>
        <w:spacing w:before="240" w:after="240" w:line="276" w:lineRule="auto"/>
        <w:contextualSpacing w:val="0"/>
        <w:jc w:val="both"/>
        <w:rPr>
          <w:rFonts w:eastAsia="Arial" w:cstheme="minorHAnsi"/>
          <w:i w:val="0"/>
          <w:iCs w:val="0"/>
          <w:sz w:val="24"/>
          <w:szCs w:val="24"/>
        </w:rPr>
      </w:pPr>
      <w:r>
        <w:rPr>
          <w:i w:val="0"/>
          <w:sz w:val="24"/>
        </w:rPr>
        <w:t xml:space="preserve">Collaboration avec la </w:t>
      </w:r>
      <w:proofErr w:type="gramStart"/>
      <w:r>
        <w:rPr>
          <w:i w:val="0"/>
          <w:sz w:val="24"/>
        </w:rPr>
        <w:t>communauté:</w:t>
      </w:r>
      <w:proofErr w:type="gramEnd"/>
      <w:r>
        <w:rPr>
          <w:i w:val="0"/>
          <w:sz w:val="24"/>
        </w:rPr>
        <w:t xml:space="preserve">  il explique comment rendre les services de vaccination attentifs aux besoins des communauté et comment obtenir l’appui de ces dernières. </w:t>
      </w:r>
    </w:p>
    <w:p w14:paraId="48F45190" w14:textId="77777777" w:rsidR="00840789" w:rsidRPr="00226801" w:rsidRDefault="0055147D" w:rsidP="003E7EA9">
      <w:pPr>
        <w:pStyle w:val="Heading3"/>
        <w:numPr>
          <w:ilvl w:val="2"/>
          <w:numId w:val="3"/>
        </w:numPr>
        <w:pBdr>
          <w:bottom w:val="none" w:sz="0" w:space="0" w:color="auto"/>
        </w:pBdr>
        <w:spacing w:before="240" w:after="240"/>
        <w:rPr>
          <w:rFonts w:asciiTheme="minorHAnsi" w:hAnsiTheme="minorHAnsi" w:cstheme="minorHAnsi"/>
          <w:sz w:val="24"/>
          <w:szCs w:val="24"/>
        </w:rPr>
      </w:pPr>
      <w:bookmarkStart w:id="8" w:name="_Toc101798510"/>
      <w:r>
        <w:rPr>
          <w:rFonts w:asciiTheme="minorHAnsi" w:hAnsiTheme="minorHAnsi"/>
          <w:sz w:val="24"/>
        </w:rPr>
        <w:t>Gestion des manifestations post vaccinales indésirables (MAPI) éventuelles et des événements indésirables d’intérêt particulier (EIIP)</w:t>
      </w:r>
      <w:bookmarkEnd w:id="8"/>
      <w:r>
        <w:rPr>
          <w:rFonts w:asciiTheme="minorHAnsi" w:hAnsiTheme="minorHAnsi"/>
          <w:sz w:val="24"/>
        </w:rPr>
        <w:t xml:space="preserve"> </w:t>
      </w:r>
    </w:p>
    <w:p w14:paraId="5FE9EA5C" w14:textId="77777777" w:rsidR="006D2817" w:rsidRPr="00226801" w:rsidRDefault="006D2817" w:rsidP="00001690">
      <w:pPr>
        <w:spacing w:line="276" w:lineRule="auto"/>
        <w:jc w:val="both"/>
        <w:rPr>
          <w:rFonts w:asciiTheme="minorHAnsi" w:eastAsia="Arial" w:hAnsiTheme="minorHAnsi" w:cstheme="minorHAnsi"/>
          <w:i/>
          <w:iCs/>
        </w:rPr>
      </w:pPr>
      <w:r>
        <w:rPr>
          <w:rFonts w:asciiTheme="minorHAnsi" w:hAnsiTheme="minorHAnsi"/>
        </w:rPr>
        <w:t xml:space="preserve">La surveillance des vaccins est un enjeu majeur pour garantir leur efficacité dans la population et pour identifier les éventuels effets indésirables qui n’auraient pas été observés lors des essais cliniques. Elle est d’autant plus importante lors de l’utilisation d’un nouveau vaccin. Les manifestations post vaccinales indésirables (MAPI) sont des évènements médicaux pouvant survenir après la vaccination et pas nécessairement liés à cette dernière. Ces manifestations sont le plus souvent bénignes et rarement graves. Un système de surveillance des MAPI est déjà mis en place en vaccination systématique et lors des AVS. </w:t>
      </w:r>
    </w:p>
    <w:p w14:paraId="2BD0BE97" w14:textId="77777777" w:rsidR="006D2817" w:rsidRPr="00226801" w:rsidRDefault="006D2817" w:rsidP="00001690">
      <w:pPr>
        <w:spacing w:line="276" w:lineRule="auto"/>
        <w:jc w:val="both"/>
        <w:rPr>
          <w:rFonts w:asciiTheme="minorHAnsi" w:eastAsia="Arial" w:hAnsiTheme="minorHAnsi" w:cstheme="minorHAnsi"/>
          <w:i/>
          <w:iCs/>
        </w:rPr>
      </w:pPr>
      <w:r>
        <w:rPr>
          <w:rFonts w:asciiTheme="minorHAnsi" w:hAnsiTheme="minorHAnsi"/>
        </w:rPr>
        <w:t xml:space="preserve">Pour assurer l’utilisation efficace du </w:t>
      </w:r>
      <w:proofErr w:type="spellStart"/>
      <w:r>
        <w:rPr>
          <w:rFonts w:asciiTheme="minorHAnsi" w:hAnsiTheme="minorHAnsi"/>
        </w:rPr>
        <w:t>Rotavac</w:t>
      </w:r>
      <w:proofErr w:type="spellEnd"/>
      <w:r>
        <w:rPr>
          <w:rFonts w:asciiTheme="minorHAnsi" w:hAnsiTheme="minorHAnsi"/>
        </w:rPr>
        <w:t xml:space="preserve"> et garantir sa sécurité, les capacités de personnel de santé seront renforcées sur la surveillance des MAPI et EIIP notamment la détection, la notification, l’investigation, la prise en charge des cas de MAPI signalés par le receveur. A cet </w:t>
      </w:r>
      <w:r>
        <w:rPr>
          <w:rFonts w:asciiTheme="minorHAnsi" w:hAnsiTheme="minorHAnsi"/>
        </w:rPr>
        <w:lastRenderedPageBreak/>
        <w:t>effet, des modules de formation ont été conçus. Cette surveillance repose essentiellement sur les aspects suivants :</w:t>
      </w:r>
    </w:p>
    <w:p w14:paraId="022C614E" w14:textId="77777777" w:rsidR="006D2817" w:rsidRPr="00226801" w:rsidRDefault="006D2817" w:rsidP="00001690">
      <w:pPr>
        <w:numPr>
          <w:ilvl w:val="0"/>
          <w:numId w:val="6"/>
        </w:numPr>
        <w:spacing w:before="240" w:after="240" w:line="276" w:lineRule="auto"/>
        <w:jc w:val="both"/>
        <w:rPr>
          <w:rFonts w:asciiTheme="minorHAnsi" w:hAnsiTheme="minorHAnsi" w:cstheme="minorHAnsi"/>
          <w:i/>
          <w:iCs/>
        </w:rPr>
      </w:pPr>
      <w:r>
        <w:rPr>
          <w:rFonts w:asciiTheme="minorHAnsi" w:hAnsiTheme="minorHAnsi"/>
        </w:rPr>
        <w:t xml:space="preserve">Détection et Notification : tout cas de MAPI signalé à un prestataire de soins qui travaille dans le système de santé ou détecté par ce dernier sera notifié le plus rapidement possible au niveau supérieur en utilisant les formulaires de notification standards (fiche de notification /fiche d’investigation) et en remplissant également le formulaire ODK (pharmacovigilance-CM) en ligne. Toutes les MAPI qui suscitent l’inquiétude de la communauté ou du personnel soignant seront notifiées. Le circuit de notification sera affiché dans toutes formations sanitaires et les outils de gestion de MAPI seront mis à la disposition du personnel ; </w:t>
      </w:r>
      <w:bookmarkStart w:id="9" w:name="_Toc62680956"/>
      <w:bookmarkStart w:id="10" w:name="_Toc67765895"/>
    </w:p>
    <w:p w14:paraId="7B9D9485" w14:textId="77777777" w:rsidR="006D2817" w:rsidRPr="00226801" w:rsidRDefault="006D2817" w:rsidP="00001690">
      <w:pPr>
        <w:numPr>
          <w:ilvl w:val="0"/>
          <w:numId w:val="6"/>
        </w:numPr>
        <w:spacing w:before="240" w:after="240" w:line="276" w:lineRule="auto"/>
        <w:jc w:val="both"/>
        <w:rPr>
          <w:rFonts w:asciiTheme="minorHAnsi" w:eastAsia="Arial" w:hAnsiTheme="minorHAnsi" w:cstheme="minorHAnsi"/>
          <w:i/>
          <w:iCs/>
        </w:rPr>
      </w:pPr>
      <w:r>
        <w:rPr>
          <w:rFonts w:asciiTheme="minorHAnsi" w:hAnsiTheme="minorHAnsi"/>
        </w:rPr>
        <w:t>Les AEFI graves</w:t>
      </w:r>
      <w:bookmarkEnd w:id="9"/>
      <w:bookmarkEnd w:id="10"/>
      <w:r>
        <w:rPr>
          <w:rFonts w:asciiTheme="minorHAnsi" w:hAnsiTheme="minorHAnsi"/>
        </w:rPr>
        <w:t xml:space="preserve"> doivent être examinées dans les 24 à 48 heures par l'équipe de gestion du district. Ce projet sera mené avec le soutien de la région et un rapport sera communiqué au niveau national. Un système d’alerte en cas de MAPI grave a été intégré afin de réagir promptement aux cas graves. Le guide de poche élaboré sera actualisé et également mis à leur disposition ainsi que toute la documentation y afférente (définition des cas, fiches de notification, investigation, enquête, manuel de surveillance). Un comité d’experts MAPI déjà fonctionnel permettra d’établir ou pas un lien de causalité entre la MAPI grave signalée et le vaccin </w:t>
      </w:r>
      <w:proofErr w:type="spellStart"/>
      <w:r>
        <w:rPr>
          <w:rFonts w:asciiTheme="minorHAnsi" w:hAnsiTheme="minorHAnsi"/>
        </w:rPr>
        <w:t>Rotavac</w:t>
      </w:r>
      <w:proofErr w:type="spellEnd"/>
      <w:r>
        <w:rPr>
          <w:rFonts w:asciiTheme="minorHAnsi" w:hAnsiTheme="minorHAnsi"/>
        </w:rPr>
        <w:t> ;</w:t>
      </w:r>
    </w:p>
    <w:p w14:paraId="6757B272" w14:textId="77777777" w:rsidR="006D2817" w:rsidRPr="00226801" w:rsidRDefault="006D2817" w:rsidP="00001690">
      <w:pPr>
        <w:numPr>
          <w:ilvl w:val="0"/>
          <w:numId w:val="6"/>
        </w:numPr>
        <w:spacing w:before="240" w:after="240" w:line="276" w:lineRule="auto"/>
        <w:jc w:val="both"/>
        <w:rPr>
          <w:rFonts w:asciiTheme="minorHAnsi" w:eastAsia="Arial" w:hAnsiTheme="minorHAnsi" w:cstheme="minorHAnsi"/>
          <w:i/>
          <w:iCs/>
        </w:rPr>
      </w:pPr>
      <w:r>
        <w:rPr>
          <w:rFonts w:asciiTheme="minorHAnsi" w:hAnsiTheme="minorHAnsi"/>
        </w:rPr>
        <w:t>Enquêtes sur les MAPI à issue fatale (décès) :  En cas de décès consécutif à la vaccination, l’enquête de terrain sera conduite immédiatement et un rapport sera établi sous 24 heures. L’investigation du cas sera menée par une équipe multi disciplinaire. A cet effet une communication sera faite au public pour rassurer la communauté. Des prélèvements seront faits lors de l’investigation ;</w:t>
      </w:r>
    </w:p>
    <w:p w14:paraId="2A65A132" w14:textId="77777777" w:rsidR="006D2817" w:rsidRPr="00226801" w:rsidRDefault="006D2817" w:rsidP="00001690">
      <w:pPr>
        <w:numPr>
          <w:ilvl w:val="0"/>
          <w:numId w:val="6"/>
        </w:numPr>
        <w:spacing w:before="240" w:after="240" w:line="276" w:lineRule="auto"/>
        <w:jc w:val="both"/>
        <w:rPr>
          <w:rFonts w:asciiTheme="minorHAnsi" w:eastAsia="Arial" w:hAnsiTheme="minorHAnsi" w:cstheme="minorHAnsi"/>
          <w:i/>
          <w:iCs/>
        </w:rPr>
      </w:pPr>
      <w:r>
        <w:t>Investigation des MAPI en grappes s’attardera en premier lieu à déterminer l’éventualité d’une erreur de vaccination ou d’un problème de qualité du vaccin</w:t>
      </w:r>
      <w:bookmarkStart w:id="11" w:name="_Toc62680957"/>
      <w:bookmarkStart w:id="12" w:name="_Toc67765896"/>
      <w:r>
        <w:t> ;</w:t>
      </w:r>
    </w:p>
    <w:p w14:paraId="17E5D694" w14:textId="77777777" w:rsidR="006D2817" w:rsidRPr="00226801" w:rsidRDefault="006D2817" w:rsidP="00001690">
      <w:pPr>
        <w:numPr>
          <w:ilvl w:val="0"/>
          <w:numId w:val="6"/>
        </w:numPr>
        <w:spacing w:before="240" w:after="240" w:line="276" w:lineRule="auto"/>
        <w:jc w:val="both"/>
        <w:rPr>
          <w:rFonts w:asciiTheme="minorHAnsi" w:eastAsia="Arial" w:hAnsiTheme="minorHAnsi" w:cstheme="minorHAnsi"/>
          <w:i/>
          <w:iCs/>
        </w:rPr>
      </w:pPr>
      <w:r>
        <w:rPr>
          <w:rFonts w:asciiTheme="minorHAnsi" w:hAnsiTheme="minorHAnsi"/>
        </w:rPr>
        <w:t xml:space="preserve">Analyse d'échantillons en </w:t>
      </w:r>
      <w:proofErr w:type="gramStart"/>
      <w:r>
        <w:rPr>
          <w:rFonts w:asciiTheme="minorHAnsi" w:hAnsiTheme="minorHAnsi"/>
        </w:rPr>
        <w:t>laboratoire</w:t>
      </w:r>
      <w:bookmarkEnd w:id="11"/>
      <w:bookmarkEnd w:id="12"/>
      <w:r>
        <w:rPr>
          <w:rFonts w:asciiTheme="minorHAnsi" w:hAnsiTheme="minorHAnsi"/>
        </w:rPr>
        <w:t>:</w:t>
      </w:r>
      <w:proofErr w:type="gramEnd"/>
      <w:r>
        <w:rPr>
          <w:rFonts w:asciiTheme="minorHAnsi" w:hAnsiTheme="minorHAnsi"/>
        </w:rPr>
        <w:t xml:space="preserve"> en cas de besoin, des examens "de routine" seront menés dans des laboratoires appropriés homologués par le ministère de la Santé publique ; </w:t>
      </w:r>
    </w:p>
    <w:p w14:paraId="6765B651" w14:textId="77777777" w:rsidR="002D2E4F" w:rsidRPr="00226801" w:rsidRDefault="006D2817" w:rsidP="00001690">
      <w:pPr>
        <w:spacing w:line="276" w:lineRule="auto"/>
        <w:jc w:val="both"/>
        <w:rPr>
          <w:rFonts w:asciiTheme="minorHAnsi" w:eastAsia="Arial" w:hAnsiTheme="minorHAnsi" w:cstheme="minorHAnsi"/>
          <w:i/>
          <w:iCs/>
        </w:rPr>
      </w:pPr>
      <w:r>
        <w:rPr>
          <w:rFonts w:asciiTheme="minorHAnsi" w:hAnsiTheme="minorHAnsi"/>
        </w:rPr>
        <w:t>En ce qui concerne la prise en charge des cas graves, elle se fera gratuitement dans les hôpitaux publics.</w:t>
      </w:r>
    </w:p>
    <w:p w14:paraId="4410375D" w14:textId="77777777" w:rsidR="002411F5" w:rsidRPr="00226801" w:rsidRDefault="002411F5" w:rsidP="003E7EA9">
      <w:pPr>
        <w:pStyle w:val="Heading2"/>
        <w:numPr>
          <w:ilvl w:val="1"/>
          <w:numId w:val="3"/>
        </w:numPr>
        <w:rPr>
          <w:rFonts w:asciiTheme="minorHAnsi" w:hAnsiTheme="minorHAnsi" w:cstheme="minorHAnsi"/>
          <w:b w:val="0"/>
          <w:bCs w:val="0"/>
          <w:color w:val="auto"/>
          <w:sz w:val="24"/>
          <w:szCs w:val="24"/>
        </w:rPr>
      </w:pPr>
      <w:bookmarkStart w:id="13" w:name="_Toc101798511"/>
      <w:r>
        <w:rPr>
          <w:rFonts w:asciiTheme="minorHAnsi" w:hAnsiTheme="minorHAnsi"/>
          <w:b w:val="0"/>
          <w:color w:val="auto"/>
          <w:sz w:val="24"/>
        </w:rPr>
        <w:t>Information de la communauté et des gardiens d’enfants cible</w:t>
      </w:r>
      <w:bookmarkEnd w:id="13"/>
    </w:p>
    <w:p w14:paraId="3D28C0E1" w14:textId="77777777" w:rsidR="00876462" w:rsidRPr="00226801" w:rsidRDefault="00876462" w:rsidP="00876462">
      <w:pPr>
        <w:pStyle w:val="Heading3"/>
        <w:numPr>
          <w:ilvl w:val="2"/>
          <w:numId w:val="3"/>
        </w:numPr>
        <w:pBdr>
          <w:bottom w:val="none" w:sz="0" w:space="0" w:color="auto"/>
        </w:pBdr>
        <w:spacing w:before="240" w:after="240"/>
        <w:ind w:left="1225" w:hanging="505"/>
        <w:rPr>
          <w:rFonts w:asciiTheme="minorHAnsi" w:hAnsiTheme="minorHAnsi" w:cstheme="minorHAnsi"/>
          <w:sz w:val="24"/>
          <w:szCs w:val="24"/>
        </w:rPr>
      </w:pPr>
      <w:bookmarkStart w:id="14" w:name="_Toc101798512"/>
      <w:r>
        <w:rPr>
          <w:rFonts w:asciiTheme="minorHAnsi" w:hAnsiTheme="minorHAnsi"/>
          <w:sz w:val="24"/>
        </w:rPr>
        <w:t>Contexte et environnement social actuel</w:t>
      </w:r>
      <w:bookmarkEnd w:id="14"/>
    </w:p>
    <w:p w14:paraId="5F7C4643" w14:textId="77777777" w:rsidR="003D6FEE" w:rsidRPr="00226801" w:rsidRDefault="00F70108" w:rsidP="00D50ADA">
      <w:pPr>
        <w:spacing w:line="276" w:lineRule="auto"/>
        <w:jc w:val="both"/>
        <w:rPr>
          <w:rFonts w:asciiTheme="minorHAnsi" w:hAnsiTheme="minorHAnsi" w:cstheme="minorHAnsi"/>
          <w:i/>
          <w:iCs/>
        </w:rPr>
      </w:pPr>
      <w:r>
        <w:rPr>
          <w:rFonts w:asciiTheme="minorHAnsi" w:hAnsiTheme="minorHAnsi"/>
        </w:rPr>
        <w:t xml:space="preserve">Le contexte social actuel est marqué par la prolifération des fake news et la défiance vis à vis de la vaccination. Le système de santé fait désormais face à des rumeurs perceptibles autant dans les médias classiques que dans les réseaux sociaux et les communautés. Les différentes </w:t>
      </w:r>
      <w:r>
        <w:rPr>
          <w:rFonts w:asciiTheme="minorHAnsi" w:hAnsiTheme="minorHAnsi"/>
        </w:rPr>
        <w:lastRenderedPageBreak/>
        <w:t>études</w:t>
      </w:r>
      <w:r w:rsidR="003D6FEE" w:rsidRPr="00E00A22">
        <w:rPr>
          <w:rFonts w:asciiTheme="minorHAnsi" w:hAnsiTheme="minorHAnsi" w:cstheme="minorHAnsi"/>
          <w:vertAlign w:val="superscript"/>
        </w:rPr>
        <w:footnoteReference w:id="2"/>
      </w:r>
      <w:r>
        <w:rPr>
          <w:rFonts w:asciiTheme="minorHAnsi" w:hAnsiTheme="minorHAnsi"/>
        </w:rPr>
        <w:t xml:space="preserve">  menées démontrent à suffisance la nécessité de mettre en place des mécanismes destinés à améliorer les connaissances attitudes et pratiques des populations vis-à-vis de la vaccination. Ces études ont la particularité d’avoir mis en relief le personnel de santé en tant que nouvelle cible de la communication en matière de vaccination. Le remplacement du </w:t>
      </w:r>
      <w:proofErr w:type="spellStart"/>
      <w:r>
        <w:rPr>
          <w:rFonts w:asciiTheme="minorHAnsi" w:hAnsiTheme="minorHAnsi"/>
        </w:rPr>
        <w:t>Rotarix</w:t>
      </w:r>
      <w:proofErr w:type="spellEnd"/>
      <w:r>
        <w:rPr>
          <w:rFonts w:asciiTheme="minorHAnsi" w:hAnsiTheme="minorHAnsi"/>
        </w:rPr>
        <w:t xml:space="preserve"> en </w:t>
      </w:r>
      <w:proofErr w:type="spellStart"/>
      <w:r>
        <w:rPr>
          <w:rFonts w:asciiTheme="minorHAnsi" w:hAnsiTheme="minorHAnsi"/>
        </w:rPr>
        <w:t>Rotavac</w:t>
      </w:r>
      <w:proofErr w:type="spellEnd"/>
      <w:r>
        <w:rPr>
          <w:rFonts w:asciiTheme="minorHAnsi" w:hAnsiTheme="minorHAnsi"/>
        </w:rPr>
        <w:t xml:space="preserve"> pouvant être source de rumeurs il convient donc dans le cadre de ce changement, en plus des activités de masse, de placer ce personnel de santé au centre de la stratégie communication. </w:t>
      </w:r>
    </w:p>
    <w:p w14:paraId="0E4F24E0" w14:textId="77777777" w:rsidR="00876462" w:rsidRPr="00226801" w:rsidRDefault="00876462" w:rsidP="003E1A1A">
      <w:pPr>
        <w:pStyle w:val="Heading3"/>
        <w:numPr>
          <w:ilvl w:val="2"/>
          <w:numId w:val="3"/>
        </w:numPr>
        <w:pBdr>
          <w:bottom w:val="none" w:sz="0" w:space="0" w:color="auto"/>
        </w:pBdr>
        <w:spacing w:before="240" w:after="240"/>
        <w:ind w:left="1225" w:hanging="505"/>
        <w:rPr>
          <w:rFonts w:asciiTheme="minorHAnsi" w:hAnsiTheme="minorHAnsi" w:cstheme="minorHAnsi"/>
          <w:sz w:val="24"/>
          <w:szCs w:val="24"/>
        </w:rPr>
      </w:pPr>
      <w:bookmarkStart w:id="15" w:name="_Toc101798513"/>
      <w:r>
        <w:rPr>
          <w:rFonts w:asciiTheme="minorHAnsi" w:hAnsiTheme="minorHAnsi"/>
          <w:sz w:val="24"/>
        </w:rPr>
        <w:t>Activités de communication planifiées</w:t>
      </w:r>
      <w:bookmarkEnd w:id="15"/>
    </w:p>
    <w:p w14:paraId="0D466BD0" w14:textId="77777777" w:rsidR="00876462" w:rsidRPr="00226801" w:rsidRDefault="003E1A1A" w:rsidP="00D50ADA">
      <w:pPr>
        <w:spacing w:line="276" w:lineRule="auto"/>
        <w:jc w:val="both"/>
        <w:rPr>
          <w:rFonts w:asciiTheme="minorHAnsi" w:hAnsiTheme="minorHAnsi" w:cstheme="minorHAnsi"/>
          <w:i/>
          <w:iCs/>
        </w:rPr>
      </w:pPr>
      <w:r>
        <w:rPr>
          <w:rFonts w:asciiTheme="minorHAnsi" w:hAnsiTheme="minorHAnsi"/>
        </w:rPr>
        <w:t>Les activités de communication vont se concentrer autour du personnel de santé en charge de la vaccination, responsable de la communication auprès des gardiens d’enfants. La session d'information de ces personnels de santé va mettre l’accent sur les techniques de communication interpersonnelle en matière de vaccination.</w:t>
      </w:r>
    </w:p>
    <w:p w14:paraId="61A2B425" w14:textId="77777777" w:rsidR="003D6FEE" w:rsidRPr="00226801" w:rsidRDefault="003D6FEE" w:rsidP="00D50ADA">
      <w:pPr>
        <w:spacing w:line="276" w:lineRule="auto"/>
        <w:jc w:val="both"/>
        <w:rPr>
          <w:rFonts w:asciiTheme="minorHAnsi" w:hAnsiTheme="minorHAnsi" w:cstheme="minorHAnsi"/>
          <w:i/>
          <w:iCs/>
        </w:rPr>
      </w:pPr>
      <w:r>
        <w:rPr>
          <w:rFonts w:asciiTheme="minorHAnsi" w:hAnsiTheme="minorHAnsi"/>
        </w:rPr>
        <w:t>Il est donc prévu entre autres de :</w:t>
      </w:r>
    </w:p>
    <w:p w14:paraId="39E5E860" w14:textId="77777777" w:rsidR="0009150A" w:rsidRPr="00226801" w:rsidRDefault="003D6FEE" w:rsidP="00D50ADA">
      <w:pPr>
        <w:pStyle w:val="ListParagraph"/>
        <w:numPr>
          <w:ilvl w:val="0"/>
          <w:numId w:val="9"/>
        </w:numPr>
        <w:spacing w:line="276" w:lineRule="auto"/>
        <w:jc w:val="both"/>
        <w:rPr>
          <w:rFonts w:cstheme="minorHAnsi"/>
          <w:i w:val="0"/>
          <w:iCs w:val="0"/>
          <w:sz w:val="24"/>
          <w:szCs w:val="24"/>
        </w:rPr>
      </w:pPr>
      <w:r>
        <w:rPr>
          <w:i w:val="0"/>
          <w:sz w:val="24"/>
        </w:rPr>
        <w:t xml:space="preserve">Rédiger et diffuser une lettre circulaire du </w:t>
      </w:r>
      <w:proofErr w:type="gramStart"/>
      <w:r>
        <w:rPr>
          <w:i w:val="0"/>
          <w:sz w:val="24"/>
        </w:rPr>
        <w:t>Ministère</w:t>
      </w:r>
      <w:proofErr w:type="gramEnd"/>
      <w:r>
        <w:rPr>
          <w:i w:val="0"/>
          <w:sz w:val="24"/>
        </w:rPr>
        <w:t xml:space="preserve"> de la Santé Publique, contenant toutes les directives adressées à tous les responsables des services de vaccination sur le changement du vaccin </w:t>
      </w:r>
      <w:proofErr w:type="spellStart"/>
      <w:r>
        <w:rPr>
          <w:i w:val="0"/>
          <w:sz w:val="24"/>
        </w:rPr>
        <w:t>anti-rotavirus</w:t>
      </w:r>
      <w:proofErr w:type="spellEnd"/>
      <w:r>
        <w:rPr>
          <w:i w:val="0"/>
          <w:sz w:val="24"/>
        </w:rPr>
        <w:t xml:space="preserve"> </w:t>
      </w:r>
    </w:p>
    <w:p w14:paraId="44108B28" w14:textId="77777777" w:rsidR="003D6FEE" w:rsidRPr="00226801" w:rsidRDefault="003D6FEE" w:rsidP="00D50ADA">
      <w:pPr>
        <w:pStyle w:val="ListParagraph"/>
        <w:numPr>
          <w:ilvl w:val="0"/>
          <w:numId w:val="9"/>
        </w:numPr>
        <w:spacing w:line="276" w:lineRule="auto"/>
        <w:jc w:val="both"/>
        <w:rPr>
          <w:rFonts w:cstheme="minorHAnsi"/>
          <w:i w:val="0"/>
          <w:iCs w:val="0"/>
          <w:sz w:val="24"/>
          <w:szCs w:val="24"/>
        </w:rPr>
      </w:pPr>
      <w:r>
        <w:rPr>
          <w:i w:val="0"/>
          <w:sz w:val="24"/>
        </w:rPr>
        <w:t>Informer le personnel de santé sur les techniques de CIP lors des sessions de formation planifiées ;</w:t>
      </w:r>
    </w:p>
    <w:p w14:paraId="49B76708" w14:textId="77777777" w:rsidR="003D6FEE" w:rsidRPr="00226801" w:rsidRDefault="003D6FEE" w:rsidP="00D50ADA">
      <w:pPr>
        <w:pStyle w:val="ListParagraph"/>
        <w:numPr>
          <w:ilvl w:val="0"/>
          <w:numId w:val="9"/>
        </w:numPr>
        <w:spacing w:line="276" w:lineRule="auto"/>
        <w:jc w:val="both"/>
        <w:rPr>
          <w:rFonts w:cstheme="minorHAnsi"/>
          <w:i w:val="0"/>
          <w:iCs w:val="0"/>
          <w:sz w:val="24"/>
          <w:szCs w:val="24"/>
        </w:rPr>
      </w:pPr>
      <w:r>
        <w:rPr>
          <w:i w:val="0"/>
          <w:sz w:val="24"/>
        </w:rPr>
        <w:t>Produire des guides et affichettes y compris du nouveau schéma vaccinal, à l’usage du personnel de santé et des acteurs communautaires ;</w:t>
      </w:r>
    </w:p>
    <w:p w14:paraId="1BF86E28" w14:textId="77777777" w:rsidR="007B2A16" w:rsidRPr="00226801" w:rsidRDefault="003D6FEE" w:rsidP="00D50ADA">
      <w:pPr>
        <w:pStyle w:val="ListParagraph"/>
        <w:numPr>
          <w:ilvl w:val="0"/>
          <w:numId w:val="9"/>
        </w:numPr>
        <w:spacing w:line="276" w:lineRule="auto"/>
        <w:jc w:val="both"/>
        <w:rPr>
          <w:rFonts w:cstheme="minorHAnsi"/>
          <w:i w:val="0"/>
          <w:iCs w:val="0"/>
          <w:sz w:val="24"/>
          <w:szCs w:val="24"/>
        </w:rPr>
      </w:pPr>
      <w:r>
        <w:rPr>
          <w:i w:val="0"/>
          <w:sz w:val="24"/>
        </w:rPr>
        <w:t>Planifier et mettre en œuvre un plan de post à destination du grand public sur les différentes plateformes numériques du PEV.</w:t>
      </w:r>
    </w:p>
    <w:p w14:paraId="24A6BC9D" w14:textId="77777777" w:rsidR="00B168DE" w:rsidRPr="00226801" w:rsidRDefault="00B168DE" w:rsidP="00D50ADA">
      <w:pPr>
        <w:pStyle w:val="ListParagraph"/>
        <w:numPr>
          <w:ilvl w:val="0"/>
          <w:numId w:val="9"/>
        </w:numPr>
        <w:spacing w:line="276" w:lineRule="auto"/>
        <w:jc w:val="both"/>
        <w:rPr>
          <w:rFonts w:cstheme="minorHAnsi"/>
          <w:i w:val="0"/>
          <w:iCs w:val="0"/>
          <w:sz w:val="24"/>
          <w:szCs w:val="24"/>
        </w:rPr>
      </w:pPr>
      <w:r>
        <w:rPr>
          <w:i w:val="0"/>
          <w:sz w:val="24"/>
        </w:rPr>
        <w:t xml:space="preserve">Mener une campagne de communication digitale ave l’association des bloggeurs du Cameroun sur la vaccination systématique en général dans lequel le nouveau schéma vaccinal comprenant les doses de </w:t>
      </w:r>
      <w:proofErr w:type="spellStart"/>
      <w:r>
        <w:rPr>
          <w:i w:val="0"/>
          <w:sz w:val="24"/>
        </w:rPr>
        <w:t>Rotavac</w:t>
      </w:r>
      <w:proofErr w:type="spellEnd"/>
      <w:r>
        <w:rPr>
          <w:i w:val="0"/>
          <w:sz w:val="24"/>
        </w:rPr>
        <w:t>® sera vulgarisé.</w:t>
      </w:r>
    </w:p>
    <w:p w14:paraId="2B9EA2D6" w14:textId="77777777" w:rsidR="002411F5" w:rsidRPr="005304F3" w:rsidRDefault="007B2A16" w:rsidP="007B2A16">
      <w:pPr>
        <w:rPr>
          <w:rFonts w:asciiTheme="minorHAnsi" w:hAnsiTheme="minorHAnsi" w:cstheme="minorHAnsi"/>
          <w:i/>
          <w:iCs/>
        </w:rPr>
      </w:pPr>
      <w:r>
        <w:br w:type="page"/>
      </w:r>
    </w:p>
    <w:p w14:paraId="7FD9B05F" w14:textId="77777777" w:rsidR="002411F5" w:rsidRPr="00226801" w:rsidRDefault="002411F5" w:rsidP="00876462">
      <w:pPr>
        <w:pStyle w:val="Heading2"/>
        <w:numPr>
          <w:ilvl w:val="1"/>
          <w:numId w:val="13"/>
        </w:numPr>
        <w:rPr>
          <w:rFonts w:asciiTheme="minorHAnsi" w:hAnsiTheme="minorHAnsi" w:cstheme="minorHAnsi"/>
          <w:b w:val="0"/>
          <w:bCs w:val="0"/>
          <w:color w:val="auto"/>
          <w:sz w:val="24"/>
          <w:szCs w:val="24"/>
        </w:rPr>
      </w:pPr>
      <w:bookmarkStart w:id="16" w:name="_Toc101798514"/>
      <w:r>
        <w:rPr>
          <w:rFonts w:asciiTheme="minorHAnsi" w:hAnsiTheme="minorHAnsi"/>
          <w:b w:val="0"/>
          <w:color w:val="auto"/>
          <w:sz w:val="24"/>
        </w:rPr>
        <w:lastRenderedPageBreak/>
        <w:t>Approvisionnement en vaccin et gestion des stocks</w:t>
      </w:r>
      <w:bookmarkEnd w:id="16"/>
      <w:r>
        <w:rPr>
          <w:rFonts w:asciiTheme="minorHAnsi" w:hAnsiTheme="minorHAnsi"/>
          <w:b w:val="0"/>
          <w:color w:val="auto"/>
          <w:sz w:val="24"/>
        </w:rPr>
        <w:tab/>
      </w:r>
    </w:p>
    <w:p w14:paraId="5D503B66" w14:textId="77777777" w:rsidR="003E7EA9" w:rsidRPr="00226801" w:rsidRDefault="003E7EA9" w:rsidP="00876462">
      <w:pPr>
        <w:pStyle w:val="Heading3"/>
        <w:numPr>
          <w:ilvl w:val="2"/>
          <w:numId w:val="13"/>
        </w:numPr>
        <w:pBdr>
          <w:bottom w:val="none" w:sz="0" w:space="0" w:color="auto"/>
        </w:pBdr>
        <w:spacing w:before="240" w:after="240"/>
        <w:ind w:left="1225" w:hanging="505"/>
        <w:rPr>
          <w:rFonts w:asciiTheme="minorHAnsi" w:hAnsiTheme="minorHAnsi" w:cstheme="minorHAnsi"/>
          <w:sz w:val="24"/>
          <w:szCs w:val="24"/>
        </w:rPr>
      </w:pPr>
      <w:bookmarkStart w:id="17" w:name="_Toc101798515"/>
      <w:bookmarkStart w:id="18" w:name="_Toc10665411"/>
      <w:r>
        <w:rPr>
          <w:rFonts w:asciiTheme="minorHAnsi" w:hAnsiTheme="minorHAnsi"/>
          <w:sz w:val="24"/>
        </w:rPr>
        <w:t>Organisation de la chaîne d’approvisionnement</w:t>
      </w:r>
      <w:bookmarkEnd w:id="17"/>
    </w:p>
    <w:p w14:paraId="6A03A0E1" w14:textId="77777777" w:rsidR="007B2A16" w:rsidRPr="00226801" w:rsidRDefault="007B2A16" w:rsidP="38F72E36">
      <w:pPr>
        <w:pStyle w:val="ListParagraph"/>
        <w:spacing w:before="240" w:after="240" w:line="276" w:lineRule="auto"/>
        <w:ind w:left="0"/>
        <w:contextualSpacing w:val="0"/>
        <w:jc w:val="both"/>
        <w:rPr>
          <w:rFonts w:cstheme="minorHAnsi"/>
          <w:i w:val="0"/>
          <w:iCs w:val="0"/>
          <w:sz w:val="24"/>
          <w:szCs w:val="24"/>
        </w:rPr>
      </w:pPr>
      <w:r>
        <w:rPr>
          <w:i w:val="0"/>
          <w:sz w:val="24"/>
        </w:rPr>
        <w:t xml:space="preserve">La chaine d’approvisionnement du pays est organisée en 4 niveaux : les niveaux central, régional, de district de santé et de centre de santé. Le stockage des vaccins à chaque niveau nécessite la disponibilité des équipements de la chaine du froid. </w:t>
      </w:r>
      <w:bookmarkStart w:id="19" w:name="_Toc95808673"/>
      <w:r>
        <w:rPr>
          <w:i w:val="0"/>
          <w:sz w:val="24"/>
        </w:rPr>
        <w:t>L’approvisionnement en vaccin suivra le circuit habituel des vaccins systématiques. En effet l’achat du vaccin et le transport jusqu’aux ports d’entrée, dans ce cas, l’aéroport sont assurés par l’UNICEF en raison de son expertise dans les achats internationaux des produits pharmaceutiques. Un protocole d'accord a été signé entre le ministère de la Santé et l'UNICEF. Les transitaires sont sélectionnés par procédure de gré à gré pour l’enlèvement et l’acheminement des vaccins vers les entrepôts centraux. Le PEV dispose d’une base de données de fournisseurs de services de douane et transit à cet effet.</w:t>
      </w:r>
    </w:p>
    <w:p w14:paraId="283FB600" w14:textId="77777777" w:rsidR="007B2A16" w:rsidRPr="00226801" w:rsidRDefault="007B2A16" w:rsidP="38F72E36">
      <w:pPr>
        <w:pStyle w:val="ListParagraph"/>
        <w:spacing w:before="240" w:after="240" w:line="276" w:lineRule="auto"/>
        <w:ind w:left="0"/>
        <w:contextualSpacing w:val="0"/>
        <w:jc w:val="both"/>
        <w:rPr>
          <w:rFonts w:cstheme="minorHAnsi"/>
          <w:i w:val="0"/>
          <w:iCs w:val="0"/>
          <w:sz w:val="24"/>
          <w:szCs w:val="24"/>
        </w:rPr>
      </w:pPr>
      <w:r>
        <w:rPr>
          <w:i w:val="0"/>
          <w:sz w:val="24"/>
        </w:rPr>
        <w:t>Pour le transport, le GTC-PEV dispose d’un camion frigorifique +2°C et +8°C, d’une capacité de 20 m</w:t>
      </w:r>
      <w:r>
        <w:rPr>
          <w:i w:val="0"/>
          <w:sz w:val="24"/>
          <w:vertAlign w:val="superscript"/>
        </w:rPr>
        <w:t>3</w:t>
      </w:r>
      <w:r>
        <w:rPr>
          <w:i w:val="0"/>
          <w:sz w:val="24"/>
        </w:rPr>
        <w:t xml:space="preserve"> qui transporte les vaccins et autres consommables de la vaccination. Le PEV fait recours aux camions du </w:t>
      </w:r>
      <w:proofErr w:type="gramStart"/>
      <w:r>
        <w:rPr>
          <w:i w:val="0"/>
          <w:sz w:val="24"/>
        </w:rPr>
        <w:t>Ministère</w:t>
      </w:r>
      <w:proofErr w:type="gramEnd"/>
      <w:r>
        <w:rPr>
          <w:i w:val="0"/>
          <w:sz w:val="24"/>
        </w:rPr>
        <w:t xml:space="preserve"> de la Santé Publique pour le transport des vaccins. Dans certaines situations, des contrats sont passés avec des entreprises privées pour effectuer les livraisons sous la supervision des accompagnateurs du GTC-PEV afin d’assurer la sécurité de la cargaison. Pour des cas d’urgence, les colis des vaccins sont transportés vers les Régions disposant d’un aéroport. Au niveau périphérique, les districts de santé s’approvisionnent en fonction de leur besoin au dépôt régional et les formations sanitaires font de même auprès des dépôts des districts</w:t>
      </w:r>
    </w:p>
    <w:bookmarkEnd w:id="18"/>
    <w:bookmarkEnd w:id="19"/>
    <w:p w14:paraId="2F35E4CF" w14:textId="77777777" w:rsidR="007B2A16" w:rsidRPr="00226801" w:rsidRDefault="007B2A16" w:rsidP="00D50ADA">
      <w:pPr>
        <w:pStyle w:val="ListParagraph"/>
        <w:tabs>
          <w:tab w:val="left" w:pos="426"/>
        </w:tabs>
        <w:spacing w:before="240" w:after="240" w:line="276" w:lineRule="auto"/>
        <w:ind w:left="0"/>
        <w:contextualSpacing w:val="0"/>
        <w:jc w:val="both"/>
        <w:rPr>
          <w:rFonts w:cstheme="minorHAnsi"/>
          <w:i w:val="0"/>
          <w:iCs w:val="0"/>
          <w:sz w:val="24"/>
          <w:szCs w:val="24"/>
        </w:rPr>
      </w:pPr>
      <w:r>
        <w:rPr>
          <w:i w:val="0"/>
          <w:sz w:val="24"/>
        </w:rPr>
        <w:t>La destruction des produits biologiques selon les directives du plan national de gestion des déchets sous la responsabilité de la Direction de la Promotion de la Santé. La gestion des déchets issus de la vaccination varie en fonction de leurs types et se fait selon les Procédures Opérationnelles Normalisées (</w:t>
      </w:r>
      <w:proofErr w:type="spellStart"/>
      <w:r>
        <w:rPr>
          <w:i w:val="0"/>
          <w:sz w:val="24"/>
        </w:rPr>
        <w:t>PONs</w:t>
      </w:r>
      <w:proofErr w:type="spellEnd"/>
      <w:r>
        <w:rPr>
          <w:i w:val="0"/>
          <w:sz w:val="24"/>
        </w:rPr>
        <w:t>). Les flacons inutilisables sont collectés dans des emballages appropriés selon le niveau et marqué « Destinés à la destruction » puis transportés d’un niveau à un autre jusqu’au site de destruction identifié.</w:t>
      </w:r>
    </w:p>
    <w:p w14:paraId="4197A5A0" w14:textId="77777777" w:rsidR="003E7EA9" w:rsidRPr="00226801" w:rsidRDefault="00A120D3" w:rsidP="00876462">
      <w:pPr>
        <w:pStyle w:val="Heading3"/>
        <w:numPr>
          <w:ilvl w:val="2"/>
          <w:numId w:val="13"/>
        </w:numPr>
        <w:pBdr>
          <w:bottom w:val="none" w:sz="0" w:space="0" w:color="auto"/>
        </w:pBdr>
        <w:spacing w:before="240" w:after="240"/>
        <w:rPr>
          <w:rFonts w:asciiTheme="minorHAnsi" w:hAnsiTheme="minorHAnsi" w:cstheme="minorHAnsi"/>
          <w:sz w:val="24"/>
          <w:szCs w:val="24"/>
        </w:rPr>
      </w:pPr>
      <w:bookmarkStart w:id="20" w:name="_Toc101798516"/>
      <w:r>
        <w:rPr>
          <w:rFonts w:asciiTheme="minorHAnsi" w:hAnsiTheme="minorHAnsi"/>
          <w:sz w:val="24"/>
        </w:rPr>
        <w:t>Activités de la logistique planifiées pour le changement</w:t>
      </w:r>
      <w:bookmarkEnd w:id="20"/>
    </w:p>
    <w:p w14:paraId="71B9CF74" w14:textId="77777777" w:rsidR="007B2A16" w:rsidRPr="00226801" w:rsidRDefault="003E7EA9" w:rsidP="00D50ADA">
      <w:pPr>
        <w:pStyle w:val="StyleCorpsdetexte12ptJustifi1"/>
        <w:spacing w:before="240" w:after="240" w:line="276" w:lineRule="auto"/>
        <w:jc w:val="both"/>
        <w:rPr>
          <w:rFonts w:asciiTheme="minorHAnsi" w:eastAsiaTheme="minorEastAsia" w:hAnsiTheme="minorHAnsi" w:cstheme="minorHAnsi"/>
        </w:rPr>
      </w:pPr>
      <w:r>
        <w:rPr>
          <w:rFonts w:asciiTheme="minorHAnsi" w:hAnsiTheme="minorHAnsi"/>
        </w:rPr>
        <w:t xml:space="preserve">Les doses du vaccin </w:t>
      </w:r>
      <w:proofErr w:type="spellStart"/>
      <w:r>
        <w:rPr>
          <w:rFonts w:asciiTheme="minorHAnsi" w:hAnsiTheme="minorHAnsi"/>
        </w:rPr>
        <w:t>Rotavac</w:t>
      </w:r>
      <w:proofErr w:type="spellEnd"/>
      <w:r>
        <w:rPr>
          <w:rFonts w:asciiTheme="minorHAnsi" w:hAnsiTheme="minorHAnsi"/>
        </w:rPr>
        <w:t xml:space="preserve">® seront distribués à toute les formations sanitaires qui vaccinent avant la date du changement pour s’assurer de sa disponibilité lors des sessions d'information en cascade et pour faciliter le monitoring des données de vaccination avec </w:t>
      </w:r>
      <w:proofErr w:type="spellStart"/>
      <w:r>
        <w:rPr>
          <w:rFonts w:asciiTheme="minorHAnsi" w:hAnsiTheme="minorHAnsi"/>
        </w:rPr>
        <w:t>Rotavac</w:t>
      </w:r>
      <w:proofErr w:type="spellEnd"/>
      <w:r>
        <w:rPr>
          <w:rFonts w:asciiTheme="minorHAnsi" w:hAnsiTheme="minorHAnsi"/>
        </w:rPr>
        <w:t xml:space="preserve"> ®. Toutes les 10 régions seront approvisionnées par le niveau Central au moins une semaine avant la session d'information régionale. Les districts auront un appui financier pour assurer le transport du dépôt régionaux vers le dépôt de district et des formations sanitaires au moins Une semaine avant la session d'information du niveau du district. La gestion des déchets issus de la vaccination au </w:t>
      </w:r>
      <w:proofErr w:type="spellStart"/>
      <w:r>
        <w:rPr>
          <w:rFonts w:asciiTheme="minorHAnsi" w:hAnsiTheme="minorHAnsi"/>
        </w:rPr>
        <w:t>Rotavac</w:t>
      </w:r>
      <w:proofErr w:type="spellEnd"/>
      <w:r>
        <w:rPr>
          <w:rFonts w:asciiTheme="minorHAnsi" w:hAnsiTheme="minorHAnsi"/>
        </w:rPr>
        <w:t xml:space="preserve"> sera faite au niveau de chaque FOSA qui vaccine soit par brulage soit par incinération le cas échéant, suivi d’un enfouissement. </w:t>
      </w:r>
    </w:p>
    <w:p w14:paraId="0058774D" w14:textId="77777777" w:rsidR="002411F5" w:rsidRPr="00226801" w:rsidRDefault="002411F5" w:rsidP="00876462">
      <w:pPr>
        <w:pStyle w:val="Heading2"/>
        <w:numPr>
          <w:ilvl w:val="1"/>
          <w:numId w:val="13"/>
        </w:numPr>
        <w:rPr>
          <w:rFonts w:asciiTheme="minorHAnsi" w:hAnsiTheme="minorHAnsi" w:cstheme="minorHAnsi"/>
          <w:b w:val="0"/>
          <w:bCs w:val="0"/>
          <w:color w:val="auto"/>
          <w:sz w:val="24"/>
          <w:szCs w:val="24"/>
        </w:rPr>
      </w:pPr>
      <w:bookmarkStart w:id="21" w:name="_Toc101798517"/>
      <w:r>
        <w:rPr>
          <w:rFonts w:asciiTheme="minorHAnsi" w:hAnsiTheme="minorHAnsi"/>
          <w:b w:val="0"/>
          <w:color w:val="auto"/>
          <w:sz w:val="24"/>
        </w:rPr>
        <w:lastRenderedPageBreak/>
        <w:t>Gestion des données et monitoring des performances</w:t>
      </w:r>
      <w:bookmarkEnd w:id="21"/>
    </w:p>
    <w:p w14:paraId="5CE576A6" w14:textId="77777777" w:rsidR="00F96CC0" w:rsidRPr="00226801" w:rsidRDefault="00F93BD7" w:rsidP="00062DDB">
      <w:pPr>
        <w:spacing w:before="240" w:after="240" w:line="276" w:lineRule="auto"/>
        <w:jc w:val="both"/>
        <w:rPr>
          <w:rFonts w:asciiTheme="minorHAnsi" w:hAnsiTheme="minorHAnsi" w:cstheme="minorHAnsi"/>
          <w:i/>
          <w:iCs/>
        </w:rPr>
      </w:pPr>
      <w:r>
        <w:rPr>
          <w:rFonts w:asciiTheme="minorHAnsi" w:hAnsiTheme="minorHAnsi"/>
        </w:rPr>
        <w:t>Les outils de collecte de données (fiche de pointage et registre de vaccination) seront actualisés pour prendre en compte tous les changements induit par le changement, et tous les changements prévus pour les 03 prochaines années afin de mutualiser les ressources. Ainsi, une partie des besoins en production des outils actualisé seront couvert par le Grant de l’introduction de VPI II et une autre partie par l’intégration dans les activités du PEV de la supplémentation en vitamine A, déparasitage et enregistrement des naissances.</w:t>
      </w:r>
    </w:p>
    <w:p w14:paraId="6A05A88D" w14:textId="77777777" w:rsidR="007C58D8" w:rsidRPr="00226801" w:rsidRDefault="00840726" w:rsidP="00062DDB">
      <w:pPr>
        <w:spacing w:before="240" w:after="240" w:line="276" w:lineRule="auto"/>
        <w:jc w:val="both"/>
        <w:rPr>
          <w:rFonts w:asciiTheme="minorHAnsi" w:hAnsiTheme="minorHAnsi" w:cstheme="minorHAnsi"/>
          <w:i/>
          <w:iCs/>
        </w:rPr>
      </w:pPr>
      <w:r>
        <w:rPr>
          <w:rFonts w:asciiTheme="minorHAnsi" w:hAnsiTheme="minorHAnsi"/>
        </w:rPr>
        <w:t xml:space="preserve"> Les outils actualisés vont permettre la collecte des données les sur la vaccination des enfants avec le </w:t>
      </w:r>
      <w:proofErr w:type="spellStart"/>
      <w:r>
        <w:rPr>
          <w:rFonts w:asciiTheme="minorHAnsi" w:hAnsiTheme="minorHAnsi"/>
        </w:rPr>
        <w:t>Rotavac</w:t>
      </w:r>
      <w:proofErr w:type="spellEnd"/>
      <w:r>
        <w:rPr>
          <w:rFonts w:asciiTheme="minorHAnsi" w:hAnsiTheme="minorHAnsi"/>
        </w:rPr>
        <w:t xml:space="preserve"> ®. Ces données seront introduites dans le Dhis2 et le SMT au plus tard le 5 du chaque mois. Les couvertures vaccinales pourvoir être évalué évaluer chaque mois en le triangulant avec les données d’utilisation des stocks des vaccins.</w:t>
      </w:r>
    </w:p>
    <w:p w14:paraId="7620272D" w14:textId="77777777" w:rsidR="002411F5" w:rsidRPr="00226801" w:rsidRDefault="002411F5" w:rsidP="00876462">
      <w:pPr>
        <w:pStyle w:val="Heading1"/>
        <w:numPr>
          <w:ilvl w:val="0"/>
          <w:numId w:val="13"/>
        </w:numPr>
        <w:rPr>
          <w:rFonts w:asciiTheme="minorHAnsi" w:hAnsiTheme="minorHAnsi" w:cstheme="minorHAnsi"/>
          <w:sz w:val="24"/>
          <w:szCs w:val="24"/>
        </w:rPr>
      </w:pPr>
      <w:bookmarkStart w:id="22" w:name="_Toc101798518"/>
      <w:r>
        <w:rPr>
          <w:rFonts w:asciiTheme="minorHAnsi" w:hAnsiTheme="minorHAnsi"/>
          <w:sz w:val="24"/>
        </w:rPr>
        <w:t>Chronogramme d’activités</w:t>
      </w:r>
      <w:bookmarkEnd w:id="22"/>
    </w:p>
    <w:p w14:paraId="4A8BD026" w14:textId="77777777" w:rsidR="0068651D" w:rsidRPr="00226801" w:rsidRDefault="0068651D" w:rsidP="0068651D">
      <w:pPr>
        <w:pStyle w:val="Caption"/>
        <w:spacing w:after="0"/>
        <w:rPr>
          <w:rFonts w:cstheme="minorHAnsi"/>
          <w:color w:val="000000" w:themeColor="text1"/>
          <w:sz w:val="28"/>
          <w:szCs w:val="28"/>
        </w:rPr>
      </w:pPr>
      <w:r>
        <w:rPr>
          <w:sz w:val="20"/>
        </w:rPr>
        <w:t>Tableau 4 : Chronogramme des activités de changement rota</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1"/>
        <w:gridCol w:w="1032"/>
        <w:gridCol w:w="317"/>
        <w:gridCol w:w="317"/>
        <w:gridCol w:w="317"/>
        <w:gridCol w:w="317"/>
        <w:gridCol w:w="317"/>
        <w:gridCol w:w="317"/>
        <w:gridCol w:w="317"/>
        <w:gridCol w:w="317"/>
        <w:gridCol w:w="317"/>
        <w:gridCol w:w="317"/>
        <w:gridCol w:w="317"/>
        <w:gridCol w:w="317"/>
        <w:gridCol w:w="317"/>
        <w:gridCol w:w="9"/>
      </w:tblGrid>
      <w:tr w:rsidR="007D37FE" w:rsidRPr="00226801" w14:paraId="277C8AC8" w14:textId="77777777" w:rsidTr="00341649">
        <w:trPr>
          <w:trHeight w:val="18"/>
        </w:trPr>
        <w:tc>
          <w:tcPr>
            <w:tcW w:w="4156" w:type="dxa"/>
            <w:vMerge w:val="restart"/>
            <w:shd w:val="clear" w:color="auto" w:fill="BFBFBF" w:themeFill="background1" w:themeFillShade="BF"/>
            <w:vAlign w:val="center"/>
            <w:hideMark/>
          </w:tcPr>
          <w:p w14:paraId="70BD23BC"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8"/>
              </w:rPr>
              <w:t>Activité</w:t>
            </w:r>
          </w:p>
          <w:p w14:paraId="2310CCA6" w14:textId="77777777" w:rsidR="007D37FE" w:rsidRPr="00226801" w:rsidRDefault="007D37FE" w:rsidP="00FA30FF">
            <w:pPr>
              <w:pStyle w:val="NoSpacing"/>
              <w:spacing w:line="200" w:lineRule="exact"/>
              <w:jc w:val="center"/>
              <w:rPr>
                <w:rFonts w:eastAsia="Times New Roman" w:cstheme="minorHAnsi"/>
                <w:b/>
                <w:bCs/>
                <w:i w:val="0"/>
                <w:iCs w:val="0"/>
                <w:sz w:val="18"/>
                <w:szCs w:val="18"/>
                <w:lang w:eastAsia="fr-FR"/>
              </w:rPr>
            </w:pPr>
          </w:p>
        </w:tc>
        <w:tc>
          <w:tcPr>
            <w:tcW w:w="949" w:type="dxa"/>
            <w:vMerge w:val="restart"/>
            <w:shd w:val="clear" w:color="auto" w:fill="BFBFBF" w:themeFill="background1" w:themeFillShade="BF"/>
            <w:noWrap/>
            <w:vAlign w:val="center"/>
            <w:hideMark/>
          </w:tcPr>
          <w:p w14:paraId="5687BEC4"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5"/>
              </w:rPr>
              <w:t>RESPONSABLE (LEAD)</w:t>
            </w:r>
          </w:p>
        </w:tc>
        <w:tc>
          <w:tcPr>
            <w:tcW w:w="1234" w:type="dxa"/>
            <w:gridSpan w:val="4"/>
            <w:shd w:val="clear" w:color="auto" w:fill="BFBFBF" w:themeFill="background1" w:themeFillShade="BF"/>
            <w:noWrap/>
            <w:vAlign w:val="center"/>
            <w:hideMark/>
          </w:tcPr>
          <w:p w14:paraId="30AE4377"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proofErr w:type="gramStart"/>
            <w:r>
              <w:rPr>
                <w:b/>
                <w:i w:val="0"/>
                <w:sz w:val="18"/>
              </w:rPr>
              <w:t>mars</w:t>
            </w:r>
            <w:proofErr w:type="gramEnd"/>
          </w:p>
        </w:tc>
        <w:tc>
          <w:tcPr>
            <w:tcW w:w="1234" w:type="dxa"/>
            <w:gridSpan w:val="4"/>
            <w:shd w:val="clear" w:color="auto" w:fill="BFBFBF" w:themeFill="background1" w:themeFillShade="BF"/>
            <w:noWrap/>
            <w:vAlign w:val="center"/>
            <w:hideMark/>
          </w:tcPr>
          <w:p w14:paraId="285EF30A"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proofErr w:type="gramStart"/>
            <w:r>
              <w:rPr>
                <w:b/>
                <w:i w:val="0"/>
                <w:sz w:val="18"/>
              </w:rPr>
              <w:t>avril</w:t>
            </w:r>
            <w:proofErr w:type="gramEnd"/>
          </w:p>
        </w:tc>
        <w:tc>
          <w:tcPr>
            <w:tcW w:w="1548" w:type="dxa"/>
            <w:gridSpan w:val="6"/>
            <w:shd w:val="clear" w:color="auto" w:fill="BFBFBF" w:themeFill="background1" w:themeFillShade="BF"/>
            <w:noWrap/>
            <w:vAlign w:val="center"/>
            <w:hideMark/>
          </w:tcPr>
          <w:p w14:paraId="5D9E930F"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proofErr w:type="gramStart"/>
            <w:r>
              <w:rPr>
                <w:b/>
                <w:i w:val="0"/>
                <w:sz w:val="18"/>
              </w:rPr>
              <w:t>mai</w:t>
            </w:r>
            <w:proofErr w:type="gramEnd"/>
          </w:p>
        </w:tc>
      </w:tr>
      <w:tr w:rsidR="00341649" w:rsidRPr="00226801" w14:paraId="1A083F8B" w14:textId="77777777" w:rsidTr="00341649">
        <w:trPr>
          <w:gridAfter w:val="1"/>
          <w:wAfter w:w="11" w:type="dxa"/>
          <w:trHeight w:val="18"/>
        </w:trPr>
        <w:tc>
          <w:tcPr>
            <w:tcW w:w="4156" w:type="dxa"/>
            <w:vMerge/>
            <w:shd w:val="clear" w:color="auto" w:fill="BFBFBF" w:themeFill="background1" w:themeFillShade="BF"/>
            <w:vAlign w:val="center"/>
            <w:hideMark/>
          </w:tcPr>
          <w:p w14:paraId="6FE4D672" w14:textId="77777777" w:rsidR="007D37FE" w:rsidRPr="00226801" w:rsidRDefault="007D37FE" w:rsidP="00FA30FF">
            <w:pPr>
              <w:pStyle w:val="NoSpacing"/>
              <w:spacing w:line="200" w:lineRule="exact"/>
              <w:jc w:val="center"/>
              <w:rPr>
                <w:rFonts w:eastAsia="Times New Roman" w:cstheme="minorHAnsi"/>
                <w:b/>
                <w:bCs/>
                <w:i w:val="0"/>
                <w:iCs w:val="0"/>
                <w:sz w:val="18"/>
                <w:szCs w:val="18"/>
                <w:lang w:eastAsia="fr-FR"/>
              </w:rPr>
            </w:pPr>
          </w:p>
        </w:tc>
        <w:tc>
          <w:tcPr>
            <w:tcW w:w="949" w:type="dxa"/>
            <w:vMerge/>
            <w:shd w:val="clear" w:color="auto" w:fill="BFBFBF" w:themeFill="background1" w:themeFillShade="BF"/>
            <w:noWrap/>
            <w:vAlign w:val="center"/>
            <w:hideMark/>
          </w:tcPr>
          <w:p w14:paraId="3903D1AB" w14:textId="77777777" w:rsidR="007D37FE" w:rsidRPr="00226801" w:rsidRDefault="007D37FE" w:rsidP="00FA30FF">
            <w:pPr>
              <w:pStyle w:val="NoSpacing"/>
              <w:spacing w:line="200" w:lineRule="exact"/>
              <w:jc w:val="center"/>
              <w:rPr>
                <w:rFonts w:eastAsia="Times New Roman" w:cstheme="minorHAnsi"/>
                <w:b/>
                <w:bCs/>
                <w:i w:val="0"/>
                <w:iCs w:val="0"/>
                <w:sz w:val="18"/>
                <w:szCs w:val="18"/>
                <w:lang w:eastAsia="fr-FR"/>
              </w:rPr>
            </w:pPr>
          </w:p>
        </w:tc>
        <w:tc>
          <w:tcPr>
            <w:tcW w:w="308" w:type="dxa"/>
            <w:shd w:val="clear" w:color="auto" w:fill="BFBFBF" w:themeFill="background1" w:themeFillShade="BF"/>
            <w:noWrap/>
            <w:vAlign w:val="center"/>
            <w:hideMark/>
          </w:tcPr>
          <w:p w14:paraId="628F6982"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8"/>
              </w:rPr>
              <w:t>S1</w:t>
            </w:r>
          </w:p>
        </w:tc>
        <w:tc>
          <w:tcPr>
            <w:tcW w:w="308" w:type="dxa"/>
            <w:shd w:val="clear" w:color="auto" w:fill="BFBFBF" w:themeFill="background1" w:themeFillShade="BF"/>
            <w:noWrap/>
            <w:vAlign w:val="center"/>
            <w:hideMark/>
          </w:tcPr>
          <w:p w14:paraId="32CF78A5"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8"/>
              </w:rPr>
              <w:t>S2</w:t>
            </w:r>
          </w:p>
        </w:tc>
        <w:tc>
          <w:tcPr>
            <w:tcW w:w="308" w:type="dxa"/>
            <w:shd w:val="clear" w:color="auto" w:fill="BFBFBF" w:themeFill="background1" w:themeFillShade="BF"/>
            <w:noWrap/>
            <w:vAlign w:val="center"/>
            <w:hideMark/>
          </w:tcPr>
          <w:p w14:paraId="5C54124E"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8"/>
              </w:rPr>
              <w:t>S3</w:t>
            </w:r>
          </w:p>
        </w:tc>
        <w:tc>
          <w:tcPr>
            <w:tcW w:w="309" w:type="dxa"/>
            <w:shd w:val="clear" w:color="auto" w:fill="BFBFBF" w:themeFill="background1" w:themeFillShade="BF"/>
            <w:noWrap/>
            <w:vAlign w:val="center"/>
            <w:hideMark/>
          </w:tcPr>
          <w:p w14:paraId="204F154D"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8"/>
              </w:rPr>
              <w:t>S4</w:t>
            </w:r>
          </w:p>
        </w:tc>
        <w:tc>
          <w:tcPr>
            <w:tcW w:w="308" w:type="dxa"/>
            <w:shd w:val="clear" w:color="auto" w:fill="BFBFBF" w:themeFill="background1" w:themeFillShade="BF"/>
            <w:noWrap/>
            <w:vAlign w:val="center"/>
            <w:hideMark/>
          </w:tcPr>
          <w:p w14:paraId="14F0F215"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8"/>
              </w:rPr>
              <w:t>S1</w:t>
            </w:r>
          </w:p>
        </w:tc>
        <w:tc>
          <w:tcPr>
            <w:tcW w:w="308" w:type="dxa"/>
            <w:shd w:val="clear" w:color="auto" w:fill="BFBFBF" w:themeFill="background1" w:themeFillShade="BF"/>
            <w:noWrap/>
            <w:vAlign w:val="center"/>
            <w:hideMark/>
          </w:tcPr>
          <w:p w14:paraId="7A83D190"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8"/>
              </w:rPr>
              <w:t>S2</w:t>
            </w:r>
          </w:p>
        </w:tc>
        <w:tc>
          <w:tcPr>
            <w:tcW w:w="308" w:type="dxa"/>
            <w:shd w:val="clear" w:color="auto" w:fill="BFBFBF" w:themeFill="background1" w:themeFillShade="BF"/>
            <w:noWrap/>
            <w:vAlign w:val="center"/>
            <w:hideMark/>
          </w:tcPr>
          <w:p w14:paraId="2E0B7B86"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8"/>
              </w:rPr>
              <w:t>S3</w:t>
            </w:r>
          </w:p>
        </w:tc>
        <w:tc>
          <w:tcPr>
            <w:tcW w:w="309" w:type="dxa"/>
            <w:shd w:val="clear" w:color="auto" w:fill="BFBFBF" w:themeFill="background1" w:themeFillShade="BF"/>
            <w:noWrap/>
            <w:vAlign w:val="center"/>
            <w:hideMark/>
          </w:tcPr>
          <w:p w14:paraId="098E810D"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8"/>
              </w:rPr>
              <w:t>S4</w:t>
            </w:r>
          </w:p>
        </w:tc>
        <w:tc>
          <w:tcPr>
            <w:tcW w:w="308" w:type="dxa"/>
            <w:shd w:val="clear" w:color="auto" w:fill="BFBFBF" w:themeFill="background1" w:themeFillShade="BF"/>
            <w:noWrap/>
            <w:vAlign w:val="center"/>
            <w:hideMark/>
          </w:tcPr>
          <w:p w14:paraId="3AF97A22"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8"/>
              </w:rPr>
              <w:t>S1</w:t>
            </w:r>
          </w:p>
        </w:tc>
        <w:tc>
          <w:tcPr>
            <w:tcW w:w="308" w:type="dxa"/>
            <w:shd w:val="clear" w:color="auto" w:fill="BFBFBF" w:themeFill="background1" w:themeFillShade="BF"/>
            <w:noWrap/>
            <w:vAlign w:val="center"/>
            <w:hideMark/>
          </w:tcPr>
          <w:p w14:paraId="0FCF3CDA"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8"/>
              </w:rPr>
              <w:t>S2</w:t>
            </w:r>
          </w:p>
        </w:tc>
        <w:tc>
          <w:tcPr>
            <w:tcW w:w="308" w:type="dxa"/>
            <w:shd w:val="clear" w:color="auto" w:fill="BFBFBF" w:themeFill="background1" w:themeFillShade="BF"/>
            <w:noWrap/>
            <w:vAlign w:val="center"/>
            <w:hideMark/>
          </w:tcPr>
          <w:p w14:paraId="1C5E2A26"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8"/>
              </w:rPr>
              <w:t>S3</w:t>
            </w:r>
          </w:p>
        </w:tc>
        <w:tc>
          <w:tcPr>
            <w:tcW w:w="308" w:type="dxa"/>
            <w:shd w:val="clear" w:color="auto" w:fill="BFBFBF" w:themeFill="background1" w:themeFillShade="BF"/>
            <w:noWrap/>
            <w:vAlign w:val="center"/>
            <w:hideMark/>
          </w:tcPr>
          <w:p w14:paraId="6383BB0F"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8"/>
              </w:rPr>
              <w:t>S4</w:t>
            </w:r>
          </w:p>
        </w:tc>
        <w:tc>
          <w:tcPr>
            <w:tcW w:w="308" w:type="dxa"/>
            <w:shd w:val="clear" w:color="auto" w:fill="BFBFBF" w:themeFill="background1" w:themeFillShade="BF"/>
            <w:noWrap/>
            <w:vAlign w:val="center"/>
            <w:hideMark/>
          </w:tcPr>
          <w:p w14:paraId="4FAC24AF"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Pr>
                <w:b/>
                <w:i w:val="0"/>
                <w:sz w:val="18"/>
              </w:rPr>
              <w:t>S5</w:t>
            </w:r>
          </w:p>
        </w:tc>
      </w:tr>
      <w:tr w:rsidR="0083515B" w:rsidRPr="00226801" w14:paraId="79FBF1E4" w14:textId="77777777" w:rsidTr="00341649">
        <w:trPr>
          <w:trHeight w:val="18"/>
        </w:trPr>
        <w:tc>
          <w:tcPr>
            <w:tcW w:w="9122" w:type="dxa"/>
            <w:gridSpan w:val="16"/>
            <w:shd w:val="clear" w:color="auto" w:fill="D9D9D9" w:themeFill="background1" w:themeFillShade="D9"/>
            <w:noWrap/>
            <w:vAlign w:val="center"/>
            <w:hideMark/>
          </w:tcPr>
          <w:p w14:paraId="497A7589"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Information et renforcement des capacités du personnel en charge de la vaccination</w:t>
            </w:r>
          </w:p>
        </w:tc>
      </w:tr>
      <w:tr w:rsidR="00341649" w:rsidRPr="00226801" w14:paraId="2F390C3E" w14:textId="77777777" w:rsidTr="009C2448">
        <w:trPr>
          <w:gridAfter w:val="1"/>
          <w:wAfter w:w="11" w:type="dxa"/>
          <w:trHeight w:val="18"/>
        </w:trPr>
        <w:tc>
          <w:tcPr>
            <w:tcW w:w="4156" w:type="dxa"/>
            <w:shd w:val="clear" w:color="auto" w:fill="auto"/>
            <w:vAlign w:val="center"/>
            <w:hideMark/>
          </w:tcPr>
          <w:p w14:paraId="517BB1F6" w14:textId="77777777" w:rsidR="0083515B" w:rsidRPr="00226801" w:rsidRDefault="00A91CDC" w:rsidP="00341649">
            <w:pPr>
              <w:pStyle w:val="NoSpacing"/>
              <w:spacing w:line="200" w:lineRule="exact"/>
              <w:rPr>
                <w:rFonts w:eastAsia="Times New Roman" w:cstheme="minorHAnsi"/>
                <w:sz w:val="18"/>
                <w:szCs w:val="18"/>
              </w:rPr>
            </w:pPr>
            <w:r>
              <w:rPr>
                <w:sz w:val="18"/>
              </w:rPr>
              <w:t>Actualisation des modules de formation, outils et supports de communication</w:t>
            </w:r>
          </w:p>
        </w:tc>
        <w:tc>
          <w:tcPr>
            <w:tcW w:w="949" w:type="dxa"/>
            <w:shd w:val="clear" w:color="auto" w:fill="auto"/>
            <w:noWrap/>
            <w:vAlign w:val="center"/>
          </w:tcPr>
          <w:p w14:paraId="11670735"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388C31C1"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55D871C"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201540C0"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6A61B7B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1D23A54"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002060"/>
            <w:noWrap/>
            <w:vAlign w:val="center"/>
            <w:hideMark/>
          </w:tcPr>
          <w:p w14:paraId="3914879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63A2E5AD"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7B5209AB"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1549CD93"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B603BF8"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5E98271"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2A3E11B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2A3ADCE5"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r>
      <w:tr w:rsidR="00341649" w:rsidRPr="00226801" w14:paraId="4775A4DB" w14:textId="77777777" w:rsidTr="009C2448">
        <w:trPr>
          <w:gridAfter w:val="1"/>
          <w:wAfter w:w="11" w:type="dxa"/>
          <w:trHeight w:val="18"/>
        </w:trPr>
        <w:tc>
          <w:tcPr>
            <w:tcW w:w="4156" w:type="dxa"/>
            <w:shd w:val="clear" w:color="auto" w:fill="auto"/>
            <w:vAlign w:val="center"/>
            <w:hideMark/>
          </w:tcPr>
          <w:p w14:paraId="3A977234" w14:textId="77777777" w:rsidR="0083515B" w:rsidRPr="00226801" w:rsidRDefault="0083515B" w:rsidP="00341649">
            <w:pPr>
              <w:pStyle w:val="NoSpacing"/>
              <w:spacing w:line="200" w:lineRule="exact"/>
              <w:rPr>
                <w:rFonts w:eastAsia="Times New Roman" w:cstheme="minorHAnsi"/>
                <w:sz w:val="18"/>
                <w:szCs w:val="18"/>
              </w:rPr>
            </w:pPr>
            <w:r>
              <w:rPr>
                <w:sz w:val="18"/>
              </w:rPr>
              <w:t> Information des superviseurs centraux</w:t>
            </w:r>
          </w:p>
        </w:tc>
        <w:tc>
          <w:tcPr>
            <w:tcW w:w="949" w:type="dxa"/>
            <w:shd w:val="clear" w:color="auto" w:fill="auto"/>
            <w:noWrap/>
            <w:vAlign w:val="center"/>
          </w:tcPr>
          <w:p w14:paraId="5F04F9E6"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5CF3D18E"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10BB2F19"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80A84E1"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4698B1C9"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6AE94435"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11EA9D71"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0A6B903"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002060"/>
            <w:noWrap/>
            <w:vAlign w:val="center"/>
            <w:hideMark/>
          </w:tcPr>
          <w:p w14:paraId="47149470"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FFFFFF" w:themeFill="background1"/>
            <w:noWrap/>
            <w:vAlign w:val="center"/>
            <w:hideMark/>
          </w:tcPr>
          <w:p w14:paraId="7B8F5956"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563317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096DEB44"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58E7504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3D0016C0"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r>
      <w:tr w:rsidR="00341649" w:rsidRPr="00226801" w14:paraId="5FBB8053" w14:textId="77777777" w:rsidTr="009C2448">
        <w:trPr>
          <w:gridAfter w:val="1"/>
          <w:wAfter w:w="11" w:type="dxa"/>
          <w:trHeight w:val="18"/>
        </w:trPr>
        <w:tc>
          <w:tcPr>
            <w:tcW w:w="4156" w:type="dxa"/>
            <w:shd w:val="clear" w:color="auto" w:fill="auto"/>
            <w:vAlign w:val="center"/>
            <w:hideMark/>
          </w:tcPr>
          <w:p w14:paraId="07424EFD" w14:textId="77777777" w:rsidR="0083515B" w:rsidRPr="00226801" w:rsidRDefault="0083515B" w:rsidP="00341649">
            <w:pPr>
              <w:pStyle w:val="NoSpacing"/>
              <w:spacing w:line="200" w:lineRule="exact"/>
              <w:rPr>
                <w:rFonts w:eastAsia="Times New Roman" w:cstheme="minorHAnsi"/>
                <w:sz w:val="18"/>
                <w:szCs w:val="18"/>
              </w:rPr>
            </w:pPr>
            <w:r>
              <w:rPr>
                <w:sz w:val="18"/>
              </w:rPr>
              <w:t> Information des équipes cadre des DS</w:t>
            </w:r>
          </w:p>
        </w:tc>
        <w:tc>
          <w:tcPr>
            <w:tcW w:w="949" w:type="dxa"/>
            <w:shd w:val="clear" w:color="auto" w:fill="auto"/>
            <w:noWrap/>
            <w:vAlign w:val="center"/>
          </w:tcPr>
          <w:p w14:paraId="15DCE2D4"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55F6AB37"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31352C4"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75B17B9"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0CA9EB0D"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6DAB1934"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57F2C4AB"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176FB9CD"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3437B39B"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002060"/>
            <w:noWrap/>
            <w:vAlign w:val="center"/>
            <w:hideMark/>
          </w:tcPr>
          <w:p w14:paraId="57F21BBF"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E1F5170"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12843AD7"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5D1F509"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12B25D8C"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r>
      <w:tr w:rsidR="00341649" w:rsidRPr="00226801" w14:paraId="12ED92EB" w14:textId="77777777" w:rsidTr="009C2448">
        <w:trPr>
          <w:gridAfter w:val="1"/>
          <w:wAfter w:w="11" w:type="dxa"/>
          <w:trHeight w:val="18"/>
        </w:trPr>
        <w:tc>
          <w:tcPr>
            <w:tcW w:w="4156" w:type="dxa"/>
            <w:shd w:val="clear" w:color="auto" w:fill="auto"/>
            <w:vAlign w:val="center"/>
            <w:hideMark/>
          </w:tcPr>
          <w:p w14:paraId="3736E065" w14:textId="77777777" w:rsidR="0083515B" w:rsidRPr="00226801" w:rsidRDefault="0083515B" w:rsidP="00341649">
            <w:pPr>
              <w:pStyle w:val="NoSpacing"/>
              <w:spacing w:line="200" w:lineRule="exact"/>
              <w:rPr>
                <w:rFonts w:eastAsia="Times New Roman" w:cstheme="minorHAnsi"/>
                <w:sz w:val="18"/>
                <w:szCs w:val="18"/>
              </w:rPr>
            </w:pPr>
            <w:r>
              <w:rPr>
                <w:sz w:val="18"/>
              </w:rPr>
              <w:t> Information des responsables des centres de santé</w:t>
            </w:r>
          </w:p>
        </w:tc>
        <w:tc>
          <w:tcPr>
            <w:tcW w:w="949" w:type="dxa"/>
            <w:shd w:val="clear" w:color="auto" w:fill="auto"/>
            <w:noWrap/>
            <w:vAlign w:val="center"/>
          </w:tcPr>
          <w:p w14:paraId="4F4B6047"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19B9589D"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6894A2F"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0BEFF466"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0F7FA255"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2E834FF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E9FED07"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5855231F"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55314696"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002060"/>
            <w:noWrap/>
            <w:vAlign w:val="center"/>
            <w:hideMark/>
          </w:tcPr>
          <w:p w14:paraId="5E6DB8A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3252393C"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176A86B8"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6CBF051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733A27D"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r>
      <w:tr w:rsidR="0083515B" w:rsidRPr="00226801" w14:paraId="4912E9F3" w14:textId="77777777" w:rsidTr="00341649">
        <w:trPr>
          <w:trHeight w:val="18"/>
        </w:trPr>
        <w:tc>
          <w:tcPr>
            <w:tcW w:w="9122" w:type="dxa"/>
            <w:gridSpan w:val="16"/>
            <w:shd w:val="clear" w:color="auto" w:fill="D9D9D9" w:themeFill="background1" w:themeFillShade="D9"/>
            <w:noWrap/>
            <w:vAlign w:val="center"/>
            <w:hideMark/>
          </w:tcPr>
          <w:p w14:paraId="3F29FE70" w14:textId="77777777" w:rsidR="0083515B" w:rsidRPr="00226801" w:rsidRDefault="0083515B" w:rsidP="00341649">
            <w:pPr>
              <w:pStyle w:val="NoSpacing"/>
              <w:spacing w:line="200" w:lineRule="exact"/>
              <w:rPr>
                <w:rFonts w:eastAsia="Times New Roman" w:cstheme="minorHAnsi"/>
                <w:b/>
                <w:bCs/>
                <w:i w:val="0"/>
                <w:iCs w:val="0"/>
                <w:sz w:val="18"/>
                <w:szCs w:val="18"/>
              </w:rPr>
            </w:pPr>
            <w:r>
              <w:rPr>
                <w:b/>
                <w:i w:val="0"/>
                <w:sz w:val="18"/>
              </w:rPr>
              <w:t> Information de la communauté et des gardiens d’enfants cible</w:t>
            </w:r>
          </w:p>
        </w:tc>
      </w:tr>
      <w:tr w:rsidR="00341649" w:rsidRPr="00226801" w14:paraId="381F95D5" w14:textId="77777777" w:rsidTr="009C2448">
        <w:trPr>
          <w:gridAfter w:val="1"/>
          <w:wAfter w:w="11" w:type="dxa"/>
          <w:trHeight w:val="18"/>
        </w:trPr>
        <w:tc>
          <w:tcPr>
            <w:tcW w:w="4156" w:type="dxa"/>
            <w:shd w:val="clear" w:color="auto" w:fill="auto"/>
            <w:vAlign w:val="center"/>
            <w:hideMark/>
          </w:tcPr>
          <w:p w14:paraId="75A5F241" w14:textId="77777777" w:rsidR="0083515B" w:rsidRPr="00226801" w:rsidRDefault="0083515B" w:rsidP="00341649">
            <w:pPr>
              <w:pStyle w:val="NoSpacing"/>
              <w:spacing w:line="200" w:lineRule="exact"/>
              <w:rPr>
                <w:rFonts w:eastAsia="Times New Roman" w:cstheme="minorHAnsi"/>
                <w:sz w:val="18"/>
                <w:szCs w:val="18"/>
              </w:rPr>
            </w:pPr>
            <w:r>
              <w:rPr>
                <w:sz w:val="18"/>
              </w:rPr>
              <w:t> Production des guides, affiches, et support de communication</w:t>
            </w:r>
          </w:p>
        </w:tc>
        <w:tc>
          <w:tcPr>
            <w:tcW w:w="949" w:type="dxa"/>
            <w:shd w:val="clear" w:color="auto" w:fill="auto"/>
            <w:noWrap/>
            <w:vAlign w:val="center"/>
          </w:tcPr>
          <w:p w14:paraId="7A4BA5CA"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43243217"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5EA271FF"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18FC3515"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1E8D1A42"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26350F39"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5C95CED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002060"/>
            <w:noWrap/>
            <w:vAlign w:val="center"/>
            <w:hideMark/>
          </w:tcPr>
          <w:p w14:paraId="7A2D7688"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3D292A7B"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6F4F79E3"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5703E510"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B776A5B"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3F381334"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65458C2D"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r>
      <w:tr w:rsidR="00341649" w:rsidRPr="00226801" w14:paraId="33C71137" w14:textId="77777777" w:rsidTr="009C2448">
        <w:trPr>
          <w:gridAfter w:val="1"/>
          <w:wAfter w:w="11" w:type="dxa"/>
          <w:trHeight w:val="18"/>
        </w:trPr>
        <w:tc>
          <w:tcPr>
            <w:tcW w:w="4156" w:type="dxa"/>
            <w:shd w:val="clear" w:color="auto" w:fill="auto"/>
            <w:vAlign w:val="center"/>
            <w:hideMark/>
          </w:tcPr>
          <w:p w14:paraId="2EC3CD0B" w14:textId="77777777" w:rsidR="0083515B" w:rsidRPr="00226801" w:rsidRDefault="0083515B" w:rsidP="00341649">
            <w:pPr>
              <w:pStyle w:val="NoSpacing"/>
              <w:spacing w:line="200" w:lineRule="exact"/>
              <w:rPr>
                <w:rFonts w:eastAsia="Times New Roman" w:cstheme="minorHAnsi"/>
                <w:sz w:val="18"/>
                <w:szCs w:val="18"/>
              </w:rPr>
            </w:pPr>
            <w:r>
              <w:rPr>
                <w:sz w:val="18"/>
              </w:rPr>
              <w:t xml:space="preserve">  Diffusion des supports de communication dans les formations sanitaire et dans </w:t>
            </w:r>
            <w:proofErr w:type="gramStart"/>
            <w:r>
              <w:rPr>
                <w:sz w:val="18"/>
              </w:rPr>
              <w:t>les communauté</w:t>
            </w:r>
            <w:proofErr w:type="gramEnd"/>
          </w:p>
        </w:tc>
        <w:tc>
          <w:tcPr>
            <w:tcW w:w="949" w:type="dxa"/>
            <w:shd w:val="clear" w:color="auto" w:fill="auto"/>
            <w:noWrap/>
            <w:vAlign w:val="center"/>
          </w:tcPr>
          <w:p w14:paraId="289DEF79"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4DF8AB94"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57DB3690"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0FC91E70"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31A16649"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17DDCFD2"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337A61D7"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9083192"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4A629E48"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45F0DE4"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002060"/>
            <w:noWrap/>
            <w:vAlign w:val="center"/>
            <w:hideMark/>
          </w:tcPr>
          <w:p w14:paraId="0DA4C696"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05632B68"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884F020"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2EFCD012"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r>
      <w:tr w:rsidR="00341649" w:rsidRPr="00226801" w14:paraId="36301BE7" w14:textId="77777777" w:rsidTr="009C2448">
        <w:trPr>
          <w:gridAfter w:val="1"/>
          <w:wAfter w:w="11" w:type="dxa"/>
          <w:trHeight w:val="18"/>
        </w:trPr>
        <w:tc>
          <w:tcPr>
            <w:tcW w:w="4156" w:type="dxa"/>
            <w:shd w:val="clear" w:color="auto" w:fill="auto"/>
            <w:vAlign w:val="center"/>
            <w:hideMark/>
          </w:tcPr>
          <w:p w14:paraId="76EC3A2D" w14:textId="77777777" w:rsidR="0083515B" w:rsidRPr="00226801" w:rsidRDefault="0083515B" w:rsidP="00341649">
            <w:pPr>
              <w:pStyle w:val="NoSpacing"/>
              <w:spacing w:line="200" w:lineRule="exact"/>
              <w:rPr>
                <w:rFonts w:eastAsia="Times New Roman" w:cstheme="minorHAnsi"/>
                <w:sz w:val="18"/>
                <w:szCs w:val="18"/>
              </w:rPr>
            </w:pPr>
            <w:r>
              <w:rPr>
                <w:sz w:val="18"/>
              </w:rPr>
              <w:t> Campagne de communication digitale sur le nouveau schéma vaccinal</w:t>
            </w:r>
          </w:p>
        </w:tc>
        <w:tc>
          <w:tcPr>
            <w:tcW w:w="949" w:type="dxa"/>
            <w:shd w:val="clear" w:color="auto" w:fill="auto"/>
            <w:noWrap/>
            <w:vAlign w:val="center"/>
          </w:tcPr>
          <w:p w14:paraId="5F80D053"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6BC4E348"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B5026E8"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CF185E5"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68AA8685"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0F77E78"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61BBBFD9"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ABBC437"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106370C3"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51E9A934"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0C0D0ADB"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002060"/>
            <w:noWrap/>
            <w:vAlign w:val="center"/>
            <w:hideMark/>
          </w:tcPr>
          <w:p w14:paraId="6B663AA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BE5740F"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3CA2374B"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r>
      <w:tr w:rsidR="0083515B" w:rsidRPr="00226801" w14:paraId="395F2DD3" w14:textId="77777777" w:rsidTr="00341649">
        <w:trPr>
          <w:trHeight w:val="18"/>
        </w:trPr>
        <w:tc>
          <w:tcPr>
            <w:tcW w:w="9122" w:type="dxa"/>
            <w:gridSpan w:val="16"/>
            <w:shd w:val="clear" w:color="auto" w:fill="D9D9D9" w:themeFill="background1" w:themeFillShade="D9"/>
            <w:noWrap/>
            <w:vAlign w:val="center"/>
            <w:hideMark/>
          </w:tcPr>
          <w:p w14:paraId="6EAB36B8" w14:textId="77777777" w:rsidR="0083515B" w:rsidRPr="00226801" w:rsidRDefault="0083515B" w:rsidP="00341649">
            <w:pPr>
              <w:pStyle w:val="NoSpacing"/>
              <w:spacing w:line="200" w:lineRule="exact"/>
              <w:rPr>
                <w:rFonts w:eastAsia="Times New Roman" w:cstheme="minorHAnsi"/>
                <w:b/>
                <w:bCs/>
                <w:i w:val="0"/>
                <w:iCs w:val="0"/>
                <w:sz w:val="18"/>
                <w:szCs w:val="18"/>
              </w:rPr>
            </w:pPr>
            <w:r>
              <w:rPr>
                <w:b/>
                <w:i w:val="0"/>
                <w:sz w:val="18"/>
              </w:rPr>
              <w:t xml:space="preserve">Approvisionnement en vaccin et gestion des stocks </w:t>
            </w:r>
          </w:p>
        </w:tc>
      </w:tr>
      <w:tr w:rsidR="00341649" w:rsidRPr="00226801" w14:paraId="2C426B57" w14:textId="77777777" w:rsidTr="009C2448">
        <w:trPr>
          <w:gridAfter w:val="1"/>
          <w:wAfter w:w="11" w:type="dxa"/>
          <w:trHeight w:val="18"/>
        </w:trPr>
        <w:tc>
          <w:tcPr>
            <w:tcW w:w="4156" w:type="dxa"/>
            <w:shd w:val="clear" w:color="auto" w:fill="auto"/>
            <w:vAlign w:val="center"/>
            <w:hideMark/>
          </w:tcPr>
          <w:p w14:paraId="136DD098" w14:textId="77777777" w:rsidR="0083515B" w:rsidRPr="00226801" w:rsidRDefault="0083515B" w:rsidP="00341649">
            <w:pPr>
              <w:pStyle w:val="NoSpacing"/>
              <w:spacing w:line="200" w:lineRule="exact"/>
              <w:rPr>
                <w:rFonts w:eastAsia="Times New Roman" w:cstheme="minorHAnsi"/>
                <w:sz w:val="18"/>
                <w:szCs w:val="18"/>
              </w:rPr>
            </w:pPr>
            <w:r>
              <w:rPr>
                <w:sz w:val="18"/>
              </w:rPr>
              <w:t> Livraison des dépôts régionaux</w:t>
            </w:r>
          </w:p>
        </w:tc>
        <w:tc>
          <w:tcPr>
            <w:tcW w:w="949" w:type="dxa"/>
            <w:shd w:val="clear" w:color="auto" w:fill="auto"/>
            <w:noWrap/>
            <w:vAlign w:val="center"/>
          </w:tcPr>
          <w:p w14:paraId="76E821FF"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426D181E"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6E4300B3"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1B7ED003"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6AFEB5A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88C2BE6"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47CFB2F"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002060"/>
            <w:noWrap/>
            <w:vAlign w:val="center"/>
            <w:hideMark/>
          </w:tcPr>
          <w:p w14:paraId="09BD11BE"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355E6D6E"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0298F2C6"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0A6594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8BC510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B7DBF5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2222CDEB"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r>
      <w:tr w:rsidR="00341649" w:rsidRPr="00226801" w14:paraId="11A6348B" w14:textId="77777777" w:rsidTr="009C2448">
        <w:trPr>
          <w:gridAfter w:val="1"/>
          <w:wAfter w:w="11" w:type="dxa"/>
          <w:trHeight w:val="18"/>
        </w:trPr>
        <w:tc>
          <w:tcPr>
            <w:tcW w:w="4156" w:type="dxa"/>
            <w:shd w:val="clear" w:color="auto" w:fill="auto"/>
            <w:vAlign w:val="center"/>
            <w:hideMark/>
          </w:tcPr>
          <w:p w14:paraId="0B1CC093" w14:textId="77777777" w:rsidR="0083515B" w:rsidRPr="00226801" w:rsidRDefault="0083515B" w:rsidP="00341649">
            <w:pPr>
              <w:pStyle w:val="NoSpacing"/>
              <w:spacing w:line="200" w:lineRule="exact"/>
              <w:rPr>
                <w:rFonts w:eastAsia="Times New Roman" w:cstheme="minorHAnsi"/>
                <w:sz w:val="18"/>
                <w:szCs w:val="18"/>
              </w:rPr>
            </w:pPr>
            <w:r>
              <w:rPr>
                <w:sz w:val="18"/>
              </w:rPr>
              <w:t> Approvisionnement des districts et des centres de santé</w:t>
            </w:r>
          </w:p>
        </w:tc>
        <w:tc>
          <w:tcPr>
            <w:tcW w:w="949" w:type="dxa"/>
            <w:shd w:val="clear" w:color="auto" w:fill="auto"/>
            <w:noWrap/>
            <w:vAlign w:val="center"/>
          </w:tcPr>
          <w:p w14:paraId="69148451"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53250B1D"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F2842C2"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5695E38B"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4F4727E2"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7D1E184"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9C56BAE"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35C0CD40"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002060"/>
            <w:noWrap/>
            <w:vAlign w:val="center"/>
            <w:hideMark/>
          </w:tcPr>
          <w:p w14:paraId="408EDE53"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3F3FA55"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01D7631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3F019637"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3AEC978C"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217E9EFE"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r>
      <w:tr w:rsidR="00341649" w:rsidRPr="00226801" w14:paraId="72996CBA" w14:textId="77777777" w:rsidTr="00341649">
        <w:trPr>
          <w:gridAfter w:val="1"/>
          <w:wAfter w:w="11" w:type="dxa"/>
          <w:trHeight w:val="18"/>
        </w:trPr>
        <w:tc>
          <w:tcPr>
            <w:tcW w:w="4156" w:type="dxa"/>
            <w:shd w:val="clear" w:color="auto" w:fill="D9D9D9" w:themeFill="background1" w:themeFillShade="D9"/>
            <w:vAlign w:val="center"/>
            <w:hideMark/>
          </w:tcPr>
          <w:p w14:paraId="303A69CD" w14:textId="77777777" w:rsidR="0083515B" w:rsidRPr="00226801" w:rsidRDefault="0083515B" w:rsidP="00341649">
            <w:pPr>
              <w:pStyle w:val="NoSpacing"/>
              <w:spacing w:line="200" w:lineRule="exact"/>
              <w:rPr>
                <w:rFonts w:eastAsia="Times New Roman" w:cstheme="minorHAnsi"/>
                <w:b/>
                <w:bCs/>
                <w:i w:val="0"/>
                <w:iCs w:val="0"/>
                <w:sz w:val="18"/>
                <w:szCs w:val="18"/>
              </w:rPr>
            </w:pPr>
            <w:r>
              <w:rPr>
                <w:b/>
                <w:i w:val="0"/>
                <w:sz w:val="18"/>
              </w:rPr>
              <w:t xml:space="preserve"> Inventaire </w:t>
            </w:r>
            <w:proofErr w:type="gramStart"/>
            <w:r>
              <w:rPr>
                <w:b/>
                <w:i w:val="0"/>
                <w:sz w:val="18"/>
              </w:rPr>
              <w:t>des  vaccins</w:t>
            </w:r>
            <w:proofErr w:type="gramEnd"/>
            <w:r>
              <w:rPr>
                <w:b/>
                <w:i w:val="0"/>
                <w:sz w:val="18"/>
              </w:rPr>
              <w:t xml:space="preserve"> et matériel d’injection  </w:t>
            </w:r>
          </w:p>
        </w:tc>
        <w:tc>
          <w:tcPr>
            <w:tcW w:w="949" w:type="dxa"/>
            <w:shd w:val="clear" w:color="auto" w:fill="D9D9D9" w:themeFill="background1" w:themeFillShade="D9"/>
            <w:noWrap/>
            <w:vAlign w:val="center"/>
            <w:hideMark/>
          </w:tcPr>
          <w:p w14:paraId="4BF9A4E1"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 </w:t>
            </w:r>
          </w:p>
        </w:tc>
        <w:tc>
          <w:tcPr>
            <w:tcW w:w="308" w:type="dxa"/>
            <w:shd w:val="clear" w:color="auto" w:fill="D9D9D9" w:themeFill="background1" w:themeFillShade="D9"/>
            <w:noWrap/>
            <w:vAlign w:val="center"/>
            <w:hideMark/>
          </w:tcPr>
          <w:p w14:paraId="4337298C"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 </w:t>
            </w:r>
          </w:p>
        </w:tc>
        <w:tc>
          <w:tcPr>
            <w:tcW w:w="308" w:type="dxa"/>
            <w:shd w:val="clear" w:color="auto" w:fill="D9D9D9" w:themeFill="background1" w:themeFillShade="D9"/>
            <w:noWrap/>
            <w:vAlign w:val="center"/>
            <w:hideMark/>
          </w:tcPr>
          <w:p w14:paraId="3641C996"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 </w:t>
            </w:r>
          </w:p>
        </w:tc>
        <w:tc>
          <w:tcPr>
            <w:tcW w:w="308" w:type="dxa"/>
            <w:shd w:val="clear" w:color="auto" w:fill="D9D9D9" w:themeFill="background1" w:themeFillShade="D9"/>
            <w:noWrap/>
            <w:vAlign w:val="center"/>
            <w:hideMark/>
          </w:tcPr>
          <w:p w14:paraId="14DF3E49"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 </w:t>
            </w:r>
          </w:p>
        </w:tc>
        <w:tc>
          <w:tcPr>
            <w:tcW w:w="309" w:type="dxa"/>
            <w:shd w:val="clear" w:color="auto" w:fill="D9D9D9" w:themeFill="background1" w:themeFillShade="D9"/>
            <w:noWrap/>
            <w:vAlign w:val="center"/>
            <w:hideMark/>
          </w:tcPr>
          <w:p w14:paraId="5365323D"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 </w:t>
            </w:r>
          </w:p>
        </w:tc>
        <w:tc>
          <w:tcPr>
            <w:tcW w:w="308" w:type="dxa"/>
            <w:shd w:val="clear" w:color="auto" w:fill="D9D9D9" w:themeFill="background1" w:themeFillShade="D9"/>
            <w:noWrap/>
            <w:vAlign w:val="center"/>
            <w:hideMark/>
          </w:tcPr>
          <w:p w14:paraId="6C451F15"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 </w:t>
            </w:r>
          </w:p>
        </w:tc>
        <w:tc>
          <w:tcPr>
            <w:tcW w:w="308" w:type="dxa"/>
            <w:shd w:val="clear" w:color="auto" w:fill="D9D9D9" w:themeFill="background1" w:themeFillShade="D9"/>
            <w:noWrap/>
            <w:vAlign w:val="center"/>
            <w:hideMark/>
          </w:tcPr>
          <w:p w14:paraId="32C64910"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 </w:t>
            </w:r>
          </w:p>
        </w:tc>
        <w:tc>
          <w:tcPr>
            <w:tcW w:w="308" w:type="dxa"/>
            <w:shd w:val="clear" w:color="auto" w:fill="D9D9D9" w:themeFill="background1" w:themeFillShade="D9"/>
            <w:noWrap/>
            <w:vAlign w:val="center"/>
            <w:hideMark/>
          </w:tcPr>
          <w:p w14:paraId="7BEDBBF5"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 </w:t>
            </w:r>
          </w:p>
        </w:tc>
        <w:tc>
          <w:tcPr>
            <w:tcW w:w="309" w:type="dxa"/>
            <w:shd w:val="clear" w:color="auto" w:fill="D9D9D9" w:themeFill="background1" w:themeFillShade="D9"/>
            <w:noWrap/>
            <w:vAlign w:val="center"/>
            <w:hideMark/>
          </w:tcPr>
          <w:p w14:paraId="6A509B57"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 </w:t>
            </w:r>
          </w:p>
        </w:tc>
        <w:tc>
          <w:tcPr>
            <w:tcW w:w="308" w:type="dxa"/>
            <w:shd w:val="clear" w:color="auto" w:fill="D9D9D9" w:themeFill="background1" w:themeFillShade="D9"/>
            <w:noWrap/>
            <w:vAlign w:val="center"/>
            <w:hideMark/>
          </w:tcPr>
          <w:p w14:paraId="316443D4"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 </w:t>
            </w:r>
          </w:p>
        </w:tc>
        <w:tc>
          <w:tcPr>
            <w:tcW w:w="308" w:type="dxa"/>
            <w:shd w:val="clear" w:color="auto" w:fill="D9D9D9" w:themeFill="background1" w:themeFillShade="D9"/>
            <w:noWrap/>
            <w:vAlign w:val="center"/>
            <w:hideMark/>
          </w:tcPr>
          <w:p w14:paraId="6E8AF314"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 </w:t>
            </w:r>
          </w:p>
        </w:tc>
        <w:tc>
          <w:tcPr>
            <w:tcW w:w="308" w:type="dxa"/>
            <w:shd w:val="clear" w:color="auto" w:fill="D9D9D9" w:themeFill="background1" w:themeFillShade="D9"/>
            <w:noWrap/>
            <w:vAlign w:val="center"/>
            <w:hideMark/>
          </w:tcPr>
          <w:p w14:paraId="639C4903"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 </w:t>
            </w:r>
          </w:p>
        </w:tc>
        <w:tc>
          <w:tcPr>
            <w:tcW w:w="308" w:type="dxa"/>
            <w:shd w:val="clear" w:color="auto" w:fill="D9D9D9" w:themeFill="background1" w:themeFillShade="D9"/>
            <w:noWrap/>
            <w:vAlign w:val="center"/>
            <w:hideMark/>
          </w:tcPr>
          <w:p w14:paraId="7DA9F6F1"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 </w:t>
            </w:r>
          </w:p>
        </w:tc>
        <w:tc>
          <w:tcPr>
            <w:tcW w:w="308" w:type="dxa"/>
            <w:shd w:val="clear" w:color="auto" w:fill="D9D9D9" w:themeFill="background1" w:themeFillShade="D9"/>
            <w:noWrap/>
            <w:vAlign w:val="center"/>
            <w:hideMark/>
          </w:tcPr>
          <w:p w14:paraId="7C73693E" w14:textId="77777777" w:rsidR="0083515B" w:rsidRPr="00226801" w:rsidRDefault="0083515B" w:rsidP="00FA30FF">
            <w:pPr>
              <w:pStyle w:val="NoSpacing"/>
              <w:spacing w:line="200" w:lineRule="exact"/>
              <w:rPr>
                <w:rFonts w:eastAsia="Times New Roman" w:cstheme="minorHAnsi"/>
                <w:b/>
                <w:bCs/>
                <w:i w:val="0"/>
                <w:iCs w:val="0"/>
                <w:sz w:val="18"/>
                <w:szCs w:val="18"/>
              </w:rPr>
            </w:pPr>
            <w:r>
              <w:rPr>
                <w:b/>
                <w:i w:val="0"/>
                <w:sz w:val="18"/>
              </w:rPr>
              <w:t> </w:t>
            </w:r>
          </w:p>
        </w:tc>
      </w:tr>
      <w:tr w:rsidR="0083515B" w:rsidRPr="00226801" w14:paraId="5A91EC3B" w14:textId="77777777" w:rsidTr="00341649">
        <w:trPr>
          <w:trHeight w:val="18"/>
        </w:trPr>
        <w:tc>
          <w:tcPr>
            <w:tcW w:w="9122" w:type="dxa"/>
            <w:gridSpan w:val="16"/>
            <w:shd w:val="clear" w:color="auto" w:fill="auto"/>
            <w:noWrap/>
            <w:vAlign w:val="center"/>
            <w:hideMark/>
          </w:tcPr>
          <w:p w14:paraId="02ED097F" w14:textId="77777777" w:rsidR="0083515B" w:rsidRPr="00226801" w:rsidRDefault="0083515B" w:rsidP="00341649">
            <w:pPr>
              <w:pStyle w:val="NoSpacing"/>
              <w:spacing w:line="200" w:lineRule="exact"/>
              <w:rPr>
                <w:rFonts w:eastAsia="Times New Roman" w:cstheme="minorHAnsi"/>
                <w:sz w:val="18"/>
                <w:szCs w:val="18"/>
              </w:rPr>
            </w:pPr>
            <w:r>
              <w:rPr>
                <w:sz w:val="18"/>
              </w:rPr>
              <w:t> Gestion des données et monitoring des performances</w:t>
            </w:r>
          </w:p>
        </w:tc>
      </w:tr>
      <w:tr w:rsidR="00341649" w:rsidRPr="00226801" w14:paraId="66CEFC05" w14:textId="77777777" w:rsidTr="00341649">
        <w:trPr>
          <w:gridAfter w:val="1"/>
          <w:wAfter w:w="11" w:type="dxa"/>
          <w:trHeight w:val="18"/>
        </w:trPr>
        <w:tc>
          <w:tcPr>
            <w:tcW w:w="4156" w:type="dxa"/>
            <w:shd w:val="clear" w:color="auto" w:fill="auto"/>
            <w:vAlign w:val="center"/>
            <w:hideMark/>
          </w:tcPr>
          <w:p w14:paraId="2B207BE3" w14:textId="77777777" w:rsidR="0083515B" w:rsidRPr="00226801" w:rsidRDefault="0083515B" w:rsidP="00341649">
            <w:pPr>
              <w:pStyle w:val="NoSpacing"/>
              <w:spacing w:line="200" w:lineRule="exact"/>
              <w:rPr>
                <w:rFonts w:eastAsia="Times New Roman" w:cstheme="minorHAnsi"/>
                <w:sz w:val="18"/>
                <w:szCs w:val="18"/>
              </w:rPr>
            </w:pPr>
            <w:r>
              <w:rPr>
                <w:sz w:val="18"/>
              </w:rPr>
              <w:t> Revue des données de vaccination après le changement</w:t>
            </w:r>
          </w:p>
        </w:tc>
        <w:tc>
          <w:tcPr>
            <w:tcW w:w="949" w:type="dxa"/>
            <w:shd w:val="clear" w:color="auto" w:fill="auto"/>
            <w:noWrap/>
            <w:vAlign w:val="center"/>
            <w:hideMark/>
          </w:tcPr>
          <w:p w14:paraId="183D85E4"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0B4627D1"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1D7221F1"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3E8CEA0D"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3EFBC3D9"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5B952E7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0524E593"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387F76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422B947E"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1CEC90B3"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3A77DE39"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2394F737"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002060"/>
            <w:noWrap/>
            <w:vAlign w:val="center"/>
            <w:hideMark/>
          </w:tcPr>
          <w:p w14:paraId="24DCCFE6"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6207901"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r>
      <w:tr w:rsidR="00341649" w:rsidRPr="00226801" w14:paraId="7DD521B3" w14:textId="77777777" w:rsidTr="00341649">
        <w:trPr>
          <w:gridAfter w:val="1"/>
          <w:wAfter w:w="11" w:type="dxa"/>
          <w:trHeight w:val="18"/>
        </w:trPr>
        <w:tc>
          <w:tcPr>
            <w:tcW w:w="4156" w:type="dxa"/>
            <w:shd w:val="clear" w:color="auto" w:fill="auto"/>
            <w:vAlign w:val="center"/>
            <w:hideMark/>
          </w:tcPr>
          <w:p w14:paraId="2DA731CC" w14:textId="77777777" w:rsidR="0083515B" w:rsidRPr="00226801" w:rsidRDefault="0083515B" w:rsidP="00341649">
            <w:pPr>
              <w:pStyle w:val="NoSpacing"/>
              <w:spacing w:line="200" w:lineRule="exact"/>
              <w:rPr>
                <w:rFonts w:eastAsia="Times New Roman" w:cstheme="minorHAnsi"/>
                <w:sz w:val="18"/>
                <w:szCs w:val="18"/>
              </w:rPr>
            </w:pPr>
            <w:r>
              <w:rPr>
                <w:sz w:val="18"/>
              </w:rPr>
              <w:t> Feedback qualité des données aux Régions/DS/AS</w:t>
            </w:r>
          </w:p>
        </w:tc>
        <w:tc>
          <w:tcPr>
            <w:tcW w:w="949" w:type="dxa"/>
            <w:shd w:val="clear" w:color="auto" w:fill="auto"/>
            <w:noWrap/>
            <w:vAlign w:val="center"/>
            <w:hideMark/>
          </w:tcPr>
          <w:p w14:paraId="022E1AC2"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3DC52811"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4F9EF8BB"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20B905A3"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751A00AC"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0198CB1D"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5DB4B821"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7908A45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9" w:type="dxa"/>
            <w:shd w:val="clear" w:color="auto" w:fill="auto"/>
            <w:noWrap/>
            <w:vAlign w:val="center"/>
            <w:hideMark/>
          </w:tcPr>
          <w:p w14:paraId="5B95F83F"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236163ED"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6A43492C"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325B012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002060"/>
            <w:noWrap/>
            <w:vAlign w:val="center"/>
            <w:hideMark/>
          </w:tcPr>
          <w:p w14:paraId="68487C7A"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c>
          <w:tcPr>
            <w:tcW w:w="308" w:type="dxa"/>
            <w:shd w:val="clear" w:color="auto" w:fill="auto"/>
            <w:noWrap/>
            <w:vAlign w:val="center"/>
            <w:hideMark/>
          </w:tcPr>
          <w:p w14:paraId="3FDC3474" w14:textId="77777777" w:rsidR="0083515B" w:rsidRPr="00226801" w:rsidRDefault="0083515B" w:rsidP="00FA30FF">
            <w:pPr>
              <w:pStyle w:val="NoSpacing"/>
              <w:spacing w:line="200" w:lineRule="exact"/>
              <w:rPr>
                <w:rFonts w:eastAsia="Times New Roman" w:cstheme="minorHAnsi"/>
                <w:sz w:val="18"/>
                <w:szCs w:val="18"/>
              </w:rPr>
            </w:pPr>
            <w:r>
              <w:rPr>
                <w:sz w:val="18"/>
              </w:rPr>
              <w:t> </w:t>
            </w:r>
          </w:p>
        </w:tc>
      </w:tr>
    </w:tbl>
    <w:p w14:paraId="747ACEE1" w14:textId="77777777" w:rsidR="00CB3730" w:rsidRPr="005304F3" w:rsidRDefault="00CB3730" w:rsidP="00CB3730">
      <w:pPr>
        <w:rPr>
          <w:rFonts w:asciiTheme="minorHAnsi" w:hAnsiTheme="minorHAnsi" w:cstheme="minorHAnsi"/>
        </w:rPr>
      </w:pPr>
    </w:p>
    <w:p w14:paraId="265F7B83" w14:textId="77777777" w:rsidR="00CB3730" w:rsidRPr="00226801" w:rsidRDefault="00CB3730" w:rsidP="00CB3730">
      <w:pPr>
        <w:rPr>
          <w:rFonts w:asciiTheme="minorHAnsi" w:hAnsiTheme="minorHAnsi" w:cstheme="minorHAnsi"/>
        </w:rPr>
      </w:pPr>
    </w:p>
    <w:p w14:paraId="3812081D" w14:textId="77777777" w:rsidR="00CB3730" w:rsidRPr="00226801" w:rsidRDefault="00CB3730" w:rsidP="00CB3730">
      <w:pPr>
        <w:rPr>
          <w:rFonts w:asciiTheme="minorHAnsi" w:hAnsiTheme="minorHAnsi" w:cstheme="minorHAnsi"/>
        </w:rPr>
      </w:pPr>
    </w:p>
    <w:p w14:paraId="26CE0ADE" w14:textId="77777777" w:rsidR="00CB3730" w:rsidRPr="00226801" w:rsidRDefault="00CB3730" w:rsidP="00CB3730">
      <w:pPr>
        <w:rPr>
          <w:rFonts w:asciiTheme="minorHAnsi" w:hAnsiTheme="minorHAnsi" w:cstheme="minorHAnsi"/>
        </w:rPr>
      </w:pPr>
    </w:p>
    <w:p w14:paraId="4983A151" w14:textId="77777777" w:rsidR="00CB3730" w:rsidRPr="00226801" w:rsidRDefault="00CB3730" w:rsidP="00CB3730">
      <w:pPr>
        <w:rPr>
          <w:rFonts w:asciiTheme="minorHAnsi" w:hAnsiTheme="minorHAnsi" w:cstheme="minorHAnsi"/>
        </w:rPr>
      </w:pPr>
    </w:p>
    <w:p w14:paraId="59D082E1" w14:textId="77777777" w:rsidR="00CB3730" w:rsidRPr="00226801" w:rsidRDefault="00CB3730" w:rsidP="00CB3730">
      <w:pPr>
        <w:rPr>
          <w:rFonts w:asciiTheme="minorHAnsi" w:hAnsiTheme="minorHAnsi" w:cstheme="minorHAnsi"/>
        </w:rPr>
      </w:pPr>
    </w:p>
    <w:p w14:paraId="2F39E581" w14:textId="77777777" w:rsidR="00CB3730" w:rsidRPr="00226801" w:rsidRDefault="00CB3730" w:rsidP="00CB3730">
      <w:pPr>
        <w:rPr>
          <w:rFonts w:asciiTheme="minorHAnsi" w:hAnsiTheme="minorHAnsi" w:cstheme="minorHAnsi"/>
        </w:rPr>
      </w:pPr>
    </w:p>
    <w:p w14:paraId="5B2651B0" w14:textId="77777777" w:rsidR="00A01630" w:rsidRPr="00226801" w:rsidRDefault="00A01630" w:rsidP="00CB3730">
      <w:pPr>
        <w:rPr>
          <w:rFonts w:asciiTheme="minorHAnsi" w:hAnsiTheme="minorHAnsi" w:cstheme="minorHAnsi"/>
        </w:rPr>
      </w:pPr>
    </w:p>
    <w:p w14:paraId="6818C63F" w14:textId="77777777" w:rsidR="00A01630" w:rsidRPr="00226801" w:rsidRDefault="00A01630" w:rsidP="00CB3730">
      <w:pPr>
        <w:rPr>
          <w:rFonts w:asciiTheme="minorHAnsi" w:hAnsiTheme="minorHAnsi" w:cstheme="minorHAnsi"/>
        </w:rPr>
      </w:pPr>
    </w:p>
    <w:p w14:paraId="197A3BA7" w14:textId="77777777" w:rsidR="00A01630" w:rsidRPr="00226801" w:rsidRDefault="00A01630" w:rsidP="00CB3730">
      <w:pPr>
        <w:rPr>
          <w:rFonts w:asciiTheme="minorHAnsi" w:hAnsiTheme="minorHAnsi" w:cstheme="minorHAnsi"/>
        </w:rPr>
      </w:pPr>
    </w:p>
    <w:p w14:paraId="014F2434" w14:textId="77777777" w:rsidR="00F732D8" w:rsidRDefault="00F732D8">
      <w:pPr>
        <w:spacing w:after="200" w:line="288" w:lineRule="auto"/>
        <w:rPr>
          <w:rFonts w:asciiTheme="minorHAnsi" w:hAnsiTheme="minorHAnsi" w:cstheme="minorHAnsi"/>
        </w:rPr>
      </w:pPr>
      <w:r>
        <w:br w:type="page"/>
      </w:r>
    </w:p>
    <w:p w14:paraId="542C8AA6" w14:textId="77777777" w:rsidR="00A01630" w:rsidRPr="00226801" w:rsidRDefault="00A01630" w:rsidP="00CB3730">
      <w:pPr>
        <w:rPr>
          <w:rFonts w:asciiTheme="minorHAnsi" w:hAnsiTheme="minorHAnsi" w:cstheme="minorHAnsi"/>
        </w:rPr>
      </w:pPr>
    </w:p>
    <w:p w14:paraId="4BCFDF24" w14:textId="77777777" w:rsidR="00A01630" w:rsidRPr="00226801" w:rsidRDefault="00A01630" w:rsidP="00CB3730">
      <w:pPr>
        <w:rPr>
          <w:rFonts w:asciiTheme="minorHAnsi" w:hAnsiTheme="minorHAnsi" w:cstheme="minorHAnsi"/>
        </w:rPr>
      </w:pPr>
    </w:p>
    <w:p w14:paraId="00B04F69" w14:textId="77777777" w:rsidR="002411F5" w:rsidRPr="00226801" w:rsidRDefault="002411F5" w:rsidP="00876462">
      <w:pPr>
        <w:pStyle w:val="Heading1"/>
        <w:numPr>
          <w:ilvl w:val="0"/>
          <w:numId w:val="13"/>
        </w:numPr>
        <w:rPr>
          <w:rFonts w:asciiTheme="minorHAnsi" w:hAnsiTheme="minorHAnsi" w:cstheme="minorHAnsi"/>
          <w:sz w:val="24"/>
          <w:szCs w:val="24"/>
        </w:rPr>
      </w:pPr>
      <w:bookmarkStart w:id="23" w:name="_Toc101798519"/>
      <w:r>
        <w:rPr>
          <w:rFonts w:asciiTheme="minorHAnsi" w:hAnsiTheme="minorHAnsi"/>
          <w:sz w:val="24"/>
        </w:rPr>
        <w:t>Budget</w:t>
      </w:r>
      <w:bookmarkEnd w:id="23"/>
    </w:p>
    <w:p w14:paraId="06E30EC5" w14:textId="77777777" w:rsidR="007B2A16" w:rsidRPr="00226801" w:rsidRDefault="007B2A16" w:rsidP="00D50ADA">
      <w:pPr>
        <w:spacing w:line="276" w:lineRule="auto"/>
        <w:rPr>
          <w:rFonts w:asciiTheme="minorHAnsi" w:hAnsiTheme="minorHAnsi" w:cstheme="minorHAnsi"/>
          <w:i/>
          <w:iCs/>
        </w:rPr>
      </w:pPr>
      <w:r>
        <w:rPr>
          <w:rFonts w:asciiTheme="minorHAnsi" w:hAnsiTheme="minorHAnsi"/>
        </w:rPr>
        <w:t xml:space="preserve">La mise en œuvre de ce changement nécessite un coût opérationnel de 218 673 USD </w:t>
      </w:r>
      <w:proofErr w:type="gramStart"/>
      <w:r>
        <w:rPr>
          <w:rFonts w:asciiTheme="minorHAnsi" w:hAnsiTheme="minorHAnsi"/>
        </w:rPr>
        <w:t xml:space="preserve">   (</w:t>
      </w:r>
      <w:proofErr w:type="gramEnd"/>
      <w:r>
        <w:rPr>
          <w:rFonts w:asciiTheme="minorHAnsi" w:hAnsiTheme="minorHAnsi"/>
        </w:rPr>
        <w:t>n’incluant le cout de la gestion des programmes) réparti comme suit :</w:t>
      </w:r>
    </w:p>
    <w:p w14:paraId="4FBA41B5" w14:textId="77777777" w:rsidR="00D50ADA" w:rsidRPr="00226801" w:rsidRDefault="0068651D" w:rsidP="0068651D">
      <w:pPr>
        <w:pStyle w:val="Caption"/>
        <w:spacing w:after="0"/>
        <w:rPr>
          <w:rFonts w:cstheme="minorHAnsi"/>
          <w:color w:val="000000" w:themeColor="text1"/>
          <w:sz w:val="28"/>
          <w:szCs w:val="28"/>
        </w:rPr>
      </w:pPr>
      <w:r>
        <w:rPr>
          <w:sz w:val="20"/>
        </w:rPr>
        <w:t>Tableau 5 : Synthèse du budget du changement rota</w:t>
      </w:r>
    </w:p>
    <w:tbl>
      <w:tblPr>
        <w:tblW w:w="9520" w:type="dxa"/>
        <w:tblCellMar>
          <w:left w:w="70" w:type="dxa"/>
          <w:right w:w="70" w:type="dxa"/>
        </w:tblCellMar>
        <w:tblLook w:val="04A0" w:firstRow="1" w:lastRow="0" w:firstColumn="1" w:lastColumn="0" w:noHBand="0" w:noVBand="1"/>
      </w:tblPr>
      <w:tblGrid>
        <w:gridCol w:w="640"/>
        <w:gridCol w:w="4520"/>
        <w:gridCol w:w="2180"/>
        <w:gridCol w:w="2180"/>
      </w:tblGrid>
      <w:tr w:rsidR="00863011" w:rsidRPr="00226801" w14:paraId="640DB76B" w14:textId="77777777" w:rsidTr="00EF220F">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8497B0"/>
            <w:vAlign w:val="center"/>
            <w:hideMark/>
          </w:tcPr>
          <w:p w14:paraId="37778D31" w14:textId="77777777" w:rsidR="00863011" w:rsidRPr="00E00A22" w:rsidRDefault="00B5762F" w:rsidP="00863011">
            <w:pPr>
              <w:jc w:val="center"/>
              <w:rPr>
                <w:rFonts w:asciiTheme="minorHAnsi" w:hAnsiTheme="minorHAnsi" w:cstheme="minorHAnsi"/>
                <w:b/>
                <w:bCs/>
                <w:i/>
                <w:iCs/>
                <w:color w:val="000000"/>
                <w:sz w:val="18"/>
                <w:szCs w:val="18"/>
              </w:rPr>
            </w:pPr>
            <w:proofErr w:type="gramStart"/>
            <w:r>
              <w:rPr>
                <w:rFonts w:asciiTheme="minorHAnsi" w:hAnsiTheme="minorHAnsi"/>
                <w:b/>
                <w:i/>
                <w:color w:val="000000"/>
                <w:sz w:val="18"/>
              </w:rPr>
              <w:t>Réf.:</w:t>
            </w:r>
            <w:proofErr w:type="gramEnd"/>
          </w:p>
        </w:tc>
        <w:tc>
          <w:tcPr>
            <w:tcW w:w="4520" w:type="dxa"/>
            <w:tcBorders>
              <w:top w:val="single" w:sz="4" w:space="0" w:color="auto"/>
              <w:left w:val="nil"/>
              <w:bottom w:val="single" w:sz="4" w:space="0" w:color="auto"/>
              <w:right w:val="single" w:sz="4" w:space="0" w:color="auto"/>
            </w:tcBorders>
            <w:shd w:val="clear" w:color="000000" w:fill="8497B0"/>
            <w:vAlign w:val="center"/>
            <w:hideMark/>
          </w:tcPr>
          <w:p w14:paraId="00705716" w14:textId="77777777" w:rsidR="00863011" w:rsidRPr="00E00A22" w:rsidRDefault="00863011" w:rsidP="00863011">
            <w:pPr>
              <w:jc w:val="center"/>
              <w:rPr>
                <w:rFonts w:asciiTheme="minorHAnsi" w:hAnsiTheme="minorHAnsi" w:cstheme="minorHAnsi"/>
                <w:b/>
                <w:bCs/>
                <w:i/>
                <w:iCs/>
                <w:color w:val="000000"/>
                <w:sz w:val="18"/>
                <w:szCs w:val="18"/>
              </w:rPr>
            </w:pPr>
            <w:r>
              <w:rPr>
                <w:rFonts w:asciiTheme="minorHAnsi" w:hAnsiTheme="minorHAnsi"/>
                <w:b/>
                <w:i/>
                <w:color w:val="000000"/>
                <w:sz w:val="18"/>
              </w:rPr>
              <w:t>Activité</w:t>
            </w:r>
          </w:p>
        </w:tc>
        <w:tc>
          <w:tcPr>
            <w:tcW w:w="2180" w:type="dxa"/>
            <w:tcBorders>
              <w:top w:val="single" w:sz="4" w:space="0" w:color="auto"/>
              <w:left w:val="nil"/>
              <w:bottom w:val="single" w:sz="4" w:space="0" w:color="auto"/>
              <w:right w:val="single" w:sz="4" w:space="0" w:color="auto"/>
            </w:tcBorders>
            <w:shd w:val="clear" w:color="000000" w:fill="8497B0"/>
            <w:vAlign w:val="center"/>
            <w:hideMark/>
          </w:tcPr>
          <w:p w14:paraId="70C9A900" w14:textId="77777777" w:rsidR="00863011" w:rsidRPr="00E00A22" w:rsidRDefault="00863011" w:rsidP="00863011">
            <w:pPr>
              <w:jc w:val="center"/>
              <w:rPr>
                <w:rFonts w:asciiTheme="minorHAnsi" w:hAnsiTheme="minorHAnsi" w:cstheme="minorHAnsi"/>
                <w:b/>
                <w:bCs/>
                <w:i/>
                <w:iCs/>
                <w:color w:val="000000"/>
                <w:sz w:val="18"/>
                <w:szCs w:val="18"/>
              </w:rPr>
            </w:pPr>
            <w:r>
              <w:rPr>
                <w:rFonts w:asciiTheme="minorHAnsi" w:hAnsiTheme="minorHAnsi"/>
                <w:b/>
                <w:i/>
                <w:color w:val="000000"/>
                <w:sz w:val="18"/>
              </w:rPr>
              <w:t xml:space="preserve"> Montant USD </w:t>
            </w:r>
          </w:p>
        </w:tc>
        <w:tc>
          <w:tcPr>
            <w:tcW w:w="2180" w:type="dxa"/>
            <w:tcBorders>
              <w:top w:val="single" w:sz="4" w:space="0" w:color="auto"/>
              <w:left w:val="nil"/>
              <w:bottom w:val="single" w:sz="4" w:space="0" w:color="auto"/>
              <w:right w:val="single" w:sz="4" w:space="0" w:color="auto"/>
            </w:tcBorders>
            <w:shd w:val="clear" w:color="000000" w:fill="8497B0"/>
            <w:vAlign w:val="center"/>
          </w:tcPr>
          <w:p w14:paraId="0365662E" w14:textId="77777777" w:rsidR="00863011" w:rsidRPr="00E00A22" w:rsidRDefault="00863011" w:rsidP="00863011">
            <w:pPr>
              <w:jc w:val="center"/>
              <w:rPr>
                <w:rFonts w:asciiTheme="minorHAnsi" w:hAnsiTheme="minorHAnsi" w:cstheme="minorHAnsi"/>
                <w:b/>
                <w:bCs/>
                <w:i/>
                <w:iCs/>
                <w:color w:val="000000"/>
                <w:sz w:val="18"/>
                <w:szCs w:val="18"/>
              </w:rPr>
            </w:pPr>
          </w:p>
        </w:tc>
      </w:tr>
      <w:tr w:rsidR="00863011" w:rsidRPr="00226801" w14:paraId="22D375B0" w14:textId="77777777" w:rsidTr="00EF220F">
        <w:trPr>
          <w:trHeight w:val="4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42735C" w14:textId="77777777" w:rsidR="00863011" w:rsidRPr="00E00A22" w:rsidRDefault="00863011" w:rsidP="00B5762F">
            <w:pPr>
              <w:jc w:val="center"/>
              <w:rPr>
                <w:rFonts w:asciiTheme="minorHAnsi" w:hAnsiTheme="minorHAnsi" w:cstheme="minorHAnsi"/>
                <w:i/>
                <w:iCs/>
                <w:color w:val="000000"/>
                <w:sz w:val="18"/>
                <w:szCs w:val="18"/>
              </w:rPr>
            </w:pPr>
            <w:r>
              <w:rPr>
                <w:rFonts w:asciiTheme="minorHAnsi" w:hAnsiTheme="minorHAnsi"/>
                <w:i/>
                <w:color w:val="000000"/>
                <w:sz w:val="18"/>
              </w:rPr>
              <w:t>1</w:t>
            </w:r>
          </w:p>
        </w:tc>
        <w:tc>
          <w:tcPr>
            <w:tcW w:w="4520" w:type="dxa"/>
            <w:tcBorders>
              <w:top w:val="nil"/>
              <w:left w:val="nil"/>
              <w:bottom w:val="single" w:sz="4" w:space="0" w:color="auto"/>
              <w:right w:val="single" w:sz="4" w:space="0" w:color="auto"/>
            </w:tcBorders>
            <w:shd w:val="clear" w:color="auto" w:fill="auto"/>
            <w:vAlign w:val="center"/>
            <w:hideMark/>
          </w:tcPr>
          <w:p w14:paraId="79509B69" w14:textId="77777777" w:rsidR="00863011" w:rsidRPr="00E00A22" w:rsidRDefault="00863011" w:rsidP="00B5762F">
            <w:pPr>
              <w:rPr>
                <w:rFonts w:asciiTheme="minorHAnsi" w:hAnsiTheme="minorHAnsi" w:cstheme="minorHAnsi"/>
                <w:i/>
                <w:iCs/>
                <w:color w:val="000000"/>
                <w:sz w:val="18"/>
                <w:szCs w:val="18"/>
              </w:rPr>
            </w:pPr>
            <w:r>
              <w:rPr>
                <w:rFonts w:asciiTheme="minorHAnsi" w:hAnsiTheme="minorHAnsi"/>
                <w:i/>
                <w:color w:val="000000"/>
                <w:sz w:val="18"/>
              </w:rPr>
              <w:t>Atelier d'élaboration des modules de formation, guides et support de communication</w:t>
            </w:r>
          </w:p>
        </w:tc>
        <w:tc>
          <w:tcPr>
            <w:tcW w:w="2180" w:type="dxa"/>
            <w:tcBorders>
              <w:top w:val="nil"/>
              <w:left w:val="nil"/>
              <w:bottom w:val="single" w:sz="4" w:space="0" w:color="auto"/>
              <w:right w:val="single" w:sz="4" w:space="0" w:color="auto"/>
            </w:tcBorders>
            <w:shd w:val="clear" w:color="auto" w:fill="auto"/>
            <w:vAlign w:val="center"/>
            <w:hideMark/>
          </w:tcPr>
          <w:p w14:paraId="24670940" w14:textId="77777777" w:rsidR="00863011" w:rsidRPr="00E00A22" w:rsidRDefault="00863011" w:rsidP="00B5762F">
            <w:pPr>
              <w:rPr>
                <w:rFonts w:asciiTheme="minorHAnsi" w:hAnsiTheme="minorHAnsi" w:cstheme="minorHAnsi"/>
                <w:i/>
                <w:iCs/>
                <w:color w:val="000000"/>
                <w:sz w:val="18"/>
                <w:szCs w:val="18"/>
              </w:rPr>
            </w:pPr>
            <w:r>
              <w:rPr>
                <w:rFonts w:asciiTheme="minorHAnsi" w:hAnsiTheme="minorHAnsi"/>
                <w:i/>
                <w:color w:val="000000"/>
                <w:sz w:val="18"/>
              </w:rPr>
              <w:t>6441</w:t>
            </w:r>
          </w:p>
        </w:tc>
        <w:tc>
          <w:tcPr>
            <w:tcW w:w="2180" w:type="dxa"/>
            <w:tcBorders>
              <w:top w:val="nil"/>
              <w:left w:val="nil"/>
              <w:bottom w:val="single" w:sz="4" w:space="0" w:color="auto"/>
              <w:right w:val="single" w:sz="4" w:space="0" w:color="auto"/>
            </w:tcBorders>
            <w:shd w:val="clear" w:color="auto" w:fill="auto"/>
            <w:vAlign w:val="center"/>
          </w:tcPr>
          <w:p w14:paraId="1FDAAAB4" w14:textId="77777777" w:rsidR="00863011" w:rsidRPr="00E00A22" w:rsidRDefault="00863011" w:rsidP="00B5762F">
            <w:pPr>
              <w:rPr>
                <w:rFonts w:asciiTheme="minorHAnsi" w:hAnsiTheme="minorHAnsi" w:cstheme="minorHAnsi"/>
                <w:i/>
                <w:iCs/>
                <w:color w:val="000000"/>
                <w:sz w:val="18"/>
                <w:szCs w:val="18"/>
              </w:rPr>
            </w:pPr>
          </w:p>
        </w:tc>
      </w:tr>
      <w:tr w:rsidR="00863011" w:rsidRPr="00226801" w14:paraId="55C26903" w14:textId="77777777" w:rsidTr="00EF220F">
        <w:trPr>
          <w:trHeight w:val="460"/>
        </w:trPr>
        <w:tc>
          <w:tcPr>
            <w:tcW w:w="640" w:type="dxa"/>
            <w:tcBorders>
              <w:top w:val="nil"/>
              <w:left w:val="single" w:sz="4" w:space="0" w:color="auto"/>
              <w:bottom w:val="single" w:sz="4" w:space="0" w:color="auto"/>
              <w:right w:val="single" w:sz="4" w:space="0" w:color="auto"/>
            </w:tcBorders>
            <w:shd w:val="clear" w:color="000000" w:fill="D3E5F6"/>
            <w:vAlign w:val="center"/>
            <w:hideMark/>
          </w:tcPr>
          <w:p w14:paraId="2556A08E" w14:textId="77777777" w:rsidR="00863011" w:rsidRPr="00E00A22" w:rsidRDefault="00863011" w:rsidP="00B5762F">
            <w:pPr>
              <w:jc w:val="center"/>
              <w:rPr>
                <w:rFonts w:asciiTheme="minorHAnsi" w:hAnsiTheme="minorHAnsi" w:cstheme="minorHAnsi"/>
                <w:i/>
                <w:iCs/>
                <w:color w:val="000000"/>
                <w:sz w:val="18"/>
                <w:szCs w:val="18"/>
              </w:rPr>
            </w:pPr>
            <w:r>
              <w:rPr>
                <w:rFonts w:asciiTheme="minorHAnsi" w:hAnsiTheme="minorHAnsi"/>
                <w:i/>
                <w:color w:val="000000"/>
                <w:sz w:val="18"/>
              </w:rPr>
              <w:t>2</w:t>
            </w:r>
          </w:p>
        </w:tc>
        <w:tc>
          <w:tcPr>
            <w:tcW w:w="4520" w:type="dxa"/>
            <w:tcBorders>
              <w:top w:val="nil"/>
              <w:left w:val="nil"/>
              <w:bottom w:val="single" w:sz="4" w:space="0" w:color="auto"/>
              <w:right w:val="single" w:sz="4" w:space="0" w:color="auto"/>
            </w:tcBorders>
            <w:shd w:val="clear" w:color="000000" w:fill="D3E5F6"/>
            <w:vAlign w:val="center"/>
            <w:hideMark/>
          </w:tcPr>
          <w:p w14:paraId="075A233C" w14:textId="77777777" w:rsidR="00863011" w:rsidRPr="00E00A22" w:rsidRDefault="00863011" w:rsidP="00B5762F">
            <w:pPr>
              <w:rPr>
                <w:rFonts w:asciiTheme="minorHAnsi" w:hAnsiTheme="minorHAnsi" w:cstheme="minorHAnsi"/>
                <w:i/>
                <w:iCs/>
                <w:color w:val="000000"/>
                <w:sz w:val="18"/>
                <w:szCs w:val="18"/>
              </w:rPr>
            </w:pPr>
            <w:r>
              <w:rPr>
                <w:rFonts w:asciiTheme="minorHAnsi" w:hAnsiTheme="minorHAnsi"/>
                <w:i/>
                <w:color w:val="000000"/>
                <w:sz w:val="18"/>
              </w:rPr>
              <w:t>Production et diffusion des outils, guide et support de communication</w:t>
            </w:r>
          </w:p>
        </w:tc>
        <w:tc>
          <w:tcPr>
            <w:tcW w:w="2180" w:type="dxa"/>
            <w:tcBorders>
              <w:top w:val="nil"/>
              <w:left w:val="nil"/>
              <w:bottom w:val="single" w:sz="4" w:space="0" w:color="auto"/>
              <w:right w:val="single" w:sz="4" w:space="0" w:color="auto"/>
            </w:tcBorders>
            <w:shd w:val="clear" w:color="000000" w:fill="D3E5F6"/>
            <w:vAlign w:val="center"/>
            <w:hideMark/>
          </w:tcPr>
          <w:p w14:paraId="28065864" w14:textId="77777777" w:rsidR="00863011" w:rsidRPr="00E00A22" w:rsidRDefault="00863011" w:rsidP="00B5762F">
            <w:pPr>
              <w:rPr>
                <w:rFonts w:asciiTheme="minorHAnsi" w:hAnsiTheme="minorHAnsi" w:cstheme="minorHAnsi"/>
                <w:i/>
                <w:iCs/>
                <w:color w:val="000000"/>
                <w:sz w:val="18"/>
                <w:szCs w:val="18"/>
              </w:rPr>
            </w:pPr>
            <w:r>
              <w:rPr>
                <w:rFonts w:asciiTheme="minorHAnsi" w:hAnsiTheme="minorHAnsi"/>
                <w:i/>
                <w:color w:val="000000"/>
                <w:sz w:val="18"/>
              </w:rPr>
              <w:t>88327</w:t>
            </w:r>
          </w:p>
        </w:tc>
        <w:tc>
          <w:tcPr>
            <w:tcW w:w="2180" w:type="dxa"/>
            <w:tcBorders>
              <w:top w:val="nil"/>
              <w:left w:val="nil"/>
              <w:bottom w:val="single" w:sz="4" w:space="0" w:color="auto"/>
              <w:right w:val="single" w:sz="4" w:space="0" w:color="auto"/>
            </w:tcBorders>
            <w:shd w:val="clear" w:color="000000" w:fill="D3E5F6"/>
            <w:vAlign w:val="center"/>
          </w:tcPr>
          <w:p w14:paraId="1679B285" w14:textId="77777777" w:rsidR="00863011" w:rsidRPr="00E00A22" w:rsidRDefault="00863011" w:rsidP="00B5762F">
            <w:pPr>
              <w:rPr>
                <w:rFonts w:asciiTheme="minorHAnsi" w:hAnsiTheme="minorHAnsi" w:cstheme="minorHAnsi"/>
                <w:i/>
                <w:iCs/>
                <w:color w:val="000000"/>
                <w:sz w:val="18"/>
                <w:szCs w:val="18"/>
              </w:rPr>
            </w:pPr>
          </w:p>
        </w:tc>
      </w:tr>
      <w:tr w:rsidR="00863011" w:rsidRPr="00226801" w14:paraId="4CA92173" w14:textId="77777777" w:rsidTr="00EF220F">
        <w:trPr>
          <w:trHeight w:val="4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E4389FC" w14:textId="77777777" w:rsidR="00863011" w:rsidRPr="00E00A22" w:rsidRDefault="00863011" w:rsidP="00B5762F">
            <w:pPr>
              <w:jc w:val="center"/>
              <w:rPr>
                <w:rFonts w:asciiTheme="minorHAnsi" w:hAnsiTheme="minorHAnsi" w:cstheme="minorHAnsi"/>
                <w:i/>
                <w:iCs/>
                <w:color w:val="000000"/>
                <w:sz w:val="18"/>
                <w:szCs w:val="18"/>
              </w:rPr>
            </w:pPr>
            <w:r>
              <w:rPr>
                <w:rFonts w:asciiTheme="minorHAnsi" w:hAnsiTheme="minorHAnsi"/>
                <w:i/>
                <w:color w:val="000000"/>
                <w:sz w:val="18"/>
              </w:rPr>
              <w:t>3</w:t>
            </w:r>
          </w:p>
        </w:tc>
        <w:tc>
          <w:tcPr>
            <w:tcW w:w="4520" w:type="dxa"/>
            <w:tcBorders>
              <w:top w:val="nil"/>
              <w:left w:val="nil"/>
              <w:bottom w:val="single" w:sz="4" w:space="0" w:color="auto"/>
              <w:right w:val="single" w:sz="4" w:space="0" w:color="auto"/>
            </w:tcBorders>
            <w:shd w:val="clear" w:color="auto" w:fill="auto"/>
            <w:vAlign w:val="center"/>
            <w:hideMark/>
          </w:tcPr>
          <w:p w14:paraId="20113F9F" w14:textId="77777777" w:rsidR="00863011" w:rsidRPr="00E00A22" w:rsidRDefault="00863011" w:rsidP="00B5762F">
            <w:pPr>
              <w:rPr>
                <w:rFonts w:asciiTheme="minorHAnsi" w:hAnsiTheme="minorHAnsi" w:cstheme="minorHAnsi"/>
                <w:i/>
                <w:iCs/>
                <w:color w:val="000000"/>
                <w:sz w:val="18"/>
                <w:szCs w:val="18"/>
              </w:rPr>
            </w:pPr>
            <w:r>
              <w:rPr>
                <w:rFonts w:asciiTheme="minorHAnsi" w:hAnsiTheme="minorHAnsi"/>
                <w:i/>
                <w:color w:val="000000"/>
                <w:sz w:val="18"/>
              </w:rPr>
              <w:t>Information des animateurs centraux</w:t>
            </w:r>
          </w:p>
        </w:tc>
        <w:tc>
          <w:tcPr>
            <w:tcW w:w="2180" w:type="dxa"/>
            <w:tcBorders>
              <w:top w:val="nil"/>
              <w:left w:val="nil"/>
              <w:bottom w:val="single" w:sz="4" w:space="0" w:color="auto"/>
              <w:right w:val="single" w:sz="4" w:space="0" w:color="auto"/>
            </w:tcBorders>
            <w:shd w:val="clear" w:color="auto" w:fill="auto"/>
            <w:vAlign w:val="center"/>
            <w:hideMark/>
          </w:tcPr>
          <w:p w14:paraId="50C27DA5" w14:textId="77777777" w:rsidR="00863011" w:rsidRPr="00E00A22" w:rsidRDefault="00863011" w:rsidP="00B5762F">
            <w:pPr>
              <w:rPr>
                <w:rFonts w:asciiTheme="minorHAnsi" w:hAnsiTheme="minorHAnsi" w:cstheme="minorHAnsi"/>
                <w:i/>
                <w:iCs/>
                <w:color w:val="000000"/>
                <w:sz w:val="18"/>
                <w:szCs w:val="18"/>
              </w:rPr>
            </w:pPr>
            <w:r>
              <w:rPr>
                <w:rFonts w:asciiTheme="minorHAnsi" w:hAnsiTheme="minorHAnsi"/>
                <w:i/>
                <w:color w:val="000000"/>
                <w:sz w:val="18"/>
              </w:rPr>
              <w:t>-</w:t>
            </w:r>
          </w:p>
        </w:tc>
        <w:tc>
          <w:tcPr>
            <w:tcW w:w="2180" w:type="dxa"/>
            <w:tcBorders>
              <w:top w:val="nil"/>
              <w:left w:val="nil"/>
              <w:bottom w:val="single" w:sz="4" w:space="0" w:color="auto"/>
              <w:right w:val="single" w:sz="4" w:space="0" w:color="auto"/>
            </w:tcBorders>
            <w:shd w:val="clear" w:color="auto" w:fill="auto"/>
            <w:vAlign w:val="center"/>
          </w:tcPr>
          <w:p w14:paraId="505AF656" w14:textId="77777777" w:rsidR="00863011" w:rsidRPr="00E00A22" w:rsidRDefault="00863011" w:rsidP="00B5762F">
            <w:pPr>
              <w:rPr>
                <w:rFonts w:asciiTheme="minorHAnsi" w:hAnsiTheme="minorHAnsi" w:cstheme="minorHAnsi"/>
                <w:i/>
                <w:iCs/>
                <w:color w:val="000000"/>
                <w:sz w:val="18"/>
                <w:szCs w:val="18"/>
              </w:rPr>
            </w:pPr>
          </w:p>
        </w:tc>
      </w:tr>
      <w:tr w:rsidR="00863011" w:rsidRPr="00226801" w14:paraId="4D07AA7E" w14:textId="77777777" w:rsidTr="00EF220F">
        <w:trPr>
          <w:trHeight w:val="460"/>
        </w:trPr>
        <w:tc>
          <w:tcPr>
            <w:tcW w:w="640" w:type="dxa"/>
            <w:tcBorders>
              <w:top w:val="nil"/>
              <w:left w:val="single" w:sz="4" w:space="0" w:color="auto"/>
              <w:bottom w:val="single" w:sz="4" w:space="0" w:color="auto"/>
              <w:right w:val="single" w:sz="4" w:space="0" w:color="auto"/>
            </w:tcBorders>
            <w:shd w:val="clear" w:color="000000" w:fill="D3E5F6"/>
            <w:vAlign w:val="center"/>
            <w:hideMark/>
          </w:tcPr>
          <w:p w14:paraId="0F751B50" w14:textId="77777777" w:rsidR="00863011" w:rsidRPr="00E00A22" w:rsidRDefault="00863011" w:rsidP="00B5762F">
            <w:pPr>
              <w:jc w:val="center"/>
              <w:rPr>
                <w:rFonts w:asciiTheme="minorHAnsi" w:hAnsiTheme="minorHAnsi" w:cstheme="minorHAnsi"/>
                <w:i/>
                <w:iCs/>
                <w:color w:val="000000"/>
                <w:sz w:val="18"/>
                <w:szCs w:val="18"/>
              </w:rPr>
            </w:pPr>
            <w:r>
              <w:rPr>
                <w:rFonts w:asciiTheme="minorHAnsi" w:hAnsiTheme="minorHAnsi"/>
                <w:i/>
                <w:color w:val="000000"/>
                <w:sz w:val="18"/>
              </w:rPr>
              <w:t>4</w:t>
            </w:r>
          </w:p>
        </w:tc>
        <w:tc>
          <w:tcPr>
            <w:tcW w:w="4520" w:type="dxa"/>
            <w:tcBorders>
              <w:top w:val="nil"/>
              <w:left w:val="nil"/>
              <w:bottom w:val="single" w:sz="4" w:space="0" w:color="auto"/>
              <w:right w:val="single" w:sz="4" w:space="0" w:color="auto"/>
            </w:tcBorders>
            <w:shd w:val="clear" w:color="000000" w:fill="D3E5F6"/>
            <w:vAlign w:val="center"/>
            <w:hideMark/>
          </w:tcPr>
          <w:p w14:paraId="1AA57A12" w14:textId="77777777" w:rsidR="00863011" w:rsidRPr="00E00A22" w:rsidRDefault="00863011" w:rsidP="00B5762F">
            <w:pPr>
              <w:rPr>
                <w:rFonts w:asciiTheme="minorHAnsi" w:hAnsiTheme="minorHAnsi" w:cstheme="minorHAnsi"/>
                <w:i/>
                <w:iCs/>
                <w:color w:val="000000"/>
                <w:sz w:val="18"/>
                <w:szCs w:val="18"/>
              </w:rPr>
            </w:pPr>
            <w:r>
              <w:rPr>
                <w:rFonts w:asciiTheme="minorHAnsi" w:hAnsiTheme="minorHAnsi"/>
                <w:i/>
                <w:color w:val="000000"/>
                <w:sz w:val="18"/>
              </w:rPr>
              <w:t>Information des équipes cadre des DS au niveau de la Région</w:t>
            </w:r>
          </w:p>
        </w:tc>
        <w:tc>
          <w:tcPr>
            <w:tcW w:w="2180" w:type="dxa"/>
            <w:tcBorders>
              <w:top w:val="nil"/>
              <w:left w:val="nil"/>
              <w:bottom w:val="single" w:sz="4" w:space="0" w:color="auto"/>
              <w:right w:val="single" w:sz="4" w:space="0" w:color="auto"/>
            </w:tcBorders>
            <w:shd w:val="clear" w:color="000000" w:fill="D3E5F6"/>
            <w:vAlign w:val="center"/>
            <w:hideMark/>
          </w:tcPr>
          <w:p w14:paraId="5948CC3F" w14:textId="77777777" w:rsidR="00863011" w:rsidRPr="00E00A22" w:rsidRDefault="00863011" w:rsidP="00B5762F">
            <w:pPr>
              <w:rPr>
                <w:rFonts w:asciiTheme="minorHAnsi" w:hAnsiTheme="minorHAnsi" w:cstheme="minorHAnsi"/>
                <w:i/>
                <w:iCs/>
                <w:color w:val="000000"/>
                <w:sz w:val="18"/>
                <w:szCs w:val="18"/>
              </w:rPr>
            </w:pPr>
            <w:r>
              <w:rPr>
                <w:rFonts w:asciiTheme="minorHAnsi" w:hAnsiTheme="minorHAnsi"/>
                <w:i/>
                <w:color w:val="000000"/>
                <w:sz w:val="18"/>
              </w:rPr>
              <w:t>57233</w:t>
            </w:r>
          </w:p>
        </w:tc>
        <w:tc>
          <w:tcPr>
            <w:tcW w:w="2180" w:type="dxa"/>
            <w:tcBorders>
              <w:top w:val="nil"/>
              <w:left w:val="nil"/>
              <w:bottom w:val="single" w:sz="4" w:space="0" w:color="auto"/>
              <w:right w:val="single" w:sz="4" w:space="0" w:color="auto"/>
            </w:tcBorders>
            <w:shd w:val="clear" w:color="000000" w:fill="D3E5F6"/>
            <w:vAlign w:val="center"/>
          </w:tcPr>
          <w:p w14:paraId="58D06035" w14:textId="77777777" w:rsidR="00863011" w:rsidRPr="00E00A22" w:rsidRDefault="00863011" w:rsidP="00B5762F">
            <w:pPr>
              <w:rPr>
                <w:rFonts w:asciiTheme="minorHAnsi" w:hAnsiTheme="minorHAnsi" w:cstheme="minorHAnsi"/>
                <w:i/>
                <w:iCs/>
                <w:color w:val="000000"/>
                <w:sz w:val="18"/>
                <w:szCs w:val="18"/>
              </w:rPr>
            </w:pPr>
          </w:p>
        </w:tc>
      </w:tr>
      <w:tr w:rsidR="00863011" w:rsidRPr="00226801" w14:paraId="6E38E2F8" w14:textId="77777777" w:rsidTr="00EF220F">
        <w:trPr>
          <w:trHeight w:val="4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248A6D" w14:textId="77777777" w:rsidR="00863011" w:rsidRPr="00E00A22" w:rsidRDefault="00863011" w:rsidP="00B5762F">
            <w:pPr>
              <w:jc w:val="center"/>
              <w:rPr>
                <w:rFonts w:asciiTheme="minorHAnsi" w:hAnsiTheme="minorHAnsi" w:cstheme="minorHAnsi"/>
                <w:i/>
                <w:iCs/>
                <w:color w:val="000000"/>
                <w:sz w:val="18"/>
                <w:szCs w:val="18"/>
              </w:rPr>
            </w:pPr>
            <w:r>
              <w:rPr>
                <w:rFonts w:asciiTheme="minorHAnsi" w:hAnsiTheme="minorHAnsi"/>
                <w:i/>
                <w:color w:val="000000"/>
                <w:sz w:val="18"/>
              </w:rPr>
              <w:t>5</w:t>
            </w:r>
          </w:p>
        </w:tc>
        <w:tc>
          <w:tcPr>
            <w:tcW w:w="4520" w:type="dxa"/>
            <w:tcBorders>
              <w:top w:val="nil"/>
              <w:left w:val="nil"/>
              <w:bottom w:val="single" w:sz="4" w:space="0" w:color="auto"/>
              <w:right w:val="single" w:sz="4" w:space="0" w:color="auto"/>
            </w:tcBorders>
            <w:shd w:val="clear" w:color="auto" w:fill="auto"/>
            <w:vAlign w:val="center"/>
            <w:hideMark/>
          </w:tcPr>
          <w:p w14:paraId="26DF4B98" w14:textId="77777777" w:rsidR="00863011" w:rsidRPr="00E00A22" w:rsidRDefault="00863011" w:rsidP="00B5762F">
            <w:pPr>
              <w:rPr>
                <w:rFonts w:asciiTheme="minorHAnsi" w:hAnsiTheme="minorHAnsi" w:cstheme="minorHAnsi"/>
                <w:i/>
                <w:iCs/>
                <w:color w:val="000000"/>
                <w:sz w:val="18"/>
                <w:szCs w:val="18"/>
              </w:rPr>
            </w:pPr>
            <w:r>
              <w:rPr>
                <w:rFonts w:asciiTheme="minorHAnsi" w:hAnsiTheme="minorHAnsi"/>
                <w:i/>
                <w:color w:val="000000"/>
                <w:sz w:val="18"/>
              </w:rPr>
              <w:t xml:space="preserve">Information des responsables des centres de santé </w:t>
            </w:r>
          </w:p>
        </w:tc>
        <w:tc>
          <w:tcPr>
            <w:tcW w:w="2180" w:type="dxa"/>
            <w:tcBorders>
              <w:top w:val="nil"/>
              <w:left w:val="nil"/>
              <w:bottom w:val="single" w:sz="4" w:space="0" w:color="auto"/>
              <w:right w:val="single" w:sz="4" w:space="0" w:color="auto"/>
            </w:tcBorders>
            <w:shd w:val="clear" w:color="auto" w:fill="auto"/>
            <w:vAlign w:val="center"/>
            <w:hideMark/>
          </w:tcPr>
          <w:p w14:paraId="5F63D172" w14:textId="77777777" w:rsidR="00863011" w:rsidRPr="00E00A22" w:rsidRDefault="00863011" w:rsidP="00B5762F">
            <w:pPr>
              <w:rPr>
                <w:rFonts w:asciiTheme="minorHAnsi" w:hAnsiTheme="minorHAnsi" w:cstheme="minorHAnsi"/>
                <w:i/>
                <w:iCs/>
                <w:color w:val="000000"/>
                <w:sz w:val="18"/>
                <w:szCs w:val="18"/>
              </w:rPr>
            </w:pPr>
            <w:r>
              <w:rPr>
                <w:rFonts w:asciiTheme="minorHAnsi" w:hAnsiTheme="minorHAnsi"/>
                <w:i/>
                <w:color w:val="000000"/>
                <w:sz w:val="18"/>
              </w:rPr>
              <w:t>40318</w:t>
            </w:r>
          </w:p>
        </w:tc>
        <w:tc>
          <w:tcPr>
            <w:tcW w:w="2180" w:type="dxa"/>
            <w:tcBorders>
              <w:top w:val="nil"/>
              <w:left w:val="nil"/>
              <w:bottom w:val="single" w:sz="4" w:space="0" w:color="auto"/>
              <w:right w:val="single" w:sz="4" w:space="0" w:color="auto"/>
            </w:tcBorders>
            <w:shd w:val="clear" w:color="auto" w:fill="auto"/>
            <w:vAlign w:val="center"/>
          </w:tcPr>
          <w:p w14:paraId="1366EA58" w14:textId="77777777" w:rsidR="00863011" w:rsidRPr="00E00A22" w:rsidRDefault="00863011" w:rsidP="00B5762F">
            <w:pPr>
              <w:rPr>
                <w:rFonts w:asciiTheme="minorHAnsi" w:hAnsiTheme="minorHAnsi" w:cstheme="minorHAnsi"/>
                <w:i/>
                <w:iCs/>
                <w:color w:val="000000"/>
                <w:sz w:val="18"/>
                <w:szCs w:val="18"/>
              </w:rPr>
            </w:pPr>
          </w:p>
        </w:tc>
      </w:tr>
      <w:tr w:rsidR="00863011" w:rsidRPr="00226801" w14:paraId="4421C7E9" w14:textId="77777777" w:rsidTr="00EF220F">
        <w:trPr>
          <w:trHeight w:val="460"/>
        </w:trPr>
        <w:tc>
          <w:tcPr>
            <w:tcW w:w="640" w:type="dxa"/>
            <w:tcBorders>
              <w:top w:val="nil"/>
              <w:left w:val="single" w:sz="4" w:space="0" w:color="auto"/>
              <w:bottom w:val="single" w:sz="4" w:space="0" w:color="auto"/>
              <w:right w:val="single" w:sz="4" w:space="0" w:color="auto"/>
            </w:tcBorders>
            <w:shd w:val="clear" w:color="000000" w:fill="D3E5F6"/>
            <w:vAlign w:val="center"/>
            <w:hideMark/>
          </w:tcPr>
          <w:p w14:paraId="17683C5B" w14:textId="77777777" w:rsidR="00863011" w:rsidRPr="00E00A22" w:rsidRDefault="00863011" w:rsidP="00B5762F">
            <w:pPr>
              <w:jc w:val="center"/>
              <w:rPr>
                <w:rFonts w:asciiTheme="minorHAnsi" w:hAnsiTheme="minorHAnsi" w:cstheme="minorHAnsi"/>
                <w:i/>
                <w:iCs/>
                <w:color w:val="000000"/>
                <w:sz w:val="18"/>
                <w:szCs w:val="18"/>
              </w:rPr>
            </w:pPr>
            <w:r>
              <w:rPr>
                <w:rFonts w:asciiTheme="minorHAnsi" w:hAnsiTheme="minorHAnsi"/>
                <w:i/>
                <w:color w:val="000000"/>
                <w:sz w:val="18"/>
              </w:rPr>
              <w:t>6</w:t>
            </w:r>
          </w:p>
        </w:tc>
        <w:tc>
          <w:tcPr>
            <w:tcW w:w="4520" w:type="dxa"/>
            <w:tcBorders>
              <w:top w:val="nil"/>
              <w:left w:val="nil"/>
              <w:bottom w:val="single" w:sz="4" w:space="0" w:color="auto"/>
              <w:right w:val="single" w:sz="4" w:space="0" w:color="auto"/>
            </w:tcBorders>
            <w:shd w:val="clear" w:color="000000" w:fill="D3E5F6"/>
            <w:vAlign w:val="center"/>
            <w:hideMark/>
          </w:tcPr>
          <w:p w14:paraId="14E03711" w14:textId="77777777" w:rsidR="00863011" w:rsidRPr="00E00A22" w:rsidRDefault="00863011" w:rsidP="00B5762F">
            <w:pPr>
              <w:rPr>
                <w:rFonts w:asciiTheme="minorHAnsi" w:hAnsiTheme="minorHAnsi" w:cstheme="minorHAnsi"/>
                <w:i/>
                <w:iCs/>
                <w:color w:val="000000"/>
                <w:sz w:val="18"/>
                <w:szCs w:val="18"/>
              </w:rPr>
            </w:pPr>
            <w:r>
              <w:rPr>
                <w:rFonts w:asciiTheme="minorHAnsi" w:hAnsiTheme="minorHAnsi"/>
                <w:i/>
                <w:color w:val="000000"/>
                <w:sz w:val="18"/>
              </w:rPr>
              <w:t>Livraison des vaccins vers les dépôts régionaux</w:t>
            </w:r>
          </w:p>
        </w:tc>
        <w:tc>
          <w:tcPr>
            <w:tcW w:w="2180" w:type="dxa"/>
            <w:tcBorders>
              <w:top w:val="nil"/>
              <w:left w:val="nil"/>
              <w:bottom w:val="single" w:sz="4" w:space="0" w:color="auto"/>
              <w:right w:val="single" w:sz="4" w:space="0" w:color="auto"/>
            </w:tcBorders>
            <w:shd w:val="clear" w:color="000000" w:fill="D3E5F6"/>
            <w:vAlign w:val="center"/>
            <w:hideMark/>
          </w:tcPr>
          <w:p w14:paraId="78AD5001" w14:textId="77777777" w:rsidR="00863011" w:rsidRPr="00E00A22" w:rsidRDefault="00863011" w:rsidP="00B5762F">
            <w:pPr>
              <w:rPr>
                <w:rFonts w:asciiTheme="minorHAnsi" w:hAnsiTheme="minorHAnsi" w:cstheme="minorHAnsi"/>
                <w:i/>
                <w:iCs/>
                <w:color w:val="000000"/>
                <w:sz w:val="18"/>
                <w:szCs w:val="18"/>
              </w:rPr>
            </w:pPr>
            <w:r>
              <w:rPr>
                <w:rFonts w:asciiTheme="minorHAnsi" w:hAnsiTheme="minorHAnsi"/>
                <w:i/>
                <w:color w:val="000000"/>
                <w:sz w:val="18"/>
              </w:rPr>
              <w:t>5755</w:t>
            </w:r>
          </w:p>
        </w:tc>
        <w:tc>
          <w:tcPr>
            <w:tcW w:w="2180" w:type="dxa"/>
            <w:tcBorders>
              <w:top w:val="nil"/>
              <w:left w:val="nil"/>
              <w:bottom w:val="single" w:sz="4" w:space="0" w:color="auto"/>
              <w:right w:val="single" w:sz="4" w:space="0" w:color="auto"/>
            </w:tcBorders>
            <w:shd w:val="clear" w:color="000000" w:fill="D3E5F6"/>
            <w:vAlign w:val="center"/>
          </w:tcPr>
          <w:p w14:paraId="2BE3257C" w14:textId="77777777" w:rsidR="00863011" w:rsidRPr="00E00A22" w:rsidRDefault="00863011" w:rsidP="00B5762F">
            <w:pPr>
              <w:rPr>
                <w:rFonts w:asciiTheme="minorHAnsi" w:hAnsiTheme="minorHAnsi" w:cstheme="minorHAnsi"/>
                <w:i/>
                <w:iCs/>
                <w:color w:val="000000"/>
                <w:sz w:val="18"/>
                <w:szCs w:val="18"/>
              </w:rPr>
            </w:pPr>
          </w:p>
        </w:tc>
      </w:tr>
      <w:tr w:rsidR="00863011" w:rsidRPr="00226801" w14:paraId="20994C19" w14:textId="77777777" w:rsidTr="00EF220F">
        <w:trPr>
          <w:trHeight w:val="4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FF0285" w14:textId="77777777" w:rsidR="00863011" w:rsidRPr="00E00A22" w:rsidRDefault="00863011" w:rsidP="00B5762F">
            <w:pPr>
              <w:jc w:val="center"/>
              <w:rPr>
                <w:rFonts w:asciiTheme="minorHAnsi" w:hAnsiTheme="minorHAnsi" w:cstheme="minorHAnsi"/>
                <w:i/>
                <w:iCs/>
                <w:color w:val="000000"/>
                <w:sz w:val="18"/>
                <w:szCs w:val="18"/>
              </w:rPr>
            </w:pPr>
            <w:r>
              <w:rPr>
                <w:rFonts w:asciiTheme="minorHAnsi" w:hAnsiTheme="minorHAnsi"/>
                <w:i/>
                <w:color w:val="000000"/>
                <w:sz w:val="18"/>
              </w:rPr>
              <w:t>7</w:t>
            </w:r>
          </w:p>
        </w:tc>
        <w:tc>
          <w:tcPr>
            <w:tcW w:w="4520" w:type="dxa"/>
            <w:tcBorders>
              <w:top w:val="nil"/>
              <w:left w:val="nil"/>
              <w:bottom w:val="single" w:sz="4" w:space="0" w:color="auto"/>
              <w:right w:val="single" w:sz="4" w:space="0" w:color="auto"/>
            </w:tcBorders>
            <w:shd w:val="clear" w:color="auto" w:fill="auto"/>
            <w:vAlign w:val="center"/>
            <w:hideMark/>
          </w:tcPr>
          <w:p w14:paraId="78109017" w14:textId="77777777" w:rsidR="00863011" w:rsidRPr="00E00A22" w:rsidRDefault="00863011" w:rsidP="00B5762F">
            <w:pPr>
              <w:rPr>
                <w:rFonts w:asciiTheme="minorHAnsi" w:hAnsiTheme="minorHAnsi" w:cstheme="minorHAnsi"/>
                <w:i/>
                <w:iCs/>
                <w:color w:val="000000"/>
                <w:sz w:val="18"/>
                <w:szCs w:val="18"/>
              </w:rPr>
            </w:pPr>
            <w:r>
              <w:rPr>
                <w:rFonts w:asciiTheme="minorHAnsi" w:hAnsiTheme="minorHAnsi"/>
                <w:i/>
                <w:color w:val="000000"/>
                <w:sz w:val="18"/>
              </w:rPr>
              <w:t>Livraison des vaccins vers les districts et les centres de santé</w:t>
            </w:r>
          </w:p>
        </w:tc>
        <w:tc>
          <w:tcPr>
            <w:tcW w:w="2180" w:type="dxa"/>
            <w:tcBorders>
              <w:top w:val="nil"/>
              <w:left w:val="nil"/>
              <w:bottom w:val="single" w:sz="4" w:space="0" w:color="auto"/>
              <w:right w:val="single" w:sz="4" w:space="0" w:color="auto"/>
            </w:tcBorders>
            <w:shd w:val="clear" w:color="auto" w:fill="auto"/>
            <w:vAlign w:val="center"/>
            <w:hideMark/>
          </w:tcPr>
          <w:p w14:paraId="2E74B226" w14:textId="77777777" w:rsidR="00863011" w:rsidRPr="00E00A22" w:rsidRDefault="00863011" w:rsidP="00B5762F">
            <w:pPr>
              <w:rPr>
                <w:rFonts w:asciiTheme="minorHAnsi" w:hAnsiTheme="minorHAnsi" w:cstheme="minorHAnsi"/>
                <w:i/>
                <w:iCs/>
                <w:color w:val="000000"/>
                <w:sz w:val="18"/>
                <w:szCs w:val="18"/>
              </w:rPr>
            </w:pPr>
            <w:r>
              <w:rPr>
                <w:rFonts w:asciiTheme="minorHAnsi" w:hAnsiTheme="minorHAnsi"/>
                <w:i/>
                <w:color w:val="000000"/>
                <w:sz w:val="18"/>
              </w:rPr>
              <w:t>20 600</w:t>
            </w:r>
          </w:p>
        </w:tc>
        <w:tc>
          <w:tcPr>
            <w:tcW w:w="2180" w:type="dxa"/>
            <w:tcBorders>
              <w:top w:val="nil"/>
              <w:left w:val="nil"/>
              <w:bottom w:val="single" w:sz="4" w:space="0" w:color="auto"/>
              <w:right w:val="single" w:sz="4" w:space="0" w:color="auto"/>
            </w:tcBorders>
            <w:shd w:val="clear" w:color="auto" w:fill="auto"/>
            <w:vAlign w:val="center"/>
          </w:tcPr>
          <w:p w14:paraId="4DE335F1" w14:textId="77777777" w:rsidR="00863011" w:rsidRPr="00E00A22" w:rsidRDefault="00863011" w:rsidP="00B5762F">
            <w:pPr>
              <w:rPr>
                <w:rFonts w:asciiTheme="minorHAnsi" w:hAnsiTheme="minorHAnsi" w:cstheme="minorHAnsi"/>
                <w:i/>
                <w:iCs/>
                <w:color w:val="000000"/>
                <w:sz w:val="18"/>
                <w:szCs w:val="18"/>
              </w:rPr>
            </w:pPr>
          </w:p>
        </w:tc>
      </w:tr>
      <w:tr w:rsidR="00863011" w:rsidRPr="00226801" w14:paraId="29A555FA" w14:textId="77777777" w:rsidTr="00EF220F">
        <w:trPr>
          <w:trHeight w:val="340"/>
        </w:trPr>
        <w:tc>
          <w:tcPr>
            <w:tcW w:w="640" w:type="dxa"/>
            <w:tcBorders>
              <w:top w:val="nil"/>
              <w:left w:val="single" w:sz="4" w:space="0" w:color="auto"/>
              <w:bottom w:val="single" w:sz="4" w:space="0" w:color="auto"/>
              <w:right w:val="single" w:sz="4" w:space="0" w:color="auto"/>
            </w:tcBorders>
            <w:shd w:val="clear" w:color="000000" w:fill="8497B0"/>
            <w:vAlign w:val="center"/>
            <w:hideMark/>
          </w:tcPr>
          <w:p w14:paraId="340923FD" w14:textId="77777777" w:rsidR="00863011" w:rsidRPr="00E00A22" w:rsidRDefault="00863011" w:rsidP="00863011">
            <w:pPr>
              <w:jc w:val="center"/>
              <w:rPr>
                <w:rFonts w:asciiTheme="minorHAnsi" w:hAnsiTheme="minorHAnsi" w:cstheme="minorHAnsi"/>
                <w:b/>
                <w:bCs/>
                <w:i/>
                <w:iCs/>
                <w:color w:val="000000"/>
                <w:sz w:val="18"/>
                <w:szCs w:val="18"/>
              </w:rPr>
            </w:pPr>
            <w:r>
              <w:rPr>
                <w:rFonts w:asciiTheme="minorHAnsi" w:hAnsiTheme="minorHAnsi"/>
                <w:b/>
                <w:i/>
                <w:color w:val="000000"/>
                <w:sz w:val="18"/>
              </w:rPr>
              <w:t> </w:t>
            </w:r>
          </w:p>
        </w:tc>
        <w:tc>
          <w:tcPr>
            <w:tcW w:w="4520" w:type="dxa"/>
            <w:tcBorders>
              <w:top w:val="nil"/>
              <w:left w:val="nil"/>
              <w:bottom w:val="single" w:sz="4" w:space="0" w:color="auto"/>
              <w:right w:val="single" w:sz="4" w:space="0" w:color="auto"/>
            </w:tcBorders>
            <w:shd w:val="clear" w:color="000000" w:fill="8497B0"/>
            <w:vAlign w:val="center"/>
            <w:hideMark/>
          </w:tcPr>
          <w:p w14:paraId="5DB670A2" w14:textId="77777777" w:rsidR="00863011" w:rsidRPr="00E00A22" w:rsidRDefault="00863011" w:rsidP="00863011">
            <w:pPr>
              <w:jc w:val="center"/>
              <w:rPr>
                <w:rFonts w:asciiTheme="minorHAnsi" w:hAnsiTheme="minorHAnsi" w:cstheme="minorHAnsi"/>
                <w:b/>
                <w:bCs/>
                <w:i/>
                <w:iCs/>
                <w:color w:val="000000"/>
                <w:sz w:val="18"/>
                <w:szCs w:val="18"/>
              </w:rPr>
            </w:pPr>
            <w:r>
              <w:rPr>
                <w:rFonts w:asciiTheme="minorHAnsi" w:hAnsiTheme="minorHAnsi"/>
                <w:b/>
                <w:i/>
                <w:color w:val="000000"/>
                <w:sz w:val="18"/>
              </w:rPr>
              <w:t>TOTAL</w:t>
            </w:r>
          </w:p>
        </w:tc>
        <w:tc>
          <w:tcPr>
            <w:tcW w:w="2180" w:type="dxa"/>
            <w:tcBorders>
              <w:top w:val="nil"/>
              <w:left w:val="nil"/>
              <w:bottom w:val="single" w:sz="4" w:space="0" w:color="auto"/>
              <w:right w:val="single" w:sz="4" w:space="0" w:color="auto"/>
            </w:tcBorders>
            <w:shd w:val="clear" w:color="000000" w:fill="8497B0"/>
            <w:vAlign w:val="center"/>
            <w:hideMark/>
          </w:tcPr>
          <w:p w14:paraId="3B0BDAE2" w14:textId="77777777" w:rsidR="00863011" w:rsidRPr="00E00A22" w:rsidRDefault="00863011" w:rsidP="00863011">
            <w:pPr>
              <w:jc w:val="right"/>
              <w:rPr>
                <w:rFonts w:asciiTheme="minorHAnsi" w:hAnsiTheme="minorHAnsi" w:cstheme="minorHAnsi"/>
                <w:b/>
                <w:bCs/>
                <w:i/>
                <w:iCs/>
                <w:color w:val="000000"/>
                <w:sz w:val="18"/>
                <w:szCs w:val="18"/>
              </w:rPr>
            </w:pPr>
            <w:r>
              <w:rPr>
                <w:rFonts w:asciiTheme="minorHAnsi" w:hAnsiTheme="minorHAnsi"/>
                <w:b/>
                <w:i/>
                <w:color w:val="000000"/>
                <w:sz w:val="18"/>
              </w:rPr>
              <w:t xml:space="preserve">                                 218 673  </w:t>
            </w:r>
          </w:p>
        </w:tc>
        <w:tc>
          <w:tcPr>
            <w:tcW w:w="2180" w:type="dxa"/>
            <w:tcBorders>
              <w:top w:val="nil"/>
              <w:left w:val="nil"/>
              <w:bottom w:val="single" w:sz="4" w:space="0" w:color="auto"/>
              <w:right w:val="single" w:sz="4" w:space="0" w:color="auto"/>
            </w:tcBorders>
            <w:shd w:val="clear" w:color="000000" w:fill="8497B0"/>
            <w:vAlign w:val="center"/>
          </w:tcPr>
          <w:p w14:paraId="50D8D662" w14:textId="77777777" w:rsidR="00863011" w:rsidRPr="00E00A22" w:rsidRDefault="00863011" w:rsidP="00863011">
            <w:pPr>
              <w:jc w:val="right"/>
              <w:rPr>
                <w:rFonts w:asciiTheme="minorHAnsi" w:hAnsiTheme="minorHAnsi" w:cstheme="minorHAnsi"/>
                <w:b/>
                <w:bCs/>
                <w:i/>
                <w:iCs/>
                <w:color w:val="000000"/>
                <w:sz w:val="18"/>
                <w:szCs w:val="18"/>
              </w:rPr>
            </w:pPr>
          </w:p>
        </w:tc>
      </w:tr>
    </w:tbl>
    <w:p w14:paraId="46E032A2" w14:textId="77777777" w:rsidR="00E97B10" w:rsidRPr="005304F3" w:rsidRDefault="00E97B10" w:rsidP="00E97B10">
      <w:pPr>
        <w:rPr>
          <w:rFonts w:asciiTheme="minorHAnsi" w:hAnsiTheme="minorHAnsi" w:cstheme="minorHAnsi"/>
        </w:rPr>
      </w:pPr>
    </w:p>
    <w:p w14:paraId="22035063" w14:textId="77777777" w:rsidR="00E97B10" w:rsidRPr="00226801" w:rsidRDefault="00E97B10" w:rsidP="00E97B10">
      <w:pPr>
        <w:rPr>
          <w:rFonts w:asciiTheme="minorHAnsi" w:hAnsiTheme="minorHAnsi" w:cstheme="minorHAnsi"/>
        </w:rPr>
      </w:pPr>
    </w:p>
    <w:p w14:paraId="742FB024" w14:textId="77777777" w:rsidR="00F93BD7" w:rsidRPr="00226801" w:rsidRDefault="00F93BD7" w:rsidP="00E97B10">
      <w:pPr>
        <w:rPr>
          <w:rFonts w:asciiTheme="minorHAnsi" w:hAnsiTheme="minorHAnsi" w:cstheme="minorHAnsi"/>
        </w:rPr>
      </w:pPr>
    </w:p>
    <w:p w14:paraId="64854E89" w14:textId="77777777" w:rsidR="00F93BD7" w:rsidRPr="00226801" w:rsidRDefault="00F93BD7" w:rsidP="00E97B10">
      <w:pPr>
        <w:rPr>
          <w:rFonts w:asciiTheme="minorHAnsi" w:hAnsiTheme="minorHAnsi" w:cstheme="minorHAnsi"/>
        </w:rPr>
      </w:pPr>
    </w:p>
    <w:p w14:paraId="6922C88A" w14:textId="77777777" w:rsidR="008661B7" w:rsidRPr="00226801" w:rsidRDefault="008661B7" w:rsidP="00E97B10">
      <w:pPr>
        <w:rPr>
          <w:rFonts w:asciiTheme="minorHAnsi" w:hAnsiTheme="minorHAnsi" w:cstheme="minorHAnsi"/>
        </w:rPr>
      </w:pPr>
    </w:p>
    <w:p w14:paraId="7674501D" w14:textId="77777777" w:rsidR="00F93BD7" w:rsidRPr="00226801" w:rsidRDefault="00F93BD7" w:rsidP="00876462">
      <w:pPr>
        <w:pStyle w:val="Heading1"/>
        <w:numPr>
          <w:ilvl w:val="0"/>
          <w:numId w:val="13"/>
        </w:numPr>
        <w:rPr>
          <w:rFonts w:asciiTheme="minorHAnsi" w:hAnsiTheme="minorHAnsi" w:cstheme="minorHAnsi"/>
          <w:sz w:val="24"/>
          <w:szCs w:val="24"/>
        </w:rPr>
        <w:sectPr w:rsidR="00F93BD7" w:rsidRPr="00226801" w:rsidSect="00E97B10">
          <w:pgSz w:w="11900" w:h="16840"/>
          <w:pgMar w:top="1417" w:right="1417" w:bottom="1417" w:left="1417" w:header="708" w:footer="134" w:gutter="0"/>
          <w:cols w:space="708"/>
          <w:docGrid w:linePitch="360"/>
        </w:sectPr>
      </w:pPr>
    </w:p>
    <w:p w14:paraId="67325DA5" w14:textId="77777777" w:rsidR="002411F5" w:rsidRPr="00226801" w:rsidRDefault="002411F5" w:rsidP="00876462">
      <w:pPr>
        <w:pStyle w:val="Heading1"/>
        <w:numPr>
          <w:ilvl w:val="0"/>
          <w:numId w:val="13"/>
        </w:numPr>
        <w:rPr>
          <w:rFonts w:asciiTheme="minorHAnsi" w:hAnsiTheme="minorHAnsi" w:cstheme="minorHAnsi"/>
          <w:sz w:val="24"/>
          <w:szCs w:val="24"/>
        </w:rPr>
      </w:pPr>
      <w:bookmarkStart w:id="24" w:name="_Toc101798520"/>
      <w:r>
        <w:rPr>
          <w:rFonts w:asciiTheme="minorHAnsi" w:hAnsiTheme="minorHAnsi"/>
          <w:sz w:val="24"/>
        </w:rPr>
        <w:lastRenderedPageBreak/>
        <w:t>Cadre de suivi-évaluation</w:t>
      </w:r>
      <w:bookmarkEnd w:id="24"/>
    </w:p>
    <w:tbl>
      <w:tblPr>
        <w:tblStyle w:val="GridTable4-Accent2"/>
        <w:tblW w:w="14029" w:type="dxa"/>
        <w:tblLook w:val="04A0" w:firstRow="1" w:lastRow="0" w:firstColumn="1" w:lastColumn="0" w:noHBand="0" w:noVBand="1"/>
      </w:tblPr>
      <w:tblGrid>
        <w:gridCol w:w="783"/>
        <w:gridCol w:w="1937"/>
        <w:gridCol w:w="1955"/>
        <w:gridCol w:w="3075"/>
        <w:gridCol w:w="2260"/>
        <w:gridCol w:w="2135"/>
        <w:gridCol w:w="1884"/>
      </w:tblGrid>
      <w:tr w:rsidR="00F93BD7" w:rsidRPr="002949CC" w14:paraId="18E9DF73" w14:textId="77777777" w:rsidTr="002917EE">
        <w:trPr>
          <w:cnfStyle w:val="100000000000" w:firstRow="1" w:lastRow="0" w:firstColumn="0" w:lastColumn="0" w:oddVBand="0" w:evenVBand="0" w:oddHBand="0" w:evenHBand="0" w:firstRowFirstColumn="0" w:firstRowLastColumn="0" w:lastRowFirstColumn="0" w:lastRowLastColumn="0"/>
          <w:trHeight w:val="334"/>
          <w:tblHeader/>
        </w:trPr>
        <w:tc>
          <w:tcPr>
            <w:cnfStyle w:val="001000000000" w:firstRow="0" w:lastRow="0" w:firstColumn="1" w:lastColumn="0" w:oddVBand="0" w:evenVBand="0" w:oddHBand="0" w:evenHBand="0" w:firstRowFirstColumn="0" w:firstRowLastColumn="0" w:lastRowFirstColumn="0" w:lastRowLastColumn="0"/>
            <w:tcW w:w="2720" w:type="dxa"/>
            <w:gridSpan w:val="2"/>
            <w:noWrap/>
            <w:hideMark/>
          </w:tcPr>
          <w:p w14:paraId="123F7F8D" w14:textId="77777777" w:rsidR="00F93BD7" w:rsidRPr="00226801" w:rsidRDefault="00F93BD7" w:rsidP="00EF454E">
            <w:pPr>
              <w:rPr>
                <w:rFonts w:asciiTheme="minorHAnsi" w:hAnsiTheme="minorHAnsi" w:cstheme="minorHAnsi"/>
                <w:b w:val="0"/>
                <w:bCs w:val="0"/>
                <w:sz w:val="18"/>
                <w:szCs w:val="18"/>
              </w:rPr>
            </w:pPr>
            <w:r>
              <w:rPr>
                <w:rFonts w:asciiTheme="minorHAnsi" w:hAnsiTheme="minorHAnsi"/>
                <w:sz w:val="18"/>
              </w:rPr>
              <w:t> </w:t>
            </w:r>
          </w:p>
        </w:tc>
        <w:tc>
          <w:tcPr>
            <w:tcW w:w="1955" w:type="dxa"/>
            <w:noWrap/>
            <w:hideMark/>
          </w:tcPr>
          <w:p w14:paraId="290CFA53" w14:textId="77777777" w:rsidR="00F93BD7" w:rsidRPr="002949CC"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r>
              <w:rPr>
                <w:rFonts w:asciiTheme="minorHAnsi" w:hAnsiTheme="minorHAnsi"/>
                <w:sz w:val="18"/>
              </w:rPr>
              <w:t>Stratégies</w:t>
            </w:r>
          </w:p>
        </w:tc>
        <w:tc>
          <w:tcPr>
            <w:tcW w:w="3075" w:type="dxa"/>
            <w:noWrap/>
            <w:hideMark/>
          </w:tcPr>
          <w:p w14:paraId="71EBFB2C" w14:textId="77777777" w:rsidR="00F93BD7" w:rsidRPr="002949CC"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r>
              <w:rPr>
                <w:rFonts w:asciiTheme="minorHAnsi" w:hAnsiTheme="minorHAnsi"/>
                <w:sz w:val="18"/>
              </w:rPr>
              <w:t>Interventions</w:t>
            </w:r>
          </w:p>
        </w:tc>
        <w:tc>
          <w:tcPr>
            <w:tcW w:w="2260" w:type="dxa"/>
            <w:noWrap/>
            <w:hideMark/>
          </w:tcPr>
          <w:p w14:paraId="050FA998" w14:textId="77777777" w:rsidR="00F93BD7" w:rsidRPr="002949CC"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proofErr w:type="spellStart"/>
            <w:r>
              <w:rPr>
                <w:rFonts w:asciiTheme="minorHAnsi" w:hAnsiTheme="minorHAnsi"/>
                <w:sz w:val="18"/>
              </w:rPr>
              <w:t>Indicators</w:t>
            </w:r>
            <w:proofErr w:type="spellEnd"/>
          </w:p>
        </w:tc>
        <w:tc>
          <w:tcPr>
            <w:tcW w:w="2135" w:type="dxa"/>
            <w:noWrap/>
            <w:hideMark/>
          </w:tcPr>
          <w:p w14:paraId="44E9E131" w14:textId="77777777" w:rsidR="00F93BD7" w:rsidRPr="002949CC"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r>
              <w:rPr>
                <w:rFonts w:asciiTheme="minorHAnsi" w:hAnsiTheme="minorHAnsi"/>
                <w:sz w:val="18"/>
              </w:rPr>
              <w:t>Source de vérification</w:t>
            </w:r>
          </w:p>
        </w:tc>
        <w:tc>
          <w:tcPr>
            <w:tcW w:w="1884" w:type="dxa"/>
            <w:noWrap/>
            <w:hideMark/>
          </w:tcPr>
          <w:p w14:paraId="5B70FEBF" w14:textId="77777777" w:rsidR="00F93BD7" w:rsidRPr="002949CC"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r>
              <w:rPr>
                <w:rFonts w:asciiTheme="minorHAnsi" w:hAnsiTheme="minorHAnsi"/>
                <w:sz w:val="18"/>
              </w:rPr>
              <w:t>Périodicité</w:t>
            </w:r>
          </w:p>
        </w:tc>
      </w:tr>
      <w:tr w:rsidR="00F93BD7" w:rsidRPr="00226801" w14:paraId="4F1FFEEC" w14:textId="77777777" w:rsidTr="002917EE">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720" w:type="dxa"/>
            <w:gridSpan w:val="2"/>
            <w:noWrap/>
            <w:hideMark/>
          </w:tcPr>
          <w:p w14:paraId="5F2DEE21" w14:textId="77777777" w:rsidR="00F93BD7" w:rsidRPr="00226801" w:rsidRDefault="00F93BD7" w:rsidP="00EF454E">
            <w:pPr>
              <w:rPr>
                <w:rFonts w:asciiTheme="minorHAnsi" w:hAnsiTheme="minorHAnsi" w:cstheme="minorHAnsi"/>
                <w:sz w:val="20"/>
                <w:szCs w:val="20"/>
              </w:rPr>
            </w:pPr>
            <w:r>
              <w:rPr>
                <w:rFonts w:asciiTheme="minorHAnsi" w:hAnsiTheme="minorHAnsi"/>
                <w:sz w:val="20"/>
              </w:rPr>
              <w:t>Objectif global</w:t>
            </w:r>
          </w:p>
        </w:tc>
        <w:tc>
          <w:tcPr>
            <w:tcW w:w="11309" w:type="dxa"/>
            <w:gridSpan w:val="5"/>
            <w:hideMark/>
          </w:tcPr>
          <w:p w14:paraId="00156067" w14:textId="77777777" w:rsidR="00F93BD7" w:rsidRPr="00226801" w:rsidRDefault="00F93BD7" w:rsidP="00EF45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Theme="minorHAnsi" w:hAnsiTheme="minorHAnsi"/>
                <w:b/>
                <w:sz w:val="20"/>
              </w:rPr>
              <w:t xml:space="preserve">Remplacer le vaccin </w:t>
            </w:r>
            <w:proofErr w:type="spellStart"/>
            <w:r>
              <w:rPr>
                <w:rFonts w:asciiTheme="minorHAnsi" w:hAnsiTheme="minorHAnsi"/>
                <w:b/>
                <w:sz w:val="20"/>
              </w:rPr>
              <w:t>Rotarix</w:t>
            </w:r>
            <w:proofErr w:type="spellEnd"/>
            <w:r>
              <w:rPr>
                <w:rFonts w:asciiTheme="minorHAnsi" w:hAnsiTheme="minorHAnsi"/>
                <w:b/>
                <w:sz w:val="20"/>
              </w:rPr>
              <w:t xml:space="preserve"> par le vaccin </w:t>
            </w:r>
            <w:proofErr w:type="spellStart"/>
            <w:r>
              <w:rPr>
                <w:rFonts w:asciiTheme="minorHAnsi" w:hAnsiTheme="minorHAnsi"/>
                <w:b/>
                <w:sz w:val="20"/>
              </w:rPr>
              <w:t>Rotavac</w:t>
            </w:r>
            <w:proofErr w:type="spellEnd"/>
            <w:r>
              <w:rPr>
                <w:rFonts w:asciiTheme="minorHAnsi" w:hAnsiTheme="minorHAnsi"/>
                <w:b/>
                <w:sz w:val="20"/>
              </w:rPr>
              <w:t xml:space="preserve">® dans le schéma vaccinal systématique sans compromettre l'offre et la demande du vaccin </w:t>
            </w:r>
            <w:proofErr w:type="spellStart"/>
            <w:r>
              <w:rPr>
                <w:rFonts w:asciiTheme="minorHAnsi" w:hAnsiTheme="minorHAnsi"/>
                <w:b/>
                <w:sz w:val="20"/>
              </w:rPr>
              <w:t>anti-rotavirus</w:t>
            </w:r>
            <w:proofErr w:type="spellEnd"/>
          </w:p>
        </w:tc>
      </w:tr>
      <w:tr w:rsidR="00F93BD7" w:rsidRPr="00226801" w14:paraId="65BFD745" w14:textId="77777777" w:rsidTr="002917EE">
        <w:trPr>
          <w:trHeight w:val="956"/>
        </w:trPr>
        <w:tc>
          <w:tcPr>
            <w:cnfStyle w:val="001000000000" w:firstRow="0" w:lastRow="0" w:firstColumn="1" w:lastColumn="0" w:oddVBand="0" w:evenVBand="0" w:oddHBand="0" w:evenHBand="0" w:firstRowFirstColumn="0" w:firstRowLastColumn="0" w:lastRowFirstColumn="0" w:lastRowLastColumn="0"/>
            <w:tcW w:w="783" w:type="dxa"/>
            <w:vMerge w:val="restart"/>
            <w:noWrap/>
            <w:textDirection w:val="tbLrV"/>
            <w:hideMark/>
          </w:tcPr>
          <w:p w14:paraId="198383B9" w14:textId="77777777" w:rsidR="00F93BD7" w:rsidRPr="002949CC" w:rsidRDefault="00F93BD7" w:rsidP="00EF454E">
            <w:pPr>
              <w:jc w:val="center"/>
              <w:rPr>
                <w:rFonts w:asciiTheme="minorHAnsi" w:hAnsiTheme="minorHAnsi" w:cstheme="minorHAnsi"/>
                <w:b w:val="0"/>
                <w:bCs w:val="0"/>
                <w:sz w:val="18"/>
                <w:szCs w:val="18"/>
              </w:rPr>
            </w:pPr>
            <w:r>
              <w:rPr>
                <w:rFonts w:asciiTheme="minorHAnsi" w:hAnsiTheme="minorHAnsi"/>
                <w:sz w:val="18"/>
              </w:rPr>
              <w:t>Objectifs spécifiques (OS)</w:t>
            </w:r>
          </w:p>
        </w:tc>
        <w:tc>
          <w:tcPr>
            <w:tcW w:w="1937" w:type="dxa"/>
            <w:vMerge w:val="restart"/>
            <w:hideMark/>
          </w:tcPr>
          <w:p w14:paraId="6561051B"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 xml:space="preserve">OS1 : Informer les personnels de santé sur le changement et les spécificités du vaccin </w:t>
            </w:r>
            <w:proofErr w:type="spellStart"/>
            <w:r>
              <w:rPr>
                <w:rFonts w:asciiTheme="minorHAnsi" w:hAnsiTheme="minorHAnsi"/>
                <w:sz w:val="18"/>
              </w:rPr>
              <w:t>Rotavac</w:t>
            </w:r>
            <w:proofErr w:type="spellEnd"/>
            <w:r>
              <w:rPr>
                <w:rFonts w:asciiTheme="minorHAnsi" w:hAnsiTheme="minorHAnsi"/>
                <w:sz w:val="18"/>
              </w:rPr>
              <w:t xml:space="preserve"> ® et les implications de son introduction dans le calendrier vaccinal en remplacement du </w:t>
            </w:r>
            <w:proofErr w:type="spellStart"/>
            <w:r>
              <w:rPr>
                <w:rFonts w:asciiTheme="minorHAnsi" w:hAnsiTheme="minorHAnsi"/>
                <w:sz w:val="18"/>
              </w:rPr>
              <w:t>Rotarix</w:t>
            </w:r>
            <w:proofErr w:type="spellEnd"/>
          </w:p>
        </w:tc>
        <w:tc>
          <w:tcPr>
            <w:tcW w:w="1955" w:type="dxa"/>
            <w:hideMark/>
          </w:tcPr>
          <w:p w14:paraId="560DBFCA"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Information et renforcement des capacités du personnel en charge de la vaccination</w:t>
            </w:r>
          </w:p>
        </w:tc>
        <w:tc>
          <w:tcPr>
            <w:tcW w:w="3075" w:type="dxa"/>
            <w:vMerge w:val="restart"/>
            <w:hideMark/>
          </w:tcPr>
          <w:p w14:paraId="68838032" w14:textId="77777777" w:rsidR="00F93BD7" w:rsidRPr="002949CC"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br/>
              <w:t xml:space="preserve">1. Mise à jour des modules de formation, des guides, des supports de communication et outils de collecte des données </w:t>
            </w:r>
            <w:r>
              <w:rPr>
                <w:rFonts w:asciiTheme="minorHAnsi" w:hAnsiTheme="minorHAnsi"/>
                <w:sz w:val="18"/>
              </w:rPr>
              <w:br/>
              <w:t xml:space="preserve">2. Formation des Superviseurs centraux </w:t>
            </w:r>
            <w:r>
              <w:rPr>
                <w:rFonts w:asciiTheme="minorHAnsi" w:hAnsiTheme="minorHAnsi"/>
                <w:sz w:val="18"/>
              </w:rPr>
              <w:br/>
              <w:t xml:space="preserve">3. Formation des équipes cadres des DS </w:t>
            </w:r>
            <w:r>
              <w:rPr>
                <w:rFonts w:asciiTheme="minorHAnsi" w:hAnsiTheme="minorHAnsi"/>
                <w:sz w:val="18"/>
              </w:rPr>
              <w:br/>
              <w:t>4. 4- Formation des responsables des AS</w:t>
            </w:r>
          </w:p>
        </w:tc>
        <w:tc>
          <w:tcPr>
            <w:tcW w:w="2260" w:type="dxa"/>
            <w:vMerge w:val="restart"/>
            <w:hideMark/>
          </w:tcPr>
          <w:p w14:paraId="17D9F9E0"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 xml:space="preserve">1. Nombres de documents mis à jour </w:t>
            </w:r>
            <w:r>
              <w:rPr>
                <w:rFonts w:asciiTheme="minorHAnsi" w:hAnsiTheme="minorHAnsi"/>
                <w:sz w:val="18"/>
              </w:rPr>
              <w:br/>
              <w:t xml:space="preserve">2. Nombre de Superviseurs centraux formés </w:t>
            </w:r>
            <w:r>
              <w:rPr>
                <w:rFonts w:asciiTheme="minorHAnsi" w:hAnsiTheme="minorHAnsi"/>
                <w:sz w:val="18"/>
              </w:rPr>
              <w:br/>
              <w:t xml:space="preserve">3. Nombre d'acteurs régionaux et du DS formés </w:t>
            </w:r>
            <w:r>
              <w:rPr>
                <w:rFonts w:asciiTheme="minorHAnsi" w:hAnsiTheme="minorHAnsi"/>
                <w:sz w:val="18"/>
              </w:rPr>
              <w:br/>
              <w:t>4. Nombre de Responsables de centres de santé formés</w:t>
            </w:r>
          </w:p>
        </w:tc>
        <w:tc>
          <w:tcPr>
            <w:tcW w:w="2135" w:type="dxa"/>
            <w:vMerge w:val="restart"/>
            <w:hideMark/>
          </w:tcPr>
          <w:p w14:paraId="2053B595"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 xml:space="preserve">Rapports de formation </w:t>
            </w:r>
            <w:r>
              <w:rPr>
                <w:rFonts w:asciiTheme="minorHAnsi" w:hAnsiTheme="minorHAnsi"/>
                <w:sz w:val="18"/>
              </w:rPr>
              <w:br/>
              <w:t>Attestations de fin de formation (le cas échéant)</w:t>
            </w:r>
          </w:p>
        </w:tc>
        <w:tc>
          <w:tcPr>
            <w:tcW w:w="1884" w:type="dxa"/>
            <w:vMerge w:val="restart"/>
            <w:hideMark/>
          </w:tcPr>
          <w:p w14:paraId="4669D93D"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2- Après la formation</w:t>
            </w:r>
          </w:p>
        </w:tc>
      </w:tr>
      <w:tr w:rsidR="00F93BD7" w:rsidRPr="00226801" w14:paraId="0D6B61B8" w14:textId="77777777" w:rsidTr="002917EE">
        <w:trPr>
          <w:cnfStyle w:val="000000100000" w:firstRow="0" w:lastRow="0" w:firstColumn="0" w:lastColumn="0" w:oddVBand="0" w:evenVBand="0" w:oddHBand="1" w:evenHBand="0" w:firstRowFirstColumn="0" w:firstRowLastColumn="0" w:lastRowFirstColumn="0" w:lastRowLastColumn="0"/>
          <w:trHeight w:val="1255"/>
        </w:trPr>
        <w:tc>
          <w:tcPr>
            <w:cnfStyle w:val="001000000000" w:firstRow="0" w:lastRow="0" w:firstColumn="1" w:lastColumn="0" w:oddVBand="0" w:evenVBand="0" w:oddHBand="0" w:evenHBand="0" w:firstRowFirstColumn="0" w:firstRowLastColumn="0" w:lastRowFirstColumn="0" w:lastRowLastColumn="0"/>
            <w:tcW w:w="783" w:type="dxa"/>
            <w:vMerge/>
            <w:hideMark/>
          </w:tcPr>
          <w:p w14:paraId="0BB2514E" w14:textId="77777777" w:rsidR="00F93BD7" w:rsidRPr="00226801" w:rsidRDefault="00F93BD7" w:rsidP="00EF454E">
            <w:pPr>
              <w:jc w:val="center"/>
              <w:rPr>
                <w:rFonts w:asciiTheme="minorHAnsi" w:hAnsiTheme="minorHAnsi" w:cstheme="minorHAnsi"/>
                <w:b w:val="0"/>
                <w:bCs w:val="0"/>
                <w:sz w:val="18"/>
                <w:szCs w:val="18"/>
              </w:rPr>
            </w:pPr>
          </w:p>
        </w:tc>
        <w:tc>
          <w:tcPr>
            <w:tcW w:w="1937" w:type="dxa"/>
            <w:vMerge/>
            <w:hideMark/>
          </w:tcPr>
          <w:p w14:paraId="52E5CBA4" w14:textId="77777777" w:rsidR="00F93BD7" w:rsidRPr="002949CC"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955" w:type="dxa"/>
            <w:hideMark/>
          </w:tcPr>
          <w:p w14:paraId="54C23628"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Gestion des manifestations post vaccinales indésirables (MAPI) et des évènements indésirables d'intérêt particulier (EIIP)</w:t>
            </w:r>
          </w:p>
        </w:tc>
        <w:tc>
          <w:tcPr>
            <w:tcW w:w="3075" w:type="dxa"/>
            <w:vMerge/>
            <w:hideMark/>
          </w:tcPr>
          <w:p w14:paraId="39A485BB"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260" w:type="dxa"/>
            <w:vMerge/>
            <w:hideMark/>
          </w:tcPr>
          <w:p w14:paraId="77AB31AB"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35" w:type="dxa"/>
            <w:vMerge/>
            <w:hideMark/>
          </w:tcPr>
          <w:p w14:paraId="7D9D6C0C"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884" w:type="dxa"/>
            <w:vMerge/>
            <w:hideMark/>
          </w:tcPr>
          <w:p w14:paraId="1B46FD2D"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F93BD7" w:rsidRPr="00226801" w14:paraId="1D54C36F" w14:textId="77777777" w:rsidTr="002917EE">
        <w:trPr>
          <w:trHeight w:val="1458"/>
        </w:trPr>
        <w:tc>
          <w:tcPr>
            <w:cnfStyle w:val="001000000000" w:firstRow="0" w:lastRow="0" w:firstColumn="1" w:lastColumn="0" w:oddVBand="0" w:evenVBand="0" w:oddHBand="0" w:evenHBand="0" w:firstRowFirstColumn="0" w:firstRowLastColumn="0" w:lastRowFirstColumn="0" w:lastRowLastColumn="0"/>
            <w:tcW w:w="783" w:type="dxa"/>
            <w:vMerge/>
            <w:hideMark/>
          </w:tcPr>
          <w:p w14:paraId="6B90966D" w14:textId="77777777" w:rsidR="00F93BD7" w:rsidRPr="00226801" w:rsidRDefault="00F93BD7" w:rsidP="00EF454E">
            <w:pPr>
              <w:jc w:val="center"/>
              <w:rPr>
                <w:rFonts w:asciiTheme="minorHAnsi" w:hAnsiTheme="minorHAnsi" w:cstheme="minorHAnsi"/>
                <w:b w:val="0"/>
                <w:bCs w:val="0"/>
                <w:sz w:val="18"/>
                <w:szCs w:val="18"/>
              </w:rPr>
            </w:pPr>
          </w:p>
        </w:tc>
        <w:tc>
          <w:tcPr>
            <w:tcW w:w="1937" w:type="dxa"/>
            <w:hideMark/>
          </w:tcPr>
          <w:p w14:paraId="24E7B17C" w14:textId="77777777" w:rsidR="00F93BD7" w:rsidRPr="00226801" w:rsidRDefault="00254A7F"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OS2 : Informer la communauté et les parents du changement de forme de vaccin contre le Rotavirus</w:t>
            </w:r>
          </w:p>
        </w:tc>
        <w:tc>
          <w:tcPr>
            <w:tcW w:w="1955" w:type="dxa"/>
            <w:hideMark/>
          </w:tcPr>
          <w:p w14:paraId="6790AC73"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Information de la communauté et des gardiens d'enfants</w:t>
            </w:r>
          </w:p>
        </w:tc>
        <w:tc>
          <w:tcPr>
            <w:tcW w:w="3075" w:type="dxa"/>
            <w:hideMark/>
          </w:tcPr>
          <w:p w14:paraId="34349FC7"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 xml:space="preserve">1. Rédaction et diffusion d'un communiqué de presse sur le changement rota </w:t>
            </w:r>
            <w:r>
              <w:rPr>
                <w:rFonts w:asciiTheme="minorHAnsi" w:hAnsiTheme="minorHAnsi"/>
                <w:sz w:val="18"/>
              </w:rPr>
              <w:br/>
              <w:t>2. Formation du personnel de santé sur les techniques de CIP</w:t>
            </w:r>
            <w:r>
              <w:rPr>
                <w:rFonts w:asciiTheme="minorHAnsi" w:hAnsiTheme="minorHAnsi"/>
                <w:sz w:val="18"/>
              </w:rPr>
              <w:br/>
              <w:t>3. Production des supports de communication</w:t>
            </w:r>
          </w:p>
        </w:tc>
        <w:tc>
          <w:tcPr>
            <w:tcW w:w="2260" w:type="dxa"/>
            <w:hideMark/>
          </w:tcPr>
          <w:p w14:paraId="61E273A0"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1. Nombre de communiqués de presse</w:t>
            </w:r>
            <w:r>
              <w:rPr>
                <w:rFonts w:asciiTheme="minorHAnsi" w:hAnsiTheme="minorHAnsi"/>
                <w:sz w:val="18"/>
              </w:rPr>
              <w:br/>
              <w:t xml:space="preserve">2. Quantité de personnel de santé formé </w:t>
            </w:r>
            <w:r>
              <w:rPr>
                <w:rFonts w:asciiTheme="minorHAnsi" w:hAnsiTheme="minorHAnsi"/>
                <w:sz w:val="18"/>
              </w:rPr>
              <w:br/>
              <w:t>3. 3- Nombre de supports produits</w:t>
            </w:r>
          </w:p>
        </w:tc>
        <w:tc>
          <w:tcPr>
            <w:tcW w:w="2135" w:type="dxa"/>
            <w:hideMark/>
          </w:tcPr>
          <w:p w14:paraId="477AB544"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1. Rapports de diffusion</w:t>
            </w:r>
            <w:r>
              <w:rPr>
                <w:rFonts w:asciiTheme="minorHAnsi" w:hAnsiTheme="minorHAnsi"/>
                <w:sz w:val="18"/>
              </w:rPr>
              <w:br/>
              <w:t xml:space="preserve">2. Rapports de l'atelier de formation </w:t>
            </w:r>
            <w:r>
              <w:rPr>
                <w:rFonts w:asciiTheme="minorHAnsi" w:hAnsiTheme="minorHAnsi"/>
                <w:sz w:val="18"/>
              </w:rPr>
              <w:br/>
              <w:t xml:space="preserve">3. </w:t>
            </w:r>
            <w:proofErr w:type="gramStart"/>
            <w:r>
              <w:rPr>
                <w:rFonts w:asciiTheme="minorHAnsi" w:hAnsiTheme="minorHAnsi"/>
                <w:sz w:val="18"/>
              </w:rPr>
              <w:t>supports</w:t>
            </w:r>
            <w:proofErr w:type="gramEnd"/>
            <w:r>
              <w:rPr>
                <w:rFonts w:asciiTheme="minorHAnsi" w:hAnsiTheme="minorHAnsi"/>
                <w:sz w:val="18"/>
              </w:rPr>
              <w:t xml:space="preserve"> produits</w:t>
            </w:r>
          </w:p>
        </w:tc>
        <w:tc>
          <w:tcPr>
            <w:tcW w:w="1884" w:type="dxa"/>
            <w:hideMark/>
          </w:tcPr>
          <w:p w14:paraId="4988BA02"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 xml:space="preserve">1. Par mois </w:t>
            </w:r>
            <w:r>
              <w:rPr>
                <w:rFonts w:asciiTheme="minorHAnsi" w:hAnsiTheme="minorHAnsi"/>
                <w:sz w:val="18"/>
              </w:rPr>
              <w:br/>
              <w:t xml:space="preserve">2. Après la formation </w:t>
            </w:r>
            <w:r>
              <w:rPr>
                <w:rFonts w:asciiTheme="minorHAnsi" w:hAnsiTheme="minorHAnsi"/>
                <w:sz w:val="18"/>
              </w:rPr>
              <w:br/>
              <w:t>3. 3- En fin de production</w:t>
            </w:r>
          </w:p>
        </w:tc>
      </w:tr>
      <w:tr w:rsidR="00F93BD7" w:rsidRPr="00226801" w14:paraId="62146F4B" w14:textId="77777777" w:rsidTr="002917EE">
        <w:trPr>
          <w:cnfStyle w:val="000000100000" w:firstRow="0" w:lastRow="0" w:firstColumn="0" w:lastColumn="0" w:oddVBand="0" w:evenVBand="0" w:oddHBand="1" w:evenHBand="0" w:firstRowFirstColumn="0" w:firstRowLastColumn="0" w:lastRowFirstColumn="0" w:lastRowLastColumn="0"/>
          <w:trHeight w:val="1513"/>
        </w:trPr>
        <w:tc>
          <w:tcPr>
            <w:cnfStyle w:val="001000000000" w:firstRow="0" w:lastRow="0" w:firstColumn="1" w:lastColumn="0" w:oddVBand="0" w:evenVBand="0" w:oddHBand="0" w:evenHBand="0" w:firstRowFirstColumn="0" w:firstRowLastColumn="0" w:lastRowFirstColumn="0" w:lastRowLastColumn="0"/>
            <w:tcW w:w="783" w:type="dxa"/>
            <w:vMerge/>
            <w:hideMark/>
          </w:tcPr>
          <w:p w14:paraId="57DA3198" w14:textId="77777777" w:rsidR="00F93BD7" w:rsidRPr="00226801" w:rsidRDefault="00F93BD7" w:rsidP="00EF454E">
            <w:pPr>
              <w:jc w:val="center"/>
              <w:rPr>
                <w:rFonts w:asciiTheme="minorHAnsi" w:hAnsiTheme="minorHAnsi" w:cstheme="minorHAnsi"/>
                <w:b w:val="0"/>
                <w:bCs w:val="0"/>
                <w:sz w:val="18"/>
                <w:szCs w:val="18"/>
              </w:rPr>
            </w:pPr>
          </w:p>
        </w:tc>
        <w:tc>
          <w:tcPr>
            <w:tcW w:w="1937" w:type="dxa"/>
            <w:hideMark/>
          </w:tcPr>
          <w:p w14:paraId="68AD7DDE" w14:textId="77777777" w:rsidR="00F93BD7" w:rsidRPr="00226801" w:rsidRDefault="00254A7F"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 xml:space="preserve">OS3 : Mettre à la disposition de toutes les formations sanitaires qui vaccinent les doses et les matériels d’injection le vaccin </w:t>
            </w:r>
            <w:proofErr w:type="spellStart"/>
            <w:r>
              <w:rPr>
                <w:rFonts w:asciiTheme="minorHAnsi" w:hAnsiTheme="minorHAnsi"/>
                <w:sz w:val="18"/>
              </w:rPr>
              <w:t>Rotavac</w:t>
            </w:r>
            <w:proofErr w:type="spellEnd"/>
            <w:r>
              <w:rPr>
                <w:rFonts w:asciiTheme="minorHAnsi" w:hAnsiTheme="minorHAnsi"/>
                <w:sz w:val="18"/>
              </w:rPr>
              <w:t xml:space="preserve"> ®</w:t>
            </w:r>
          </w:p>
        </w:tc>
        <w:tc>
          <w:tcPr>
            <w:tcW w:w="1955" w:type="dxa"/>
            <w:hideMark/>
          </w:tcPr>
          <w:p w14:paraId="62C28BD5"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Approvisionnement en vaccin et gestion des stocks</w:t>
            </w:r>
          </w:p>
        </w:tc>
        <w:tc>
          <w:tcPr>
            <w:tcW w:w="3075" w:type="dxa"/>
            <w:hideMark/>
          </w:tcPr>
          <w:p w14:paraId="5C7B5094" w14:textId="77777777" w:rsidR="00F93BD7" w:rsidRPr="002949CC"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 xml:space="preserve">1. Transports des vaccins du GTC-PEV vers les régions </w:t>
            </w:r>
            <w:r>
              <w:rPr>
                <w:rFonts w:asciiTheme="minorHAnsi" w:hAnsiTheme="minorHAnsi"/>
                <w:sz w:val="18"/>
              </w:rPr>
              <w:br/>
              <w:t>2. Approvisionnement des vaccins des régions vers les districts de santé</w:t>
            </w:r>
            <w:r>
              <w:rPr>
                <w:rFonts w:asciiTheme="minorHAnsi" w:hAnsiTheme="minorHAnsi"/>
                <w:sz w:val="18"/>
              </w:rPr>
              <w:br/>
              <w:t>3. Approvisionnement des vaccins des DS vers les AS</w:t>
            </w:r>
          </w:p>
        </w:tc>
        <w:tc>
          <w:tcPr>
            <w:tcW w:w="2260" w:type="dxa"/>
            <w:hideMark/>
          </w:tcPr>
          <w:p w14:paraId="01CF34AE"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 xml:space="preserve">1. Nombre de régions approvisionnées </w:t>
            </w:r>
            <w:r>
              <w:rPr>
                <w:rFonts w:asciiTheme="minorHAnsi" w:hAnsiTheme="minorHAnsi"/>
                <w:sz w:val="18"/>
              </w:rPr>
              <w:br/>
              <w:t xml:space="preserve">2. Nombre de DS Disposant des Vaccins </w:t>
            </w:r>
            <w:proofErr w:type="spellStart"/>
            <w:r>
              <w:rPr>
                <w:rFonts w:asciiTheme="minorHAnsi" w:hAnsiTheme="minorHAnsi"/>
                <w:sz w:val="18"/>
              </w:rPr>
              <w:t>Rotavac</w:t>
            </w:r>
            <w:proofErr w:type="spellEnd"/>
            <w:r>
              <w:rPr>
                <w:rFonts w:asciiTheme="minorHAnsi" w:hAnsiTheme="minorHAnsi"/>
                <w:sz w:val="18"/>
              </w:rPr>
              <w:t xml:space="preserve"> </w:t>
            </w:r>
            <w:r>
              <w:rPr>
                <w:rFonts w:asciiTheme="minorHAnsi" w:hAnsiTheme="minorHAnsi"/>
                <w:sz w:val="18"/>
              </w:rPr>
              <w:br/>
              <w:t xml:space="preserve">3. 3- Nombre d'AS ayant reçues le vaccin </w:t>
            </w:r>
            <w:proofErr w:type="spellStart"/>
            <w:r>
              <w:rPr>
                <w:rFonts w:asciiTheme="minorHAnsi" w:hAnsiTheme="minorHAnsi"/>
                <w:sz w:val="18"/>
              </w:rPr>
              <w:t>Rotavac</w:t>
            </w:r>
            <w:proofErr w:type="spellEnd"/>
          </w:p>
        </w:tc>
        <w:tc>
          <w:tcPr>
            <w:tcW w:w="2135" w:type="dxa"/>
            <w:hideMark/>
          </w:tcPr>
          <w:p w14:paraId="0524B4CE"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Rapports de livraison</w:t>
            </w:r>
          </w:p>
        </w:tc>
        <w:tc>
          <w:tcPr>
            <w:tcW w:w="1884" w:type="dxa"/>
            <w:noWrap/>
            <w:hideMark/>
          </w:tcPr>
          <w:p w14:paraId="6C390226"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Après les livraisons</w:t>
            </w:r>
          </w:p>
        </w:tc>
      </w:tr>
      <w:tr w:rsidR="00F93BD7" w:rsidRPr="002949CC" w14:paraId="152CE783" w14:textId="77777777" w:rsidTr="002917EE">
        <w:trPr>
          <w:trHeight w:val="1099"/>
        </w:trPr>
        <w:tc>
          <w:tcPr>
            <w:cnfStyle w:val="001000000000" w:firstRow="0" w:lastRow="0" w:firstColumn="1" w:lastColumn="0" w:oddVBand="0" w:evenVBand="0" w:oddHBand="0" w:evenHBand="0" w:firstRowFirstColumn="0" w:firstRowLastColumn="0" w:lastRowFirstColumn="0" w:lastRowLastColumn="0"/>
            <w:tcW w:w="783" w:type="dxa"/>
            <w:vMerge/>
            <w:hideMark/>
          </w:tcPr>
          <w:p w14:paraId="44FE78C5" w14:textId="77777777" w:rsidR="00F93BD7" w:rsidRPr="00226801" w:rsidRDefault="00F93BD7" w:rsidP="00EF454E">
            <w:pPr>
              <w:rPr>
                <w:rFonts w:asciiTheme="minorHAnsi" w:hAnsiTheme="minorHAnsi" w:cstheme="minorHAnsi"/>
                <w:b w:val="0"/>
                <w:bCs w:val="0"/>
                <w:sz w:val="18"/>
                <w:szCs w:val="18"/>
              </w:rPr>
            </w:pPr>
          </w:p>
        </w:tc>
        <w:tc>
          <w:tcPr>
            <w:tcW w:w="1937" w:type="dxa"/>
            <w:hideMark/>
          </w:tcPr>
          <w:p w14:paraId="716C0650" w14:textId="77777777" w:rsidR="00F93BD7" w:rsidRPr="002949CC" w:rsidRDefault="00254A7F"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 xml:space="preserve">OS4 : Suivre les performances de la vaccination </w:t>
            </w:r>
            <w:proofErr w:type="spellStart"/>
            <w:r>
              <w:rPr>
                <w:rFonts w:asciiTheme="minorHAnsi" w:hAnsiTheme="minorHAnsi"/>
                <w:sz w:val="18"/>
              </w:rPr>
              <w:t>anti-rotavirus</w:t>
            </w:r>
            <w:proofErr w:type="spellEnd"/>
          </w:p>
        </w:tc>
        <w:tc>
          <w:tcPr>
            <w:tcW w:w="1955" w:type="dxa"/>
            <w:hideMark/>
          </w:tcPr>
          <w:p w14:paraId="583B28B7"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Gestion des données et monitoring des performances</w:t>
            </w:r>
          </w:p>
        </w:tc>
        <w:tc>
          <w:tcPr>
            <w:tcW w:w="3075" w:type="dxa"/>
            <w:hideMark/>
          </w:tcPr>
          <w:p w14:paraId="7095E5D8"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Suivi de la remontée des données dans le DHIS2</w:t>
            </w:r>
          </w:p>
        </w:tc>
        <w:tc>
          <w:tcPr>
            <w:tcW w:w="2260" w:type="dxa"/>
            <w:hideMark/>
          </w:tcPr>
          <w:p w14:paraId="419F88DA" w14:textId="77777777" w:rsidR="00F93BD7" w:rsidRPr="002949CC"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 xml:space="preserve">Taux de perte en </w:t>
            </w:r>
            <w:proofErr w:type="spellStart"/>
            <w:r>
              <w:rPr>
                <w:rFonts w:asciiTheme="minorHAnsi" w:hAnsiTheme="minorHAnsi"/>
                <w:sz w:val="18"/>
              </w:rPr>
              <w:t>Rotavac</w:t>
            </w:r>
            <w:proofErr w:type="spellEnd"/>
            <w:r>
              <w:rPr>
                <w:rFonts w:asciiTheme="minorHAnsi" w:hAnsiTheme="minorHAnsi"/>
                <w:sz w:val="18"/>
              </w:rPr>
              <w:t xml:space="preserve"> (10%)</w:t>
            </w:r>
          </w:p>
        </w:tc>
        <w:tc>
          <w:tcPr>
            <w:tcW w:w="2135" w:type="dxa"/>
            <w:hideMark/>
          </w:tcPr>
          <w:p w14:paraId="2051F6ED" w14:textId="77777777" w:rsidR="00F93BD7" w:rsidRPr="002949CC"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DHIS2</w:t>
            </w:r>
          </w:p>
        </w:tc>
        <w:tc>
          <w:tcPr>
            <w:tcW w:w="1884" w:type="dxa"/>
            <w:hideMark/>
          </w:tcPr>
          <w:p w14:paraId="037AB2E0" w14:textId="77777777" w:rsidR="00F93BD7" w:rsidRPr="002949CC"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sz w:val="18"/>
              </w:rPr>
              <w:t>Mensuelle</w:t>
            </w:r>
          </w:p>
        </w:tc>
      </w:tr>
    </w:tbl>
    <w:p w14:paraId="76BA3F8A" w14:textId="77777777" w:rsidR="00F07EC8" w:rsidRPr="005304F3" w:rsidRDefault="00F07EC8" w:rsidP="00EF454E">
      <w:pPr>
        <w:rPr>
          <w:rFonts w:asciiTheme="minorHAnsi" w:hAnsiTheme="minorHAnsi" w:cstheme="minorHAnsi"/>
          <w:b/>
          <w:bCs/>
          <w:color w:val="FFFFFF" w:themeColor="background1"/>
        </w:rPr>
      </w:pPr>
    </w:p>
    <w:sectPr w:rsidR="00F07EC8" w:rsidRPr="005304F3" w:rsidSect="002917EE">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3653" w14:textId="77777777" w:rsidR="005C4BE9" w:rsidRDefault="005C4BE9" w:rsidP="00F96AF8">
      <w:r>
        <w:separator/>
      </w:r>
    </w:p>
  </w:endnote>
  <w:endnote w:type="continuationSeparator" w:id="0">
    <w:p w14:paraId="64B1BE8E" w14:textId="77777777" w:rsidR="005C4BE9" w:rsidRDefault="005C4BE9" w:rsidP="00F96AF8">
      <w:r>
        <w:continuationSeparator/>
      </w:r>
    </w:p>
  </w:endnote>
  <w:endnote w:type="continuationNotice" w:id="1">
    <w:p w14:paraId="4965F36E" w14:textId="77777777" w:rsidR="005C4BE9" w:rsidRDefault="005C4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3889" w14:textId="77777777" w:rsidR="00F732D8" w:rsidRDefault="00F73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0E54" w14:textId="77777777" w:rsidR="00E97B10" w:rsidRPr="00ED1149" w:rsidRDefault="00E97B10">
    <w:pPr>
      <w:pStyle w:val="Footer"/>
    </w:pPr>
    <w:r>
      <w:rPr>
        <w:noProof/>
      </w:rPr>
      <mc:AlternateContent>
        <mc:Choice Requires="wpg">
          <w:drawing>
            <wp:anchor distT="0" distB="0" distL="114300" distR="114300" simplePos="0" relativeHeight="251658240" behindDoc="0" locked="0" layoutInCell="1" allowOverlap="1" wp14:anchorId="1414A5B7" wp14:editId="356B8804">
              <wp:simplePos x="0" y="0"/>
              <wp:positionH relativeFrom="page">
                <wp:posOffset>3546505</wp:posOffset>
              </wp:positionH>
              <wp:positionV relativeFrom="page">
                <wp:posOffset>10049854</wp:posOffset>
              </wp:positionV>
              <wp:extent cx="401640" cy="364389"/>
              <wp:effectExtent l="0" t="0" r="0" b="0"/>
              <wp:wrapNone/>
              <wp:docPr id="19" name="Groupe 19"/>
              <wp:cNvGraphicFramePr/>
              <a:graphic xmlns:a="http://schemas.openxmlformats.org/drawingml/2006/main">
                <a:graphicData uri="http://schemas.microsoft.com/office/word/2010/wordprocessingGroup">
                  <wpg:wgp>
                    <wpg:cNvGrpSpPr/>
                    <wpg:grpSpPr>
                      <a:xfrm>
                        <a:off x="0" y="0"/>
                        <a:ext cx="401640" cy="364389"/>
                        <a:chOff x="0" y="0"/>
                        <a:chExt cx="1005840" cy="1005840"/>
                      </a:xfrm>
                    </wpg:grpSpPr>
                    <wps:wsp>
                      <wps:cNvPr id="18" name="Rectangle 18"/>
                      <wps:cNvSpPr/>
                      <wps:spPr>
                        <a:xfrm>
                          <a:off x="0" y="0"/>
                          <a:ext cx="1005840" cy="1005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orme libre 5"/>
                      <wps:cNvSpPr>
                        <a:spLocks/>
                      </wps:cNvSpPr>
                      <wps:spPr bwMode="auto">
                        <a:xfrm>
                          <a:off x="104775" y="104775"/>
                          <a:ext cx="787400" cy="787400"/>
                        </a:xfrm>
                        <a:custGeom>
                          <a:avLst/>
                          <a:gdLst>
                            <a:gd name="T0" fmla="*/ 240 w 240"/>
                            <a:gd name="T1" fmla="*/ 120 h 240"/>
                            <a:gd name="T2" fmla="*/ 230 w 240"/>
                            <a:gd name="T3" fmla="*/ 142 h 240"/>
                            <a:gd name="T4" fmla="*/ 230 w 240"/>
                            <a:gd name="T5" fmla="*/ 166 h 240"/>
                            <a:gd name="T6" fmla="*/ 214 w 240"/>
                            <a:gd name="T7" fmla="*/ 183 h 240"/>
                            <a:gd name="T8" fmla="*/ 204 w 240"/>
                            <a:gd name="T9" fmla="*/ 205 h 240"/>
                            <a:gd name="T10" fmla="*/ 182 w 240"/>
                            <a:gd name="T11" fmla="*/ 214 h 240"/>
                            <a:gd name="T12" fmla="*/ 165 w 240"/>
                            <a:gd name="T13" fmla="*/ 231 h 240"/>
                            <a:gd name="T14" fmla="*/ 142 w 240"/>
                            <a:gd name="T15" fmla="*/ 231 h 240"/>
                            <a:gd name="T16" fmla="*/ 120 w 240"/>
                            <a:gd name="T17" fmla="*/ 240 h 240"/>
                            <a:gd name="T18" fmla="*/ 97 w 240"/>
                            <a:gd name="T19" fmla="*/ 231 h 240"/>
                            <a:gd name="T20" fmla="*/ 74 w 240"/>
                            <a:gd name="T21" fmla="*/ 231 h 240"/>
                            <a:gd name="T22" fmla="*/ 57 w 240"/>
                            <a:gd name="T23" fmla="*/ 214 h 240"/>
                            <a:gd name="T24" fmla="*/ 35 w 240"/>
                            <a:gd name="T25" fmla="*/ 205 h 240"/>
                            <a:gd name="T26" fmla="*/ 26 w 240"/>
                            <a:gd name="T27" fmla="*/ 183 h 240"/>
                            <a:gd name="T28" fmla="*/ 9 w 240"/>
                            <a:gd name="T29" fmla="*/ 166 h 240"/>
                            <a:gd name="T30" fmla="*/ 9 w 240"/>
                            <a:gd name="T31" fmla="*/ 142 h 240"/>
                            <a:gd name="T32" fmla="*/ 0 w 240"/>
                            <a:gd name="T33" fmla="*/ 120 h 240"/>
                            <a:gd name="T34" fmla="*/ 9 w 240"/>
                            <a:gd name="T35" fmla="*/ 98 h 240"/>
                            <a:gd name="T36" fmla="*/ 9 w 240"/>
                            <a:gd name="T37" fmla="*/ 74 h 240"/>
                            <a:gd name="T38" fmla="*/ 26 w 240"/>
                            <a:gd name="T39" fmla="*/ 57 h 240"/>
                            <a:gd name="T40" fmla="*/ 35 w 240"/>
                            <a:gd name="T41" fmla="*/ 35 h 240"/>
                            <a:gd name="T42" fmla="*/ 57 w 240"/>
                            <a:gd name="T43" fmla="*/ 26 h 240"/>
                            <a:gd name="T44" fmla="*/ 74 w 240"/>
                            <a:gd name="T45" fmla="*/ 9 h 240"/>
                            <a:gd name="T46" fmla="*/ 97 w 240"/>
                            <a:gd name="T47" fmla="*/ 9 h 240"/>
                            <a:gd name="T48" fmla="*/ 120 w 240"/>
                            <a:gd name="T49" fmla="*/ 0 h 240"/>
                            <a:gd name="T50" fmla="*/ 142 w 240"/>
                            <a:gd name="T51" fmla="*/ 9 h 240"/>
                            <a:gd name="T52" fmla="*/ 165 w 240"/>
                            <a:gd name="T53" fmla="*/ 9 h 240"/>
                            <a:gd name="T54" fmla="*/ 182 w 240"/>
                            <a:gd name="T55" fmla="*/ 26 h 240"/>
                            <a:gd name="T56" fmla="*/ 204 w 240"/>
                            <a:gd name="T57" fmla="*/ 35 h 240"/>
                            <a:gd name="T58" fmla="*/ 214 w 240"/>
                            <a:gd name="T59" fmla="*/ 57 h 240"/>
                            <a:gd name="T60" fmla="*/ 230 w 240"/>
                            <a:gd name="T61" fmla="*/ 74 h 240"/>
                            <a:gd name="T62" fmla="*/ 230 w 240"/>
                            <a:gd name="T63" fmla="*/ 98 h 240"/>
                            <a:gd name="T64" fmla="*/ 240 w 240"/>
                            <a:gd name="T65" fmla="*/ 12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0" h="240">
                              <a:moveTo>
                                <a:pt x="240" y="120"/>
                              </a:moveTo>
                              <a:cubicBezTo>
                                <a:pt x="240" y="128"/>
                                <a:pt x="232" y="135"/>
                                <a:pt x="230" y="142"/>
                              </a:cubicBezTo>
                              <a:cubicBezTo>
                                <a:pt x="229" y="150"/>
                                <a:pt x="233" y="159"/>
                                <a:pt x="230" y="166"/>
                              </a:cubicBezTo>
                              <a:cubicBezTo>
                                <a:pt x="227" y="173"/>
                                <a:pt x="218" y="176"/>
                                <a:pt x="214" y="183"/>
                              </a:cubicBezTo>
                              <a:cubicBezTo>
                                <a:pt x="209" y="189"/>
                                <a:pt x="210" y="199"/>
                                <a:pt x="204" y="205"/>
                              </a:cubicBezTo>
                              <a:cubicBezTo>
                                <a:pt x="199" y="210"/>
                                <a:pt x="189" y="210"/>
                                <a:pt x="182" y="214"/>
                              </a:cubicBezTo>
                              <a:cubicBezTo>
                                <a:pt x="176" y="218"/>
                                <a:pt x="173" y="228"/>
                                <a:pt x="165" y="231"/>
                              </a:cubicBezTo>
                              <a:cubicBezTo>
                                <a:pt x="159" y="234"/>
                                <a:pt x="149" y="229"/>
                                <a:pt x="142" y="231"/>
                              </a:cubicBezTo>
                              <a:cubicBezTo>
                                <a:pt x="134" y="232"/>
                                <a:pt x="127" y="240"/>
                                <a:pt x="120" y="240"/>
                              </a:cubicBezTo>
                              <a:cubicBezTo>
                                <a:pt x="112" y="240"/>
                                <a:pt x="105" y="232"/>
                                <a:pt x="97" y="231"/>
                              </a:cubicBezTo>
                              <a:cubicBezTo>
                                <a:pt x="90" y="229"/>
                                <a:pt x="81" y="234"/>
                                <a:pt x="74" y="231"/>
                              </a:cubicBezTo>
                              <a:cubicBezTo>
                                <a:pt x="67" y="228"/>
                                <a:pt x="63" y="218"/>
                                <a:pt x="57" y="214"/>
                              </a:cubicBezTo>
                              <a:cubicBezTo>
                                <a:pt x="50" y="210"/>
                                <a:pt x="40" y="210"/>
                                <a:pt x="35" y="205"/>
                              </a:cubicBezTo>
                              <a:cubicBezTo>
                                <a:pt x="29" y="199"/>
                                <a:pt x="30" y="189"/>
                                <a:pt x="26" y="183"/>
                              </a:cubicBezTo>
                              <a:cubicBezTo>
                                <a:pt x="21" y="176"/>
                                <a:pt x="12" y="173"/>
                                <a:pt x="9" y="166"/>
                              </a:cubicBezTo>
                              <a:cubicBezTo>
                                <a:pt x="6" y="159"/>
                                <a:pt x="10" y="150"/>
                                <a:pt x="9" y="142"/>
                              </a:cubicBezTo>
                              <a:cubicBezTo>
                                <a:pt x="7" y="135"/>
                                <a:pt x="0" y="128"/>
                                <a:pt x="0" y="120"/>
                              </a:cubicBezTo>
                              <a:cubicBezTo>
                                <a:pt x="0" y="112"/>
                                <a:pt x="7" y="105"/>
                                <a:pt x="9" y="98"/>
                              </a:cubicBezTo>
                              <a:cubicBezTo>
                                <a:pt x="10" y="90"/>
                                <a:pt x="6" y="81"/>
                                <a:pt x="9" y="74"/>
                              </a:cubicBezTo>
                              <a:cubicBezTo>
                                <a:pt x="12" y="67"/>
                                <a:pt x="21" y="64"/>
                                <a:pt x="26" y="57"/>
                              </a:cubicBezTo>
                              <a:cubicBezTo>
                                <a:pt x="30" y="51"/>
                                <a:pt x="29" y="41"/>
                                <a:pt x="35" y="35"/>
                              </a:cubicBezTo>
                              <a:cubicBezTo>
                                <a:pt x="40" y="30"/>
                                <a:pt x="50" y="30"/>
                                <a:pt x="57" y="26"/>
                              </a:cubicBezTo>
                              <a:cubicBezTo>
                                <a:pt x="63" y="22"/>
                                <a:pt x="67" y="12"/>
                                <a:pt x="74" y="9"/>
                              </a:cubicBezTo>
                              <a:cubicBezTo>
                                <a:pt x="81" y="6"/>
                                <a:pt x="90" y="11"/>
                                <a:pt x="97" y="9"/>
                              </a:cubicBezTo>
                              <a:cubicBezTo>
                                <a:pt x="105" y="8"/>
                                <a:pt x="112" y="0"/>
                                <a:pt x="120" y="0"/>
                              </a:cubicBezTo>
                              <a:cubicBezTo>
                                <a:pt x="127" y="0"/>
                                <a:pt x="134" y="8"/>
                                <a:pt x="142" y="9"/>
                              </a:cubicBezTo>
                              <a:cubicBezTo>
                                <a:pt x="149" y="11"/>
                                <a:pt x="159" y="6"/>
                                <a:pt x="165" y="9"/>
                              </a:cubicBezTo>
                              <a:cubicBezTo>
                                <a:pt x="173" y="12"/>
                                <a:pt x="176" y="22"/>
                                <a:pt x="182" y="26"/>
                              </a:cubicBezTo>
                              <a:cubicBezTo>
                                <a:pt x="189" y="30"/>
                                <a:pt x="199" y="30"/>
                                <a:pt x="204" y="35"/>
                              </a:cubicBezTo>
                              <a:cubicBezTo>
                                <a:pt x="210" y="41"/>
                                <a:pt x="209" y="51"/>
                                <a:pt x="214" y="57"/>
                              </a:cubicBezTo>
                              <a:cubicBezTo>
                                <a:pt x="218" y="64"/>
                                <a:pt x="227" y="67"/>
                                <a:pt x="230" y="74"/>
                              </a:cubicBezTo>
                              <a:cubicBezTo>
                                <a:pt x="233" y="81"/>
                                <a:pt x="229" y="90"/>
                                <a:pt x="230" y="98"/>
                              </a:cubicBezTo>
                              <a:cubicBezTo>
                                <a:pt x="232" y="105"/>
                                <a:pt x="240" y="112"/>
                                <a:pt x="240" y="120"/>
                              </a:cubicBezTo>
                              <a:close/>
                            </a:path>
                          </a:pathLst>
                        </a:custGeom>
                        <a:solidFill>
                          <a:schemeClr val="accent1"/>
                        </a:solidFill>
                        <a:ln>
                          <a:noFill/>
                        </a:ln>
                      </wps:spPr>
                      <wps:txbx>
                        <w:txbxContent>
                          <w:p w14:paraId="5588C584" w14:textId="77777777" w:rsidR="00E97B10" w:rsidRPr="00E97B10" w:rsidRDefault="00E97B10">
                            <w:pPr>
                              <w:pStyle w:val="NoSpacing"/>
                              <w:jc w:val="center"/>
                              <w:rPr>
                                <w:b/>
                                <w:color w:val="FFFFFF" w:themeColor="background1"/>
                                <w:spacing w:val="20"/>
                                <w:sz w:val="22"/>
                                <w:szCs w:val="22"/>
                              </w:rPr>
                            </w:pPr>
                            <w:r w:rsidRPr="00E97B10">
                              <w:rPr>
                                <w:b/>
                                <w:color w:val="FFFFFF" w:themeColor="background1"/>
                                <w:sz w:val="22"/>
                              </w:rPr>
                              <w:fldChar w:fldCharType="begin"/>
                            </w:r>
                            <w:r w:rsidRPr="00E97B10">
                              <w:rPr>
                                <w:b/>
                                <w:color w:val="FFFFFF" w:themeColor="background1"/>
                                <w:sz w:val="22"/>
                              </w:rPr>
                              <w:instrText xml:space="preserve"> PAGE   \* MERGEFORMAT </w:instrText>
                            </w:r>
                            <w:r w:rsidRPr="00E97B10">
                              <w:rPr>
                                <w:b/>
                                <w:color w:val="FFFFFF" w:themeColor="background1"/>
                                <w:sz w:val="22"/>
                              </w:rPr>
                              <w:fldChar w:fldCharType="separate"/>
                            </w:r>
                            <w:r w:rsidRPr="00E97B10">
                              <w:rPr>
                                <w:b/>
                                <w:color w:val="FFFFFF" w:themeColor="background1"/>
                                <w:sz w:val="22"/>
                              </w:rPr>
                              <w:t>2</w:t>
                            </w:r>
                            <w:r w:rsidRPr="00E97B10">
                              <w:rPr>
                                <w:b/>
                                <w:color w:val="FFFFFF" w:themeColor="background1"/>
                                <w:sz w:val="22"/>
                              </w:rPr>
                              <w:fldChar w:fldCharType="end"/>
                            </w:r>
                          </w:p>
                        </w:txbxContent>
                      </wps:txbx>
                      <wps:bodyPr vert="horz" wrap="square" lIns="91440" tIns="45720" rIns="91440" bIns="4572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414A5B7" id="Groupe 19" o:spid="_x0000_s1027" style="position:absolute;margin-left:279.25pt;margin-top:791.35pt;width:31.65pt;height:28.7pt;z-index:251658240;mso-position-horizontal-relative:page;mso-position-vertical-relative:page;mso-width-relative:margin;mso-height-relative:margin" coordsize="10058,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">
              <v:rect id="Rectangle 18" o:spid="_x0000_s1028" style="position:absolute;width:10058;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v:shape id="Forme libre 5" o:spid="_x0000_s1029" style="position:absolute;left:1047;top:1047;width:7874;height:7874;visibility:visible;mso-wrap-style:square;v-text-anchor:middle" coordsize="240,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" adj="-11796480,,5400" path="m240,120v,8,-8,15,-10,22c229,150,233,159,230,166v-3,7,-12,10,-16,17c209,189,210,199,204,205v-5,5,-15,5,-22,9c176,218,173,228,165,231v-6,3,-16,-2,-23,c134,232,127,240,120,240v-8,,-15,-8,-23,-9c90,229,81,234,74,231,67,228,63,218,57,214v-7,-4,-17,-4,-22,-9c29,199,30,189,26,183,21,176,12,173,9,166v-3,-7,1,-16,,-24c7,135,,128,,120,,112,7,105,9,98,10,90,6,81,9,74,12,67,21,64,26,57v4,-6,3,-16,9,-22c40,30,50,30,57,26,63,22,67,12,74,9v7,-3,16,2,23,c105,8,112,,120,v7,,14,8,22,9c149,11,159,6,165,9v8,3,11,13,17,17c189,30,199,30,204,35v6,6,5,16,10,22c218,64,227,67,230,74v3,7,-1,16,,24c232,105,240,112,240,120xe" fillcolor="#4a66ac [3204]" stroked="f">
                <v:stroke joinstyle="miter"/>
                <v:formulas/>
                <v:path arrowok="t" o:connecttype="custom" o:connectlocs="787400,393700;754592,465878;754592,544618;702098,600393;669290,672571;597112,702098;541338,757873;465878,757873;393700,787400;318241,757873;242782,757873;187008,702098;114829,672571;85302,600393;29528,544618;29528,465878;0,393700;29528,321522;29528,242782;85302,187008;114829,114829;187008,85302;242782,29528;318241,29528;393700,0;465878,29528;541338,29528;597112,85302;669290,114829;702098,187008;754592,242782;754592,321522;787400,393700" o:connectangles="0,0,0,0,0,0,0,0,0,0,0,0,0,0,0,0,0,0,0,0,0,0,0,0,0,0,0,0,0,0,0,0,0" textboxrect="0,0,240,240"/>
                <v:textbox>
                  <w:txbxContent>
                    <w:p w:rsidR="00E97B10" w:rsidRPr="00E97B10" w:rsidRDefault="00E97B10">
                      <w:pPr>
                        <w:pStyle w:val="NoSpacing"/>
                        <w:jc w:val="center"/>
                        <w:rPr>
                          <w:b/>
                          <w:color w:val="FFFFFF" w:themeColor="background1"/>
                          <w:spacing w:val="20"/>
                          <w:sz w:val="22"/>
                          <w:szCs w:val="22"/>
                        </w:rPr>
                      </w:pPr>
                      <w:r w:rsidRPr="00E97B10">
                        <w:rPr>
                          <w:b/>
                          <w:color w:val="FFFFFF" w:themeColor="background1"/>
                          <w:sz w:val="22"/>
                        </w:rPr>
                        <w:fldChar w:fldCharType="begin"/>
                      </w:r>
                      <w:r w:rsidRPr="00E97B10">
                        <w:rPr>
                          <w:b/>
                          <w:color w:val="FFFFFF" w:themeColor="background1"/>
                          <w:sz w:val="22"/>
                        </w:rPr>
                        <w:instrText xml:space="preserve"> PAGE   \* MERGEFORMAT </w:instrText>
                      </w:r>
                      <w:r w:rsidRPr="00E97B10">
                        <w:rPr>
                          <w:b/>
                          <w:color w:val="FFFFFF" w:themeColor="background1"/>
                          <w:sz w:val="22"/>
                        </w:rPr>
                        <w:fldChar w:fldCharType="separate"/>
                      </w:r>
                      <w:r w:rsidRPr="00E97B10">
                        <w:rPr>
                          <w:b/>
                          <w:color w:val="FFFFFF" w:themeColor="background1"/>
                          <w:sz w:val="22"/>
                        </w:rPr>
                        <w:t>2</w:t>
                      </w:r>
                      <w:r w:rsidRPr="00E97B10">
                        <w:rPr>
                          <w:b/>
                          <w:color w:val="FFFFFF" w:themeColor="background1"/>
                          <w:sz w:val="22"/>
                        </w:rPr>
                        <w:fldChar w:fldCharType="end"/>
                      </w:r>
                    </w:p>
                  </w:txbxContent>
                </v:textbox>
              </v:shape>
              <w10:wrap anchorx="page" anchory="page"/>
            </v:group>
          </w:pict>
        </mc:Fallback>
      </mc:AlternateContent>
    </w:r>
  </w:p>
  <w:p w14:paraId="7B0E3363" w14:textId="77777777" w:rsidR="007B6BFD" w:rsidRDefault="007B6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E209" w14:textId="77777777" w:rsidR="00F732D8" w:rsidRDefault="00F73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7EC0" w14:textId="77777777" w:rsidR="005C4BE9" w:rsidRDefault="005C4BE9" w:rsidP="00F96AF8">
      <w:r>
        <w:separator/>
      </w:r>
    </w:p>
  </w:footnote>
  <w:footnote w:type="continuationSeparator" w:id="0">
    <w:p w14:paraId="2D1F8210" w14:textId="77777777" w:rsidR="005C4BE9" w:rsidRDefault="005C4BE9" w:rsidP="00F96AF8">
      <w:r>
        <w:continuationSeparator/>
      </w:r>
    </w:p>
  </w:footnote>
  <w:footnote w:type="continuationNotice" w:id="1">
    <w:p w14:paraId="73E43C99" w14:textId="77777777" w:rsidR="005C4BE9" w:rsidRDefault="005C4BE9"/>
  </w:footnote>
  <w:footnote w:id="2">
    <w:p w14:paraId="15F5B032" w14:textId="77777777" w:rsidR="003D6FEE" w:rsidRPr="00BF39DE" w:rsidRDefault="003D6FEE" w:rsidP="003D6FEE">
      <w:pPr>
        <w:pStyle w:val="FootnoteText"/>
      </w:pPr>
      <w:r>
        <w:rPr>
          <w:rStyle w:val="FootnoteReference"/>
          <w:sz w:val="18"/>
          <w:szCs w:val="18"/>
        </w:rPr>
        <w:footnoteRef/>
      </w:r>
      <w:r>
        <w:rPr>
          <w:sz w:val="18"/>
        </w:rPr>
        <w:t xml:space="preserve"> </w:t>
      </w:r>
      <w:r>
        <w:t>Étude sur les raisons du refus de la vaccination pendant les AVS (MS/PEV, février 2021). Etude sur l'acceptabilité par la population et la logistique de l'introduction du vaccin contre la Covid-19 au Cameroun (MS/PEV, avril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51A4" w14:textId="77777777" w:rsidR="00F732D8" w:rsidRDefault="00F73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C911" w14:textId="77777777" w:rsidR="00F732D8" w:rsidRDefault="00F73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9C89" w14:textId="77777777" w:rsidR="00F732D8" w:rsidRDefault="00F73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C0DFB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55pt;height:11.55pt" o:bullet="t">
        <v:imagedata r:id="rId1" o:title="msoEE06"/>
      </v:shape>
    </w:pict>
  </w:numPicBullet>
  <w:abstractNum w:abstractNumId="0" w15:restartNumberingAfterBreak="0">
    <w:nsid w:val="15895FC4"/>
    <w:multiLevelType w:val="hybridMultilevel"/>
    <w:tmpl w:val="2A7A0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6430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9F58A4"/>
    <w:multiLevelType w:val="hybridMultilevel"/>
    <w:tmpl w:val="AEDA6F7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 w15:restartNumberingAfterBreak="0">
    <w:nsid w:val="20854EB5"/>
    <w:multiLevelType w:val="hybridMultilevel"/>
    <w:tmpl w:val="310E6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8835C3"/>
    <w:multiLevelType w:val="hybridMultilevel"/>
    <w:tmpl w:val="7898F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CF226B"/>
    <w:multiLevelType w:val="hybridMultilevel"/>
    <w:tmpl w:val="F650E2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6C1DCE"/>
    <w:multiLevelType w:val="hybridMultilevel"/>
    <w:tmpl w:val="1FF67C3C"/>
    <w:lvl w:ilvl="0" w:tplc="040C0007">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A05397"/>
    <w:multiLevelType w:val="hybridMultilevel"/>
    <w:tmpl w:val="14EC0712"/>
    <w:lvl w:ilvl="0" w:tplc="F1BEA218">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E94E5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6D7C99"/>
    <w:multiLevelType w:val="hybridMultilevel"/>
    <w:tmpl w:val="74962C08"/>
    <w:lvl w:ilvl="0" w:tplc="DD081198">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 w15:restartNumberingAfterBreak="0">
    <w:nsid w:val="51E035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223797"/>
    <w:multiLevelType w:val="hybridMultilevel"/>
    <w:tmpl w:val="361C255A"/>
    <w:lvl w:ilvl="0" w:tplc="966ACFF0">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BA69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171B0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1B71E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8063042">
    <w:abstractNumId w:val="5"/>
  </w:num>
  <w:num w:numId="2" w16cid:durableId="571503270">
    <w:abstractNumId w:val="9"/>
  </w:num>
  <w:num w:numId="3" w16cid:durableId="1767842920">
    <w:abstractNumId w:val="14"/>
  </w:num>
  <w:num w:numId="4" w16cid:durableId="1415668017">
    <w:abstractNumId w:val="10"/>
  </w:num>
  <w:num w:numId="5" w16cid:durableId="1070425017">
    <w:abstractNumId w:val="4"/>
  </w:num>
  <w:num w:numId="6" w16cid:durableId="861162083">
    <w:abstractNumId w:val="11"/>
  </w:num>
  <w:num w:numId="7" w16cid:durableId="263806966">
    <w:abstractNumId w:val="6"/>
  </w:num>
  <w:num w:numId="8" w16cid:durableId="625353650">
    <w:abstractNumId w:val="2"/>
  </w:num>
  <w:num w:numId="9" w16cid:durableId="78794585">
    <w:abstractNumId w:val="7"/>
  </w:num>
  <w:num w:numId="10" w16cid:durableId="1122071152">
    <w:abstractNumId w:val="8"/>
  </w:num>
  <w:num w:numId="11" w16cid:durableId="815533786">
    <w:abstractNumId w:val="13"/>
  </w:num>
  <w:num w:numId="12" w16cid:durableId="76833860">
    <w:abstractNumId w:val="1"/>
  </w:num>
  <w:num w:numId="13" w16cid:durableId="970332050">
    <w:abstractNumId w:val="12"/>
  </w:num>
  <w:num w:numId="14" w16cid:durableId="544215567">
    <w:abstractNumId w:val="0"/>
  </w:num>
  <w:num w:numId="15" w16cid:durableId="827551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MTQ3NjcxNTM3NTdU0lEKTi0uzszPAykwrQUAekVdUiwAAAA="/>
  </w:docVars>
  <w:rsids>
    <w:rsidRoot w:val="00560502"/>
    <w:rsid w:val="00001690"/>
    <w:rsid w:val="000179E9"/>
    <w:rsid w:val="000262E9"/>
    <w:rsid w:val="00042146"/>
    <w:rsid w:val="000502F7"/>
    <w:rsid w:val="0005380F"/>
    <w:rsid w:val="00053AD2"/>
    <w:rsid w:val="000601E7"/>
    <w:rsid w:val="00062DDB"/>
    <w:rsid w:val="0009150A"/>
    <w:rsid w:val="000A1E5F"/>
    <w:rsid w:val="000A5CB8"/>
    <w:rsid w:val="000B0658"/>
    <w:rsid w:val="000E126C"/>
    <w:rsid w:val="000E7A57"/>
    <w:rsid w:val="001362BE"/>
    <w:rsid w:val="00144026"/>
    <w:rsid w:val="00157C6D"/>
    <w:rsid w:val="00164880"/>
    <w:rsid w:val="001655B7"/>
    <w:rsid w:val="0017006F"/>
    <w:rsid w:val="001718AE"/>
    <w:rsid w:val="00176294"/>
    <w:rsid w:val="00191DCF"/>
    <w:rsid w:val="00192B7F"/>
    <w:rsid w:val="0019786C"/>
    <w:rsid w:val="001B4BE7"/>
    <w:rsid w:val="001D1F51"/>
    <w:rsid w:val="001D2B89"/>
    <w:rsid w:val="001D3C54"/>
    <w:rsid w:val="001E4095"/>
    <w:rsid w:val="00211A44"/>
    <w:rsid w:val="002169C2"/>
    <w:rsid w:val="00226801"/>
    <w:rsid w:val="002411F5"/>
    <w:rsid w:val="002433FE"/>
    <w:rsid w:val="00254A7F"/>
    <w:rsid w:val="0026403F"/>
    <w:rsid w:val="00277838"/>
    <w:rsid w:val="002917EE"/>
    <w:rsid w:val="002935E2"/>
    <w:rsid w:val="002949CC"/>
    <w:rsid w:val="002A5E3A"/>
    <w:rsid w:val="002D2E4F"/>
    <w:rsid w:val="002E112C"/>
    <w:rsid w:val="002E3225"/>
    <w:rsid w:val="002E3C65"/>
    <w:rsid w:val="002F4D8B"/>
    <w:rsid w:val="00315679"/>
    <w:rsid w:val="003203D1"/>
    <w:rsid w:val="00330422"/>
    <w:rsid w:val="00341649"/>
    <w:rsid w:val="00352629"/>
    <w:rsid w:val="0037042B"/>
    <w:rsid w:val="00373063"/>
    <w:rsid w:val="00374649"/>
    <w:rsid w:val="003A7498"/>
    <w:rsid w:val="003B694A"/>
    <w:rsid w:val="003C60EE"/>
    <w:rsid w:val="003D013A"/>
    <w:rsid w:val="003D6FEE"/>
    <w:rsid w:val="003E1A1A"/>
    <w:rsid w:val="003E7EA9"/>
    <w:rsid w:val="003F0ED2"/>
    <w:rsid w:val="004015E5"/>
    <w:rsid w:val="00415C9B"/>
    <w:rsid w:val="00417EF4"/>
    <w:rsid w:val="00423B14"/>
    <w:rsid w:val="004260D6"/>
    <w:rsid w:val="00427104"/>
    <w:rsid w:val="0044190B"/>
    <w:rsid w:val="00442E22"/>
    <w:rsid w:val="00466880"/>
    <w:rsid w:val="004958BF"/>
    <w:rsid w:val="004C3206"/>
    <w:rsid w:val="004E1E36"/>
    <w:rsid w:val="004F2D08"/>
    <w:rsid w:val="00525216"/>
    <w:rsid w:val="005304F3"/>
    <w:rsid w:val="0055147D"/>
    <w:rsid w:val="00554259"/>
    <w:rsid w:val="005600AE"/>
    <w:rsid w:val="00560502"/>
    <w:rsid w:val="00571F7B"/>
    <w:rsid w:val="0057285E"/>
    <w:rsid w:val="00594F38"/>
    <w:rsid w:val="005A4363"/>
    <w:rsid w:val="005B260D"/>
    <w:rsid w:val="005C4BE9"/>
    <w:rsid w:val="005D5B3E"/>
    <w:rsid w:val="005F6D5C"/>
    <w:rsid w:val="00602D2D"/>
    <w:rsid w:val="00611270"/>
    <w:rsid w:val="00612008"/>
    <w:rsid w:val="00635A13"/>
    <w:rsid w:val="00636A13"/>
    <w:rsid w:val="006411A7"/>
    <w:rsid w:val="006461BC"/>
    <w:rsid w:val="00655B0D"/>
    <w:rsid w:val="00661A11"/>
    <w:rsid w:val="00663E4A"/>
    <w:rsid w:val="0068651D"/>
    <w:rsid w:val="006A5639"/>
    <w:rsid w:val="006A765C"/>
    <w:rsid w:val="006D054C"/>
    <w:rsid w:val="006D2817"/>
    <w:rsid w:val="006D6D93"/>
    <w:rsid w:val="006E4ED3"/>
    <w:rsid w:val="006F0AB3"/>
    <w:rsid w:val="006F755D"/>
    <w:rsid w:val="007057E6"/>
    <w:rsid w:val="00710CC9"/>
    <w:rsid w:val="00721B36"/>
    <w:rsid w:val="00762BE3"/>
    <w:rsid w:val="00786204"/>
    <w:rsid w:val="00792D2C"/>
    <w:rsid w:val="007B2A16"/>
    <w:rsid w:val="007B6BFD"/>
    <w:rsid w:val="007C1373"/>
    <w:rsid w:val="007C48C0"/>
    <w:rsid w:val="007C58D8"/>
    <w:rsid w:val="007D1599"/>
    <w:rsid w:val="007D37FE"/>
    <w:rsid w:val="007D7E28"/>
    <w:rsid w:val="007E1298"/>
    <w:rsid w:val="007F6F5C"/>
    <w:rsid w:val="008015B5"/>
    <w:rsid w:val="0083515B"/>
    <w:rsid w:val="0084064F"/>
    <w:rsid w:val="00840726"/>
    <w:rsid w:val="00840789"/>
    <w:rsid w:val="0085371E"/>
    <w:rsid w:val="00862D55"/>
    <w:rsid w:val="00863011"/>
    <w:rsid w:val="008661B7"/>
    <w:rsid w:val="00867DF4"/>
    <w:rsid w:val="00870387"/>
    <w:rsid w:val="008740DE"/>
    <w:rsid w:val="00874403"/>
    <w:rsid w:val="00876462"/>
    <w:rsid w:val="008B0F16"/>
    <w:rsid w:val="008C4A9E"/>
    <w:rsid w:val="008D5276"/>
    <w:rsid w:val="008E5326"/>
    <w:rsid w:val="008F48CF"/>
    <w:rsid w:val="0093711B"/>
    <w:rsid w:val="00941866"/>
    <w:rsid w:val="00946386"/>
    <w:rsid w:val="00953971"/>
    <w:rsid w:val="009647DF"/>
    <w:rsid w:val="00991B43"/>
    <w:rsid w:val="00992AF7"/>
    <w:rsid w:val="009A291A"/>
    <w:rsid w:val="009A29EC"/>
    <w:rsid w:val="009C2448"/>
    <w:rsid w:val="009E44BC"/>
    <w:rsid w:val="009F3C1A"/>
    <w:rsid w:val="009F6AD0"/>
    <w:rsid w:val="00A01630"/>
    <w:rsid w:val="00A120D3"/>
    <w:rsid w:val="00A14478"/>
    <w:rsid w:val="00A30738"/>
    <w:rsid w:val="00A32C29"/>
    <w:rsid w:val="00A91CDC"/>
    <w:rsid w:val="00AA2661"/>
    <w:rsid w:val="00AE23AF"/>
    <w:rsid w:val="00AE3081"/>
    <w:rsid w:val="00AE4A4C"/>
    <w:rsid w:val="00AE4ABF"/>
    <w:rsid w:val="00AE6267"/>
    <w:rsid w:val="00B06E9B"/>
    <w:rsid w:val="00B168DE"/>
    <w:rsid w:val="00B3552E"/>
    <w:rsid w:val="00B527B9"/>
    <w:rsid w:val="00B54FFA"/>
    <w:rsid w:val="00B5762F"/>
    <w:rsid w:val="00B62F38"/>
    <w:rsid w:val="00BC6716"/>
    <w:rsid w:val="00BD54F8"/>
    <w:rsid w:val="00C0454A"/>
    <w:rsid w:val="00C35735"/>
    <w:rsid w:val="00C370E0"/>
    <w:rsid w:val="00C44A71"/>
    <w:rsid w:val="00C62753"/>
    <w:rsid w:val="00C80E9B"/>
    <w:rsid w:val="00CB006B"/>
    <w:rsid w:val="00CB3730"/>
    <w:rsid w:val="00CD6ED4"/>
    <w:rsid w:val="00CE03EC"/>
    <w:rsid w:val="00CE6A8E"/>
    <w:rsid w:val="00CE77AD"/>
    <w:rsid w:val="00CF1923"/>
    <w:rsid w:val="00D00425"/>
    <w:rsid w:val="00D1211B"/>
    <w:rsid w:val="00D1458D"/>
    <w:rsid w:val="00D15927"/>
    <w:rsid w:val="00D3593A"/>
    <w:rsid w:val="00D50ADA"/>
    <w:rsid w:val="00D53734"/>
    <w:rsid w:val="00D609A1"/>
    <w:rsid w:val="00D67BB3"/>
    <w:rsid w:val="00D7372C"/>
    <w:rsid w:val="00D9323E"/>
    <w:rsid w:val="00DA095E"/>
    <w:rsid w:val="00DD3E25"/>
    <w:rsid w:val="00E00A22"/>
    <w:rsid w:val="00E070B1"/>
    <w:rsid w:val="00E14CBF"/>
    <w:rsid w:val="00E31E05"/>
    <w:rsid w:val="00E418CD"/>
    <w:rsid w:val="00E42C8F"/>
    <w:rsid w:val="00E468D6"/>
    <w:rsid w:val="00E53FB5"/>
    <w:rsid w:val="00E639F8"/>
    <w:rsid w:val="00E779F2"/>
    <w:rsid w:val="00E97B10"/>
    <w:rsid w:val="00EA3B28"/>
    <w:rsid w:val="00EB100F"/>
    <w:rsid w:val="00EC6056"/>
    <w:rsid w:val="00ED11B6"/>
    <w:rsid w:val="00EF220F"/>
    <w:rsid w:val="00EF454E"/>
    <w:rsid w:val="00F03C9E"/>
    <w:rsid w:val="00F07EC8"/>
    <w:rsid w:val="00F10FA7"/>
    <w:rsid w:val="00F457B1"/>
    <w:rsid w:val="00F70108"/>
    <w:rsid w:val="00F732D8"/>
    <w:rsid w:val="00F76A7C"/>
    <w:rsid w:val="00F807C7"/>
    <w:rsid w:val="00F86262"/>
    <w:rsid w:val="00F8762F"/>
    <w:rsid w:val="00F93BD7"/>
    <w:rsid w:val="00F957FD"/>
    <w:rsid w:val="00F96AF8"/>
    <w:rsid w:val="00F96CC0"/>
    <w:rsid w:val="00FA30FF"/>
    <w:rsid w:val="00FA67B4"/>
    <w:rsid w:val="00FD42B4"/>
    <w:rsid w:val="00FD4F19"/>
    <w:rsid w:val="00FD6652"/>
    <w:rsid w:val="00FE24C4"/>
    <w:rsid w:val="00FF5744"/>
    <w:rsid w:val="00FF590C"/>
    <w:rsid w:val="00FF6F62"/>
    <w:rsid w:val="03008567"/>
    <w:rsid w:val="085CC012"/>
    <w:rsid w:val="088AE1EA"/>
    <w:rsid w:val="0D8A2C39"/>
    <w:rsid w:val="0E6098EA"/>
    <w:rsid w:val="14FFF57F"/>
    <w:rsid w:val="21139968"/>
    <w:rsid w:val="2C21EEE0"/>
    <w:rsid w:val="38F72E36"/>
    <w:rsid w:val="39107ECA"/>
    <w:rsid w:val="3EF4A380"/>
    <w:rsid w:val="40CE7A64"/>
    <w:rsid w:val="42F0839C"/>
    <w:rsid w:val="479CB8B9"/>
    <w:rsid w:val="47D5BD6F"/>
    <w:rsid w:val="4E709AB4"/>
    <w:rsid w:val="56365103"/>
    <w:rsid w:val="5FAE6F5F"/>
    <w:rsid w:val="638792C5"/>
    <w:rsid w:val="63FDEB3A"/>
    <w:rsid w:val="7DC18360"/>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D788798"/>
  <w15:chartTrackingRefBased/>
  <w15:docId w15:val="{FE33940E-30DC-4457-B421-3CDF7A55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630"/>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F8762F"/>
    <w:pPr>
      <w:pBdr>
        <w:top w:val="single" w:sz="8" w:space="0" w:color="629DD1" w:themeColor="accent2"/>
        <w:left w:val="single" w:sz="8" w:space="0" w:color="629DD1" w:themeColor="accent2"/>
        <w:bottom w:val="single" w:sz="8" w:space="0" w:color="629DD1" w:themeColor="accent2"/>
        <w:right w:val="single" w:sz="8" w:space="0" w:color="629DD1" w:themeColor="accent2"/>
      </w:pBdr>
      <w:shd w:val="clear" w:color="auto" w:fill="DFEBF5" w:themeFill="accent2" w:themeFillTint="33"/>
      <w:spacing w:before="480" w:after="100" w:line="269" w:lineRule="auto"/>
      <w:contextualSpacing/>
      <w:outlineLvl w:val="0"/>
    </w:pPr>
    <w:rPr>
      <w:rFonts w:asciiTheme="majorHAnsi" w:eastAsiaTheme="majorEastAsia" w:hAnsiTheme="majorHAnsi" w:cstheme="majorBidi"/>
      <w:b/>
      <w:bCs/>
      <w:i/>
      <w:iCs/>
      <w:color w:val="224E76" w:themeColor="accent2" w:themeShade="7F"/>
      <w:sz w:val="22"/>
      <w:szCs w:val="22"/>
      <w:lang w:eastAsia="en-US"/>
    </w:rPr>
  </w:style>
  <w:style w:type="paragraph" w:styleId="Heading2">
    <w:name w:val="heading 2"/>
    <w:basedOn w:val="Normal"/>
    <w:next w:val="Normal"/>
    <w:link w:val="Heading2Char"/>
    <w:uiPriority w:val="9"/>
    <w:unhideWhenUsed/>
    <w:qFormat/>
    <w:rsid w:val="00F8762F"/>
    <w:pPr>
      <w:pBdr>
        <w:top w:val="single" w:sz="4" w:space="0" w:color="629DD1" w:themeColor="accent2"/>
        <w:left w:val="single" w:sz="48" w:space="2" w:color="629DD1" w:themeColor="accent2"/>
        <w:bottom w:val="single" w:sz="4" w:space="0" w:color="629DD1" w:themeColor="accent2"/>
        <w:right w:val="single" w:sz="4" w:space="4" w:color="629DD1" w:themeColor="accent2"/>
      </w:pBdr>
      <w:spacing w:before="200" w:after="100" w:line="269" w:lineRule="auto"/>
      <w:ind w:left="144"/>
      <w:contextualSpacing/>
      <w:outlineLvl w:val="1"/>
    </w:pPr>
    <w:rPr>
      <w:rFonts w:asciiTheme="majorHAnsi" w:eastAsiaTheme="majorEastAsia" w:hAnsiTheme="majorHAnsi" w:cstheme="majorBidi"/>
      <w:b/>
      <w:bCs/>
      <w:i/>
      <w:iCs/>
      <w:color w:val="3476B1" w:themeColor="accent2" w:themeShade="BF"/>
      <w:sz w:val="22"/>
      <w:szCs w:val="22"/>
      <w:lang w:eastAsia="en-US"/>
    </w:rPr>
  </w:style>
  <w:style w:type="paragraph" w:styleId="Heading3">
    <w:name w:val="heading 3"/>
    <w:basedOn w:val="Normal"/>
    <w:next w:val="Normal"/>
    <w:link w:val="Heading3Char"/>
    <w:uiPriority w:val="9"/>
    <w:unhideWhenUsed/>
    <w:qFormat/>
    <w:rsid w:val="00F8762F"/>
    <w:pPr>
      <w:pBdr>
        <w:left w:val="single" w:sz="48" w:space="2" w:color="629DD1" w:themeColor="accent2"/>
        <w:bottom w:val="single" w:sz="4" w:space="0" w:color="629DD1" w:themeColor="accent2"/>
      </w:pBdr>
      <w:spacing w:before="200" w:after="100"/>
      <w:ind w:left="144"/>
      <w:contextualSpacing/>
      <w:outlineLvl w:val="2"/>
    </w:pPr>
    <w:rPr>
      <w:rFonts w:asciiTheme="majorHAnsi" w:eastAsiaTheme="majorEastAsia" w:hAnsiTheme="majorHAnsi" w:cstheme="majorBidi"/>
      <w:b/>
      <w:bCs/>
      <w:i/>
      <w:iCs/>
      <w:color w:val="3476B1" w:themeColor="accent2" w:themeShade="BF"/>
      <w:sz w:val="22"/>
      <w:szCs w:val="22"/>
      <w:lang w:eastAsia="en-US"/>
    </w:rPr>
  </w:style>
  <w:style w:type="paragraph" w:styleId="Heading4">
    <w:name w:val="heading 4"/>
    <w:basedOn w:val="Normal"/>
    <w:next w:val="Normal"/>
    <w:link w:val="Heading4Char"/>
    <w:uiPriority w:val="9"/>
    <w:semiHidden/>
    <w:unhideWhenUsed/>
    <w:qFormat/>
    <w:rsid w:val="00F8762F"/>
    <w:pPr>
      <w:pBdr>
        <w:left w:val="single" w:sz="4" w:space="2" w:color="629DD1" w:themeColor="accent2"/>
        <w:bottom w:val="single" w:sz="4" w:space="2" w:color="629DD1" w:themeColor="accent2"/>
      </w:pBdr>
      <w:spacing w:before="200" w:after="100"/>
      <w:ind w:left="86"/>
      <w:contextualSpacing/>
      <w:outlineLvl w:val="3"/>
    </w:pPr>
    <w:rPr>
      <w:rFonts w:asciiTheme="majorHAnsi" w:eastAsiaTheme="majorEastAsia" w:hAnsiTheme="majorHAnsi" w:cstheme="majorBidi"/>
      <w:b/>
      <w:bCs/>
      <w:i/>
      <w:iCs/>
      <w:color w:val="3476B1" w:themeColor="accent2" w:themeShade="BF"/>
      <w:sz w:val="22"/>
      <w:szCs w:val="22"/>
      <w:lang w:eastAsia="en-US"/>
    </w:rPr>
  </w:style>
  <w:style w:type="paragraph" w:styleId="Heading5">
    <w:name w:val="heading 5"/>
    <w:basedOn w:val="Normal"/>
    <w:next w:val="Normal"/>
    <w:link w:val="Heading5Char"/>
    <w:uiPriority w:val="9"/>
    <w:semiHidden/>
    <w:unhideWhenUsed/>
    <w:qFormat/>
    <w:rsid w:val="00F8762F"/>
    <w:pPr>
      <w:pBdr>
        <w:left w:val="dotted" w:sz="4" w:space="2" w:color="629DD1" w:themeColor="accent2"/>
        <w:bottom w:val="dotted" w:sz="4" w:space="2" w:color="629DD1" w:themeColor="accent2"/>
      </w:pBdr>
      <w:spacing w:before="200" w:after="100"/>
      <w:ind w:left="86"/>
      <w:contextualSpacing/>
      <w:outlineLvl w:val="4"/>
    </w:pPr>
    <w:rPr>
      <w:rFonts w:asciiTheme="majorHAnsi" w:eastAsiaTheme="majorEastAsia" w:hAnsiTheme="majorHAnsi" w:cstheme="majorBidi"/>
      <w:b/>
      <w:bCs/>
      <w:i/>
      <w:iCs/>
      <w:color w:val="3476B1" w:themeColor="accent2" w:themeShade="BF"/>
      <w:sz w:val="22"/>
      <w:szCs w:val="22"/>
      <w:lang w:eastAsia="en-US"/>
    </w:rPr>
  </w:style>
  <w:style w:type="paragraph" w:styleId="Heading6">
    <w:name w:val="heading 6"/>
    <w:basedOn w:val="Normal"/>
    <w:next w:val="Normal"/>
    <w:link w:val="Heading6Char"/>
    <w:uiPriority w:val="9"/>
    <w:semiHidden/>
    <w:unhideWhenUsed/>
    <w:qFormat/>
    <w:rsid w:val="00F8762F"/>
    <w:pPr>
      <w:pBdr>
        <w:bottom w:val="single" w:sz="4" w:space="2" w:color="C0D7EC" w:themeColor="accent2" w:themeTint="66"/>
      </w:pBdr>
      <w:spacing w:before="200" w:after="100"/>
      <w:contextualSpacing/>
      <w:outlineLvl w:val="5"/>
    </w:pPr>
    <w:rPr>
      <w:rFonts w:asciiTheme="majorHAnsi" w:eastAsiaTheme="majorEastAsia" w:hAnsiTheme="majorHAnsi" w:cstheme="majorBidi"/>
      <w:i/>
      <w:iCs/>
      <w:color w:val="3476B1" w:themeColor="accent2" w:themeShade="BF"/>
      <w:sz w:val="22"/>
      <w:szCs w:val="22"/>
      <w:lang w:eastAsia="en-US"/>
    </w:rPr>
  </w:style>
  <w:style w:type="paragraph" w:styleId="Heading7">
    <w:name w:val="heading 7"/>
    <w:basedOn w:val="Normal"/>
    <w:next w:val="Normal"/>
    <w:link w:val="Heading7Char"/>
    <w:uiPriority w:val="9"/>
    <w:semiHidden/>
    <w:unhideWhenUsed/>
    <w:qFormat/>
    <w:rsid w:val="00F8762F"/>
    <w:pPr>
      <w:pBdr>
        <w:bottom w:val="dotted" w:sz="4" w:space="2" w:color="A0C3E3" w:themeColor="accent2" w:themeTint="99"/>
      </w:pBdr>
      <w:spacing w:before="200" w:after="100"/>
      <w:contextualSpacing/>
      <w:outlineLvl w:val="6"/>
    </w:pPr>
    <w:rPr>
      <w:rFonts w:asciiTheme="majorHAnsi" w:eastAsiaTheme="majorEastAsia" w:hAnsiTheme="majorHAnsi" w:cstheme="majorBidi"/>
      <w:i/>
      <w:iCs/>
      <w:color w:val="3476B1" w:themeColor="accent2" w:themeShade="BF"/>
      <w:sz w:val="22"/>
      <w:szCs w:val="22"/>
      <w:lang w:eastAsia="en-US"/>
    </w:rPr>
  </w:style>
  <w:style w:type="paragraph" w:styleId="Heading8">
    <w:name w:val="heading 8"/>
    <w:basedOn w:val="Normal"/>
    <w:next w:val="Normal"/>
    <w:link w:val="Heading8Char"/>
    <w:uiPriority w:val="9"/>
    <w:semiHidden/>
    <w:unhideWhenUsed/>
    <w:qFormat/>
    <w:rsid w:val="00F8762F"/>
    <w:pPr>
      <w:spacing w:before="200" w:after="100"/>
      <w:contextualSpacing/>
      <w:outlineLvl w:val="7"/>
    </w:pPr>
    <w:rPr>
      <w:rFonts w:asciiTheme="majorHAnsi" w:eastAsiaTheme="majorEastAsia" w:hAnsiTheme="majorHAnsi" w:cstheme="majorBidi"/>
      <w:i/>
      <w:iCs/>
      <w:color w:val="629DD1" w:themeColor="accent2"/>
      <w:sz w:val="22"/>
      <w:szCs w:val="22"/>
      <w:lang w:eastAsia="en-US"/>
    </w:rPr>
  </w:style>
  <w:style w:type="paragraph" w:styleId="Heading9">
    <w:name w:val="heading 9"/>
    <w:basedOn w:val="Normal"/>
    <w:next w:val="Normal"/>
    <w:link w:val="Heading9Char"/>
    <w:uiPriority w:val="9"/>
    <w:semiHidden/>
    <w:unhideWhenUsed/>
    <w:qFormat/>
    <w:rsid w:val="00F8762F"/>
    <w:pPr>
      <w:spacing w:before="200" w:after="100"/>
      <w:contextualSpacing/>
      <w:outlineLvl w:val="8"/>
    </w:pPr>
    <w:rPr>
      <w:rFonts w:asciiTheme="majorHAnsi" w:eastAsiaTheme="majorEastAsia" w:hAnsiTheme="majorHAnsi" w:cstheme="majorBidi"/>
      <w:i/>
      <w:iCs/>
      <w:color w:val="629DD1" w:themeColor="accent2"/>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62F"/>
    <w:pPr>
      <w:spacing w:after="200" w:line="288" w:lineRule="auto"/>
      <w:ind w:left="720"/>
      <w:contextualSpacing/>
    </w:pPr>
    <w:rPr>
      <w:rFonts w:asciiTheme="minorHAnsi" w:eastAsiaTheme="minorEastAsia" w:hAnsiTheme="minorHAnsi" w:cstheme="minorBidi"/>
      <w:i/>
      <w:iCs/>
      <w:sz w:val="20"/>
      <w:szCs w:val="20"/>
      <w:lang w:eastAsia="en-US"/>
    </w:rPr>
  </w:style>
  <w:style w:type="paragraph" w:styleId="Header">
    <w:name w:val="header"/>
    <w:basedOn w:val="Normal"/>
    <w:link w:val="HeaderChar"/>
    <w:uiPriority w:val="99"/>
    <w:unhideWhenUsed/>
    <w:rsid w:val="00F96AF8"/>
    <w:pPr>
      <w:tabs>
        <w:tab w:val="center" w:pos="4536"/>
        <w:tab w:val="right" w:pos="9072"/>
      </w:tabs>
      <w:spacing w:after="200" w:line="288" w:lineRule="auto"/>
    </w:pPr>
    <w:rPr>
      <w:rFonts w:asciiTheme="minorHAnsi" w:eastAsiaTheme="minorEastAsia" w:hAnsiTheme="minorHAnsi" w:cstheme="minorBidi"/>
      <w:i/>
      <w:iCs/>
      <w:sz w:val="20"/>
      <w:szCs w:val="20"/>
      <w:lang w:eastAsia="en-US"/>
    </w:rPr>
  </w:style>
  <w:style w:type="character" w:customStyle="1" w:styleId="HeaderChar">
    <w:name w:val="Header Char"/>
    <w:basedOn w:val="DefaultParagraphFont"/>
    <w:link w:val="Header"/>
    <w:uiPriority w:val="99"/>
    <w:rsid w:val="00F96AF8"/>
  </w:style>
  <w:style w:type="paragraph" w:styleId="Footer">
    <w:name w:val="footer"/>
    <w:basedOn w:val="Normal"/>
    <w:link w:val="FooterChar"/>
    <w:uiPriority w:val="99"/>
    <w:unhideWhenUsed/>
    <w:rsid w:val="00F96AF8"/>
    <w:pPr>
      <w:tabs>
        <w:tab w:val="center" w:pos="4536"/>
        <w:tab w:val="right" w:pos="9072"/>
      </w:tabs>
      <w:spacing w:after="200" w:line="288" w:lineRule="auto"/>
    </w:pPr>
    <w:rPr>
      <w:rFonts w:asciiTheme="minorHAnsi" w:eastAsiaTheme="minorEastAsia" w:hAnsiTheme="minorHAnsi" w:cstheme="minorBidi"/>
      <w:i/>
      <w:iCs/>
      <w:sz w:val="20"/>
      <w:szCs w:val="20"/>
      <w:lang w:eastAsia="en-US"/>
    </w:rPr>
  </w:style>
  <w:style w:type="character" w:customStyle="1" w:styleId="FooterChar">
    <w:name w:val="Footer Char"/>
    <w:basedOn w:val="DefaultParagraphFont"/>
    <w:link w:val="Footer"/>
    <w:uiPriority w:val="99"/>
    <w:rsid w:val="00F96AF8"/>
  </w:style>
  <w:style w:type="paragraph" w:styleId="NoSpacing">
    <w:name w:val="No Spacing"/>
    <w:basedOn w:val="Normal"/>
    <w:link w:val="NoSpacingChar"/>
    <w:uiPriority w:val="1"/>
    <w:qFormat/>
    <w:rsid w:val="00F8762F"/>
    <w:rPr>
      <w:rFonts w:asciiTheme="minorHAnsi" w:eastAsiaTheme="minorEastAsia" w:hAnsiTheme="minorHAnsi" w:cstheme="minorBidi"/>
      <w:i/>
      <w:iCs/>
      <w:sz w:val="20"/>
      <w:szCs w:val="20"/>
      <w:lang w:eastAsia="en-US"/>
    </w:rPr>
  </w:style>
  <w:style w:type="character" w:customStyle="1" w:styleId="NoSpacingChar">
    <w:name w:val="No Spacing Char"/>
    <w:basedOn w:val="DefaultParagraphFont"/>
    <w:link w:val="NoSpacing"/>
    <w:uiPriority w:val="1"/>
    <w:rsid w:val="00F8762F"/>
    <w:rPr>
      <w:i/>
      <w:iCs/>
      <w:sz w:val="20"/>
      <w:szCs w:val="20"/>
    </w:rPr>
  </w:style>
  <w:style w:type="character" w:customStyle="1" w:styleId="Heading1Char">
    <w:name w:val="Heading 1 Char"/>
    <w:basedOn w:val="DefaultParagraphFont"/>
    <w:link w:val="Heading1"/>
    <w:uiPriority w:val="9"/>
    <w:rsid w:val="00F8762F"/>
    <w:rPr>
      <w:rFonts w:asciiTheme="majorHAnsi" w:eastAsiaTheme="majorEastAsia" w:hAnsiTheme="majorHAnsi" w:cstheme="majorBidi"/>
      <w:b/>
      <w:bCs/>
      <w:i/>
      <w:iCs/>
      <w:color w:val="224E76" w:themeColor="accent2" w:themeShade="7F"/>
      <w:shd w:val="clear" w:color="auto" w:fill="DFEBF5" w:themeFill="accent2" w:themeFillTint="33"/>
    </w:rPr>
  </w:style>
  <w:style w:type="paragraph" w:styleId="TOCHeading">
    <w:name w:val="TOC Heading"/>
    <w:basedOn w:val="Heading1"/>
    <w:next w:val="Normal"/>
    <w:uiPriority w:val="39"/>
    <w:unhideWhenUsed/>
    <w:qFormat/>
    <w:rsid w:val="00F8762F"/>
    <w:pPr>
      <w:outlineLvl w:val="9"/>
    </w:pPr>
  </w:style>
  <w:style w:type="paragraph" w:styleId="TOC1">
    <w:name w:val="toc 1"/>
    <w:basedOn w:val="Normal"/>
    <w:next w:val="Normal"/>
    <w:autoRedefine/>
    <w:uiPriority w:val="39"/>
    <w:unhideWhenUsed/>
    <w:rsid w:val="00176294"/>
    <w:pPr>
      <w:spacing w:before="120" w:after="120" w:line="288" w:lineRule="auto"/>
    </w:pPr>
    <w:rPr>
      <w:rFonts w:asciiTheme="minorHAnsi" w:eastAsiaTheme="minorEastAsia" w:hAnsiTheme="minorHAnsi" w:cstheme="minorHAnsi"/>
      <w:b/>
      <w:bCs/>
      <w:i/>
      <w:iCs/>
      <w:caps/>
      <w:sz w:val="20"/>
      <w:szCs w:val="20"/>
      <w:lang w:eastAsia="en-US"/>
    </w:rPr>
  </w:style>
  <w:style w:type="paragraph" w:styleId="TOC2">
    <w:name w:val="toc 2"/>
    <w:basedOn w:val="Normal"/>
    <w:next w:val="Normal"/>
    <w:autoRedefine/>
    <w:uiPriority w:val="39"/>
    <w:unhideWhenUsed/>
    <w:rsid w:val="00176294"/>
    <w:pPr>
      <w:spacing w:after="200" w:line="288" w:lineRule="auto"/>
      <w:ind w:left="240"/>
    </w:pPr>
    <w:rPr>
      <w:rFonts w:asciiTheme="minorHAnsi" w:eastAsiaTheme="minorEastAsia" w:hAnsiTheme="minorHAnsi" w:cstheme="minorHAnsi"/>
      <w:i/>
      <w:iCs/>
      <w:smallCaps/>
      <w:sz w:val="20"/>
      <w:szCs w:val="20"/>
      <w:lang w:eastAsia="en-US"/>
    </w:rPr>
  </w:style>
  <w:style w:type="paragraph" w:styleId="TOC3">
    <w:name w:val="toc 3"/>
    <w:basedOn w:val="Normal"/>
    <w:next w:val="Normal"/>
    <w:autoRedefine/>
    <w:uiPriority w:val="39"/>
    <w:unhideWhenUsed/>
    <w:rsid w:val="00176294"/>
    <w:pPr>
      <w:spacing w:after="200" w:line="288" w:lineRule="auto"/>
      <w:ind w:left="480"/>
    </w:pPr>
    <w:rPr>
      <w:rFonts w:asciiTheme="minorHAnsi" w:eastAsiaTheme="minorEastAsia" w:hAnsiTheme="minorHAnsi" w:cstheme="minorHAnsi"/>
      <w:sz w:val="20"/>
      <w:szCs w:val="20"/>
      <w:lang w:eastAsia="en-US"/>
    </w:rPr>
  </w:style>
  <w:style w:type="paragraph" w:styleId="TOC4">
    <w:name w:val="toc 4"/>
    <w:basedOn w:val="Normal"/>
    <w:next w:val="Normal"/>
    <w:autoRedefine/>
    <w:uiPriority w:val="39"/>
    <w:semiHidden/>
    <w:unhideWhenUsed/>
    <w:rsid w:val="00176294"/>
    <w:pPr>
      <w:spacing w:after="200" w:line="288" w:lineRule="auto"/>
      <w:ind w:left="720"/>
    </w:pPr>
    <w:rPr>
      <w:rFonts w:asciiTheme="minorHAnsi" w:eastAsiaTheme="minorEastAsia" w:hAnsiTheme="minorHAnsi" w:cstheme="minorHAnsi"/>
      <w:i/>
      <w:iCs/>
      <w:sz w:val="18"/>
      <w:szCs w:val="18"/>
      <w:lang w:eastAsia="en-US"/>
    </w:rPr>
  </w:style>
  <w:style w:type="paragraph" w:styleId="TOC5">
    <w:name w:val="toc 5"/>
    <w:basedOn w:val="Normal"/>
    <w:next w:val="Normal"/>
    <w:autoRedefine/>
    <w:uiPriority w:val="39"/>
    <w:semiHidden/>
    <w:unhideWhenUsed/>
    <w:rsid w:val="00176294"/>
    <w:pPr>
      <w:spacing w:after="200" w:line="288" w:lineRule="auto"/>
      <w:ind w:left="960"/>
    </w:pPr>
    <w:rPr>
      <w:rFonts w:asciiTheme="minorHAnsi" w:eastAsiaTheme="minorEastAsia" w:hAnsiTheme="minorHAnsi" w:cstheme="minorHAnsi"/>
      <w:i/>
      <w:iCs/>
      <w:sz w:val="18"/>
      <w:szCs w:val="18"/>
      <w:lang w:eastAsia="en-US"/>
    </w:rPr>
  </w:style>
  <w:style w:type="paragraph" w:styleId="TOC6">
    <w:name w:val="toc 6"/>
    <w:basedOn w:val="Normal"/>
    <w:next w:val="Normal"/>
    <w:autoRedefine/>
    <w:uiPriority w:val="39"/>
    <w:semiHidden/>
    <w:unhideWhenUsed/>
    <w:rsid w:val="00176294"/>
    <w:pPr>
      <w:spacing w:after="200" w:line="288" w:lineRule="auto"/>
      <w:ind w:left="1200"/>
    </w:pPr>
    <w:rPr>
      <w:rFonts w:asciiTheme="minorHAnsi" w:eastAsiaTheme="minorEastAsia" w:hAnsiTheme="minorHAnsi" w:cstheme="minorHAnsi"/>
      <w:i/>
      <w:iCs/>
      <w:sz w:val="18"/>
      <w:szCs w:val="18"/>
      <w:lang w:eastAsia="en-US"/>
    </w:rPr>
  </w:style>
  <w:style w:type="paragraph" w:styleId="TOC7">
    <w:name w:val="toc 7"/>
    <w:basedOn w:val="Normal"/>
    <w:next w:val="Normal"/>
    <w:autoRedefine/>
    <w:uiPriority w:val="39"/>
    <w:semiHidden/>
    <w:unhideWhenUsed/>
    <w:rsid w:val="00176294"/>
    <w:pPr>
      <w:spacing w:after="200" w:line="288" w:lineRule="auto"/>
      <w:ind w:left="1440"/>
    </w:pPr>
    <w:rPr>
      <w:rFonts w:asciiTheme="minorHAnsi" w:eastAsiaTheme="minorEastAsia" w:hAnsiTheme="minorHAnsi" w:cstheme="minorHAnsi"/>
      <w:i/>
      <w:iCs/>
      <w:sz w:val="18"/>
      <w:szCs w:val="18"/>
      <w:lang w:eastAsia="en-US"/>
    </w:rPr>
  </w:style>
  <w:style w:type="paragraph" w:styleId="TOC8">
    <w:name w:val="toc 8"/>
    <w:basedOn w:val="Normal"/>
    <w:next w:val="Normal"/>
    <w:autoRedefine/>
    <w:uiPriority w:val="39"/>
    <w:semiHidden/>
    <w:unhideWhenUsed/>
    <w:rsid w:val="00176294"/>
    <w:pPr>
      <w:spacing w:after="200" w:line="288" w:lineRule="auto"/>
      <w:ind w:left="1680"/>
    </w:pPr>
    <w:rPr>
      <w:rFonts w:asciiTheme="minorHAnsi" w:eastAsiaTheme="minorEastAsia" w:hAnsiTheme="minorHAnsi" w:cstheme="minorHAnsi"/>
      <w:i/>
      <w:iCs/>
      <w:sz w:val="18"/>
      <w:szCs w:val="18"/>
      <w:lang w:eastAsia="en-US"/>
    </w:rPr>
  </w:style>
  <w:style w:type="paragraph" w:styleId="TOC9">
    <w:name w:val="toc 9"/>
    <w:basedOn w:val="Normal"/>
    <w:next w:val="Normal"/>
    <w:autoRedefine/>
    <w:uiPriority w:val="39"/>
    <w:semiHidden/>
    <w:unhideWhenUsed/>
    <w:rsid w:val="00176294"/>
    <w:pPr>
      <w:spacing w:after="200" w:line="288" w:lineRule="auto"/>
      <w:ind w:left="1920"/>
    </w:pPr>
    <w:rPr>
      <w:rFonts w:asciiTheme="minorHAnsi" w:eastAsiaTheme="minorEastAsia" w:hAnsiTheme="minorHAnsi" w:cstheme="minorHAnsi"/>
      <w:i/>
      <w:iCs/>
      <w:sz w:val="18"/>
      <w:szCs w:val="18"/>
      <w:lang w:eastAsia="en-US"/>
    </w:rPr>
  </w:style>
  <w:style w:type="character" w:customStyle="1" w:styleId="Heading2Char">
    <w:name w:val="Heading 2 Char"/>
    <w:basedOn w:val="DefaultParagraphFont"/>
    <w:link w:val="Heading2"/>
    <w:uiPriority w:val="9"/>
    <w:rsid w:val="00F8762F"/>
    <w:rPr>
      <w:rFonts w:asciiTheme="majorHAnsi" w:eastAsiaTheme="majorEastAsia" w:hAnsiTheme="majorHAnsi" w:cstheme="majorBidi"/>
      <w:b/>
      <w:bCs/>
      <w:i/>
      <w:iCs/>
      <w:color w:val="3476B1" w:themeColor="accent2" w:themeShade="BF"/>
    </w:rPr>
  </w:style>
  <w:style w:type="character" w:customStyle="1" w:styleId="Heading3Char">
    <w:name w:val="Heading 3 Char"/>
    <w:basedOn w:val="DefaultParagraphFont"/>
    <w:link w:val="Heading3"/>
    <w:uiPriority w:val="9"/>
    <w:rsid w:val="00F8762F"/>
    <w:rPr>
      <w:rFonts w:asciiTheme="majorHAnsi" w:eastAsiaTheme="majorEastAsia" w:hAnsiTheme="majorHAnsi" w:cstheme="majorBidi"/>
      <w:b/>
      <w:bCs/>
      <w:i/>
      <w:iCs/>
      <w:color w:val="3476B1" w:themeColor="accent2" w:themeShade="BF"/>
    </w:rPr>
  </w:style>
  <w:style w:type="character" w:customStyle="1" w:styleId="Heading4Char">
    <w:name w:val="Heading 4 Char"/>
    <w:basedOn w:val="DefaultParagraphFont"/>
    <w:link w:val="Heading4"/>
    <w:uiPriority w:val="9"/>
    <w:semiHidden/>
    <w:rsid w:val="00F8762F"/>
    <w:rPr>
      <w:rFonts w:asciiTheme="majorHAnsi" w:eastAsiaTheme="majorEastAsia" w:hAnsiTheme="majorHAnsi" w:cstheme="majorBidi"/>
      <w:b/>
      <w:bCs/>
      <w:i/>
      <w:iCs/>
      <w:color w:val="3476B1" w:themeColor="accent2" w:themeShade="BF"/>
    </w:rPr>
  </w:style>
  <w:style w:type="character" w:customStyle="1" w:styleId="Heading5Char">
    <w:name w:val="Heading 5 Char"/>
    <w:basedOn w:val="DefaultParagraphFont"/>
    <w:link w:val="Heading5"/>
    <w:uiPriority w:val="9"/>
    <w:semiHidden/>
    <w:rsid w:val="00F8762F"/>
    <w:rPr>
      <w:rFonts w:asciiTheme="majorHAnsi" w:eastAsiaTheme="majorEastAsia" w:hAnsiTheme="majorHAnsi" w:cstheme="majorBidi"/>
      <w:b/>
      <w:bCs/>
      <w:i/>
      <w:iCs/>
      <w:color w:val="3476B1" w:themeColor="accent2" w:themeShade="BF"/>
    </w:rPr>
  </w:style>
  <w:style w:type="character" w:customStyle="1" w:styleId="Heading6Char">
    <w:name w:val="Heading 6 Char"/>
    <w:basedOn w:val="DefaultParagraphFont"/>
    <w:link w:val="Heading6"/>
    <w:uiPriority w:val="9"/>
    <w:semiHidden/>
    <w:rsid w:val="00F8762F"/>
    <w:rPr>
      <w:rFonts w:asciiTheme="majorHAnsi" w:eastAsiaTheme="majorEastAsia" w:hAnsiTheme="majorHAnsi" w:cstheme="majorBidi"/>
      <w:i/>
      <w:iCs/>
      <w:color w:val="3476B1" w:themeColor="accent2" w:themeShade="BF"/>
    </w:rPr>
  </w:style>
  <w:style w:type="character" w:customStyle="1" w:styleId="Heading7Char">
    <w:name w:val="Heading 7 Char"/>
    <w:basedOn w:val="DefaultParagraphFont"/>
    <w:link w:val="Heading7"/>
    <w:uiPriority w:val="9"/>
    <w:semiHidden/>
    <w:rsid w:val="00F8762F"/>
    <w:rPr>
      <w:rFonts w:asciiTheme="majorHAnsi" w:eastAsiaTheme="majorEastAsia" w:hAnsiTheme="majorHAnsi" w:cstheme="majorBidi"/>
      <w:i/>
      <w:iCs/>
      <w:color w:val="3476B1" w:themeColor="accent2" w:themeShade="BF"/>
    </w:rPr>
  </w:style>
  <w:style w:type="character" w:customStyle="1" w:styleId="Heading8Char">
    <w:name w:val="Heading 8 Char"/>
    <w:basedOn w:val="DefaultParagraphFont"/>
    <w:link w:val="Heading8"/>
    <w:uiPriority w:val="9"/>
    <w:semiHidden/>
    <w:rsid w:val="00F8762F"/>
    <w:rPr>
      <w:rFonts w:asciiTheme="majorHAnsi" w:eastAsiaTheme="majorEastAsia" w:hAnsiTheme="majorHAnsi" w:cstheme="majorBidi"/>
      <w:i/>
      <w:iCs/>
      <w:color w:val="629DD1" w:themeColor="accent2"/>
    </w:rPr>
  </w:style>
  <w:style w:type="character" w:customStyle="1" w:styleId="Heading9Char">
    <w:name w:val="Heading 9 Char"/>
    <w:basedOn w:val="DefaultParagraphFont"/>
    <w:link w:val="Heading9"/>
    <w:uiPriority w:val="9"/>
    <w:semiHidden/>
    <w:rsid w:val="00F8762F"/>
    <w:rPr>
      <w:rFonts w:asciiTheme="majorHAnsi" w:eastAsiaTheme="majorEastAsia" w:hAnsiTheme="majorHAnsi" w:cstheme="majorBidi"/>
      <w:i/>
      <w:iCs/>
      <w:color w:val="629DD1" w:themeColor="accent2"/>
      <w:sz w:val="20"/>
      <w:szCs w:val="20"/>
    </w:rPr>
  </w:style>
  <w:style w:type="paragraph" w:styleId="Caption">
    <w:name w:val="caption"/>
    <w:basedOn w:val="Normal"/>
    <w:next w:val="Normal"/>
    <w:uiPriority w:val="35"/>
    <w:unhideWhenUsed/>
    <w:qFormat/>
    <w:rsid w:val="00F8762F"/>
    <w:pPr>
      <w:spacing w:after="200" w:line="288" w:lineRule="auto"/>
    </w:pPr>
    <w:rPr>
      <w:rFonts w:asciiTheme="minorHAnsi" w:eastAsiaTheme="minorEastAsia" w:hAnsiTheme="minorHAnsi" w:cstheme="minorBidi"/>
      <w:b/>
      <w:bCs/>
      <w:i/>
      <w:iCs/>
      <w:color w:val="3476B1" w:themeColor="accent2" w:themeShade="BF"/>
      <w:sz w:val="18"/>
      <w:szCs w:val="18"/>
      <w:lang w:eastAsia="en-US"/>
    </w:rPr>
  </w:style>
  <w:style w:type="paragraph" w:styleId="Title">
    <w:name w:val="Title"/>
    <w:basedOn w:val="Normal"/>
    <w:next w:val="Normal"/>
    <w:link w:val="TitleChar"/>
    <w:uiPriority w:val="10"/>
    <w:qFormat/>
    <w:rsid w:val="00F8762F"/>
    <w:pPr>
      <w:pBdr>
        <w:top w:val="single" w:sz="48" w:space="0" w:color="629DD1" w:themeColor="accent2"/>
        <w:bottom w:val="single" w:sz="48" w:space="0" w:color="629DD1" w:themeColor="accent2"/>
      </w:pBdr>
      <w:shd w:val="clear" w:color="auto" w:fill="629DD1" w:themeFill="accent2"/>
      <w:jc w:val="center"/>
    </w:pPr>
    <w:rPr>
      <w:rFonts w:asciiTheme="majorHAnsi" w:eastAsiaTheme="majorEastAsia" w:hAnsiTheme="majorHAnsi" w:cstheme="majorBidi"/>
      <w:i/>
      <w:iCs/>
      <w:color w:val="FFFFFF" w:themeColor="background1"/>
      <w:spacing w:val="10"/>
      <w:sz w:val="48"/>
      <w:szCs w:val="48"/>
      <w:lang w:eastAsia="en-US"/>
    </w:rPr>
  </w:style>
  <w:style w:type="character" w:customStyle="1" w:styleId="TitleChar">
    <w:name w:val="Title Char"/>
    <w:basedOn w:val="DefaultParagraphFont"/>
    <w:link w:val="Title"/>
    <w:uiPriority w:val="10"/>
    <w:rsid w:val="00F8762F"/>
    <w:rPr>
      <w:rFonts w:asciiTheme="majorHAnsi" w:eastAsiaTheme="majorEastAsia" w:hAnsiTheme="majorHAnsi" w:cstheme="majorBidi"/>
      <w:i/>
      <w:iCs/>
      <w:color w:val="FFFFFF" w:themeColor="background1"/>
      <w:spacing w:val="10"/>
      <w:sz w:val="48"/>
      <w:szCs w:val="48"/>
      <w:shd w:val="clear" w:color="auto" w:fill="629DD1" w:themeFill="accent2"/>
    </w:rPr>
  </w:style>
  <w:style w:type="paragraph" w:styleId="Subtitle">
    <w:name w:val="Subtitle"/>
    <w:basedOn w:val="Normal"/>
    <w:next w:val="Normal"/>
    <w:link w:val="SubtitleChar"/>
    <w:uiPriority w:val="11"/>
    <w:qFormat/>
    <w:rsid w:val="00F8762F"/>
    <w:pPr>
      <w:pBdr>
        <w:bottom w:val="dotted" w:sz="8" w:space="10" w:color="629DD1" w:themeColor="accent2"/>
      </w:pBdr>
      <w:spacing w:before="200" w:after="900"/>
      <w:jc w:val="center"/>
    </w:pPr>
    <w:rPr>
      <w:rFonts w:asciiTheme="majorHAnsi" w:eastAsiaTheme="majorEastAsia" w:hAnsiTheme="majorHAnsi" w:cstheme="majorBidi"/>
      <w:i/>
      <w:iCs/>
      <w:color w:val="224E76" w:themeColor="accent2" w:themeShade="7F"/>
      <w:lang w:eastAsia="en-US"/>
    </w:rPr>
  </w:style>
  <w:style w:type="character" w:customStyle="1" w:styleId="SubtitleChar">
    <w:name w:val="Subtitle Char"/>
    <w:basedOn w:val="DefaultParagraphFont"/>
    <w:link w:val="Subtitle"/>
    <w:uiPriority w:val="11"/>
    <w:rsid w:val="00F8762F"/>
    <w:rPr>
      <w:rFonts w:asciiTheme="majorHAnsi" w:eastAsiaTheme="majorEastAsia" w:hAnsiTheme="majorHAnsi" w:cstheme="majorBidi"/>
      <w:i/>
      <w:iCs/>
      <w:color w:val="224E76" w:themeColor="accent2" w:themeShade="7F"/>
      <w:sz w:val="24"/>
      <w:szCs w:val="24"/>
    </w:rPr>
  </w:style>
  <w:style w:type="character" w:styleId="Strong">
    <w:name w:val="Strong"/>
    <w:uiPriority w:val="22"/>
    <w:qFormat/>
    <w:rsid w:val="00F8762F"/>
    <w:rPr>
      <w:b/>
      <w:bCs/>
      <w:spacing w:val="0"/>
    </w:rPr>
  </w:style>
  <w:style w:type="character" w:styleId="Emphasis">
    <w:name w:val="Emphasis"/>
    <w:uiPriority w:val="20"/>
    <w:qFormat/>
    <w:rsid w:val="00F8762F"/>
    <w:rPr>
      <w:rFonts w:asciiTheme="majorHAnsi" w:eastAsiaTheme="majorEastAsia" w:hAnsiTheme="majorHAnsi" w:cstheme="majorBidi"/>
      <w:b/>
      <w:bCs/>
      <w:i/>
      <w:iCs/>
      <w:color w:val="629DD1" w:themeColor="accent2"/>
      <w:bdr w:val="single" w:sz="18" w:space="0" w:color="DFEBF5" w:themeColor="accent2" w:themeTint="33"/>
      <w:shd w:val="clear" w:color="auto" w:fill="DFEBF5" w:themeFill="accent2" w:themeFillTint="33"/>
    </w:rPr>
  </w:style>
  <w:style w:type="paragraph" w:styleId="Quote">
    <w:name w:val="Quote"/>
    <w:basedOn w:val="Normal"/>
    <w:next w:val="Normal"/>
    <w:link w:val="QuoteChar"/>
    <w:uiPriority w:val="29"/>
    <w:qFormat/>
    <w:rsid w:val="00F8762F"/>
    <w:pPr>
      <w:spacing w:after="200" w:line="288" w:lineRule="auto"/>
    </w:pPr>
    <w:rPr>
      <w:rFonts w:asciiTheme="minorHAnsi" w:eastAsiaTheme="minorEastAsia" w:hAnsiTheme="minorHAnsi" w:cstheme="minorBidi"/>
      <w:color w:val="3476B1" w:themeColor="accent2" w:themeShade="BF"/>
      <w:sz w:val="20"/>
      <w:szCs w:val="20"/>
      <w:lang w:eastAsia="en-US"/>
    </w:rPr>
  </w:style>
  <w:style w:type="character" w:customStyle="1" w:styleId="QuoteChar">
    <w:name w:val="Quote Char"/>
    <w:basedOn w:val="DefaultParagraphFont"/>
    <w:link w:val="Quote"/>
    <w:uiPriority w:val="29"/>
    <w:rsid w:val="00F8762F"/>
    <w:rPr>
      <w:color w:val="3476B1" w:themeColor="accent2" w:themeShade="BF"/>
      <w:sz w:val="20"/>
      <w:szCs w:val="20"/>
    </w:rPr>
  </w:style>
  <w:style w:type="paragraph" w:styleId="IntenseQuote">
    <w:name w:val="Intense Quote"/>
    <w:basedOn w:val="Normal"/>
    <w:next w:val="Normal"/>
    <w:link w:val="IntenseQuoteChar"/>
    <w:uiPriority w:val="30"/>
    <w:qFormat/>
    <w:rsid w:val="00F8762F"/>
    <w:pPr>
      <w:pBdr>
        <w:top w:val="dotted" w:sz="8" w:space="10" w:color="629DD1" w:themeColor="accent2"/>
        <w:bottom w:val="dotted" w:sz="8" w:space="10" w:color="629DD1" w:themeColor="accent2"/>
      </w:pBdr>
      <w:spacing w:after="200" w:line="300" w:lineRule="auto"/>
      <w:ind w:left="2160" w:right="2160"/>
      <w:jc w:val="center"/>
    </w:pPr>
    <w:rPr>
      <w:rFonts w:asciiTheme="majorHAnsi" w:eastAsiaTheme="majorEastAsia" w:hAnsiTheme="majorHAnsi" w:cstheme="majorBidi"/>
      <w:b/>
      <w:bCs/>
      <w:i/>
      <w:iCs/>
      <w:color w:val="629DD1" w:themeColor="accent2"/>
      <w:sz w:val="20"/>
      <w:szCs w:val="20"/>
      <w:lang w:eastAsia="en-US"/>
    </w:rPr>
  </w:style>
  <w:style w:type="character" w:customStyle="1" w:styleId="IntenseQuoteChar">
    <w:name w:val="Intense Quote Char"/>
    <w:basedOn w:val="DefaultParagraphFont"/>
    <w:link w:val="IntenseQuote"/>
    <w:uiPriority w:val="30"/>
    <w:rsid w:val="00F8762F"/>
    <w:rPr>
      <w:rFonts w:asciiTheme="majorHAnsi" w:eastAsiaTheme="majorEastAsia" w:hAnsiTheme="majorHAnsi" w:cstheme="majorBidi"/>
      <w:b/>
      <w:bCs/>
      <w:i/>
      <w:iCs/>
      <w:color w:val="629DD1" w:themeColor="accent2"/>
      <w:sz w:val="20"/>
      <w:szCs w:val="20"/>
    </w:rPr>
  </w:style>
  <w:style w:type="character" w:styleId="SubtleEmphasis">
    <w:name w:val="Subtle Emphasis"/>
    <w:uiPriority w:val="19"/>
    <w:qFormat/>
    <w:rsid w:val="00F8762F"/>
    <w:rPr>
      <w:rFonts w:asciiTheme="majorHAnsi" w:eastAsiaTheme="majorEastAsia" w:hAnsiTheme="majorHAnsi" w:cstheme="majorBidi"/>
      <w:i/>
      <w:iCs/>
      <w:color w:val="629DD1" w:themeColor="accent2"/>
    </w:rPr>
  </w:style>
  <w:style w:type="character" w:styleId="IntenseEmphasis">
    <w:name w:val="Intense Emphasis"/>
    <w:uiPriority w:val="21"/>
    <w:qFormat/>
    <w:rsid w:val="00F8762F"/>
    <w:rPr>
      <w:rFonts w:asciiTheme="majorHAnsi" w:eastAsiaTheme="majorEastAsia" w:hAnsiTheme="majorHAnsi" w:cstheme="majorBidi"/>
      <w:b/>
      <w:bCs/>
      <w:i/>
      <w:iCs/>
      <w:dstrike w:val="0"/>
      <w:color w:val="FFFFFF" w:themeColor="background1"/>
      <w:bdr w:val="single" w:sz="18" w:space="0" w:color="629DD1" w:themeColor="accent2"/>
      <w:shd w:val="clear" w:color="auto" w:fill="629DD1" w:themeFill="accent2"/>
      <w:vertAlign w:val="baseline"/>
    </w:rPr>
  </w:style>
  <w:style w:type="character" w:styleId="SubtleReference">
    <w:name w:val="Subtle Reference"/>
    <w:uiPriority w:val="31"/>
    <w:qFormat/>
    <w:rsid w:val="00F8762F"/>
    <w:rPr>
      <w:i/>
      <w:iCs/>
      <w:smallCaps/>
      <w:color w:val="629DD1" w:themeColor="accent2"/>
      <w:u w:color="629DD1" w:themeColor="accent2"/>
    </w:rPr>
  </w:style>
  <w:style w:type="character" w:styleId="IntenseReference">
    <w:name w:val="Intense Reference"/>
    <w:uiPriority w:val="32"/>
    <w:qFormat/>
    <w:rsid w:val="00F8762F"/>
    <w:rPr>
      <w:b/>
      <w:bCs/>
      <w:i/>
      <w:iCs/>
      <w:smallCaps/>
      <w:color w:val="629DD1" w:themeColor="accent2"/>
      <w:u w:color="629DD1" w:themeColor="accent2"/>
    </w:rPr>
  </w:style>
  <w:style w:type="character" w:styleId="BookTitle">
    <w:name w:val="Book Title"/>
    <w:uiPriority w:val="33"/>
    <w:qFormat/>
    <w:rsid w:val="00F8762F"/>
    <w:rPr>
      <w:rFonts w:asciiTheme="majorHAnsi" w:eastAsiaTheme="majorEastAsia" w:hAnsiTheme="majorHAnsi" w:cstheme="majorBidi"/>
      <w:b/>
      <w:bCs/>
      <w:i/>
      <w:iCs/>
      <w:smallCaps/>
      <w:color w:val="3476B1" w:themeColor="accent2" w:themeShade="BF"/>
      <w:u w:val="single"/>
    </w:rPr>
  </w:style>
  <w:style w:type="paragraph" w:customStyle="1" w:styleId="PersonalName">
    <w:name w:val="Personal Name"/>
    <w:basedOn w:val="Title"/>
    <w:rsid w:val="00F8762F"/>
    <w:rPr>
      <w:b/>
      <w:caps/>
      <w:color w:val="000000"/>
      <w:sz w:val="28"/>
      <w:szCs w:val="28"/>
    </w:rPr>
  </w:style>
  <w:style w:type="character" w:styleId="Hyperlink">
    <w:name w:val="Hyperlink"/>
    <w:basedOn w:val="DefaultParagraphFont"/>
    <w:uiPriority w:val="99"/>
    <w:unhideWhenUsed/>
    <w:rsid w:val="000A1E5F"/>
    <w:rPr>
      <w:color w:val="9454C3" w:themeColor="hyperlink"/>
      <w:u w:val="single"/>
    </w:rPr>
  </w:style>
  <w:style w:type="paragraph" w:styleId="Revision">
    <w:name w:val="Revision"/>
    <w:hidden/>
    <w:uiPriority w:val="99"/>
    <w:semiHidden/>
    <w:rsid w:val="00786204"/>
    <w:pPr>
      <w:spacing w:after="0" w:line="240" w:lineRule="auto"/>
    </w:pPr>
    <w:rPr>
      <w:i/>
      <w:iCs/>
      <w:sz w:val="20"/>
      <w:szCs w:val="20"/>
    </w:rPr>
  </w:style>
  <w:style w:type="paragraph" w:styleId="FootnoteText">
    <w:name w:val="footnote text"/>
    <w:basedOn w:val="Normal"/>
    <w:link w:val="FootnoteTextChar"/>
    <w:uiPriority w:val="99"/>
    <w:semiHidden/>
    <w:unhideWhenUsed/>
    <w:rsid w:val="003D6FEE"/>
    <w:rPr>
      <w:rFonts w:asciiTheme="minorHAnsi" w:eastAsiaTheme="minorEastAsia" w:hAnsiTheme="minorHAnsi" w:cstheme="minorBidi"/>
      <w:i/>
      <w:iCs/>
      <w:sz w:val="20"/>
      <w:szCs w:val="20"/>
      <w:lang w:eastAsia="en-US"/>
    </w:rPr>
  </w:style>
  <w:style w:type="character" w:customStyle="1" w:styleId="FootnoteTextChar">
    <w:name w:val="Footnote Text Char"/>
    <w:basedOn w:val="DefaultParagraphFont"/>
    <w:link w:val="FootnoteText"/>
    <w:uiPriority w:val="99"/>
    <w:semiHidden/>
    <w:rsid w:val="003D6FEE"/>
    <w:rPr>
      <w:i/>
      <w:iCs/>
      <w:sz w:val="20"/>
      <w:szCs w:val="20"/>
    </w:rPr>
  </w:style>
  <w:style w:type="character" w:styleId="FootnoteReference">
    <w:name w:val="footnote reference"/>
    <w:basedOn w:val="DefaultParagraphFont"/>
    <w:uiPriority w:val="99"/>
    <w:semiHidden/>
    <w:unhideWhenUsed/>
    <w:rsid w:val="003D6FEE"/>
    <w:rPr>
      <w:vertAlign w:val="superscript"/>
    </w:rPr>
  </w:style>
  <w:style w:type="paragraph" w:customStyle="1" w:styleId="StyleCorpsdetexte12ptJustifi1">
    <w:name w:val="Style Corps de texte + 12 pt Justifié1"/>
    <w:basedOn w:val="BodyText"/>
    <w:link w:val="StyleCorpsdetexte12ptJustifi1Car"/>
    <w:rsid w:val="007B2A16"/>
    <w:pPr>
      <w:spacing w:after="0" w:line="360" w:lineRule="auto"/>
    </w:pPr>
    <w:rPr>
      <w:rFonts w:ascii="Times New Roman" w:eastAsia="Times New Roman" w:hAnsi="Times New Roman" w:cs="Times New Roman"/>
      <w:i w:val="0"/>
      <w:iCs w:val="0"/>
      <w:sz w:val="24"/>
      <w:szCs w:val="24"/>
      <w:lang w:eastAsia="fr-FR"/>
    </w:rPr>
  </w:style>
  <w:style w:type="character" w:customStyle="1" w:styleId="StyleCorpsdetexte12ptJustifi1Car">
    <w:name w:val="Style Corps de texte + 12 pt Justifié1 Car"/>
    <w:link w:val="StyleCorpsdetexte12ptJustifi1"/>
    <w:rsid w:val="007B2A16"/>
    <w:rPr>
      <w:rFonts w:ascii="Times New Roman" w:eastAsia="Times New Roman" w:hAnsi="Times New Roman" w:cs="Times New Roman"/>
      <w:sz w:val="24"/>
      <w:szCs w:val="24"/>
      <w:lang w:val="fr-FR" w:eastAsia="fr-FR"/>
    </w:rPr>
  </w:style>
  <w:style w:type="paragraph" w:styleId="BodyText">
    <w:name w:val="Body Text"/>
    <w:basedOn w:val="Normal"/>
    <w:link w:val="BodyTextChar"/>
    <w:uiPriority w:val="99"/>
    <w:semiHidden/>
    <w:unhideWhenUsed/>
    <w:rsid w:val="007B2A16"/>
    <w:pPr>
      <w:spacing w:after="120" w:line="288" w:lineRule="auto"/>
    </w:pPr>
    <w:rPr>
      <w:rFonts w:asciiTheme="minorHAnsi" w:eastAsiaTheme="minorEastAsia" w:hAnsiTheme="minorHAnsi" w:cstheme="minorBidi"/>
      <w:i/>
      <w:iCs/>
      <w:sz w:val="20"/>
      <w:szCs w:val="20"/>
      <w:lang w:eastAsia="en-US"/>
    </w:rPr>
  </w:style>
  <w:style w:type="character" w:customStyle="1" w:styleId="BodyTextChar">
    <w:name w:val="Body Text Char"/>
    <w:basedOn w:val="DefaultParagraphFont"/>
    <w:link w:val="BodyText"/>
    <w:uiPriority w:val="99"/>
    <w:semiHidden/>
    <w:rsid w:val="007B2A16"/>
    <w:rPr>
      <w:i/>
      <w:iCs/>
      <w:sz w:val="20"/>
      <w:szCs w:val="20"/>
    </w:rPr>
  </w:style>
  <w:style w:type="table" w:styleId="GridTable4-Accent2">
    <w:name w:val="Grid Table 4 Accent 2"/>
    <w:basedOn w:val="TableNormal"/>
    <w:uiPriority w:val="49"/>
    <w:rsid w:val="00F93BD7"/>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character" w:styleId="CommentReference">
    <w:name w:val="annotation reference"/>
    <w:basedOn w:val="DefaultParagraphFont"/>
    <w:uiPriority w:val="99"/>
    <w:semiHidden/>
    <w:unhideWhenUsed/>
    <w:rsid w:val="002F4D8B"/>
    <w:rPr>
      <w:sz w:val="16"/>
      <w:szCs w:val="16"/>
    </w:rPr>
  </w:style>
  <w:style w:type="paragraph" w:styleId="CommentText">
    <w:name w:val="annotation text"/>
    <w:basedOn w:val="Normal"/>
    <w:link w:val="CommentTextChar"/>
    <w:uiPriority w:val="99"/>
    <w:unhideWhenUsed/>
    <w:rsid w:val="002F4D8B"/>
    <w:pPr>
      <w:spacing w:after="200"/>
    </w:pPr>
    <w:rPr>
      <w:rFonts w:asciiTheme="minorHAnsi" w:eastAsiaTheme="minorEastAsia" w:hAnsiTheme="minorHAnsi" w:cstheme="minorBidi"/>
      <w:i/>
      <w:iCs/>
      <w:sz w:val="20"/>
      <w:szCs w:val="20"/>
      <w:lang w:eastAsia="en-US"/>
    </w:rPr>
  </w:style>
  <w:style w:type="character" w:customStyle="1" w:styleId="CommentTextChar">
    <w:name w:val="Comment Text Char"/>
    <w:basedOn w:val="DefaultParagraphFont"/>
    <w:link w:val="CommentText"/>
    <w:uiPriority w:val="99"/>
    <w:rsid w:val="002F4D8B"/>
    <w:rPr>
      <w:i/>
      <w:iCs/>
      <w:sz w:val="20"/>
      <w:szCs w:val="20"/>
    </w:rPr>
  </w:style>
  <w:style w:type="paragraph" w:styleId="CommentSubject">
    <w:name w:val="annotation subject"/>
    <w:basedOn w:val="CommentText"/>
    <w:next w:val="CommentText"/>
    <w:link w:val="CommentSubjectChar"/>
    <w:uiPriority w:val="99"/>
    <w:semiHidden/>
    <w:unhideWhenUsed/>
    <w:rsid w:val="002F4D8B"/>
    <w:rPr>
      <w:b/>
      <w:bCs/>
    </w:rPr>
  </w:style>
  <w:style w:type="character" w:customStyle="1" w:styleId="CommentSubjectChar">
    <w:name w:val="Comment Subject Char"/>
    <w:basedOn w:val="CommentTextChar"/>
    <w:link w:val="CommentSubject"/>
    <w:uiPriority w:val="99"/>
    <w:semiHidden/>
    <w:rsid w:val="002F4D8B"/>
    <w:rPr>
      <w:b/>
      <w:bCs/>
      <w:i/>
      <w:iCs/>
      <w:sz w:val="20"/>
      <w:szCs w:val="20"/>
    </w:rPr>
  </w:style>
  <w:style w:type="table" w:styleId="PlainTable2">
    <w:name w:val="Plain Table 2"/>
    <w:basedOn w:val="TableNormal"/>
    <w:uiPriority w:val="42"/>
    <w:rsid w:val="009E44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9E44B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Accent1">
    <w:name w:val="List Table 6 Colorful Accent 1"/>
    <w:basedOn w:val="TableNormal"/>
    <w:uiPriority w:val="51"/>
    <w:rsid w:val="009E44BC"/>
    <w:pPr>
      <w:spacing w:after="0" w:line="240" w:lineRule="auto"/>
    </w:pPr>
    <w:rPr>
      <w:color w:val="374C80" w:themeColor="accent1" w:themeShade="BF"/>
    </w:rPr>
    <w:tblPr>
      <w:tblStyleRowBandSize w:val="1"/>
      <w:tblStyleColBandSize w:val="1"/>
      <w:tblBorders>
        <w:top w:val="single" w:sz="4" w:space="0" w:color="4A66AC" w:themeColor="accent1"/>
        <w:bottom w:val="single" w:sz="4" w:space="0" w:color="4A66AC" w:themeColor="accent1"/>
      </w:tblBorders>
    </w:tblPr>
    <w:tblStylePr w:type="firstRow">
      <w:rPr>
        <w:b/>
        <w:bCs/>
      </w:rPr>
      <w:tblPr/>
      <w:tcPr>
        <w:tcBorders>
          <w:bottom w:val="single" w:sz="4" w:space="0" w:color="4A66AC" w:themeColor="accent1"/>
        </w:tcBorders>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TableGrid">
    <w:name w:val="Table Grid"/>
    <w:basedOn w:val="TableNormal"/>
    <w:uiPriority w:val="39"/>
    <w:rsid w:val="002E3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1">
    <w:name w:val="Grid Table 6 Colorful Accent 1"/>
    <w:basedOn w:val="TableNormal"/>
    <w:uiPriority w:val="51"/>
    <w:rsid w:val="002E3225"/>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2-Accent1">
    <w:name w:val="List Table 2 Accent 1"/>
    <w:basedOn w:val="TableNormal"/>
    <w:uiPriority w:val="47"/>
    <w:rsid w:val="00AA2661"/>
    <w:pPr>
      <w:spacing w:after="0" w:line="240" w:lineRule="auto"/>
    </w:pPr>
    <w:tblPr>
      <w:tblStyleRowBandSize w:val="1"/>
      <w:tblStyleColBandSize w:val="1"/>
      <w:tblBorders>
        <w:top w:val="single" w:sz="4" w:space="0" w:color="90A1CF" w:themeColor="accent1" w:themeTint="99"/>
        <w:bottom w:val="single" w:sz="4" w:space="0" w:color="90A1CF" w:themeColor="accent1" w:themeTint="99"/>
        <w:insideH w:val="single" w:sz="4" w:space="0" w:color="90A1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7152">
      <w:bodyDiv w:val="1"/>
      <w:marLeft w:val="0"/>
      <w:marRight w:val="0"/>
      <w:marTop w:val="0"/>
      <w:marBottom w:val="0"/>
      <w:divBdr>
        <w:top w:val="none" w:sz="0" w:space="0" w:color="auto"/>
        <w:left w:val="none" w:sz="0" w:space="0" w:color="auto"/>
        <w:bottom w:val="none" w:sz="0" w:space="0" w:color="auto"/>
        <w:right w:val="none" w:sz="0" w:space="0" w:color="auto"/>
      </w:divBdr>
    </w:div>
    <w:div w:id="296762914">
      <w:bodyDiv w:val="1"/>
      <w:marLeft w:val="0"/>
      <w:marRight w:val="0"/>
      <w:marTop w:val="0"/>
      <w:marBottom w:val="0"/>
      <w:divBdr>
        <w:top w:val="none" w:sz="0" w:space="0" w:color="auto"/>
        <w:left w:val="none" w:sz="0" w:space="0" w:color="auto"/>
        <w:bottom w:val="none" w:sz="0" w:space="0" w:color="auto"/>
        <w:right w:val="none" w:sz="0" w:space="0" w:color="auto"/>
      </w:divBdr>
    </w:div>
    <w:div w:id="420101405">
      <w:bodyDiv w:val="1"/>
      <w:marLeft w:val="0"/>
      <w:marRight w:val="0"/>
      <w:marTop w:val="0"/>
      <w:marBottom w:val="0"/>
      <w:divBdr>
        <w:top w:val="none" w:sz="0" w:space="0" w:color="auto"/>
        <w:left w:val="none" w:sz="0" w:space="0" w:color="auto"/>
        <w:bottom w:val="none" w:sz="0" w:space="0" w:color="auto"/>
        <w:right w:val="none" w:sz="0" w:space="0" w:color="auto"/>
      </w:divBdr>
    </w:div>
    <w:div w:id="521356061">
      <w:bodyDiv w:val="1"/>
      <w:marLeft w:val="0"/>
      <w:marRight w:val="0"/>
      <w:marTop w:val="0"/>
      <w:marBottom w:val="0"/>
      <w:divBdr>
        <w:top w:val="none" w:sz="0" w:space="0" w:color="auto"/>
        <w:left w:val="none" w:sz="0" w:space="0" w:color="auto"/>
        <w:bottom w:val="none" w:sz="0" w:space="0" w:color="auto"/>
        <w:right w:val="none" w:sz="0" w:space="0" w:color="auto"/>
      </w:divBdr>
    </w:div>
    <w:div w:id="593320935">
      <w:bodyDiv w:val="1"/>
      <w:marLeft w:val="0"/>
      <w:marRight w:val="0"/>
      <w:marTop w:val="0"/>
      <w:marBottom w:val="0"/>
      <w:divBdr>
        <w:top w:val="none" w:sz="0" w:space="0" w:color="auto"/>
        <w:left w:val="none" w:sz="0" w:space="0" w:color="auto"/>
        <w:bottom w:val="none" w:sz="0" w:space="0" w:color="auto"/>
        <w:right w:val="none" w:sz="0" w:space="0" w:color="auto"/>
      </w:divBdr>
    </w:div>
    <w:div w:id="616452539">
      <w:bodyDiv w:val="1"/>
      <w:marLeft w:val="0"/>
      <w:marRight w:val="0"/>
      <w:marTop w:val="0"/>
      <w:marBottom w:val="0"/>
      <w:divBdr>
        <w:top w:val="none" w:sz="0" w:space="0" w:color="auto"/>
        <w:left w:val="none" w:sz="0" w:space="0" w:color="auto"/>
        <w:bottom w:val="none" w:sz="0" w:space="0" w:color="auto"/>
        <w:right w:val="none" w:sz="0" w:space="0" w:color="auto"/>
      </w:divBdr>
    </w:div>
    <w:div w:id="972172711">
      <w:bodyDiv w:val="1"/>
      <w:marLeft w:val="0"/>
      <w:marRight w:val="0"/>
      <w:marTop w:val="0"/>
      <w:marBottom w:val="0"/>
      <w:divBdr>
        <w:top w:val="none" w:sz="0" w:space="0" w:color="auto"/>
        <w:left w:val="none" w:sz="0" w:space="0" w:color="auto"/>
        <w:bottom w:val="none" w:sz="0" w:space="0" w:color="auto"/>
        <w:right w:val="none" w:sz="0" w:space="0" w:color="auto"/>
      </w:divBdr>
    </w:div>
    <w:div w:id="1262452296">
      <w:bodyDiv w:val="1"/>
      <w:marLeft w:val="0"/>
      <w:marRight w:val="0"/>
      <w:marTop w:val="0"/>
      <w:marBottom w:val="0"/>
      <w:divBdr>
        <w:top w:val="none" w:sz="0" w:space="0" w:color="auto"/>
        <w:left w:val="none" w:sz="0" w:space="0" w:color="auto"/>
        <w:bottom w:val="none" w:sz="0" w:space="0" w:color="auto"/>
        <w:right w:val="none" w:sz="0" w:space="0" w:color="auto"/>
      </w:divBdr>
    </w:div>
    <w:div w:id="14722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9" ma:contentTypeDescription="Gavi Document content type " ma:contentTypeScope="" ma:versionID="8abffd65a2549209876088ff7f5b6b5c">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1584af17f91b453a11c9380367a38"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GAVI-438364776-1058523</_dlc_DocId>
    <_dlc_DocIdUrl xmlns="55894003-98dc-4f3e-8669-85b90bdbcc8c">
      <Url>https://gavinet.sharepoint.com/teams/PAP/srp/_layouts/15/DocIdRedir.aspx?ID=GAVI-438364776-1058523</Url>
      <Description>GAVI-438364776-1058523</Description>
    </_dlc_DocIdUrl>
    <lcf76f155ced4ddcb4097134ff3c332f xmlns="5c2490db-6e42-4989-a0fb-d6ff54a6a7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05B38F-B5BF-41DC-AC61-86BA893CA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FC893-99B7-43D3-8A94-64FFA2C02395}">
  <ds:schemaRefs>
    <ds:schemaRef ds:uri="Microsoft.SharePoint.Taxonomy.ContentTypeSync"/>
  </ds:schemaRefs>
</ds:datastoreItem>
</file>

<file path=customXml/itemProps3.xml><?xml version="1.0" encoding="utf-8"?>
<ds:datastoreItem xmlns:ds="http://schemas.openxmlformats.org/officeDocument/2006/customXml" ds:itemID="{828CAE40-B11F-4561-8593-DCE07A113F7F}">
  <ds:schemaRefs>
    <ds:schemaRef ds:uri="http://schemas.microsoft.com/sharepoint/v3/contenttype/forms"/>
  </ds:schemaRefs>
</ds:datastoreItem>
</file>

<file path=customXml/itemProps4.xml><?xml version="1.0" encoding="utf-8"?>
<ds:datastoreItem xmlns:ds="http://schemas.openxmlformats.org/officeDocument/2006/customXml" ds:itemID="{D573E915-0B5B-49D4-A807-D46DF2C52946}">
  <ds:schemaRefs>
    <ds:schemaRef ds:uri="http://schemas.microsoft.com/sharepoint/events"/>
  </ds:schemaRefs>
</ds:datastoreItem>
</file>

<file path=customXml/itemProps5.xml><?xml version="1.0" encoding="utf-8"?>
<ds:datastoreItem xmlns:ds="http://schemas.openxmlformats.org/officeDocument/2006/customXml" ds:itemID="{D43FADF1-C257-464A-BDEA-3F7A1A806D21}">
  <ds:schemaRefs>
    <ds:schemaRef ds:uri="http://schemas.openxmlformats.org/officeDocument/2006/bibliography"/>
  </ds:schemaRefs>
</ds:datastoreItem>
</file>

<file path=customXml/itemProps6.xml><?xml version="1.0" encoding="utf-8"?>
<ds:datastoreItem xmlns:ds="http://schemas.openxmlformats.org/officeDocument/2006/customXml" ds:itemID="{C7C6A5CC-DBFB-4485-B0E8-496FEE7F435E}">
  <ds:schemaRefs>
    <ds:schemaRef ds:uri="http://schemas.microsoft.com/office/2006/metadata/properties"/>
    <ds:schemaRef ds:uri="http://schemas.microsoft.com/office/infopath/2007/PartnerControls"/>
    <ds:schemaRef ds:uri="d0706217-df7c-4bf4-936d-b09aa3b837af"/>
    <ds:schemaRef ds:uri="a0d399e1-4586-4335-9383-7d9098bfc9ba"/>
    <ds:schemaRef ds:uri="700359ba-e36c-422a-9925-ddada98091a9"/>
    <ds:schemaRef ds:uri="998dc545-0596-47bf-b914-7a05e078b45d"/>
    <ds:schemaRef ds:uri="55894003-98dc-4f3e-8669-85b90bdbcc8c"/>
    <ds:schemaRef ds:uri="5c2490db-6e42-4989-a0fb-d6ff54a6a7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3852</Words>
  <Characters>21959</Characters>
  <Application>Microsoft Office Word</Application>
  <DocSecurity>0</DocSecurity>
  <Lines>182</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25760</CharactersWithSpaces>
  <SharedDoc>false</SharedDoc>
  <HLinks>
    <vt:vector size="138" baseType="variant">
      <vt:variant>
        <vt:i4>1900600</vt:i4>
      </vt:variant>
      <vt:variant>
        <vt:i4>134</vt:i4>
      </vt:variant>
      <vt:variant>
        <vt:i4>0</vt:i4>
      </vt:variant>
      <vt:variant>
        <vt:i4>5</vt:i4>
      </vt:variant>
      <vt:variant>
        <vt:lpwstr/>
      </vt:variant>
      <vt:variant>
        <vt:lpwstr>_Toc97130907</vt:lpwstr>
      </vt:variant>
      <vt:variant>
        <vt:i4>1835064</vt:i4>
      </vt:variant>
      <vt:variant>
        <vt:i4>128</vt:i4>
      </vt:variant>
      <vt:variant>
        <vt:i4>0</vt:i4>
      </vt:variant>
      <vt:variant>
        <vt:i4>5</vt:i4>
      </vt:variant>
      <vt:variant>
        <vt:lpwstr/>
      </vt:variant>
      <vt:variant>
        <vt:lpwstr>_Toc97130906</vt:lpwstr>
      </vt:variant>
      <vt:variant>
        <vt:i4>2031672</vt:i4>
      </vt:variant>
      <vt:variant>
        <vt:i4>122</vt:i4>
      </vt:variant>
      <vt:variant>
        <vt:i4>0</vt:i4>
      </vt:variant>
      <vt:variant>
        <vt:i4>5</vt:i4>
      </vt:variant>
      <vt:variant>
        <vt:lpwstr/>
      </vt:variant>
      <vt:variant>
        <vt:lpwstr>_Toc97130905</vt:lpwstr>
      </vt:variant>
      <vt:variant>
        <vt:i4>1966136</vt:i4>
      </vt:variant>
      <vt:variant>
        <vt:i4>116</vt:i4>
      </vt:variant>
      <vt:variant>
        <vt:i4>0</vt:i4>
      </vt:variant>
      <vt:variant>
        <vt:i4>5</vt:i4>
      </vt:variant>
      <vt:variant>
        <vt:lpwstr/>
      </vt:variant>
      <vt:variant>
        <vt:lpwstr>_Toc97130904</vt:lpwstr>
      </vt:variant>
      <vt:variant>
        <vt:i4>1638456</vt:i4>
      </vt:variant>
      <vt:variant>
        <vt:i4>110</vt:i4>
      </vt:variant>
      <vt:variant>
        <vt:i4>0</vt:i4>
      </vt:variant>
      <vt:variant>
        <vt:i4>5</vt:i4>
      </vt:variant>
      <vt:variant>
        <vt:lpwstr/>
      </vt:variant>
      <vt:variant>
        <vt:lpwstr>_Toc97130903</vt:lpwstr>
      </vt:variant>
      <vt:variant>
        <vt:i4>1572920</vt:i4>
      </vt:variant>
      <vt:variant>
        <vt:i4>104</vt:i4>
      </vt:variant>
      <vt:variant>
        <vt:i4>0</vt:i4>
      </vt:variant>
      <vt:variant>
        <vt:i4>5</vt:i4>
      </vt:variant>
      <vt:variant>
        <vt:lpwstr/>
      </vt:variant>
      <vt:variant>
        <vt:lpwstr>_Toc97130902</vt:lpwstr>
      </vt:variant>
      <vt:variant>
        <vt:i4>1769528</vt:i4>
      </vt:variant>
      <vt:variant>
        <vt:i4>98</vt:i4>
      </vt:variant>
      <vt:variant>
        <vt:i4>0</vt:i4>
      </vt:variant>
      <vt:variant>
        <vt:i4>5</vt:i4>
      </vt:variant>
      <vt:variant>
        <vt:lpwstr/>
      </vt:variant>
      <vt:variant>
        <vt:lpwstr>_Toc97130901</vt:lpwstr>
      </vt:variant>
      <vt:variant>
        <vt:i4>1703992</vt:i4>
      </vt:variant>
      <vt:variant>
        <vt:i4>92</vt:i4>
      </vt:variant>
      <vt:variant>
        <vt:i4>0</vt:i4>
      </vt:variant>
      <vt:variant>
        <vt:i4>5</vt:i4>
      </vt:variant>
      <vt:variant>
        <vt:lpwstr/>
      </vt:variant>
      <vt:variant>
        <vt:lpwstr>_Toc97130900</vt:lpwstr>
      </vt:variant>
      <vt:variant>
        <vt:i4>1179697</vt:i4>
      </vt:variant>
      <vt:variant>
        <vt:i4>86</vt:i4>
      </vt:variant>
      <vt:variant>
        <vt:i4>0</vt:i4>
      </vt:variant>
      <vt:variant>
        <vt:i4>5</vt:i4>
      </vt:variant>
      <vt:variant>
        <vt:lpwstr/>
      </vt:variant>
      <vt:variant>
        <vt:lpwstr>_Toc97130899</vt:lpwstr>
      </vt:variant>
      <vt:variant>
        <vt:i4>1245233</vt:i4>
      </vt:variant>
      <vt:variant>
        <vt:i4>80</vt:i4>
      </vt:variant>
      <vt:variant>
        <vt:i4>0</vt:i4>
      </vt:variant>
      <vt:variant>
        <vt:i4>5</vt:i4>
      </vt:variant>
      <vt:variant>
        <vt:lpwstr/>
      </vt:variant>
      <vt:variant>
        <vt:lpwstr>_Toc97130898</vt:lpwstr>
      </vt:variant>
      <vt:variant>
        <vt:i4>1835057</vt:i4>
      </vt:variant>
      <vt:variant>
        <vt:i4>74</vt:i4>
      </vt:variant>
      <vt:variant>
        <vt:i4>0</vt:i4>
      </vt:variant>
      <vt:variant>
        <vt:i4>5</vt:i4>
      </vt:variant>
      <vt:variant>
        <vt:lpwstr/>
      </vt:variant>
      <vt:variant>
        <vt:lpwstr>_Toc97130897</vt:lpwstr>
      </vt:variant>
      <vt:variant>
        <vt:i4>1900593</vt:i4>
      </vt:variant>
      <vt:variant>
        <vt:i4>68</vt:i4>
      </vt:variant>
      <vt:variant>
        <vt:i4>0</vt:i4>
      </vt:variant>
      <vt:variant>
        <vt:i4>5</vt:i4>
      </vt:variant>
      <vt:variant>
        <vt:lpwstr/>
      </vt:variant>
      <vt:variant>
        <vt:lpwstr>_Toc97130896</vt:lpwstr>
      </vt:variant>
      <vt:variant>
        <vt:i4>1966129</vt:i4>
      </vt:variant>
      <vt:variant>
        <vt:i4>62</vt:i4>
      </vt:variant>
      <vt:variant>
        <vt:i4>0</vt:i4>
      </vt:variant>
      <vt:variant>
        <vt:i4>5</vt:i4>
      </vt:variant>
      <vt:variant>
        <vt:lpwstr/>
      </vt:variant>
      <vt:variant>
        <vt:lpwstr>_Toc97130895</vt:lpwstr>
      </vt:variant>
      <vt:variant>
        <vt:i4>2031665</vt:i4>
      </vt:variant>
      <vt:variant>
        <vt:i4>56</vt:i4>
      </vt:variant>
      <vt:variant>
        <vt:i4>0</vt:i4>
      </vt:variant>
      <vt:variant>
        <vt:i4>5</vt:i4>
      </vt:variant>
      <vt:variant>
        <vt:lpwstr/>
      </vt:variant>
      <vt:variant>
        <vt:lpwstr>_Toc97130894</vt:lpwstr>
      </vt:variant>
      <vt:variant>
        <vt:i4>1572913</vt:i4>
      </vt:variant>
      <vt:variant>
        <vt:i4>50</vt:i4>
      </vt:variant>
      <vt:variant>
        <vt:i4>0</vt:i4>
      </vt:variant>
      <vt:variant>
        <vt:i4>5</vt:i4>
      </vt:variant>
      <vt:variant>
        <vt:lpwstr/>
      </vt:variant>
      <vt:variant>
        <vt:lpwstr>_Toc97130893</vt:lpwstr>
      </vt:variant>
      <vt:variant>
        <vt:i4>1638449</vt:i4>
      </vt:variant>
      <vt:variant>
        <vt:i4>44</vt:i4>
      </vt:variant>
      <vt:variant>
        <vt:i4>0</vt:i4>
      </vt:variant>
      <vt:variant>
        <vt:i4>5</vt:i4>
      </vt:variant>
      <vt:variant>
        <vt:lpwstr/>
      </vt:variant>
      <vt:variant>
        <vt:lpwstr>_Toc97130892</vt:lpwstr>
      </vt:variant>
      <vt:variant>
        <vt:i4>1703985</vt:i4>
      </vt:variant>
      <vt:variant>
        <vt:i4>38</vt:i4>
      </vt:variant>
      <vt:variant>
        <vt:i4>0</vt:i4>
      </vt:variant>
      <vt:variant>
        <vt:i4>5</vt:i4>
      </vt:variant>
      <vt:variant>
        <vt:lpwstr/>
      </vt:variant>
      <vt:variant>
        <vt:lpwstr>_Toc97130891</vt:lpwstr>
      </vt:variant>
      <vt:variant>
        <vt:i4>1769521</vt:i4>
      </vt:variant>
      <vt:variant>
        <vt:i4>32</vt:i4>
      </vt:variant>
      <vt:variant>
        <vt:i4>0</vt:i4>
      </vt:variant>
      <vt:variant>
        <vt:i4>5</vt:i4>
      </vt:variant>
      <vt:variant>
        <vt:lpwstr/>
      </vt:variant>
      <vt:variant>
        <vt:lpwstr>_Toc97130890</vt:lpwstr>
      </vt:variant>
      <vt:variant>
        <vt:i4>1179696</vt:i4>
      </vt:variant>
      <vt:variant>
        <vt:i4>26</vt:i4>
      </vt:variant>
      <vt:variant>
        <vt:i4>0</vt:i4>
      </vt:variant>
      <vt:variant>
        <vt:i4>5</vt:i4>
      </vt:variant>
      <vt:variant>
        <vt:lpwstr/>
      </vt:variant>
      <vt:variant>
        <vt:lpwstr>_Toc97130889</vt:lpwstr>
      </vt:variant>
      <vt:variant>
        <vt:i4>1245232</vt:i4>
      </vt:variant>
      <vt:variant>
        <vt:i4>20</vt:i4>
      </vt:variant>
      <vt:variant>
        <vt:i4>0</vt:i4>
      </vt:variant>
      <vt:variant>
        <vt:i4>5</vt:i4>
      </vt:variant>
      <vt:variant>
        <vt:lpwstr/>
      </vt:variant>
      <vt:variant>
        <vt:lpwstr>_Toc97130888</vt:lpwstr>
      </vt:variant>
      <vt:variant>
        <vt:i4>1835056</vt:i4>
      </vt:variant>
      <vt:variant>
        <vt:i4>14</vt:i4>
      </vt:variant>
      <vt:variant>
        <vt:i4>0</vt:i4>
      </vt:variant>
      <vt:variant>
        <vt:i4>5</vt:i4>
      </vt:variant>
      <vt:variant>
        <vt:lpwstr/>
      </vt:variant>
      <vt:variant>
        <vt:lpwstr>_Toc97130887</vt:lpwstr>
      </vt:variant>
      <vt:variant>
        <vt:i4>1900592</vt:i4>
      </vt:variant>
      <vt:variant>
        <vt:i4>8</vt:i4>
      </vt:variant>
      <vt:variant>
        <vt:i4>0</vt:i4>
      </vt:variant>
      <vt:variant>
        <vt:i4>5</vt:i4>
      </vt:variant>
      <vt:variant>
        <vt:lpwstr/>
      </vt:variant>
      <vt:variant>
        <vt:lpwstr>_Toc97130886</vt:lpwstr>
      </vt:variant>
      <vt:variant>
        <vt:i4>1966128</vt:i4>
      </vt:variant>
      <vt:variant>
        <vt:i4>2</vt:i4>
      </vt:variant>
      <vt:variant>
        <vt:i4>0</vt:i4>
      </vt:variant>
      <vt:variant>
        <vt:i4>5</vt:i4>
      </vt:variant>
      <vt:variant>
        <vt:lpwstr/>
      </vt:variant>
      <vt:variant>
        <vt:lpwstr>_Toc97130885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TCHOKFE NDOULA Shalom</dc:creator>
  <cp:keywords/>
  <dc:description/>
  <cp:lastModifiedBy>Anna Waldenström (Consultant)</cp:lastModifiedBy>
  <cp:revision>2</cp:revision>
  <dcterms:created xsi:type="dcterms:W3CDTF">2023-04-24T09:13:00Z</dcterms:created>
  <dcterms:modified xsi:type="dcterms:W3CDTF">2023-04-24T09:13:00Z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15e0ed5f-027f-4533-9388-1f41f8a205fb</vt:lpwstr>
  </property>
  <property fmtid="{D5CDD505-2E9C-101B-9397-08002B2CF9AE}" pid="4" name="MSIP_Label_0a957285-7815-485a-9751-5b273b784ad5_Enabled">
    <vt:lpwstr>true</vt:lpwstr>
  </property>
  <property fmtid="{D5CDD505-2E9C-101B-9397-08002B2CF9AE}" pid="5" name="MSIP_Label_0a957285-7815-485a-9751-5b273b784ad5_SetDate">
    <vt:lpwstr>2022-03-03T19:27:39Z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7e6a5636-721f-4163-b6f6-e4d1737aeab7</vt:lpwstr>
  </property>
  <property fmtid="{D5CDD505-2E9C-101B-9397-08002B2CF9AE}" pid="10" name="MSIP_Label_0a957285-7815-485a-9751-5b273b784ad5_ContentBits">
    <vt:lpwstr>0</vt:lpwstr>
  </property>
  <property fmtid="{D5CDD505-2E9C-101B-9397-08002B2CF9AE}" pid="11" name="MediaServiceImageTags">
    <vt:lpwstr/>
  </property>
  <property fmtid="{D5CDD505-2E9C-101B-9397-08002B2CF9AE}" pid="12" name="Health">
    <vt:lpwstr/>
  </property>
  <property fmtid="{D5CDD505-2E9C-101B-9397-08002B2CF9AE}" pid="13" name="kfa83adfad8641678ddaedda80d7e126">
    <vt:lpwstr/>
  </property>
  <property fmtid="{D5CDD505-2E9C-101B-9397-08002B2CF9AE}" pid="14" name="Test">
    <vt:lpwstr/>
  </property>
</Properties>
</file>