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75479" w14:textId="6AD4504C" w:rsidR="001C6141" w:rsidRDefault="00FB675F" w:rsidP="00FB675F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P</w:t>
      </w:r>
      <w:r w:rsidR="004964C2" w:rsidRPr="00C32C6C">
        <w:rPr>
          <w:b/>
          <w:bCs/>
          <w:color w:val="0070C0"/>
          <w:sz w:val="32"/>
          <w:szCs w:val="32"/>
        </w:rPr>
        <w:t>lan de formation et de maintenance</w:t>
      </w:r>
      <w:r w:rsidR="00907FFE" w:rsidRPr="00C32C6C">
        <w:rPr>
          <w:b/>
          <w:bCs/>
          <w:color w:val="0070C0"/>
          <w:sz w:val="32"/>
          <w:szCs w:val="32"/>
        </w:rPr>
        <w:t xml:space="preserve"> des matériels et logistiques PEV</w:t>
      </w:r>
      <w:r w:rsidR="004964C2" w:rsidRPr="00C32C6C">
        <w:rPr>
          <w:b/>
          <w:bCs/>
          <w:color w:val="0070C0"/>
          <w:sz w:val="32"/>
          <w:szCs w:val="32"/>
        </w:rPr>
        <w:t xml:space="preserve"> 2016-2017</w:t>
      </w:r>
    </w:p>
    <w:p w14:paraId="5CEBBC49" w14:textId="77777777" w:rsidR="00FB675F" w:rsidRDefault="00FB675F" w:rsidP="00FB675F">
      <w:pPr>
        <w:pStyle w:val="Paragraphedeliste"/>
        <w:spacing w:after="0" w:line="240" w:lineRule="auto"/>
        <w:rPr>
          <w:b/>
          <w:bCs/>
          <w:color w:val="0070C0"/>
          <w:sz w:val="32"/>
          <w:szCs w:val="32"/>
        </w:rPr>
      </w:pPr>
    </w:p>
    <w:p w14:paraId="5755161E" w14:textId="5D0DD384" w:rsidR="00FB675F" w:rsidRPr="00FB675F" w:rsidRDefault="00FB675F" w:rsidP="00FB675F">
      <w:pPr>
        <w:spacing w:after="0" w:line="240" w:lineRule="auto"/>
        <w:ind w:left="360"/>
        <w:jc w:val="both"/>
        <w:rPr>
          <w:sz w:val="28"/>
          <w:szCs w:val="28"/>
        </w:rPr>
      </w:pPr>
      <w:r w:rsidRPr="00FB675F">
        <w:rPr>
          <w:sz w:val="28"/>
          <w:szCs w:val="28"/>
        </w:rPr>
        <w:t xml:space="preserve">Le Ministère de la santé et ses partenaires ont réalisé d’importants investissements qui ont </w:t>
      </w:r>
      <w:r w:rsidR="00920EC0" w:rsidRPr="00FB675F">
        <w:rPr>
          <w:sz w:val="28"/>
          <w:szCs w:val="28"/>
        </w:rPr>
        <w:t xml:space="preserve">permis </w:t>
      </w:r>
      <w:r w:rsidR="00920EC0">
        <w:rPr>
          <w:sz w:val="28"/>
          <w:szCs w:val="28"/>
        </w:rPr>
        <w:t>l’acquisition</w:t>
      </w:r>
      <w:r>
        <w:rPr>
          <w:sz w:val="28"/>
          <w:szCs w:val="28"/>
        </w:rPr>
        <w:t xml:space="preserve"> d’u</w:t>
      </w:r>
      <w:r w:rsidRPr="00FB675F">
        <w:rPr>
          <w:sz w:val="28"/>
          <w:szCs w:val="28"/>
        </w:rPr>
        <w:t>n grand nombre d’équipements biomédicaux divers dont, un parc de chaines de froids.</w:t>
      </w:r>
    </w:p>
    <w:p w14:paraId="7FFF627A" w14:textId="0EC077B0" w:rsidR="00FB675F" w:rsidRPr="00FB675F" w:rsidRDefault="00FB675F" w:rsidP="00FB675F">
      <w:pPr>
        <w:spacing w:after="0" w:line="240" w:lineRule="auto"/>
        <w:ind w:left="360"/>
        <w:jc w:val="both"/>
        <w:rPr>
          <w:sz w:val="28"/>
          <w:szCs w:val="28"/>
        </w:rPr>
      </w:pPr>
      <w:r w:rsidRPr="00FB675F">
        <w:rPr>
          <w:sz w:val="28"/>
          <w:szCs w:val="28"/>
        </w:rPr>
        <w:t>L’entretien régulier de ce matériel nécessite l’élaboration et la mise en œuvre d’un plan d’action.</w:t>
      </w:r>
    </w:p>
    <w:p w14:paraId="19906726" w14:textId="131B3DC2" w:rsidR="004964C2" w:rsidRDefault="00FB675F" w:rsidP="00FB675F">
      <w:pPr>
        <w:spacing w:after="0" w:line="240" w:lineRule="auto"/>
        <w:ind w:left="360"/>
        <w:jc w:val="both"/>
        <w:rPr>
          <w:sz w:val="28"/>
          <w:szCs w:val="28"/>
        </w:rPr>
      </w:pPr>
      <w:r w:rsidRPr="00FB675F">
        <w:rPr>
          <w:sz w:val="28"/>
          <w:szCs w:val="28"/>
        </w:rPr>
        <w:t xml:space="preserve">Ce </w:t>
      </w:r>
      <w:r>
        <w:rPr>
          <w:sz w:val="28"/>
          <w:szCs w:val="28"/>
        </w:rPr>
        <w:t>plan</w:t>
      </w:r>
      <w:r w:rsidR="00907FFE">
        <w:rPr>
          <w:sz w:val="28"/>
          <w:szCs w:val="28"/>
        </w:rPr>
        <w:t xml:space="preserve"> </w:t>
      </w:r>
      <w:r>
        <w:rPr>
          <w:sz w:val="28"/>
          <w:szCs w:val="28"/>
        </w:rPr>
        <w:t>doit viser l’opérationnalisation</w:t>
      </w:r>
      <w:r w:rsidR="00907FFE">
        <w:rPr>
          <w:sz w:val="28"/>
          <w:szCs w:val="28"/>
        </w:rPr>
        <w:t xml:space="preserve"> de la stratégie de maintenance </w:t>
      </w:r>
      <w:r w:rsidR="00907FFE" w:rsidRPr="00907FFE">
        <w:rPr>
          <w:sz w:val="28"/>
          <w:szCs w:val="28"/>
        </w:rPr>
        <w:t xml:space="preserve">des matériels et logistiques </w:t>
      </w:r>
      <w:r w:rsidR="00907FFE">
        <w:rPr>
          <w:sz w:val="28"/>
          <w:szCs w:val="28"/>
        </w:rPr>
        <w:t>du PEV pour la période 2016-2017.</w:t>
      </w:r>
    </w:p>
    <w:p w14:paraId="53D1D154" w14:textId="572DD4DF" w:rsidR="004C5F7E" w:rsidRDefault="00907FFE" w:rsidP="008C1CDA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Le volume très important des investissements que l’Etat et ses partenaires</w:t>
      </w:r>
      <w:r w:rsidR="004C5F7E">
        <w:rPr>
          <w:sz w:val="28"/>
          <w:szCs w:val="28"/>
        </w:rPr>
        <w:t>,</w:t>
      </w:r>
      <w:r>
        <w:rPr>
          <w:sz w:val="28"/>
          <w:szCs w:val="28"/>
        </w:rPr>
        <w:t xml:space="preserve"> particulièrement le GAVI ont réalisé récemment ou programmé dans </w:t>
      </w:r>
      <w:r w:rsidR="003A5D22">
        <w:rPr>
          <w:sz w:val="28"/>
          <w:szCs w:val="28"/>
        </w:rPr>
        <w:t>un futur</w:t>
      </w:r>
      <w:r w:rsidR="0041645B">
        <w:rPr>
          <w:sz w:val="28"/>
          <w:szCs w:val="28"/>
        </w:rPr>
        <w:t xml:space="preserve"> proche</w:t>
      </w:r>
      <w:r>
        <w:rPr>
          <w:sz w:val="28"/>
          <w:szCs w:val="28"/>
        </w:rPr>
        <w:t xml:space="preserve"> exige </w:t>
      </w:r>
      <w:r w:rsidR="004C5F7E">
        <w:rPr>
          <w:sz w:val="28"/>
          <w:szCs w:val="28"/>
        </w:rPr>
        <w:t>la mise en place d’une vision réalisable de maintenance à tous les niveaux pour garantir la pérennité et la viabilité de ces investissements.</w:t>
      </w:r>
    </w:p>
    <w:p w14:paraId="61E807DF" w14:textId="5823D4C4" w:rsidR="004C5F7E" w:rsidRDefault="005656D3" w:rsidP="00022212">
      <w:pPr>
        <w:spacing w:after="0" w:line="240" w:lineRule="auto"/>
        <w:ind w:left="360"/>
        <w:jc w:val="both"/>
        <w:rPr>
          <w:sz w:val="28"/>
          <w:szCs w:val="28"/>
        </w:rPr>
      </w:pPr>
      <w:r w:rsidRPr="00FF02A0">
        <w:rPr>
          <w:sz w:val="28"/>
          <w:szCs w:val="28"/>
        </w:rPr>
        <w:t>Aussi</w:t>
      </w:r>
      <w:r w:rsidR="0041645B" w:rsidRPr="00FF02A0">
        <w:rPr>
          <w:sz w:val="28"/>
          <w:szCs w:val="28"/>
        </w:rPr>
        <w:t>,</w:t>
      </w:r>
      <w:r w:rsidRPr="00FF02A0">
        <w:rPr>
          <w:sz w:val="28"/>
          <w:szCs w:val="28"/>
        </w:rPr>
        <w:t xml:space="preserve"> une évaluation de la GEV (gestion efficace des vaccins) a été conduite en 2014 et a abouti à une série de recommandations relatives </w:t>
      </w:r>
      <w:r w:rsidR="003A5D22" w:rsidRPr="00FF02A0">
        <w:rPr>
          <w:sz w:val="28"/>
          <w:szCs w:val="28"/>
        </w:rPr>
        <w:t>aux 9</w:t>
      </w:r>
      <w:r w:rsidRPr="00FF02A0">
        <w:rPr>
          <w:sz w:val="28"/>
          <w:szCs w:val="28"/>
        </w:rPr>
        <w:t xml:space="preserve"> composantes. </w:t>
      </w:r>
      <w:r w:rsidR="00541092" w:rsidRPr="00FF02A0">
        <w:rPr>
          <w:sz w:val="28"/>
          <w:szCs w:val="28"/>
        </w:rPr>
        <w:t>Ce plan va servir</w:t>
      </w:r>
      <w:r w:rsidRPr="00FF02A0">
        <w:rPr>
          <w:sz w:val="28"/>
          <w:szCs w:val="28"/>
        </w:rPr>
        <w:t xml:space="preserve"> également à la programmation de la mise en œuvre des</w:t>
      </w:r>
      <w:r w:rsidR="0041645B" w:rsidRPr="00FF02A0">
        <w:rPr>
          <w:sz w:val="28"/>
          <w:szCs w:val="28"/>
        </w:rPr>
        <w:t xml:space="preserve"> </w:t>
      </w:r>
      <w:r w:rsidRPr="00FF02A0">
        <w:rPr>
          <w:sz w:val="28"/>
          <w:szCs w:val="28"/>
        </w:rPr>
        <w:t>dites recommandations.</w:t>
      </w:r>
    </w:p>
    <w:p w14:paraId="1D82EFD9" w14:textId="77777777" w:rsidR="004C5F7E" w:rsidRDefault="004C5F7E" w:rsidP="004C5F7E">
      <w:pPr>
        <w:pStyle w:val="Paragraphedeliste"/>
        <w:numPr>
          <w:ilvl w:val="1"/>
          <w:numId w:val="2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Objectif</w:t>
      </w:r>
      <w:r w:rsidR="00C32C6C">
        <w:rPr>
          <w:b/>
          <w:bCs/>
          <w:color w:val="0070C0"/>
          <w:sz w:val="28"/>
          <w:szCs w:val="28"/>
        </w:rPr>
        <w:t xml:space="preserve"> général</w:t>
      </w:r>
    </w:p>
    <w:p w14:paraId="433818A5" w14:textId="56A43D48" w:rsidR="004C5F7E" w:rsidRPr="004C5F7E" w:rsidRDefault="004C5F7E" w:rsidP="003C1B0E">
      <w:pPr>
        <w:spacing w:after="0" w:line="240" w:lineRule="auto"/>
        <w:ind w:left="360"/>
        <w:jc w:val="both"/>
        <w:rPr>
          <w:sz w:val="28"/>
          <w:szCs w:val="28"/>
        </w:rPr>
      </w:pPr>
      <w:r w:rsidRPr="004C5F7E">
        <w:rPr>
          <w:sz w:val="28"/>
          <w:szCs w:val="28"/>
        </w:rPr>
        <w:t>Assurer une mai</w:t>
      </w:r>
      <w:r w:rsidR="00C32C6C">
        <w:rPr>
          <w:sz w:val="28"/>
          <w:szCs w:val="28"/>
        </w:rPr>
        <w:t>ntenance préventive et curative régulière des logistiques d</w:t>
      </w:r>
      <w:r w:rsidR="003C1B0E">
        <w:rPr>
          <w:sz w:val="28"/>
          <w:szCs w:val="28"/>
        </w:rPr>
        <w:t xml:space="preserve">u PEV </w:t>
      </w:r>
      <w:r w:rsidRPr="004C5F7E">
        <w:rPr>
          <w:sz w:val="28"/>
          <w:szCs w:val="28"/>
        </w:rPr>
        <w:t>avec une autonomie des régions en la matière</w:t>
      </w:r>
      <w:r>
        <w:rPr>
          <w:sz w:val="28"/>
          <w:szCs w:val="28"/>
        </w:rPr>
        <w:t>.</w:t>
      </w:r>
    </w:p>
    <w:p w14:paraId="5A16505A" w14:textId="6D671195" w:rsidR="00907FFE" w:rsidRPr="004C5F7E" w:rsidRDefault="004C5F7E" w:rsidP="004C5F7E">
      <w:pPr>
        <w:pStyle w:val="Paragraphedeliste"/>
        <w:numPr>
          <w:ilvl w:val="1"/>
          <w:numId w:val="2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4C5F7E">
        <w:rPr>
          <w:b/>
          <w:bCs/>
          <w:color w:val="0070C0"/>
          <w:sz w:val="28"/>
          <w:szCs w:val="28"/>
        </w:rPr>
        <w:t xml:space="preserve">Matrice du plan d’action </w:t>
      </w:r>
      <w:r w:rsidR="00FC18F9">
        <w:rPr>
          <w:b/>
          <w:bCs/>
          <w:color w:val="0070C0"/>
          <w:sz w:val="28"/>
          <w:szCs w:val="28"/>
        </w:rPr>
        <w:t>(</w:t>
      </w:r>
      <w:r w:rsidR="00FC18F9" w:rsidRPr="00FC18F9">
        <w:rPr>
          <w:b/>
          <w:bCs/>
        </w:rPr>
        <w:t>voir version Excel dans le plan global de la</w:t>
      </w:r>
      <w:r w:rsidR="00FC18F9">
        <w:rPr>
          <w:b/>
          <w:bCs/>
        </w:rPr>
        <w:t xml:space="preserve"> </w:t>
      </w:r>
      <w:r w:rsidR="00FC18F9" w:rsidRPr="00FC18F9">
        <w:rPr>
          <w:b/>
          <w:bCs/>
        </w:rPr>
        <w:t>soumission</w:t>
      </w:r>
      <w:r w:rsidR="00FC18F9">
        <w:rPr>
          <w:b/>
          <w:bCs/>
          <w:color w:val="0070C0"/>
          <w:sz w:val="28"/>
          <w:szCs w:val="28"/>
        </w:rPr>
        <w:t>)</w:t>
      </w:r>
    </w:p>
    <w:tbl>
      <w:tblPr>
        <w:tblW w:w="1068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2127"/>
        <w:gridCol w:w="1149"/>
        <w:gridCol w:w="449"/>
        <w:gridCol w:w="1276"/>
        <w:gridCol w:w="1134"/>
        <w:gridCol w:w="1842"/>
        <w:gridCol w:w="1734"/>
      </w:tblGrid>
      <w:tr w:rsidR="002D685F" w:rsidRPr="002D685F" w14:paraId="73062025" w14:textId="77777777" w:rsidTr="00F077F0">
        <w:trPr>
          <w:trHeight w:val="315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0005" w14:textId="72E5B4AD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2D68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Produits  attenus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ACFC" w14:textId="7151339A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Activités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7326A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Budgétisation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D184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Chronogramme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99F6" w14:textId="5335845E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Responsable</w:t>
            </w:r>
          </w:p>
        </w:tc>
      </w:tr>
      <w:tr w:rsidR="002D685F" w:rsidRPr="002D685F" w14:paraId="78041EE6" w14:textId="77777777" w:rsidTr="00F077F0">
        <w:trPr>
          <w:trHeight w:val="540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2AF8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4BED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A927" w14:textId="4723F9DE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CU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FFC7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Qua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617D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Couts totaux (MRO)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DD57" w14:textId="4A358CD2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Source du financement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1FDA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F8CF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2D685F" w:rsidRPr="002D685F" w14:paraId="2B20D381" w14:textId="77777777" w:rsidTr="00F077F0">
        <w:trPr>
          <w:trHeight w:val="795"/>
        </w:trPr>
        <w:tc>
          <w:tcPr>
            <w:tcW w:w="10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224794" w14:textId="03681F99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fr-FR"/>
              </w:rPr>
              <w:t>1- Chaque région de 15 régions que compte le pays dispose d'une équipe bien formée et opérationnelle sur la maintenance préventive et curative des logistiques, matériels et équipements du PEV</w:t>
            </w:r>
          </w:p>
        </w:tc>
      </w:tr>
      <w:tr w:rsidR="002D685F" w:rsidRPr="002D685F" w14:paraId="2AD8C480" w14:textId="77777777" w:rsidTr="00F077F0">
        <w:trPr>
          <w:trHeight w:val="153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D46E" w14:textId="4C90D2C0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4E43" w14:textId="3F873314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1-1 Etablissement d'un contrat avec une boite de maintenance au niveau central pour assurer l'accompagnement et </w:t>
            </w:r>
            <w:r w:rsidR="00F077F0" w:rsidRPr="00F077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l’encadrement des</w:t>
            </w: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activités de maintenance au niveau opérationnel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53AF330F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H/J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6B4AC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E561" w14:textId="5C9E22E8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58B3D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BE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B7B34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1ère trimestre 2017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23DC6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PEV central</w:t>
            </w:r>
          </w:p>
        </w:tc>
      </w:tr>
      <w:tr w:rsidR="002D685F" w:rsidRPr="002D685F" w14:paraId="4C18D633" w14:textId="77777777" w:rsidTr="00F077F0">
        <w:trPr>
          <w:trHeight w:val="105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27BC" w14:textId="39AE0934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2AD8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1-2 Mise en place d'une équipe de maintenance par région (deux personnes dont un contractuel avec un salaire de 59000 MRO)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683F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H/J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3989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3853" w14:textId="00728F4A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6 372 000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B639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GAVI/RSS1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7C1B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1ère trimestre 2017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D1A7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PEV central</w:t>
            </w:r>
          </w:p>
        </w:tc>
      </w:tr>
      <w:tr w:rsidR="002D685F" w:rsidRPr="002D685F" w14:paraId="0F90183D" w14:textId="77777777" w:rsidTr="00F077F0">
        <w:trPr>
          <w:trHeight w:val="118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36E5" w14:textId="45EFBA70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DD43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1-3 Recyclage et formation des équipes régionales de maintenance (Organisation d'un atelier de 7 jours pour former recycler les équipes sur la </w:t>
            </w: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>technique de maintenance)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26BD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>H/J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DA81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6964" w14:textId="04C70FD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1C0F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GAVI/RSS1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59AB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1ème trimestre 2017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D661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PEV central</w:t>
            </w:r>
          </w:p>
        </w:tc>
      </w:tr>
      <w:tr w:rsidR="002D685F" w:rsidRPr="002D685F" w14:paraId="094EF2B7" w14:textId="77777777" w:rsidTr="00F077F0">
        <w:trPr>
          <w:trHeight w:val="118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9D33" w14:textId="63B762B3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7A7B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Acquisition d'une unité informatique destinée au service de maintenance par région (chantier de maintenance)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8910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234 000,00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167C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6DA2" w14:textId="2CED90DA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D0D8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GAVI/RSS1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C503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1ème trimestre 2017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D611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PEV central</w:t>
            </w:r>
          </w:p>
        </w:tc>
      </w:tr>
      <w:tr w:rsidR="002D685F" w:rsidRPr="002D685F" w14:paraId="02D311FB" w14:textId="77777777" w:rsidTr="00F077F0">
        <w:trPr>
          <w:trHeight w:val="69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1439" w14:textId="30DAB7AA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9BF6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1-4 Acquisition de 15 kits de </w:t>
            </w:r>
            <w:proofErr w:type="spell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maitenance</w:t>
            </w:r>
            <w:proofErr w:type="spell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par région (contenu à préciser par le PEV)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EA42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1475675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C129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4446" w14:textId="03D250CE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13 281 075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E700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GAVI/RSS1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E656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1ème trimestre 2017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3B0B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PEV central</w:t>
            </w:r>
          </w:p>
        </w:tc>
      </w:tr>
      <w:tr w:rsidR="002D685F" w:rsidRPr="002D685F" w14:paraId="1D42CDB6" w14:textId="77777777" w:rsidTr="00F077F0">
        <w:trPr>
          <w:trHeight w:val="75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7CC2" w14:textId="36729D4B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0F9F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1-5 formation des PF maintenance par </w:t>
            </w:r>
            <w:proofErr w:type="spell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Moughataa</w:t>
            </w:r>
            <w:proofErr w:type="spell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(Major CSM ou PF PEV)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1BF5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H/J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4DA3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3291" w14:textId="04ED5704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C209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GAVI/RSS1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B98C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1ème trimestre 2017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0760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PEV central</w:t>
            </w:r>
          </w:p>
        </w:tc>
      </w:tr>
      <w:tr w:rsidR="002D685F" w:rsidRPr="002D685F" w14:paraId="76B4078B" w14:textId="77777777" w:rsidTr="00F077F0">
        <w:trPr>
          <w:trHeight w:val="127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7ECF" w14:textId="202FE994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8DD0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1-6 Tenir une séance de formation </w:t>
            </w:r>
            <w:proofErr w:type="gram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recyclage  dans</w:t>
            </w:r>
            <w:proofErr w:type="gram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chaque </w:t>
            </w:r>
            <w:proofErr w:type="spell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Moughataa</w:t>
            </w:r>
            <w:proofErr w:type="spell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au profit des ICP et responsables vaccination dans les hôpitaux pour les initier sur la maintenance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2A65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séances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499E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25F0" w14:textId="244B7656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18 400 000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459F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UNICEF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D201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1ème trimestre 2017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6A1F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PEV central</w:t>
            </w:r>
          </w:p>
        </w:tc>
      </w:tr>
      <w:tr w:rsidR="002D685F" w:rsidRPr="002D685F" w14:paraId="3533BF69" w14:textId="77777777" w:rsidTr="00F077F0">
        <w:trPr>
          <w:trHeight w:val="105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48FE" w14:textId="7E0797B5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2EE2" w14:textId="0453EC20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1-7 Aménagement d'une place au niveau de chaque région réservée à l'atelier de </w:t>
            </w:r>
            <w:proofErr w:type="spell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maintanance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82A0" w14:textId="2296345C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Forfait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E487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F5EC" w14:textId="3D0FEC21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2146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BE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394C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1ème trimestre 2017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DB4B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DRAS</w:t>
            </w:r>
          </w:p>
        </w:tc>
      </w:tr>
      <w:tr w:rsidR="002D685F" w:rsidRPr="002D685F" w14:paraId="2E64E110" w14:textId="77777777" w:rsidTr="00F077F0">
        <w:trPr>
          <w:trHeight w:val="690"/>
        </w:trPr>
        <w:tc>
          <w:tcPr>
            <w:tcW w:w="10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430007" w14:textId="26E280F0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fr-FR"/>
              </w:rPr>
              <w:t xml:space="preserve">2- Chaque région et </w:t>
            </w:r>
            <w:proofErr w:type="spellStart"/>
            <w:r w:rsidRPr="002D685F"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fr-FR"/>
              </w:rPr>
              <w:t>Moughataa</w:t>
            </w:r>
            <w:proofErr w:type="spellEnd"/>
            <w:r w:rsidRPr="002D685F"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fr-FR"/>
              </w:rPr>
              <w:t xml:space="preserve"> dispose et met en œuvre un programme annuel de maintenance </w:t>
            </w:r>
            <w:proofErr w:type="spellStart"/>
            <w:r w:rsidRPr="002D685F"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fr-FR"/>
              </w:rPr>
              <w:t>budgetisé</w:t>
            </w:r>
            <w:proofErr w:type="spellEnd"/>
            <w:r w:rsidRPr="002D685F"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fr-FR"/>
              </w:rPr>
              <w:t xml:space="preserve"> et financé</w:t>
            </w:r>
          </w:p>
        </w:tc>
      </w:tr>
      <w:tr w:rsidR="002D685F" w:rsidRPr="002D685F" w14:paraId="1315B079" w14:textId="77777777" w:rsidTr="00F077F0">
        <w:trPr>
          <w:trHeight w:val="139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F874" w14:textId="5A792D96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6B94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2-1 Assurer l'entretien des </w:t>
            </w:r>
            <w:proofErr w:type="spell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vehicules</w:t>
            </w:r>
            <w:proofErr w:type="spell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/ambulances au niveau de chaque </w:t>
            </w:r>
            <w:proofErr w:type="spell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Moughataa</w:t>
            </w:r>
            <w:proofErr w:type="spell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région (deux entretiens par mois et par </w:t>
            </w:r>
            <w:proofErr w:type="spell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veihcules</w:t>
            </w:r>
            <w:proofErr w:type="spell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0D45" w14:textId="75D6A862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Forfait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D752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5B07" w14:textId="669E18D4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14 400 000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E74C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Budget Etat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1A96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toute l'année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CD5F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DRAS/</w:t>
            </w:r>
            <w:proofErr w:type="spell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Medecins</w:t>
            </w:r>
            <w:proofErr w:type="spell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chefs</w:t>
            </w:r>
          </w:p>
        </w:tc>
      </w:tr>
      <w:tr w:rsidR="002D685F" w:rsidRPr="002D685F" w14:paraId="6C9FCDC0" w14:textId="77777777" w:rsidTr="00F077F0">
        <w:trPr>
          <w:trHeight w:val="190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C835" w14:textId="5A2B58E0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036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2-2 Elaboration et mise à jour régulière par le responsable de </w:t>
            </w:r>
            <w:proofErr w:type="spell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maintance</w:t>
            </w:r>
            <w:proofErr w:type="spell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(Régions et </w:t>
            </w:r>
            <w:proofErr w:type="spell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Moughatta</w:t>
            </w:r>
            <w:proofErr w:type="spell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) d'un inventaire des équipements PEV (avec les </w:t>
            </w:r>
            <w:proofErr w:type="spellStart"/>
            <w:proofErr w:type="gram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déatils</w:t>
            </w:r>
            <w:proofErr w:type="spell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:</w:t>
            </w:r>
            <w:proofErr w:type="gram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date d'acquisition, état actuel du bien et sa durée  de vie)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D1FC" w14:textId="4BFD7DBD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Forfait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6645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47F9" w14:textId="286E7B5B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EC4E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UNICEF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45CD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1ème trimestre 2017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9EAA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DRAS/</w:t>
            </w:r>
            <w:proofErr w:type="spell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Medecins</w:t>
            </w:r>
            <w:proofErr w:type="spell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chefs</w:t>
            </w:r>
          </w:p>
        </w:tc>
      </w:tr>
      <w:tr w:rsidR="002D685F" w:rsidRPr="002D685F" w14:paraId="44A75532" w14:textId="77777777" w:rsidTr="00F077F0">
        <w:trPr>
          <w:trHeight w:val="196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3177" w14:textId="317F0B74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7FAA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2-3 Organiser une sortie par semestre au niveau de la région et par trimestre au niveau de la </w:t>
            </w:r>
            <w:proofErr w:type="spell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Moughataa</w:t>
            </w:r>
            <w:proofErr w:type="spell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des responsables de </w:t>
            </w:r>
            <w:proofErr w:type="spell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maitenance</w:t>
            </w:r>
            <w:proofErr w:type="spell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avec comme </w:t>
            </w:r>
            <w:proofErr w:type="gram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objectifs:</w:t>
            </w:r>
            <w:proofErr w:type="gram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former sur place les prestataires et s'</w:t>
            </w:r>
            <w:proofErr w:type="spell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asurer</w:t>
            </w:r>
            <w:proofErr w:type="spell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des conditions de l'utilisations du matériels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8A01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H/J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1BC2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C1AF" w14:textId="4F97B7CD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391B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GAVI/RSS1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952F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toute l'année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CD6B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DRAS/</w:t>
            </w:r>
            <w:proofErr w:type="spellStart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Medecins</w:t>
            </w:r>
            <w:proofErr w:type="spellEnd"/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chefs</w:t>
            </w:r>
          </w:p>
        </w:tc>
      </w:tr>
      <w:tr w:rsidR="002D685F" w:rsidRPr="002D685F" w14:paraId="503F6895" w14:textId="77777777" w:rsidTr="00F077F0">
        <w:trPr>
          <w:trHeight w:val="360"/>
        </w:trPr>
        <w:tc>
          <w:tcPr>
            <w:tcW w:w="10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7C290B" w14:textId="0A731F4C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fr-FR"/>
              </w:rPr>
              <w:t xml:space="preserve">3- Chaque région et </w:t>
            </w:r>
            <w:proofErr w:type="spellStart"/>
            <w:r w:rsidRPr="002D685F"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fr-FR"/>
              </w:rPr>
              <w:t>Moughataa</w:t>
            </w:r>
            <w:proofErr w:type="spellEnd"/>
            <w:r w:rsidRPr="002D685F"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fr-FR"/>
              </w:rPr>
              <w:t xml:space="preserve"> dispose d'une équipe formée et équipée de sortie mobile</w:t>
            </w:r>
          </w:p>
        </w:tc>
      </w:tr>
      <w:tr w:rsidR="002D685F" w:rsidRPr="002D685F" w14:paraId="5951431D" w14:textId="77777777" w:rsidTr="00F077F0">
        <w:trPr>
          <w:trHeight w:val="31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F0F3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fr-FR"/>
              </w:rPr>
            </w:pPr>
          </w:p>
        </w:tc>
        <w:tc>
          <w:tcPr>
            <w:tcW w:w="3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7656F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77B0DEB" w14:textId="5BB15672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100 359 075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CBDD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8872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48DD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  <w:tr w:rsidR="002D685F" w:rsidRPr="002D685F" w14:paraId="3E43FE5C" w14:textId="77777777" w:rsidTr="00F077F0">
        <w:trPr>
          <w:trHeight w:val="42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CEC8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A127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Synthèse par bailleur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2E7C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124F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0A36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8539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99BF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1D83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  <w:tr w:rsidR="002D685F" w:rsidRPr="002D685F" w14:paraId="1945A2BA" w14:textId="77777777" w:rsidTr="00F077F0">
        <w:trPr>
          <w:trHeight w:val="3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EC1C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BC1A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Bailleurs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E152" w14:textId="3D4E2EE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Montant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099D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B9CD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F1A6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30AA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CEEA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  <w:tr w:rsidR="002D685F" w:rsidRPr="002D685F" w14:paraId="4BE0A968" w14:textId="77777777" w:rsidTr="00F077F0">
        <w:trPr>
          <w:trHeight w:val="3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8A7F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E435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Budget de l'Etat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9654" w14:textId="322B2B81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38 900 000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DC85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C982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6F59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6B32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2A0A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  <w:tr w:rsidR="002D685F" w:rsidRPr="002D685F" w14:paraId="575B9635" w14:textId="77777777" w:rsidTr="00F077F0">
        <w:trPr>
          <w:trHeight w:val="3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EA94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E38B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GAVI/RSS1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12AF" w14:textId="13D1C9C1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39 859 075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661E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5CA0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2F42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B53F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E330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  <w:tr w:rsidR="002D685F" w:rsidRPr="002D685F" w14:paraId="23365579" w14:textId="77777777" w:rsidTr="00F077F0">
        <w:trPr>
          <w:trHeight w:val="3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4D23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2869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Unicef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FED1" w14:textId="13141732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21 600 000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5405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1138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5D2B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33EE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0E4D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  <w:tr w:rsidR="002D685F" w:rsidRPr="002D685F" w14:paraId="3DD29B67" w14:textId="77777777" w:rsidTr="00F077F0">
        <w:trPr>
          <w:trHeight w:val="3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D0F4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2437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2A51" w14:textId="6D5F14C2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D68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100 359 075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6B8C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B917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A263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938B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24B1" w14:textId="77777777" w:rsidR="002D685F" w:rsidRPr="002D685F" w:rsidRDefault="002D685F" w:rsidP="002D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</w:tbl>
    <w:p w14:paraId="726B6DDB" w14:textId="77777777" w:rsidR="001C6141" w:rsidRDefault="001C6141" w:rsidP="00737246">
      <w:pPr>
        <w:spacing w:after="0" w:line="240" w:lineRule="auto"/>
        <w:rPr>
          <w:sz w:val="28"/>
          <w:szCs w:val="28"/>
        </w:rPr>
      </w:pPr>
    </w:p>
    <w:p w14:paraId="1E626B5D" w14:textId="77777777" w:rsidR="004C5F7E" w:rsidRDefault="004C5F7E" w:rsidP="00737246">
      <w:pPr>
        <w:spacing w:after="0" w:line="240" w:lineRule="auto"/>
        <w:rPr>
          <w:sz w:val="28"/>
          <w:szCs w:val="28"/>
        </w:rPr>
      </w:pPr>
    </w:p>
    <w:p w14:paraId="40BD8B8D" w14:textId="77777777" w:rsidR="00C32C6C" w:rsidRDefault="00C32C6C" w:rsidP="00C32C6C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color w:val="0070C0"/>
          <w:sz w:val="32"/>
          <w:szCs w:val="32"/>
        </w:rPr>
      </w:pPr>
      <w:r w:rsidRPr="00C32C6C">
        <w:rPr>
          <w:b/>
          <w:bCs/>
          <w:color w:val="0070C0"/>
          <w:sz w:val="32"/>
          <w:szCs w:val="32"/>
        </w:rPr>
        <w:t>Alignement des plans d'encouragement au niveau national</w:t>
      </w:r>
    </w:p>
    <w:p w14:paraId="429F85FA" w14:textId="77777777" w:rsidR="00C72183" w:rsidRDefault="00C72183" w:rsidP="00C72183">
      <w:pPr>
        <w:spacing w:after="0" w:line="240" w:lineRule="auto"/>
        <w:ind w:left="360"/>
        <w:rPr>
          <w:sz w:val="28"/>
          <w:szCs w:val="28"/>
        </w:rPr>
      </w:pPr>
      <w:r w:rsidRPr="00C72183">
        <w:rPr>
          <w:sz w:val="28"/>
          <w:szCs w:val="28"/>
        </w:rPr>
        <w:t>Deux types d’indemnités/salaires sont prévus dans la demande de reprogrammation</w:t>
      </w:r>
      <w:r w:rsidR="00070591">
        <w:rPr>
          <w:sz w:val="28"/>
          <w:szCs w:val="28"/>
        </w:rPr>
        <w:t>, il s’agit de</w:t>
      </w:r>
      <w:r>
        <w:rPr>
          <w:sz w:val="28"/>
          <w:szCs w:val="28"/>
        </w:rPr>
        <w:t> :</w:t>
      </w:r>
    </w:p>
    <w:p w14:paraId="7CE394EB" w14:textId="77777777" w:rsidR="00C72183" w:rsidRDefault="00C72183" w:rsidP="00C72183">
      <w:pPr>
        <w:pStyle w:val="Paragraphedeliste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C72183">
        <w:rPr>
          <w:b/>
          <w:bCs/>
          <w:sz w:val="28"/>
          <w:szCs w:val="28"/>
        </w:rPr>
        <w:t>Paiement des salaires du personnel supplémentaire recruté parmi les agents de santé à la retraite</w:t>
      </w:r>
      <w:r w:rsidR="00637DEB">
        <w:rPr>
          <w:b/>
          <w:bCs/>
          <w:sz w:val="28"/>
          <w:szCs w:val="28"/>
        </w:rPr>
        <w:t xml:space="preserve"> et/ou en chômage</w:t>
      </w:r>
      <w:r w:rsidRPr="00C72183">
        <w:rPr>
          <w:b/>
          <w:bCs/>
          <w:sz w:val="28"/>
          <w:szCs w:val="28"/>
        </w:rPr>
        <w:t xml:space="preserve"> dans les CSM de la ZCI</w:t>
      </w:r>
    </w:p>
    <w:p w14:paraId="41D4F80D" w14:textId="0E23767E" w:rsidR="00C72183" w:rsidRDefault="00C72183" w:rsidP="006136FB">
      <w:pPr>
        <w:pStyle w:val="Paragraphedeliste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C72183">
        <w:rPr>
          <w:b/>
          <w:bCs/>
          <w:sz w:val="28"/>
          <w:szCs w:val="28"/>
        </w:rPr>
        <w:t xml:space="preserve">aiement des primes de tâches déléguées aux personnels de santé </w:t>
      </w:r>
    </w:p>
    <w:p w14:paraId="223CEE28" w14:textId="77777777" w:rsidR="00C72183" w:rsidRPr="0091760A" w:rsidRDefault="00C72183" w:rsidP="00C72183">
      <w:pPr>
        <w:spacing w:after="0" w:line="240" w:lineRule="auto"/>
        <w:rPr>
          <w:sz w:val="28"/>
          <w:szCs w:val="28"/>
        </w:rPr>
      </w:pPr>
      <w:r w:rsidRPr="0091760A">
        <w:rPr>
          <w:sz w:val="28"/>
          <w:szCs w:val="28"/>
        </w:rPr>
        <w:t xml:space="preserve">Le tableau ci-dessous illustre leurs alignements avec la procédure </w:t>
      </w:r>
      <w:r w:rsidR="00E54E51">
        <w:rPr>
          <w:sz w:val="28"/>
          <w:szCs w:val="28"/>
        </w:rPr>
        <w:t xml:space="preserve">en vigueur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38"/>
        <w:gridCol w:w="2002"/>
        <w:gridCol w:w="4253"/>
      </w:tblGrid>
      <w:tr w:rsidR="0091760A" w14:paraId="3E6C877E" w14:textId="77777777" w:rsidTr="001D4928">
        <w:tc>
          <w:tcPr>
            <w:tcW w:w="3238" w:type="dxa"/>
          </w:tcPr>
          <w:p w14:paraId="1689296F" w14:textId="77777777" w:rsidR="0091760A" w:rsidRPr="0091760A" w:rsidRDefault="0091760A" w:rsidP="00C7218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Rubrique</w:t>
            </w:r>
          </w:p>
        </w:tc>
        <w:tc>
          <w:tcPr>
            <w:tcW w:w="2002" w:type="dxa"/>
          </w:tcPr>
          <w:p w14:paraId="270743F1" w14:textId="77777777" w:rsidR="0091760A" w:rsidRPr="0091760A" w:rsidRDefault="00E54E51" w:rsidP="00C7218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Montants proposés</w:t>
            </w:r>
          </w:p>
        </w:tc>
        <w:tc>
          <w:tcPr>
            <w:tcW w:w="4253" w:type="dxa"/>
          </w:tcPr>
          <w:p w14:paraId="5CC64C5E" w14:textId="77777777" w:rsidR="0091760A" w:rsidRPr="0091760A" w:rsidRDefault="00070591" w:rsidP="00C7218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</w:t>
            </w:r>
            <w:r w:rsidR="0091760A" w:rsidRPr="0091760A">
              <w:rPr>
                <w:b/>
                <w:bCs/>
                <w:sz w:val="28"/>
                <w:szCs w:val="28"/>
              </w:rPr>
              <w:t>xplication</w:t>
            </w:r>
          </w:p>
        </w:tc>
      </w:tr>
      <w:tr w:rsidR="0091760A" w14:paraId="49A5ABD7" w14:textId="77777777" w:rsidTr="001D4928">
        <w:tc>
          <w:tcPr>
            <w:tcW w:w="3238" w:type="dxa"/>
          </w:tcPr>
          <w:p w14:paraId="6496C257" w14:textId="77777777" w:rsidR="0091760A" w:rsidRDefault="00E54E51" w:rsidP="00C72183">
            <w:p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sz w:val="28"/>
                <w:szCs w:val="28"/>
              </w:rPr>
              <w:t>S</w:t>
            </w:r>
            <w:r w:rsidRPr="00E54E51">
              <w:rPr>
                <w:sz w:val="28"/>
                <w:szCs w:val="28"/>
              </w:rPr>
              <w:t>alaires du personnel supplémentaire recruté</w:t>
            </w:r>
          </w:p>
        </w:tc>
        <w:tc>
          <w:tcPr>
            <w:tcW w:w="2002" w:type="dxa"/>
          </w:tcPr>
          <w:p w14:paraId="06AA6E15" w14:textId="77777777" w:rsidR="0091760A" w:rsidRDefault="00E54E51" w:rsidP="00C72183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E54E51">
              <w:rPr>
                <w:sz w:val="28"/>
                <w:szCs w:val="28"/>
              </w:rPr>
              <w:t>123 000 MRO</w:t>
            </w:r>
          </w:p>
        </w:tc>
        <w:tc>
          <w:tcPr>
            <w:tcW w:w="4253" w:type="dxa"/>
          </w:tcPr>
          <w:p w14:paraId="5946EC07" w14:textId="49491E1B" w:rsidR="006566AA" w:rsidRDefault="006566AA" w:rsidP="00070591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 montant </w:t>
            </w:r>
            <w:r w:rsidR="00E61F75">
              <w:rPr>
                <w:sz w:val="28"/>
                <w:szCs w:val="28"/>
              </w:rPr>
              <w:t>correspond</w:t>
            </w:r>
            <w:r>
              <w:rPr>
                <w:sz w:val="28"/>
                <w:szCs w:val="28"/>
              </w:rPr>
              <w:t xml:space="preserve"> à la </w:t>
            </w:r>
            <w:proofErr w:type="gramStart"/>
            <w:r>
              <w:rPr>
                <w:sz w:val="28"/>
                <w:szCs w:val="28"/>
              </w:rPr>
              <w:t xml:space="preserve">rémunération </w:t>
            </w:r>
            <w:r w:rsidR="00E61F75">
              <w:rPr>
                <w:sz w:val="28"/>
                <w:szCs w:val="28"/>
              </w:rPr>
              <w:t xml:space="preserve"> mensuelle</w:t>
            </w:r>
            <w:proofErr w:type="gramEnd"/>
            <w:r w:rsidR="00E61F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accordée aux </w:t>
            </w:r>
            <w:r w:rsidR="00E61F75">
              <w:rPr>
                <w:sz w:val="28"/>
                <w:szCs w:val="28"/>
              </w:rPr>
              <w:t xml:space="preserve">infirmiers </w:t>
            </w:r>
            <w:r>
              <w:rPr>
                <w:sz w:val="28"/>
                <w:szCs w:val="28"/>
              </w:rPr>
              <w:t xml:space="preserve">retraités contractés sur les fonds de GAVI depuis 2014,pour fournir des prestations sanitaires dans 4 des </w:t>
            </w:r>
            <w:proofErr w:type="spellStart"/>
            <w:r>
              <w:rPr>
                <w:sz w:val="28"/>
                <w:szCs w:val="28"/>
              </w:rPr>
              <w:t>mouguatas</w:t>
            </w:r>
            <w:proofErr w:type="spellEnd"/>
            <w:r>
              <w:rPr>
                <w:sz w:val="28"/>
                <w:szCs w:val="28"/>
              </w:rPr>
              <w:t xml:space="preserve"> de la zone cible.</w:t>
            </w:r>
          </w:p>
          <w:p w14:paraId="31A4A3EC" w14:textId="3F9554CB" w:rsidR="006566AA" w:rsidRDefault="006566AA" w:rsidP="006566AA">
            <w:pPr>
              <w:pStyle w:val="Paragraphedeliste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Nous avons jugé </w:t>
            </w:r>
            <w:r w:rsidR="00E61F75">
              <w:rPr>
                <w:sz w:val="28"/>
                <w:szCs w:val="28"/>
              </w:rPr>
              <w:t>opportun</w:t>
            </w:r>
            <w:r>
              <w:rPr>
                <w:sz w:val="28"/>
                <w:szCs w:val="28"/>
              </w:rPr>
              <w:t xml:space="preserve"> de </w:t>
            </w:r>
            <w:r w:rsidR="00E61F75">
              <w:rPr>
                <w:sz w:val="28"/>
                <w:szCs w:val="28"/>
              </w:rPr>
              <w:t xml:space="preserve">maintenir ces retraités pendant cette année de reprogrammation </w:t>
            </w:r>
            <w:proofErr w:type="gramStart"/>
            <w:r w:rsidR="00E61F75">
              <w:rPr>
                <w:sz w:val="28"/>
                <w:szCs w:val="28"/>
              </w:rPr>
              <w:t>eu</w:t>
            </w:r>
            <w:proofErr w:type="gramEnd"/>
            <w:r w:rsidR="00E61F75">
              <w:rPr>
                <w:sz w:val="28"/>
                <w:szCs w:val="28"/>
              </w:rPr>
              <w:t xml:space="preserve"> égard à l’importance des services qu’ils fournissent aux populations des </w:t>
            </w:r>
            <w:proofErr w:type="spellStart"/>
            <w:r w:rsidR="00E61F75">
              <w:rPr>
                <w:sz w:val="28"/>
                <w:szCs w:val="28"/>
              </w:rPr>
              <w:t>mouguataas</w:t>
            </w:r>
            <w:proofErr w:type="spellEnd"/>
            <w:r w:rsidR="00E61F75">
              <w:rPr>
                <w:sz w:val="28"/>
                <w:szCs w:val="28"/>
              </w:rPr>
              <w:t xml:space="preserve"> concernées qui sont enclavées et qui connaissent un taux faible de couverture vaccinale.</w:t>
            </w:r>
          </w:p>
          <w:p w14:paraId="5EE2D400" w14:textId="393B5768" w:rsidR="00E61F75" w:rsidRDefault="00E61F75" w:rsidP="00070591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montant de la rémunération est raisonnable par rapport au salaire moyen perçu par cette catégorie du personnel </w:t>
            </w:r>
          </w:p>
          <w:p w14:paraId="534DD360" w14:textId="1E4F9E7C" w:rsidR="0091760A" w:rsidRPr="00FF02A0" w:rsidRDefault="00070591" w:rsidP="00070591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FF02A0">
              <w:rPr>
                <w:sz w:val="28"/>
                <w:szCs w:val="28"/>
              </w:rPr>
              <w:lastRenderedPageBreak/>
              <w:t>En moyenne un paramédical</w:t>
            </w:r>
            <w:r w:rsidR="006136FB" w:rsidRPr="00FF02A0">
              <w:rPr>
                <w:sz w:val="28"/>
                <w:szCs w:val="28"/>
              </w:rPr>
              <w:t xml:space="preserve"> </w:t>
            </w:r>
            <w:r w:rsidRPr="00FF02A0">
              <w:rPr>
                <w:sz w:val="28"/>
                <w:szCs w:val="28"/>
              </w:rPr>
              <w:t>à la fonction Publique reçoit</w:t>
            </w:r>
            <w:r w:rsidR="006136FB" w:rsidRPr="00FF02A0">
              <w:rPr>
                <w:sz w:val="28"/>
                <w:szCs w:val="28"/>
              </w:rPr>
              <w:t xml:space="preserve"> </w:t>
            </w:r>
            <w:r w:rsidR="00DC687C" w:rsidRPr="00FF02A0">
              <w:rPr>
                <w:sz w:val="28"/>
                <w:szCs w:val="28"/>
              </w:rPr>
              <w:t xml:space="preserve">par mois </w:t>
            </w:r>
            <w:r w:rsidRPr="00FF02A0">
              <w:rPr>
                <w:sz w:val="28"/>
                <w:szCs w:val="28"/>
              </w:rPr>
              <w:t>entre 120000 MRO et 140000 MRO </w:t>
            </w:r>
          </w:p>
          <w:p w14:paraId="6BB2E91B" w14:textId="10B63F9C" w:rsidR="00070591" w:rsidRPr="00FF02A0" w:rsidRDefault="00920EC0" w:rsidP="00227D04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L’Unicef alloue</w:t>
            </w:r>
            <w:r w:rsidR="00227D04">
              <w:rPr>
                <w:sz w:val="28"/>
                <w:szCs w:val="28"/>
              </w:rPr>
              <w:t xml:space="preserve"> un montant de </w:t>
            </w:r>
            <w:r w:rsidR="00227D04" w:rsidRPr="00932EC2">
              <w:rPr>
                <w:sz w:val="28"/>
                <w:szCs w:val="28"/>
              </w:rPr>
              <w:t xml:space="preserve">700 000 </w:t>
            </w:r>
            <w:r w:rsidRPr="00932EC2">
              <w:rPr>
                <w:sz w:val="28"/>
                <w:szCs w:val="28"/>
              </w:rPr>
              <w:t>MRO</w:t>
            </w:r>
            <w:r>
              <w:rPr>
                <w:sz w:val="28"/>
                <w:szCs w:val="28"/>
              </w:rPr>
              <w:t xml:space="preserve"> aux paramédicaux qu’elle</w:t>
            </w:r>
            <w:r w:rsidR="00227D04">
              <w:rPr>
                <w:sz w:val="28"/>
                <w:szCs w:val="28"/>
              </w:rPr>
              <w:t xml:space="preserve"> recrute </w:t>
            </w:r>
            <w:r w:rsidR="006E0D7E">
              <w:rPr>
                <w:sz w:val="28"/>
                <w:szCs w:val="28"/>
              </w:rPr>
              <w:t>pour appuyer les régions</w:t>
            </w:r>
            <w:r w:rsidR="00227D04">
              <w:rPr>
                <w:sz w:val="28"/>
                <w:szCs w:val="28"/>
              </w:rPr>
              <w:t xml:space="preserve"> dans certains domaines, dont la nutrition.</w:t>
            </w:r>
          </w:p>
        </w:tc>
      </w:tr>
      <w:tr w:rsidR="0091760A" w14:paraId="330782C2" w14:textId="77777777" w:rsidTr="001D4928">
        <w:tc>
          <w:tcPr>
            <w:tcW w:w="3238" w:type="dxa"/>
          </w:tcPr>
          <w:p w14:paraId="73BE3AD5" w14:textId="3EEBDF30" w:rsidR="0091760A" w:rsidRDefault="00E54E51" w:rsidP="00C72183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E54E51">
              <w:rPr>
                <w:sz w:val="28"/>
                <w:szCs w:val="28"/>
              </w:rPr>
              <w:lastRenderedPageBreak/>
              <w:t>primes de tâches déléguées</w:t>
            </w:r>
          </w:p>
        </w:tc>
        <w:tc>
          <w:tcPr>
            <w:tcW w:w="2002" w:type="dxa"/>
          </w:tcPr>
          <w:p w14:paraId="63E3F483" w14:textId="12510598" w:rsidR="0091760A" w:rsidRDefault="00DC687C" w:rsidP="00C72183">
            <w:p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sz w:val="28"/>
                <w:szCs w:val="28"/>
              </w:rPr>
              <w:t>23000</w:t>
            </w:r>
            <w:r w:rsidR="00E54E51" w:rsidRPr="00E54E51">
              <w:rPr>
                <w:sz w:val="28"/>
                <w:szCs w:val="28"/>
              </w:rPr>
              <w:t xml:space="preserve"> MRO</w:t>
            </w:r>
          </w:p>
        </w:tc>
        <w:tc>
          <w:tcPr>
            <w:tcW w:w="4253" w:type="dxa"/>
          </w:tcPr>
          <w:p w14:paraId="49504EFE" w14:textId="312616EC" w:rsidR="00DC687C" w:rsidRDefault="00E61F75" w:rsidP="00E61F75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prime de délégation des taches </w:t>
            </w:r>
            <w:r w:rsidR="00E87B6B" w:rsidRPr="00FF02A0">
              <w:rPr>
                <w:sz w:val="28"/>
                <w:szCs w:val="28"/>
              </w:rPr>
              <w:t>a été calculée en</w:t>
            </w:r>
            <w:r w:rsidR="008C1CDA" w:rsidRPr="00FF02A0">
              <w:rPr>
                <w:sz w:val="28"/>
                <w:szCs w:val="28"/>
              </w:rPr>
              <w:t xml:space="preserve"> </w:t>
            </w:r>
            <w:r w:rsidR="003A5D22" w:rsidRPr="00FF02A0">
              <w:rPr>
                <w:sz w:val="28"/>
                <w:szCs w:val="28"/>
              </w:rPr>
              <w:t>s’inspirant</w:t>
            </w:r>
            <w:r w:rsidR="00E87B6B" w:rsidRPr="00FF02A0">
              <w:rPr>
                <w:sz w:val="28"/>
                <w:szCs w:val="28"/>
              </w:rPr>
              <w:t xml:space="preserve"> des</w:t>
            </w:r>
            <w:r w:rsidR="008C1CDA" w:rsidRPr="00FF02A0">
              <w:rPr>
                <w:sz w:val="28"/>
                <w:szCs w:val="28"/>
              </w:rPr>
              <w:t xml:space="preserve"> </w:t>
            </w:r>
            <w:r w:rsidR="00E87B6B" w:rsidRPr="00FF02A0">
              <w:rPr>
                <w:sz w:val="28"/>
                <w:szCs w:val="28"/>
              </w:rPr>
              <w:t>barèmes utilisés pour les primes d’éloignement que le Ministère de la santé donne pour encourager le personnel exerçant dans des zones reculées.</w:t>
            </w:r>
            <w:r w:rsidR="00DC687C" w:rsidRPr="00FF02A0">
              <w:rPr>
                <w:sz w:val="28"/>
                <w:szCs w:val="28"/>
              </w:rPr>
              <w:t xml:space="preserve"> Elle représente 50% des PZT pour les IMS catégorie la plus basse des paramédicaux.</w:t>
            </w:r>
          </w:p>
          <w:p w14:paraId="1D4A1847" w14:textId="46459704" w:rsidR="00E61F75" w:rsidRPr="00FF02A0" w:rsidRDefault="00E61F75" w:rsidP="00E61F75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montant de cette prime est tout à fait </w:t>
            </w:r>
            <w:r w:rsidR="00227D04">
              <w:rPr>
                <w:sz w:val="28"/>
                <w:szCs w:val="28"/>
              </w:rPr>
              <w:t>raisonnable</w:t>
            </w:r>
            <w:r>
              <w:rPr>
                <w:sz w:val="28"/>
                <w:szCs w:val="28"/>
              </w:rPr>
              <w:t xml:space="preserve"> par rapport aux taches déléguées et par rapport au niveau </w:t>
            </w:r>
            <w:r w:rsidR="00227D04">
              <w:rPr>
                <w:sz w:val="28"/>
                <w:szCs w:val="28"/>
              </w:rPr>
              <w:t>des salaires du personnel.</w:t>
            </w:r>
          </w:p>
          <w:p w14:paraId="11F65AD6" w14:textId="086AAECE" w:rsidR="00E87B6B" w:rsidRPr="00FF02A0" w:rsidRDefault="00227D04" w:rsidP="0085652D">
            <w:pPr>
              <w:pStyle w:val="Paragraphedeliste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Les pratiques des </w:t>
            </w:r>
            <w:r w:rsidR="001D4928" w:rsidRPr="00FF02A0">
              <w:rPr>
                <w:sz w:val="28"/>
                <w:szCs w:val="28"/>
              </w:rPr>
              <w:t xml:space="preserve">PTF, </w:t>
            </w:r>
            <w:r>
              <w:rPr>
                <w:sz w:val="28"/>
                <w:szCs w:val="28"/>
              </w:rPr>
              <w:t xml:space="preserve">en matière de rémunération et de motivation des ressources humaines sont assez </w:t>
            </w:r>
            <w:r w:rsidR="0085652D">
              <w:rPr>
                <w:sz w:val="28"/>
                <w:szCs w:val="28"/>
              </w:rPr>
              <w:t xml:space="preserve">différenciées, certains d’entre eux </w:t>
            </w:r>
            <w:r>
              <w:rPr>
                <w:sz w:val="28"/>
                <w:szCs w:val="28"/>
              </w:rPr>
              <w:t xml:space="preserve">accordent des sursalaires ou motivations qui varient </w:t>
            </w:r>
            <w:proofErr w:type="gramStart"/>
            <w:r>
              <w:rPr>
                <w:sz w:val="28"/>
                <w:szCs w:val="28"/>
              </w:rPr>
              <w:t xml:space="preserve">entre </w:t>
            </w:r>
            <w:r w:rsidR="001D4928" w:rsidRPr="00FF02A0">
              <w:rPr>
                <w:sz w:val="28"/>
                <w:szCs w:val="28"/>
              </w:rPr>
              <w:t xml:space="preserve"> 10</w:t>
            </w:r>
            <w:proofErr w:type="gramEnd"/>
            <w:r w:rsidR="001D4928" w:rsidRPr="00FF02A0">
              <w:rPr>
                <w:sz w:val="28"/>
                <w:szCs w:val="28"/>
              </w:rPr>
              <w:t xml:space="preserve">% </w:t>
            </w:r>
            <w:r>
              <w:rPr>
                <w:sz w:val="28"/>
                <w:szCs w:val="28"/>
              </w:rPr>
              <w:t xml:space="preserve"> et 30 % </w:t>
            </w:r>
            <w:r w:rsidR="001D4928" w:rsidRPr="00FF02A0">
              <w:rPr>
                <w:sz w:val="28"/>
                <w:szCs w:val="28"/>
              </w:rPr>
              <w:t xml:space="preserve">du salaire </w:t>
            </w:r>
          </w:p>
        </w:tc>
      </w:tr>
    </w:tbl>
    <w:p w14:paraId="42301D19" w14:textId="77777777" w:rsidR="00C72183" w:rsidRDefault="00C72183" w:rsidP="00C72183">
      <w:pPr>
        <w:spacing w:after="0" w:line="240" w:lineRule="auto"/>
        <w:rPr>
          <w:b/>
          <w:bCs/>
          <w:color w:val="0070C0"/>
          <w:sz w:val="32"/>
          <w:szCs w:val="32"/>
        </w:rPr>
      </w:pPr>
    </w:p>
    <w:p w14:paraId="0A25BA3F" w14:textId="77777777" w:rsidR="00937D89" w:rsidRPr="00C72183" w:rsidRDefault="00937D89" w:rsidP="00C72183">
      <w:pPr>
        <w:spacing w:after="0" w:line="240" w:lineRule="auto"/>
        <w:rPr>
          <w:b/>
          <w:bCs/>
          <w:color w:val="0070C0"/>
          <w:sz w:val="32"/>
          <w:szCs w:val="32"/>
        </w:rPr>
      </w:pPr>
    </w:p>
    <w:p w14:paraId="6466B370" w14:textId="77777777" w:rsidR="0099029E" w:rsidRDefault="001D4928" w:rsidP="001D4928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color w:val="0070C0"/>
          <w:sz w:val="32"/>
          <w:szCs w:val="32"/>
        </w:rPr>
      </w:pPr>
      <w:r w:rsidRPr="001D4928">
        <w:rPr>
          <w:b/>
          <w:bCs/>
          <w:color w:val="0070C0"/>
          <w:sz w:val="32"/>
          <w:szCs w:val="32"/>
        </w:rPr>
        <w:t>Équipement avec des véhicules 4x4</w:t>
      </w:r>
    </w:p>
    <w:p w14:paraId="52FEC480" w14:textId="3E54E45B" w:rsidR="006B3775" w:rsidRDefault="00937D89" w:rsidP="00856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L’acquisition des véhicules 4x4 pour les </w:t>
      </w:r>
      <w:proofErr w:type="spellStart"/>
      <w:r>
        <w:rPr>
          <w:sz w:val="28"/>
          <w:szCs w:val="28"/>
        </w:rPr>
        <w:t>Moughataa</w:t>
      </w:r>
      <w:proofErr w:type="spellEnd"/>
      <w:r>
        <w:rPr>
          <w:sz w:val="28"/>
          <w:szCs w:val="28"/>
        </w:rPr>
        <w:t xml:space="preserve"> </w:t>
      </w:r>
      <w:r w:rsidR="006B3775">
        <w:rPr>
          <w:sz w:val="28"/>
          <w:szCs w:val="28"/>
        </w:rPr>
        <w:t xml:space="preserve">visées </w:t>
      </w:r>
      <w:r>
        <w:rPr>
          <w:sz w:val="28"/>
          <w:szCs w:val="28"/>
        </w:rPr>
        <w:t xml:space="preserve">constitue une urgence aujourd’hui </w:t>
      </w:r>
      <w:r w:rsidR="006B3775">
        <w:rPr>
          <w:sz w:val="28"/>
          <w:szCs w:val="28"/>
        </w:rPr>
        <w:t xml:space="preserve">pour améliorer la couverture vaccinale en Mauritanie et la rendre </w:t>
      </w:r>
      <w:r w:rsidR="002762F3">
        <w:rPr>
          <w:sz w:val="28"/>
          <w:szCs w:val="28"/>
        </w:rPr>
        <w:t xml:space="preserve">plus </w:t>
      </w:r>
      <w:r w:rsidR="006B3775">
        <w:rPr>
          <w:sz w:val="28"/>
          <w:szCs w:val="28"/>
        </w:rPr>
        <w:t xml:space="preserve">équitable </w:t>
      </w:r>
      <w:r w:rsidR="0085652D">
        <w:rPr>
          <w:sz w:val="28"/>
          <w:szCs w:val="28"/>
        </w:rPr>
        <w:t>compte tenu d</w:t>
      </w:r>
      <w:r w:rsidR="006B3775">
        <w:rPr>
          <w:sz w:val="28"/>
          <w:szCs w:val="28"/>
        </w:rPr>
        <w:t>es éléments suivants :</w:t>
      </w:r>
    </w:p>
    <w:p w14:paraId="12C54329" w14:textId="14269A2D" w:rsidR="00937D89" w:rsidRDefault="00E61A4E" w:rsidP="00855340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 w:rsidRPr="006B3775">
        <w:rPr>
          <w:sz w:val="28"/>
          <w:szCs w:val="28"/>
        </w:rPr>
        <w:lastRenderedPageBreak/>
        <w:t xml:space="preserve">Avec une couverture sanitaire de 70 % dans un rayon de 5 </w:t>
      </w:r>
      <w:r w:rsidR="003A5D22">
        <w:rPr>
          <w:sz w:val="28"/>
          <w:szCs w:val="28"/>
        </w:rPr>
        <w:t>K</w:t>
      </w:r>
      <w:r w:rsidR="003A5D22" w:rsidRPr="006B3775">
        <w:rPr>
          <w:sz w:val="28"/>
          <w:szCs w:val="28"/>
        </w:rPr>
        <w:t>M, plus</w:t>
      </w:r>
      <w:r w:rsidRPr="006B3775">
        <w:rPr>
          <w:sz w:val="28"/>
          <w:szCs w:val="28"/>
        </w:rPr>
        <w:t xml:space="preserve"> d’un 1/3 de population n</w:t>
      </w:r>
      <w:r w:rsidR="00855340">
        <w:rPr>
          <w:sz w:val="28"/>
          <w:szCs w:val="28"/>
        </w:rPr>
        <w:t>’es</w:t>
      </w:r>
      <w:r w:rsidRPr="006B3775">
        <w:rPr>
          <w:sz w:val="28"/>
          <w:szCs w:val="28"/>
        </w:rPr>
        <w:t>t pas couvert par les unités fixes de vaccination. Il s’ajoute</w:t>
      </w:r>
      <w:r w:rsidR="00937D89" w:rsidRPr="006B3775">
        <w:rPr>
          <w:sz w:val="28"/>
          <w:szCs w:val="28"/>
        </w:rPr>
        <w:t xml:space="preserve"> à cela la grande étendue du pays avec de longues distances entre les différentes localités, l’éparpillement des populations avec 70 000 habitants nomades selon le recensement Général de 2013</w:t>
      </w:r>
      <w:r w:rsidR="006B3775">
        <w:rPr>
          <w:sz w:val="28"/>
          <w:szCs w:val="28"/>
        </w:rPr>
        <w:t>. Les ZCI choisies sont parmi les moins couvertes du pays (voir les critères de sélection)</w:t>
      </w:r>
    </w:p>
    <w:p w14:paraId="34AE3B82" w14:textId="03618AAC" w:rsidR="007335D0" w:rsidRPr="006B3775" w:rsidRDefault="007335D0" w:rsidP="008C1CDA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Aussi en milieu urbain, la répartition des services de santé de base n’est pas toujours en faveur de la couverture des quartiers périphériques qui ne cessent d’accroitre </w:t>
      </w:r>
      <w:r w:rsidR="00BB69D6">
        <w:rPr>
          <w:sz w:val="28"/>
          <w:szCs w:val="28"/>
        </w:rPr>
        <w:t xml:space="preserve">et parfois même des quartiers résidentiels (cas de </w:t>
      </w:r>
      <w:proofErr w:type="spellStart"/>
      <w:r w:rsidR="00BB69D6">
        <w:rPr>
          <w:sz w:val="28"/>
          <w:szCs w:val="28"/>
        </w:rPr>
        <w:t>Tevragh</w:t>
      </w:r>
      <w:proofErr w:type="spellEnd"/>
      <w:r w:rsidR="008C1CDA">
        <w:rPr>
          <w:sz w:val="28"/>
          <w:szCs w:val="28"/>
        </w:rPr>
        <w:t xml:space="preserve"> </w:t>
      </w:r>
      <w:proofErr w:type="spellStart"/>
      <w:r w:rsidR="00BB69D6">
        <w:rPr>
          <w:sz w:val="28"/>
          <w:szCs w:val="28"/>
        </w:rPr>
        <w:t>Zeina</w:t>
      </w:r>
      <w:proofErr w:type="spellEnd"/>
      <w:proofErr w:type="gramStart"/>
      <w:r w:rsidR="00BB69D6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r w:rsidR="00BB69D6">
        <w:rPr>
          <w:sz w:val="28"/>
          <w:szCs w:val="28"/>
        </w:rPr>
        <w:t>en ville les couts de transport deviennent des barrières considérables à l’acc</w:t>
      </w:r>
      <w:r w:rsidR="008C1CDA">
        <w:rPr>
          <w:sz w:val="28"/>
          <w:szCs w:val="28"/>
        </w:rPr>
        <w:t>è</w:t>
      </w:r>
      <w:r w:rsidR="00BB69D6">
        <w:rPr>
          <w:sz w:val="28"/>
          <w:szCs w:val="28"/>
        </w:rPr>
        <w:t xml:space="preserve">s </w:t>
      </w:r>
      <w:r w:rsidR="008C1CDA">
        <w:rPr>
          <w:sz w:val="28"/>
          <w:szCs w:val="28"/>
        </w:rPr>
        <w:t xml:space="preserve"> aux</w:t>
      </w:r>
      <w:r w:rsidR="00BB69D6">
        <w:rPr>
          <w:sz w:val="28"/>
          <w:szCs w:val="28"/>
        </w:rPr>
        <w:t xml:space="preserve"> soins.</w:t>
      </w:r>
    </w:p>
    <w:p w14:paraId="1B2DCC3C" w14:textId="6BD6447C" w:rsidR="00C32C6C" w:rsidRDefault="006B3775" w:rsidP="00DF636B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Aucun district visé ne dispose aujourd’hui </w:t>
      </w:r>
      <w:r w:rsidR="00BC70E6">
        <w:rPr>
          <w:sz w:val="28"/>
          <w:szCs w:val="28"/>
        </w:rPr>
        <w:t>d’</w:t>
      </w:r>
      <w:r>
        <w:rPr>
          <w:sz w:val="28"/>
          <w:szCs w:val="28"/>
        </w:rPr>
        <w:t>un véhicule pour le</w:t>
      </w:r>
      <w:r w:rsidR="00DF636B">
        <w:rPr>
          <w:sz w:val="28"/>
          <w:szCs w:val="28"/>
        </w:rPr>
        <w:t>s activités mobiles intégrées de santé</w:t>
      </w:r>
      <w:r>
        <w:rPr>
          <w:sz w:val="28"/>
          <w:szCs w:val="28"/>
        </w:rPr>
        <w:t xml:space="preserve"> (voir l’inventaire des véhicules ci-joint)</w:t>
      </w:r>
    </w:p>
    <w:p w14:paraId="4700E3C0" w14:textId="29639917" w:rsidR="005320C0" w:rsidRDefault="005320C0" w:rsidP="00166415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L’un des facteurs justifiant la régression enregistrée de la couverture vaccinale en 2015 est l</w:t>
      </w:r>
      <w:r w:rsidR="00166415">
        <w:rPr>
          <w:sz w:val="28"/>
          <w:szCs w:val="28"/>
        </w:rPr>
        <w:t>’ir</w:t>
      </w:r>
      <w:r>
        <w:rPr>
          <w:sz w:val="28"/>
          <w:szCs w:val="28"/>
        </w:rPr>
        <w:t xml:space="preserve">régularité des activités mobiles de vaccination </w:t>
      </w:r>
      <w:r w:rsidR="00632B61" w:rsidRPr="00632B61">
        <w:rPr>
          <w:sz w:val="28"/>
          <w:szCs w:val="28"/>
        </w:rPr>
        <w:t xml:space="preserve">dans toutes les </w:t>
      </w:r>
      <w:proofErr w:type="spellStart"/>
      <w:r w:rsidR="00632B61" w:rsidRPr="00632B61">
        <w:rPr>
          <w:sz w:val="28"/>
          <w:szCs w:val="28"/>
        </w:rPr>
        <w:t>Moughataas</w:t>
      </w:r>
      <w:proofErr w:type="spellEnd"/>
      <w:r w:rsidR="00632B61" w:rsidRPr="00632B61">
        <w:rPr>
          <w:sz w:val="28"/>
          <w:szCs w:val="28"/>
        </w:rPr>
        <w:t xml:space="preserve"> et </w:t>
      </w:r>
      <w:r>
        <w:rPr>
          <w:sz w:val="28"/>
          <w:szCs w:val="28"/>
        </w:rPr>
        <w:t xml:space="preserve">particulièrement dans les </w:t>
      </w:r>
      <w:proofErr w:type="spellStart"/>
      <w:r>
        <w:rPr>
          <w:sz w:val="28"/>
          <w:szCs w:val="28"/>
        </w:rPr>
        <w:t>moughataas</w:t>
      </w:r>
      <w:proofErr w:type="spellEnd"/>
      <w:r>
        <w:rPr>
          <w:sz w:val="28"/>
          <w:szCs w:val="28"/>
        </w:rPr>
        <w:t xml:space="preserve"> visées. Selon les résultats de l’enquête SARA 2016 </w:t>
      </w:r>
      <w:r w:rsidRPr="005320C0">
        <w:rPr>
          <w:sz w:val="28"/>
          <w:szCs w:val="28"/>
        </w:rPr>
        <w:t xml:space="preserve">La stratégie avancée/mobile est offerte mensuellement dans 1% </w:t>
      </w:r>
      <w:r>
        <w:rPr>
          <w:sz w:val="28"/>
          <w:szCs w:val="28"/>
        </w:rPr>
        <w:t>seulement des</w:t>
      </w:r>
      <w:r w:rsidR="00855340" w:rsidRPr="00855340">
        <w:t xml:space="preserve"> </w:t>
      </w:r>
      <w:r w:rsidR="00855340">
        <w:rPr>
          <w:sz w:val="28"/>
          <w:szCs w:val="28"/>
        </w:rPr>
        <w:t>Formations S</w:t>
      </w:r>
      <w:r w:rsidR="00855340" w:rsidRPr="00855340">
        <w:rPr>
          <w:sz w:val="28"/>
          <w:szCs w:val="28"/>
        </w:rPr>
        <w:t>anitaires</w:t>
      </w:r>
      <w:r>
        <w:rPr>
          <w:sz w:val="28"/>
          <w:szCs w:val="28"/>
        </w:rPr>
        <w:t xml:space="preserve"> </w:t>
      </w:r>
      <w:r w:rsidR="00BC70E6">
        <w:rPr>
          <w:sz w:val="28"/>
          <w:szCs w:val="28"/>
        </w:rPr>
        <w:t>(</w:t>
      </w:r>
      <w:r>
        <w:rPr>
          <w:sz w:val="28"/>
          <w:szCs w:val="28"/>
        </w:rPr>
        <w:t>FOSA</w:t>
      </w:r>
      <w:r w:rsidR="00BC70E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82E214F" w14:textId="5EE34FB9" w:rsidR="002762F3" w:rsidRDefault="002762F3" w:rsidP="003A5D22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Dans certaines </w:t>
      </w:r>
      <w:proofErr w:type="spellStart"/>
      <w:r>
        <w:rPr>
          <w:sz w:val="28"/>
          <w:szCs w:val="28"/>
        </w:rPr>
        <w:t>Moughataa</w:t>
      </w:r>
      <w:proofErr w:type="spellEnd"/>
      <w:r>
        <w:rPr>
          <w:sz w:val="28"/>
          <w:szCs w:val="28"/>
        </w:rPr>
        <w:t xml:space="preserve"> désertique</w:t>
      </w:r>
      <w:r w:rsidR="008C1CDA">
        <w:rPr>
          <w:sz w:val="28"/>
          <w:szCs w:val="28"/>
        </w:rPr>
        <w:t>s</w:t>
      </w:r>
      <w:r>
        <w:rPr>
          <w:sz w:val="28"/>
          <w:szCs w:val="28"/>
        </w:rPr>
        <w:t xml:space="preserve"> et inaccessibles, l’acheminement des antigènes entre </w:t>
      </w:r>
      <w:r w:rsidR="003A5D22">
        <w:rPr>
          <w:sz w:val="28"/>
          <w:szCs w:val="28"/>
        </w:rPr>
        <w:t xml:space="preserve">le chef-lieu de district et les </w:t>
      </w:r>
      <w:r>
        <w:rPr>
          <w:sz w:val="28"/>
          <w:szCs w:val="28"/>
        </w:rPr>
        <w:t>FOSA exige la disponibilité d’un véhicule robuste.</w:t>
      </w:r>
    </w:p>
    <w:p w14:paraId="6CC07E08" w14:textId="10957F72" w:rsidR="002762F3" w:rsidRDefault="006E7CF3" w:rsidP="0085652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Veuillez noter que le nombre des véhicules initialement proposé (23) a été réduit de 3 véhicules suite à l’engagement de l’AFD  d’acquérir des véhicules 4X4 au profit de la région de l’</w:t>
      </w:r>
      <w:proofErr w:type="spellStart"/>
      <w:r>
        <w:rPr>
          <w:sz w:val="28"/>
          <w:szCs w:val="28"/>
        </w:rPr>
        <w:t>Assaba</w:t>
      </w:r>
      <w:proofErr w:type="spellEnd"/>
      <w:r>
        <w:rPr>
          <w:sz w:val="28"/>
          <w:szCs w:val="28"/>
        </w:rPr>
        <w:t xml:space="preserve"> dans le cadre d</w:t>
      </w:r>
      <w:r w:rsidR="0085652D">
        <w:rPr>
          <w:sz w:val="28"/>
          <w:szCs w:val="28"/>
        </w:rPr>
        <w:t xml:space="preserve">’un </w:t>
      </w:r>
      <w:r>
        <w:rPr>
          <w:sz w:val="28"/>
          <w:szCs w:val="28"/>
        </w:rPr>
        <w:t xml:space="preserve"> nouveau projet </w:t>
      </w:r>
      <w:r w:rsidR="0085652D">
        <w:rPr>
          <w:sz w:val="28"/>
          <w:szCs w:val="28"/>
        </w:rPr>
        <w:t xml:space="preserve">en cours de formulation et qui  doit démarrer </w:t>
      </w:r>
      <w:r>
        <w:rPr>
          <w:sz w:val="28"/>
          <w:szCs w:val="28"/>
        </w:rPr>
        <w:t>à partir de 2017.</w:t>
      </w:r>
    </w:p>
    <w:p w14:paraId="5246EB70" w14:textId="2598329C" w:rsidR="0085652D" w:rsidRDefault="0085652D" w:rsidP="008055A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éviter la duplication, nous avons </w:t>
      </w:r>
      <w:r w:rsidR="008055A7">
        <w:rPr>
          <w:sz w:val="28"/>
          <w:szCs w:val="28"/>
        </w:rPr>
        <w:t>procédé à la diminution de</w:t>
      </w:r>
      <w:r>
        <w:rPr>
          <w:sz w:val="28"/>
          <w:szCs w:val="28"/>
        </w:rPr>
        <w:t xml:space="preserve">s 3 véhicules qui étaient destinées aux </w:t>
      </w:r>
      <w:proofErr w:type="spellStart"/>
      <w:r>
        <w:rPr>
          <w:sz w:val="28"/>
          <w:szCs w:val="28"/>
        </w:rPr>
        <w:t>mouguataas</w:t>
      </w:r>
      <w:proofErr w:type="spellEnd"/>
      <w:r>
        <w:rPr>
          <w:sz w:val="28"/>
          <w:szCs w:val="28"/>
        </w:rPr>
        <w:t xml:space="preserve"> de Kiffa, Boumdeid et </w:t>
      </w:r>
      <w:r w:rsidR="008055A7">
        <w:rPr>
          <w:sz w:val="28"/>
          <w:szCs w:val="28"/>
        </w:rPr>
        <w:t>Kankoussa</w:t>
      </w:r>
      <w:bookmarkStart w:id="0" w:name="_GoBack"/>
      <w:bookmarkEnd w:id="0"/>
      <w:r w:rsidR="008055A7">
        <w:rPr>
          <w:sz w:val="28"/>
          <w:szCs w:val="28"/>
        </w:rPr>
        <w:t xml:space="preserve"> .</w:t>
      </w:r>
    </w:p>
    <w:p w14:paraId="2FAFEACC" w14:textId="20605B2F" w:rsidR="002762F3" w:rsidRDefault="0049220F" w:rsidP="0049220F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Référence c</w:t>
      </w:r>
      <w:r w:rsidR="002762F3" w:rsidRPr="002762F3">
        <w:rPr>
          <w:b/>
          <w:bCs/>
          <w:color w:val="0070C0"/>
          <w:sz w:val="32"/>
          <w:szCs w:val="32"/>
        </w:rPr>
        <w:t xml:space="preserve">oût unitaire de l'équipement de la chaîne du froid </w:t>
      </w:r>
    </w:p>
    <w:p w14:paraId="30164840" w14:textId="45716AEC" w:rsidR="0049220F" w:rsidRDefault="0049220F" w:rsidP="0049220F">
      <w:pPr>
        <w:spacing w:after="0" w:line="240" w:lineRule="auto"/>
        <w:jc w:val="both"/>
        <w:rPr>
          <w:sz w:val="28"/>
          <w:szCs w:val="28"/>
        </w:rPr>
      </w:pPr>
      <w:r w:rsidRPr="0049220F">
        <w:rPr>
          <w:b/>
          <w:bCs/>
          <w:sz w:val="28"/>
          <w:szCs w:val="28"/>
          <w:u w:val="single"/>
        </w:rPr>
        <w:t>Document de référence</w:t>
      </w:r>
      <w:r w:rsidRPr="0049220F">
        <w:rPr>
          <w:sz w:val="28"/>
          <w:szCs w:val="28"/>
        </w:rPr>
        <w:t xml:space="preserve"> : PQS </w:t>
      </w:r>
      <w:proofErr w:type="spellStart"/>
      <w:r w:rsidRPr="0049220F">
        <w:rPr>
          <w:sz w:val="28"/>
          <w:szCs w:val="28"/>
        </w:rPr>
        <w:t>devices</w:t>
      </w:r>
      <w:proofErr w:type="spellEnd"/>
      <w:r w:rsidRPr="0049220F">
        <w:rPr>
          <w:sz w:val="28"/>
          <w:szCs w:val="28"/>
        </w:rPr>
        <w:t xml:space="preserve"> catalogue, </w:t>
      </w:r>
      <w:proofErr w:type="spellStart"/>
      <w:r w:rsidRPr="0049220F">
        <w:rPr>
          <w:sz w:val="28"/>
          <w:szCs w:val="28"/>
        </w:rPr>
        <w:t>Pre-qualified</w:t>
      </w:r>
      <w:proofErr w:type="spellEnd"/>
      <w:r w:rsidRPr="0049220F">
        <w:rPr>
          <w:sz w:val="28"/>
          <w:szCs w:val="28"/>
        </w:rPr>
        <w:t xml:space="preserve"> </w:t>
      </w:r>
      <w:proofErr w:type="spellStart"/>
      <w:r w:rsidRPr="0049220F">
        <w:rPr>
          <w:sz w:val="28"/>
          <w:szCs w:val="28"/>
        </w:rPr>
        <w:t>equipment</w:t>
      </w:r>
      <w:proofErr w:type="spellEnd"/>
      <w:r w:rsidRPr="0049220F">
        <w:rPr>
          <w:sz w:val="28"/>
          <w:szCs w:val="28"/>
        </w:rPr>
        <w:t xml:space="preserve"> for the </w:t>
      </w:r>
      <w:proofErr w:type="spellStart"/>
      <w:r w:rsidRPr="0049220F">
        <w:rPr>
          <w:sz w:val="28"/>
          <w:szCs w:val="28"/>
        </w:rPr>
        <w:t>Expanded</w:t>
      </w:r>
      <w:proofErr w:type="spellEnd"/>
      <w:r w:rsidRPr="0049220F">
        <w:rPr>
          <w:sz w:val="28"/>
          <w:szCs w:val="28"/>
        </w:rPr>
        <w:t xml:space="preserve"> Programme on </w:t>
      </w:r>
      <w:proofErr w:type="spellStart"/>
      <w:r w:rsidRPr="0049220F">
        <w:rPr>
          <w:sz w:val="28"/>
          <w:szCs w:val="28"/>
        </w:rPr>
        <w:t>Immunization</w:t>
      </w:r>
      <w:proofErr w:type="spellEnd"/>
      <w:r w:rsidRPr="0049220F">
        <w:rPr>
          <w:sz w:val="28"/>
          <w:szCs w:val="28"/>
        </w:rPr>
        <w:t xml:space="preserve"> (EPI)</w:t>
      </w:r>
      <w:r>
        <w:rPr>
          <w:sz w:val="28"/>
          <w:szCs w:val="28"/>
        </w:rPr>
        <w:t xml:space="preserve">. </w:t>
      </w:r>
      <w:r w:rsidRPr="00932EC2">
        <w:rPr>
          <w:i/>
          <w:iCs/>
          <w:sz w:val="28"/>
          <w:szCs w:val="28"/>
          <w:u w:val="single"/>
        </w:rPr>
        <w:t>Version 3 aout 2016 page 56</w:t>
      </w:r>
      <w:r>
        <w:rPr>
          <w:sz w:val="28"/>
          <w:szCs w:val="28"/>
        </w:rPr>
        <w:t>.</w:t>
      </w:r>
    </w:p>
    <w:p w14:paraId="4DFB61CE" w14:textId="5E482889" w:rsidR="0085652D" w:rsidRPr="0049220F" w:rsidRDefault="0085652D" w:rsidP="00F377F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Sur la base de ce document fourni par l’Unicef qui est le partenaire qui </w:t>
      </w:r>
      <w:r w:rsidR="00F377FD">
        <w:rPr>
          <w:sz w:val="28"/>
          <w:szCs w:val="28"/>
        </w:rPr>
        <w:t>achète</w:t>
      </w:r>
      <w:r>
        <w:rPr>
          <w:sz w:val="28"/>
          <w:szCs w:val="28"/>
        </w:rPr>
        <w:t xml:space="preserve"> les chaines de froids au profit du </w:t>
      </w:r>
      <w:proofErr w:type="gramStart"/>
      <w:r>
        <w:rPr>
          <w:sz w:val="28"/>
          <w:szCs w:val="28"/>
        </w:rPr>
        <w:t>pays ,nous</w:t>
      </w:r>
      <w:proofErr w:type="gramEnd"/>
      <w:r>
        <w:rPr>
          <w:sz w:val="28"/>
          <w:szCs w:val="28"/>
        </w:rPr>
        <w:t xml:space="preserve"> avons </w:t>
      </w:r>
      <w:r w:rsidR="00F377FD">
        <w:rPr>
          <w:sz w:val="28"/>
          <w:szCs w:val="28"/>
        </w:rPr>
        <w:t>révisé le cout des chaines de froids à acquérir sur le RSS1.</w:t>
      </w:r>
    </w:p>
    <w:p w14:paraId="6C5BAF43" w14:textId="31FAFCF4" w:rsidR="0049220F" w:rsidRPr="0049220F" w:rsidRDefault="0049220F" w:rsidP="0049220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14:paraId="2B96DB7D" w14:textId="2158F93F" w:rsidR="0049220F" w:rsidRDefault="0049220F" w:rsidP="0049220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14:paraId="30EE35E0" w14:textId="77777777" w:rsidR="0049220F" w:rsidRDefault="0049220F" w:rsidP="0049220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14:paraId="3353EE7E" w14:textId="77777777" w:rsidR="008D1E1B" w:rsidRDefault="008D1E1B" w:rsidP="002762F3">
      <w:pPr>
        <w:jc w:val="both"/>
        <w:rPr>
          <w:color w:val="FF0000"/>
          <w:sz w:val="28"/>
          <w:szCs w:val="28"/>
        </w:rPr>
      </w:pPr>
    </w:p>
    <w:p w14:paraId="35F123AD" w14:textId="77777777" w:rsidR="008D1E1B" w:rsidRDefault="008D1E1B" w:rsidP="002762F3">
      <w:pPr>
        <w:jc w:val="both"/>
        <w:rPr>
          <w:color w:val="FF0000"/>
          <w:sz w:val="28"/>
          <w:szCs w:val="28"/>
        </w:rPr>
      </w:pPr>
    </w:p>
    <w:p w14:paraId="7EF27DC2" w14:textId="77777777" w:rsidR="008D1E1B" w:rsidRDefault="008D1E1B" w:rsidP="002762F3">
      <w:pPr>
        <w:jc w:val="both"/>
        <w:rPr>
          <w:color w:val="FF0000"/>
          <w:sz w:val="28"/>
          <w:szCs w:val="28"/>
        </w:rPr>
      </w:pPr>
    </w:p>
    <w:p w14:paraId="37CF7A7B" w14:textId="77777777" w:rsidR="008D1E1B" w:rsidRPr="002762F3" w:rsidRDefault="008D1E1B" w:rsidP="002762F3">
      <w:pPr>
        <w:jc w:val="both"/>
        <w:rPr>
          <w:sz w:val="28"/>
          <w:szCs w:val="28"/>
        </w:rPr>
      </w:pPr>
    </w:p>
    <w:sectPr w:rsidR="008D1E1B" w:rsidRPr="002762F3" w:rsidSect="001C614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C79F1"/>
    <w:multiLevelType w:val="hybridMultilevel"/>
    <w:tmpl w:val="E04C51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67967"/>
    <w:multiLevelType w:val="multilevel"/>
    <w:tmpl w:val="5E7C1AEC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C29541A"/>
    <w:multiLevelType w:val="hybridMultilevel"/>
    <w:tmpl w:val="087CF69C"/>
    <w:lvl w:ilvl="0" w:tplc="FF946FF8">
      <w:start w:val="12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6C542E"/>
    <w:multiLevelType w:val="hybridMultilevel"/>
    <w:tmpl w:val="49489D7C"/>
    <w:lvl w:ilvl="0" w:tplc="A770266C">
      <w:start w:val="9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2525A"/>
    <w:multiLevelType w:val="hybridMultilevel"/>
    <w:tmpl w:val="0F5205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00CE2"/>
    <w:multiLevelType w:val="hybridMultilevel"/>
    <w:tmpl w:val="DAA0B8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2707E"/>
    <w:multiLevelType w:val="hybridMultilevel"/>
    <w:tmpl w:val="B41C2D60"/>
    <w:lvl w:ilvl="0" w:tplc="A10AA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C08A9"/>
    <w:multiLevelType w:val="hybridMultilevel"/>
    <w:tmpl w:val="82FA3E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04"/>
    <w:rsid w:val="00022212"/>
    <w:rsid w:val="00045EFF"/>
    <w:rsid w:val="00067DED"/>
    <w:rsid w:val="00070591"/>
    <w:rsid w:val="00166415"/>
    <w:rsid w:val="001944AB"/>
    <w:rsid w:val="001A0B0A"/>
    <w:rsid w:val="001C3704"/>
    <w:rsid w:val="001C6141"/>
    <w:rsid w:val="001D4928"/>
    <w:rsid w:val="00207C0F"/>
    <w:rsid w:val="002229D2"/>
    <w:rsid w:val="00227D04"/>
    <w:rsid w:val="002762F3"/>
    <w:rsid w:val="002D685F"/>
    <w:rsid w:val="00335A11"/>
    <w:rsid w:val="003A5D22"/>
    <w:rsid w:val="003A7E2A"/>
    <w:rsid w:val="003B71BE"/>
    <w:rsid w:val="003C1B0E"/>
    <w:rsid w:val="0041645B"/>
    <w:rsid w:val="0049220F"/>
    <w:rsid w:val="004964C2"/>
    <w:rsid w:val="004C5F7E"/>
    <w:rsid w:val="005320C0"/>
    <w:rsid w:val="00541092"/>
    <w:rsid w:val="005656D3"/>
    <w:rsid w:val="006136FB"/>
    <w:rsid w:val="00632B61"/>
    <w:rsid w:val="00637DEB"/>
    <w:rsid w:val="006566AA"/>
    <w:rsid w:val="006B3775"/>
    <w:rsid w:val="006E0D7E"/>
    <w:rsid w:val="006E7CF3"/>
    <w:rsid w:val="007335D0"/>
    <w:rsid w:val="00737246"/>
    <w:rsid w:val="007551CB"/>
    <w:rsid w:val="008055A7"/>
    <w:rsid w:val="00855340"/>
    <w:rsid w:val="0085652D"/>
    <w:rsid w:val="00866ACD"/>
    <w:rsid w:val="0088450C"/>
    <w:rsid w:val="00885358"/>
    <w:rsid w:val="008C1CDA"/>
    <w:rsid w:val="008D1E1B"/>
    <w:rsid w:val="008D236E"/>
    <w:rsid w:val="008F27EE"/>
    <w:rsid w:val="00907FFE"/>
    <w:rsid w:val="0091760A"/>
    <w:rsid w:val="00920EC0"/>
    <w:rsid w:val="00932EC2"/>
    <w:rsid w:val="00937D89"/>
    <w:rsid w:val="0099029E"/>
    <w:rsid w:val="00B2268A"/>
    <w:rsid w:val="00BB69D6"/>
    <w:rsid w:val="00BC70E6"/>
    <w:rsid w:val="00C32C6C"/>
    <w:rsid w:val="00C72183"/>
    <w:rsid w:val="00CF576C"/>
    <w:rsid w:val="00DC687C"/>
    <w:rsid w:val="00DF636B"/>
    <w:rsid w:val="00E54E51"/>
    <w:rsid w:val="00E61A4E"/>
    <w:rsid w:val="00E61F75"/>
    <w:rsid w:val="00E87B6B"/>
    <w:rsid w:val="00F018BB"/>
    <w:rsid w:val="00F077F0"/>
    <w:rsid w:val="00F103DB"/>
    <w:rsid w:val="00F377FD"/>
    <w:rsid w:val="00F578C9"/>
    <w:rsid w:val="00FB675F"/>
    <w:rsid w:val="00FC18F9"/>
    <w:rsid w:val="00FF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6BA8"/>
  <w15:docId w15:val="{C7C8871B-111D-44AF-87DC-83DCA1A7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B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3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PATabletext">
    <w:name w:val="CEPA Table text"/>
    <w:basedOn w:val="Normal"/>
    <w:link w:val="CEPATabletextChar"/>
    <w:qFormat/>
    <w:rsid w:val="001C6141"/>
    <w:pPr>
      <w:spacing w:before="60" w:after="60" w:line="240" w:lineRule="auto"/>
    </w:pPr>
    <w:rPr>
      <w:rFonts w:ascii="Calibri" w:eastAsia="Times New Roman" w:hAnsi="Calibri" w:cs="Times New Roman"/>
      <w:szCs w:val="24"/>
    </w:rPr>
  </w:style>
  <w:style w:type="character" w:customStyle="1" w:styleId="CEPATabletextChar">
    <w:name w:val="CEPA Table text Char"/>
    <w:basedOn w:val="Policepardfaut"/>
    <w:link w:val="CEPATabletext"/>
    <w:rsid w:val="001C6141"/>
    <w:rPr>
      <w:rFonts w:ascii="Calibri" w:eastAsia="Times New Roman" w:hAnsi="Calibri" w:cs="Times New Roman"/>
      <w:szCs w:val="24"/>
    </w:rPr>
  </w:style>
  <w:style w:type="paragraph" w:styleId="Paragraphedeliste">
    <w:name w:val="List Paragraph"/>
    <w:basedOn w:val="Normal"/>
    <w:uiPriority w:val="34"/>
    <w:qFormat/>
    <w:rsid w:val="004964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5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6D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65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5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56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5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56D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B69D6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BB69D6"/>
  </w:style>
  <w:style w:type="paragraph" w:styleId="Rvision">
    <w:name w:val="Revision"/>
    <w:hidden/>
    <w:uiPriority w:val="99"/>
    <w:semiHidden/>
    <w:rsid w:val="00755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openxmlformats.org/officeDocument/2006/relationships/customXml" Target="../customXml/item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61E92A44B5DD2545AEF000129C25E859" ma:contentTypeVersion="134" ma:contentTypeDescription="Gavi Document content type " ma:contentTypeScope="" ma:versionID="696c53810e2aec9b3a00b04ae3d8f137">
  <xsd:schema xmlns:xsd="http://www.w3.org/2001/XMLSchema" xmlns:xs="http://www.w3.org/2001/XMLSchema" xmlns:p="http://schemas.microsoft.com/office/2006/metadata/properties" xmlns:ns2="d0706217-df7c-4bf4-936d-b09aa3b837af" xmlns:ns3="55894003-98dc-4f3e-8669-85b90bdbcc8c" targetNamespace="http://schemas.microsoft.com/office/2006/metadata/properties" ma:root="true" ma:fieldsID="7d66264c052af14e249ab016ecc19e9e" ns2:_="" ns3:_="">
    <xsd:import namespace="d0706217-df7c-4bf4-936d-b09aa3b837af"/>
    <xsd:import namespace="55894003-98dc-4f3e-8669-85b90bdbcc8c"/>
    <xsd:element name="properties">
      <xsd:complexType>
        <xsd:sequence>
          <xsd:element name="documentManagement">
            <xsd:complexType>
              <xsd:all>
                <xsd:element ref="ns2:e37ceaa0d61b4bfeb3c21883d9680a10" minOccurs="0"/>
                <xsd:element ref="ns2:e47ceaa0d61b4bfeb3c21883d9680a10" minOccurs="0"/>
                <xsd:element ref="ns2:i4a50af2c0e64ae9b81ffeca8af7ed0f" minOccurs="0"/>
                <xsd:element ref="ns2:e57ceaa0d61b4bfeb3c21883d9680a10" minOccurs="0"/>
                <xsd:element ref="ns2:TaxCatchAll" minOccurs="0"/>
                <xsd:element ref="ns2:TaxCatchAllLabel" minOccurs="0"/>
                <xsd:element ref="ns2:e77ceaa0d61b4bfeb3c21883d9680a10" minOccurs="0"/>
                <xsd:element ref="ns2:d1cc8e3ce74548b4802b698dbb551d86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e37ceaa0d61b4bfeb3c21883d9680a10" ma:index="9" nillable="true" ma:taxonomy="true" ma:internalName="e37ceaa0d61b4bfeb3c21883d9680a10" ma:taxonomyFieldName="Depto" ma:displayName="Department" ma:default="" ma:fieldId="{e37ceaa0-d61b-4bfe-b3c2-1883d9680a10}" ma:taxonomyMulti="true" ma:sspId="93cb0222-e980-4273-ad97-85dba3159c09" ma:termSetId="63e5e54b-9bb0-4b06-9796-5a83061cef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7ceaa0d61b4bfeb3c21883d9680a10" ma:index="10" nillable="true" ma:taxonomy="true" ma:internalName="e47ceaa0d61b4bfeb3c21883d9680a10" ma:taxonomyFieldName="Health" ma:displayName="Health Challenges" ma:default="" ma:fieldId="{e47ceaa0-d61b-4bfe-b3c2-1883d9680a10}" ma:taxonomyMulti="true" ma:sspId="93cb0222-e980-4273-ad97-85dba3159c09" ma:termSetId="54ca4d1c-0394-478f-9116-7d855f0e06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a50af2c0e64ae9b81ffeca8af7ed0f" ma:index="12" nillable="true" ma:taxonomy="true" ma:internalName="i4a50af2c0e64ae9b81ffeca8af7ed0f" ma:taxonomyFieldName="Health_x0020_System_x0020_Strengthening" ma:displayName="Health System Strengthening" ma:default="" ma:fieldId="{24a50af2-c0e6-4ae9-b81f-feca8af7ed0f}" ma:taxonomyMulti="true" ma:sspId="93cb0222-e980-4273-ad97-85dba3159c09" ma:termSetId="64ca4d1c-0394-478f-9116-7d855f0e06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7ceaa0d61b4bfeb3c21883d9680a10" ma:index="14" nillable="true" ma:taxonomy="true" ma:internalName="e57ceaa0d61b4bfeb3c21883d9680a10" ma:taxonomyFieldName="Vaccine" ma:displayName="Vaccine" ma:default="" ma:fieldId="{e57ceaa0-d61b-4bfe-b3c2-1883d9680a10}" ma:taxonomyMulti="true" ma:sspId="93cb0222-e980-4273-ad97-85dba3159c09" ma:termSetId="4c805448-8179-41c4-acfe-8b2a0ce8a4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c405dbff-886d-494b-bfcb-83b334e9f606}" ma:internalName="TaxCatchAll" ma:showField="CatchAllData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c405dbff-886d-494b-bfcb-83b334e9f606}" ma:internalName="TaxCatchAllLabel" ma:readOnly="true" ma:showField="CatchAllDataLabel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7ceaa0d61b4bfeb3c21883d9680a10" ma:index="18" nillable="true" ma:taxonomy="true" ma:internalName="e77ceaa0d61b4bfeb3c21883d9680a10" ma:taxonomyFieldName="Country" ma:displayName="Country" ma:default="" ma:fieldId="{e77ceaa0-d61b-4bfe-b3c2-1883d9680a10}" ma:taxonomyMulti="true" ma:sspId="93cb0222-e980-4273-ad97-85dba3159c09" ma:termSetId="6c805448-8179-41c4-acfe-8b2a0ce8a4e3" ma:anchorId="20679bbd-7efc-457a-a428-f2c6d1b19047" ma:open="false" ma:isKeyword="false">
      <xsd:complexType>
        <xsd:sequence>
          <xsd:element ref="pc:Terms" minOccurs="0" maxOccurs="1"/>
        </xsd:sequence>
      </xsd:complexType>
    </xsd:element>
    <xsd:element name="d1cc8e3ce74548b4802b698dbb551d86" ma:index="21" nillable="true" ma:taxonomy="true" ma:internalName="d1cc8e3ce74548b4802b698dbb551d86" ma:taxonomyFieldName="Programme_x0020_and_x0020_project_x0020_management" ma:displayName="Programme and project management" ma:default="" ma:fieldId="{d1cc8e3c-e745-48b4-802b-698dbb551d86}" ma:taxonomyMulti="true" ma:sspId="93cb0222-e980-4273-ad97-85dba3159c09" ma:termSetId="9c805448-8179-41c4-acfe-8b2a0ce8a4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94003-98dc-4f3e-8669-85b90bdbcc8c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77ceaa0d61b4bfeb3c21883d9680a10 xmlns="d0706217-df7c-4bf4-936d-b09aa3b837af">
      <Terms xmlns="http://schemas.microsoft.com/office/infopath/2007/PartnerControls"/>
    </e77ceaa0d61b4bfeb3c21883d9680a10>
    <_dlc_DocId xmlns="55894003-98dc-4f3e-8669-85b90bdbcc8c">GAVI-438364776-285306</_dlc_DocId>
    <d1cc8e3ce74548b4802b698dbb551d86 xmlns="d0706217-df7c-4bf4-936d-b09aa3b837af">
      <Terms xmlns="http://schemas.microsoft.com/office/infopath/2007/PartnerControls"/>
    </d1cc8e3ce74548b4802b698dbb551d86>
    <_dlc_DocIdUrl xmlns="55894003-98dc-4f3e-8669-85b90bdbcc8c">
      <Url>https://gavinet.sharepoint.com/teams/PAP/srp/_layouts/15/DocIdRedir.aspx?ID=GAVI-438364776-285306</Url>
      <Description>GAVI-438364776-285306</Description>
    </_dlc_DocIdUrl>
    <TaxCatchAll xmlns="d0706217-df7c-4bf4-936d-b09aa3b837af">
      <Value>84</Value>
    </TaxCatchAll>
    <e37ceaa0d61b4bfeb3c21883d9680a10 xmlns="d0706217-df7c-4bf4-936d-b09aa3b837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Risk and Performance</TermName>
          <TermId xmlns="http://schemas.microsoft.com/office/infopath/2007/PartnerControls">f86f85e9-d5f8-4edc-bd94-98e7d07c4933</TermId>
        </TermInfo>
      </Terms>
    </e37ceaa0d61b4bfeb3c21883d9680a10>
    <e57ceaa0d61b4bfeb3c21883d9680a10 xmlns="d0706217-df7c-4bf4-936d-b09aa3b837af">
      <Terms xmlns="http://schemas.microsoft.com/office/infopath/2007/PartnerControls"/>
    </e57ceaa0d61b4bfeb3c21883d9680a10>
    <e47ceaa0d61b4bfeb3c21883d9680a10 xmlns="d0706217-df7c-4bf4-936d-b09aa3b837af">
      <Terms xmlns="http://schemas.microsoft.com/office/infopath/2007/PartnerControls"/>
    </e47ceaa0d61b4bfeb3c21883d9680a10>
    <i4a50af2c0e64ae9b81ffeca8af7ed0f xmlns="d0706217-df7c-4bf4-936d-b09aa3b837af">
      <Terms xmlns="http://schemas.microsoft.com/office/infopath/2007/PartnerControls"/>
    </i4a50af2c0e64ae9b81ffeca8af7ed0f>
  </documentManagement>
</p:properties>
</file>

<file path=customXml/itemProps1.xml><?xml version="1.0" encoding="utf-8"?>
<ds:datastoreItem xmlns:ds="http://schemas.openxmlformats.org/officeDocument/2006/customXml" ds:itemID="{52E9BCBC-5841-4F97-AFBC-6A29040AC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D8C2A-CF59-4E13-A7F3-8B00046A0D56}"/>
</file>

<file path=customXml/itemProps3.xml><?xml version="1.0" encoding="utf-8"?>
<ds:datastoreItem xmlns:ds="http://schemas.openxmlformats.org/officeDocument/2006/customXml" ds:itemID="{04DF561F-C948-49F4-8E38-1B5F224B1285}"/>
</file>

<file path=customXml/itemProps4.xml><?xml version="1.0" encoding="utf-8"?>
<ds:datastoreItem xmlns:ds="http://schemas.openxmlformats.org/officeDocument/2006/customXml" ds:itemID="{E5F53268-63CE-4199-B48A-551CEEDE2C34}"/>
</file>

<file path=customXml/itemProps5.xml><?xml version="1.0" encoding="utf-8"?>
<ds:datastoreItem xmlns:ds="http://schemas.openxmlformats.org/officeDocument/2006/customXml" ds:itemID="{176DCBAF-2421-4983-AF90-9186C6FF3D10}"/>
</file>

<file path=customXml/itemProps6.xml><?xml version="1.0" encoding="utf-8"?>
<ds:datastoreItem xmlns:ds="http://schemas.openxmlformats.org/officeDocument/2006/customXml" ds:itemID="{FCE4C410-C7B0-49DE-81C7-B80B46BD2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1366</Words>
  <Characters>7517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khattry Med</dc:creator>
  <cp:lastModifiedBy>DPCIS</cp:lastModifiedBy>
  <cp:revision>19</cp:revision>
  <dcterms:created xsi:type="dcterms:W3CDTF">2016-08-02T11:17:00Z</dcterms:created>
  <dcterms:modified xsi:type="dcterms:W3CDTF">2016-08-09T18:55:00Z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lth System Strengthening">
    <vt:lpwstr/>
  </property>
  <property fmtid="{D5CDD505-2E9C-101B-9397-08002B2CF9AE}" pid="3" name="ContentTypeId">
    <vt:lpwstr>0x0101009954897F3EE3CC4ABB9FB9EDAC9CDEBC0061E92A44B5DD2545AEF000129C25E859</vt:lpwstr>
  </property>
  <property fmtid="{D5CDD505-2E9C-101B-9397-08002B2CF9AE}" pid="4" name="Vaccine">
    <vt:lpwstr/>
  </property>
  <property fmtid="{D5CDD505-2E9C-101B-9397-08002B2CF9AE}" pid="5" name="Health">
    <vt:lpwstr/>
  </property>
  <property fmtid="{D5CDD505-2E9C-101B-9397-08002B2CF9AE}" pid="6" name="Depto">
    <vt:lpwstr>84;#Strategy Risk and Performance|f86f85e9-d5f8-4edc-bd94-98e7d07c4933</vt:lpwstr>
  </property>
  <property fmtid="{D5CDD505-2E9C-101B-9397-08002B2CF9AE}" pid="7" name="kfa83adfad8641678ddaedda80d7e126">
    <vt:lpwstr/>
  </property>
  <property fmtid="{D5CDD505-2E9C-101B-9397-08002B2CF9AE}" pid="8" name="_dlc_DocIdItemGuid">
    <vt:lpwstr>4eee455d-92b7-40d5-ac7a-861761a9be0b</vt:lpwstr>
  </property>
  <property fmtid="{D5CDD505-2E9C-101B-9397-08002B2CF9AE}" pid="9" name="Country">
    <vt:lpwstr/>
  </property>
  <property fmtid="{D5CDD505-2E9C-101B-9397-08002B2CF9AE}" pid="10" name="Programme and project management">
    <vt:lpwstr/>
  </property>
  <property fmtid="{D5CDD505-2E9C-101B-9397-08002B2CF9AE}" pid="11" name="Test">
    <vt:lpwstr/>
  </property>
</Properties>
</file>