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A2A" w:rsidRPr="00B32A2A" w:rsidRDefault="00B32A2A" w:rsidP="00B32A2A">
      <w:pPr>
        <w:ind w:left="360"/>
        <w:jc w:val="both"/>
        <w:rPr>
          <w:rFonts w:cs="Arial"/>
          <w:noProof/>
        </w:rPr>
      </w:pPr>
      <w:r>
        <w:rPr>
          <w:rFonts w:cs="Arial"/>
          <w:noProof/>
          <w:lang w:bidi="ar-SA"/>
        </w:rPr>
        <mc:AlternateContent>
          <mc:Choice Requires="wps">
            <w:drawing>
              <wp:anchor distT="0" distB="0" distL="114300" distR="114300" simplePos="0" relativeHeight="251659264" behindDoc="1" locked="0" layoutInCell="1" allowOverlap="1" wp14:anchorId="6A46FDF9" wp14:editId="408A24D4">
                <wp:simplePos x="0" y="0"/>
                <wp:positionH relativeFrom="column">
                  <wp:posOffset>-624840</wp:posOffset>
                </wp:positionH>
                <wp:positionV relativeFrom="paragraph">
                  <wp:posOffset>-723265</wp:posOffset>
                </wp:positionV>
                <wp:extent cx="7642860" cy="2372360"/>
                <wp:effectExtent l="0" t="0" r="0" b="889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2860" cy="2372360"/>
                        </a:xfrm>
                        <a:prstGeom prst="rect">
                          <a:avLst/>
                        </a:prstGeom>
                        <a:solidFill>
                          <a:srgbClr val="006460">
                            <a:alpha val="49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xmlns:o="urn:schemas-microsoft-com:office:office" xmlns:v="urn:schemas-microsoft-com:vml" id="Rectangle 2" o:spid="_x0000_s1026" style="position:absolute;margin-left:-49.2pt;margin-top:-56.95pt;width:601.8pt;height:18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" fillcolor="#006460" stroked="f">
                <v:fill opacity="32125f"/>
              </v:rect>
            </w:pict>
          </mc:Fallback>
        </mc:AlternateContent>
      </w:r>
      <w:r>
        <w:rPr>
          <w:rFonts w:cs="Arial"/>
          <w:noProof/>
          <w:lang w:bidi="ar-SA"/>
        </w:rPr>
        <w:drawing>
          <wp:anchor distT="0" distB="0" distL="114300" distR="114300" simplePos="0" relativeHeight="251672576" behindDoc="1" locked="0" layoutInCell="1" allowOverlap="1" wp14:anchorId="0EB3BE06" wp14:editId="208D99F7">
            <wp:simplePos x="0" y="0"/>
            <wp:positionH relativeFrom="column">
              <wp:posOffset>-170815</wp:posOffset>
            </wp:positionH>
            <wp:positionV relativeFrom="paragraph">
              <wp:posOffset>-320675</wp:posOffset>
            </wp:positionV>
            <wp:extent cx="2002155" cy="854710"/>
            <wp:effectExtent l="0" t="0" r="0" b="2540"/>
            <wp:wrapNone/>
            <wp:docPr id="22" name="Image 151" descr="GAVI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1" descr="GAVI Wh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2155" cy="854710"/>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p w:rsidR="00B32A2A" w:rsidRPr="00B32A2A" w:rsidRDefault="00B32A2A" w:rsidP="00B32A2A">
      <w:pPr>
        <w:ind w:left="360"/>
        <w:jc w:val="both"/>
        <w:rPr>
          <w:rFonts w:cs="Arial"/>
          <w:noProof/>
        </w:rPr>
      </w:pPr>
      <w:r>
        <w:rPr>
          <w:rFonts w:cs="Arial"/>
          <w:noProof/>
          <w:lang w:bidi="ar-SA"/>
        </w:rPr>
        <mc:AlternateContent>
          <mc:Choice Requires="wps">
            <w:drawing>
              <wp:anchor distT="0" distB="0" distL="114300" distR="114300" simplePos="0" relativeHeight="251660288" behindDoc="0" locked="0" layoutInCell="1" allowOverlap="1" wp14:anchorId="73584B87" wp14:editId="1D568018">
                <wp:simplePos x="0" y="0"/>
                <wp:positionH relativeFrom="column">
                  <wp:posOffset>-516255</wp:posOffset>
                </wp:positionH>
                <wp:positionV relativeFrom="paragraph">
                  <wp:posOffset>55880</wp:posOffset>
                </wp:positionV>
                <wp:extent cx="7510780" cy="797560"/>
                <wp:effectExtent l="0" t="0" r="0" b="254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0780" cy="79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A2A" w:rsidRPr="00B32A2A" w:rsidRDefault="00B32A2A" w:rsidP="00B32A2A">
                            <w:pPr>
                              <w:jc w:val="center"/>
                              <w:rPr>
                                <w:rFonts w:cs="Arial"/>
                                <w:noProof/>
                                <w:color w:val="173E49"/>
                                <w:sz w:val="36"/>
                                <w:szCs w:val="34"/>
                              </w:rPr>
                            </w:pPr>
                          </w:p>
                          <w:p w:rsidR="00B32A2A" w:rsidRPr="00B32A2A" w:rsidRDefault="00B32A2A" w:rsidP="00B32A2A">
                            <w:pPr>
                              <w:jc w:val="center"/>
                              <w:rPr>
                                <w:rFonts w:cs="Arial"/>
                                <w:b/>
                                <w:noProof/>
                                <w:color w:val="173E49"/>
                                <w:sz w:val="36"/>
                                <w:szCs w:val="34"/>
                              </w:rPr>
                            </w:pPr>
                            <w:r>
                              <w:rPr>
                                <w:b/>
                                <w:noProof/>
                                <w:color w:val="173E49"/>
                                <w:sz w:val="36"/>
                              </w:rPr>
                              <w:t>Health Systems Strengthening (HSS) Cash Support</w:t>
                            </w:r>
                          </w:p>
                          <w:p w:rsidR="00B32A2A" w:rsidRPr="00B32A2A" w:rsidRDefault="00B32A2A" w:rsidP="00B32A2A">
                            <w:pPr>
                              <w:rPr>
                                <w:rFonts w:cs="Arial"/>
                                <w:b/>
                                <w:noProof/>
                                <w:color w:val="215868"/>
                                <w:sz w:val="36"/>
                                <w:szCs w:val="34"/>
                              </w:rPr>
                            </w:pPr>
                          </w:p>
                          <w:p w:rsidR="00B32A2A" w:rsidRPr="00B32A2A" w:rsidRDefault="00B32A2A" w:rsidP="00B32A2A">
                            <w:pPr>
                              <w:rPr>
                                <w:rFonts w:cs="Arial"/>
                                <w:noProof/>
                                <w:color w:val="215868"/>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0.65pt;margin-top:4.4pt;width:591.4pt;height:6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" filled="f" stroked="f">
                <v:textbox>
                  <w:txbxContent>
                    <w:p w:rsidR="00B32A2A" w:rsidRPr="00B32A2A" w:rsidRDefault="00B32A2A" w:rsidP="00B32A2A">
                      <w:pPr>
                        <w:jc w:val="center"/>
                        <w:rPr>
                          <w:rFonts w:cs="Arial"/>
                          <w:noProof/>
                          <w:color w:val="173E49"/>
                          <w:sz w:val="36"/>
                          <w:szCs w:val="34"/>
                        </w:rPr>
                      </w:pPr>
                    </w:p>
                    <w:p w:rsidR="00B32A2A" w:rsidRPr="00B32A2A" w:rsidRDefault="00B32A2A" w:rsidP="00B32A2A">
                      <w:pPr>
                        <w:jc w:val="center"/>
                        <w:rPr>
                          <w:rFonts w:cs="Arial"/>
                          <w:b/>
                          <w:noProof/>
                          <w:color w:val="173E49"/>
                          <w:sz w:val="36"/>
                          <w:szCs w:val="34"/>
                        </w:rPr>
                      </w:pPr>
                      <w:r>
                        <w:rPr>
                          <w:b/>
                          <w:noProof/>
                          <w:color w:val="173E49"/>
                          <w:sz w:val="36"/>
                        </w:rPr>
                        <w:t>Health Systems Strengthening (HSS) Cash Support</w:t>
                      </w:r>
                    </w:p>
                    <w:p w:rsidR="00B32A2A" w:rsidRPr="00B32A2A" w:rsidRDefault="00B32A2A" w:rsidP="00B32A2A">
                      <w:pPr>
                        <w:rPr>
                          <w:rFonts w:cs="Arial"/>
                          <w:b/>
                          <w:noProof/>
                          <w:color w:val="215868"/>
                          <w:sz w:val="36"/>
                          <w:szCs w:val="34"/>
                        </w:rPr>
                      </w:pPr>
                    </w:p>
                    <w:p w:rsidR="00B32A2A" w:rsidRPr="00B32A2A" w:rsidRDefault="00B32A2A" w:rsidP="00B32A2A">
                      <w:pPr>
                        <w:rPr>
                          <w:rFonts w:cs="Arial"/>
                          <w:noProof/>
                          <w:color w:val="215868"/>
                          <w:sz w:val="32"/>
                        </w:rPr>
                      </w:pPr>
                    </w:p>
                  </w:txbxContent>
                </v:textbox>
              </v:shape>
            </w:pict>
          </mc:Fallback>
        </mc:AlternateContent>
      </w:r>
    </w:p>
    <w:p w:rsidR="00B32A2A" w:rsidRPr="00B32A2A" w:rsidRDefault="00B32A2A" w:rsidP="00B32A2A">
      <w:pPr>
        <w:ind w:left="360"/>
        <w:jc w:val="both"/>
        <w:rPr>
          <w:rFonts w:cs="Arial"/>
          <w:noProof/>
        </w:rPr>
      </w:pPr>
    </w:p>
    <w:p w:rsidR="00B32A2A" w:rsidRPr="00B32A2A" w:rsidRDefault="00B32A2A" w:rsidP="00B32A2A">
      <w:pPr>
        <w:jc w:val="both"/>
        <w:rPr>
          <w:rFonts w:cs="Arial"/>
          <w:noProof/>
        </w:rPr>
      </w:pPr>
    </w:p>
    <w:p w:rsidR="00B32A2A" w:rsidRPr="00B32A2A" w:rsidRDefault="00B32A2A" w:rsidP="00B32A2A">
      <w:pPr>
        <w:jc w:val="both"/>
        <w:rPr>
          <w:rFonts w:cs="Arial"/>
          <w:noProof/>
        </w:rPr>
      </w:pPr>
      <w:r>
        <w:rPr>
          <w:rFonts w:cs="Arial"/>
          <w:noProof/>
          <w:lang w:bidi="ar-SA"/>
        </w:rPr>
        <mc:AlternateContent>
          <mc:Choice Requires="wps">
            <w:drawing>
              <wp:anchor distT="0" distB="0" distL="114300" distR="114300" simplePos="0" relativeHeight="251661312" behindDoc="0" locked="0" layoutInCell="1" allowOverlap="1" wp14:anchorId="1A7CCA8C" wp14:editId="40732EAE">
                <wp:simplePos x="0" y="0"/>
                <wp:positionH relativeFrom="column">
                  <wp:posOffset>-624840</wp:posOffset>
                </wp:positionH>
                <wp:positionV relativeFrom="paragraph">
                  <wp:posOffset>80010</wp:posOffset>
                </wp:positionV>
                <wp:extent cx="7642860" cy="293370"/>
                <wp:effectExtent l="0" t="0" r="0" b="0"/>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2860" cy="293370"/>
                        </a:xfrm>
                        <a:prstGeom prst="rect">
                          <a:avLst/>
                        </a:prstGeom>
                        <a:solidFill>
                          <a:srgbClr val="0064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xmlns:o="urn:schemas-microsoft-com:office:office" xmlns:v="urn:schemas-microsoft-com:vml" id="Rectangle 6" o:spid="_x0000_s1026" style="position:absolute;margin-left:-49.2pt;margin-top:6.3pt;width:601.8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" fillcolor="#006460" stroked="f"/>
            </w:pict>
          </mc:Fallback>
        </mc:AlternateContent>
      </w:r>
      <w:r>
        <w:rPr>
          <w:rFonts w:cs="Arial"/>
          <w:noProof/>
          <w:lang w:bidi="ar-SA"/>
        </w:rPr>
        <mc:AlternateContent>
          <mc:Choice Requires="wps">
            <w:drawing>
              <wp:anchor distT="0" distB="0" distL="114300" distR="114300" simplePos="0" relativeHeight="251662336" behindDoc="0" locked="0" layoutInCell="1" allowOverlap="1" wp14:anchorId="1DD2B08A" wp14:editId="36CB641E">
                <wp:simplePos x="0" y="0"/>
                <wp:positionH relativeFrom="column">
                  <wp:posOffset>-516890</wp:posOffset>
                </wp:positionH>
                <wp:positionV relativeFrom="paragraph">
                  <wp:posOffset>67945</wp:posOffset>
                </wp:positionV>
                <wp:extent cx="7305675" cy="398145"/>
                <wp:effectExtent l="0" t="0" r="0" b="1905"/>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A2A" w:rsidRPr="00B32A2A" w:rsidRDefault="00B32A2A" w:rsidP="00B32A2A">
                            <w:pPr>
                              <w:jc w:val="center"/>
                              <w:rPr>
                                <w:rFonts w:cs="Arial"/>
                                <w:b/>
                                <w:noProof/>
                                <w:color w:val="FFFFFF"/>
                                <w:sz w:val="32"/>
                                <w:szCs w:val="34"/>
                              </w:rPr>
                            </w:pPr>
                            <w:r>
                              <w:rPr>
                                <w:b/>
                                <w:noProof/>
                                <w:color w:val="FFFFFF"/>
                                <w:sz w:val="32"/>
                              </w:rPr>
                              <w:t xml:space="preserve">Application Package – Proposal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40.7pt;margin-top:5.35pt;width:575.25pt;height:3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" filled="f" stroked="f">
                <v:textbox>
                  <w:txbxContent>
                    <w:p w:rsidR="00B32A2A" w:rsidRPr="00B32A2A" w:rsidRDefault="00B32A2A" w:rsidP="00B32A2A">
                      <w:pPr>
                        <w:jc w:val="center"/>
                        <w:rPr>
                          <w:rFonts w:cs="Arial"/>
                          <w:b/>
                          <w:noProof/>
                          <w:color w:val="FFFFFF"/>
                          <w:sz w:val="32"/>
                          <w:szCs w:val="34"/>
                        </w:rPr>
                      </w:pPr>
                      <w:r>
                        <w:rPr>
                          <w:b/>
                          <w:noProof/>
                          <w:color w:val="FFFFFF"/>
                          <w:sz w:val="32"/>
                        </w:rPr>
                        <w:t xml:space="preserve">Application Package – Proposal Form </w:t>
                      </w:r>
                    </w:p>
                  </w:txbxContent>
                </v:textbox>
              </v:shape>
            </w:pict>
          </mc:Fallback>
        </mc:AlternateContent>
      </w:r>
    </w:p>
    <w:p w:rsidR="00B32A2A" w:rsidRPr="00B32A2A" w:rsidRDefault="00B32A2A" w:rsidP="00B32A2A">
      <w:pPr>
        <w:jc w:val="both"/>
        <w:rPr>
          <w:rFonts w:cs="Arial"/>
          <w:noProof/>
        </w:rPr>
      </w:pPr>
    </w:p>
    <w:p w:rsidR="00B32A2A" w:rsidRPr="00B32A2A" w:rsidRDefault="00B32A2A" w:rsidP="00B32A2A">
      <w:pPr>
        <w:spacing w:after="0"/>
        <w:jc w:val="both"/>
        <w:rPr>
          <w:rFonts w:cs="Arial"/>
          <w:noProof/>
        </w:rPr>
      </w:pPr>
      <w:bookmarkStart w:id="0" w:name="_Toc278640069"/>
      <w:r>
        <w:t>This proposal form is for use by applicants seeking to request Health Systems Strengthening (HSS) from GAVI. Countries are encouraged to participate in an iterative process with GAVI Alliance partners, including civil society organizations, in the development of HSS proposals prior to submission of this application for funding.</w:t>
      </w:r>
    </w:p>
    <w:p w:rsidR="00B32A2A" w:rsidRPr="00B32A2A" w:rsidRDefault="00B32A2A" w:rsidP="00B32A2A">
      <w:pPr>
        <w:spacing w:after="0"/>
        <w:jc w:val="both"/>
        <w:rPr>
          <w:rFonts w:cs="Arial"/>
          <w:noProof/>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4"/>
      </w:tblGrid>
      <w:tr w:rsidR="00B32A2A" w:rsidRPr="00B32A2A" w:rsidTr="00B32A2A">
        <w:trPr>
          <w:trHeight w:val="437"/>
        </w:trPr>
        <w:tc>
          <w:tcPr>
            <w:tcW w:w="5000" w:type="pct"/>
            <w:shd w:val="clear" w:color="auto" w:fill="006460"/>
            <w:vAlign w:val="center"/>
          </w:tcPr>
          <w:p w:rsidR="00B32A2A" w:rsidRPr="00B32A2A" w:rsidRDefault="00B32A2A" w:rsidP="00B32A2A">
            <w:pPr>
              <w:pStyle w:val="Heading1"/>
              <w:rPr>
                <w:rFonts w:cs="Arial"/>
                <w:noProof/>
                <w:color w:val="auto"/>
                <w:spacing w:val="0"/>
                <w:sz w:val="22"/>
                <w:szCs w:val="22"/>
              </w:rPr>
            </w:pPr>
            <w:bookmarkStart w:id="1" w:name="_Toc381123257"/>
            <w:bookmarkStart w:id="2" w:name="_Toc381566348"/>
            <w:r>
              <w:rPr>
                <w:noProof/>
                <w:color w:val="auto"/>
                <w:spacing w:val="0"/>
                <w:sz w:val="22"/>
              </w:rPr>
              <w:t>TABLE OF CONTENTS</w:t>
            </w:r>
            <w:bookmarkEnd w:id="1"/>
            <w:bookmarkEnd w:id="2"/>
          </w:p>
        </w:tc>
      </w:tr>
    </w:tbl>
    <w:p w:rsidR="00B32A2A" w:rsidRPr="00B32A2A" w:rsidRDefault="00B32A2A" w:rsidP="00B32A2A">
      <w:pPr>
        <w:spacing w:after="0"/>
        <w:jc w:val="both"/>
        <w:rPr>
          <w:rFonts w:cs="Arial"/>
          <w:noProof/>
        </w:rPr>
      </w:pPr>
    </w:p>
    <w:bookmarkStart w:id="3" w:name="_Toc381123258"/>
    <w:bookmarkStart w:id="4" w:name="TOCPosition"/>
    <w:bookmarkEnd w:id="0"/>
    <w:p w:rsidR="0022688C" w:rsidRDefault="00B32A2A" w:rsidP="0022688C">
      <w:pPr>
        <w:pStyle w:val="TOC1"/>
        <w:rPr>
          <w:rFonts w:asciiTheme="minorHAnsi" w:eastAsiaTheme="minorEastAsia" w:hAnsiTheme="minorHAnsi" w:cstheme="minorBidi"/>
          <w:noProof/>
          <w:sz w:val="22"/>
          <w:lang w:bidi="ar-SA"/>
        </w:rPr>
      </w:pPr>
      <w:r w:rsidRPr="00B32A2A">
        <w:rPr>
          <w:rFonts w:ascii="Arial" w:hAnsi="Arial" w:cs="Arial"/>
          <w:noProof/>
          <w:sz w:val="22"/>
        </w:rPr>
        <w:fldChar w:fldCharType="begin"/>
      </w:r>
      <w:r w:rsidRPr="00B32A2A">
        <w:rPr>
          <w:rFonts w:ascii="Arial" w:hAnsi="Arial" w:cs="Arial"/>
          <w:noProof/>
          <w:sz w:val="22"/>
        </w:rPr>
        <w:instrText xml:space="preserve"> TOC \o "1-2" \h \z \u </w:instrText>
      </w:r>
      <w:r w:rsidRPr="00B32A2A">
        <w:rPr>
          <w:rFonts w:ascii="Arial" w:hAnsi="Arial" w:cs="Arial"/>
          <w:noProof/>
          <w:sz w:val="22"/>
        </w:rPr>
        <w:fldChar w:fldCharType="separate"/>
      </w:r>
      <w:hyperlink w:anchor="_Toc381566348" w:history="1">
        <w:r w:rsidR="0022688C" w:rsidRPr="008603A1">
          <w:rPr>
            <w:rStyle w:val="Hyperlink"/>
            <w:noProof/>
          </w:rPr>
          <w:t>TABLE OF CONTENTS</w:t>
        </w:r>
        <w:r w:rsidR="0022688C">
          <w:rPr>
            <w:noProof/>
            <w:webHidden/>
          </w:rPr>
          <w:tab/>
        </w:r>
        <w:r w:rsidR="0022688C">
          <w:rPr>
            <w:noProof/>
            <w:webHidden/>
          </w:rPr>
          <w:fldChar w:fldCharType="begin"/>
        </w:r>
        <w:r w:rsidR="0022688C">
          <w:rPr>
            <w:noProof/>
            <w:webHidden/>
          </w:rPr>
          <w:instrText xml:space="preserve"> PAGEREF _Toc381566348 \h </w:instrText>
        </w:r>
        <w:r w:rsidR="0022688C">
          <w:rPr>
            <w:noProof/>
            <w:webHidden/>
          </w:rPr>
        </w:r>
        <w:r w:rsidR="0022688C">
          <w:rPr>
            <w:noProof/>
            <w:webHidden/>
          </w:rPr>
          <w:fldChar w:fldCharType="separate"/>
        </w:r>
        <w:r w:rsidR="0022688C">
          <w:rPr>
            <w:noProof/>
            <w:webHidden/>
          </w:rPr>
          <w:t>1</w:t>
        </w:r>
        <w:r w:rsidR="0022688C">
          <w:rPr>
            <w:noProof/>
            <w:webHidden/>
          </w:rPr>
          <w:fldChar w:fldCharType="end"/>
        </w:r>
      </w:hyperlink>
    </w:p>
    <w:p w:rsidR="0022688C" w:rsidRDefault="0022688C" w:rsidP="0022688C">
      <w:pPr>
        <w:pStyle w:val="TOC1"/>
        <w:rPr>
          <w:rFonts w:asciiTheme="minorHAnsi" w:eastAsiaTheme="minorEastAsia" w:hAnsiTheme="minorHAnsi" w:cstheme="minorBidi"/>
          <w:noProof/>
          <w:sz w:val="22"/>
          <w:lang w:bidi="ar-SA"/>
        </w:rPr>
      </w:pPr>
      <w:hyperlink w:anchor="_Toc381566349" w:history="1">
        <w:r w:rsidRPr="008603A1">
          <w:rPr>
            <w:rStyle w:val="Hyperlink"/>
            <w:noProof/>
          </w:rPr>
          <w:t>PART A - SUMMARY OF SUPPORT REQUESTED AND APPLICANT INFORMATION</w:t>
        </w:r>
        <w:r>
          <w:rPr>
            <w:noProof/>
            <w:webHidden/>
          </w:rPr>
          <w:tab/>
        </w:r>
        <w:r>
          <w:rPr>
            <w:noProof/>
            <w:webHidden/>
          </w:rPr>
          <w:fldChar w:fldCharType="begin"/>
        </w:r>
        <w:r>
          <w:rPr>
            <w:noProof/>
            <w:webHidden/>
          </w:rPr>
          <w:instrText xml:space="preserve"> PAGEREF _Toc381566349 \h </w:instrText>
        </w:r>
        <w:r>
          <w:rPr>
            <w:noProof/>
            <w:webHidden/>
          </w:rPr>
        </w:r>
        <w:r>
          <w:rPr>
            <w:noProof/>
            <w:webHidden/>
          </w:rPr>
          <w:fldChar w:fldCharType="separate"/>
        </w:r>
        <w:r>
          <w:rPr>
            <w:noProof/>
            <w:webHidden/>
          </w:rPr>
          <w:t>9</w:t>
        </w:r>
        <w:r>
          <w:rPr>
            <w:noProof/>
            <w:webHidden/>
          </w:rPr>
          <w:fldChar w:fldCharType="end"/>
        </w:r>
      </w:hyperlink>
    </w:p>
    <w:p w:rsidR="0022688C" w:rsidRDefault="0022688C" w:rsidP="0022688C">
      <w:pPr>
        <w:pStyle w:val="TOC1"/>
        <w:rPr>
          <w:rFonts w:asciiTheme="minorHAnsi" w:eastAsiaTheme="minorEastAsia" w:hAnsiTheme="minorHAnsi" w:cstheme="minorBidi"/>
          <w:noProof/>
          <w:sz w:val="22"/>
          <w:lang w:bidi="ar-SA"/>
        </w:rPr>
      </w:pPr>
      <w:hyperlink w:anchor="_Toc381566350" w:history="1">
        <w:r w:rsidRPr="008603A1">
          <w:rPr>
            <w:rStyle w:val="Hyperlink"/>
            <w:noProof/>
          </w:rPr>
          <w:t>Part B – EXECUTIVE SUMMARY</w:t>
        </w:r>
        <w:r>
          <w:rPr>
            <w:noProof/>
            <w:webHidden/>
          </w:rPr>
          <w:tab/>
        </w:r>
        <w:r>
          <w:rPr>
            <w:noProof/>
            <w:webHidden/>
          </w:rPr>
          <w:fldChar w:fldCharType="begin"/>
        </w:r>
        <w:r>
          <w:rPr>
            <w:noProof/>
            <w:webHidden/>
          </w:rPr>
          <w:instrText xml:space="preserve"> PAGEREF _Toc381566350 \h </w:instrText>
        </w:r>
        <w:r>
          <w:rPr>
            <w:noProof/>
            <w:webHidden/>
          </w:rPr>
        </w:r>
        <w:r>
          <w:rPr>
            <w:noProof/>
            <w:webHidden/>
          </w:rPr>
          <w:fldChar w:fldCharType="separate"/>
        </w:r>
        <w:r>
          <w:rPr>
            <w:noProof/>
            <w:webHidden/>
          </w:rPr>
          <w:t>17</w:t>
        </w:r>
        <w:r>
          <w:rPr>
            <w:noProof/>
            <w:webHidden/>
          </w:rPr>
          <w:fldChar w:fldCharType="end"/>
        </w:r>
      </w:hyperlink>
    </w:p>
    <w:p w:rsidR="0022688C" w:rsidRDefault="0022688C" w:rsidP="0022688C">
      <w:pPr>
        <w:pStyle w:val="TOC1"/>
        <w:rPr>
          <w:rFonts w:asciiTheme="minorHAnsi" w:eastAsiaTheme="minorEastAsia" w:hAnsiTheme="minorHAnsi" w:cstheme="minorBidi"/>
          <w:noProof/>
          <w:sz w:val="22"/>
          <w:lang w:bidi="ar-SA"/>
        </w:rPr>
      </w:pPr>
      <w:hyperlink w:anchor="_Toc381566351" w:history="1">
        <w:r w:rsidRPr="008603A1">
          <w:rPr>
            <w:rStyle w:val="Hyperlink"/>
            <w:noProof/>
          </w:rPr>
          <w:t>Part C– Situation Analysis</w:t>
        </w:r>
        <w:r>
          <w:rPr>
            <w:noProof/>
            <w:webHidden/>
          </w:rPr>
          <w:tab/>
        </w:r>
        <w:r>
          <w:rPr>
            <w:noProof/>
            <w:webHidden/>
          </w:rPr>
          <w:fldChar w:fldCharType="begin"/>
        </w:r>
        <w:r>
          <w:rPr>
            <w:noProof/>
            <w:webHidden/>
          </w:rPr>
          <w:instrText xml:space="preserve"> PAGEREF _Toc381566351 \h </w:instrText>
        </w:r>
        <w:r>
          <w:rPr>
            <w:noProof/>
            <w:webHidden/>
          </w:rPr>
        </w:r>
        <w:r>
          <w:rPr>
            <w:noProof/>
            <w:webHidden/>
          </w:rPr>
          <w:fldChar w:fldCharType="separate"/>
        </w:r>
        <w:r>
          <w:rPr>
            <w:noProof/>
            <w:webHidden/>
          </w:rPr>
          <w:t>20</w:t>
        </w:r>
        <w:r>
          <w:rPr>
            <w:noProof/>
            <w:webHidden/>
          </w:rPr>
          <w:fldChar w:fldCharType="end"/>
        </w:r>
      </w:hyperlink>
    </w:p>
    <w:p w:rsidR="0022688C" w:rsidRDefault="0022688C">
      <w:pPr>
        <w:pStyle w:val="TOC2"/>
        <w:rPr>
          <w:rFonts w:asciiTheme="minorHAnsi" w:eastAsiaTheme="minorEastAsia" w:hAnsiTheme="minorHAnsi" w:cstheme="minorBidi"/>
          <w:smallCaps w:val="0"/>
          <w:noProof/>
          <w:sz w:val="22"/>
          <w:lang w:bidi="ar-SA"/>
        </w:rPr>
      </w:pPr>
      <w:hyperlink w:anchor="_Toc381566352" w:history="1">
        <w:r w:rsidRPr="008603A1">
          <w:rPr>
            <w:rStyle w:val="Hyperlink"/>
            <w:rFonts w:ascii="Arial" w:hAnsi="Arial"/>
            <w:noProof/>
          </w:rPr>
          <w:t>1. Key relevant health and health system statistics</w:t>
        </w:r>
        <w:r>
          <w:rPr>
            <w:noProof/>
            <w:webHidden/>
          </w:rPr>
          <w:tab/>
        </w:r>
        <w:r>
          <w:rPr>
            <w:noProof/>
            <w:webHidden/>
          </w:rPr>
          <w:fldChar w:fldCharType="begin"/>
        </w:r>
        <w:r>
          <w:rPr>
            <w:noProof/>
            <w:webHidden/>
          </w:rPr>
          <w:instrText xml:space="preserve"> PAGEREF _Toc381566352 \h </w:instrText>
        </w:r>
        <w:r>
          <w:rPr>
            <w:noProof/>
            <w:webHidden/>
          </w:rPr>
        </w:r>
        <w:r>
          <w:rPr>
            <w:noProof/>
            <w:webHidden/>
          </w:rPr>
          <w:fldChar w:fldCharType="separate"/>
        </w:r>
        <w:r>
          <w:rPr>
            <w:noProof/>
            <w:webHidden/>
          </w:rPr>
          <w:t>20</w:t>
        </w:r>
        <w:r>
          <w:rPr>
            <w:noProof/>
            <w:webHidden/>
          </w:rPr>
          <w:fldChar w:fldCharType="end"/>
        </w:r>
      </w:hyperlink>
    </w:p>
    <w:p w:rsidR="0022688C" w:rsidRDefault="0022688C">
      <w:pPr>
        <w:pStyle w:val="TOC2"/>
        <w:rPr>
          <w:rFonts w:asciiTheme="minorHAnsi" w:eastAsiaTheme="minorEastAsia" w:hAnsiTheme="minorHAnsi" w:cstheme="minorBidi"/>
          <w:smallCaps w:val="0"/>
          <w:noProof/>
          <w:sz w:val="22"/>
          <w:lang w:bidi="ar-SA"/>
        </w:rPr>
      </w:pPr>
      <w:hyperlink w:anchor="_Toc381566353" w:history="1">
        <w:r w:rsidRPr="008603A1">
          <w:rPr>
            <w:rStyle w:val="Hyperlink"/>
            <w:noProof/>
          </w:rPr>
          <w:t>2. Description of the National Health Sector</w:t>
        </w:r>
        <w:r>
          <w:rPr>
            <w:noProof/>
            <w:webHidden/>
          </w:rPr>
          <w:tab/>
        </w:r>
        <w:r>
          <w:rPr>
            <w:noProof/>
            <w:webHidden/>
          </w:rPr>
          <w:fldChar w:fldCharType="begin"/>
        </w:r>
        <w:r>
          <w:rPr>
            <w:noProof/>
            <w:webHidden/>
          </w:rPr>
          <w:instrText xml:space="preserve"> PAGEREF _Toc381566353 \h </w:instrText>
        </w:r>
        <w:r>
          <w:rPr>
            <w:noProof/>
            <w:webHidden/>
          </w:rPr>
        </w:r>
        <w:r>
          <w:rPr>
            <w:noProof/>
            <w:webHidden/>
          </w:rPr>
          <w:fldChar w:fldCharType="separate"/>
        </w:r>
        <w:r>
          <w:rPr>
            <w:noProof/>
            <w:webHidden/>
          </w:rPr>
          <w:t>23</w:t>
        </w:r>
        <w:r>
          <w:rPr>
            <w:noProof/>
            <w:webHidden/>
          </w:rPr>
          <w:fldChar w:fldCharType="end"/>
        </w:r>
      </w:hyperlink>
    </w:p>
    <w:p w:rsidR="0022688C" w:rsidRDefault="0022688C">
      <w:pPr>
        <w:pStyle w:val="TOC2"/>
        <w:rPr>
          <w:rFonts w:asciiTheme="minorHAnsi" w:eastAsiaTheme="minorEastAsia" w:hAnsiTheme="minorHAnsi" w:cstheme="minorBidi"/>
          <w:smallCaps w:val="0"/>
          <w:noProof/>
          <w:sz w:val="22"/>
          <w:lang w:bidi="ar-SA"/>
        </w:rPr>
      </w:pPr>
      <w:hyperlink w:anchor="_Toc381566354" w:history="1">
        <w:r w:rsidRPr="008603A1">
          <w:rPr>
            <w:rStyle w:val="Hyperlink"/>
            <w:rFonts w:ascii="Arial" w:hAnsi="Arial"/>
            <w:noProof/>
          </w:rPr>
          <w:t>3. National Health Strategy and Joint Assessment of National Health Strategy (JANS)</w:t>
        </w:r>
        <w:r>
          <w:rPr>
            <w:noProof/>
            <w:webHidden/>
          </w:rPr>
          <w:tab/>
        </w:r>
        <w:r>
          <w:rPr>
            <w:noProof/>
            <w:webHidden/>
          </w:rPr>
          <w:fldChar w:fldCharType="begin"/>
        </w:r>
        <w:r>
          <w:rPr>
            <w:noProof/>
            <w:webHidden/>
          </w:rPr>
          <w:instrText xml:space="preserve"> PAGEREF _Toc381566354 \h </w:instrText>
        </w:r>
        <w:r>
          <w:rPr>
            <w:noProof/>
            <w:webHidden/>
          </w:rPr>
        </w:r>
        <w:r>
          <w:rPr>
            <w:noProof/>
            <w:webHidden/>
          </w:rPr>
          <w:fldChar w:fldCharType="separate"/>
        </w:r>
        <w:r>
          <w:rPr>
            <w:noProof/>
            <w:webHidden/>
          </w:rPr>
          <w:t>25</w:t>
        </w:r>
        <w:r>
          <w:rPr>
            <w:noProof/>
            <w:webHidden/>
          </w:rPr>
          <w:fldChar w:fldCharType="end"/>
        </w:r>
      </w:hyperlink>
    </w:p>
    <w:p w:rsidR="0022688C" w:rsidRDefault="0022688C">
      <w:pPr>
        <w:pStyle w:val="TOC2"/>
        <w:rPr>
          <w:rFonts w:asciiTheme="minorHAnsi" w:eastAsiaTheme="minorEastAsia" w:hAnsiTheme="minorHAnsi" w:cstheme="minorBidi"/>
          <w:smallCaps w:val="0"/>
          <w:noProof/>
          <w:sz w:val="22"/>
          <w:lang w:bidi="ar-SA"/>
        </w:rPr>
      </w:pPr>
      <w:hyperlink w:anchor="_Toc381566355" w:history="1">
        <w:r w:rsidRPr="008603A1">
          <w:rPr>
            <w:rStyle w:val="Hyperlink"/>
            <w:rFonts w:ascii="Arial" w:hAnsi="Arial"/>
            <w:noProof/>
          </w:rPr>
          <w:t>4. Monitoring and Evaluation Plan for the National Health Strategy</w:t>
        </w:r>
        <w:r>
          <w:rPr>
            <w:noProof/>
            <w:webHidden/>
          </w:rPr>
          <w:tab/>
        </w:r>
        <w:r>
          <w:rPr>
            <w:noProof/>
            <w:webHidden/>
          </w:rPr>
          <w:fldChar w:fldCharType="begin"/>
        </w:r>
        <w:r>
          <w:rPr>
            <w:noProof/>
            <w:webHidden/>
          </w:rPr>
          <w:instrText xml:space="preserve"> PAGEREF _Toc381566355 \h </w:instrText>
        </w:r>
        <w:r>
          <w:rPr>
            <w:noProof/>
            <w:webHidden/>
          </w:rPr>
        </w:r>
        <w:r>
          <w:rPr>
            <w:noProof/>
            <w:webHidden/>
          </w:rPr>
          <w:fldChar w:fldCharType="separate"/>
        </w:r>
        <w:r>
          <w:rPr>
            <w:noProof/>
            <w:webHidden/>
          </w:rPr>
          <w:t>27</w:t>
        </w:r>
        <w:r>
          <w:rPr>
            <w:noProof/>
            <w:webHidden/>
          </w:rPr>
          <w:fldChar w:fldCharType="end"/>
        </w:r>
      </w:hyperlink>
    </w:p>
    <w:p w:rsidR="0022688C" w:rsidRDefault="0022688C">
      <w:pPr>
        <w:pStyle w:val="TOC2"/>
        <w:rPr>
          <w:rFonts w:asciiTheme="minorHAnsi" w:eastAsiaTheme="minorEastAsia" w:hAnsiTheme="minorHAnsi" w:cstheme="minorBidi"/>
          <w:smallCaps w:val="0"/>
          <w:noProof/>
          <w:sz w:val="22"/>
          <w:lang w:bidi="ar-SA"/>
        </w:rPr>
      </w:pPr>
      <w:hyperlink w:anchor="_Toc381566356" w:history="1">
        <w:r w:rsidRPr="008603A1">
          <w:rPr>
            <w:rStyle w:val="Hyperlink"/>
            <w:rFonts w:ascii="Arial" w:hAnsi="Arial"/>
            <w:noProof/>
          </w:rPr>
          <w:t>5. Health Systems Bottlenecks to Achieving Immunization Outcomes</w:t>
        </w:r>
        <w:r>
          <w:rPr>
            <w:noProof/>
            <w:webHidden/>
          </w:rPr>
          <w:tab/>
        </w:r>
        <w:r>
          <w:rPr>
            <w:noProof/>
            <w:webHidden/>
          </w:rPr>
          <w:fldChar w:fldCharType="begin"/>
        </w:r>
        <w:r>
          <w:rPr>
            <w:noProof/>
            <w:webHidden/>
          </w:rPr>
          <w:instrText xml:space="preserve"> PAGEREF _Toc381566356 \h </w:instrText>
        </w:r>
        <w:r>
          <w:rPr>
            <w:noProof/>
            <w:webHidden/>
          </w:rPr>
        </w:r>
        <w:r>
          <w:rPr>
            <w:noProof/>
            <w:webHidden/>
          </w:rPr>
          <w:fldChar w:fldCharType="separate"/>
        </w:r>
        <w:r>
          <w:rPr>
            <w:noProof/>
            <w:webHidden/>
          </w:rPr>
          <w:t>29</w:t>
        </w:r>
        <w:r>
          <w:rPr>
            <w:noProof/>
            <w:webHidden/>
          </w:rPr>
          <w:fldChar w:fldCharType="end"/>
        </w:r>
      </w:hyperlink>
    </w:p>
    <w:p w:rsidR="0022688C" w:rsidRDefault="0022688C">
      <w:pPr>
        <w:pStyle w:val="TOC2"/>
        <w:rPr>
          <w:rFonts w:asciiTheme="minorHAnsi" w:eastAsiaTheme="minorEastAsia" w:hAnsiTheme="minorHAnsi" w:cstheme="minorBidi"/>
          <w:smallCaps w:val="0"/>
          <w:noProof/>
          <w:sz w:val="22"/>
          <w:lang w:bidi="ar-SA"/>
        </w:rPr>
      </w:pPr>
      <w:hyperlink w:anchor="_Toc381566357" w:history="1">
        <w:r w:rsidRPr="008603A1">
          <w:rPr>
            <w:rStyle w:val="Hyperlink"/>
            <w:rFonts w:ascii="Arial" w:hAnsi="Arial"/>
            <w:noProof/>
          </w:rPr>
          <w:t>6. Lessons Learned and Past Experience</w:t>
        </w:r>
        <w:r>
          <w:rPr>
            <w:noProof/>
            <w:webHidden/>
          </w:rPr>
          <w:tab/>
        </w:r>
        <w:r>
          <w:rPr>
            <w:noProof/>
            <w:webHidden/>
          </w:rPr>
          <w:fldChar w:fldCharType="begin"/>
        </w:r>
        <w:r>
          <w:rPr>
            <w:noProof/>
            <w:webHidden/>
          </w:rPr>
          <w:instrText xml:space="preserve"> PAGEREF _Toc381566357 \h </w:instrText>
        </w:r>
        <w:r>
          <w:rPr>
            <w:noProof/>
            <w:webHidden/>
          </w:rPr>
        </w:r>
        <w:r>
          <w:rPr>
            <w:noProof/>
            <w:webHidden/>
          </w:rPr>
          <w:fldChar w:fldCharType="separate"/>
        </w:r>
        <w:r>
          <w:rPr>
            <w:noProof/>
            <w:webHidden/>
          </w:rPr>
          <w:t>33</w:t>
        </w:r>
        <w:r>
          <w:rPr>
            <w:noProof/>
            <w:webHidden/>
          </w:rPr>
          <w:fldChar w:fldCharType="end"/>
        </w:r>
      </w:hyperlink>
    </w:p>
    <w:p w:rsidR="0022688C" w:rsidRDefault="0022688C" w:rsidP="0022688C">
      <w:pPr>
        <w:pStyle w:val="TOC1"/>
        <w:rPr>
          <w:rFonts w:asciiTheme="minorHAnsi" w:eastAsiaTheme="minorEastAsia" w:hAnsiTheme="minorHAnsi" w:cstheme="minorBidi"/>
          <w:noProof/>
          <w:sz w:val="22"/>
          <w:lang w:bidi="ar-SA"/>
        </w:rPr>
      </w:pPr>
      <w:hyperlink w:anchor="_Toc381566358" w:history="1">
        <w:r w:rsidRPr="008603A1">
          <w:rPr>
            <w:rStyle w:val="Hyperlink"/>
            <w:noProof/>
          </w:rPr>
          <w:t>PART D – PROPOSAL DETAILS</w:t>
        </w:r>
        <w:r>
          <w:rPr>
            <w:noProof/>
            <w:webHidden/>
          </w:rPr>
          <w:tab/>
        </w:r>
        <w:r>
          <w:rPr>
            <w:noProof/>
            <w:webHidden/>
          </w:rPr>
          <w:fldChar w:fldCharType="begin"/>
        </w:r>
        <w:r>
          <w:rPr>
            <w:noProof/>
            <w:webHidden/>
          </w:rPr>
          <w:instrText xml:space="preserve"> PAGEREF _Toc381566358 \h </w:instrText>
        </w:r>
        <w:r>
          <w:rPr>
            <w:noProof/>
            <w:webHidden/>
          </w:rPr>
        </w:r>
        <w:r>
          <w:rPr>
            <w:noProof/>
            <w:webHidden/>
          </w:rPr>
          <w:fldChar w:fldCharType="separate"/>
        </w:r>
        <w:r>
          <w:rPr>
            <w:noProof/>
            <w:webHidden/>
          </w:rPr>
          <w:t>35</w:t>
        </w:r>
        <w:r>
          <w:rPr>
            <w:noProof/>
            <w:webHidden/>
          </w:rPr>
          <w:fldChar w:fldCharType="end"/>
        </w:r>
      </w:hyperlink>
    </w:p>
    <w:p w:rsidR="0022688C" w:rsidRDefault="0022688C">
      <w:pPr>
        <w:pStyle w:val="TOC2"/>
        <w:rPr>
          <w:rFonts w:asciiTheme="minorHAnsi" w:eastAsiaTheme="minorEastAsia" w:hAnsiTheme="minorHAnsi" w:cstheme="minorBidi"/>
          <w:smallCaps w:val="0"/>
          <w:noProof/>
          <w:sz w:val="22"/>
          <w:lang w:bidi="ar-SA"/>
        </w:rPr>
      </w:pPr>
      <w:hyperlink w:anchor="_Toc381566359" w:history="1">
        <w:r w:rsidRPr="008603A1">
          <w:rPr>
            <w:rStyle w:val="Hyperlink"/>
            <w:rFonts w:ascii="Arial" w:hAnsi="Arial"/>
            <w:noProof/>
          </w:rPr>
          <w:t>7. Proposal Objectives</w:t>
        </w:r>
        <w:r>
          <w:rPr>
            <w:noProof/>
            <w:webHidden/>
          </w:rPr>
          <w:tab/>
        </w:r>
        <w:r>
          <w:rPr>
            <w:noProof/>
            <w:webHidden/>
          </w:rPr>
          <w:fldChar w:fldCharType="begin"/>
        </w:r>
        <w:r>
          <w:rPr>
            <w:noProof/>
            <w:webHidden/>
          </w:rPr>
          <w:instrText xml:space="preserve"> PAGEREF _Toc381566359 \h </w:instrText>
        </w:r>
        <w:r>
          <w:rPr>
            <w:noProof/>
            <w:webHidden/>
          </w:rPr>
        </w:r>
        <w:r>
          <w:rPr>
            <w:noProof/>
            <w:webHidden/>
          </w:rPr>
          <w:fldChar w:fldCharType="separate"/>
        </w:r>
        <w:r>
          <w:rPr>
            <w:noProof/>
            <w:webHidden/>
          </w:rPr>
          <w:t>35</w:t>
        </w:r>
        <w:r>
          <w:rPr>
            <w:noProof/>
            <w:webHidden/>
          </w:rPr>
          <w:fldChar w:fldCharType="end"/>
        </w:r>
      </w:hyperlink>
    </w:p>
    <w:p w:rsidR="0022688C" w:rsidRDefault="0022688C">
      <w:pPr>
        <w:pStyle w:val="TOC2"/>
        <w:rPr>
          <w:rFonts w:asciiTheme="minorHAnsi" w:eastAsiaTheme="minorEastAsia" w:hAnsiTheme="minorHAnsi" w:cstheme="minorBidi"/>
          <w:smallCaps w:val="0"/>
          <w:noProof/>
          <w:sz w:val="22"/>
          <w:lang w:bidi="ar-SA"/>
        </w:rPr>
      </w:pPr>
      <w:hyperlink w:anchor="_Toc381566360" w:history="1">
        <w:r w:rsidRPr="008603A1">
          <w:rPr>
            <w:rStyle w:val="Hyperlink"/>
            <w:rFonts w:ascii="Arial" w:hAnsi="Arial"/>
            <w:noProof/>
          </w:rPr>
          <w:t>8. Results Chain</w:t>
        </w:r>
        <w:r>
          <w:rPr>
            <w:noProof/>
            <w:webHidden/>
          </w:rPr>
          <w:tab/>
        </w:r>
        <w:r>
          <w:rPr>
            <w:noProof/>
            <w:webHidden/>
          </w:rPr>
          <w:fldChar w:fldCharType="begin"/>
        </w:r>
        <w:r>
          <w:rPr>
            <w:noProof/>
            <w:webHidden/>
          </w:rPr>
          <w:instrText xml:space="preserve"> PAGEREF _Toc381566360 \h </w:instrText>
        </w:r>
        <w:r>
          <w:rPr>
            <w:noProof/>
            <w:webHidden/>
          </w:rPr>
        </w:r>
        <w:r>
          <w:rPr>
            <w:noProof/>
            <w:webHidden/>
          </w:rPr>
          <w:fldChar w:fldCharType="separate"/>
        </w:r>
        <w:r>
          <w:rPr>
            <w:noProof/>
            <w:webHidden/>
          </w:rPr>
          <w:t>38</w:t>
        </w:r>
        <w:r>
          <w:rPr>
            <w:noProof/>
            <w:webHidden/>
          </w:rPr>
          <w:fldChar w:fldCharType="end"/>
        </w:r>
      </w:hyperlink>
    </w:p>
    <w:p w:rsidR="0022688C" w:rsidRDefault="0022688C">
      <w:pPr>
        <w:pStyle w:val="TOC2"/>
        <w:rPr>
          <w:rFonts w:asciiTheme="minorHAnsi" w:eastAsiaTheme="minorEastAsia" w:hAnsiTheme="minorHAnsi" w:cstheme="minorBidi"/>
          <w:smallCaps w:val="0"/>
          <w:noProof/>
          <w:sz w:val="22"/>
          <w:lang w:bidi="ar-SA"/>
        </w:rPr>
      </w:pPr>
      <w:hyperlink w:anchor="_Toc381566361" w:history="1">
        <w:r w:rsidRPr="008603A1">
          <w:rPr>
            <w:rStyle w:val="Hyperlink"/>
            <w:rFonts w:ascii="Arial" w:hAnsi="Arial"/>
            <w:noProof/>
          </w:rPr>
          <w:t>9. Monitoring &amp; Evaluation Plan</w:t>
        </w:r>
        <w:r>
          <w:rPr>
            <w:noProof/>
            <w:webHidden/>
          </w:rPr>
          <w:tab/>
        </w:r>
        <w:r>
          <w:rPr>
            <w:noProof/>
            <w:webHidden/>
          </w:rPr>
          <w:fldChar w:fldCharType="begin"/>
        </w:r>
        <w:r>
          <w:rPr>
            <w:noProof/>
            <w:webHidden/>
          </w:rPr>
          <w:instrText xml:space="preserve"> PAGEREF _Toc381566361 \h </w:instrText>
        </w:r>
        <w:r>
          <w:rPr>
            <w:noProof/>
            <w:webHidden/>
          </w:rPr>
        </w:r>
        <w:r>
          <w:rPr>
            <w:noProof/>
            <w:webHidden/>
          </w:rPr>
          <w:fldChar w:fldCharType="separate"/>
        </w:r>
        <w:r>
          <w:rPr>
            <w:noProof/>
            <w:webHidden/>
          </w:rPr>
          <w:t>45</w:t>
        </w:r>
        <w:r>
          <w:rPr>
            <w:noProof/>
            <w:webHidden/>
          </w:rPr>
          <w:fldChar w:fldCharType="end"/>
        </w:r>
      </w:hyperlink>
    </w:p>
    <w:p w:rsidR="0022688C" w:rsidRDefault="0022688C">
      <w:pPr>
        <w:pStyle w:val="TOC2"/>
        <w:rPr>
          <w:rFonts w:asciiTheme="minorHAnsi" w:eastAsiaTheme="minorEastAsia" w:hAnsiTheme="minorHAnsi" w:cstheme="minorBidi"/>
          <w:smallCaps w:val="0"/>
          <w:noProof/>
          <w:sz w:val="22"/>
          <w:lang w:bidi="ar-SA"/>
        </w:rPr>
      </w:pPr>
      <w:hyperlink w:anchor="_Toc381566362" w:history="1">
        <w:r w:rsidRPr="008603A1">
          <w:rPr>
            <w:rStyle w:val="Hyperlink"/>
            <w:rFonts w:ascii="Arial" w:hAnsi="Arial"/>
            <w:noProof/>
          </w:rPr>
          <w:t>10. Detailed Budget and Workplan</w:t>
        </w:r>
        <w:r>
          <w:rPr>
            <w:noProof/>
            <w:webHidden/>
          </w:rPr>
          <w:tab/>
        </w:r>
        <w:r>
          <w:rPr>
            <w:noProof/>
            <w:webHidden/>
          </w:rPr>
          <w:fldChar w:fldCharType="begin"/>
        </w:r>
        <w:r>
          <w:rPr>
            <w:noProof/>
            <w:webHidden/>
          </w:rPr>
          <w:instrText xml:space="preserve"> PAGEREF _Toc381566362 \h </w:instrText>
        </w:r>
        <w:r>
          <w:rPr>
            <w:noProof/>
            <w:webHidden/>
          </w:rPr>
        </w:r>
        <w:r>
          <w:rPr>
            <w:noProof/>
            <w:webHidden/>
          </w:rPr>
          <w:fldChar w:fldCharType="separate"/>
        </w:r>
        <w:r>
          <w:rPr>
            <w:noProof/>
            <w:webHidden/>
          </w:rPr>
          <w:t>47</w:t>
        </w:r>
        <w:r>
          <w:rPr>
            <w:noProof/>
            <w:webHidden/>
          </w:rPr>
          <w:fldChar w:fldCharType="end"/>
        </w:r>
      </w:hyperlink>
    </w:p>
    <w:p w:rsidR="0022688C" w:rsidRDefault="0022688C" w:rsidP="0022688C">
      <w:pPr>
        <w:pStyle w:val="TOC1"/>
        <w:rPr>
          <w:rFonts w:asciiTheme="minorHAnsi" w:eastAsiaTheme="minorEastAsia" w:hAnsiTheme="minorHAnsi" w:cstheme="minorBidi"/>
          <w:noProof/>
          <w:sz w:val="22"/>
          <w:lang w:bidi="ar-SA"/>
        </w:rPr>
      </w:pPr>
      <w:hyperlink w:anchor="_Toc381566363" w:history="1">
        <w:r w:rsidRPr="008603A1">
          <w:rPr>
            <w:rStyle w:val="Hyperlink"/>
            <w:noProof/>
          </w:rPr>
          <w:t>PART E – BUDGET, GAP ANALYSIS AND WORK PLAN</w:t>
        </w:r>
        <w:r>
          <w:rPr>
            <w:noProof/>
            <w:webHidden/>
          </w:rPr>
          <w:tab/>
        </w:r>
        <w:r>
          <w:rPr>
            <w:noProof/>
            <w:webHidden/>
          </w:rPr>
          <w:fldChar w:fldCharType="begin"/>
        </w:r>
        <w:r>
          <w:rPr>
            <w:noProof/>
            <w:webHidden/>
          </w:rPr>
          <w:instrText xml:space="preserve"> PAGEREF _Toc381566363 \h </w:instrText>
        </w:r>
        <w:r>
          <w:rPr>
            <w:noProof/>
            <w:webHidden/>
          </w:rPr>
        </w:r>
        <w:r>
          <w:rPr>
            <w:noProof/>
            <w:webHidden/>
          </w:rPr>
          <w:fldChar w:fldCharType="separate"/>
        </w:r>
        <w:r>
          <w:rPr>
            <w:noProof/>
            <w:webHidden/>
          </w:rPr>
          <w:t>50</w:t>
        </w:r>
        <w:r>
          <w:rPr>
            <w:noProof/>
            <w:webHidden/>
          </w:rPr>
          <w:fldChar w:fldCharType="end"/>
        </w:r>
      </w:hyperlink>
    </w:p>
    <w:p w:rsidR="0022688C" w:rsidRDefault="0022688C">
      <w:pPr>
        <w:pStyle w:val="TOC2"/>
        <w:rPr>
          <w:rFonts w:asciiTheme="minorHAnsi" w:eastAsiaTheme="minorEastAsia" w:hAnsiTheme="minorHAnsi" w:cstheme="minorBidi"/>
          <w:smallCaps w:val="0"/>
          <w:noProof/>
          <w:sz w:val="22"/>
          <w:lang w:bidi="ar-SA"/>
        </w:rPr>
      </w:pPr>
      <w:hyperlink w:anchor="_Toc381566364" w:history="1">
        <w:r w:rsidRPr="008603A1">
          <w:rPr>
            <w:rStyle w:val="Hyperlink"/>
            <w:rFonts w:ascii="Arial" w:hAnsi="Arial"/>
            <w:noProof/>
          </w:rPr>
          <w:t>11. Detailed Budget and workplan</w:t>
        </w:r>
        <w:r>
          <w:rPr>
            <w:noProof/>
            <w:webHidden/>
          </w:rPr>
          <w:tab/>
        </w:r>
        <w:r>
          <w:rPr>
            <w:noProof/>
            <w:webHidden/>
          </w:rPr>
          <w:fldChar w:fldCharType="begin"/>
        </w:r>
        <w:r>
          <w:rPr>
            <w:noProof/>
            <w:webHidden/>
          </w:rPr>
          <w:instrText xml:space="preserve"> PAGEREF _Toc381566364 \h </w:instrText>
        </w:r>
        <w:r>
          <w:rPr>
            <w:noProof/>
            <w:webHidden/>
          </w:rPr>
        </w:r>
        <w:r>
          <w:rPr>
            <w:noProof/>
            <w:webHidden/>
          </w:rPr>
          <w:fldChar w:fldCharType="separate"/>
        </w:r>
        <w:r>
          <w:rPr>
            <w:noProof/>
            <w:webHidden/>
          </w:rPr>
          <w:t>50</w:t>
        </w:r>
        <w:r>
          <w:rPr>
            <w:noProof/>
            <w:webHidden/>
          </w:rPr>
          <w:fldChar w:fldCharType="end"/>
        </w:r>
      </w:hyperlink>
    </w:p>
    <w:p w:rsidR="0022688C" w:rsidRDefault="0022688C">
      <w:pPr>
        <w:pStyle w:val="TOC2"/>
        <w:rPr>
          <w:rFonts w:asciiTheme="minorHAnsi" w:eastAsiaTheme="minorEastAsia" w:hAnsiTheme="minorHAnsi" w:cstheme="minorBidi"/>
          <w:smallCaps w:val="0"/>
          <w:noProof/>
          <w:sz w:val="22"/>
          <w:lang w:bidi="ar-SA"/>
        </w:rPr>
      </w:pPr>
      <w:hyperlink w:anchor="_Toc381566365" w:history="1">
        <w:r w:rsidRPr="008603A1">
          <w:rPr>
            <w:rStyle w:val="Hyperlink"/>
            <w:rFonts w:ascii="Arial" w:hAnsi="Arial"/>
            <w:noProof/>
          </w:rPr>
          <w:t>12. Gap Analysis &amp; Complementarity</w:t>
        </w:r>
        <w:r>
          <w:rPr>
            <w:noProof/>
            <w:webHidden/>
          </w:rPr>
          <w:tab/>
        </w:r>
        <w:r>
          <w:rPr>
            <w:noProof/>
            <w:webHidden/>
          </w:rPr>
          <w:fldChar w:fldCharType="begin"/>
        </w:r>
        <w:r>
          <w:rPr>
            <w:noProof/>
            <w:webHidden/>
          </w:rPr>
          <w:instrText xml:space="preserve"> PAGEREF _Toc381566365 \h </w:instrText>
        </w:r>
        <w:r>
          <w:rPr>
            <w:noProof/>
            <w:webHidden/>
          </w:rPr>
        </w:r>
        <w:r>
          <w:rPr>
            <w:noProof/>
            <w:webHidden/>
          </w:rPr>
          <w:fldChar w:fldCharType="separate"/>
        </w:r>
        <w:r>
          <w:rPr>
            <w:noProof/>
            <w:webHidden/>
          </w:rPr>
          <w:t>51</w:t>
        </w:r>
        <w:r>
          <w:rPr>
            <w:noProof/>
            <w:webHidden/>
          </w:rPr>
          <w:fldChar w:fldCharType="end"/>
        </w:r>
      </w:hyperlink>
    </w:p>
    <w:p w:rsidR="0022688C" w:rsidRDefault="0022688C">
      <w:pPr>
        <w:pStyle w:val="TOC2"/>
        <w:rPr>
          <w:rFonts w:asciiTheme="minorHAnsi" w:eastAsiaTheme="minorEastAsia" w:hAnsiTheme="minorHAnsi" w:cstheme="minorBidi"/>
          <w:smallCaps w:val="0"/>
          <w:noProof/>
          <w:sz w:val="22"/>
          <w:lang w:bidi="ar-SA"/>
        </w:rPr>
      </w:pPr>
      <w:hyperlink w:anchor="_Toc381566366" w:history="1">
        <w:r w:rsidRPr="008603A1">
          <w:rPr>
            <w:rStyle w:val="Hyperlink"/>
            <w:rFonts w:ascii="Arial" w:hAnsi="Arial"/>
            <w:noProof/>
          </w:rPr>
          <w:t>13. Viability</w:t>
        </w:r>
        <w:r>
          <w:rPr>
            <w:noProof/>
            <w:webHidden/>
          </w:rPr>
          <w:tab/>
        </w:r>
        <w:r>
          <w:rPr>
            <w:noProof/>
            <w:webHidden/>
          </w:rPr>
          <w:fldChar w:fldCharType="begin"/>
        </w:r>
        <w:r>
          <w:rPr>
            <w:noProof/>
            <w:webHidden/>
          </w:rPr>
          <w:instrText xml:space="preserve"> PAGEREF _Toc381566366 \h </w:instrText>
        </w:r>
        <w:r>
          <w:rPr>
            <w:noProof/>
            <w:webHidden/>
          </w:rPr>
        </w:r>
        <w:r>
          <w:rPr>
            <w:noProof/>
            <w:webHidden/>
          </w:rPr>
          <w:fldChar w:fldCharType="separate"/>
        </w:r>
        <w:r>
          <w:rPr>
            <w:noProof/>
            <w:webHidden/>
          </w:rPr>
          <w:t>53</w:t>
        </w:r>
        <w:r>
          <w:rPr>
            <w:noProof/>
            <w:webHidden/>
          </w:rPr>
          <w:fldChar w:fldCharType="end"/>
        </w:r>
      </w:hyperlink>
    </w:p>
    <w:p w:rsidR="0022688C" w:rsidRDefault="0022688C" w:rsidP="0022688C">
      <w:pPr>
        <w:pStyle w:val="TOC1"/>
        <w:rPr>
          <w:rFonts w:asciiTheme="minorHAnsi" w:eastAsiaTheme="minorEastAsia" w:hAnsiTheme="minorHAnsi" w:cstheme="minorBidi"/>
          <w:noProof/>
          <w:sz w:val="22"/>
          <w:lang w:bidi="ar-SA"/>
        </w:rPr>
      </w:pPr>
      <w:hyperlink w:anchor="_Toc381566367" w:history="1">
        <w:r w:rsidRPr="008603A1">
          <w:rPr>
            <w:rStyle w:val="Hyperlink"/>
            <w:noProof/>
          </w:rPr>
          <w:t>PART F – IMPLEMENTATION ARRANGEMENTS AND RISK MITIGATION</w:t>
        </w:r>
        <w:r>
          <w:rPr>
            <w:noProof/>
            <w:webHidden/>
          </w:rPr>
          <w:tab/>
        </w:r>
        <w:r>
          <w:rPr>
            <w:noProof/>
            <w:webHidden/>
          </w:rPr>
          <w:fldChar w:fldCharType="begin"/>
        </w:r>
        <w:r>
          <w:rPr>
            <w:noProof/>
            <w:webHidden/>
          </w:rPr>
          <w:instrText xml:space="preserve"> PAGEREF _Toc381566367 \h </w:instrText>
        </w:r>
        <w:r>
          <w:rPr>
            <w:noProof/>
            <w:webHidden/>
          </w:rPr>
        </w:r>
        <w:r>
          <w:rPr>
            <w:noProof/>
            <w:webHidden/>
          </w:rPr>
          <w:fldChar w:fldCharType="separate"/>
        </w:r>
        <w:r>
          <w:rPr>
            <w:noProof/>
            <w:webHidden/>
          </w:rPr>
          <w:t>54</w:t>
        </w:r>
        <w:r>
          <w:rPr>
            <w:noProof/>
            <w:webHidden/>
          </w:rPr>
          <w:fldChar w:fldCharType="end"/>
        </w:r>
      </w:hyperlink>
    </w:p>
    <w:p w:rsidR="0022688C" w:rsidRDefault="0022688C">
      <w:pPr>
        <w:pStyle w:val="TOC2"/>
        <w:rPr>
          <w:rFonts w:asciiTheme="minorHAnsi" w:eastAsiaTheme="minorEastAsia" w:hAnsiTheme="minorHAnsi" w:cstheme="minorBidi"/>
          <w:smallCaps w:val="0"/>
          <w:noProof/>
          <w:sz w:val="22"/>
          <w:lang w:bidi="ar-SA"/>
        </w:rPr>
      </w:pPr>
      <w:hyperlink w:anchor="_Toc381566368" w:history="1">
        <w:r w:rsidRPr="008603A1">
          <w:rPr>
            <w:rStyle w:val="Hyperlink"/>
            <w:rFonts w:ascii="Arial" w:hAnsi="Arial"/>
            <w:noProof/>
          </w:rPr>
          <w:t>14. Implementation Strategies</w:t>
        </w:r>
        <w:r>
          <w:rPr>
            <w:noProof/>
            <w:webHidden/>
          </w:rPr>
          <w:tab/>
        </w:r>
        <w:r>
          <w:rPr>
            <w:noProof/>
            <w:webHidden/>
          </w:rPr>
          <w:fldChar w:fldCharType="begin"/>
        </w:r>
        <w:r>
          <w:rPr>
            <w:noProof/>
            <w:webHidden/>
          </w:rPr>
          <w:instrText xml:space="preserve"> PAGEREF _Toc381566368 \h </w:instrText>
        </w:r>
        <w:r>
          <w:rPr>
            <w:noProof/>
            <w:webHidden/>
          </w:rPr>
        </w:r>
        <w:r>
          <w:rPr>
            <w:noProof/>
            <w:webHidden/>
          </w:rPr>
          <w:fldChar w:fldCharType="separate"/>
        </w:r>
        <w:r>
          <w:rPr>
            <w:noProof/>
            <w:webHidden/>
          </w:rPr>
          <w:t>54</w:t>
        </w:r>
        <w:r>
          <w:rPr>
            <w:noProof/>
            <w:webHidden/>
          </w:rPr>
          <w:fldChar w:fldCharType="end"/>
        </w:r>
      </w:hyperlink>
    </w:p>
    <w:p w:rsidR="0022688C" w:rsidRDefault="0022688C">
      <w:pPr>
        <w:pStyle w:val="TOC2"/>
        <w:rPr>
          <w:rFonts w:asciiTheme="minorHAnsi" w:eastAsiaTheme="minorEastAsia" w:hAnsiTheme="minorHAnsi" w:cstheme="minorBidi"/>
          <w:smallCaps w:val="0"/>
          <w:noProof/>
          <w:sz w:val="22"/>
          <w:lang w:bidi="ar-SA"/>
        </w:rPr>
      </w:pPr>
      <w:hyperlink w:anchor="_Toc381566369" w:history="1">
        <w:r w:rsidRPr="008603A1">
          <w:rPr>
            <w:rStyle w:val="Hyperlink"/>
            <w:rFonts w:ascii="Arial" w:hAnsi="Arial"/>
            <w:noProof/>
          </w:rPr>
          <w:t>15. Participation of civil society organizations</w:t>
        </w:r>
        <w:r>
          <w:rPr>
            <w:noProof/>
            <w:webHidden/>
          </w:rPr>
          <w:tab/>
        </w:r>
        <w:r>
          <w:rPr>
            <w:noProof/>
            <w:webHidden/>
          </w:rPr>
          <w:fldChar w:fldCharType="begin"/>
        </w:r>
        <w:r>
          <w:rPr>
            <w:noProof/>
            <w:webHidden/>
          </w:rPr>
          <w:instrText xml:space="preserve"> PAGEREF _Toc381566369 \h </w:instrText>
        </w:r>
        <w:r>
          <w:rPr>
            <w:noProof/>
            <w:webHidden/>
          </w:rPr>
        </w:r>
        <w:r>
          <w:rPr>
            <w:noProof/>
            <w:webHidden/>
          </w:rPr>
          <w:fldChar w:fldCharType="separate"/>
        </w:r>
        <w:r>
          <w:rPr>
            <w:noProof/>
            <w:webHidden/>
          </w:rPr>
          <w:t>57</w:t>
        </w:r>
        <w:r>
          <w:rPr>
            <w:noProof/>
            <w:webHidden/>
          </w:rPr>
          <w:fldChar w:fldCharType="end"/>
        </w:r>
      </w:hyperlink>
    </w:p>
    <w:p w:rsidR="0022688C" w:rsidRDefault="0022688C">
      <w:pPr>
        <w:pStyle w:val="TOC2"/>
        <w:rPr>
          <w:rFonts w:asciiTheme="minorHAnsi" w:eastAsiaTheme="minorEastAsia" w:hAnsiTheme="minorHAnsi" w:cstheme="minorBidi"/>
          <w:smallCaps w:val="0"/>
          <w:noProof/>
          <w:sz w:val="22"/>
          <w:lang w:bidi="ar-SA"/>
        </w:rPr>
      </w:pPr>
      <w:hyperlink w:anchor="_Toc381566370" w:history="1">
        <w:r w:rsidRPr="008603A1">
          <w:rPr>
            <w:rStyle w:val="Hyperlink"/>
            <w:rFonts w:ascii="Arial" w:hAnsi="Arial"/>
            <w:noProof/>
          </w:rPr>
          <w:t>16. Technical Assistance</w:t>
        </w:r>
        <w:r>
          <w:rPr>
            <w:noProof/>
            <w:webHidden/>
          </w:rPr>
          <w:tab/>
        </w:r>
        <w:r>
          <w:rPr>
            <w:noProof/>
            <w:webHidden/>
          </w:rPr>
          <w:fldChar w:fldCharType="begin"/>
        </w:r>
        <w:r>
          <w:rPr>
            <w:noProof/>
            <w:webHidden/>
          </w:rPr>
          <w:instrText xml:space="preserve"> PAGEREF _Toc381566370 \h </w:instrText>
        </w:r>
        <w:r>
          <w:rPr>
            <w:noProof/>
            <w:webHidden/>
          </w:rPr>
        </w:r>
        <w:r>
          <w:rPr>
            <w:noProof/>
            <w:webHidden/>
          </w:rPr>
          <w:fldChar w:fldCharType="separate"/>
        </w:r>
        <w:r>
          <w:rPr>
            <w:noProof/>
            <w:webHidden/>
          </w:rPr>
          <w:t>58</w:t>
        </w:r>
        <w:r>
          <w:rPr>
            <w:noProof/>
            <w:webHidden/>
          </w:rPr>
          <w:fldChar w:fldCharType="end"/>
        </w:r>
      </w:hyperlink>
    </w:p>
    <w:p w:rsidR="0022688C" w:rsidRDefault="0022688C">
      <w:pPr>
        <w:pStyle w:val="TOC2"/>
        <w:rPr>
          <w:rFonts w:asciiTheme="minorHAnsi" w:eastAsiaTheme="minorEastAsia" w:hAnsiTheme="minorHAnsi" w:cstheme="minorBidi"/>
          <w:smallCaps w:val="0"/>
          <w:noProof/>
          <w:sz w:val="22"/>
          <w:lang w:bidi="ar-SA"/>
        </w:rPr>
      </w:pPr>
      <w:hyperlink w:anchor="_Toc381566371" w:history="1">
        <w:r w:rsidRPr="008603A1">
          <w:rPr>
            <w:rStyle w:val="Hyperlink"/>
            <w:rFonts w:ascii="Arial" w:hAnsi="Arial"/>
            <w:noProof/>
          </w:rPr>
          <w:t>17. Risks and Mitigating Factors</w:t>
        </w:r>
        <w:r>
          <w:rPr>
            <w:noProof/>
            <w:webHidden/>
          </w:rPr>
          <w:tab/>
        </w:r>
        <w:r>
          <w:rPr>
            <w:noProof/>
            <w:webHidden/>
          </w:rPr>
          <w:fldChar w:fldCharType="begin"/>
        </w:r>
        <w:r>
          <w:rPr>
            <w:noProof/>
            <w:webHidden/>
          </w:rPr>
          <w:instrText xml:space="preserve"> PAGEREF _Toc381566371 \h </w:instrText>
        </w:r>
        <w:r>
          <w:rPr>
            <w:noProof/>
            <w:webHidden/>
          </w:rPr>
        </w:r>
        <w:r>
          <w:rPr>
            <w:noProof/>
            <w:webHidden/>
          </w:rPr>
          <w:fldChar w:fldCharType="separate"/>
        </w:r>
        <w:r>
          <w:rPr>
            <w:noProof/>
            <w:webHidden/>
          </w:rPr>
          <w:t>60</w:t>
        </w:r>
        <w:r>
          <w:rPr>
            <w:noProof/>
            <w:webHidden/>
          </w:rPr>
          <w:fldChar w:fldCharType="end"/>
        </w:r>
      </w:hyperlink>
    </w:p>
    <w:p w:rsidR="0022688C" w:rsidRDefault="0022688C">
      <w:pPr>
        <w:pStyle w:val="TOC2"/>
        <w:rPr>
          <w:rFonts w:asciiTheme="minorHAnsi" w:eastAsiaTheme="minorEastAsia" w:hAnsiTheme="minorHAnsi" w:cstheme="minorBidi"/>
          <w:smallCaps w:val="0"/>
          <w:noProof/>
          <w:sz w:val="22"/>
          <w:lang w:bidi="ar-SA"/>
        </w:rPr>
      </w:pPr>
      <w:hyperlink w:anchor="_Toc381566372" w:history="1">
        <w:r w:rsidRPr="008603A1">
          <w:rPr>
            <w:rStyle w:val="Hyperlink"/>
            <w:rFonts w:ascii="Arial" w:hAnsi="Arial"/>
            <w:noProof/>
          </w:rPr>
          <w:t>18. Financial Management and Procurement Arrangements</w:t>
        </w:r>
        <w:r>
          <w:rPr>
            <w:noProof/>
            <w:webHidden/>
          </w:rPr>
          <w:tab/>
        </w:r>
        <w:r>
          <w:rPr>
            <w:noProof/>
            <w:webHidden/>
          </w:rPr>
          <w:fldChar w:fldCharType="begin"/>
        </w:r>
        <w:r>
          <w:rPr>
            <w:noProof/>
            <w:webHidden/>
          </w:rPr>
          <w:instrText xml:space="preserve"> PAGEREF _Toc381566372 \h </w:instrText>
        </w:r>
        <w:r>
          <w:rPr>
            <w:noProof/>
            <w:webHidden/>
          </w:rPr>
        </w:r>
        <w:r>
          <w:rPr>
            <w:noProof/>
            <w:webHidden/>
          </w:rPr>
          <w:fldChar w:fldCharType="separate"/>
        </w:r>
        <w:r>
          <w:rPr>
            <w:noProof/>
            <w:webHidden/>
          </w:rPr>
          <w:t>64</w:t>
        </w:r>
        <w:r>
          <w:rPr>
            <w:noProof/>
            <w:webHidden/>
          </w:rPr>
          <w:fldChar w:fldCharType="end"/>
        </w:r>
      </w:hyperlink>
    </w:p>
    <w:p w:rsidR="0022688C" w:rsidRDefault="0022688C" w:rsidP="0022688C">
      <w:pPr>
        <w:pStyle w:val="TOC1"/>
        <w:rPr>
          <w:rStyle w:val="Hyperlink"/>
          <w:noProof/>
        </w:rPr>
      </w:pPr>
      <w:hyperlink w:anchor="_Toc381566373" w:history="1">
        <w:r w:rsidRPr="008603A1">
          <w:rPr>
            <w:rStyle w:val="Hyperlink"/>
            <w:noProof/>
          </w:rPr>
          <w:t>SUMMARY OF A COMPLETE APPLICATION</w:t>
        </w:r>
        <w:r>
          <w:rPr>
            <w:noProof/>
            <w:webHidden/>
          </w:rPr>
          <w:tab/>
        </w:r>
        <w:r>
          <w:rPr>
            <w:noProof/>
            <w:webHidden/>
          </w:rPr>
          <w:fldChar w:fldCharType="begin"/>
        </w:r>
        <w:r>
          <w:rPr>
            <w:noProof/>
            <w:webHidden/>
          </w:rPr>
          <w:instrText xml:space="preserve"> PAGEREF _Toc381566373 \h </w:instrText>
        </w:r>
        <w:r>
          <w:rPr>
            <w:noProof/>
            <w:webHidden/>
          </w:rPr>
        </w:r>
        <w:r>
          <w:rPr>
            <w:noProof/>
            <w:webHidden/>
          </w:rPr>
          <w:fldChar w:fldCharType="separate"/>
        </w:r>
        <w:r>
          <w:rPr>
            <w:noProof/>
            <w:webHidden/>
          </w:rPr>
          <w:t>70</w:t>
        </w:r>
        <w:r>
          <w:rPr>
            <w:noProof/>
            <w:webHidden/>
          </w:rPr>
          <w:fldChar w:fldCharType="end"/>
        </w:r>
      </w:hyperlink>
    </w:p>
    <w:p w:rsidR="0022688C" w:rsidRDefault="0022688C">
      <w:pPr>
        <w:widowControl/>
        <w:spacing w:after="0" w:line="240" w:lineRule="auto"/>
        <w:rPr>
          <w:rStyle w:val="Hyperlink"/>
          <w:rFonts w:ascii="Calibri" w:hAnsi="Calibri" w:cs="Calibri"/>
          <w:b/>
          <w:bCs/>
          <w:caps/>
          <w:noProof/>
          <w:sz w:val="20"/>
        </w:rPr>
      </w:pPr>
      <w:r>
        <w:rPr>
          <w:rStyle w:val="Hyperlink"/>
          <w:noProof/>
        </w:rPr>
        <w:br w:type="page"/>
      </w:r>
    </w:p>
    <w:p w:rsidR="00B32A2A" w:rsidRPr="0022688C" w:rsidRDefault="00B32A2A" w:rsidP="0022688C">
      <w:pPr>
        <w:pStyle w:val="TOC1"/>
        <w:rPr>
          <w:rFonts w:asciiTheme="minorHAnsi" w:eastAsiaTheme="minorEastAsia" w:hAnsiTheme="minorHAnsi" w:cstheme="minorBidi"/>
          <w:noProof/>
          <w:sz w:val="24"/>
          <w:szCs w:val="24"/>
        </w:rPr>
      </w:pPr>
      <w:r w:rsidRPr="00B32A2A">
        <w:rPr>
          <w:rFonts w:ascii="Arial" w:hAnsi="Arial" w:cs="Arial"/>
          <w:noProof/>
          <w:color w:val="FFFFFF"/>
          <w:szCs w:val="20"/>
        </w:rPr>
        <w:lastRenderedPageBreak/>
        <w:fldChar w:fldCharType="end"/>
      </w:r>
      <w:bookmarkEnd w:id="4"/>
      <w:r w:rsidRPr="0022688C">
        <w:rPr>
          <w:noProof/>
          <w:sz w:val="24"/>
          <w:szCs w:val="24"/>
        </w:rPr>
        <w:t>ABBREVIATIONS AND ACRONYMS</w:t>
      </w:r>
      <w:bookmarkEnd w:id="3"/>
    </w:p>
    <w:tbl>
      <w:tblPr>
        <w:tblW w:w="9778" w:type="dxa"/>
        <w:tblLook w:val="01E0" w:firstRow="1" w:lastRow="1" w:firstColumn="1" w:lastColumn="1" w:noHBand="0" w:noVBand="0"/>
      </w:tblPr>
      <w:tblGrid>
        <w:gridCol w:w="1668"/>
        <w:gridCol w:w="8110"/>
      </w:tblGrid>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 xml:space="preserve">US$ </w:t>
            </w:r>
          </w:p>
        </w:tc>
        <w:tc>
          <w:tcPr>
            <w:tcW w:w="8110" w:type="dxa"/>
          </w:tcPr>
          <w:p w:rsidR="00B32A2A" w:rsidRPr="00B32A2A" w:rsidRDefault="00B32A2A" w:rsidP="00B32A2A">
            <w:pPr>
              <w:spacing w:before="40" w:after="40"/>
              <w:rPr>
                <w:rFonts w:eastAsia="MS Mincho" w:cs="Arial"/>
                <w:noProof/>
              </w:rPr>
            </w:pPr>
            <w:r>
              <w:t>US Dollar</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AECID</w:t>
            </w:r>
          </w:p>
        </w:tc>
        <w:tc>
          <w:tcPr>
            <w:tcW w:w="8110" w:type="dxa"/>
          </w:tcPr>
          <w:p w:rsidR="00B32A2A" w:rsidRPr="00B32A2A" w:rsidRDefault="00B32A2A" w:rsidP="00B32A2A">
            <w:pPr>
              <w:spacing w:before="40" w:after="40"/>
              <w:rPr>
                <w:rFonts w:eastAsia="MS Mincho" w:cs="Arial"/>
                <w:noProof/>
              </w:rPr>
            </w:pPr>
            <w:r>
              <w:t>Agence Espagnole de Coopération Internationale pour le Développement (Spanish Agency for International Development Cooperation)</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AFD</w:t>
            </w:r>
          </w:p>
        </w:tc>
        <w:tc>
          <w:tcPr>
            <w:tcW w:w="8110" w:type="dxa"/>
          </w:tcPr>
          <w:p w:rsidR="00B32A2A" w:rsidRPr="00B32A2A" w:rsidRDefault="00B32A2A" w:rsidP="00B32A2A">
            <w:pPr>
              <w:spacing w:before="40" w:after="40"/>
              <w:rPr>
                <w:rFonts w:eastAsia="MS Mincho" w:cs="Arial"/>
                <w:noProof/>
              </w:rPr>
            </w:pPr>
            <w:r>
              <w:t>Agence Française de Développement (French Development Agency)</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ANO</w:t>
            </w:r>
          </w:p>
        </w:tc>
        <w:tc>
          <w:tcPr>
            <w:tcW w:w="8110" w:type="dxa"/>
          </w:tcPr>
          <w:p w:rsidR="00B32A2A" w:rsidRPr="00B32A2A" w:rsidRDefault="00B32A2A" w:rsidP="00B32A2A">
            <w:pPr>
              <w:spacing w:before="40" w:after="40"/>
              <w:rPr>
                <w:rFonts w:eastAsia="MS Mincho" w:cs="Arial"/>
                <w:noProof/>
              </w:rPr>
            </w:pPr>
            <w:r>
              <w:t>Avis de Non Objection (Non Objection)</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CHW</w:t>
            </w:r>
          </w:p>
        </w:tc>
        <w:tc>
          <w:tcPr>
            <w:tcW w:w="8110" w:type="dxa"/>
          </w:tcPr>
          <w:p w:rsidR="00B32A2A" w:rsidRPr="00B32A2A" w:rsidRDefault="00B32A2A" w:rsidP="00B32A2A">
            <w:pPr>
              <w:spacing w:before="40" w:after="40"/>
              <w:rPr>
                <w:rFonts w:eastAsia="MS Mincho" w:cs="Arial"/>
                <w:noProof/>
              </w:rPr>
            </w:pPr>
            <w:r>
              <w:t>Community Health Worker</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CCC</w:t>
            </w:r>
          </w:p>
        </w:tc>
        <w:tc>
          <w:tcPr>
            <w:tcW w:w="8110" w:type="dxa"/>
          </w:tcPr>
          <w:p w:rsidR="00B32A2A" w:rsidRPr="00B32A2A" w:rsidRDefault="00B32A2A" w:rsidP="00B32A2A">
            <w:pPr>
              <w:spacing w:before="40" w:after="40"/>
              <w:rPr>
                <w:rFonts w:eastAsia="MS Mincho" w:cs="Arial"/>
                <w:noProof/>
              </w:rPr>
            </w:pPr>
            <w:r>
              <w:t>Communication pour un Changement de Comportement (Information influencing practices)</w:t>
            </w:r>
          </w:p>
        </w:tc>
      </w:tr>
      <w:tr w:rsidR="00B32A2A" w:rsidRPr="00B32A2A" w:rsidTr="00B32A2A">
        <w:tc>
          <w:tcPr>
            <w:tcW w:w="1668" w:type="dxa"/>
          </w:tcPr>
          <w:p w:rsidR="00B32A2A" w:rsidRPr="00B32A2A" w:rsidRDefault="00B32A2A" w:rsidP="00B32A2A">
            <w:pPr>
              <w:spacing w:before="40" w:after="40"/>
              <w:rPr>
                <w:rFonts w:eastAsia="MS Mincho" w:cs="Arial"/>
                <w:b/>
                <w:noProof/>
              </w:rPr>
            </w:pPr>
          </w:p>
        </w:tc>
        <w:tc>
          <w:tcPr>
            <w:tcW w:w="8110" w:type="dxa"/>
          </w:tcPr>
          <w:p w:rsidR="00B32A2A" w:rsidRPr="00B32A2A" w:rsidRDefault="00B32A2A" w:rsidP="00B32A2A">
            <w:pPr>
              <w:spacing w:before="40" w:after="40"/>
              <w:rPr>
                <w:rFonts w:eastAsia="MS Mincho" w:cs="Arial"/>
                <w:noProof/>
              </w:rPr>
            </w:pP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ICC</w:t>
            </w:r>
          </w:p>
        </w:tc>
        <w:tc>
          <w:tcPr>
            <w:tcW w:w="8110" w:type="dxa"/>
          </w:tcPr>
          <w:p w:rsidR="00B32A2A" w:rsidRPr="00B32A2A" w:rsidRDefault="00B32A2A" w:rsidP="00B32A2A">
            <w:pPr>
              <w:spacing w:before="40" w:after="40"/>
              <w:rPr>
                <w:rFonts w:eastAsia="MS Mincho" w:cs="Arial"/>
                <w:noProof/>
              </w:rPr>
            </w:pPr>
            <w:r>
              <w:t>Inter-Agency Co-ordination Committee</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CHR</w:t>
            </w:r>
          </w:p>
        </w:tc>
        <w:tc>
          <w:tcPr>
            <w:tcW w:w="8110" w:type="dxa"/>
          </w:tcPr>
          <w:p w:rsidR="00B32A2A" w:rsidRPr="00B32A2A" w:rsidRDefault="00B32A2A" w:rsidP="00B32A2A">
            <w:pPr>
              <w:spacing w:before="40" w:after="40"/>
              <w:rPr>
                <w:rFonts w:eastAsia="MS Mincho" w:cs="Arial"/>
                <w:noProof/>
              </w:rPr>
            </w:pPr>
            <w:r>
              <w:t>Regional Hospital Center</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CNTS</w:t>
            </w:r>
          </w:p>
        </w:tc>
        <w:tc>
          <w:tcPr>
            <w:tcW w:w="8110" w:type="dxa"/>
          </w:tcPr>
          <w:p w:rsidR="00B32A2A" w:rsidRPr="00B32A2A" w:rsidRDefault="00B32A2A" w:rsidP="00B32A2A">
            <w:pPr>
              <w:spacing w:before="40" w:after="40"/>
              <w:rPr>
                <w:rFonts w:eastAsia="MS Mincho" w:cs="Arial"/>
                <w:noProof/>
              </w:rPr>
            </w:pPr>
            <w:r>
              <w:t>National Blood Transfusion Center</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CNS</w:t>
            </w:r>
          </w:p>
        </w:tc>
        <w:tc>
          <w:tcPr>
            <w:tcW w:w="8110" w:type="dxa"/>
          </w:tcPr>
          <w:p w:rsidR="00B32A2A" w:rsidRPr="00B32A2A" w:rsidRDefault="00B32A2A" w:rsidP="00B32A2A">
            <w:pPr>
              <w:spacing w:before="40" w:after="40"/>
              <w:rPr>
                <w:rFonts w:eastAsia="MS Mincho" w:cs="Arial"/>
                <w:noProof/>
              </w:rPr>
            </w:pPr>
            <w:r>
              <w:t>Comité National de Santé (National Health Council)</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MC</w:t>
            </w:r>
          </w:p>
        </w:tc>
        <w:tc>
          <w:tcPr>
            <w:tcW w:w="8110" w:type="dxa"/>
          </w:tcPr>
          <w:p w:rsidR="00B32A2A" w:rsidRPr="00B32A2A" w:rsidRDefault="00B32A2A" w:rsidP="00B32A2A">
            <w:pPr>
              <w:spacing w:before="40" w:after="40"/>
              <w:rPr>
                <w:rFonts w:eastAsia="MS Mincho" w:cs="Arial"/>
                <w:noProof/>
              </w:rPr>
            </w:pPr>
            <w:r>
              <w:t>Management Committee</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COSAN</w:t>
            </w:r>
          </w:p>
        </w:tc>
        <w:tc>
          <w:tcPr>
            <w:tcW w:w="8110" w:type="dxa"/>
          </w:tcPr>
          <w:p w:rsidR="00B32A2A" w:rsidRPr="00B32A2A" w:rsidRDefault="00B32A2A" w:rsidP="00B32A2A">
            <w:pPr>
              <w:spacing w:before="40" w:after="40"/>
              <w:rPr>
                <w:rFonts w:eastAsia="MS Mincho" w:cs="Arial"/>
                <w:noProof/>
              </w:rPr>
            </w:pPr>
            <w:r>
              <w:t>Comité de Santé (Health Council)</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CSC</w:t>
            </w:r>
          </w:p>
        </w:tc>
        <w:tc>
          <w:tcPr>
            <w:tcW w:w="8110" w:type="dxa"/>
          </w:tcPr>
          <w:p w:rsidR="00B32A2A" w:rsidRPr="00B32A2A" w:rsidRDefault="00B32A2A" w:rsidP="00B32A2A">
            <w:pPr>
              <w:spacing w:before="40" w:after="40"/>
              <w:rPr>
                <w:rFonts w:eastAsia="MS Mincho" w:cs="Arial"/>
                <w:noProof/>
              </w:rPr>
            </w:pPr>
            <w:r>
              <w:t>Case de Santé (Health Hut)</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IHC</w:t>
            </w:r>
          </w:p>
        </w:tc>
        <w:tc>
          <w:tcPr>
            <w:tcW w:w="8110" w:type="dxa"/>
          </w:tcPr>
          <w:p w:rsidR="00B32A2A" w:rsidRPr="00B32A2A" w:rsidRDefault="00B32A2A" w:rsidP="00B32A2A">
            <w:pPr>
              <w:spacing w:before="40" w:after="40"/>
              <w:rPr>
                <w:rFonts w:eastAsia="MS Mincho" w:cs="Arial"/>
                <w:noProof/>
              </w:rPr>
            </w:pPr>
            <w:r>
              <w:t xml:space="preserve">Integrated Health </w:t>
            </w:r>
            <w:r w:rsidR="00FF4FCF">
              <w:t>Center</w:t>
            </w:r>
          </w:p>
        </w:tc>
      </w:tr>
      <w:tr w:rsidR="00B32A2A" w:rsidRPr="00B32A2A" w:rsidTr="00B32A2A">
        <w:tc>
          <w:tcPr>
            <w:tcW w:w="1668" w:type="dxa"/>
          </w:tcPr>
          <w:p w:rsidR="00B32A2A" w:rsidRPr="00B32A2A" w:rsidRDefault="00B32A2A" w:rsidP="00B32A2A">
            <w:pPr>
              <w:spacing w:before="40" w:after="40"/>
              <w:rPr>
                <w:rFonts w:eastAsia="MS Mincho" w:cs="Arial"/>
                <w:b/>
                <w:noProof/>
              </w:rPr>
            </w:pPr>
          </w:p>
        </w:tc>
        <w:tc>
          <w:tcPr>
            <w:tcW w:w="8110" w:type="dxa"/>
          </w:tcPr>
          <w:p w:rsidR="00B32A2A" w:rsidRPr="00B32A2A" w:rsidRDefault="00B32A2A" w:rsidP="00B32A2A">
            <w:pPr>
              <w:spacing w:before="40" w:after="40"/>
              <w:rPr>
                <w:rFonts w:eastAsia="MS Mincho" w:cs="Arial"/>
                <w:noProof/>
              </w:rPr>
            </w:pP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CTNS</w:t>
            </w:r>
          </w:p>
        </w:tc>
        <w:tc>
          <w:tcPr>
            <w:tcW w:w="8110" w:type="dxa"/>
          </w:tcPr>
          <w:p w:rsidR="00B32A2A" w:rsidRPr="00B32A2A" w:rsidRDefault="00B32A2A" w:rsidP="00B32A2A">
            <w:pPr>
              <w:spacing w:before="40" w:after="40"/>
              <w:rPr>
                <w:rFonts w:eastAsia="MS Mincho" w:cs="Arial"/>
                <w:noProof/>
              </w:rPr>
            </w:pPr>
            <w:r>
              <w:t xml:space="preserve">Comité Technique National de Santé (National Health Technical </w:t>
            </w:r>
            <w:r w:rsidR="00FF4FCF">
              <w:t>Committee</w:t>
            </w:r>
            <w:r>
              <w:t>)</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DEP</w:t>
            </w:r>
          </w:p>
        </w:tc>
        <w:tc>
          <w:tcPr>
            <w:tcW w:w="8110" w:type="dxa"/>
          </w:tcPr>
          <w:p w:rsidR="00B32A2A" w:rsidRPr="00B32A2A" w:rsidRDefault="00B32A2A" w:rsidP="00B32A2A">
            <w:pPr>
              <w:spacing w:before="40" w:after="40"/>
              <w:rPr>
                <w:rFonts w:eastAsia="MS Mincho" w:cs="Arial"/>
                <w:noProof/>
              </w:rPr>
            </w:pPr>
            <w:r>
              <w:t>Direction des Etudes et de la Programmation (Directorate for Research and Scheduling)</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DI EPS</w:t>
            </w:r>
          </w:p>
        </w:tc>
        <w:tc>
          <w:tcPr>
            <w:tcW w:w="8110" w:type="dxa"/>
          </w:tcPr>
          <w:p w:rsidR="00B32A2A" w:rsidRPr="00B32A2A" w:rsidRDefault="00B32A2A" w:rsidP="00B32A2A">
            <w:pPr>
              <w:spacing w:before="40" w:after="40"/>
              <w:rPr>
                <w:rFonts w:eastAsia="MS Mincho" w:cs="Arial"/>
                <w:noProof/>
              </w:rPr>
            </w:pPr>
            <w:r>
              <w:t>Division on Health Information and Education</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DQA</w:t>
            </w:r>
          </w:p>
        </w:tc>
        <w:tc>
          <w:tcPr>
            <w:tcW w:w="8110" w:type="dxa"/>
          </w:tcPr>
          <w:p w:rsidR="00B32A2A" w:rsidRPr="00B32A2A" w:rsidRDefault="00B32A2A" w:rsidP="00B32A2A">
            <w:pPr>
              <w:spacing w:before="40" w:after="40"/>
              <w:rPr>
                <w:rFonts w:eastAsia="MS Mincho" w:cs="Arial"/>
                <w:noProof/>
              </w:rPr>
            </w:pPr>
            <w:r>
              <w:t xml:space="preserve">Data Quality Audit </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DQS</w:t>
            </w:r>
          </w:p>
        </w:tc>
        <w:tc>
          <w:tcPr>
            <w:tcW w:w="8110" w:type="dxa"/>
          </w:tcPr>
          <w:p w:rsidR="00B32A2A" w:rsidRPr="00B32A2A" w:rsidRDefault="00B32A2A" w:rsidP="00B32A2A">
            <w:pPr>
              <w:spacing w:before="40" w:after="40"/>
              <w:rPr>
                <w:rFonts w:eastAsia="MS Mincho" w:cs="Arial"/>
                <w:noProof/>
              </w:rPr>
            </w:pPr>
            <w:r>
              <w:t>Data Quality Survey</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DQS</w:t>
            </w:r>
          </w:p>
        </w:tc>
        <w:tc>
          <w:tcPr>
            <w:tcW w:w="8110" w:type="dxa"/>
          </w:tcPr>
          <w:p w:rsidR="00B32A2A" w:rsidRPr="00B32A2A" w:rsidRDefault="00B32A2A" w:rsidP="00B32A2A">
            <w:pPr>
              <w:spacing w:before="40" w:after="40"/>
              <w:rPr>
                <w:rFonts w:eastAsia="MS Mincho" w:cs="Arial"/>
                <w:noProof/>
              </w:rPr>
            </w:pPr>
            <w:r>
              <w:t>Data Quality System</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RPHM</w:t>
            </w:r>
          </w:p>
        </w:tc>
        <w:tc>
          <w:tcPr>
            <w:tcW w:w="8110" w:type="dxa"/>
          </w:tcPr>
          <w:p w:rsidR="00B32A2A" w:rsidRPr="00B32A2A" w:rsidRDefault="00B32A2A" w:rsidP="00B32A2A">
            <w:pPr>
              <w:spacing w:before="40" w:after="40"/>
              <w:rPr>
                <w:rFonts w:eastAsia="MS Mincho" w:cs="Arial"/>
                <w:noProof/>
              </w:rPr>
            </w:pPr>
            <w:r>
              <w:t>Regional Public Health Management</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HD</w:t>
            </w:r>
          </w:p>
        </w:tc>
        <w:tc>
          <w:tcPr>
            <w:tcW w:w="8110" w:type="dxa"/>
          </w:tcPr>
          <w:p w:rsidR="00B32A2A" w:rsidRPr="00B32A2A" w:rsidRDefault="00B32A2A" w:rsidP="00B32A2A">
            <w:pPr>
              <w:spacing w:before="40" w:after="40"/>
              <w:rPr>
                <w:rFonts w:eastAsia="MS Mincho" w:cs="Arial"/>
                <w:noProof/>
              </w:rPr>
            </w:pPr>
            <w:r>
              <w:t>Health District</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ECD</w:t>
            </w:r>
          </w:p>
        </w:tc>
        <w:tc>
          <w:tcPr>
            <w:tcW w:w="8110" w:type="dxa"/>
          </w:tcPr>
          <w:p w:rsidR="00B32A2A" w:rsidRPr="00B32A2A" w:rsidRDefault="00B32A2A" w:rsidP="00B32A2A">
            <w:pPr>
              <w:spacing w:before="40" w:after="40"/>
              <w:rPr>
                <w:rFonts w:eastAsia="MS Mincho" w:cs="Arial"/>
                <w:noProof/>
              </w:rPr>
            </w:pPr>
            <w:r>
              <w:t>Equipe Cadre de District (District Management Team)</w:t>
            </w:r>
          </w:p>
        </w:tc>
      </w:tr>
      <w:tr w:rsidR="00B32A2A" w:rsidRPr="00B32A2A" w:rsidTr="00B32A2A">
        <w:tc>
          <w:tcPr>
            <w:tcW w:w="1668" w:type="dxa"/>
          </w:tcPr>
          <w:p w:rsidR="00B32A2A" w:rsidRPr="00B32A2A" w:rsidRDefault="00B32A2A" w:rsidP="00B32A2A">
            <w:pPr>
              <w:rPr>
                <w:rFonts w:eastAsia="MS Mincho" w:cs="Arial"/>
                <w:b/>
                <w:noProof/>
              </w:rPr>
            </w:pPr>
            <w:r>
              <w:rPr>
                <w:b/>
                <w:noProof/>
              </w:rPr>
              <w:t xml:space="preserve">FIC   </w:t>
            </w:r>
          </w:p>
        </w:tc>
        <w:tc>
          <w:tcPr>
            <w:tcW w:w="8110" w:type="dxa"/>
          </w:tcPr>
          <w:p w:rsidR="00B32A2A" w:rsidRPr="00B32A2A" w:rsidRDefault="00B32A2A" w:rsidP="00B32A2A">
            <w:pPr>
              <w:rPr>
                <w:rFonts w:eastAsia="MS Mincho" w:cs="Arial"/>
                <w:noProof/>
              </w:rPr>
            </w:pPr>
            <w:r>
              <w:t>Immunization Coverage Survey</w:t>
            </w:r>
          </w:p>
        </w:tc>
      </w:tr>
      <w:tr w:rsidR="00B32A2A" w:rsidRPr="00B32A2A" w:rsidTr="00B32A2A">
        <w:tc>
          <w:tcPr>
            <w:tcW w:w="1668" w:type="dxa"/>
          </w:tcPr>
          <w:p w:rsidR="00B32A2A" w:rsidRPr="00B32A2A" w:rsidRDefault="00B32A2A" w:rsidP="00B32A2A">
            <w:pPr>
              <w:spacing w:before="40" w:after="40"/>
              <w:rPr>
                <w:rFonts w:eastAsia="MS Mincho" w:cs="Arial"/>
                <w:b/>
                <w:bCs/>
                <w:noProof/>
              </w:rPr>
            </w:pPr>
            <w:r>
              <w:rPr>
                <w:b/>
                <w:noProof/>
              </w:rPr>
              <w:t>DHSN</w:t>
            </w:r>
          </w:p>
        </w:tc>
        <w:tc>
          <w:tcPr>
            <w:tcW w:w="8110" w:type="dxa"/>
          </w:tcPr>
          <w:p w:rsidR="00B32A2A" w:rsidRPr="00B32A2A" w:rsidRDefault="00B32A2A" w:rsidP="00B32A2A">
            <w:pPr>
              <w:spacing w:before="40" w:after="40"/>
              <w:rPr>
                <w:rFonts w:eastAsia="MS Mincho" w:cs="Arial"/>
                <w:noProof/>
              </w:rPr>
            </w:pPr>
            <w:r>
              <w:t>National Demographic and Health Survey</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EPA</w:t>
            </w:r>
          </w:p>
        </w:tc>
        <w:tc>
          <w:tcPr>
            <w:tcW w:w="8110" w:type="dxa"/>
          </w:tcPr>
          <w:p w:rsidR="00B32A2A" w:rsidRPr="00B32A2A" w:rsidRDefault="00B32A2A" w:rsidP="00B32A2A">
            <w:pPr>
              <w:spacing w:before="40" w:after="40"/>
              <w:rPr>
                <w:rFonts w:eastAsia="MS Mincho" w:cs="Arial"/>
                <w:noProof/>
              </w:rPr>
            </w:pPr>
            <w:r>
              <w:t>Etablissement Public à caractère Administratif (Administrative Type Public Institutions (API))</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F CFA</w:t>
            </w:r>
          </w:p>
        </w:tc>
        <w:tc>
          <w:tcPr>
            <w:tcW w:w="8110" w:type="dxa"/>
          </w:tcPr>
          <w:p w:rsidR="00B32A2A" w:rsidRPr="00B32A2A" w:rsidRDefault="00B32A2A" w:rsidP="00B32A2A">
            <w:pPr>
              <w:spacing w:before="40" w:after="40"/>
              <w:rPr>
                <w:rFonts w:eastAsia="MS Mincho" w:cs="Arial"/>
                <w:noProof/>
              </w:rPr>
            </w:pPr>
            <w:r>
              <w:t>African Financial Community Franc</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RBF</w:t>
            </w:r>
          </w:p>
        </w:tc>
        <w:tc>
          <w:tcPr>
            <w:tcW w:w="8110" w:type="dxa"/>
          </w:tcPr>
          <w:p w:rsidR="00B32A2A" w:rsidRPr="00B32A2A" w:rsidRDefault="00B32A2A" w:rsidP="00B32A2A">
            <w:pPr>
              <w:spacing w:before="40" w:after="40"/>
              <w:rPr>
                <w:rFonts w:eastAsia="MS Mincho" w:cs="Arial"/>
                <w:noProof/>
              </w:rPr>
            </w:pPr>
            <w:r>
              <w:t>Results-Based Financing</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FC</w:t>
            </w:r>
          </w:p>
        </w:tc>
        <w:tc>
          <w:tcPr>
            <w:tcW w:w="8110" w:type="dxa"/>
          </w:tcPr>
          <w:p w:rsidR="00B32A2A" w:rsidRPr="00B32A2A" w:rsidRDefault="00B32A2A" w:rsidP="00B32A2A">
            <w:pPr>
              <w:spacing w:before="40" w:after="40"/>
              <w:rPr>
                <w:rFonts w:eastAsia="MS Mincho" w:cs="Arial"/>
                <w:noProof/>
              </w:rPr>
            </w:pPr>
            <w:r>
              <w:t>Common Funds</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FDS</w:t>
            </w:r>
          </w:p>
        </w:tc>
        <w:tc>
          <w:tcPr>
            <w:tcW w:w="8110" w:type="dxa"/>
          </w:tcPr>
          <w:p w:rsidR="00B32A2A" w:rsidRPr="00B32A2A" w:rsidRDefault="00B32A2A" w:rsidP="00B32A2A">
            <w:pPr>
              <w:spacing w:before="40" w:after="40"/>
              <w:rPr>
                <w:rFonts w:eastAsia="MS Mincho" w:cs="Arial"/>
                <w:noProof/>
              </w:rPr>
            </w:pPr>
            <w:r>
              <w:t>Force de Défense et de sécurité (Defense and Security Force)</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SWOT</w:t>
            </w:r>
          </w:p>
        </w:tc>
        <w:tc>
          <w:tcPr>
            <w:tcW w:w="8110" w:type="dxa"/>
          </w:tcPr>
          <w:p w:rsidR="00B32A2A" w:rsidRPr="00B32A2A" w:rsidRDefault="00B32A2A" w:rsidP="00B32A2A">
            <w:pPr>
              <w:spacing w:before="40" w:after="40"/>
              <w:rPr>
                <w:rFonts w:eastAsia="MS Mincho" w:cs="Arial"/>
                <w:noProof/>
              </w:rPr>
            </w:pPr>
            <w:r>
              <w:t>Strengths, Weaknesses, Opportunities and Threats</w:t>
            </w:r>
          </w:p>
        </w:tc>
      </w:tr>
      <w:tr w:rsidR="00B32A2A" w:rsidRPr="00B32A2A" w:rsidTr="00B32A2A">
        <w:tc>
          <w:tcPr>
            <w:tcW w:w="1668" w:type="dxa"/>
          </w:tcPr>
          <w:p w:rsidR="00B32A2A" w:rsidRPr="00B32A2A" w:rsidRDefault="00B32A2A" w:rsidP="00B32A2A">
            <w:pPr>
              <w:spacing w:before="40" w:after="40"/>
              <w:rPr>
                <w:rFonts w:eastAsia="MS Mincho" w:cs="Arial"/>
                <w:b/>
                <w:noProof/>
              </w:rPr>
            </w:pPr>
          </w:p>
        </w:tc>
        <w:tc>
          <w:tcPr>
            <w:tcW w:w="8110" w:type="dxa"/>
          </w:tcPr>
          <w:p w:rsidR="00B32A2A" w:rsidRPr="00B32A2A" w:rsidRDefault="00B32A2A" w:rsidP="00B32A2A">
            <w:pPr>
              <w:spacing w:before="40" w:after="40"/>
              <w:rPr>
                <w:rFonts w:eastAsia="MS Mincho" w:cs="Arial"/>
                <w:noProof/>
              </w:rPr>
            </w:pP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GAR</w:t>
            </w:r>
          </w:p>
        </w:tc>
        <w:tc>
          <w:tcPr>
            <w:tcW w:w="8110" w:type="dxa"/>
          </w:tcPr>
          <w:p w:rsidR="00B32A2A" w:rsidRPr="00B32A2A" w:rsidRDefault="00B32A2A" w:rsidP="00B32A2A">
            <w:pPr>
              <w:spacing w:before="40" w:after="40"/>
              <w:rPr>
                <w:rFonts w:eastAsia="MS Mincho" w:cs="Arial"/>
                <w:noProof/>
              </w:rPr>
            </w:pPr>
            <w:r>
              <w:t>Gestion Axée sur les Résultats (Results-Based Management)</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GAVI</w:t>
            </w:r>
          </w:p>
        </w:tc>
        <w:tc>
          <w:tcPr>
            <w:tcW w:w="8110" w:type="dxa"/>
          </w:tcPr>
          <w:p w:rsidR="00B32A2A" w:rsidRPr="00B32A2A" w:rsidRDefault="00B32A2A" w:rsidP="00B32A2A">
            <w:pPr>
              <w:spacing w:before="40" w:after="40"/>
              <w:rPr>
                <w:rFonts w:eastAsia="MS Mincho" w:cs="Arial"/>
                <w:noProof/>
              </w:rPr>
            </w:pPr>
            <w:r>
              <w:t>Global Alliance for Vaccines and Immunization</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DH</w:t>
            </w:r>
          </w:p>
        </w:tc>
        <w:tc>
          <w:tcPr>
            <w:tcW w:w="8110" w:type="dxa"/>
          </w:tcPr>
          <w:p w:rsidR="00B32A2A" w:rsidRPr="00B32A2A" w:rsidRDefault="00B32A2A" w:rsidP="00B32A2A">
            <w:pPr>
              <w:spacing w:before="40" w:after="40"/>
              <w:rPr>
                <w:rFonts w:eastAsia="MS Mincho" w:cs="Arial"/>
                <w:noProof/>
              </w:rPr>
            </w:pPr>
            <w:r>
              <w:t>District Hospital</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NH</w:t>
            </w:r>
          </w:p>
        </w:tc>
        <w:tc>
          <w:tcPr>
            <w:tcW w:w="8110" w:type="dxa"/>
          </w:tcPr>
          <w:p w:rsidR="00B32A2A" w:rsidRPr="00B32A2A" w:rsidRDefault="00B32A2A" w:rsidP="00B32A2A">
            <w:pPr>
              <w:spacing w:before="40" w:after="40"/>
              <w:rPr>
                <w:rFonts w:eastAsia="MS Mincho" w:cs="Arial"/>
                <w:noProof/>
              </w:rPr>
            </w:pPr>
            <w:r>
              <w:t>National Hospital</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IDE</w:t>
            </w:r>
          </w:p>
        </w:tc>
        <w:tc>
          <w:tcPr>
            <w:tcW w:w="8110" w:type="dxa"/>
          </w:tcPr>
          <w:p w:rsidR="00B32A2A" w:rsidRPr="00B32A2A" w:rsidRDefault="00B32A2A" w:rsidP="00B32A2A">
            <w:pPr>
              <w:spacing w:before="40" w:after="40"/>
              <w:rPr>
                <w:rFonts w:eastAsia="MS Mincho" w:cs="Arial"/>
                <w:noProof/>
              </w:rPr>
            </w:pPr>
            <w:r>
              <w:t>Infirmier Diplômé d’Etat (State Registered Nurse with Degree)</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IEC</w:t>
            </w:r>
          </w:p>
        </w:tc>
        <w:tc>
          <w:tcPr>
            <w:tcW w:w="8110" w:type="dxa"/>
          </w:tcPr>
          <w:p w:rsidR="00B32A2A" w:rsidRPr="00B32A2A" w:rsidRDefault="00B32A2A" w:rsidP="00B32A2A">
            <w:pPr>
              <w:spacing w:before="40" w:after="40"/>
              <w:rPr>
                <w:rFonts w:eastAsia="MS Mincho" w:cs="Arial"/>
                <w:noProof/>
              </w:rPr>
            </w:pPr>
            <w:r>
              <w:t>Information Education Communication</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IHP</w:t>
            </w:r>
          </w:p>
        </w:tc>
        <w:tc>
          <w:tcPr>
            <w:tcW w:w="8110" w:type="dxa"/>
          </w:tcPr>
          <w:p w:rsidR="00B32A2A" w:rsidRPr="00B32A2A" w:rsidRDefault="00B32A2A" w:rsidP="00B32A2A">
            <w:pPr>
              <w:spacing w:before="40" w:after="40"/>
              <w:rPr>
                <w:rFonts w:eastAsia="MS Mincho" w:cs="Arial"/>
                <w:noProof/>
              </w:rPr>
            </w:pPr>
            <w:r>
              <w:t>International Health Partnership</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MRR</w:t>
            </w:r>
          </w:p>
        </w:tc>
        <w:tc>
          <w:tcPr>
            <w:tcW w:w="8110" w:type="dxa"/>
          </w:tcPr>
          <w:p w:rsidR="00B32A2A" w:rsidRPr="00B32A2A" w:rsidRDefault="00B32A2A" w:rsidP="00B32A2A">
            <w:pPr>
              <w:spacing w:before="40" w:after="40"/>
              <w:rPr>
                <w:rFonts w:eastAsia="MS Mincho" w:cs="Arial"/>
                <w:noProof/>
              </w:rPr>
            </w:pPr>
            <w:r>
              <w:t>Regional Referral Maternity</w:t>
            </w:r>
          </w:p>
        </w:tc>
      </w:tr>
      <w:tr w:rsidR="00B32A2A" w:rsidRPr="00B32A2A" w:rsidTr="00B32A2A">
        <w:tc>
          <w:tcPr>
            <w:tcW w:w="1668" w:type="dxa"/>
          </w:tcPr>
          <w:p w:rsidR="00B32A2A" w:rsidRPr="00B32A2A" w:rsidRDefault="00B32A2A" w:rsidP="00B32A2A">
            <w:pPr>
              <w:spacing w:before="40" w:after="40"/>
              <w:rPr>
                <w:rFonts w:eastAsia="MS Mincho" w:cs="Arial"/>
                <w:b/>
                <w:noProof/>
              </w:rPr>
            </w:pPr>
          </w:p>
        </w:tc>
        <w:tc>
          <w:tcPr>
            <w:tcW w:w="8110" w:type="dxa"/>
          </w:tcPr>
          <w:p w:rsidR="00B32A2A" w:rsidRPr="00B32A2A" w:rsidRDefault="00B32A2A" w:rsidP="00B32A2A">
            <w:pPr>
              <w:spacing w:before="40" w:after="40"/>
              <w:rPr>
                <w:rFonts w:eastAsia="MS Mincho" w:cs="Arial"/>
                <w:noProof/>
              </w:rPr>
            </w:pP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MSP</w:t>
            </w:r>
          </w:p>
        </w:tc>
        <w:tc>
          <w:tcPr>
            <w:tcW w:w="8110" w:type="dxa"/>
          </w:tcPr>
          <w:p w:rsidR="00B32A2A" w:rsidRPr="00B32A2A" w:rsidRDefault="00B32A2A" w:rsidP="00B32A2A">
            <w:pPr>
              <w:spacing w:before="40" w:after="40"/>
              <w:rPr>
                <w:rFonts w:eastAsia="MS Mincho" w:cs="Arial"/>
                <w:noProof/>
              </w:rPr>
            </w:pPr>
            <w:r>
              <w:t xml:space="preserve">Ministère de la Santé Publique </w:t>
            </w:r>
            <w:r w:rsidR="0022688C">
              <w:t>(Ministry of Public Health – MPH)</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N/A</w:t>
            </w:r>
          </w:p>
        </w:tc>
        <w:tc>
          <w:tcPr>
            <w:tcW w:w="8110" w:type="dxa"/>
          </w:tcPr>
          <w:p w:rsidR="00B32A2A" w:rsidRPr="00B32A2A" w:rsidRDefault="00B32A2A" w:rsidP="00B32A2A">
            <w:pPr>
              <w:spacing w:before="40" w:after="40"/>
              <w:rPr>
                <w:rFonts w:eastAsia="MS Mincho" w:cs="Arial"/>
                <w:noProof/>
              </w:rPr>
            </w:pPr>
            <w:r>
              <w:t>Not applicable</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NTICs</w:t>
            </w:r>
          </w:p>
        </w:tc>
        <w:tc>
          <w:tcPr>
            <w:tcW w:w="8110" w:type="dxa"/>
          </w:tcPr>
          <w:p w:rsidR="00B32A2A" w:rsidRPr="00B32A2A" w:rsidRDefault="00B32A2A" w:rsidP="00B32A2A">
            <w:pPr>
              <w:spacing w:before="40" w:after="40"/>
              <w:rPr>
                <w:rFonts w:eastAsia="MS Mincho" w:cs="Arial"/>
                <w:noProof/>
              </w:rPr>
            </w:pPr>
            <w:r>
              <w:t>New Technologies for Information and Communication</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OMD</w:t>
            </w:r>
          </w:p>
        </w:tc>
        <w:tc>
          <w:tcPr>
            <w:tcW w:w="8110" w:type="dxa"/>
          </w:tcPr>
          <w:p w:rsidR="00B32A2A" w:rsidRPr="00B32A2A" w:rsidRDefault="00B32A2A" w:rsidP="0070526F">
            <w:pPr>
              <w:spacing w:before="40" w:after="40"/>
              <w:rPr>
                <w:rFonts w:eastAsia="MS Mincho" w:cs="Arial"/>
                <w:noProof/>
              </w:rPr>
            </w:pPr>
            <w:r>
              <w:t>Objectifs du Millé</w:t>
            </w:r>
            <w:r w:rsidR="0070526F">
              <w:t>naire pour le de Développement (</w:t>
            </w:r>
            <w:r>
              <w:t>Millenium Development Goals</w:t>
            </w:r>
            <w:r w:rsidR="0070526F">
              <w:t>)</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OMD</w:t>
            </w:r>
          </w:p>
        </w:tc>
        <w:tc>
          <w:tcPr>
            <w:tcW w:w="8110" w:type="dxa"/>
          </w:tcPr>
          <w:p w:rsidR="00B32A2A" w:rsidRPr="00B32A2A" w:rsidRDefault="00B32A2A" w:rsidP="00B32A2A">
            <w:pPr>
              <w:spacing w:before="40" w:after="40"/>
              <w:rPr>
                <w:rFonts w:eastAsia="MS Mincho" w:cs="Arial"/>
                <w:noProof/>
              </w:rPr>
            </w:pPr>
            <w:r>
              <w:t>Objectifs du Millé</w:t>
            </w:r>
            <w:r w:rsidR="0070526F">
              <w:t>naire pour le de Développement (Millenium Development Goals)</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WHO</w:t>
            </w:r>
          </w:p>
        </w:tc>
        <w:tc>
          <w:tcPr>
            <w:tcW w:w="8110" w:type="dxa"/>
          </w:tcPr>
          <w:p w:rsidR="00B32A2A" w:rsidRPr="00B32A2A" w:rsidRDefault="00B32A2A" w:rsidP="00B32A2A">
            <w:pPr>
              <w:spacing w:before="40" w:after="40"/>
              <w:rPr>
                <w:rFonts w:eastAsia="MS Mincho" w:cs="Arial"/>
                <w:noProof/>
              </w:rPr>
            </w:pPr>
            <w:r>
              <w:t>World Health Organization</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ONG</w:t>
            </w:r>
          </w:p>
        </w:tc>
        <w:tc>
          <w:tcPr>
            <w:tcW w:w="8110" w:type="dxa"/>
          </w:tcPr>
          <w:p w:rsidR="00B32A2A" w:rsidRPr="00B32A2A" w:rsidRDefault="00B32A2A" w:rsidP="00B32A2A">
            <w:pPr>
              <w:spacing w:before="40" w:after="40"/>
              <w:rPr>
                <w:rFonts w:eastAsia="MS Mincho" w:cs="Arial"/>
                <w:noProof/>
              </w:rPr>
            </w:pPr>
            <w:r>
              <w:t>Nongovernmental Organization</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MMW</w:t>
            </w:r>
          </w:p>
        </w:tc>
        <w:tc>
          <w:tcPr>
            <w:tcW w:w="8110" w:type="dxa"/>
          </w:tcPr>
          <w:p w:rsidR="00B32A2A" w:rsidRPr="00B32A2A" w:rsidRDefault="00B32A2A" w:rsidP="00B32A2A">
            <w:pPr>
              <w:spacing w:before="40" w:after="40"/>
              <w:rPr>
                <w:rFonts w:eastAsia="MS Mincho" w:cs="Arial"/>
                <w:noProof/>
              </w:rPr>
            </w:pPr>
            <w:r>
              <w:t>Multiskilled Maintenance Worker</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SO</w:t>
            </w:r>
          </w:p>
        </w:tc>
        <w:tc>
          <w:tcPr>
            <w:tcW w:w="8110" w:type="dxa"/>
          </w:tcPr>
          <w:p w:rsidR="00B32A2A" w:rsidRPr="00B32A2A" w:rsidRDefault="00B32A2A" w:rsidP="00B32A2A">
            <w:pPr>
              <w:spacing w:before="40" w:after="40"/>
              <w:rPr>
                <w:rFonts w:eastAsia="MS Mincho" w:cs="Arial"/>
                <w:noProof/>
              </w:rPr>
            </w:pPr>
            <w:r>
              <w:t xml:space="preserve">Specific Objective </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 xml:space="preserve">CSO  </w:t>
            </w:r>
          </w:p>
        </w:tc>
        <w:tc>
          <w:tcPr>
            <w:tcW w:w="8110" w:type="dxa"/>
          </w:tcPr>
          <w:p w:rsidR="00B32A2A" w:rsidRPr="00B32A2A" w:rsidRDefault="00B32A2A" w:rsidP="00B32A2A">
            <w:pPr>
              <w:spacing w:before="40" w:after="40"/>
              <w:rPr>
                <w:rFonts w:eastAsia="MS Mincho" w:cs="Arial"/>
                <w:noProof/>
              </w:rPr>
            </w:pPr>
            <w:r>
              <w:t>Civil Society Organization</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AAP</w:t>
            </w:r>
          </w:p>
        </w:tc>
        <w:tc>
          <w:tcPr>
            <w:tcW w:w="8110" w:type="dxa"/>
          </w:tcPr>
          <w:p w:rsidR="00B32A2A" w:rsidRPr="00B32A2A" w:rsidRDefault="00B32A2A" w:rsidP="00B32A2A">
            <w:pPr>
              <w:spacing w:before="40" w:after="40"/>
              <w:rPr>
                <w:rFonts w:eastAsia="MS Mincho" w:cs="Arial"/>
                <w:noProof/>
              </w:rPr>
            </w:pPr>
            <w:r>
              <w:t>Annual Action Plan</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RBF</w:t>
            </w:r>
          </w:p>
        </w:tc>
        <w:tc>
          <w:tcPr>
            <w:tcW w:w="8110" w:type="dxa"/>
          </w:tcPr>
          <w:p w:rsidR="00B32A2A" w:rsidRPr="00B32A2A" w:rsidRDefault="00B32A2A" w:rsidP="00B32A2A">
            <w:pPr>
              <w:spacing w:before="40" w:after="40"/>
              <w:rPr>
                <w:rFonts w:eastAsia="MS Mincho" w:cs="Arial"/>
                <w:noProof/>
              </w:rPr>
            </w:pPr>
            <w:r>
              <w:t>Results-Based Financing</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HDP</w:t>
            </w:r>
          </w:p>
        </w:tc>
        <w:tc>
          <w:tcPr>
            <w:tcW w:w="8110" w:type="dxa"/>
          </w:tcPr>
          <w:p w:rsidR="00B32A2A" w:rsidRPr="00B32A2A" w:rsidRDefault="00B32A2A" w:rsidP="00B32A2A">
            <w:pPr>
              <w:spacing w:before="40" w:after="40"/>
              <w:rPr>
                <w:rFonts w:eastAsia="MS Mincho" w:cs="Arial"/>
                <w:noProof/>
              </w:rPr>
            </w:pPr>
            <w:r>
              <w:t>Health Development Plan</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 xml:space="preserve">PENTA  </w:t>
            </w:r>
          </w:p>
        </w:tc>
        <w:tc>
          <w:tcPr>
            <w:tcW w:w="8110" w:type="dxa"/>
          </w:tcPr>
          <w:p w:rsidR="00B32A2A" w:rsidRPr="00B32A2A" w:rsidRDefault="00B32A2A" w:rsidP="00B32A2A">
            <w:pPr>
              <w:spacing w:before="40" w:after="40"/>
              <w:rPr>
                <w:rFonts w:eastAsia="MS Mincho" w:cs="Arial"/>
                <w:noProof/>
              </w:rPr>
            </w:pPr>
            <w:r>
              <w:t>Vaccine for: Diphteria, Pertussis, Tetanus, Hepatitis B and Hib</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EPI</w:t>
            </w:r>
          </w:p>
        </w:tc>
        <w:tc>
          <w:tcPr>
            <w:tcW w:w="8110" w:type="dxa"/>
          </w:tcPr>
          <w:p w:rsidR="00B32A2A" w:rsidRPr="00B32A2A" w:rsidRDefault="00B32A2A" w:rsidP="0022688C">
            <w:pPr>
              <w:spacing w:before="40" w:after="40"/>
              <w:rPr>
                <w:rFonts w:eastAsia="MS Mincho" w:cs="Arial"/>
                <w:noProof/>
              </w:rPr>
            </w:pPr>
            <w:r>
              <w:t xml:space="preserve">Programme Elargi de Vaccination </w:t>
            </w:r>
            <w:r w:rsidR="0022688C">
              <w:t>(</w:t>
            </w:r>
            <w:r>
              <w:t>E</w:t>
            </w:r>
            <w:r w:rsidR="0022688C">
              <w:t>xpanded Program in Immunization)</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FP</w:t>
            </w:r>
          </w:p>
        </w:tc>
        <w:tc>
          <w:tcPr>
            <w:tcW w:w="8110" w:type="dxa"/>
          </w:tcPr>
          <w:p w:rsidR="00B32A2A" w:rsidRPr="00B32A2A" w:rsidRDefault="00B32A2A" w:rsidP="00B32A2A">
            <w:pPr>
              <w:spacing w:before="40" w:after="40"/>
              <w:rPr>
                <w:rFonts w:eastAsia="MS Mincho" w:cs="Arial"/>
                <w:noProof/>
              </w:rPr>
            </w:pPr>
            <w:r>
              <w:t>Family Planning</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MPA</w:t>
            </w:r>
          </w:p>
        </w:tc>
        <w:tc>
          <w:tcPr>
            <w:tcW w:w="8110" w:type="dxa"/>
          </w:tcPr>
          <w:p w:rsidR="00B32A2A" w:rsidRPr="00B32A2A" w:rsidRDefault="00B32A2A" w:rsidP="00B32A2A">
            <w:pPr>
              <w:spacing w:before="40" w:after="40"/>
              <w:rPr>
                <w:rFonts w:eastAsia="MS Mincho" w:cs="Arial"/>
                <w:noProof/>
              </w:rPr>
            </w:pPr>
            <w:r>
              <w:t>Minimum Services Package</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PPAC</w:t>
            </w:r>
          </w:p>
        </w:tc>
        <w:tc>
          <w:tcPr>
            <w:tcW w:w="8110" w:type="dxa"/>
          </w:tcPr>
          <w:p w:rsidR="00B32A2A" w:rsidRPr="00B32A2A" w:rsidRDefault="0022688C" w:rsidP="0022688C">
            <w:pPr>
              <w:spacing w:before="40" w:after="40"/>
              <w:rPr>
                <w:rFonts w:eastAsia="MS Mincho" w:cs="Arial"/>
                <w:noProof/>
              </w:rPr>
            </w:pPr>
            <w:r>
              <w:t>Plan Pluri Annuel Complet (C</w:t>
            </w:r>
            <w:r w:rsidR="00B32A2A">
              <w:t>omprehensive Multi-Annual Plan)</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TFP</w:t>
            </w:r>
          </w:p>
        </w:tc>
        <w:tc>
          <w:tcPr>
            <w:tcW w:w="8110" w:type="dxa"/>
          </w:tcPr>
          <w:p w:rsidR="00B32A2A" w:rsidRPr="00B32A2A" w:rsidRDefault="00B32A2A" w:rsidP="00B32A2A">
            <w:pPr>
              <w:spacing w:before="40" w:after="40"/>
              <w:rPr>
                <w:rFonts w:eastAsia="MS Mincho" w:cs="Arial"/>
                <w:noProof/>
              </w:rPr>
            </w:pPr>
            <w:r>
              <w:t>Ministry of Labor and Civil Service</w:t>
            </w:r>
          </w:p>
        </w:tc>
      </w:tr>
      <w:tr w:rsidR="00B32A2A" w:rsidRPr="00B32A2A" w:rsidTr="00B32A2A">
        <w:trPr>
          <w:trHeight w:val="353"/>
        </w:trPr>
        <w:tc>
          <w:tcPr>
            <w:tcW w:w="1668" w:type="dxa"/>
          </w:tcPr>
          <w:p w:rsidR="00B32A2A" w:rsidRPr="00B32A2A" w:rsidRDefault="00B32A2A" w:rsidP="00B32A2A">
            <w:pPr>
              <w:rPr>
                <w:rFonts w:eastAsia="MS Mincho" w:cs="Arial"/>
                <w:b/>
                <w:noProof/>
              </w:rPr>
            </w:pPr>
            <w:r>
              <w:rPr>
                <w:b/>
                <w:noProof/>
              </w:rPr>
              <w:t>HSS</w:t>
            </w:r>
          </w:p>
        </w:tc>
        <w:tc>
          <w:tcPr>
            <w:tcW w:w="8110" w:type="dxa"/>
          </w:tcPr>
          <w:p w:rsidR="00B32A2A" w:rsidRPr="00B32A2A" w:rsidRDefault="00B32A2A" w:rsidP="00B32A2A">
            <w:pPr>
              <w:rPr>
                <w:rFonts w:eastAsia="MS Mincho" w:cs="Arial"/>
                <w:noProof/>
              </w:rPr>
            </w:pPr>
            <w:r>
              <w:t>Strengthening of Health Service</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SFDE</w:t>
            </w:r>
          </w:p>
        </w:tc>
        <w:tc>
          <w:tcPr>
            <w:tcW w:w="8110" w:type="dxa"/>
          </w:tcPr>
          <w:p w:rsidR="00B32A2A" w:rsidRPr="00B32A2A" w:rsidRDefault="00B32A2A" w:rsidP="00B32A2A">
            <w:pPr>
              <w:spacing w:before="40" w:after="40"/>
              <w:rPr>
                <w:rFonts w:eastAsia="MS Mincho" w:cs="Arial"/>
                <w:noProof/>
              </w:rPr>
            </w:pPr>
            <w:r>
              <w:t>Sage-femme Diplômée d’Etat (State Registered Midwife with Degree)</w:t>
            </w:r>
          </w:p>
        </w:tc>
      </w:tr>
      <w:tr w:rsidR="00B32A2A" w:rsidRPr="00B32A2A" w:rsidTr="00B32A2A">
        <w:tc>
          <w:tcPr>
            <w:tcW w:w="1668" w:type="dxa"/>
          </w:tcPr>
          <w:p w:rsidR="00B32A2A" w:rsidRPr="00B32A2A" w:rsidRDefault="00B32A2A" w:rsidP="00B32A2A">
            <w:pPr>
              <w:spacing w:before="40" w:after="40"/>
              <w:rPr>
                <w:rFonts w:eastAsia="MS Mincho" w:cs="Arial"/>
                <w:b/>
                <w:bCs/>
                <w:noProof/>
              </w:rPr>
            </w:pPr>
            <w:r>
              <w:rPr>
                <w:b/>
                <w:noProof/>
              </w:rPr>
              <w:t>NHIS</w:t>
            </w:r>
          </w:p>
        </w:tc>
        <w:tc>
          <w:tcPr>
            <w:tcW w:w="8110" w:type="dxa"/>
          </w:tcPr>
          <w:p w:rsidR="00B32A2A" w:rsidRPr="00B32A2A" w:rsidRDefault="00B32A2A" w:rsidP="00B32A2A">
            <w:pPr>
              <w:spacing w:before="40" w:after="40"/>
              <w:rPr>
                <w:rFonts w:eastAsia="MS Mincho" w:cs="Arial"/>
                <w:noProof/>
              </w:rPr>
            </w:pPr>
            <w:r>
              <w:t>National Health Information System</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UNS</w:t>
            </w:r>
          </w:p>
        </w:tc>
        <w:tc>
          <w:tcPr>
            <w:tcW w:w="8110" w:type="dxa"/>
          </w:tcPr>
          <w:p w:rsidR="00B32A2A" w:rsidRPr="00B32A2A" w:rsidRDefault="00B32A2A" w:rsidP="00B32A2A">
            <w:pPr>
              <w:spacing w:before="40" w:after="40"/>
              <w:rPr>
                <w:rFonts w:eastAsia="MS Mincho" w:cs="Arial"/>
                <w:noProof/>
              </w:rPr>
            </w:pPr>
            <w:r>
              <w:t>United Nations System</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UNFPA</w:t>
            </w:r>
          </w:p>
        </w:tc>
        <w:tc>
          <w:tcPr>
            <w:tcW w:w="8110" w:type="dxa"/>
          </w:tcPr>
          <w:p w:rsidR="00B32A2A" w:rsidRPr="00B32A2A" w:rsidRDefault="00B32A2A" w:rsidP="00B32A2A">
            <w:pPr>
              <w:spacing w:before="40" w:after="40"/>
              <w:rPr>
                <w:rFonts w:eastAsia="MS Mincho" w:cs="Arial"/>
                <w:noProof/>
              </w:rPr>
            </w:pPr>
            <w:r>
              <w:t>United Nations Population Fund</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UNICEF</w:t>
            </w:r>
          </w:p>
        </w:tc>
        <w:tc>
          <w:tcPr>
            <w:tcW w:w="8110" w:type="dxa"/>
          </w:tcPr>
          <w:p w:rsidR="00B32A2A" w:rsidRPr="00B32A2A" w:rsidRDefault="00B32A2A" w:rsidP="00B32A2A">
            <w:pPr>
              <w:spacing w:before="40" w:after="40"/>
              <w:rPr>
                <w:rFonts w:eastAsia="MS Mincho" w:cs="Arial"/>
                <w:noProof/>
              </w:rPr>
            </w:pPr>
            <w:r>
              <w:t>United Nations Childrens Fund</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lastRenderedPageBreak/>
              <w:t>UNIPAC</w:t>
            </w:r>
          </w:p>
        </w:tc>
        <w:tc>
          <w:tcPr>
            <w:tcW w:w="8110" w:type="dxa"/>
          </w:tcPr>
          <w:p w:rsidR="00B32A2A" w:rsidRPr="00B32A2A" w:rsidRDefault="00B32A2A" w:rsidP="00B32A2A">
            <w:pPr>
              <w:spacing w:before="40" w:after="40"/>
              <w:rPr>
                <w:rFonts w:eastAsia="MS Mincho" w:cs="Arial"/>
                <w:noProof/>
              </w:rPr>
            </w:pPr>
            <w:r>
              <w:t>UNICEF Procurement and Assembly Centre</w:t>
            </w:r>
          </w:p>
        </w:tc>
      </w:tr>
      <w:tr w:rsidR="00B32A2A" w:rsidRPr="00B32A2A" w:rsidTr="00B32A2A">
        <w:tc>
          <w:tcPr>
            <w:tcW w:w="1668" w:type="dxa"/>
          </w:tcPr>
          <w:p w:rsidR="00B32A2A" w:rsidRPr="00B32A2A" w:rsidRDefault="00B32A2A" w:rsidP="00B32A2A">
            <w:pPr>
              <w:spacing w:before="40" w:after="40"/>
              <w:rPr>
                <w:rFonts w:eastAsia="MS Mincho" w:cs="Arial"/>
                <w:b/>
                <w:noProof/>
              </w:rPr>
            </w:pPr>
            <w:r>
              <w:rPr>
                <w:b/>
                <w:noProof/>
              </w:rPr>
              <w:t>VAT</w:t>
            </w:r>
          </w:p>
        </w:tc>
        <w:tc>
          <w:tcPr>
            <w:tcW w:w="8110" w:type="dxa"/>
          </w:tcPr>
          <w:p w:rsidR="00B32A2A" w:rsidRPr="00B32A2A" w:rsidRDefault="00B32A2A" w:rsidP="00B32A2A">
            <w:pPr>
              <w:spacing w:before="40" w:after="40"/>
              <w:rPr>
                <w:rFonts w:eastAsia="MS Mincho" w:cs="Arial"/>
                <w:noProof/>
              </w:rPr>
            </w:pPr>
            <w:r>
              <w:t>Tetanus Vaccine (Tetanus Toxoid)</w:t>
            </w:r>
          </w:p>
        </w:tc>
      </w:tr>
    </w:tbl>
    <w:p w:rsidR="00B32A2A" w:rsidRPr="00B32A2A" w:rsidRDefault="00B32A2A" w:rsidP="00B32A2A">
      <w:pPr>
        <w:rPr>
          <w:noProof/>
        </w:rPr>
      </w:pPr>
    </w:p>
    <w:p w:rsidR="00B32A2A" w:rsidRPr="00B32A2A" w:rsidRDefault="00B32A2A" w:rsidP="00B32A2A">
      <w:pPr>
        <w:jc w:val="both"/>
        <w:rPr>
          <w:rFonts w:cs="Arial"/>
          <w:noProof/>
        </w:rPr>
      </w:pPr>
    </w:p>
    <w:p w:rsidR="00B32A2A" w:rsidRPr="00B32A2A" w:rsidRDefault="00B32A2A" w:rsidP="00B32A2A">
      <w:pPr>
        <w:widowControl/>
        <w:spacing w:after="0" w:line="240" w:lineRule="auto"/>
        <w:rPr>
          <w:rFonts w:cs="Arial"/>
          <w:noProof/>
        </w:rPr>
      </w:pPr>
      <w:r>
        <w:br w:type="page"/>
      </w:r>
      <w:r>
        <w:lastRenderedPageBreak/>
        <w:t>A completed application includes the following documents. Countries may wish to attach additional national documents as necessary (see list at the end of this form).</w:t>
      </w:r>
      <w:bookmarkStart w:id="5" w:name="_Toc278640073"/>
    </w:p>
    <w:tbl>
      <w:tblPr>
        <w:tblpPr w:leftFromText="180" w:rightFromText="180" w:vertAnchor="text" w:horzAnchor="margin" w:tblpX="108" w:tblpY="15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96"/>
        <w:gridCol w:w="8451"/>
        <w:gridCol w:w="426"/>
      </w:tblGrid>
      <w:tr w:rsidR="00B32A2A" w:rsidRPr="00B32A2A" w:rsidTr="00B32A2A">
        <w:tc>
          <w:tcPr>
            <w:tcW w:w="10173" w:type="dxa"/>
            <w:gridSpan w:val="3"/>
            <w:shd w:val="clear" w:color="auto" w:fill="006460"/>
          </w:tcPr>
          <w:p w:rsidR="00B32A2A" w:rsidRPr="00B32A2A" w:rsidRDefault="00B32A2A" w:rsidP="00B32A2A">
            <w:pPr>
              <w:jc w:val="both"/>
              <w:rPr>
                <w:rFonts w:cs="Arial"/>
                <w:b/>
                <w:noProof/>
              </w:rPr>
            </w:pPr>
            <w:r>
              <w:rPr>
                <w:b/>
                <w:noProof/>
              </w:rPr>
              <w:t>HSS Proposal Forms and Mandatory GAVI attachments</w:t>
            </w:r>
          </w:p>
          <w:p w:rsidR="00B32A2A" w:rsidRPr="00B32A2A" w:rsidRDefault="00B32A2A" w:rsidP="00B32A2A">
            <w:pPr>
              <w:jc w:val="both"/>
              <w:rPr>
                <w:rFonts w:cs="Arial"/>
                <w:i/>
                <w:noProof/>
              </w:rPr>
            </w:pPr>
            <w:r>
              <w:rPr>
                <w:i/>
                <w:noProof/>
              </w:rPr>
              <w:t xml:space="preserve">→ Please place an ‘X’ in the box when the attachment is included </w:t>
            </w:r>
          </w:p>
        </w:tc>
      </w:tr>
      <w:tr w:rsidR="00B32A2A" w:rsidRPr="00B32A2A" w:rsidTr="00B32A2A">
        <w:trPr>
          <w:trHeight w:val="263"/>
        </w:trPr>
        <w:tc>
          <w:tcPr>
            <w:tcW w:w="1296" w:type="dxa"/>
            <w:shd w:val="clear" w:color="006460" w:fill="99CCCC"/>
          </w:tcPr>
          <w:p w:rsidR="00B32A2A" w:rsidRPr="00B32A2A" w:rsidRDefault="00B32A2A" w:rsidP="00B32A2A">
            <w:pPr>
              <w:jc w:val="center"/>
              <w:rPr>
                <w:rFonts w:cs="Arial"/>
                <w:i/>
                <w:noProof/>
              </w:rPr>
            </w:pPr>
            <w:r>
              <w:rPr>
                <w:i/>
                <w:noProof/>
              </w:rPr>
              <w:t>No.</w:t>
            </w:r>
          </w:p>
        </w:tc>
        <w:tc>
          <w:tcPr>
            <w:tcW w:w="8451" w:type="dxa"/>
            <w:shd w:val="clear" w:color="006460" w:fill="99CCCC"/>
          </w:tcPr>
          <w:p w:rsidR="00B32A2A" w:rsidRPr="00B32A2A" w:rsidRDefault="00B32A2A" w:rsidP="00B32A2A">
            <w:pPr>
              <w:jc w:val="both"/>
              <w:rPr>
                <w:rFonts w:cs="Arial"/>
                <w:i/>
                <w:noProof/>
              </w:rPr>
            </w:pPr>
            <w:r>
              <w:rPr>
                <w:i/>
                <w:noProof/>
              </w:rPr>
              <w:t>Attachment</w:t>
            </w:r>
          </w:p>
        </w:tc>
        <w:tc>
          <w:tcPr>
            <w:tcW w:w="426" w:type="dxa"/>
            <w:shd w:val="clear" w:color="006460" w:fill="99CCCC"/>
          </w:tcPr>
          <w:p w:rsidR="00B32A2A" w:rsidRPr="00B32A2A" w:rsidRDefault="00B32A2A" w:rsidP="00B32A2A">
            <w:pPr>
              <w:jc w:val="both"/>
              <w:rPr>
                <w:rFonts w:cs="Arial"/>
                <w:b/>
                <w:i/>
                <w:noProof/>
              </w:rPr>
            </w:pPr>
            <w:r>
              <w:rPr>
                <w:b/>
                <w:i/>
                <w:noProof/>
              </w:rPr>
              <w:t>X</w:t>
            </w:r>
          </w:p>
        </w:tc>
      </w:tr>
      <w:tr w:rsidR="00B32A2A" w:rsidRPr="00B32A2A" w:rsidTr="00B32A2A">
        <w:tc>
          <w:tcPr>
            <w:tcW w:w="1296" w:type="dxa"/>
            <w:tcBorders>
              <w:top w:val="single" w:sz="4" w:space="0" w:color="auto"/>
            </w:tcBorders>
          </w:tcPr>
          <w:p w:rsidR="00B32A2A" w:rsidRPr="00B32A2A" w:rsidRDefault="00B32A2A" w:rsidP="00B32A2A">
            <w:pPr>
              <w:numPr>
                <w:ilvl w:val="0"/>
                <w:numId w:val="3"/>
              </w:numPr>
              <w:contextualSpacing/>
              <w:jc w:val="both"/>
              <w:rPr>
                <w:rFonts w:cs="Arial"/>
                <w:noProof/>
              </w:rPr>
            </w:pPr>
          </w:p>
        </w:tc>
        <w:tc>
          <w:tcPr>
            <w:tcW w:w="8451" w:type="dxa"/>
            <w:tcBorders>
              <w:top w:val="nil"/>
            </w:tcBorders>
          </w:tcPr>
          <w:p w:rsidR="00B32A2A" w:rsidRPr="00B32A2A" w:rsidRDefault="00B32A2A" w:rsidP="00B32A2A">
            <w:pPr>
              <w:jc w:val="both"/>
              <w:rPr>
                <w:rFonts w:cs="Arial"/>
                <w:noProof/>
              </w:rPr>
            </w:pPr>
            <w:r>
              <w:t>Health System Strengthening (HSS Program) Application,</w:t>
            </w:r>
          </w:p>
        </w:tc>
        <w:tc>
          <w:tcPr>
            <w:tcW w:w="426" w:type="dxa"/>
            <w:tcBorders>
              <w:top w:val="nil"/>
            </w:tcBorders>
            <w:vAlign w:val="center"/>
          </w:tcPr>
          <w:p w:rsidR="00B32A2A" w:rsidRPr="00B32A2A" w:rsidRDefault="00B32A2A" w:rsidP="00B32A2A">
            <w:pPr>
              <w:jc w:val="both"/>
              <w:rPr>
                <w:rFonts w:cs="Arial"/>
                <w:i/>
                <w:noProof/>
              </w:rPr>
            </w:pPr>
            <w:r>
              <w:rPr>
                <w:i/>
                <w:noProof/>
              </w:rPr>
              <w:t>X</w:t>
            </w:r>
          </w:p>
        </w:tc>
      </w:tr>
      <w:tr w:rsidR="00B32A2A" w:rsidRPr="00B32A2A" w:rsidTr="00B32A2A">
        <w:tc>
          <w:tcPr>
            <w:tcW w:w="1296" w:type="dxa"/>
            <w:tcBorders>
              <w:top w:val="single" w:sz="4" w:space="0" w:color="auto"/>
            </w:tcBorders>
          </w:tcPr>
          <w:p w:rsidR="00B32A2A" w:rsidRPr="00B32A2A" w:rsidDel="00892BB6" w:rsidRDefault="00B32A2A" w:rsidP="00B32A2A">
            <w:pPr>
              <w:numPr>
                <w:ilvl w:val="0"/>
                <w:numId w:val="3"/>
              </w:numPr>
              <w:contextualSpacing/>
              <w:jc w:val="both"/>
              <w:rPr>
                <w:rFonts w:cs="Arial"/>
                <w:noProof/>
              </w:rPr>
            </w:pPr>
          </w:p>
        </w:tc>
        <w:tc>
          <w:tcPr>
            <w:tcW w:w="8451" w:type="dxa"/>
            <w:tcBorders>
              <w:top w:val="nil"/>
            </w:tcBorders>
          </w:tcPr>
          <w:p w:rsidR="00B32A2A" w:rsidRPr="00B32A2A" w:rsidRDefault="00B32A2A" w:rsidP="00B32A2A">
            <w:pPr>
              <w:jc w:val="both"/>
              <w:rPr>
                <w:rFonts w:cs="Arial"/>
                <w:noProof/>
              </w:rPr>
            </w:pPr>
            <w:r>
              <w:t>Signature Sheet for Ministry of Health, Ministry of Finance and HSCC members</w:t>
            </w:r>
          </w:p>
        </w:tc>
        <w:tc>
          <w:tcPr>
            <w:tcW w:w="426" w:type="dxa"/>
            <w:tcBorders>
              <w:top w:val="nil"/>
            </w:tcBorders>
            <w:vAlign w:val="center"/>
          </w:tcPr>
          <w:p w:rsidR="00B32A2A" w:rsidRPr="00B32A2A" w:rsidRDefault="00B32A2A" w:rsidP="00B32A2A">
            <w:pPr>
              <w:jc w:val="both"/>
              <w:rPr>
                <w:rFonts w:cs="Arial"/>
                <w:i/>
                <w:noProof/>
              </w:rPr>
            </w:pPr>
            <w:r>
              <w:rPr>
                <w:i/>
                <w:noProof/>
              </w:rPr>
              <w:t>X</w:t>
            </w:r>
          </w:p>
        </w:tc>
      </w:tr>
      <w:tr w:rsidR="00B32A2A" w:rsidRPr="00B32A2A" w:rsidTr="00B32A2A">
        <w:tc>
          <w:tcPr>
            <w:tcW w:w="1296" w:type="dxa"/>
            <w:tcBorders>
              <w:top w:val="single" w:sz="4" w:space="0" w:color="auto"/>
            </w:tcBorders>
          </w:tcPr>
          <w:p w:rsidR="00B32A2A" w:rsidRPr="00B32A2A" w:rsidRDefault="00B32A2A" w:rsidP="00B32A2A">
            <w:pPr>
              <w:numPr>
                <w:ilvl w:val="0"/>
                <w:numId w:val="3"/>
              </w:numPr>
              <w:contextualSpacing/>
              <w:jc w:val="both"/>
              <w:rPr>
                <w:rFonts w:cs="Arial"/>
                <w:noProof/>
              </w:rPr>
            </w:pPr>
          </w:p>
        </w:tc>
        <w:tc>
          <w:tcPr>
            <w:tcW w:w="8451" w:type="dxa"/>
            <w:tcBorders>
              <w:top w:val="nil"/>
              <w:bottom w:val="single" w:sz="6" w:space="0" w:color="000000"/>
            </w:tcBorders>
          </w:tcPr>
          <w:p w:rsidR="00B32A2A" w:rsidRPr="00B32A2A" w:rsidRDefault="00B32A2A" w:rsidP="00B32A2A">
            <w:pPr>
              <w:jc w:val="both"/>
              <w:rPr>
                <w:rFonts w:cs="Arial"/>
                <w:noProof/>
              </w:rPr>
            </w:pPr>
            <w:r>
              <w:t xml:space="preserve">HSS Monitoring &amp; Evaluation Framework </w:t>
            </w:r>
          </w:p>
        </w:tc>
        <w:tc>
          <w:tcPr>
            <w:tcW w:w="426" w:type="dxa"/>
            <w:tcBorders>
              <w:top w:val="nil"/>
              <w:bottom w:val="single" w:sz="6" w:space="0" w:color="000000"/>
            </w:tcBorders>
            <w:vAlign w:val="center"/>
          </w:tcPr>
          <w:p w:rsidR="00B32A2A" w:rsidRPr="00B32A2A" w:rsidRDefault="00B32A2A" w:rsidP="00B32A2A">
            <w:pPr>
              <w:jc w:val="both"/>
              <w:rPr>
                <w:rFonts w:cs="Arial"/>
                <w:i/>
                <w:noProof/>
              </w:rPr>
            </w:pPr>
            <w:r>
              <w:rPr>
                <w:i/>
                <w:noProof/>
              </w:rPr>
              <w:t>X</w:t>
            </w:r>
          </w:p>
        </w:tc>
      </w:tr>
      <w:tr w:rsidR="00B32A2A" w:rsidRPr="00B32A2A" w:rsidTr="00B32A2A">
        <w:trPr>
          <w:trHeight w:val="352"/>
        </w:trPr>
        <w:tc>
          <w:tcPr>
            <w:tcW w:w="1296" w:type="dxa"/>
            <w:tcBorders>
              <w:top w:val="single" w:sz="4" w:space="0" w:color="auto"/>
              <w:bottom w:val="single" w:sz="4" w:space="0" w:color="auto"/>
            </w:tcBorders>
          </w:tcPr>
          <w:p w:rsidR="00B32A2A" w:rsidRPr="00B32A2A" w:rsidRDefault="00B32A2A" w:rsidP="00B32A2A">
            <w:pPr>
              <w:numPr>
                <w:ilvl w:val="0"/>
                <w:numId w:val="3"/>
              </w:numPr>
              <w:contextualSpacing/>
              <w:jc w:val="both"/>
              <w:rPr>
                <w:rFonts w:cs="Arial"/>
                <w:noProof/>
              </w:rPr>
            </w:pPr>
          </w:p>
        </w:tc>
        <w:tc>
          <w:tcPr>
            <w:tcW w:w="8451" w:type="dxa"/>
            <w:tcBorders>
              <w:top w:val="single" w:sz="6" w:space="0" w:color="000000"/>
              <w:bottom w:val="single" w:sz="4" w:space="0" w:color="auto"/>
            </w:tcBorders>
          </w:tcPr>
          <w:p w:rsidR="00B32A2A" w:rsidRPr="00B32A2A" w:rsidRDefault="00B32A2A" w:rsidP="00B32A2A">
            <w:pPr>
              <w:jc w:val="both"/>
              <w:rPr>
                <w:rFonts w:cs="Arial"/>
                <w:noProof/>
              </w:rPr>
            </w:pPr>
            <w:r>
              <w:t xml:space="preserve">Detailed work plan and detailed budget </w:t>
            </w:r>
          </w:p>
        </w:tc>
        <w:tc>
          <w:tcPr>
            <w:tcW w:w="426" w:type="dxa"/>
            <w:tcBorders>
              <w:top w:val="single" w:sz="6" w:space="0" w:color="000000"/>
              <w:bottom w:val="single" w:sz="4" w:space="0" w:color="auto"/>
            </w:tcBorders>
            <w:vAlign w:val="center"/>
          </w:tcPr>
          <w:p w:rsidR="00B32A2A" w:rsidRPr="00B32A2A" w:rsidRDefault="00B32A2A" w:rsidP="00B32A2A">
            <w:pPr>
              <w:jc w:val="both"/>
              <w:rPr>
                <w:rFonts w:cs="Arial"/>
                <w:i/>
                <w:noProof/>
              </w:rPr>
            </w:pPr>
            <w:r>
              <w:rPr>
                <w:i/>
                <w:noProof/>
              </w:rPr>
              <w:t>X</w:t>
            </w:r>
          </w:p>
        </w:tc>
      </w:tr>
    </w:tbl>
    <w:p w:rsidR="00B32A2A" w:rsidRPr="00B32A2A" w:rsidRDefault="00B32A2A" w:rsidP="00B32A2A">
      <w:pPr>
        <w:jc w:val="both"/>
        <w:rPr>
          <w:rFonts w:cs="Arial"/>
          <w:noProof/>
        </w:rPr>
      </w:pPr>
    </w:p>
    <w:tbl>
      <w:tblPr>
        <w:tblpPr w:leftFromText="180" w:rightFromText="180" w:vertAnchor="text" w:horzAnchor="margin" w:tblpX="108" w:tblpY="151"/>
        <w:tblW w:w="10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59"/>
        <w:gridCol w:w="8788"/>
        <w:gridCol w:w="426"/>
      </w:tblGrid>
      <w:tr w:rsidR="00B32A2A" w:rsidRPr="00B32A2A" w:rsidTr="00B32A2A">
        <w:tc>
          <w:tcPr>
            <w:tcW w:w="10173" w:type="dxa"/>
            <w:gridSpan w:val="3"/>
            <w:shd w:val="clear" w:color="auto" w:fill="006460"/>
          </w:tcPr>
          <w:p w:rsidR="00B32A2A" w:rsidRPr="00B32A2A" w:rsidRDefault="00B32A2A" w:rsidP="00B32A2A">
            <w:pPr>
              <w:jc w:val="both"/>
              <w:rPr>
                <w:rFonts w:cs="Arial"/>
                <w:b/>
                <w:noProof/>
              </w:rPr>
            </w:pPr>
            <w:r>
              <w:rPr>
                <w:b/>
                <w:noProof/>
              </w:rPr>
              <w:t>Existing National Documents - Mandatory Attachments</w:t>
            </w:r>
          </w:p>
          <w:p w:rsidR="00B32A2A" w:rsidRPr="00B32A2A" w:rsidRDefault="00B32A2A" w:rsidP="00B32A2A">
            <w:pPr>
              <w:jc w:val="both"/>
              <w:rPr>
                <w:rFonts w:cs="Arial"/>
                <w:noProof/>
              </w:rPr>
            </w:pPr>
            <w:r>
              <w:t>Where possible, please attach approved national documents rather than drafts. For a highly decentralized country, provide relevant state/provincial level plan as well as any relevant national level documents.</w:t>
            </w:r>
          </w:p>
          <w:p w:rsidR="00B32A2A" w:rsidRPr="00B32A2A" w:rsidRDefault="00B32A2A" w:rsidP="00B32A2A">
            <w:pPr>
              <w:jc w:val="both"/>
              <w:rPr>
                <w:rFonts w:cs="Arial"/>
                <w:i/>
                <w:noProof/>
              </w:rPr>
            </w:pPr>
            <w:r>
              <w:rPr>
                <w:i/>
                <w:noProof/>
              </w:rPr>
              <w:t>→ Please place an ‘X’ in the box when the attachment is included</w:t>
            </w:r>
          </w:p>
        </w:tc>
      </w:tr>
      <w:tr w:rsidR="00B32A2A" w:rsidRPr="00B32A2A" w:rsidTr="00B32A2A">
        <w:tc>
          <w:tcPr>
            <w:tcW w:w="959" w:type="dxa"/>
            <w:shd w:val="clear" w:color="auto" w:fill="99CCCC"/>
          </w:tcPr>
          <w:p w:rsidR="00B32A2A" w:rsidRPr="00B32A2A" w:rsidRDefault="00B32A2A" w:rsidP="00B32A2A">
            <w:pPr>
              <w:jc w:val="center"/>
              <w:rPr>
                <w:rFonts w:cs="Arial"/>
                <w:i/>
                <w:noProof/>
              </w:rPr>
            </w:pPr>
            <w:r>
              <w:rPr>
                <w:i/>
                <w:noProof/>
              </w:rPr>
              <w:t>No.</w:t>
            </w:r>
          </w:p>
        </w:tc>
        <w:tc>
          <w:tcPr>
            <w:tcW w:w="8788" w:type="dxa"/>
            <w:shd w:val="clear" w:color="auto" w:fill="99CCCC"/>
          </w:tcPr>
          <w:p w:rsidR="00B32A2A" w:rsidRPr="00B32A2A" w:rsidRDefault="00B32A2A" w:rsidP="00B32A2A">
            <w:pPr>
              <w:jc w:val="both"/>
              <w:rPr>
                <w:rFonts w:cs="Arial"/>
                <w:i/>
                <w:noProof/>
              </w:rPr>
            </w:pPr>
            <w:r>
              <w:rPr>
                <w:i/>
                <w:noProof/>
              </w:rPr>
              <w:t>Attachment</w:t>
            </w:r>
          </w:p>
        </w:tc>
        <w:tc>
          <w:tcPr>
            <w:tcW w:w="426" w:type="dxa"/>
            <w:shd w:val="clear" w:color="auto" w:fill="99CCCC"/>
          </w:tcPr>
          <w:p w:rsidR="00B32A2A" w:rsidRPr="00B32A2A" w:rsidRDefault="00B32A2A" w:rsidP="00B32A2A">
            <w:pPr>
              <w:jc w:val="both"/>
              <w:rPr>
                <w:rFonts w:cs="Arial"/>
                <w:b/>
                <w:i/>
                <w:noProof/>
              </w:rPr>
            </w:pPr>
            <w:r>
              <w:rPr>
                <w:b/>
                <w:i/>
                <w:noProof/>
              </w:rPr>
              <w:t>X</w:t>
            </w:r>
          </w:p>
        </w:tc>
      </w:tr>
      <w:tr w:rsidR="00B32A2A" w:rsidRPr="00B32A2A" w:rsidTr="00B32A2A">
        <w:tc>
          <w:tcPr>
            <w:tcW w:w="959" w:type="dxa"/>
            <w:tcBorders>
              <w:top w:val="single" w:sz="4" w:space="0" w:color="auto"/>
            </w:tcBorders>
          </w:tcPr>
          <w:p w:rsidR="00B32A2A" w:rsidRPr="00B32A2A" w:rsidRDefault="00B32A2A" w:rsidP="00B32A2A">
            <w:pPr>
              <w:pStyle w:val="ListParagraph"/>
              <w:numPr>
                <w:ilvl w:val="0"/>
                <w:numId w:val="0"/>
              </w:numPr>
              <w:spacing w:after="0"/>
              <w:ind w:left="360"/>
              <w:rPr>
                <w:rFonts w:cs="Arial"/>
                <w:noProof/>
                <w:color w:val="auto"/>
                <w:sz w:val="22"/>
                <w:szCs w:val="22"/>
              </w:rPr>
            </w:pPr>
            <w:r>
              <w:rPr>
                <w:noProof/>
                <w:color w:val="auto"/>
                <w:sz w:val="22"/>
              </w:rPr>
              <w:t>5.</w:t>
            </w:r>
          </w:p>
        </w:tc>
        <w:tc>
          <w:tcPr>
            <w:tcW w:w="8788" w:type="dxa"/>
            <w:tcBorders>
              <w:top w:val="nil"/>
            </w:tcBorders>
          </w:tcPr>
          <w:p w:rsidR="00B32A2A" w:rsidRPr="00B32A2A" w:rsidRDefault="00B32A2A" w:rsidP="00B32A2A">
            <w:pPr>
              <w:jc w:val="both"/>
              <w:rPr>
                <w:rFonts w:cs="Arial"/>
                <w:noProof/>
              </w:rPr>
            </w:pPr>
            <w:r>
              <w:t>National health strategy, plan or national health policy, or other documents attached to the proposal, which highlight strategic HSS interventions</w:t>
            </w:r>
          </w:p>
        </w:tc>
        <w:tc>
          <w:tcPr>
            <w:tcW w:w="426" w:type="dxa"/>
            <w:tcBorders>
              <w:top w:val="nil"/>
            </w:tcBorders>
            <w:vAlign w:val="center"/>
          </w:tcPr>
          <w:p w:rsidR="00B32A2A" w:rsidRPr="00B32A2A" w:rsidRDefault="00B32A2A" w:rsidP="00B32A2A">
            <w:pPr>
              <w:jc w:val="both"/>
              <w:rPr>
                <w:rFonts w:cs="Arial"/>
                <w:i/>
                <w:noProof/>
              </w:rPr>
            </w:pPr>
            <w:r>
              <w:rPr>
                <w:i/>
                <w:noProof/>
              </w:rPr>
              <w:t>X</w:t>
            </w:r>
          </w:p>
        </w:tc>
      </w:tr>
      <w:tr w:rsidR="00B32A2A" w:rsidRPr="00B32A2A" w:rsidTr="00B32A2A">
        <w:tc>
          <w:tcPr>
            <w:tcW w:w="959" w:type="dxa"/>
            <w:tcBorders>
              <w:top w:val="single" w:sz="4" w:space="0" w:color="auto"/>
            </w:tcBorders>
          </w:tcPr>
          <w:p w:rsidR="00B32A2A" w:rsidRPr="00B32A2A" w:rsidRDefault="00B32A2A" w:rsidP="00B32A2A">
            <w:pPr>
              <w:pStyle w:val="ListParagraph"/>
              <w:numPr>
                <w:ilvl w:val="0"/>
                <w:numId w:val="0"/>
              </w:numPr>
              <w:spacing w:after="0"/>
              <w:ind w:left="360"/>
              <w:rPr>
                <w:rFonts w:cs="Arial"/>
                <w:noProof/>
                <w:color w:val="auto"/>
                <w:sz w:val="22"/>
                <w:szCs w:val="22"/>
              </w:rPr>
            </w:pPr>
            <w:r>
              <w:rPr>
                <w:noProof/>
                <w:color w:val="auto"/>
                <w:sz w:val="22"/>
              </w:rPr>
              <w:t>6.</w:t>
            </w:r>
          </w:p>
        </w:tc>
        <w:tc>
          <w:tcPr>
            <w:tcW w:w="8788" w:type="dxa"/>
            <w:tcBorders>
              <w:top w:val="nil"/>
            </w:tcBorders>
          </w:tcPr>
          <w:p w:rsidR="00B32A2A" w:rsidRPr="00B32A2A" w:rsidRDefault="00B32A2A" w:rsidP="00B32A2A">
            <w:pPr>
              <w:jc w:val="both"/>
              <w:rPr>
                <w:rFonts w:cs="Arial"/>
                <w:noProof/>
              </w:rPr>
            </w:pPr>
            <w:r>
              <w:t>National M&amp;E Plan (for the health sector/strategy)</w:t>
            </w:r>
          </w:p>
        </w:tc>
        <w:tc>
          <w:tcPr>
            <w:tcW w:w="426" w:type="dxa"/>
            <w:tcBorders>
              <w:top w:val="nil"/>
            </w:tcBorders>
            <w:vAlign w:val="center"/>
          </w:tcPr>
          <w:p w:rsidR="00B32A2A" w:rsidRPr="00B32A2A" w:rsidRDefault="00B32A2A" w:rsidP="00B32A2A">
            <w:pPr>
              <w:jc w:val="both"/>
              <w:rPr>
                <w:rFonts w:cs="Arial"/>
                <w:i/>
                <w:noProof/>
              </w:rPr>
            </w:pPr>
            <w:r>
              <w:rPr>
                <w:i/>
                <w:noProof/>
              </w:rPr>
              <w:t>X</w:t>
            </w:r>
          </w:p>
        </w:tc>
      </w:tr>
      <w:tr w:rsidR="00B32A2A" w:rsidRPr="00B32A2A" w:rsidDel="00892BB6" w:rsidTr="00B32A2A">
        <w:tc>
          <w:tcPr>
            <w:tcW w:w="959" w:type="dxa"/>
            <w:tcBorders>
              <w:top w:val="single" w:sz="4" w:space="0" w:color="auto"/>
              <w:right w:val="single" w:sz="4" w:space="0" w:color="auto"/>
            </w:tcBorders>
          </w:tcPr>
          <w:p w:rsidR="00B32A2A" w:rsidRPr="00B32A2A" w:rsidRDefault="00B32A2A" w:rsidP="00B32A2A">
            <w:pPr>
              <w:pStyle w:val="ListParagraph"/>
              <w:numPr>
                <w:ilvl w:val="0"/>
                <w:numId w:val="0"/>
              </w:numPr>
              <w:spacing w:after="0"/>
              <w:ind w:left="360"/>
              <w:rPr>
                <w:rFonts w:cs="Arial"/>
                <w:noProof/>
                <w:color w:val="auto"/>
                <w:sz w:val="22"/>
                <w:szCs w:val="22"/>
              </w:rPr>
            </w:pPr>
            <w:r>
              <w:rPr>
                <w:noProof/>
                <w:color w:val="auto"/>
                <w:sz w:val="22"/>
              </w:rPr>
              <w:t>7.</w:t>
            </w:r>
          </w:p>
        </w:tc>
        <w:tc>
          <w:tcPr>
            <w:tcW w:w="8788" w:type="dxa"/>
            <w:tcBorders>
              <w:top w:val="single" w:sz="4" w:space="0" w:color="auto"/>
              <w:left w:val="single" w:sz="4" w:space="0" w:color="auto"/>
              <w:bottom w:val="single" w:sz="4" w:space="0" w:color="auto"/>
              <w:right w:val="single" w:sz="4" w:space="0" w:color="auto"/>
            </w:tcBorders>
          </w:tcPr>
          <w:p w:rsidR="00B32A2A" w:rsidRPr="00B32A2A" w:rsidRDefault="00B32A2A" w:rsidP="00B32A2A">
            <w:pPr>
              <w:jc w:val="both"/>
              <w:rPr>
                <w:rFonts w:cs="Arial"/>
                <w:noProof/>
              </w:rPr>
            </w:pPr>
            <w:r>
              <w:t>National immunization plan</w:t>
            </w:r>
          </w:p>
        </w:tc>
        <w:tc>
          <w:tcPr>
            <w:tcW w:w="426" w:type="dxa"/>
            <w:tcBorders>
              <w:top w:val="single" w:sz="4" w:space="0" w:color="auto"/>
              <w:left w:val="single" w:sz="4" w:space="0" w:color="auto"/>
              <w:bottom w:val="single" w:sz="4" w:space="0" w:color="auto"/>
              <w:right w:val="single" w:sz="4" w:space="0" w:color="auto"/>
            </w:tcBorders>
            <w:vAlign w:val="center"/>
          </w:tcPr>
          <w:p w:rsidR="00B32A2A" w:rsidRPr="00B32A2A" w:rsidDel="00892BB6" w:rsidRDefault="00B32A2A" w:rsidP="00B32A2A">
            <w:pPr>
              <w:jc w:val="both"/>
              <w:rPr>
                <w:rFonts w:cs="Arial"/>
                <w:i/>
                <w:noProof/>
              </w:rPr>
            </w:pPr>
          </w:p>
        </w:tc>
      </w:tr>
      <w:tr w:rsidR="00B32A2A" w:rsidRPr="00B32A2A" w:rsidDel="00892BB6" w:rsidTr="00B32A2A">
        <w:tc>
          <w:tcPr>
            <w:tcW w:w="959" w:type="dxa"/>
            <w:tcBorders>
              <w:top w:val="single" w:sz="4" w:space="0" w:color="auto"/>
              <w:right w:val="single" w:sz="4" w:space="0" w:color="auto"/>
            </w:tcBorders>
          </w:tcPr>
          <w:p w:rsidR="00B32A2A" w:rsidRPr="00B32A2A" w:rsidDel="00892BB6" w:rsidRDefault="00B32A2A" w:rsidP="00B32A2A">
            <w:pPr>
              <w:pStyle w:val="ListParagraph"/>
              <w:numPr>
                <w:ilvl w:val="0"/>
                <w:numId w:val="0"/>
              </w:numPr>
              <w:spacing w:after="0"/>
              <w:ind w:left="360"/>
              <w:rPr>
                <w:rFonts w:cs="Arial"/>
                <w:noProof/>
                <w:color w:val="auto"/>
                <w:sz w:val="22"/>
                <w:szCs w:val="22"/>
              </w:rPr>
            </w:pPr>
            <w:r>
              <w:rPr>
                <w:noProof/>
                <w:color w:val="auto"/>
                <w:sz w:val="22"/>
              </w:rPr>
              <w:t>8.</w:t>
            </w:r>
          </w:p>
        </w:tc>
        <w:tc>
          <w:tcPr>
            <w:tcW w:w="8788" w:type="dxa"/>
            <w:tcBorders>
              <w:top w:val="single" w:sz="4" w:space="0" w:color="auto"/>
              <w:left w:val="single" w:sz="4" w:space="0" w:color="auto"/>
              <w:bottom w:val="single" w:sz="4" w:space="0" w:color="auto"/>
              <w:right w:val="single" w:sz="4" w:space="0" w:color="auto"/>
            </w:tcBorders>
          </w:tcPr>
          <w:p w:rsidR="00B32A2A" w:rsidRPr="00B32A2A" w:rsidDel="00892BB6" w:rsidRDefault="00B32A2A" w:rsidP="00B32A2A">
            <w:pPr>
              <w:jc w:val="both"/>
              <w:rPr>
                <w:rFonts w:cs="Arial"/>
                <w:noProof/>
              </w:rPr>
            </w:pPr>
            <w:r>
              <w:t>National cMYP</w:t>
            </w:r>
          </w:p>
        </w:tc>
        <w:tc>
          <w:tcPr>
            <w:tcW w:w="426" w:type="dxa"/>
            <w:tcBorders>
              <w:top w:val="single" w:sz="4" w:space="0" w:color="auto"/>
              <w:left w:val="single" w:sz="4" w:space="0" w:color="auto"/>
              <w:bottom w:val="single" w:sz="4" w:space="0" w:color="auto"/>
              <w:right w:val="single" w:sz="4" w:space="0" w:color="auto"/>
            </w:tcBorders>
            <w:vAlign w:val="center"/>
          </w:tcPr>
          <w:p w:rsidR="00B32A2A" w:rsidRPr="00B32A2A" w:rsidDel="00892BB6" w:rsidRDefault="00B32A2A" w:rsidP="00B32A2A">
            <w:pPr>
              <w:jc w:val="both"/>
              <w:rPr>
                <w:rFonts w:cs="Arial"/>
                <w:i/>
                <w:noProof/>
              </w:rPr>
            </w:pPr>
            <w:r>
              <w:rPr>
                <w:i/>
                <w:noProof/>
              </w:rPr>
              <w:t>X</w:t>
            </w:r>
          </w:p>
        </w:tc>
      </w:tr>
      <w:tr w:rsidR="00B32A2A" w:rsidRPr="00B32A2A" w:rsidDel="00892BB6" w:rsidTr="00B32A2A">
        <w:tc>
          <w:tcPr>
            <w:tcW w:w="959" w:type="dxa"/>
            <w:tcBorders>
              <w:top w:val="single" w:sz="4" w:space="0" w:color="auto"/>
              <w:bottom w:val="single" w:sz="4" w:space="0" w:color="auto"/>
              <w:right w:val="single" w:sz="4" w:space="0" w:color="auto"/>
            </w:tcBorders>
          </w:tcPr>
          <w:p w:rsidR="00B32A2A" w:rsidRPr="00B32A2A" w:rsidDel="00892BB6" w:rsidRDefault="00B32A2A" w:rsidP="00B32A2A">
            <w:pPr>
              <w:pStyle w:val="ListParagraph"/>
              <w:numPr>
                <w:ilvl w:val="0"/>
                <w:numId w:val="0"/>
              </w:numPr>
              <w:spacing w:after="0"/>
              <w:ind w:left="360"/>
              <w:rPr>
                <w:rFonts w:cs="Arial"/>
                <w:noProof/>
                <w:color w:val="auto"/>
                <w:sz w:val="22"/>
                <w:szCs w:val="22"/>
              </w:rPr>
            </w:pPr>
            <w:r>
              <w:rPr>
                <w:noProof/>
                <w:color w:val="auto"/>
                <w:sz w:val="22"/>
              </w:rPr>
              <w:t>9.</w:t>
            </w:r>
          </w:p>
        </w:tc>
        <w:tc>
          <w:tcPr>
            <w:tcW w:w="8788" w:type="dxa"/>
            <w:tcBorders>
              <w:top w:val="single" w:sz="4" w:space="0" w:color="auto"/>
              <w:left w:val="single" w:sz="4" w:space="0" w:color="auto"/>
              <w:bottom w:val="single" w:sz="4" w:space="0" w:color="auto"/>
              <w:right w:val="single" w:sz="4" w:space="0" w:color="auto"/>
            </w:tcBorders>
          </w:tcPr>
          <w:p w:rsidR="00B32A2A" w:rsidRPr="00B32A2A" w:rsidDel="00892BB6" w:rsidRDefault="00B32A2A" w:rsidP="00B32A2A">
            <w:pPr>
              <w:jc w:val="both"/>
              <w:rPr>
                <w:rFonts w:cs="Arial"/>
                <w:noProof/>
              </w:rPr>
            </w:pPr>
            <w:r>
              <w:t>Vaccine assessments (EVM, post-introduction assessment, EPI reviews), if available</w:t>
            </w:r>
          </w:p>
        </w:tc>
        <w:tc>
          <w:tcPr>
            <w:tcW w:w="426" w:type="dxa"/>
            <w:tcBorders>
              <w:top w:val="single" w:sz="4" w:space="0" w:color="auto"/>
              <w:left w:val="single" w:sz="4" w:space="0" w:color="auto"/>
              <w:bottom w:val="single" w:sz="4" w:space="0" w:color="auto"/>
              <w:right w:val="single" w:sz="4" w:space="0" w:color="auto"/>
            </w:tcBorders>
            <w:vAlign w:val="center"/>
          </w:tcPr>
          <w:p w:rsidR="00B32A2A" w:rsidRPr="00B32A2A" w:rsidDel="00892BB6" w:rsidRDefault="00B32A2A" w:rsidP="00B32A2A">
            <w:pPr>
              <w:jc w:val="both"/>
              <w:rPr>
                <w:rFonts w:cs="Arial"/>
                <w:i/>
                <w:noProof/>
              </w:rPr>
            </w:pPr>
          </w:p>
        </w:tc>
      </w:tr>
      <w:tr w:rsidR="00B32A2A" w:rsidRPr="00B32A2A" w:rsidDel="00892BB6" w:rsidTr="00B32A2A">
        <w:tc>
          <w:tcPr>
            <w:tcW w:w="959" w:type="dxa"/>
            <w:tcBorders>
              <w:top w:val="single" w:sz="4" w:space="0" w:color="auto"/>
              <w:right w:val="single" w:sz="4" w:space="0" w:color="auto"/>
            </w:tcBorders>
          </w:tcPr>
          <w:p w:rsidR="00B32A2A" w:rsidRPr="00B32A2A" w:rsidRDefault="00B32A2A" w:rsidP="00B32A2A">
            <w:pPr>
              <w:pStyle w:val="ListParagraph"/>
              <w:numPr>
                <w:ilvl w:val="0"/>
                <w:numId w:val="0"/>
              </w:numPr>
              <w:spacing w:after="0"/>
              <w:ind w:left="360"/>
              <w:rPr>
                <w:rFonts w:cs="Arial"/>
                <w:noProof/>
                <w:color w:val="auto"/>
                <w:sz w:val="22"/>
                <w:szCs w:val="22"/>
              </w:rPr>
            </w:pPr>
            <w:r>
              <w:rPr>
                <w:noProof/>
                <w:color w:val="auto"/>
                <w:sz w:val="22"/>
              </w:rPr>
              <w:t>10.</w:t>
            </w:r>
          </w:p>
        </w:tc>
        <w:tc>
          <w:tcPr>
            <w:tcW w:w="8788" w:type="dxa"/>
            <w:tcBorders>
              <w:top w:val="single" w:sz="4" w:space="0" w:color="auto"/>
              <w:left w:val="single" w:sz="4" w:space="0" w:color="auto"/>
              <w:bottom w:val="single" w:sz="4" w:space="0" w:color="auto"/>
              <w:right w:val="single" w:sz="4" w:space="0" w:color="auto"/>
            </w:tcBorders>
          </w:tcPr>
          <w:p w:rsidR="00B32A2A" w:rsidRPr="00B32A2A" w:rsidRDefault="00B32A2A" w:rsidP="00B32A2A">
            <w:pPr>
              <w:jc w:val="both"/>
              <w:rPr>
                <w:rFonts w:cs="Arial"/>
                <w:noProof/>
              </w:rPr>
            </w:pPr>
            <w:r>
              <w:t>Health Sector Coordinating Committee Mandate (HSCC)</w:t>
            </w:r>
          </w:p>
        </w:tc>
        <w:tc>
          <w:tcPr>
            <w:tcW w:w="426" w:type="dxa"/>
            <w:tcBorders>
              <w:top w:val="single" w:sz="4" w:space="0" w:color="auto"/>
              <w:left w:val="single" w:sz="4" w:space="0" w:color="auto"/>
              <w:bottom w:val="single" w:sz="4" w:space="0" w:color="auto"/>
              <w:right w:val="single" w:sz="4" w:space="0" w:color="auto"/>
            </w:tcBorders>
            <w:vAlign w:val="center"/>
          </w:tcPr>
          <w:p w:rsidR="00B32A2A" w:rsidRPr="00B32A2A" w:rsidDel="00892BB6" w:rsidRDefault="00B32A2A" w:rsidP="00B32A2A">
            <w:pPr>
              <w:jc w:val="both"/>
              <w:rPr>
                <w:rFonts w:cs="Arial"/>
                <w:i/>
                <w:noProof/>
              </w:rPr>
            </w:pPr>
            <w:r>
              <w:rPr>
                <w:i/>
                <w:noProof/>
              </w:rPr>
              <w:t>X</w:t>
            </w:r>
          </w:p>
        </w:tc>
      </w:tr>
    </w:tbl>
    <w:p w:rsidR="00B32A2A" w:rsidRPr="00B32A2A" w:rsidRDefault="00B32A2A" w:rsidP="00B32A2A">
      <w:pPr>
        <w:jc w:val="both"/>
        <w:rPr>
          <w:rFonts w:cs="Arial"/>
          <w:noProof/>
        </w:rPr>
      </w:pPr>
    </w:p>
    <w:p w:rsidR="00B32A2A" w:rsidRPr="00B32A2A" w:rsidRDefault="00B32A2A" w:rsidP="00B32A2A">
      <w:pPr>
        <w:spacing w:after="120"/>
        <w:jc w:val="both"/>
        <w:rPr>
          <w:rFonts w:cs="Arial"/>
          <w:noProof/>
        </w:rPr>
      </w:pPr>
      <w:r>
        <w:t>All applicants are encouraged to read and follow the accompanying guidelines in order to correctly fill out this form. For each section in the Guidelines, detailed instructions and illustrations are provided to assist with filling out the application form.</w:t>
      </w:r>
      <w:bookmarkEnd w:id="5"/>
    </w:p>
    <w:p w:rsidR="00B32A2A" w:rsidRPr="00B32A2A" w:rsidRDefault="00B32A2A" w:rsidP="00B32A2A">
      <w:pPr>
        <w:spacing w:after="120"/>
        <w:jc w:val="both"/>
        <w:rPr>
          <w:rFonts w:cs="Arial"/>
          <w:noProof/>
          <w:u w:val="single"/>
        </w:rPr>
      </w:pPr>
    </w:p>
    <w:p w:rsidR="00B32A2A" w:rsidRPr="00B32A2A" w:rsidRDefault="00B32A2A" w:rsidP="00B32A2A">
      <w:pPr>
        <w:spacing w:after="120"/>
        <w:jc w:val="both"/>
        <w:rPr>
          <w:rFonts w:cs="Arial"/>
          <w:noProof/>
          <w:u w:val="single"/>
        </w:rPr>
      </w:pPr>
    </w:p>
    <w:p w:rsidR="00B32A2A" w:rsidRPr="00B32A2A" w:rsidRDefault="00B32A2A" w:rsidP="00B32A2A">
      <w:pPr>
        <w:spacing w:after="120"/>
        <w:jc w:val="both"/>
        <w:rPr>
          <w:rFonts w:cs="Arial"/>
          <w:b/>
          <w:noProof/>
        </w:rPr>
      </w:pPr>
      <w:r>
        <w:rPr>
          <w:b/>
          <w:noProof/>
        </w:rPr>
        <w:t>GAVI’s Approach to Health System Strengthening</w:t>
      </w:r>
    </w:p>
    <w:p w:rsidR="00B32A2A" w:rsidRPr="00B32A2A" w:rsidRDefault="00B32A2A" w:rsidP="00B32A2A">
      <w:pPr>
        <w:jc w:val="both"/>
        <w:rPr>
          <w:rFonts w:cs="Arial"/>
          <w:noProof/>
        </w:rPr>
      </w:pPr>
      <w:r>
        <w:t xml:space="preserve">The following points outline GAVI’s approach to health system strengthening and should be reflected in a HSS grant: </w:t>
      </w:r>
    </w:p>
    <w:p w:rsidR="00B32A2A" w:rsidRPr="00B32A2A" w:rsidRDefault="00B32A2A" w:rsidP="00B32A2A">
      <w:pPr>
        <w:pStyle w:val="bullet"/>
        <w:jc w:val="both"/>
        <w:rPr>
          <w:rFonts w:cs="Arial"/>
          <w:noProof/>
          <w:sz w:val="22"/>
          <w:szCs w:val="22"/>
        </w:rPr>
      </w:pPr>
      <w:r>
        <w:rPr>
          <w:noProof/>
          <w:sz w:val="22"/>
        </w:rPr>
        <w:lastRenderedPageBreak/>
        <w:t xml:space="preserve">One of GAVI’s strategic goals is to </w:t>
      </w:r>
      <w:r>
        <w:rPr>
          <w:i/>
          <w:noProof/>
          <w:sz w:val="22"/>
        </w:rPr>
        <w:t>“contribute to strengthening the capacity of integrated health systems to deliver immunization.”</w:t>
      </w:r>
      <w:r>
        <w:rPr>
          <w:noProof/>
          <w:sz w:val="22"/>
        </w:rPr>
        <w:t xml:space="preserve"> The objective of GAVI-HSS support is to address system bottlenecks to achieve better immunization outcomes, including coverage and equity. As such, it is necessary for the application to be based on a strong analysis of the bottlenecks and gaps. present a clear results chain demonstrating the link between proposed activities and improved immunization outcomes.</w:t>
      </w:r>
    </w:p>
    <w:p w:rsidR="00B32A2A" w:rsidRPr="00B32A2A" w:rsidRDefault="00B32A2A" w:rsidP="00B32A2A">
      <w:pPr>
        <w:pStyle w:val="bullet"/>
        <w:jc w:val="both"/>
        <w:rPr>
          <w:rFonts w:cs="Arial"/>
          <w:noProof/>
          <w:sz w:val="22"/>
          <w:szCs w:val="22"/>
        </w:rPr>
      </w:pPr>
      <w:r>
        <w:rPr>
          <w:noProof/>
          <w:sz w:val="22"/>
        </w:rPr>
        <w:t>GAVI’s approach intends to deliver and document results. The performance of the HSS grant will be measured through intermediate outcomes as well as immunization outcomes such as DTP coverage, measles coverage, and % of districts reporting &gt;80% coverage. Therefore the application must include a strong Monitoring &amp; Evaluation framework aligned with the national M&amp;E plan or national M&amp;E processes.</w:t>
      </w:r>
    </w:p>
    <w:p w:rsidR="00B32A2A" w:rsidRPr="00B32A2A" w:rsidRDefault="00B32A2A" w:rsidP="00B32A2A">
      <w:pPr>
        <w:pStyle w:val="bullet"/>
        <w:jc w:val="both"/>
        <w:rPr>
          <w:rFonts w:cs="Arial"/>
          <w:noProof/>
          <w:sz w:val="22"/>
          <w:szCs w:val="22"/>
        </w:rPr>
      </w:pPr>
      <w:r>
        <w:rPr>
          <w:noProof/>
          <w:sz w:val="22"/>
        </w:rPr>
        <w:t xml:space="preserve">Results based financing is a core approach of GAVI-HSS support. All applications must align with the new GAVI </w:t>
      </w:r>
      <w:r>
        <w:rPr>
          <w:i/>
          <w:noProof/>
          <w:sz w:val="22"/>
        </w:rPr>
        <w:t>results based financing</w:t>
      </w:r>
      <w:r>
        <w:rPr>
          <w:noProof/>
          <w:sz w:val="22"/>
        </w:rPr>
        <w:t xml:space="preserve"> (RBF) approach: introduced in 2012. Countries’ performance will be judged on a predefined set of RBF indicators against which additional payments will be made to reward good performance in improving immunization outcomes.</w:t>
      </w:r>
    </w:p>
    <w:p w:rsidR="00B32A2A" w:rsidRPr="00B32A2A" w:rsidRDefault="00B32A2A" w:rsidP="00B32A2A">
      <w:pPr>
        <w:pStyle w:val="bullet"/>
        <w:jc w:val="both"/>
        <w:rPr>
          <w:rFonts w:cs="Arial"/>
          <w:noProof/>
          <w:sz w:val="22"/>
          <w:szCs w:val="22"/>
        </w:rPr>
      </w:pPr>
      <w:r>
        <w:rPr>
          <w:noProof/>
          <w:sz w:val="22"/>
        </w:rPr>
        <w:t xml:space="preserve">GAVI supports the principles of alignment and harmonization (in keeping with Paris, Accra and Busan declarations and the International Health Partnership, IHP+). The application must demonstrate how GAVI support is aligned with country health plans and processes, complementary to other donor funding, and uses existing country systems, such as for financial management and M&amp;E. The IHP+ Common Monitoring and Evaluation Framework is used as a reference framework in these guidelines. </w:t>
      </w:r>
    </w:p>
    <w:p w:rsidR="00B32A2A" w:rsidRPr="00B32A2A" w:rsidRDefault="00B32A2A" w:rsidP="00B32A2A">
      <w:pPr>
        <w:pStyle w:val="bullet"/>
        <w:jc w:val="both"/>
        <w:rPr>
          <w:rFonts w:cs="Arial"/>
          <w:noProof/>
          <w:sz w:val="22"/>
          <w:szCs w:val="22"/>
        </w:rPr>
      </w:pPr>
      <w:r>
        <w:rPr>
          <w:noProof/>
          <w:sz w:val="22"/>
        </w:rPr>
        <w:t xml:space="preserve">GAVI supports the use of Joint Assessment of National Strategies (JANS). A JANS assessment is not required for a GAVI-HSS application. However, if this type of assessment has been carried out, conclusions from it can be included in a country's HSS application. The Independent Review Committee (IRC) will use the results of the JANS assessment to better understand the political context in which the health sector exists; this will inform the Committee as it evaluates the credibility and feasibility of the HSS proposal. </w:t>
      </w:r>
    </w:p>
    <w:p w:rsidR="00B32A2A" w:rsidRPr="00B32A2A" w:rsidRDefault="00B32A2A" w:rsidP="00B32A2A">
      <w:pPr>
        <w:pStyle w:val="bullet"/>
        <w:jc w:val="both"/>
        <w:rPr>
          <w:rFonts w:cs="Arial"/>
          <w:noProof/>
          <w:sz w:val="22"/>
          <w:szCs w:val="22"/>
        </w:rPr>
      </w:pPr>
      <w:r>
        <w:rPr>
          <w:noProof/>
          <w:sz w:val="22"/>
        </w:rPr>
        <w:t xml:space="preserve">GAVI recommends that a consultative and participatory approach be used for drafting the HSS proposal, and, particular, that there be cooperation between responsible departments within the Ministry of Health (for example, the planning department, the EPI, health information management systems, the entity in charge of M&amp;E), development partners and civil society. When the HSCC (or its equivalent) is asked to sign the proposal, the ICC (or its equivalent) must also be consulted and brought into the process as the proposal is being finalized. </w:t>
      </w:r>
    </w:p>
    <w:p w:rsidR="00B32A2A" w:rsidRPr="00B32A2A" w:rsidRDefault="00B32A2A" w:rsidP="00B32A2A">
      <w:pPr>
        <w:pStyle w:val="bullet"/>
        <w:jc w:val="both"/>
        <w:rPr>
          <w:rFonts w:cs="Arial"/>
          <w:noProof/>
          <w:sz w:val="22"/>
          <w:szCs w:val="22"/>
        </w:rPr>
      </w:pPr>
      <w:r>
        <w:rPr>
          <w:noProof/>
          <w:sz w:val="22"/>
        </w:rPr>
        <w:t>GAVI encourages the countries to identify and establish links between HSS support and support for introducing new vaccines (such as GAVI support of new vaccines). These linkages must be demonstrated within the application. Countries will need to demonstrate system readiness</w:t>
      </w:r>
      <w:r>
        <w:rPr>
          <w:noProof/>
          <w:sz w:val="22"/>
          <w:vertAlign w:val="superscript"/>
        </w:rPr>
        <w:footnoteReference w:id="1"/>
      </w:r>
      <w:r>
        <w:rPr>
          <w:noProof/>
          <w:sz w:val="22"/>
        </w:rPr>
        <w:t xml:space="preserve"> for new vaccines to be introduced within the context of routine immunization services. GAVI-HSS support will be for strengthening these routine immunization services and country readiness for the introduction of new vaccines.</w:t>
      </w:r>
    </w:p>
    <w:p w:rsidR="00B32A2A" w:rsidRPr="00B32A2A" w:rsidRDefault="00B32A2A" w:rsidP="00B32A2A">
      <w:pPr>
        <w:pStyle w:val="bullet"/>
        <w:jc w:val="both"/>
        <w:rPr>
          <w:rFonts w:cs="Arial"/>
          <w:noProof/>
          <w:sz w:val="22"/>
          <w:szCs w:val="22"/>
        </w:rPr>
      </w:pPr>
      <w:r>
        <w:rPr>
          <w:noProof/>
          <w:sz w:val="22"/>
        </w:rPr>
        <w:lastRenderedPageBreak/>
        <w:t>GAVI’s approach to HSS includes support for strengthening data systems. Strong data systems are of fundamental importance both to countries and to the GAVI Alliance. Countries are strongly encouraged to include in their proposals actions to strengthen the data system, including the institutionalization of routine mechanisms to track data quality improvements over time.</w:t>
      </w:r>
    </w:p>
    <w:p w:rsidR="00B32A2A" w:rsidRPr="00B32A2A" w:rsidRDefault="00B32A2A" w:rsidP="00B32A2A">
      <w:pPr>
        <w:pStyle w:val="bullet"/>
        <w:jc w:val="both"/>
        <w:rPr>
          <w:rFonts w:cs="Arial"/>
          <w:noProof/>
          <w:sz w:val="22"/>
          <w:szCs w:val="22"/>
        </w:rPr>
      </w:pPr>
      <w:r>
        <w:rPr>
          <w:noProof/>
          <w:sz w:val="22"/>
        </w:rPr>
        <w:t>GAVI supports innovation. Countries are encouraged to be innovative in their identification of activities to address the HSS bottlenecks to improving immunization outcomes.</w:t>
      </w:r>
    </w:p>
    <w:p w:rsidR="00B32A2A" w:rsidRPr="00B32A2A" w:rsidRDefault="00B32A2A" w:rsidP="00B32A2A">
      <w:pPr>
        <w:pStyle w:val="bullet"/>
        <w:jc w:val="both"/>
        <w:rPr>
          <w:rFonts w:cs="Arial"/>
          <w:noProof/>
          <w:sz w:val="22"/>
          <w:szCs w:val="22"/>
        </w:rPr>
      </w:pPr>
      <w:r>
        <w:rPr>
          <w:noProof/>
          <w:sz w:val="22"/>
        </w:rPr>
        <w:t xml:space="preserve">GAVI encourages applicants to include funding for Civil Society Organizations (CSOs) in implementation of HSS support to improve immunization outcomes. CSOs can receive GAVI funding through two channels: (i) GAVI sends funds to the Ministry of Health which then transfers them to the CSO, or (ii) GAVI sends funds directly from GAVI to the CSO. Please refer to Annex 4: CSO Guidelines. </w:t>
      </w:r>
    </w:p>
    <w:p w:rsidR="00B32A2A" w:rsidRPr="00B32A2A" w:rsidRDefault="00B32A2A" w:rsidP="00B32A2A">
      <w:pPr>
        <w:pStyle w:val="bullet"/>
        <w:jc w:val="both"/>
        <w:rPr>
          <w:rFonts w:cs="Arial"/>
          <w:noProof/>
          <w:sz w:val="22"/>
          <w:szCs w:val="22"/>
        </w:rPr>
      </w:pPr>
      <w:r>
        <w:rPr>
          <w:noProof/>
          <w:sz w:val="22"/>
        </w:rPr>
        <w:t xml:space="preserve">Applications must include details on lessons learned from previous HSS grants from GAVI or support from other sources. </w:t>
      </w:r>
    </w:p>
    <w:p w:rsidR="00B32A2A" w:rsidRPr="00B32A2A" w:rsidRDefault="00B32A2A" w:rsidP="00B32A2A">
      <w:pPr>
        <w:pStyle w:val="bullet"/>
        <w:jc w:val="both"/>
        <w:rPr>
          <w:rFonts w:cs="Arial"/>
          <w:noProof/>
          <w:sz w:val="22"/>
          <w:szCs w:val="22"/>
        </w:rPr>
      </w:pPr>
      <w:r>
        <w:rPr>
          <w:noProof/>
          <w:sz w:val="22"/>
        </w:rPr>
        <w:t>Applications must include information on how sustainability and equity (including geographic, socio-economic, and gender equity) will be addressed.</w:t>
      </w:r>
    </w:p>
    <w:p w:rsidR="00B32A2A" w:rsidRPr="00B32A2A" w:rsidRDefault="00B32A2A" w:rsidP="00B32A2A">
      <w:pPr>
        <w:pStyle w:val="bullet"/>
        <w:jc w:val="both"/>
        <w:rPr>
          <w:rFonts w:cs="Arial"/>
          <w:noProof/>
          <w:sz w:val="22"/>
          <w:szCs w:val="22"/>
        </w:rPr>
      </w:pPr>
      <w:r>
        <w:rPr>
          <w:noProof/>
          <w:sz w:val="22"/>
        </w:rPr>
        <w:t>Applications will need to show the additionality of GAVI support to reducing bottlenecks and strengthening the health system, relative to support from other partners and funding sources.</w:t>
      </w:r>
    </w:p>
    <w:p w:rsidR="00B32A2A" w:rsidRPr="00B32A2A" w:rsidRDefault="00B32A2A" w:rsidP="00B32A2A">
      <w:pPr>
        <w:pStyle w:val="bullet"/>
        <w:jc w:val="both"/>
        <w:rPr>
          <w:rFonts w:cs="Arial"/>
          <w:noProof/>
          <w:sz w:val="22"/>
          <w:szCs w:val="22"/>
        </w:rPr>
      </w:pPr>
      <w:r>
        <w:rPr>
          <w:noProof/>
          <w:sz w:val="22"/>
        </w:rPr>
        <w:t xml:space="preserve">Cash disbursed for HSS support must be used solely to fund HSS Program Activities. These funds may not be used to purchase vaccines or meet GAVI’s requirements to co-finance vaccine purchases, and shall not be used to pay any taxes, customs, duties, toll or other charges imposed on the importation of vaccines and related supplies. </w:t>
      </w:r>
    </w:p>
    <w:p w:rsidR="00B32A2A" w:rsidRPr="00B32A2A" w:rsidRDefault="00B32A2A" w:rsidP="00B32A2A">
      <w:pPr>
        <w:jc w:val="both"/>
        <w:rPr>
          <w:rFonts w:cs="Arial"/>
          <w:b/>
          <w:noProof/>
        </w:rPr>
      </w:pPr>
      <w:r>
        <w:rPr>
          <w:b/>
          <w:noProof/>
        </w:rPr>
        <w:t>The Application Process</w:t>
      </w:r>
    </w:p>
    <w:p w:rsidR="00B32A2A" w:rsidRPr="00B32A2A" w:rsidRDefault="00B32A2A" w:rsidP="00B32A2A">
      <w:pPr>
        <w:jc w:val="both"/>
        <w:rPr>
          <w:rFonts w:cs="Arial"/>
          <w:noProof/>
        </w:rPr>
      </w:pPr>
      <w:r>
        <w:t>For more information please see the attached guidelines for completing a GAVI-HSS proposal. The application process for GAVI-HSS proposals is similar to the process for new and underused vaccines. The decision to request GAVI funding and cooperation with the Alliance partners to draft a proposal (steps 1 and 2 in Figure 1 below) will take time. When possible, these activities must be scheduled so that they coincide with the existing national planning process.</w:t>
      </w:r>
    </w:p>
    <w:p w:rsidR="00B32A2A" w:rsidRPr="00B32A2A" w:rsidRDefault="00B32A2A" w:rsidP="00B32A2A">
      <w:pPr>
        <w:jc w:val="both"/>
        <w:rPr>
          <w:rFonts w:cs="Arial"/>
          <w:noProof/>
        </w:rPr>
      </w:pPr>
      <w:r>
        <w:t>Countries are encouraged to participate in an iterative process with GAVI Alliance partners, CSOs and development partners in the development of HSS proposals prior to submission of this application for funding. Steps 1-7 indicate the standard steps for the GAVI-HSS application process. Countries should allow 9-12 months for these steps. Steps 1-3 are expected to take 3-4 months, while steps 4-7 typically take 6-9 months.</w:t>
      </w:r>
    </w:p>
    <w:p w:rsidR="00B32A2A" w:rsidRPr="00B32A2A" w:rsidRDefault="00B32A2A" w:rsidP="00B32A2A">
      <w:pPr>
        <w:rPr>
          <w:rFonts w:cs="Arial"/>
          <w:b/>
          <w:noProof/>
        </w:rPr>
      </w:pPr>
    </w:p>
    <w:p w:rsidR="00B32A2A" w:rsidRPr="00B32A2A" w:rsidRDefault="00B32A2A" w:rsidP="00B32A2A">
      <w:pPr>
        <w:rPr>
          <w:rFonts w:cs="Arial"/>
          <w:b/>
          <w:noProof/>
        </w:rPr>
      </w:pPr>
    </w:p>
    <w:p w:rsidR="00B32A2A" w:rsidRPr="00B32A2A" w:rsidRDefault="00B32A2A" w:rsidP="00B32A2A">
      <w:pPr>
        <w:rPr>
          <w:rFonts w:cs="Arial"/>
          <w:b/>
          <w:noProof/>
        </w:rPr>
      </w:pPr>
    </w:p>
    <w:p w:rsidR="00B32A2A" w:rsidRPr="00B32A2A" w:rsidRDefault="00B32A2A" w:rsidP="00B32A2A">
      <w:pPr>
        <w:rPr>
          <w:rFonts w:cs="Arial"/>
          <w:b/>
          <w:noProof/>
        </w:rPr>
      </w:pPr>
      <w:r>
        <w:rPr>
          <w:b/>
          <w:noProof/>
        </w:rPr>
        <w:t xml:space="preserve">Figure 1: The Application Process and Implementation  </w:t>
      </w:r>
    </w:p>
    <w:p w:rsidR="00B32A2A" w:rsidRPr="00B32A2A" w:rsidRDefault="00B32A2A" w:rsidP="00B32A2A">
      <w:pPr>
        <w:ind w:left="-284"/>
        <w:jc w:val="both"/>
        <w:rPr>
          <w:rFonts w:cs="Arial"/>
          <w:noProof/>
        </w:rPr>
      </w:pPr>
      <w:r>
        <w:rPr>
          <w:rFonts w:cs="Arial"/>
          <w:noProof/>
          <w:lang w:bidi="ar-SA"/>
        </w:rPr>
        <w:lastRenderedPageBreak/>
        <w:drawing>
          <wp:inline distT="0" distB="0" distL="0" distR="0" wp14:anchorId="33CC9F67" wp14:editId="4C0BF75A">
            <wp:extent cx="7102475" cy="1201420"/>
            <wp:effectExtent l="0" t="0" r="3175" b="0"/>
            <wp:docPr id="1" name="Image 1" descr="the_application_and_implementation_process_graphic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the_application_and_implementation_process_graphic_FR"/>
                    <pic:cNvPicPr>
                      <a:picLocks noChangeAspect="1" noChangeArrowheads="1"/>
                    </pic:cNvPicPr>
                  </pic:nvPicPr>
                  <pic:blipFill>
                    <a:blip r:embed="rId13">
                      <a:extLst>
                        <a:ext uri="{28A0092B-C50C-407E-A947-70E740481C1C}">
                          <a14:useLocalDpi xmlns:a14="http://schemas.microsoft.com/office/drawing/2010/main" val="0"/>
                        </a:ext>
                      </a:extLst>
                    </a:blip>
                    <a:srcRect b="15639"/>
                    <a:stretch>
                      <a:fillRect/>
                    </a:stretch>
                  </pic:blipFill>
                  <pic:spPr bwMode="auto">
                    <a:xfrm>
                      <a:off x="0" y="0"/>
                      <a:ext cx="7102475" cy="1201420"/>
                    </a:xfrm>
                    <a:prstGeom prst="rect">
                      <a:avLst/>
                    </a:prstGeom>
                    <a:noFill/>
                    <a:ln>
                      <a:noFill/>
                    </a:ln>
                  </pic:spPr>
                </pic:pic>
              </a:graphicData>
            </a:graphic>
          </wp:inline>
        </w:drawing>
      </w:r>
    </w:p>
    <w:p w:rsidR="00B32A2A" w:rsidRPr="00B32A2A" w:rsidRDefault="00B32A2A" w:rsidP="00B32A2A">
      <w:pPr>
        <w:jc w:val="both"/>
        <w:rPr>
          <w:rFonts w:cs="Arial"/>
          <w:b/>
          <w:noProof/>
        </w:rPr>
      </w:pPr>
    </w:p>
    <w:p w:rsidR="00B32A2A" w:rsidRPr="00B32A2A" w:rsidRDefault="00B32A2A" w:rsidP="00B32A2A">
      <w:pPr>
        <w:jc w:val="both"/>
        <w:rPr>
          <w:rFonts w:cs="Arial"/>
          <w:b/>
          <w:noProof/>
        </w:rPr>
      </w:pPr>
      <w:r>
        <w:rPr>
          <w:rFonts w:cs="Arial"/>
          <w:b/>
          <w:noProof/>
          <w:lang w:bidi="ar-SA"/>
        </w:rPr>
        <w:drawing>
          <wp:inline distT="0" distB="0" distL="0" distR="0" wp14:anchorId="021D15BC" wp14:editId="30D77F33">
            <wp:extent cx="6438265" cy="2796540"/>
            <wp:effectExtent l="38100" t="0" r="19685" b="0"/>
            <wp:docPr id="2" name="Diagramme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32A2A" w:rsidRPr="00B32A2A" w:rsidRDefault="00B32A2A" w:rsidP="00B32A2A">
      <w:pPr>
        <w:jc w:val="both"/>
        <w:rPr>
          <w:rFonts w:cs="Arial"/>
          <w:b/>
          <w:noProof/>
        </w:rPr>
      </w:pPr>
    </w:p>
    <w:p w:rsidR="00B32A2A" w:rsidRPr="00B32A2A" w:rsidRDefault="00B32A2A" w:rsidP="00B32A2A">
      <w:pPr>
        <w:jc w:val="both"/>
        <w:rPr>
          <w:rFonts w:cs="Arial"/>
          <w:b/>
          <w:noProof/>
        </w:rPr>
      </w:pPr>
      <w:r>
        <w:br w:type="page"/>
      </w: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0"/>
        <w:gridCol w:w="6794"/>
      </w:tblGrid>
      <w:tr w:rsidR="00B32A2A" w:rsidRPr="00B32A2A" w:rsidTr="00B32A2A">
        <w:trPr>
          <w:trHeight w:val="437"/>
        </w:trPr>
        <w:tc>
          <w:tcPr>
            <w:tcW w:w="5000" w:type="pct"/>
            <w:gridSpan w:val="2"/>
            <w:shd w:val="clear" w:color="auto" w:fill="006460"/>
            <w:vAlign w:val="center"/>
          </w:tcPr>
          <w:p w:rsidR="00B32A2A" w:rsidRPr="00B32A2A" w:rsidRDefault="00B32A2A" w:rsidP="00B32A2A">
            <w:pPr>
              <w:pStyle w:val="Heading1"/>
              <w:rPr>
                <w:rFonts w:cs="Arial"/>
                <w:noProof/>
                <w:color w:val="auto"/>
                <w:spacing w:val="0"/>
                <w:sz w:val="22"/>
                <w:szCs w:val="22"/>
              </w:rPr>
            </w:pPr>
            <w:bookmarkStart w:id="6" w:name="_Toc346115521"/>
            <w:bookmarkStart w:id="7" w:name="_Toc346116633"/>
            <w:bookmarkStart w:id="8" w:name="_Toc381123259"/>
            <w:bookmarkStart w:id="9" w:name="_Toc381566349"/>
            <w:r>
              <w:rPr>
                <w:noProof/>
                <w:color w:val="auto"/>
                <w:spacing w:val="0"/>
                <w:sz w:val="22"/>
              </w:rPr>
              <w:lastRenderedPageBreak/>
              <w:t>PART A - SUMMARY OF SUPPORT REQUESTED AND APPLICANT INFORMATION</w:t>
            </w:r>
            <w:bookmarkEnd w:id="6"/>
            <w:bookmarkEnd w:id="7"/>
            <w:bookmarkEnd w:id="8"/>
            <w:bookmarkEnd w:id="9"/>
          </w:p>
        </w:tc>
      </w:tr>
      <w:tr w:rsidR="00B32A2A" w:rsidRPr="00B32A2A" w:rsidTr="00B32A2A">
        <w:tc>
          <w:tcPr>
            <w:tcW w:w="5000" w:type="pct"/>
            <w:gridSpan w:val="2"/>
            <w:shd w:val="clear" w:color="auto" w:fill="FFFFFF"/>
            <w:vAlign w:val="center"/>
          </w:tcPr>
          <w:p w:rsidR="00B32A2A" w:rsidRPr="00B32A2A" w:rsidRDefault="00B32A2A" w:rsidP="00B32A2A">
            <w:pPr>
              <w:jc w:val="both"/>
              <w:rPr>
                <w:rFonts w:cs="Arial"/>
                <w:b/>
                <w:noProof/>
              </w:rPr>
            </w:pPr>
            <w:r>
              <w:rPr>
                <w:b/>
                <w:noProof/>
              </w:rPr>
              <w:t>For further instructions, please refer to the Guidelines for Completing the HSS Application</w:t>
            </w:r>
          </w:p>
        </w:tc>
      </w:tr>
      <w:tr w:rsidR="00B32A2A" w:rsidRPr="00B32A2A" w:rsidTr="00B32A2A">
        <w:tc>
          <w:tcPr>
            <w:tcW w:w="1671" w:type="pct"/>
            <w:shd w:val="clear" w:color="auto" w:fill="006460"/>
            <w:vAlign w:val="center"/>
          </w:tcPr>
          <w:p w:rsidR="00B32A2A" w:rsidRPr="00B32A2A" w:rsidRDefault="00B32A2A" w:rsidP="00B32A2A">
            <w:pPr>
              <w:jc w:val="both"/>
              <w:rPr>
                <w:rFonts w:cs="Arial"/>
                <w:b/>
                <w:noProof/>
              </w:rPr>
            </w:pPr>
            <w:r>
              <w:rPr>
                <w:b/>
                <w:noProof/>
              </w:rPr>
              <w:t>Applicant:</w:t>
            </w:r>
          </w:p>
        </w:tc>
        <w:tc>
          <w:tcPr>
            <w:tcW w:w="3329" w:type="pct"/>
            <w:shd w:val="clear" w:color="auto" w:fill="FFFFFF"/>
          </w:tcPr>
          <w:p w:rsidR="00B32A2A" w:rsidRPr="00B32A2A" w:rsidRDefault="00B32A2A" w:rsidP="00B32A2A">
            <w:pPr>
              <w:spacing w:before="120" w:after="120"/>
              <w:jc w:val="both"/>
              <w:rPr>
                <w:rFonts w:cs="Arial"/>
                <w:b/>
                <w:i/>
                <w:noProof/>
              </w:rPr>
            </w:pPr>
            <w:r>
              <w:rPr>
                <w:b/>
                <w:i/>
                <w:noProof/>
              </w:rPr>
              <w:t>MINISTRY OF PUBLIC HEALTH</w:t>
            </w:r>
          </w:p>
        </w:tc>
      </w:tr>
      <w:tr w:rsidR="00B32A2A" w:rsidRPr="00B32A2A" w:rsidTr="00B32A2A">
        <w:tc>
          <w:tcPr>
            <w:tcW w:w="1671" w:type="pct"/>
            <w:shd w:val="clear" w:color="auto" w:fill="006460"/>
            <w:vAlign w:val="center"/>
          </w:tcPr>
          <w:p w:rsidR="00B32A2A" w:rsidRPr="00B32A2A" w:rsidRDefault="00B32A2A" w:rsidP="00B32A2A">
            <w:pPr>
              <w:jc w:val="both"/>
              <w:rPr>
                <w:rFonts w:cs="Arial"/>
                <w:b/>
                <w:noProof/>
              </w:rPr>
            </w:pPr>
            <w:r>
              <w:rPr>
                <w:b/>
                <w:noProof/>
              </w:rPr>
              <w:t>Country:</w:t>
            </w:r>
          </w:p>
        </w:tc>
        <w:tc>
          <w:tcPr>
            <w:tcW w:w="3329" w:type="pct"/>
            <w:shd w:val="clear" w:color="auto" w:fill="FFFFFF"/>
          </w:tcPr>
          <w:p w:rsidR="00B32A2A" w:rsidRPr="00B32A2A" w:rsidRDefault="00B32A2A" w:rsidP="00B32A2A">
            <w:pPr>
              <w:spacing w:before="120" w:after="120"/>
              <w:jc w:val="both"/>
              <w:rPr>
                <w:rFonts w:cs="Arial"/>
                <w:b/>
                <w:i/>
                <w:noProof/>
              </w:rPr>
            </w:pPr>
            <w:r>
              <w:rPr>
                <w:b/>
                <w:i/>
                <w:noProof/>
              </w:rPr>
              <w:t>NIGER</w:t>
            </w:r>
          </w:p>
        </w:tc>
      </w:tr>
      <w:tr w:rsidR="00B32A2A" w:rsidRPr="00B32A2A" w:rsidTr="00B32A2A">
        <w:tc>
          <w:tcPr>
            <w:tcW w:w="1671" w:type="pct"/>
            <w:shd w:val="clear" w:color="auto" w:fill="006460"/>
            <w:vAlign w:val="center"/>
          </w:tcPr>
          <w:p w:rsidR="00B32A2A" w:rsidRPr="00B32A2A" w:rsidRDefault="00B32A2A" w:rsidP="00B32A2A">
            <w:pPr>
              <w:jc w:val="both"/>
              <w:rPr>
                <w:rFonts w:cs="Arial"/>
                <w:b/>
                <w:noProof/>
              </w:rPr>
            </w:pPr>
            <w:r>
              <w:rPr>
                <w:b/>
                <w:noProof/>
              </w:rPr>
              <w:t>Proposal title:</w:t>
            </w:r>
          </w:p>
        </w:tc>
        <w:tc>
          <w:tcPr>
            <w:tcW w:w="3329" w:type="pct"/>
            <w:shd w:val="clear" w:color="auto" w:fill="FFFFFF"/>
          </w:tcPr>
          <w:p w:rsidR="00B32A2A" w:rsidRPr="00B32A2A" w:rsidRDefault="00B32A2A" w:rsidP="00B32A2A">
            <w:pPr>
              <w:spacing w:before="120" w:after="120"/>
              <w:rPr>
                <w:rFonts w:cs="Arial"/>
                <w:b/>
                <w:i/>
                <w:noProof/>
              </w:rPr>
            </w:pPr>
            <w:r>
              <w:rPr>
                <w:b/>
                <w:i/>
                <w:noProof/>
              </w:rPr>
              <w:t>HEALTH SYSTEM STRENGTHENING TO IMPROVE IMMUNIZATION PERFORMANCE</w:t>
            </w:r>
          </w:p>
        </w:tc>
      </w:tr>
      <w:tr w:rsidR="00B32A2A" w:rsidRPr="00B32A2A" w:rsidTr="00B32A2A">
        <w:tc>
          <w:tcPr>
            <w:tcW w:w="1671" w:type="pct"/>
            <w:shd w:val="clear" w:color="auto" w:fill="006460"/>
            <w:vAlign w:val="center"/>
          </w:tcPr>
          <w:p w:rsidR="00B32A2A" w:rsidRPr="00B32A2A" w:rsidRDefault="00B32A2A" w:rsidP="00B32A2A">
            <w:pPr>
              <w:jc w:val="both"/>
              <w:rPr>
                <w:rFonts w:cs="Arial"/>
                <w:b/>
                <w:noProof/>
              </w:rPr>
            </w:pPr>
            <w:r>
              <w:rPr>
                <w:b/>
                <w:noProof/>
              </w:rPr>
              <w:t>Proposed start date:</w:t>
            </w:r>
          </w:p>
        </w:tc>
        <w:tc>
          <w:tcPr>
            <w:tcW w:w="3329" w:type="pct"/>
            <w:shd w:val="clear" w:color="auto" w:fill="FFFFFF"/>
          </w:tcPr>
          <w:p w:rsidR="00B32A2A" w:rsidRPr="00B32A2A" w:rsidRDefault="00B32A2A" w:rsidP="00B32A2A">
            <w:pPr>
              <w:spacing w:before="120" w:after="120"/>
              <w:jc w:val="both"/>
              <w:rPr>
                <w:rFonts w:cs="Arial"/>
                <w:b/>
                <w:i/>
                <w:noProof/>
              </w:rPr>
            </w:pPr>
            <w:r>
              <w:rPr>
                <w:b/>
                <w:i/>
                <w:noProof/>
              </w:rPr>
              <w:t>JULY 2014</w:t>
            </w:r>
          </w:p>
        </w:tc>
      </w:tr>
      <w:tr w:rsidR="00B32A2A" w:rsidRPr="00B32A2A" w:rsidTr="00B32A2A">
        <w:tc>
          <w:tcPr>
            <w:tcW w:w="1671" w:type="pct"/>
            <w:shd w:val="clear" w:color="auto" w:fill="006460"/>
            <w:vAlign w:val="center"/>
          </w:tcPr>
          <w:p w:rsidR="00B32A2A" w:rsidRPr="00B32A2A" w:rsidRDefault="00B32A2A" w:rsidP="00B32A2A">
            <w:pPr>
              <w:jc w:val="both"/>
              <w:rPr>
                <w:rFonts w:cs="Arial"/>
                <w:b/>
                <w:noProof/>
              </w:rPr>
            </w:pPr>
            <w:r>
              <w:rPr>
                <w:b/>
                <w:noProof/>
              </w:rPr>
              <w:t>Duration of support requested:</w:t>
            </w:r>
          </w:p>
        </w:tc>
        <w:tc>
          <w:tcPr>
            <w:tcW w:w="3329" w:type="pct"/>
            <w:shd w:val="clear" w:color="auto" w:fill="FFFFFF"/>
          </w:tcPr>
          <w:p w:rsidR="00B32A2A" w:rsidRPr="00B32A2A" w:rsidRDefault="00B32A2A" w:rsidP="00B32A2A">
            <w:pPr>
              <w:spacing w:before="120" w:after="120"/>
              <w:rPr>
                <w:rFonts w:cs="Arial"/>
                <w:b/>
                <w:i/>
                <w:noProof/>
              </w:rPr>
            </w:pPr>
            <w:r>
              <w:rPr>
                <w:b/>
                <w:i/>
                <w:noProof/>
              </w:rPr>
              <w:t>4-½  years (JULY 2014 - DECEMBER 2018)</w:t>
            </w:r>
          </w:p>
        </w:tc>
      </w:tr>
      <w:tr w:rsidR="00B32A2A" w:rsidRPr="00B32A2A" w:rsidTr="00B32A2A">
        <w:trPr>
          <w:trHeight w:val="513"/>
        </w:trPr>
        <w:tc>
          <w:tcPr>
            <w:tcW w:w="1671" w:type="pct"/>
            <w:shd w:val="clear" w:color="auto" w:fill="006460"/>
            <w:vAlign w:val="center"/>
          </w:tcPr>
          <w:p w:rsidR="00B32A2A" w:rsidRPr="00B32A2A" w:rsidRDefault="00B32A2A" w:rsidP="00B32A2A">
            <w:pPr>
              <w:jc w:val="both"/>
              <w:rPr>
                <w:rFonts w:cs="Arial"/>
                <w:b/>
                <w:noProof/>
              </w:rPr>
            </w:pPr>
            <w:r>
              <w:rPr>
                <w:b/>
                <w:noProof/>
              </w:rPr>
              <w:t>Total funding requested from GAVI:</w:t>
            </w:r>
          </w:p>
        </w:tc>
        <w:tc>
          <w:tcPr>
            <w:tcW w:w="3329" w:type="pct"/>
            <w:shd w:val="clear" w:color="auto" w:fill="auto"/>
          </w:tcPr>
          <w:p w:rsidR="00B32A2A" w:rsidRPr="00B32A2A" w:rsidRDefault="00B32A2A" w:rsidP="00B32A2A">
            <w:pPr>
              <w:spacing w:before="120" w:after="120"/>
              <w:rPr>
                <w:rFonts w:cs="Arial"/>
                <w:b/>
                <w:i/>
                <w:noProof/>
              </w:rPr>
            </w:pPr>
            <w:r>
              <w:rPr>
                <w:b/>
                <w:i/>
                <w:noProof/>
              </w:rPr>
              <w:t>US$ 40.025 MILLION</w:t>
            </w:r>
          </w:p>
        </w:tc>
      </w:tr>
      <w:tr w:rsidR="00B32A2A" w:rsidRPr="00B32A2A" w:rsidTr="00B32A2A">
        <w:trPr>
          <w:trHeight w:val="513"/>
        </w:trPr>
        <w:tc>
          <w:tcPr>
            <w:tcW w:w="5000" w:type="pct"/>
            <w:gridSpan w:val="2"/>
            <w:shd w:val="clear" w:color="auto" w:fill="006460"/>
            <w:vAlign w:val="center"/>
          </w:tcPr>
          <w:p w:rsidR="00B32A2A" w:rsidRPr="00B32A2A" w:rsidRDefault="00B32A2A" w:rsidP="00B32A2A">
            <w:pPr>
              <w:spacing w:before="120"/>
              <w:jc w:val="both"/>
              <w:rPr>
                <w:rFonts w:cs="Arial"/>
                <w:b/>
                <w:noProof/>
              </w:rPr>
            </w:pPr>
            <w:r>
              <w:rPr>
                <w:b/>
                <w:noProof/>
              </w:rPr>
              <w:t xml:space="preserve">Contact Details </w:t>
            </w:r>
          </w:p>
        </w:tc>
      </w:tr>
      <w:tr w:rsidR="00B32A2A" w:rsidRPr="00B32A2A" w:rsidTr="00B32A2A">
        <w:trPr>
          <w:trHeight w:val="513"/>
        </w:trPr>
        <w:tc>
          <w:tcPr>
            <w:tcW w:w="1671" w:type="pct"/>
            <w:shd w:val="clear" w:color="auto" w:fill="006460"/>
            <w:vAlign w:val="center"/>
          </w:tcPr>
          <w:p w:rsidR="00B32A2A" w:rsidRPr="00B32A2A" w:rsidRDefault="00B32A2A" w:rsidP="00B32A2A">
            <w:pPr>
              <w:jc w:val="both"/>
              <w:rPr>
                <w:rFonts w:cs="Arial"/>
                <w:b/>
                <w:noProof/>
              </w:rPr>
            </w:pPr>
            <w:r>
              <w:rPr>
                <w:b/>
                <w:noProof/>
              </w:rPr>
              <w:t>Name</w:t>
            </w:r>
          </w:p>
        </w:tc>
        <w:tc>
          <w:tcPr>
            <w:tcW w:w="3329" w:type="pct"/>
            <w:shd w:val="clear" w:color="auto" w:fill="auto"/>
          </w:tcPr>
          <w:p w:rsidR="00B32A2A" w:rsidRPr="00B32A2A" w:rsidRDefault="00B32A2A" w:rsidP="00B32A2A">
            <w:pPr>
              <w:spacing w:before="120"/>
              <w:jc w:val="both"/>
              <w:rPr>
                <w:rFonts w:cs="Arial"/>
                <w:b/>
                <w:i/>
                <w:noProof/>
              </w:rPr>
            </w:pPr>
            <w:r>
              <w:rPr>
                <w:b/>
                <w:i/>
                <w:noProof/>
              </w:rPr>
              <w:t>OUSMANE OUMAROU</w:t>
            </w:r>
          </w:p>
        </w:tc>
      </w:tr>
      <w:tr w:rsidR="00B32A2A" w:rsidRPr="00B32A2A" w:rsidTr="00B32A2A">
        <w:trPr>
          <w:trHeight w:val="513"/>
        </w:trPr>
        <w:tc>
          <w:tcPr>
            <w:tcW w:w="1671" w:type="pct"/>
            <w:shd w:val="clear" w:color="auto" w:fill="006460"/>
            <w:vAlign w:val="center"/>
          </w:tcPr>
          <w:p w:rsidR="00B32A2A" w:rsidRPr="00B32A2A" w:rsidRDefault="00B32A2A" w:rsidP="00B32A2A">
            <w:pPr>
              <w:jc w:val="both"/>
              <w:rPr>
                <w:rFonts w:cs="Arial"/>
                <w:b/>
                <w:noProof/>
              </w:rPr>
            </w:pPr>
            <w:r>
              <w:rPr>
                <w:b/>
                <w:noProof/>
              </w:rPr>
              <w:t>Organization and Title</w:t>
            </w:r>
          </w:p>
        </w:tc>
        <w:tc>
          <w:tcPr>
            <w:tcW w:w="3329" w:type="pct"/>
            <w:shd w:val="clear" w:color="auto" w:fill="auto"/>
          </w:tcPr>
          <w:p w:rsidR="00B32A2A" w:rsidRPr="00B32A2A" w:rsidRDefault="00B32A2A" w:rsidP="00B32A2A">
            <w:pPr>
              <w:spacing w:before="120"/>
              <w:rPr>
                <w:rFonts w:cs="Arial"/>
                <w:b/>
                <w:i/>
                <w:noProof/>
              </w:rPr>
            </w:pPr>
            <w:r>
              <w:rPr>
                <w:b/>
                <w:i/>
                <w:noProof/>
              </w:rPr>
              <w:t>DIRECTOR OF RESEARCH AND SCHEDULING / MINISTRY OF PUBLIC HEALTH</w:t>
            </w:r>
          </w:p>
        </w:tc>
      </w:tr>
      <w:tr w:rsidR="00B32A2A" w:rsidRPr="00B32A2A" w:rsidTr="00B32A2A">
        <w:trPr>
          <w:trHeight w:val="513"/>
        </w:trPr>
        <w:tc>
          <w:tcPr>
            <w:tcW w:w="1671" w:type="pct"/>
            <w:shd w:val="clear" w:color="auto" w:fill="006460"/>
            <w:vAlign w:val="center"/>
          </w:tcPr>
          <w:p w:rsidR="00B32A2A" w:rsidRPr="00B32A2A" w:rsidRDefault="00B32A2A" w:rsidP="00B32A2A">
            <w:pPr>
              <w:spacing w:before="120" w:after="120"/>
              <w:jc w:val="both"/>
              <w:rPr>
                <w:rFonts w:cs="Arial"/>
                <w:b/>
                <w:noProof/>
              </w:rPr>
            </w:pPr>
            <w:r>
              <w:rPr>
                <w:b/>
                <w:noProof/>
              </w:rPr>
              <w:t>Mailing address</w:t>
            </w:r>
          </w:p>
        </w:tc>
        <w:tc>
          <w:tcPr>
            <w:tcW w:w="3329" w:type="pct"/>
            <w:shd w:val="clear" w:color="auto" w:fill="auto"/>
          </w:tcPr>
          <w:p w:rsidR="00B32A2A" w:rsidRPr="00B32A2A" w:rsidRDefault="00B32A2A" w:rsidP="00B32A2A">
            <w:pPr>
              <w:spacing w:before="120"/>
              <w:jc w:val="both"/>
              <w:rPr>
                <w:rFonts w:cs="Arial"/>
                <w:b/>
                <w:i/>
                <w:noProof/>
              </w:rPr>
            </w:pPr>
            <w:r>
              <w:rPr>
                <w:b/>
                <w:i/>
                <w:noProof/>
              </w:rPr>
              <w:t>BP 623/ Niamey/ Niger</w:t>
            </w:r>
          </w:p>
        </w:tc>
      </w:tr>
      <w:tr w:rsidR="00B32A2A" w:rsidRPr="00B32A2A" w:rsidTr="00B32A2A">
        <w:trPr>
          <w:trHeight w:val="513"/>
        </w:trPr>
        <w:tc>
          <w:tcPr>
            <w:tcW w:w="1671" w:type="pct"/>
            <w:shd w:val="clear" w:color="auto" w:fill="006460"/>
            <w:vAlign w:val="center"/>
          </w:tcPr>
          <w:p w:rsidR="00B32A2A" w:rsidRPr="00B32A2A" w:rsidRDefault="00B32A2A" w:rsidP="00B32A2A">
            <w:pPr>
              <w:spacing w:before="120" w:after="120"/>
              <w:jc w:val="both"/>
              <w:rPr>
                <w:rFonts w:cs="Arial"/>
                <w:b/>
                <w:noProof/>
              </w:rPr>
            </w:pPr>
            <w:r>
              <w:rPr>
                <w:b/>
                <w:noProof/>
              </w:rPr>
              <w:t>Telephone</w:t>
            </w:r>
          </w:p>
        </w:tc>
        <w:tc>
          <w:tcPr>
            <w:tcW w:w="3329" w:type="pct"/>
            <w:shd w:val="clear" w:color="auto" w:fill="auto"/>
          </w:tcPr>
          <w:p w:rsidR="00B32A2A" w:rsidRPr="00B32A2A" w:rsidRDefault="00B32A2A" w:rsidP="00B32A2A">
            <w:pPr>
              <w:spacing w:before="120"/>
              <w:jc w:val="both"/>
              <w:rPr>
                <w:rFonts w:cs="Arial"/>
                <w:b/>
                <w:i/>
                <w:noProof/>
              </w:rPr>
            </w:pPr>
            <w:r>
              <w:rPr>
                <w:b/>
                <w:i/>
                <w:noProof/>
              </w:rPr>
              <w:t>(227) 20 20 35 29 /97 89 67 68</w:t>
            </w:r>
          </w:p>
        </w:tc>
      </w:tr>
      <w:tr w:rsidR="00B32A2A" w:rsidRPr="00B32A2A" w:rsidTr="00B32A2A">
        <w:trPr>
          <w:trHeight w:val="513"/>
        </w:trPr>
        <w:tc>
          <w:tcPr>
            <w:tcW w:w="1671" w:type="pct"/>
            <w:shd w:val="clear" w:color="auto" w:fill="006460"/>
            <w:vAlign w:val="center"/>
          </w:tcPr>
          <w:p w:rsidR="00B32A2A" w:rsidRPr="00B32A2A" w:rsidRDefault="00B32A2A" w:rsidP="00B32A2A">
            <w:pPr>
              <w:spacing w:before="120" w:after="120"/>
              <w:jc w:val="both"/>
              <w:rPr>
                <w:rFonts w:cs="Arial"/>
                <w:b/>
                <w:noProof/>
              </w:rPr>
            </w:pPr>
            <w:r>
              <w:rPr>
                <w:b/>
                <w:noProof/>
              </w:rPr>
              <w:t>Fax</w:t>
            </w:r>
          </w:p>
        </w:tc>
        <w:tc>
          <w:tcPr>
            <w:tcW w:w="3329" w:type="pct"/>
            <w:shd w:val="clear" w:color="auto" w:fill="auto"/>
          </w:tcPr>
          <w:p w:rsidR="00B32A2A" w:rsidRPr="00B32A2A" w:rsidRDefault="00B32A2A" w:rsidP="00B32A2A">
            <w:pPr>
              <w:spacing w:before="120"/>
              <w:jc w:val="both"/>
              <w:rPr>
                <w:rFonts w:cs="Arial"/>
                <w:b/>
                <w:i/>
                <w:noProof/>
              </w:rPr>
            </w:pPr>
            <w:r>
              <w:rPr>
                <w:b/>
                <w:i/>
                <w:noProof/>
              </w:rPr>
              <w:t>(227) 20 73 35 70</w:t>
            </w:r>
          </w:p>
        </w:tc>
      </w:tr>
      <w:tr w:rsidR="00B32A2A" w:rsidRPr="00B32A2A" w:rsidTr="00B32A2A">
        <w:trPr>
          <w:trHeight w:val="513"/>
        </w:trPr>
        <w:tc>
          <w:tcPr>
            <w:tcW w:w="1671" w:type="pct"/>
            <w:shd w:val="clear" w:color="auto" w:fill="006460"/>
            <w:vAlign w:val="center"/>
          </w:tcPr>
          <w:p w:rsidR="00B32A2A" w:rsidRPr="00B32A2A" w:rsidRDefault="00B32A2A" w:rsidP="00B32A2A">
            <w:pPr>
              <w:spacing w:before="120" w:after="120"/>
              <w:jc w:val="both"/>
              <w:rPr>
                <w:rFonts w:cs="Arial"/>
                <w:b/>
                <w:noProof/>
              </w:rPr>
            </w:pPr>
            <w:r>
              <w:rPr>
                <w:b/>
                <w:noProof/>
              </w:rPr>
              <w:t>E-mail</w:t>
            </w:r>
          </w:p>
        </w:tc>
        <w:tc>
          <w:tcPr>
            <w:tcW w:w="3329" w:type="pct"/>
            <w:shd w:val="clear" w:color="auto" w:fill="auto"/>
          </w:tcPr>
          <w:p w:rsidR="00B32A2A" w:rsidRPr="00B32A2A" w:rsidRDefault="008374D6" w:rsidP="00B32A2A">
            <w:pPr>
              <w:spacing w:before="120"/>
              <w:jc w:val="both"/>
              <w:rPr>
                <w:rFonts w:cs="Arial"/>
                <w:b/>
                <w:i/>
                <w:noProof/>
              </w:rPr>
            </w:pPr>
            <w:hyperlink r:id="rId19">
              <w:r w:rsidR="00B32A2A">
                <w:rPr>
                  <w:rStyle w:val="Hyperlink"/>
                  <w:b/>
                  <w:i/>
                  <w:noProof/>
                  <w:color w:val="auto"/>
                </w:rPr>
                <w:t>Oumarou1961@yahoo.fr</w:t>
              </w:r>
            </w:hyperlink>
          </w:p>
        </w:tc>
      </w:tr>
    </w:tbl>
    <w:p w:rsidR="00B32A2A" w:rsidRPr="00B32A2A" w:rsidRDefault="00B32A2A" w:rsidP="00B32A2A">
      <w:pPr>
        <w:jc w:val="both"/>
        <w:rPr>
          <w:rFonts w:cs="Arial"/>
          <w:noProof/>
        </w:rPr>
      </w:pPr>
      <w:bookmarkStart w:id="10" w:name="_Toc278640074"/>
      <w:bookmarkStart w:id="11" w:name="_Toc283042942"/>
    </w:p>
    <w:tbl>
      <w:tblPr>
        <w:tblpPr w:leftFromText="180" w:rightFromText="180" w:vertAnchor="text" w:horzAnchor="page" w:tblpX="977" w:tblpY="-61"/>
        <w:tblW w:w="0" w:type="auto"/>
        <w:tblBorders>
          <w:top w:val="single" w:sz="4" w:space="0" w:color="215868"/>
          <w:left w:val="single" w:sz="4" w:space="0" w:color="215868"/>
          <w:bottom w:val="single" w:sz="4" w:space="0" w:color="215868"/>
          <w:right w:val="single" w:sz="4" w:space="0" w:color="215868"/>
          <w:insideH w:val="single" w:sz="4" w:space="0" w:color="215868"/>
          <w:insideV w:val="single" w:sz="4" w:space="0" w:color="215868"/>
        </w:tblBorders>
        <w:shd w:val="clear" w:color="auto" w:fill="99CCCC"/>
        <w:tblLayout w:type="fixed"/>
        <w:tblLook w:val="01E0" w:firstRow="1" w:lastRow="1" w:firstColumn="1" w:lastColumn="1" w:noHBand="0" w:noVBand="0"/>
      </w:tblPr>
      <w:tblGrid>
        <w:gridCol w:w="10314"/>
      </w:tblGrid>
      <w:tr w:rsidR="00B32A2A" w:rsidRPr="00B32A2A" w:rsidTr="00B32A2A">
        <w:tc>
          <w:tcPr>
            <w:tcW w:w="10314" w:type="dxa"/>
            <w:shd w:val="clear" w:color="auto" w:fill="006460"/>
          </w:tcPr>
          <w:p w:rsidR="00B32A2A" w:rsidRPr="00B32A2A" w:rsidRDefault="00B32A2A" w:rsidP="00B32A2A">
            <w:pPr>
              <w:spacing w:before="120" w:after="120"/>
              <w:jc w:val="both"/>
              <w:rPr>
                <w:rFonts w:cs="Arial"/>
                <w:b/>
                <w:noProof/>
              </w:rPr>
            </w:pPr>
            <w:r>
              <w:rPr>
                <w:b/>
                <w:noProof/>
              </w:rPr>
              <w:t xml:space="preserve">Signatures: government endorsement </w:t>
            </w:r>
          </w:p>
        </w:tc>
      </w:tr>
      <w:tr w:rsidR="00B32A2A" w:rsidRPr="00B32A2A" w:rsidTr="00B32A2A">
        <w:trPr>
          <w:trHeight w:val="2996"/>
        </w:trPr>
        <w:tc>
          <w:tcPr>
            <w:tcW w:w="10314" w:type="dxa"/>
            <w:shd w:val="clear" w:color="auto" w:fill="FFFFFF"/>
          </w:tcPr>
          <w:p w:rsidR="00B32A2A" w:rsidRPr="00B32A2A" w:rsidRDefault="00B32A2A" w:rsidP="00B32A2A">
            <w:pPr>
              <w:jc w:val="both"/>
              <w:rPr>
                <w:rFonts w:cs="Arial"/>
                <w:noProof/>
              </w:rPr>
            </w:pPr>
            <w:r>
              <w:rPr>
                <w:rFonts w:cs="Arial"/>
                <w:noProof/>
                <w:lang w:bidi="ar-SA"/>
              </w:rPr>
              <w:lastRenderedPageBreak/>
              <w:drawing>
                <wp:inline distT="0" distB="0" distL="0" distR="0" wp14:anchorId="5637A052" wp14:editId="2F0E3DA3">
                  <wp:extent cx="6411595" cy="882523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11595" cy="8825230"/>
                          </a:xfrm>
                          <a:prstGeom prst="rect">
                            <a:avLst/>
                          </a:prstGeom>
                          <a:noFill/>
                          <a:ln>
                            <a:noFill/>
                          </a:ln>
                        </pic:spPr>
                      </pic:pic>
                    </a:graphicData>
                  </a:graphic>
                </wp:inline>
              </w:drawing>
            </w:r>
          </w:p>
        </w:tc>
      </w:tr>
    </w:tbl>
    <w:p w:rsidR="00B32A2A" w:rsidRPr="00B32A2A" w:rsidRDefault="00B32A2A" w:rsidP="00B32A2A">
      <w:pPr>
        <w:jc w:val="center"/>
        <w:rPr>
          <w:rFonts w:cs="Arial"/>
          <w:b/>
          <w:noProof/>
          <w:u w:val="single"/>
        </w:rPr>
      </w:pPr>
      <w:r>
        <w:lastRenderedPageBreak/>
        <w:br w:type="page"/>
      </w:r>
      <w:r>
        <w:rPr>
          <w:b/>
          <w:noProof/>
          <w:u w:val="single"/>
        </w:rPr>
        <w:lastRenderedPageBreak/>
        <w:t>HSCC / ICC SIGNATURE PAGE</w:t>
      </w:r>
    </w:p>
    <w:p w:rsidR="00B32A2A" w:rsidRPr="00B32A2A" w:rsidRDefault="00B32A2A" w:rsidP="00B32A2A">
      <w:pPr>
        <w:jc w:val="center"/>
        <w:rPr>
          <w:rFonts w:cs="Arial"/>
          <w:b/>
          <w:noProof/>
        </w:rPr>
      </w:pPr>
    </w:p>
    <w:p w:rsidR="00B32A2A" w:rsidRPr="00B32A2A" w:rsidRDefault="00B32A2A" w:rsidP="00B32A2A">
      <w:pPr>
        <w:ind w:left="-284"/>
        <w:jc w:val="center"/>
        <w:rPr>
          <w:noProof/>
        </w:rPr>
      </w:pPr>
      <w:r>
        <w:t>For submission with GAVI-HSS application</w:t>
      </w:r>
    </w:p>
    <w:p w:rsidR="00B32A2A" w:rsidRPr="00B32A2A" w:rsidRDefault="00B32A2A" w:rsidP="00B32A2A">
      <w:pPr>
        <w:jc w:val="both"/>
        <w:rPr>
          <w:rFonts w:eastAsia="Arial" w:cs="Arial"/>
          <w:b/>
          <w:noProof/>
        </w:rPr>
      </w:pPr>
      <w:r>
        <w:rPr>
          <w:b/>
          <w:noProof/>
        </w:rPr>
        <w:t>Health Sector Coordination Committee</w:t>
      </w:r>
    </w:p>
    <w:p w:rsidR="00B32A2A" w:rsidRPr="00B32A2A" w:rsidRDefault="00B32A2A" w:rsidP="00B32A2A">
      <w:pPr>
        <w:ind w:left="-284"/>
        <w:jc w:val="center"/>
        <w:rPr>
          <w:rFonts w:eastAsia="Arial" w:cs="Arial"/>
          <w:noProof/>
        </w:rPr>
      </w:pPr>
      <w:r>
        <w:t>Country</w:t>
      </w:r>
      <w:r>
        <w:rPr>
          <w:b/>
          <w:noProof/>
        </w:rPr>
        <w:t>__NIGER_________________</w:t>
      </w:r>
      <w:r>
        <w:t>Date of HSS Application_____________________</w:t>
      </w:r>
    </w:p>
    <w:p w:rsidR="00B32A2A" w:rsidRPr="00B32A2A" w:rsidRDefault="00B32A2A" w:rsidP="00B32A2A">
      <w:pPr>
        <w:ind w:left="-284"/>
        <w:jc w:val="both"/>
        <w:rPr>
          <w:rFonts w:eastAsia="Arial" w:cs="Arial"/>
          <w:noProof/>
        </w:rPr>
      </w:pPr>
      <w:r>
        <w:t>We, the members of the HSCC, or equivalent committee [1] met on ____________ to review this proposal. At that meeting we endorsed this proposal on the basis of the supporting documentation which is attached.</w:t>
      </w:r>
    </w:p>
    <w:p w:rsidR="00B32A2A" w:rsidRPr="00B32A2A" w:rsidRDefault="00B32A2A" w:rsidP="00B32A2A">
      <w:pPr>
        <w:ind w:left="-284"/>
        <w:jc w:val="both"/>
        <w:rPr>
          <w:rFonts w:eastAsia="Arial" w:cs="Arial"/>
          <w:noProof/>
        </w:rPr>
      </w:pPr>
      <w:r>
        <w:rPr>
          <w:b/>
          <w:noProof/>
        </w:rPr>
        <w:t xml:space="preserve">[1] </w:t>
      </w:r>
      <w:r>
        <w:t>Health Sector Coordination Committee or equivalent committee which has the authority to endorse this application in the country in question.</w:t>
      </w:r>
    </w:p>
    <w:p w:rsidR="00B32A2A" w:rsidRPr="00B32A2A" w:rsidRDefault="00B32A2A" w:rsidP="00B32A2A">
      <w:pPr>
        <w:ind w:left="-284"/>
        <w:jc w:val="both"/>
        <w:rPr>
          <w:rFonts w:eastAsia="Arial" w:cs="Arial"/>
          <w:noProof/>
        </w:rPr>
      </w:pPr>
      <w:r>
        <w:t>Name of the HSCC in the country ________________________________________</w:t>
      </w:r>
    </w:p>
    <w:p w:rsidR="00B32A2A" w:rsidRPr="00B32A2A" w:rsidRDefault="0070526F" w:rsidP="00B32A2A">
      <w:pPr>
        <w:ind w:left="-284"/>
        <w:jc w:val="center"/>
        <w:rPr>
          <w:rFonts w:eastAsia="Arial" w:cs="Arial"/>
          <w:noProof/>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5pt;height:465.35pt">
            <v:imagedata r:id="rId21" o:title=""/>
          </v:shape>
        </w:pict>
      </w:r>
    </w:p>
    <w:p w:rsidR="00B32A2A" w:rsidRPr="00B32A2A" w:rsidRDefault="0070526F" w:rsidP="00B32A2A">
      <w:pPr>
        <w:ind w:left="-284"/>
        <w:jc w:val="center"/>
        <w:rPr>
          <w:rFonts w:cs="Arial"/>
          <w:b/>
          <w:noProof/>
        </w:rPr>
      </w:pPr>
      <w:r>
        <w:rPr>
          <w:rFonts w:cs="Arial"/>
          <w:b/>
          <w:noProof/>
        </w:rPr>
        <w:lastRenderedPageBreak/>
        <w:pict>
          <v:shape id="_x0000_i1026" type="#_x0000_t75" style="width:459.2pt;height:631.3pt">
            <v:imagedata r:id="rId22" o:title=""/>
          </v:shape>
        </w:pict>
      </w:r>
    </w:p>
    <w:p w:rsidR="00B32A2A" w:rsidRPr="00B32A2A" w:rsidRDefault="00B32A2A" w:rsidP="00B32A2A">
      <w:pPr>
        <w:ind w:left="-284"/>
        <w:jc w:val="center"/>
        <w:rPr>
          <w:rFonts w:cs="Arial"/>
          <w:b/>
          <w:noProof/>
        </w:rPr>
      </w:pPr>
    </w:p>
    <w:tbl>
      <w:tblPr>
        <w:tblW w:w="15452" w:type="dxa"/>
        <w:tblInd w:w="-284" w:type="dxa"/>
        <w:tblCellMar>
          <w:left w:w="0" w:type="dxa"/>
          <w:right w:w="0" w:type="dxa"/>
        </w:tblCellMar>
        <w:tblLook w:val="0000" w:firstRow="0" w:lastRow="0" w:firstColumn="0" w:lastColumn="0" w:noHBand="0" w:noVBand="0"/>
      </w:tblPr>
      <w:tblGrid>
        <w:gridCol w:w="9847"/>
        <w:gridCol w:w="2946"/>
        <w:gridCol w:w="532"/>
        <w:gridCol w:w="123"/>
        <w:gridCol w:w="1422"/>
        <w:gridCol w:w="582"/>
      </w:tblGrid>
      <w:tr w:rsidR="00B32A2A" w:rsidRPr="00B32A2A" w:rsidTr="00B32A2A">
        <w:trPr>
          <w:trHeight w:val="340"/>
        </w:trPr>
        <w:tc>
          <w:tcPr>
            <w:tcW w:w="15452" w:type="dxa"/>
            <w:gridSpan w:val="6"/>
          </w:tcPr>
          <w:p w:rsidR="00B32A2A" w:rsidRPr="00B32A2A" w:rsidRDefault="00B32A2A" w:rsidP="00B32A2A">
            <w:pPr>
              <w:jc w:val="both"/>
              <w:rPr>
                <w:rFonts w:cs="Arial"/>
                <w:noProof/>
              </w:rPr>
            </w:pPr>
          </w:p>
        </w:tc>
      </w:tr>
      <w:tr w:rsidR="00B32A2A" w:rsidRPr="00B32A2A" w:rsidTr="00B32A2A">
        <w:trPr>
          <w:trHeight w:val="180"/>
        </w:trPr>
        <w:tc>
          <w:tcPr>
            <w:tcW w:w="13325" w:type="dxa"/>
            <w:gridSpan w:val="3"/>
          </w:tcPr>
          <w:tbl>
            <w:tblPr>
              <w:tblpPr w:leftFromText="141" w:rightFromText="141" w:vertAnchor="text" w:tblpY="-195"/>
              <w:tblOverlap w:val="never"/>
              <w:tblW w:w="10489" w:type="dxa"/>
              <w:tblCellMar>
                <w:left w:w="0" w:type="dxa"/>
                <w:right w:w="0" w:type="dxa"/>
              </w:tblCellMar>
              <w:tblLook w:val="0000" w:firstRow="0" w:lastRow="0" w:firstColumn="0" w:lastColumn="0" w:noHBand="0" w:noVBand="0"/>
            </w:tblPr>
            <w:tblGrid>
              <w:gridCol w:w="10489"/>
            </w:tblGrid>
            <w:tr w:rsidR="00B32A2A" w:rsidRPr="00B32A2A" w:rsidTr="00B32A2A">
              <w:trPr>
                <w:trHeight w:val="260"/>
              </w:trPr>
              <w:tc>
                <w:tcPr>
                  <w:tcW w:w="10489" w:type="dxa"/>
                  <w:tcMar>
                    <w:top w:w="40" w:type="dxa"/>
                    <w:left w:w="40" w:type="dxa"/>
                    <w:bottom w:w="40" w:type="dxa"/>
                    <w:right w:w="40" w:type="dxa"/>
                  </w:tcMar>
                  <w:vAlign w:val="center"/>
                </w:tcPr>
                <w:p w:rsidR="00B32A2A" w:rsidRPr="00B32A2A" w:rsidRDefault="00B32A2A" w:rsidP="00B32A2A">
                  <w:pPr>
                    <w:jc w:val="both"/>
                    <w:rPr>
                      <w:rFonts w:cs="Arial"/>
                      <w:noProof/>
                    </w:rPr>
                  </w:pPr>
                </w:p>
              </w:tc>
            </w:tr>
          </w:tbl>
          <w:p w:rsidR="00B32A2A" w:rsidRPr="00B32A2A" w:rsidRDefault="00B32A2A" w:rsidP="00B32A2A">
            <w:pPr>
              <w:pStyle w:val="EmptyLayoutCell"/>
              <w:jc w:val="both"/>
              <w:rPr>
                <w:rFonts w:ascii="Arial" w:hAnsi="Arial" w:cs="Arial"/>
                <w:noProof/>
                <w:sz w:val="22"/>
              </w:rPr>
            </w:pPr>
          </w:p>
        </w:tc>
        <w:tc>
          <w:tcPr>
            <w:tcW w:w="1545" w:type="dxa"/>
            <w:gridSpan w:val="2"/>
          </w:tcPr>
          <w:p w:rsidR="00B32A2A" w:rsidRPr="00B32A2A" w:rsidRDefault="00B32A2A" w:rsidP="00B32A2A">
            <w:pPr>
              <w:pStyle w:val="EmptyLayoutCell"/>
              <w:jc w:val="both"/>
              <w:rPr>
                <w:rFonts w:ascii="Arial" w:hAnsi="Arial" w:cs="Arial"/>
                <w:noProof/>
                <w:sz w:val="22"/>
              </w:rPr>
            </w:pPr>
          </w:p>
        </w:tc>
        <w:tc>
          <w:tcPr>
            <w:tcW w:w="582" w:type="dxa"/>
          </w:tcPr>
          <w:p w:rsidR="00B32A2A" w:rsidRPr="00B32A2A" w:rsidRDefault="00B32A2A" w:rsidP="00B32A2A">
            <w:pPr>
              <w:pStyle w:val="EmptyLayoutCell"/>
              <w:jc w:val="both"/>
              <w:rPr>
                <w:rFonts w:ascii="Arial" w:hAnsi="Arial" w:cs="Arial"/>
                <w:noProof/>
                <w:sz w:val="22"/>
              </w:rPr>
            </w:pPr>
          </w:p>
        </w:tc>
      </w:tr>
      <w:tr w:rsidR="00B32A2A" w:rsidRPr="00B32A2A" w:rsidTr="00B32A2A">
        <w:trPr>
          <w:trHeight w:val="340"/>
        </w:trPr>
        <w:tc>
          <w:tcPr>
            <w:tcW w:w="15452" w:type="dxa"/>
            <w:gridSpan w:val="6"/>
          </w:tcPr>
          <w:p w:rsidR="00B32A2A" w:rsidRPr="00B32A2A" w:rsidRDefault="00B32A2A" w:rsidP="00B32A2A">
            <w:pPr>
              <w:jc w:val="both"/>
              <w:rPr>
                <w:rFonts w:eastAsia="Arial" w:cs="Arial"/>
                <w:noProof/>
              </w:rPr>
            </w:pPr>
          </w:p>
        </w:tc>
      </w:tr>
      <w:tr w:rsidR="00B32A2A" w:rsidRPr="00B32A2A" w:rsidTr="00B32A2A">
        <w:trPr>
          <w:trHeight w:val="209"/>
        </w:trPr>
        <w:tc>
          <w:tcPr>
            <w:tcW w:w="15452" w:type="dxa"/>
            <w:gridSpan w:val="6"/>
          </w:tcPr>
          <w:p w:rsidR="00B32A2A" w:rsidRPr="00B32A2A" w:rsidRDefault="00B32A2A" w:rsidP="00B32A2A">
            <w:pPr>
              <w:rPr>
                <w:noProof/>
              </w:rPr>
            </w:pPr>
          </w:p>
          <w:p w:rsidR="00B32A2A" w:rsidRPr="00B32A2A" w:rsidRDefault="00B32A2A" w:rsidP="00B32A2A">
            <w:pPr>
              <w:jc w:val="both"/>
              <w:rPr>
                <w:rFonts w:cs="Arial"/>
                <w:b/>
                <w:bCs/>
                <w:noProof/>
              </w:rPr>
            </w:pPr>
          </w:p>
        </w:tc>
      </w:tr>
      <w:tr w:rsidR="00B32A2A" w:rsidRPr="00B32A2A" w:rsidTr="00B32A2A">
        <w:trPr>
          <w:trHeight w:val="8312"/>
        </w:trPr>
        <w:tc>
          <w:tcPr>
            <w:tcW w:w="15452" w:type="dxa"/>
            <w:gridSpan w:val="6"/>
          </w:tcPr>
          <w:p w:rsidR="00B32A2A" w:rsidRPr="00B32A2A" w:rsidRDefault="00B32A2A" w:rsidP="00B32A2A">
            <w:pPr>
              <w:jc w:val="both"/>
              <w:rPr>
                <w:rFonts w:cs="Arial"/>
                <w:noProof/>
              </w:rPr>
            </w:pPr>
          </w:p>
          <w:p w:rsidR="00B32A2A" w:rsidRPr="00B32A2A" w:rsidRDefault="00B32A2A" w:rsidP="00B32A2A">
            <w:pPr>
              <w:jc w:val="both"/>
              <w:rPr>
                <w:rFonts w:cs="Arial"/>
                <w:noProof/>
              </w:rPr>
            </w:pPr>
            <w:r>
              <w:rPr>
                <w:rFonts w:cs="Arial"/>
                <w:noProof/>
                <w:lang w:bidi="ar-SA"/>
              </w:rPr>
              <mc:AlternateContent>
                <mc:Choice Requires="wps">
                  <w:drawing>
                    <wp:anchor distT="0" distB="0" distL="114300" distR="114300" simplePos="0" relativeHeight="251676672" behindDoc="0" locked="0" layoutInCell="1" allowOverlap="1" wp14:anchorId="505F5381" wp14:editId="74136C07">
                      <wp:simplePos x="0" y="0"/>
                      <wp:positionH relativeFrom="column">
                        <wp:posOffset>3938905</wp:posOffset>
                      </wp:positionH>
                      <wp:positionV relativeFrom="paragraph">
                        <wp:posOffset>299720</wp:posOffset>
                      </wp:positionV>
                      <wp:extent cx="237490" cy="142240"/>
                      <wp:effectExtent l="14605" t="13970" r="14605" b="24765"/>
                      <wp:wrapNone/>
                      <wp:docPr id="1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14224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xmlns:o="urn:schemas-microsoft-com:office:office" xmlns:v="urn:schemas-microsoft-com:vml" id="Rectangle 22" o:spid="_x0000_s1026" style="position:absolute;margin-left:310.15pt;margin-top:23.6pt;width:18.7pt;height:1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" strokecolor="#c2d69b" strokeweight="1pt">
                      <v:fill color2="#d6e3bc" focus="100%" type="gradient"/>
                      <v:shadow on="t" color="#4e6128" opacity=".5" offset="1pt"/>
                    </v:rect>
                  </w:pict>
                </mc:Fallback>
              </mc:AlternateContent>
            </w:r>
            <w:r>
              <w:rPr>
                <w:rFonts w:cs="Arial"/>
                <w:noProof/>
                <w:lang w:bidi="ar-SA"/>
              </w:rPr>
              <mc:AlternateContent>
                <mc:Choice Requires="wps">
                  <w:drawing>
                    <wp:anchor distT="0" distB="0" distL="114300" distR="114300" simplePos="0" relativeHeight="251675648" behindDoc="0" locked="0" layoutInCell="1" allowOverlap="1" wp14:anchorId="28244586" wp14:editId="128BFE9F">
                      <wp:simplePos x="0" y="0"/>
                      <wp:positionH relativeFrom="column">
                        <wp:posOffset>3237865</wp:posOffset>
                      </wp:positionH>
                      <wp:positionV relativeFrom="paragraph">
                        <wp:posOffset>299720</wp:posOffset>
                      </wp:positionV>
                      <wp:extent cx="213995" cy="142240"/>
                      <wp:effectExtent l="8890" t="13970" r="24765" b="34290"/>
                      <wp:wrapNone/>
                      <wp:docPr id="1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995" cy="142240"/>
                              </a:xfrm>
                              <a:prstGeom prst="straightConnector1">
                                <a:avLst/>
                              </a:prstGeom>
                              <a:noFill/>
                              <a:ln w="12700">
                                <a:solidFill>
                                  <a:srgbClr val="C2D69B"/>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xmlns:o="urn:schemas-microsoft-com:office:office" xmlns:v="urn:schemas-microsoft-com:vml" id="_x0000_t32" coordsize="21600,21600" o:spt="32" o:oned="t" path="m,l21600,21600e" filled="f">
                      <v:path arrowok="t" fillok="f" o:connecttype="none"/>
                      <o:lock v:ext="edit" shapetype="t"/>
                    </v:shapetype>
                    <v:shape xmlns:o="urn:schemas-microsoft-com:office:office" xmlns:v="urn:schemas-microsoft-com:vml" id="AutoShape 21" o:spid="_x0000_s1026" type="#_x0000_t32" style="position:absolute;margin-left:254.95pt;margin-top:23.6pt;width:16.85pt;height:11.2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" strokecolor="#c2d69b" strokeweight="1pt">
                      <v:shadow on="t" color="#4e6128" opacity=".5" offset="1pt"/>
                    </v:shape>
                  </w:pict>
                </mc:Fallback>
              </mc:AlternateContent>
            </w:r>
            <w:r>
              <w:rPr>
                <w:rFonts w:cs="Arial"/>
                <w:noProof/>
                <w:lang w:bidi="ar-SA"/>
              </w:rPr>
              <mc:AlternateContent>
                <mc:Choice Requires="wps">
                  <w:drawing>
                    <wp:anchor distT="0" distB="0" distL="114300" distR="114300" simplePos="0" relativeHeight="251674624" behindDoc="0" locked="0" layoutInCell="1" allowOverlap="1" wp14:anchorId="1FB3E48B" wp14:editId="5353669C">
                      <wp:simplePos x="0" y="0"/>
                      <wp:positionH relativeFrom="column">
                        <wp:posOffset>3237865</wp:posOffset>
                      </wp:positionH>
                      <wp:positionV relativeFrom="paragraph">
                        <wp:posOffset>299720</wp:posOffset>
                      </wp:positionV>
                      <wp:extent cx="213995" cy="142240"/>
                      <wp:effectExtent l="8890" t="13970" r="24765" b="34290"/>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142240"/>
                              </a:xfrm>
                              <a:prstGeom prst="straightConnector1">
                                <a:avLst/>
                              </a:prstGeom>
                              <a:noFill/>
                              <a:ln w="12700">
                                <a:solidFill>
                                  <a:srgbClr val="C2D69B"/>
                                </a:solidFill>
                                <a:round/>
                                <a:headEnd/>
                                <a:tailEnd/>
                              </a:ln>
                              <a:effectLst>
                                <a:outerShdw dist="28398" dir="3806097" algn="ctr" rotWithShape="0">
                                  <a:srgbClr val="4E6128">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xmlns:o="urn:schemas-microsoft-com:office:office" xmlns:v="urn:schemas-microsoft-com:vml" id="AutoShape 20" o:spid="_x0000_s1026" type="#_x0000_t32" style="position:absolute;margin-left:254.95pt;margin-top:23.6pt;width:16.85pt;height:1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" strokecolor="#c2d69b" strokeweight="1pt">
                      <v:shadow on="t" color="#4e6128" opacity=".5" offset="1pt"/>
                    </v:shape>
                  </w:pict>
                </mc:Fallback>
              </mc:AlternateContent>
            </w:r>
            <w:r>
              <w:t xml:space="preserve">Please check the relevant box to indicate whether the signatories above include representation </w:t>
            </w:r>
          </w:p>
          <w:p w:rsidR="00B32A2A" w:rsidRPr="00B32A2A" w:rsidRDefault="00AB53F1" w:rsidP="00B32A2A">
            <w:pPr>
              <w:jc w:val="both"/>
              <w:rPr>
                <w:rFonts w:cs="Arial"/>
                <w:noProof/>
              </w:rPr>
            </w:pPr>
            <w:r>
              <w:rPr>
                <w:rFonts w:cs="Arial"/>
                <w:noProof/>
                <w:lang w:bidi="ar-SA"/>
              </w:rPr>
              <mc:AlternateContent>
                <mc:Choice Requires="wps">
                  <w:drawing>
                    <wp:anchor distT="0" distB="0" distL="114300" distR="114300" simplePos="0" relativeHeight="251663360" behindDoc="0" locked="0" layoutInCell="1" allowOverlap="1" wp14:anchorId="3201925B" wp14:editId="01588507">
                      <wp:simplePos x="0" y="0"/>
                      <wp:positionH relativeFrom="column">
                        <wp:posOffset>-46634</wp:posOffset>
                      </wp:positionH>
                      <wp:positionV relativeFrom="paragraph">
                        <wp:posOffset>4554855</wp:posOffset>
                      </wp:positionV>
                      <wp:extent cx="6689725" cy="570865"/>
                      <wp:effectExtent l="0" t="0" r="0" b="6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570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A2A" w:rsidRPr="00B32A2A" w:rsidRDefault="00B32A2A" w:rsidP="00B32A2A">
                                  <w:pPr>
                                    <w:pBdr>
                                      <w:top w:val="single" w:sz="4" w:space="0" w:color="auto"/>
                                    </w:pBdr>
                                    <w:spacing w:after="0"/>
                                    <w:jc w:val="center"/>
                                    <w:rPr>
                                      <w:noProof/>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65pt;margin-top:358.65pt;width:526.75pt;height:4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" stroked="f">
                      <v:textbox>
                        <w:txbxContent>
                          <w:p w:rsidR="00B32A2A" w:rsidRPr="00B32A2A" w:rsidRDefault="00B32A2A" w:rsidP="00B32A2A">
                            <w:pPr>
                              <w:pBdr>
                                <w:top w:val="single" w:sz="4" w:space="0" w:color="auto"/>
                              </w:pBdr>
                              <w:spacing w:after="0"/>
                              <w:jc w:val="center"/>
                              <w:rPr>
                                <w:noProof/>
                                <w:sz w:val="20"/>
                                <w:szCs w:val="20"/>
                              </w:rPr>
                            </w:pPr>
                          </w:p>
                        </w:txbxContent>
                      </v:textbox>
                    </v:shape>
                  </w:pict>
                </mc:Fallback>
              </mc:AlternateContent>
            </w:r>
            <w:r w:rsidR="00B32A2A">
              <w:rPr>
                <w:rFonts w:cs="Arial"/>
                <w:noProof/>
                <w:lang w:bidi="ar-SA"/>
              </w:rPr>
              <mc:AlternateContent>
                <mc:Choice Requires="wps">
                  <w:drawing>
                    <wp:anchor distT="0" distB="0" distL="114300" distR="114300" simplePos="0" relativeHeight="251673600" behindDoc="0" locked="0" layoutInCell="1" allowOverlap="1" wp14:anchorId="7D36E03E" wp14:editId="3D4598BE">
                      <wp:simplePos x="0" y="0"/>
                      <wp:positionH relativeFrom="column">
                        <wp:posOffset>3237865</wp:posOffset>
                      </wp:positionH>
                      <wp:positionV relativeFrom="paragraph">
                        <wp:posOffset>-11430</wp:posOffset>
                      </wp:positionV>
                      <wp:extent cx="213995" cy="142240"/>
                      <wp:effectExtent l="8890" t="7620" r="15240" b="21590"/>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4224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xmlns:o="urn:schemas-microsoft-com:office:office" xmlns:v="urn:schemas-microsoft-com:vml" id="Rectangle 19" o:spid="_x0000_s1026" style="position:absolute;margin-left:254.95pt;margin-top:-.9pt;width:16.85pt;height:1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" strokecolor="#c2d69b" strokeweight="1pt">
                      <v:fill color2="#d6e3bc" focus="100%" type="gradient"/>
                      <v:shadow on="t" color="#4e6128" opacity=".5" offset="1pt"/>
                    </v:rect>
                  </w:pict>
                </mc:Fallback>
              </mc:AlternateContent>
            </w:r>
            <w:r w:rsidR="00B32A2A">
              <w:t xml:space="preserve">from a broader CSO platform:                     Yes             No </w:t>
            </w:r>
          </w:p>
        </w:tc>
      </w:tr>
      <w:tr w:rsidR="00B32A2A" w:rsidRPr="00B32A2A" w:rsidTr="00B32A2A">
        <w:trPr>
          <w:gridAfter w:val="2"/>
          <w:wAfter w:w="2004" w:type="dxa"/>
          <w:trHeight w:val="163"/>
        </w:trPr>
        <w:tc>
          <w:tcPr>
            <w:tcW w:w="9847" w:type="dxa"/>
          </w:tcPr>
          <w:p w:rsidR="00B32A2A" w:rsidRPr="00B32A2A" w:rsidRDefault="00B32A2A" w:rsidP="00B32A2A">
            <w:pPr>
              <w:pStyle w:val="EmptyLayoutCell"/>
              <w:jc w:val="both"/>
              <w:rPr>
                <w:rFonts w:ascii="Arial" w:hAnsi="Arial" w:cs="Arial"/>
                <w:noProof/>
                <w:sz w:val="22"/>
              </w:rPr>
            </w:pPr>
          </w:p>
        </w:tc>
        <w:tc>
          <w:tcPr>
            <w:tcW w:w="2946" w:type="dxa"/>
          </w:tcPr>
          <w:p w:rsidR="00B32A2A" w:rsidRPr="00B32A2A" w:rsidRDefault="00B32A2A" w:rsidP="00B32A2A">
            <w:pPr>
              <w:pStyle w:val="EmptyLayoutCell"/>
              <w:jc w:val="both"/>
              <w:rPr>
                <w:rFonts w:ascii="Arial" w:hAnsi="Arial" w:cs="Arial"/>
                <w:noProof/>
                <w:sz w:val="22"/>
              </w:rPr>
            </w:pPr>
          </w:p>
        </w:tc>
        <w:tc>
          <w:tcPr>
            <w:tcW w:w="655" w:type="dxa"/>
            <w:gridSpan w:val="2"/>
          </w:tcPr>
          <w:p w:rsidR="00B32A2A" w:rsidRPr="00B32A2A" w:rsidRDefault="00B32A2A" w:rsidP="00B32A2A">
            <w:pPr>
              <w:pStyle w:val="EmptyLayoutCell"/>
              <w:jc w:val="both"/>
              <w:rPr>
                <w:rFonts w:ascii="Arial" w:hAnsi="Arial" w:cs="Arial"/>
                <w:noProof/>
                <w:sz w:val="22"/>
              </w:rPr>
            </w:pPr>
          </w:p>
        </w:tc>
      </w:tr>
      <w:tr w:rsidR="00B32A2A" w:rsidRPr="00B32A2A" w:rsidTr="00B32A2A">
        <w:trPr>
          <w:gridAfter w:val="2"/>
          <w:wAfter w:w="2004" w:type="dxa"/>
        </w:trPr>
        <w:tc>
          <w:tcPr>
            <w:tcW w:w="13448" w:type="dxa"/>
            <w:gridSpan w:val="4"/>
          </w:tcPr>
          <w:tbl>
            <w:tblPr>
              <w:tblpPr w:leftFromText="180" w:rightFromText="180" w:vertAnchor="page" w:horzAnchor="margin" w:tblpY="352"/>
              <w:tblW w:w="3896" w:type="pct"/>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shd w:val="clear" w:color="auto" w:fill="006460"/>
              <w:tblLook w:val="0000" w:firstRow="0" w:lastRow="0" w:firstColumn="0" w:lastColumn="0" w:noHBand="0" w:noVBand="0"/>
            </w:tblPr>
            <w:tblGrid>
              <w:gridCol w:w="10466"/>
            </w:tblGrid>
            <w:tr w:rsidR="00B32A2A" w:rsidRPr="00B32A2A" w:rsidTr="00B32A2A">
              <w:trPr>
                <w:trHeight w:val="796"/>
              </w:trPr>
              <w:tc>
                <w:tcPr>
                  <w:tcW w:w="5000" w:type="pct"/>
                  <w:shd w:val="clear" w:color="auto" w:fill="auto"/>
                  <w:vAlign w:val="center"/>
                </w:tcPr>
                <w:p w:rsidR="00B32A2A" w:rsidRPr="00B32A2A" w:rsidRDefault="00B32A2A" w:rsidP="00B32A2A">
                  <w:pPr>
                    <w:jc w:val="both"/>
                    <w:rPr>
                      <w:rFonts w:cs="Arial"/>
                      <w:b/>
                      <w:noProof/>
                    </w:rPr>
                  </w:pPr>
                  <w:r>
                    <w:rPr>
                      <w:b/>
                      <w:noProof/>
                    </w:rPr>
                    <w:t>For further instructions, please refer to the Guidelines for Completing the HSS Application</w:t>
                  </w:r>
                </w:p>
              </w:tc>
            </w:tr>
            <w:tr w:rsidR="00B32A2A" w:rsidRPr="00B32A2A" w:rsidTr="00B32A2A">
              <w:trPr>
                <w:trHeight w:val="4421"/>
              </w:trPr>
              <w:tc>
                <w:tcPr>
                  <w:tcW w:w="5000" w:type="pct"/>
                  <w:shd w:val="clear" w:color="auto" w:fill="006460"/>
                </w:tcPr>
                <w:p w:rsidR="00B32A2A" w:rsidRPr="00B32A2A" w:rsidRDefault="00B32A2A" w:rsidP="00B32A2A">
                  <w:pPr>
                    <w:jc w:val="both"/>
                    <w:rPr>
                      <w:rFonts w:cs="Arial"/>
                      <w:i/>
                      <w:noProof/>
                      <w:color w:val="FFFFFF"/>
                    </w:rPr>
                  </w:pPr>
                  <w:r>
                    <w:rPr>
                      <w:i/>
                      <w:noProof/>
                    </w:rPr>
                    <w:lastRenderedPageBreak/>
                    <w:t xml:space="preserve">→ </w:t>
                  </w:r>
                  <w:r>
                    <w:rPr>
                      <w:i/>
                      <w:noProof/>
                      <w:color w:val="FFFFFF"/>
                    </w:rPr>
                    <w:t>Please provide an executive summary of the proposal, of no more than 2 pages, addressing the items listed below:</w:t>
                  </w:r>
                </w:p>
                <w:p w:rsidR="00B32A2A" w:rsidRPr="00B32A2A" w:rsidRDefault="00B32A2A" w:rsidP="00B32A2A">
                  <w:pPr>
                    <w:jc w:val="both"/>
                    <w:rPr>
                      <w:rFonts w:cs="Arial"/>
                      <w:i/>
                      <w:noProof/>
                      <w:color w:val="FFFFFF"/>
                    </w:rPr>
                  </w:pPr>
                </w:p>
                <w:p w:rsidR="00B32A2A" w:rsidRPr="00B32A2A" w:rsidRDefault="00B32A2A" w:rsidP="00B32A2A">
                  <w:pPr>
                    <w:pStyle w:val="ColorfulList-Accent13"/>
                    <w:numPr>
                      <w:ilvl w:val="0"/>
                      <w:numId w:val="1"/>
                    </w:numPr>
                    <w:jc w:val="both"/>
                    <w:rPr>
                      <w:rFonts w:cs="Arial"/>
                      <w:i/>
                      <w:noProof/>
                      <w:color w:val="FFFFFF"/>
                      <w:szCs w:val="22"/>
                    </w:rPr>
                  </w:pPr>
                  <w:r>
                    <w:rPr>
                      <w:i/>
                      <w:noProof/>
                      <w:color w:val="FFFFFF"/>
                    </w:rPr>
                    <w:t xml:space="preserve">Objectives, key activities for each objective, and budget for each objective. The main bottlenecks for achieving immunization outcomes addressed within this proposal and how proposed objectives in this application will address these bottlenecks and improve immunization outcomes; </w:t>
                  </w:r>
                </w:p>
                <w:p w:rsidR="00B32A2A" w:rsidRPr="00B32A2A" w:rsidRDefault="00B32A2A" w:rsidP="00B32A2A">
                  <w:pPr>
                    <w:pStyle w:val="ColorfulList-Accent13"/>
                    <w:jc w:val="both"/>
                    <w:rPr>
                      <w:rFonts w:cs="Arial"/>
                      <w:i/>
                      <w:noProof/>
                      <w:color w:val="FFFFFF"/>
                      <w:szCs w:val="22"/>
                    </w:rPr>
                  </w:pPr>
                </w:p>
                <w:p w:rsidR="00B32A2A" w:rsidRPr="00B32A2A" w:rsidRDefault="00B32A2A" w:rsidP="00B32A2A">
                  <w:pPr>
                    <w:numPr>
                      <w:ilvl w:val="0"/>
                      <w:numId w:val="1"/>
                    </w:numPr>
                    <w:jc w:val="both"/>
                    <w:rPr>
                      <w:rFonts w:cs="Arial"/>
                      <w:i/>
                      <w:noProof/>
                      <w:color w:val="FFFFFF"/>
                    </w:rPr>
                  </w:pPr>
                  <w:r>
                    <w:rPr>
                      <w:i/>
                      <w:noProof/>
                      <w:color w:val="FFFFFF"/>
                    </w:rPr>
                    <w:t>the goals and budget for each objective;</w:t>
                  </w:r>
                </w:p>
                <w:p w:rsidR="00B32A2A" w:rsidRPr="00B32A2A" w:rsidRDefault="00B32A2A" w:rsidP="00B32A2A">
                  <w:pPr>
                    <w:jc w:val="both"/>
                    <w:rPr>
                      <w:rFonts w:cs="Arial"/>
                      <w:i/>
                      <w:noProof/>
                      <w:color w:val="FFFFFF"/>
                    </w:rPr>
                  </w:pPr>
                </w:p>
                <w:p w:rsidR="00B32A2A" w:rsidRPr="00B32A2A" w:rsidRDefault="00B32A2A" w:rsidP="00B32A2A">
                  <w:pPr>
                    <w:numPr>
                      <w:ilvl w:val="0"/>
                      <w:numId w:val="1"/>
                    </w:numPr>
                    <w:jc w:val="both"/>
                    <w:rPr>
                      <w:rFonts w:cs="Arial"/>
                      <w:i/>
                      <w:noProof/>
                      <w:color w:val="FFFFFF"/>
                    </w:rPr>
                  </w:pPr>
                  <w:r>
                    <w:rPr>
                      <w:i/>
                      <w:noProof/>
                      <w:color w:val="FFFFFF"/>
                    </w:rPr>
                    <w:t xml:space="preserve">The proposed implementation arrangements including the role of government departments and civil society organizations. Please include a summary of financial management, procurement, and M&amp;E arrangements. . </w:t>
                  </w:r>
                </w:p>
                <w:p w:rsidR="00B32A2A" w:rsidRPr="00B32A2A" w:rsidRDefault="00B32A2A" w:rsidP="00B32A2A">
                  <w:pPr>
                    <w:pStyle w:val="ColorfulList-Accent13"/>
                    <w:spacing w:after="120"/>
                    <w:ind w:left="0"/>
                    <w:jc w:val="both"/>
                    <w:rPr>
                      <w:rFonts w:cs="Arial"/>
                      <w:i/>
                      <w:noProof/>
                      <w:szCs w:val="22"/>
                    </w:rPr>
                  </w:pPr>
                </w:p>
              </w:tc>
            </w:tr>
            <w:tr w:rsidR="00B32A2A" w:rsidRPr="00B32A2A" w:rsidTr="00B32A2A">
              <w:trPr>
                <w:trHeight w:val="525"/>
              </w:trPr>
              <w:tc>
                <w:tcPr>
                  <w:tcW w:w="5000" w:type="pct"/>
                  <w:shd w:val="clear" w:color="auto" w:fill="auto"/>
                </w:tcPr>
                <w:p w:rsidR="00B32A2A" w:rsidRPr="00B32A2A" w:rsidRDefault="00B32A2A" w:rsidP="00B32A2A">
                  <w:pPr>
                    <w:spacing w:before="120" w:after="120"/>
                    <w:jc w:val="both"/>
                    <w:rPr>
                      <w:rFonts w:cs="Arial"/>
                      <w:b/>
                      <w:i/>
                      <w:noProof/>
                    </w:rPr>
                  </w:pPr>
                  <w:r>
                    <w:rPr>
                      <w:b/>
                      <w:i/>
                      <w:noProof/>
                    </w:rPr>
                    <w:t>TWO PAGES MAXIMUM</w:t>
                  </w:r>
                </w:p>
              </w:tc>
            </w:tr>
          </w:tbl>
          <w:p w:rsidR="00B32A2A" w:rsidRPr="00B32A2A" w:rsidRDefault="00B32A2A" w:rsidP="00B32A2A">
            <w:pPr>
              <w:ind w:left="-142"/>
              <w:jc w:val="both"/>
              <w:rPr>
                <w:rFonts w:cs="Arial"/>
                <w:noProof/>
              </w:rPr>
            </w:pPr>
          </w:p>
        </w:tc>
      </w:tr>
    </w:tbl>
    <w:p w:rsidR="00B32A2A" w:rsidRPr="00B32A2A" w:rsidRDefault="00B32A2A" w:rsidP="00B32A2A">
      <w:pPr>
        <w:spacing w:after="0"/>
        <w:rPr>
          <w:rFonts w:cs="Arial"/>
          <w:noProof/>
          <w:vanish/>
        </w:rPr>
      </w:pPr>
    </w:p>
    <w:p w:rsidR="00B32A2A" w:rsidRPr="00B32A2A" w:rsidRDefault="00B32A2A" w:rsidP="00B32A2A">
      <w:r>
        <w:br w:type="page"/>
      </w:r>
    </w:p>
    <w:tbl>
      <w:tblPr>
        <w:tblpPr w:leftFromText="141" w:rightFromText="141" w:vertAnchor="text" w:horzAnchor="margin" w:tblpY="-6477"/>
        <w:tblW w:w="10385"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85"/>
      </w:tblGrid>
      <w:tr w:rsidR="00B32A2A" w:rsidRPr="00B32A2A" w:rsidTr="00B32A2A">
        <w:trPr>
          <w:trHeight w:val="645"/>
        </w:trPr>
        <w:tc>
          <w:tcPr>
            <w:tcW w:w="10385" w:type="dxa"/>
            <w:tcBorders>
              <w:top w:val="nil"/>
              <w:left w:val="nil"/>
              <w:bottom w:val="nil"/>
              <w:right w:val="nil"/>
            </w:tcBorders>
            <w:shd w:val="clear" w:color="auto" w:fill="006460"/>
          </w:tcPr>
          <w:p w:rsidR="00B32A2A" w:rsidRPr="00B32A2A" w:rsidRDefault="00B32A2A" w:rsidP="00B32A2A">
            <w:pPr>
              <w:pStyle w:val="Heading1"/>
              <w:rPr>
                <w:rFonts w:cs="Arial"/>
                <w:noProof/>
                <w:color w:val="auto"/>
                <w:spacing w:val="0"/>
                <w:sz w:val="22"/>
                <w:szCs w:val="22"/>
              </w:rPr>
            </w:pPr>
            <w:bookmarkStart w:id="12" w:name="_Toc381123260"/>
            <w:bookmarkStart w:id="13" w:name="_Toc381566350"/>
            <w:r>
              <w:rPr>
                <w:noProof/>
                <w:color w:val="auto"/>
                <w:spacing w:val="0"/>
                <w:sz w:val="22"/>
              </w:rPr>
              <w:lastRenderedPageBreak/>
              <w:t>Part B – EXECUTIVE SUMMARY</w:t>
            </w:r>
            <w:bookmarkEnd w:id="12"/>
            <w:bookmarkEnd w:id="13"/>
            <w:r>
              <w:rPr>
                <w:noProof/>
                <w:color w:val="auto"/>
                <w:spacing w:val="0"/>
                <w:sz w:val="22"/>
              </w:rPr>
              <w:t xml:space="preserve"> </w:t>
            </w:r>
          </w:p>
        </w:tc>
      </w:tr>
    </w:tbl>
    <w:p w:rsidR="00B32A2A" w:rsidRPr="00B32A2A" w:rsidRDefault="00B32A2A" w:rsidP="00B32A2A">
      <w:pPr>
        <w:rPr>
          <w:rFonts w:cs="Arial"/>
          <w:b/>
          <w:noProof/>
        </w:rPr>
        <w:sectPr w:rsidR="00B32A2A" w:rsidRPr="00B32A2A" w:rsidSect="00FA0A86">
          <w:headerReference w:type="even" r:id="rId23"/>
          <w:headerReference w:type="default" r:id="rId24"/>
          <w:footerReference w:type="even" r:id="rId25"/>
          <w:footerReference w:type="default" r:id="rId26"/>
          <w:headerReference w:type="first" r:id="rId27"/>
          <w:footerReference w:type="first" r:id="rId28"/>
          <w:pgSz w:w="11907" w:h="16839" w:code="9"/>
          <w:pgMar w:top="993" w:right="992" w:bottom="993" w:left="851" w:header="709" w:footer="709" w:gutter="0"/>
          <w:cols w:space="708"/>
          <w:docGrid w:linePitch="360"/>
        </w:sectPr>
      </w:pPr>
    </w:p>
    <w:tbl>
      <w:tblPr>
        <w:tblpPr w:leftFromText="180" w:rightFromText="180" w:vertAnchor="page" w:horzAnchor="margin" w:tblpX="108" w:tblpY="2086"/>
        <w:tblW w:w="4949" w:type="pct"/>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shd w:val="clear" w:color="auto" w:fill="006460"/>
        <w:tblLayout w:type="fixed"/>
        <w:tblLook w:val="0000" w:firstRow="0" w:lastRow="0" w:firstColumn="0" w:lastColumn="0" w:noHBand="0" w:noVBand="0"/>
      </w:tblPr>
      <w:tblGrid>
        <w:gridCol w:w="10315"/>
      </w:tblGrid>
      <w:tr w:rsidR="00B32A2A" w:rsidRPr="00B32A2A" w:rsidTr="00B32A2A">
        <w:tc>
          <w:tcPr>
            <w:tcW w:w="5000" w:type="pct"/>
            <w:shd w:val="clear" w:color="auto" w:fill="auto"/>
            <w:vAlign w:val="center"/>
          </w:tcPr>
          <w:p w:rsidR="00B32A2A" w:rsidRPr="00B32A2A" w:rsidRDefault="00B32A2A" w:rsidP="00B32A2A">
            <w:pPr>
              <w:rPr>
                <w:rFonts w:cs="Arial"/>
                <w:noProof/>
              </w:rPr>
            </w:pPr>
            <w:r>
              <w:lastRenderedPageBreak/>
              <w:t>For more detailed instructions, please consult the guidelines for completing the HSS application</w:t>
            </w:r>
          </w:p>
        </w:tc>
      </w:tr>
      <w:tr w:rsidR="00B32A2A" w:rsidRPr="00B32A2A" w:rsidTr="00B32A2A">
        <w:tc>
          <w:tcPr>
            <w:tcW w:w="5000" w:type="pct"/>
            <w:shd w:val="clear" w:color="auto" w:fill="006460"/>
          </w:tcPr>
          <w:p w:rsidR="00B32A2A" w:rsidRPr="00B32A2A" w:rsidRDefault="00B32A2A" w:rsidP="00B32A2A">
            <w:pPr>
              <w:rPr>
                <w:rFonts w:cs="Arial"/>
                <w:i/>
                <w:noProof/>
                <w:color w:val="FFFFFF"/>
              </w:rPr>
            </w:pPr>
            <w:r>
              <w:rPr>
                <w:i/>
                <w:noProof/>
                <w:color w:val="FFFFFF"/>
              </w:rPr>
              <w:t>→Please provide a summary of the proposal, not more than 2 pages in length, which addresses the following:</w:t>
            </w:r>
          </w:p>
          <w:p w:rsidR="00B32A2A" w:rsidRPr="00B32A2A" w:rsidRDefault="00B32A2A" w:rsidP="00B32A2A">
            <w:pPr>
              <w:rPr>
                <w:rFonts w:cs="Arial"/>
                <w:i/>
                <w:noProof/>
                <w:color w:val="FFFFFF"/>
              </w:rPr>
            </w:pPr>
          </w:p>
          <w:p w:rsidR="00B32A2A" w:rsidRPr="00B32A2A" w:rsidRDefault="00B32A2A" w:rsidP="00B32A2A">
            <w:pPr>
              <w:widowControl/>
              <w:numPr>
                <w:ilvl w:val="0"/>
                <w:numId w:val="21"/>
              </w:numPr>
              <w:spacing w:after="0" w:line="240" w:lineRule="auto"/>
              <w:rPr>
                <w:rFonts w:cs="Arial"/>
                <w:i/>
                <w:noProof/>
                <w:color w:val="FFFFFF"/>
              </w:rPr>
            </w:pPr>
            <w:r>
              <w:rPr>
                <w:i/>
                <w:noProof/>
                <w:color w:val="FFFFFF"/>
              </w:rPr>
              <w:t>Goals; primary activities for each goal, and the budget for each goal.</w:t>
            </w:r>
          </w:p>
          <w:p w:rsidR="00B32A2A" w:rsidRPr="00B32A2A" w:rsidRDefault="00B32A2A" w:rsidP="00B32A2A">
            <w:pPr>
              <w:rPr>
                <w:rFonts w:cs="Arial"/>
                <w:i/>
                <w:noProof/>
                <w:color w:val="FFFFFF"/>
              </w:rPr>
            </w:pPr>
          </w:p>
          <w:p w:rsidR="00B32A2A" w:rsidRPr="00B32A2A" w:rsidRDefault="00B32A2A" w:rsidP="00B32A2A">
            <w:pPr>
              <w:widowControl/>
              <w:numPr>
                <w:ilvl w:val="0"/>
                <w:numId w:val="21"/>
              </w:numPr>
              <w:spacing w:after="0" w:line="240" w:lineRule="auto"/>
              <w:rPr>
                <w:rFonts w:cs="Arial"/>
                <w:i/>
                <w:noProof/>
                <w:color w:val="FFFFFF"/>
              </w:rPr>
            </w:pPr>
            <w:r>
              <w:rPr>
                <w:i/>
                <w:noProof/>
                <w:color w:val="FFFFFF"/>
              </w:rPr>
              <w:t>The main obstacles to achieving the vaccination results discussed in this proposal, and the objectives proposed in this application must address the bottlenecks and constraints that exist, and must thus allow for improved vaccination results.</w:t>
            </w:r>
          </w:p>
          <w:p w:rsidR="00B32A2A" w:rsidRPr="00B32A2A" w:rsidRDefault="00B32A2A" w:rsidP="00B32A2A">
            <w:pPr>
              <w:rPr>
                <w:rFonts w:cs="Arial"/>
                <w:i/>
                <w:noProof/>
                <w:color w:val="FFFFFF"/>
              </w:rPr>
            </w:pPr>
          </w:p>
          <w:p w:rsidR="00B32A2A" w:rsidRPr="00B32A2A" w:rsidRDefault="00B32A2A" w:rsidP="00B32A2A">
            <w:pPr>
              <w:widowControl/>
              <w:numPr>
                <w:ilvl w:val="0"/>
                <w:numId w:val="21"/>
              </w:numPr>
              <w:spacing w:after="0" w:line="240" w:lineRule="auto"/>
              <w:rPr>
                <w:rFonts w:cs="Arial"/>
                <w:i/>
                <w:noProof/>
                <w:color w:val="FFFFFF"/>
              </w:rPr>
            </w:pPr>
            <w:r>
              <w:rPr>
                <w:i/>
                <w:noProof/>
                <w:color w:val="FFFFFF"/>
              </w:rPr>
              <w:t>The proposed implementation methods including the role of governmental departments and Civil Society Organizations. Please include a financial management summary, purchases, and monitoring and evaluation methods.</w:t>
            </w:r>
          </w:p>
          <w:p w:rsidR="00B32A2A" w:rsidRPr="00B32A2A" w:rsidRDefault="00B32A2A" w:rsidP="00B32A2A">
            <w:pPr>
              <w:pStyle w:val="ColorfulList-Accent13"/>
              <w:ind w:left="360"/>
              <w:rPr>
                <w:rFonts w:cs="Arial"/>
                <w:i/>
                <w:noProof/>
                <w:szCs w:val="22"/>
              </w:rPr>
            </w:pPr>
          </w:p>
        </w:tc>
      </w:tr>
      <w:tr w:rsidR="00B32A2A" w:rsidRPr="00B32A2A" w:rsidTr="00B32A2A">
        <w:tc>
          <w:tcPr>
            <w:tcW w:w="5000" w:type="pct"/>
            <w:shd w:val="clear" w:color="auto" w:fill="006460"/>
          </w:tcPr>
          <w:p w:rsidR="00B32A2A" w:rsidRPr="00B32A2A" w:rsidRDefault="00B32A2A" w:rsidP="00B32A2A">
            <w:pPr>
              <w:spacing w:before="120" w:after="120"/>
              <w:rPr>
                <w:rFonts w:cs="Arial"/>
                <w:b/>
                <w:i/>
                <w:noProof/>
              </w:rPr>
            </w:pPr>
            <w:r>
              <w:rPr>
                <w:b/>
                <w:i/>
                <w:noProof/>
              </w:rPr>
              <w:t>TWO PAGES MAXIMUM</w:t>
            </w:r>
          </w:p>
        </w:tc>
      </w:tr>
    </w:tbl>
    <w:p w:rsidR="00B32A2A" w:rsidRPr="00B32A2A" w:rsidRDefault="00B32A2A" w:rsidP="00B32A2A">
      <w:pPr>
        <w:spacing w:before="100" w:beforeAutospacing="1" w:after="100" w:afterAutospacing="1"/>
        <w:jc w:val="center"/>
        <w:rPr>
          <w:rFonts w:cs="Arial"/>
          <w:noProof/>
        </w:rPr>
      </w:pPr>
    </w:p>
    <w:p w:rsidR="00B32A2A" w:rsidRPr="00B32A2A" w:rsidRDefault="00B32A2A" w:rsidP="00B32A2A">
      <w:pPr>
        <w:spacing w:after="0" w:line="240" w:lineRule="auto"/>
        <w:jc w:val="both"/>
        <w:rPr>
          <w:rFonts w:cs="Arial"/>
          <w:noProof/>
        </w:rPr>
      </w:pPr>
      <w:r>
        <w:t>The GAVI-HSS grant will be administered by the Ministry of Public Health for a period of 4-1/2 years (July 2014 - December 2018) for a total of US$ 40,025,095. It is part of the 2011-2015 HDP objectives for the 2011-2015 cMYP and is specifically supporting strategic axes 1, 2, 3, 4, 6, 7 and 8. The HDP will be evaluated in 2014 a new HDP for 2016 - 2020 will be developed using this grant. An new cMYP will also be developed in 2014.</w:t>
      </w:r>
    </w:p>
    <w:p w:rsidR="00B32A2A" w:rsidRPr="00B32A2A" w:rsidRDefault="00B32A2A" w:rsidP="00B32A2A">
      <w:pPr>
        <w:spacing w:after="0" w:line="240" w:lineRule="auto"/>
        <w:jc w:val="both"/>
        <w:rPr>
          <w:rFonts w:cs="Arial"/>
          <w:noProof/>
        </w:rPr>
      </w:pPr>
    </w:p>
    <w:p w:rsidR="00B32A2A" w:rsidRPr="00B32A2A" w:rsidRDefault="00B32A2A" w:rsidP="00B32A2A">
      <w:pPr>
        <w:spacing w:after="0" w:line="240" w:lineRule="auto"/>
        <w:jc w:val="both"/>
        <w:rPr>
          <w:rFonts w:cs="Arial"/>
          <w:noProof/>
        </w:rPr>
      </w:pPr>
      <w:r>
        <w:t>An analysis of the sector's situation highlights several bottlenecks that are impeding the health system's successes in attaining the immunization objectives. The GAVI-HSS grant will contribute to removing the following bottlenecks:</w:t>
      </w:r>
    </w:p>
    <w:p w:rsidR="00B32A2A" w:rsidRPr="00B32A2A" w:rsidRDefault="00B32A2A" w:rsidP="00B32A2A">
      <w:pPr>
        <w:spacing w:after="0" w:line="240" w:lineRule="auto"/>
        <w:jc w:val="both"/>
        <w:rPr>
          <w:rFonts w:cs="Arial"/>
          <w:noProof/>
        </w:rPr>
      </w:pPr>
    </w:p>
    <w:p w:rsidR="00B32A2A" w:rsidRPr="00B32A2A" w:rsidRDefault="00B32A2A" w:rsidP="00B32A2A">
      <w:pPr>
        <w:pStyle w:val="ListParagraph"/>
        <w:numPr>
          <w:ilvl w:val="0"/>
          <w:numId w:val="55"/>
        </w:numPr>
        <w:spacing w:after="0" w:line="240" w:lineRule="auto"/>
        <w:ind w:left="360"/>
        <w:contextualSpacing w:val="0"/>
        <w:rPr>
          <w:rFonts w:cs="Arial"/>
          <w:i w:val="0"/>
          <w:noProof/>
          <w:color w:val="auto"/>
          <w:sz w:val="22"/>
          <w:szCs w:val="22"/>
        </w:rPr>
      </w:pPr>
      <w:r>
        <w:rPr>
          <w:i w:val="0"/>
          <w:noProof/>
          <w:color w:val="auto"/>
          <w:sz w:val="22"/>
        </w:rPr>
        <w:t>Inadequate equitable access and the availability of high-quality basic health services base, including immunization,</w:t>
      </w:r>
    </w:p>
    <w:p w:rsidR="00B32A2A" w:rsidRPr="00B32A2A" w:rsidRDefault="00B32A2A" w:rsidP="00B32A2A">
      <w:pPr>
        <w:pStyle w:val="ListParagraph"/>
        <w:numPr>
          <w:ilvl w:val="0"/>
          <w:numId w:val="55"/>
        </w:numPr>
        <w:spacing w:after="0" w:line="240" w:lineRule="auto"/>
        <w:ind w:left="360"/>
        <w:contextualSpacing w:val="0"/>
        <w:rPr>
          <w:rFonts w:cs="Arial"/>
          <w:i w:val="0"/>
          <w:noProof/>
          <w:color w:val="auto"/>
          <w:sz w:val="22"/>
          <w:szCs w:val="22"/>
        </w:rPr>
      </w:pPr>
      <w:r>
        <w:rPr>
          <w:i w:val="0"/>
          <w:noProof/>
          <w:color w:val="auto"/>
          <w:sz w:val="22"/>
        </w:rPr>
        <w:t>Inadequate information and awareness among the population of health problems and the low participation in health service management,</w:t>
      </w:r>
    </w:p>
    <w:p w:rsidR="00B32A2A" w:rsidRPr="00B32A2A" w:rsidRDefault="00B32A2A" w:rsidP="00B32A2A">
      <w:pPr>
        <w:widowControl/>
        <w:spacing w:after="0" w:line="240" w:lineRule="auto"/>
        <w:ind w:left="1080"/>
        <w:jc w:val="both"/>
        <w:rPr>
          <w:rFonts w:cs="Arial"/>
          <w:noProof/>
        </w:rPr>
      </w:pPr>
    </w:p>
    <w:p w:rsidR="00B32A2A" w:rsidRPr="00B32A2A" w:rsidRDefault="00B32A2A" w:rsidP="00B32A2A">
      <w:pPr>
        <w:pStyle w:val="ListParagraph"/>
        <w:widowControl/>
        <w:numPr>
          <w:ilvl w:val="0"/>
          <w:numId w:val="55"/>
        </w:numPr>
        <w:spacing w:after="0" w:line="240" w:lineRule="auto"/>
        <w:ind w:left="360"/>
        <w:contextualSpacing w:val="0"/>
        <w:rPr>
          <w:rFonts w:cs="Arial"/>
          <w:i w:val="0"/>
          <w:noProof/>
          <w:color w:val="auto"/>
          <w:sz w:val="22"/>
          <w:szCs w:val="22"/>
        </w:rPr>
      </w:pPr>
      <w:r>
        <w:rPr>
          <w:i w:val="0"/>
          <w:noProof/>
          <w:color w:val="auto"/>
          <w:sz w:val="22"/>
        </w:rPr>
        <w:t>Socio-cultural factors (taboos, religious considerations, work burden placed on women, etc.),</w:t>
      </w:r>
    </w:p>
    <w:p w:rsidR="00B32A2A" w:rsidRPr="00B32A2A" w:rsidRDefault="00B32A2A" w:rsidP="00B32A2A">
      <w:pPr>
        <w:pStyle w:val="StyleTitre1ArialNarrow"/>
        <w:numPr>
          <w:ilvl w:val="0"/>
          <w:numId w:val="55"/>
        </w:numPr>
        <w:ind w:left="360"/>
        <w:jc w:val="both"/>
        <w:rPr>
          <w:rFonts w:ascii="Arial" w:eastAsia="Arial" w:hAnsi="Arial" w:cs="Arial"/>
          <w:noProof/>
          <w:sz w:val="22"/>
          <w:szCs w:val="22"/>
        </w:rPr>
      </w:pPr>
      <w:r>
        <w:rPr>
          <w:rFonts w:ascii="Arial" w:hAnsi="Arial"/>
          <w:noProof/>
          <w:sz w:val="22"/>
        </w:rPr>
        <w:t>Poor performance of the national health system to produce quality data in a timely manner,</w:t>
      </w:r>
    </w:p>
    <w:p w:rsidR="00B32A2A" w:rsidRPr="00B32A2A" w:rsidRDefault="00B32A2A" w:rsidP="00B32A2A">
      <w:pPr>
        <w:pStyle w:val="ListParagraph"/>
        <w:widowControl/>
        <w:numPr>
          <w:ilvl w:val="0"/>
          <w:numId w:val="55"/>
        </w:numPr>
        <w:spacing w:after="0" w:line="240" w:lineRule="auto"/>
        <w:ind w:left="360"/>
        <w:contextualSpacing w:val="0"/>
        <w:rPr>
          <w:rFonts w:cs="Arial"/>
          <w:i w:val="0"/>
          <w:noProof/>
          <w:color w:val="auto"/>
          <w:sz w:val="22"/>
          <w:szCs w:val="22"/>
        </w:rPr>
      </w:pPr>
      <w:r>
        <w:rPr>
          <w:i w:val="0"/>
          <w:noProof/>
          <w:color w:val="auto"/>
          <w:sz w:val="22"/>
        </w:rPr>
        <w:t>Low level of growth in healthcare research,</w:t>
      </w:r>
    </w:p>
    <w:p w:rsidR="00B32A2A" w:rsidRPr="00B32A2A" w:rsidRDefault="00B32A2A" w:rsidP="00B32A2A">
      <w:pPr>
        <w:pStyle w:val="ListParagraph"/>
        <w:numPr>
          <w:ilvl w:val="0"/>
          <w:numId w:val="55"/>
        </w:numPr>
        <w:spacing w:after="0" w:line="240" w:lineRule="auto"/>
        <w:ind w:left="360"/>
        <w:contextualSpacing w:val="0"/>
        <w:rPr>
          <w:rFonts w:cs="Arial"/>
          <w:i w:val="0"/>
          <w:noProof/>
          <w:color w:val="auto"/>
          <w:sz w:val="22"/>
          <w:szCs w:val="22"/>
        </w:rPr>
      </w:pPr>
      <w:r>
        <w:rPr>
          <w:i w:val="0"/>
          <w:noProof/>
          <w:color w:val="auto"/>
          <w:sz w:val="22"/>
        </w:rPr>
        <w:t>Inadequate funding by the State for health care in general and for vaccination in particular,</w:t>
      </w:r>
    </w:p>
    <w:p w:rsidR="00B32A2A" w:rsidRPr="00B32A2A" w:rsidRDefault="001F248A" w:rsidP="00B32A2A">
      <w:pPr>
        <w:pStyle w:val="ListParagraph"/>
        <w:numPr>
          <w:ilvl w:val="0"/>
          <w:numId w:val="55"/>
        </w:numPr>
        <w:spacing w:after="0" w:line="240" w:lineRule="auto"/>
        <w:ind w:left="360"/>
        <w:contextualSpacing w:val="0"/>
        <w:rPr>
          <w:rFonts w:cs="Arial"/>
          <w:i w:val="0"/>
          <w:noProof/>
          <w:color w:val="auto"/>
          <w:sz w:val="22"/>
          <w:szCs w:val="22"/>
        </w:rPr>
      </w:pPr>
      <w:r>
        <w:rPr>
          <w:i w:val="0"/>
          <w:noProof/>
          <w:color w:val="auto"/>
          <w:sz w:val="22"/>
        </w:rPr>
        <w:t xml:space="preserve">Inadequate </w:t>
      </w:r>
      <w:r w:rsidR="00B32A2A">
        <w:rPr>
          <w:i w:val="0"/>
          <w:noProof/>
          <w:color w:val="auto"/>
          <w:sz w:val="22"/>
        </w:rPr>
        <w:t xml:space="preserve">M&amp;E and coordination within the sector. </w:t>
      </w:r>
    </w:p>
    <w:p w:rsidR="00B32A2A" w:rsidRPr="00B32A2A" w:rsidRDefault="00B32A2A" w:rsidP="00B32A2A">
      <w:pPr>
        <w:spacing w:after="0" w:line="240" w:lineRule="auto"/>
        <w:jc w:val="both"/>
        <w:rPr>
          <w:rFonts w:cs="Arial"/>
          <w:noProof/>
        </w:rPr>
      </w:pPr>
    </w:p>
    <w:p w:rsidR="00B32A2A" w:rsidRPr="00B32A2A" w:rsidRDefault="00B32A2A" w:rsidP="00B32A2A">
      <w:pPr>
        <w:spacing w:after="0" w:line="240" w:lineRule="auto"/>
        <w:jc w:val="both"/>
        <w:rPr>
          <w:rFonts w:cs="Arial"/>
          <w:noProof/>
        </w:rPr>
      </w:pPr>
    </w:p>
    <w:p w:rsidR="00B32A2A" w:rsidRPr="00B32A2A" w:rsidRDefault="00B32A2A" w:rsidP="00B32A2A">
      <w:pPr>
        <w:spacing w:after="0" w:line="240" w:lineRule="auto"/>
        <w:jc w:val="both"/>
        <w:rPr>
          <w:rFonts w:cs="Arial"/>
          <w:noProof/>
        </w:rPr>
      </w:pPr>
      <w:r>
        <w:t xml:space="preserve">The GAVI-HSS grant will focus on removing bottlenecks in conjunction with support from the State and other partners. The grant will also be in conjunction with support from the GAVI-HSS proposal that is currently in progress, particularly with regard to aspects related to strengthening the cold chain and logistical capacity. It will support and strengthen implementation of the district micro-plans. </w:t>
      </w:r>
    </w:p>
    <w:p w:rsidR="00B32A2A" w:rsidRPr="00B32A2A" w:rsidRDefault="00B32A2A" w:rsidP="00B32A2A">
      <w:pPr>
        <w:spacing w:after="0" w:line="240" w:lineRule="auto"/>
        <w:jc w:val="both"/>
        <w:rPr>
          <w:rFonts w:cs="Arial"/>
          <w:noProof/>
        </w:rPr>
      </w:pPr>
      <w:r>
        <w:t xml:space="preserve"> </w:t>
      </w:r>
    </w:p>
    <w:p w:rsidR="00B32A2A" w:rsidRPr="00B32A2A" w:rsidRDefault="00B32A2A" w:rsidP="00B32A2A">
      <w:pPr>
        <w:spacing w:after="0" w:line="240" w:lineRule="auto"/>
        <w:jc w:val="both"/>
        <w:rPr>
          <w:rFonts w:cs="Arial"/>
          <w:noProof/>
        </w:rPr>
      </w:pPr>
      <w:r>
        <w:lastRenderedPageBreak/>
        <w:t xml:space="preserve">This grant focuses on the following five 5 objectives: </w:t>
      </w:r>
    </w:p>
    <w:p w:rsidR="00B32A2A" w:rsidRPr="00B32A2A" w:rsidRDefault="00B32A2A" w:rsidP="00B32A2A">
      <w:pPr>
        <w:spacing w:after="0" w:line="240" w:lineRule="auto"/>
        <w:jc w:val="both"/>
        <w:rPr>
          <w:rFonts w:cs="Arial"/>
          <w:noProof/>
        </w:rPr>
      </w:pPr>
    </w:p>
    <w:p w:rsidR="00B32A2A" w:rsidRPr="00B32A2A" w:rsidRDefault="00B32A2A" w:rsidP="00B32A2A">
      <w:pPr>
        <w:pStyle w:val="ListParagraph"/>
        <w:numPr>
          <w:ilvl w:val="0"/>
          <w:numId w:val="56"/>
        </w:numPr>
        <w:spacing w:after="0" w:line="240" w:lineRule="auto"/>
        <w:contextualSpacing w:val="0"/>
        <w:rPr>
          <w:rFonts w:eastAsia="Calibri" w:cs="Arial"/>
          <w:b/>
          <w:i w:val="0"/>
          <w:noProof/>
          <w:color w:val="auto"/>
          <w:sz w:val="22"/>
          <w:szCs w:val="22"/>
        </w:rPr>
      </w:pPr>
      <w:r>
        <w:rPr>
          <w:b/>
          <w:i w:val="0"/>
          <w:noProof/>
          <w:color w:val="auto"/>
          <w:sz w:val="22"/>
        </w:rPr>
        <w:t>Improve accessibility to health services including quality immunization services, specifically within the 21 high-priority health districts (US$ 30,190,984, or 75.4% of the total amount)</w:t>
      </w:r>
    </w:p>
    <w:p w:rsidR="00B32A2A" w:rsidRPr="00B32A2A" w:rsidRDefault="00B32A2A" w:rsidP="00B32A2A">
      <w:pPr>
        <w:spacing w:before="60" w:after="60" w:line="240" w:lineRule="auto"/>
        <w:ind w:left="357"/>
        <w:jc w:val="both"/>
        <w:rPr>
          <w:rFonts w:cs="Arial"/>
          <w:noProof/>
        </w:rPr>
      </w:pPr>
      <w:r>
        <w:t xml:space="preserve">To take inequity factors into account, the initiatives linked to this objective will be carried out within the 21 Health Districts selected, using the a criteria of Penta 3 lower than 80%. </w:t>
      </w:r>
    </w:p>
    <w:p w:rsidR="00B32A2A" w:rsidRPr="00B32A2A" w:rsidRDefault="00B32A2A" w:rsidP="00B32A2A">
      <w:pPr>
        <w:spacing w:before="60" w:after="60" w:line="240" w:lineRule="auto"/>
        <w:ind w:left="357"/>
        <w:jc w:val="both"/>
        <w:rPr>
          <w:rFonts w:cs="Arial"/>
          <w:noProof/>
        </w:rPr>
      </w:pPr>
      <w:r>
        <w:t>Reaching this objective will be made possible by: the transformation of thirty (30) health huts into integrated health centers with human resource staffing, inputs and the equipment required to implement the MPA, support for developing and implementing district micro-plans, including the ability to achieve specific strategies for reaching the most vulnerable populations and those that are difficult to access, as well as strengthening the skills of the human resources within the health sector</w:t>
      </w:r>
    </w:p>
    <w:p w:rsidR="00B32A2A" w:rsidRPr="00B32A2A" w:rsidRDefault="00B32A2A" w:rsidP="00B32A2A">
      <w:pPr>
        <w:spacing w:before="60" w:after="60" w:line="240" w:lineRule="auto"/>
        <w:ind w:left="357"/>
        <w:jc w:val="both"/>
        <w:rPr>
          <w:rFonts w:cs="Arial"/>
          <w:noProof/>
        </w:rPr>
      </w:pPr>
      <w:r>
        <w:t>These activities will allow for improved accessibility and, in turn, the availability of quality basic health services, and improved immunization coverage that is equitable.</w:t>
      </w:r>
    </w:p>
    <w:p w:rsidR="00B32A2A" w:rsidRPr="00B32A2A" w:rsidRDefault="00B32A2A" w:rsidP="00B32A2A">
      <w:pPr>
        <w:spacing w:before="60" w:after="60" w:line="240" w:lineRule="auto"/>
        <w:ind w:left="357"/>
        <w:jc w:val="both"/>
        <w:rPr>
          <w:rFonts w:cs="Arial"/>
          <w:noProof/>
        </w:rPr>
      </w:pPr>
    </w:p>
    <w:p w:rsidR="00B32A2A" w:rsidRPr="00B32A2A" w:rsidRDefault="00B32A2A" w:rsidP="00B32A2A">
      <w:pPr>
        <w:pStyle w:val="ListParagraph"/>
        <w:numPr>
          <w:ilvl w:val="0"/>
          <w:numId w:val="56"/>
        </w:numPr>
        <w:spacing w:after="0" w:line="240" w:lineRule="auto"/>
        <w:contextualSpacing w:val="0"/>
        <w:rPr>
          <w:rFonts w:eastAsia="Calibri" w:cs="Arial"/>
          <w:b/>
          <w:i w:val="0"/>
          <w:noProof/>
          <w:color w:val="auto"/>
          <w:sz w:val="22"/>
          <w:szCs w:val="22"/>
        </w:rPr>
      </w:pPr>
      <w:r>
        <w:rPr>
          <w:b/>
          <w:i w:val="0"/>
          <w:noProof/>
          <w:color w:val="auto"/>
          <w:sz w:val="22"/>
        </w:rPr>
        <w:t>Increase demand for delivery of health service and care, and particularly, for immunization, at the national level. (US$ 4,719,759, or 11.8% of the total amount)</w:t>
      </w:r>
    </w:p>
    <w:p w:rsidR="00B32A2A" w:rsidRPr="00B32A2A" w:rsidRDefault="00B32A2A" w:rsidP="00B32A2A">
      <w:pPr>
        <w:spacing w:before="60" w:after="60" w:line="240" w:lineRule="auto"/>
        <w:ind w:left="357"/>
        <w:jc w:val="both"/>
        <w:rPr>
          <w:rFonts w:cs="Arial"/>
          <w:noProof/>
        </w:rPr>
      </w:pPr>
      <w:r>
        <w:t xml:space="preserve">Reaching this objective will be made possible by developing communication and social mobilization focused on changing behavior at the household level, opinion leaders and community health workers. The training of community health workers and support for their initiatives will contribute to the strengthening of community participation in health activities, including immunization. </w:t>
      </w:r>
    </w:p>
    <w:p w:rsidR="00B32A2A" w:rsidRPr="00B32A2A" w:rsidRDefault="00B32A2A" w:rsidP="00B32A2A">
      <w:pPr>
        <w:spacing w:before="60" w:after="60" w:line="240" w:lineRule="auto"/>
        <w:ind w:left="357"/>
        <w:jc w:val="both"/>
        <w:rPr>
          <w:rFonts w:cs="Arial"/>
          <w:noProof/>
        </w:rPr>
      </w:pPr>
      <w:r>
        <w:t>These initiatives will allow for improved information, awareness and support of the population for health, and for immunizations in particular. These initiatives will also allow for improving participation by communities and CSOs in health-related activities. The use of immunization services will be increased through these initiatives.</w:t>
      </w:r>
    </w:p>
    <w:p w:rsidR="00B32A2A" w:rsidRPr="00B32A2A" w:rsidRDefault="00B32A2A" w:rsidP="00B32A2A">
      <w:pPr>
        <w:spacing w:before="60" w:after="60" w:line="240" w:lineRule="auto"/>
        <w:ind w:left="357"/>
        <w:jc w:val="both"/>
        <w:rPr>
          <w:rFonts w:cs="Arial"/>
          <w:noProof/>
        </w:rPr>
      </w:pPr>
    </w:p>
    <w:p w:rsidR="00B32A2A" w:rsidRPr="00B32A2A" w:rsidRDefault="00B32A2A" w:rsidP="00B32A2A">
      <w:pPr>
        <w:pStyle w:val="ListParagraph"/>
        <w:numPr>
          <w:ilvl w:val="0"/>
          <w:numId w:val="56"/>
        </w:numPr>
        <w:spacing w:after="0" w:line="240" w:lineRule="auto"/>
        <w:contextualSpacing w:val="0"/>
        <w:rPr>
          <w:rFonts w:eastAsia="Calibri" w:cs="Arial"/>
          <w:b/>
          <w:i w:val="0"/>
          <w:noProof/>
          <w:color w:val="auto"/>
          <w:sz w:val="22"/>
          <w:szCs w:val="22"/>
        </w:rPr>
      </w:pPr>
      <w:r>
        <w:rPr>
          <w:b/>
          <w:i w:val="0"/>
          <w:noProof/>
          <w:color w:val="auto"/>
          <w:sz w:val="22"/>
        </w:rPr>
        <w:t>Improve the quality and use of health information and M&amp;E activities for better strategic planning within the sector, (US$ 3,305,510, or 8.3% of the total amount)</w:t>
      </w:r>
    </w:p>
    <w:p w:rsidR="00B32A2A" w:rsidRPr="00B32A2A" w:rsidRDefault="00B32A2A" w:rsidP="00B32A2A">
      <w:pPr>
        <w:spacing w:before="60" w:after="60" w:line="240" w:lineRule="auto"/>
        <w:ind w:left="357"/>
        <w:jc w:val="both"/>
        <w:rPr>
          <w:rFonts w:cs="Arial"/>
          <w:noProof/>
        </w:rPr>
      </w:pPr>
      <w:r>
        <w:t>Reaching this objective will be made possible by the support and implementation of the strategic NHIS 2013 - 2022 Plan. Specifically: improving the availability of standardized management tools, the capacity of those involved from NHIS, improved quality of health information and increased use of data for planning and M&amp;E of health initiatives.</w:t>
      </w:r>
    </w:p>
    <w:p w:rsidR="00B32A2A" w:rsidRPr="00B32A2A" w:rsidRDefault="00B32A2A" w:rsidP="00B32A2A">
      <w:pPr>
        <w:spacing w:before="60" w:after="60" w:line="240" w:lineRule="auto"/>
        <w:ind w:left="357"/>
        <w:jc w:val="both"/>
        <w:rPr>
          <w:rFonts w:cs="Arial"/>
          <w:noProof/>
        </w:rPr>
      </w:pPr>
      <w:r>
        <w:t>All of these activities will contribute to improving the quality and the use of NHIS data, including immunization data and the taking into account of inequality factors for an improved decision-making process.</w:t>
      </w:r>
    </w:p>
    <w:p w:rsidR="00B32A2A" w:rsidRPr="00B32A2A" w:rsidRDefault="00B32A2A" w:rsidP="00B32A2A">
      <w:pPr>
        <w:spacing w:before="60" w:after="60" w:line="240" w:lineRule="auto"/>
        <w:ind w:left="357"/>
        <w:jc w:val="both"/>
        <w:rPr>
          <w:rFonts w:cs="Arial"/>
          <w:noProof/>
        </w:rPr>
      </w:pPr>
    </w:p>
    <w:p w:rsidR="00B32A2A" w:rsidRPr="00B32A2A" w:rsidRDefault="00B32A2A" w:rsidP="00B32A2A">
      <w:pPr>
        <w:pStyle w:val="ListParagraph"/>
        <w:numPr>
          <w:ilvl w:val="0"/>
          <w:numId w:val="56"/>
        </w:numPr>
        <w:spacing w:after="0" w:line="240" w:lineRule="auto"/>
        <w:contextualSpacing w:val="0"/>
        <w:rPr>
          <w:rFonts w:eastAsia="Calibri" w:cs="Arial"/>
          <w:b/>
          <w:i w:val="0"/>
          <w:noProof/>
          <w:color w:val="auto"/>
          <w:sz w:val="22"/>
          <w:szCs w:val="22"/>
        </w:rPr>
      </w:pPr>
      <w:r>
        <w:rPr>
          <w:b/>
          <w:i w:val="0"/>
          <w:noProof/>
          <w:color w:val="auto"/>
          <w:sz w:val="22"/>
        </w:rPr>
        <w:t>Increase the State's contribution to the funding of these health activities, including immunization (US$ 141,750, or 0.4% of the total amount)</w:t>
      </w:r>
    </w:p>
    <w:p w:rsidR="00B32A2A" w:rsidRPr="00B32A2A" w:rsidRDefault="00B32A2A" w:rsidP="00B32A2A">
      <w:pPr>
        <w:spacing w:before="60" w:after="60" w:line="240" w:lineRule="auto"/>
        <w:ind w:left="357"/>
        <w:jc w:val="both"/>
        <w:rPr>
          <w:rFonts w:cs="Arial"/>
          <w:noProof/>
        </w:rPr>
      </w:pPr>
      <w:r>
        <w:t xml:space="preserve">This objective seeks to make health activities sustainable in Niger by having the State take responsibility for its leadership role by increasing its health funding contribution, consistently and efficiently. </w:t>
      </w:r>
    </w:p>
    <w:p w:rsidR="00B32A2A" w:rsidRPr="00B32A2A" w:rsidRDefault="00B32A2A" w:rsidP="00B32A2A">
      <w:pPr>
        <w:spacing w:before="60" w:after="60" w:line="240" w:lineRule="auto"/>
        <w:ind w:left="357"/>
        <w:jc w:val="both"/>
        <w:rPr>
          <w:rFonts w:cs="Arial"/>
          <w:noProof/>
        </w:rPr>
      </w:pPr>
      <w:r>
        <w:t xml:space="preserve">Reaching this objective will be made possible by the lobbying by CSOs of members of parliament and other decision-makers, local governments, government-run company officials and privately-run company officials, media and the "network of advocacy champions" and following up on the State's commitments and those of partners through the COMPACT. </w:t>
      </w:r>
    </w:p>
    <w:p w:rsidR="00B32A2A" w:rsidRPr="00B32A2A" w:rsidRDefault="00B32A2A" w:rsidP="00B32A2A">
      <w:pPr>
        <w:pStyle w:val="Style1"/>
        <w:numPr>
          <w:ilvl w:val="0"/>
          <w:numId w:val="0"/>
        </w:numPr>
        <w:ind w:left="360"/>
        <w:jc w:val="both"/>
        <w:rPr>
          <w:rFonts w:ascii="Arial" w:eastAsia="Calibri" w:hAnsi="Arial" w:cs="Arial"/>
          <w:b w:val="0"/>
          <w:noProof/>
          <w:sz w:val="22"/>
          <w:szCs w:val="22"/>
        </w:rPr>
      </w:pPr>
    </w:p>
    <w:p w:rsidR="00B32A2A" w:rsidRPr="00B32A2A" w:rsidRDefault="00B32A2A" w:rsidP="00B32A2A">
      <w:pPr>
        <w:pStyle w:val="ListParagraph"/>
        <w:numPr>
          <w:ilvl w:val="0"/>
          <w:numId w:val="56"/>
        </w:numPr>
        <w:spacing w:after="0" w:line="240" w:lineRule="auto"/>
        <w:contextualSpacing w:val="0"/>
        <w:rPr>
          <w:rFonts w:eastAsia="Calibri" w:cs="Arial"/>
          <w:b/>
          <w:i w:val="0"/>
          <w:noProof/>
          <w:color w:val="auto"/>
          <w:sz w:val="22"/>
          <w:szCs w:val="22"/>
        </w:rPr>
      </w:pPr>
      <w:r>
        <w:rPr>
          <w:b/>
          <w:i w:val="0"/>
          <w:noProof/>
          <w:color w:val="auto"/>
          <w:sz w:val="22"/>
        </w:rPr>
        <w:t xml:space="preserve">Improve existing management mechanisms so as to implement an efficient and effective </w:t>
      </w:r>
      <w:r>
        <w:rPr>
          <w:b/>
          <w:i w:val="0"/>
          <w:noProof/>
          <w:color w:val="auto"/>
          <w:sz w:val="22"/>
        </w:rPr>
        <w:lastRenderedPageBreak/>
        <w:t>Program. (US$ 1,667,091, or 4.2% of the total amount)</w:t>
      </w:r>
    </w:p>
    <w:p w:rsidR="00B32A2A" w:rsidRPr="00B32A2A" w:rsidRDefault="00B32A2A" w:rsidP="00B32A2A">
      <w:pPr>
        <w:spacing w:before="60" w:after="60" w:line="240" w:lineRule="auto"/>
        <w:ind w:left="357"/>
        <w:jc w:val="both"/>
        <w:rPr>
          <w:rFonts w:cs="Arial"/>
          <w:noProof/>
        </w:rPr>
      </w:pPr>
      <w:r>
        <w:t xml:space="preserve">This objective seeks to improve management of the Common Funds using tools, procedures and entities for a better implementation of the Program, and do so in accordance with the Paris Declaration. </w:t>
      </w:r>
    </w:p>
    <w:p w:rsidR="00B32A2A" w:rsidRPr="00B32A2A" w:rsidRDefault="00B32A2A" w:rsidP="00B32A2A">
      <w:pPr>
        <w:spacing w:before="60" w:after="60" w:line="240" w:lineRule="auto"/>
        <w:ind w:left="357"/>
        <w:jc w:val="both"/>
        <w:rPr>
          <w:rFonts w:cs="Arial"/>
          <w:noProof/>
        </w:rPr>
      </w:pPr>
      <w:r>
        <w:t>The goals is to strengthen the Common Funds capacity through the following actions:</w:t>
      </w:r>
    </w:p>
    <w:p w:rsidR="00B32A2A" w:rsidRPr="00B32A2A" w:rsidRDefault="00B32A2A" w:rsidP="00B32A2A">
      <w:pPr>
        <w:spacing w:before="60" w:after="60" w:line="240" w:lineRule="auto"/>
        <w:ind w:left="357"/>
        <w:jc w:val="both"/>
        <w:rPr>
          <w:rFonts w:cs="Arial"/>
          <w:noProof/>
        </w:rPr>
      </w:pPr>
      <w:r>
        <w:t>contribution to the Common Funds operations by implementation of the HSS 2014 to 2018 activities, improving the capacity of Common Funds personnel to address financial management issues (control and audit); implementation of financial audits and controls within the framework of GAVI-HSS initiatives and activity monitoring and evaluation.</w:t>
      </w:r>
    </w:p>
    <w:p w:rsidR="00B32A2A" w:rsidRPr="00B32A2A" w:rsidRDefault="00B32A2A" w:rsidP="00B32A2A">
      <w:pPr>
        <w:spacing w:after="0" w:line="240" w:lineRule="auto"/>
        <w:ind w:left="357"/>
        <w:jc w:val="both"/>
        <w:rPr>
          <w:rFonts w:cs="Arial"/>
          <w:noProof/>
        </w:rPr>
      </w:pPr>
    </w:p>
    <w:p w:rsidR="00B32A2A" w:rsidRPr="00B32A2A" w:rsidRDefault="00B32A2A" w:rsidP="00B32A2A">
      <w:pPr>
        <w:spacing w:after="0" w:line="240" w:lineRule="auto"/>
        <w:ind w:left="357"/>
        <w:jc w:val="both"/>
        <w:rPr>
          <w:rFonts w:cs="Arial"/>
          <w:noProof/>
        </w:rPr>
      </w:pPr>
      <w:r>
        <w:t>The GAVI-RSS grant will be managed by the Common Funds in accordance with its management procedures and the principles of the Paris Declaration. All acquisitions will also be made through the Common Funds' procedures. Certain equipment will be acquired through UNIPAC.</w:t>
      </w:r>
    </w:p>
    <w:p w:rsidR="00B32A2A" w:rsidRPr="00B32A2A" w:rsidRDefault="00B32A2A" w:rsidP="00B32A2A">
      <w:pPr>
        <w:spacing w:after="0" w:line="240" w:lineRule="auto"/>
        <w:ind w:left="357"/>
        <w:jc w:val="both"/>
        <w:rPr>
          <w:rFonts w:cs="Arial"/>
          <w:noProof/>
        </w:rPr>
      </w:pPr>
    </w:p>
    <w:p w:rsidR="00B32A2A" w:rsidRPr="00B32A2A" w:rsidRDefault="00B32A2A" w:rsidP="00B32A2A">
      <w:pPr>
        <w:spacing w:after="0" w:line="240" w:lineRule="auto"/>
        <w:ind w:left="357"/>
        <w:jc w:val="both"/>
        <w:rPr>
          <w:rFonts w:cs="Arial"/>
          <w:noProof/>
        </w:rPr>
      </w:pPr>
      <w:r>
        <w:t>CSOs participate in initiatives through contracts. Therefore, they will be asked to participate in social mobilization activities in communities that support vaccination and where opinion leaders support it, for areas that are difficult to access or insecure. CSOs will also be involved with immunization teams where they will play an important supporting role for immunization activities. Within the framework of this proposal the budget allocated to CSOs at all levels is US$ 678,748, or 2% of the budget</w:t>
      </w:r>
    </w:p>
    <w:p w:rsidR="00B32A2A" w:rsidRPr="00B32A2A" w:rsidRDefault="00B32A2A" w:rsidP="00B32A2A">
      <w:pPr>
        <w:spacing w:after="0"/>
        <w:ind w:left="357"/>
        <w:rPr>
          <w:rFonts w:cs="Arial"/>
          <w:noProof/>
        </w:rPr>
      </w:pPr>
    </w:p>
    <w:p w:rsidR="00B32A2A" w:rsidRPr="00B32A2A" w:rsidRDefault="00B32A2A" w:rsidP="00B32A2A">
      <w:pPr>
        <w:spacing w:after="0"/>
        <w:ind w:left="357"/>
        <w:rPr>
          <w:rFonts w:cs="Arial"/>
          <w:noProof/>
        </w:rPr>
      </w:pPr>
    </w:p>
    <w:p w:rsidR="00B32A2A" w:rsidRPr="00B32A2A" w:rsidRDefault="00B32A2A" w:rsidP="00B32A2A">
      <w:pPr>
        <w:jc w:val="both"/>
        <w:rPr>
          <w:rFonts w:cs="Arial"/>
          <w:noProof/>
        </w:rPr>
      </w:pPr>
    </w:p>
    <w:tbl>
      <w:tblPr>
        <w:tblpPr w:leftFromText="141" w:rightFromText="141" w:vertAnchor="text" w:horzAnchor="margin" w:tblpY="-155"/>
        <w:tblW w:w="1034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48"/>
      </w:tblGrid>
      <w:tr w:rsidR="00B32A2A" w:rsidRPr="00B32A2A" w:rsidTr="00B32A2A">
        <w:tc>
          <w:tcPr>
            <w:tcW w:w="10348" w:type="dxa"/>
            <w:tcBorders>
              <w:top w:val="nil"/>
              <w:left w:val="nil"/>
              <w:bottom w:val="nil"/>
              <w:right w:val="nil"/>
            </w:tcBorders>
            <w:shd w:val="clear" w:color="auto" w:fill="006460"/>
          </w:tcPr>
          <w:p w:rsidR="00B32A2A" w:rsidRPr="00B32A2A" w:rsidRDefault="00B32A2A" w:rsidP="00B32A2A">
            <w:pPr>
              <w:pStyle w:val="Heading1"/>
              <w:rPr>
                <w:rFonts w:cs="Arial"/>
                <w:noProof/>
                <w:color w:val="auto"/>
                <w:spacing w:val="0"/>
                <w:sz w:val="22"/>
                <w:szCs w:val="22"/>
              </w:rPr>
            </w:pPr>
            <w:bookmarkStart w:id="14" w:name="_Toc346115523"/>
            <w:bookmarkStart w:id="15" w:name="_Toc346116635"/>
            <w:bookmarkStart w:id="16" w:name="_Toc381123261"/>
            <w:bookmarkStart w:id="17" w:name="_Toc381566351"/>
            <w:r>
              <w:rPr>
                <w:noProof/>
                <w:color w:val="auto"/>
                <w:spacing w:val="0"/>
                <w:sz w:val="22"/>
              </w:rPr>
              <w:t>Part C– Situation Analysis</w:t>
            </w:r>
            <w:bookmarkEnd w:id="14"/>
            <w:bookmarkEnd w:id="15"/>
            <w:bookmarkEnd w:id="16"/>
            <w:bookmarkEnd w:id="17"/>
          </w:p>
        </w:tc>
      </w:tr>
    </w:tbl>
    <w:p w:rsidR="00B32A2A" w:rsidRPr="00B32A2A" w:rsidRDefault="00B32A2A" w:rsidP="00B32A2A">
      <w:pPr>
        <w:spacing w:after="0"/>
        <w:rPr>
          <w:rFonts w:cs="Arial"/>
          <w:b/>
          <w:noProof/>
        </w:rPr>
      </w:pPr>
    </w:p>
    <w:tbl>
      <w:tblPr>
        <w:tblpPr w:leftFromText="141" w:rightFromText="141" w:vertAnchor="text" w:horzAnchor="margin" w:tblpY="46"/>
        <w:tblW w:w="10440"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843"/>
        <w:gridCol w:w="1526"/>
        <w:gridCol w:w="33"/>
        <w:gridCol w:w="1384"/>
        <w:gridCol w:w="709"/>
        <w:gridCol w:w="1167"/>
        <w:gridCol w:w="851"/>
        <w:gridCol w:w="851"/>
        <w:gridCol w:w="283"/>
        <w:gridCol w:w="567"/>
        <w:gridCol w:w="1226"/>
      </w:tblGrid>
      <w:tr w:rsidR="00B32A2A" w:rsidRPr="00B32A2A" w:rsidTr="00B32A2A">
        <w:tc>
          <w:tcPr>
            <w:tcW w:w="10440" w:type="dxa"/>
            <w:gridSpan w:val="11"/>
            <w:tcBorders>
              <w:bottom w:val="single" w:sz="6" w:space="0" w:color="215868"/>
            </w:tcBorders>
            <w:shd w:val="clear" w:color="auto" w:fill="auto"/>
            <w:vAlign w:val="center"/>
          </w:tcPr>
          <w:p w:rsidR="00B32A2A" w:rsidRPr="00B32A2A" w:rsidRDefault="00B32A2A" w:rsidP="00B32A2A">
            <w:pPr>
              <w:jc w:val="both"/>
              <w:rPr>
                <w:noProof/>
              </w:rPr>
            </w:pPr>
            <w:r>
              <w:t>For further instructions, please refer to the Guidelines for Completing the HSS Application</w:t>
            </w:r>
          </w:p>
        </w:tc>
      </w:tr>
      <w:tr w:rsidR="00B32A2A" w:rsidRPr="00B32A2A" w:rsidTr="00B32A2A">
        <w:tc>
          <w:tcPr>
            <w:tcW w:w="10440" w:type="dxa"/>
            <w:gridSpan w:val="11"/>
            <w:tcBorders>
              <w:bottom w:val="single" w:sz="6" w:space="0" w:color="215868"/>
            </w:tcBorders>
            <w:shd w:val="clear" w:color="auto" w:fill="006460"/>
          </w:tcPr>
          <w:p w:rsidR="00B32A2A" w:rsidRPr="00B32A2A" w:rsidRDefault="00B32A2A" w:rsidP="00B32A2A">
            <w:pPr>
              <w:pStyle w:val="Heading2"/>
              <w:rPr>
                <w:rFonts w:ascii="Arial" w:hAnsi="Arial" w:cs="Arial"/>
                <w:noProof/>
                <w:color w:val="auto"/>
                <w:sz w:val="22"/>
                <w:szCs w:val="22"/>
              </w:rPr>
            </w:pPr>
            <w:bookmarkStart w:id="18" w:name="_Toc358399414"/>
            <w:bookmarkStart w:id="19" w:name="_Toc346116636"/>
            <w:bookmarkStart w:id="20" w:name="_Toc349297131"/>
            <w:bookmarkStart w:id="21" w:name="_Toc381123262"/>
            <w:bookmarkStart w:id="22" w:name="_Toc381566352"/>
            <w:r>
              <w:rPr>
                <w:rFonts w:ascii="Arial" w:hAnsi="Arial"/>
                <w:noProof/>
                <w:color w:val="auto"/>
                <w:sz w:val="22"/>
              </w:rPr>
              <w:t>1. Key relevant health and health system statistics</w:t>
            </w:r>
            <w:bookmarkEnd w:id="18"/>
            <w:bookmarkEnd w:id="19"/>
            <w:bookmarkEnd w:id="20"/>
            <w:bookmarkEnd w:id="21"/>
            <w:bookmarkEnd w:id="22"/>
          </w:p>
        </w:tc>
      </w:tr>
      <w:tr w:rsidR="00B32A2A" w:rsidRPr="00B32A2A" w:rsidTr="00B32A2A">
        <w:tc>
          <w:tcPr>
            <w:tcW w:w="10440" w:type="dxa"/>
            <w:gridSpan w:val="11"/>
            <w:shd w:val="clear" w:color="auto" w:fill="FFFFFF"/>
          </w:tcPr>
          <w:p w:rsidR="00B32A2A" w:rsidRPr="00B32A2A" w:rsidRDefault="00B32A2A" w:rsidP="00B32A2A">
            <w:pPr>
              <w:spacing w:before="120" w:after="120"/>
              <w:jc w:val="both"/>
              <w:rPr>
                <w:rFonts w:cs="Arial"/>
                <w:i/>
                <w:noProof/>
              </w:rPr>
            </w:pPr>
            <w:r>
              <w:rPr>
                <w:i/>
                <w:noProof/>
              </w:rPr>
              <w:t>→ Please complete the table below providing the most recent statistics for the key health, immunization, and health systems indicators listed.</w:t>
            </w:r>
          </w:p>
          <w:p w:rsidR="00B32A2A" w:rsidRPr="00B32A2A" w:rsidRDefault="00B32A2A" w:rsidP="00B32A2A">
            <w:pPr>
              <w:spacing w:before="120" w:after="120"/>
              <w:jc w:val="both"/>
              <w:rPr>
                <w:rFonts w:cs="Arial"/>
                <w:i/>
                <w:noProof/>
              </w:rPr>
            </w:pPr>
            <w:r>
              <w:rPr>
                <w:i/>
                <w:noProof/>
              </w:rPr>
              <w:t>→ Where possible, data on the key statistics should be presented showing wealth quintile differences, disaggregated by sex.</w:t>
            </w:r>
          </w:p>
          <w:p w:rsidR="00B32A2A" w:rsidRPr="00B32A2A" w:rsidRDefault="00B32A2A" w:rsidP="00B32A2A">
            <w:pPr>
              <w:spacing w:before="120" w:after="120"/>
              <w:jc w:val="both"/>
              <w:rPr>
                <w:rFonts w:cs="Arial"/>
                <w:i/>
                <w:noProof/>
              </w:rPr>
            </w:pPr>
            <w:r>
              <w:rPr>
                <w:i/>
                <w:noProof/>
              </w:rPr>
              <w:t>→ If available disaggregated data for the key statistics indicators showing differences by geographic location (region / province) and urban / rural should be included in the space provided after the table.</w:t>
            </w:r>
          </w:p>
          <w:p w:rsidR="00B32A2A" w:rsidRPr="00B32A2A" w:rsidRDefault="00B32A2A" w:rsidP="00B32A2A">
            <w:pPr>
              <w:spacing w:before="120" w:after="120"/>
              <w:jc w:val="both"/>
              <w:rPr>
                <w:rFonts w:cs="Arial"/>
                <w:i/>
                <w:noProof/>
              </w:rPr>
            </w:pPr>
            <w:r>
              <w:rPr>
                <w:i/>
                <w:noProof/>
              </w:rPr>
              <w:t xml:space="preserve">*Where possible, GAVI asks for both administrative data as well as from "other" data sources. Please state the source of the "other" data in brackets after entering the value. "Other" recommended data sources are DHS/MICS or recent coverage estimates from WHO/UNICEF. If the difference between these reported data are more than 5% points, the country should include an explanation as to how they plan to strengthen data quality as part of the HSS grant.  </w:t>
            </w:r>
          </w:p>
        </w:tc>
      </w:tr>
      <w:tr w:rsidR="00B32A2A" w:rsidRPr="00B32A2A" w:rsidTr="00B32A2A">
        <w:trPr>
          <w:trHeight w:val="278"/>
        </w:trPr>
        <w:tc>
          <w:tcPr>
            <w:tcW w:w="10440" w:type="dxa"/>
            <w:gridSpan w:val="11"/>
            <w:shd w:val="clear" w:color="auto" w:fill="006666"/>
            <w:vAlign w:val="center"/>
          </w:tcPr>
          <w:p w:rsidR="00B32A2A" w:rsidRPr="00B32A2A" w:rsidRDefault="00B32A2A" w:rsidP="00B32A2A">
            <w:pPr>
              <w:pStyle w:val="ColorfulList-Accent13"/>
              <w:ind w:left="0"/>
              <w:jc w:val="center"/>
              <w:rPr>
                <w:rFonts w:cs="Arial"/>
                <w:b/>
                <w:bCs/>
                <w:noProof/>
                <w:szCs w:val="22"/>
              </w:rPr>
            </w:pPr>
            <w:r>
              <w:rPr>
                <w:b/>
                <w:noProof/>
              </w:rPr>
              <w:t>Key Statistics</w:t>
            </w:r>
          </w:p>
        </w:tc>
      </w:tr>
      <w:tr w:rsidR="00B32A2A" w:rsidRPr="00B32A2A" w:rsidTr="00B32A2A">
        <w:trPr>
          <w:trHeight w:val="1065"/>
        </w:trPr>
        <w:tc>
          <w:tcPr>
            <w:tcW w:w="1843" w:type="dxa"/>
            <w:vMerge w:val="restart"/>
            <w:shd w:val="clear" w:color="auto" w:fill="FFFFFF"/>
            <w:vAlign w:val="center"/>
          </w:tcPr>
          <w:p w:rsidR="00B32A2A" w:rsidRPr="00B32A2A" w:rsidRDefault="00B32A2A" w:rsidP="00B32A2A">
            <w:pPr>
              <w:pStyle w:val="ColorfulList-Accent13"/>
              <w:ind w:left="0"/>
              <w:jc w:val="center"/>
              <w:rPr>
                <w:rFonts w:cs="Arial"/>
                <w:b/>
                <w:bCs/>
                <w:noProof/>
                <w:sz w:val="16"/>
                <w:szCs w:val="16"/>
              </w:rPr>
            </w:pPr>
            <w:r>
              <w:rPr>
                <w:b/>
                <w:noProof/>
                <w:sz w:val="16"/>
              </w:rPr>
              <w:lastRenderedPageBreak/>
              <w:t>Indicator</w:t>
            </w:r>
          </w:p>
        </w:tc>
        <w:tc>
          <w:tcPr>
            <w:tcW w:w="1559" w:type="dxa"/>
            <w:gridSpan w:val="2"/>
            <w:vMerge w:val="restart"/>
            <w:shd w:val="clear" w:color="auto" w:fill="FFFFFF"/>
            <w:vAlign w:val="center"/>
          </w:tcPr>
          <w:p w:rsidR="00B32A2A" w:rsidRPr="00B32A2A" w:rsidRDefault="00B32A2A" w:rsidP="00B32A2A">
            <w:pPr>
              <w:pStyle w:val="ColorfulList-Accent13"/>
              <w:ind w:left="0"/>
              <w:jc w:val="center"/>
              <w:rPr>
                <w:rFonts w:cs="Arial"/>
                <w:b/>
                <w:bCs/>
                <w:noProof/>
                <w:sz w:val="16"/>
                <w:szCs w:val="16"/>
              </w:rPr>
            </w:pPr>
            <w:r>
              <w:rPr>
                <w:b/>
                <w:noProof/>
                <w:sz w:val="16"/>
              </w:rPr>
              <w:t>Source</w:t>
            </w:r>
          </w:p>
        </w:tc>
        <w:tc>
          <w:tcPr>
            <w:tcW w:w="1384" w:type="dxa"/>
            <w:vMerge w:val="restart"/>
            <w:shd w:val="clear" w:color="auto" w:fill="FFFFFF"/>
            <w:vAlign w:val="center"/>
          </w:tcPr>
          <w:p w:rsidR="00B32A2A" w:rsidRPr="00B32A2A" w:rsidRDefault="00B32A2A" w:rsidP="00B32A2A">
            <w:pPr>
              <w:pStyle w:val="ColorfulList-Accent13"/>
              <w:ind w:left="0"/>
              <w:jc w:val="center"/>
              <w:rPr>
                <w:rFonts w:cs="Arial"/>
                <w:b/>
                <w:bCs/>
                <w:noProof/>
                <w:sz w:val="16"/>
                <w:szCs w:val="16"/>
              </w:rPr>
            </w:pPr>
            <w:r>
              <w:rPr>
                <w:b/>
                <w:noProof/>
                <w:sz w:val="16"/>
              </w:rPr>
              <w:t>National Average</w:t>
            </w:r>
          </w:p>
          <w:p w:rsidR="00B32A2A" w:rsidRPr="00B32A2A" w:rsidRDefault="00B32A2A" w:rsidP="00B32A2A">
            <w:pPr>
              <w:pStyle w:val="ColorfulList-Accent13"/>
              <w:ind w:left="0"/>
              <w:jc w:val="center"/>
              <w:rPr>
                <w:rFonts w:cs="Arial"/>
                <w:b/>
                <w:bCs/>
                <w:noProof/>
                <w:sz w:val="16"/>
                <w:szCs w:val="16"/>
              </w:rPr>
            </w:pPr>
          </w:p>
        </w:tc>
        <w:tc>
          <w:tcPr>
            <w:tcW w:w="1876" w:type="dxa"/>
            <w:gridSpan w:val="2"/>
            <w:vMerge w:val="restart"/>
            <w:shd w:val="clear" w:color="auto" w:fill="FFFFFF"/>
            <w:vAlign w:val="center"/>
          </w:tcPr>
          <w:p w:rsidR="00B32A2A" w:rsidRPr="00B32A2A" w:rsidRDefault="00B32A2A" w:rsidP="00B32A2A">
            <w:pPr>
              <w:pStyle w:val="ColorfulList-Accent13"/>
              <w:ind w:left="0"/>
              <w:jc w:val="center"/>
              <w:rPr>
                <w:rFonts w:cs="Arial"/>
                <w:b/>
                <w:bCs/>
                <w:noProof/>
                <w:sz w:val="16"/>
                <w:szCs w:val="16"/>
              </w:rPr>
            </w:pPr>
            <w:r>
              <w:rPr>
                <w:b/>
                <w:noProof/>
                <w:sz w:val="16"/>
              </w:rPr>
              <w:t>Percentage difference between highest &amp; lowest quintiles</w:t>
            </w:r>
          </w:p>
        </w:tc>
        <w:tc>
          <w:tcPr>
            <w:tcW w:w="2552" w:type="dxa"/>
            <w:gridSpan w:val="4"/>
            <w:shd w:val="clear" w:color="auto" w:fill="FFFFFF"/>
            <w:vAlign w:val="center"/>
          </w:tcPr>
          <w:p w:rsidR="00B32A2A" w:rsidRPr="00B32A2A" w:rsidRDefault="00B32A2A" w:rsidP="00B32A2A">
            <w:pPr>
              <w:pStyle w:val="ColorfulList-Accent13"/>
              <w:ind w:left="0"/>
              <w:jc w:val="center"/>
              <w:rPr>
                <w:rFonts w:cs="Arial"/>
                <w:b/>
                <w:bCs/>
                <w:noProof/>
                <w:sz w:val="16"/>
                <w:szCs w:val="16"/>
              </w:rPr>
            </w:pPr>
            <w:r>
              <w:rPr>
                <w:b/>
                <w:noProof/>
                <w:sz w:val="16"/>
              </w:rPr>
              <w:t>Sex</w:t>
            </w:r>
          </w:p>
          <w:p w:rsidR="00B32A2A" w:rsidRPr="00B32A2A" w:rsidRDefault="00B32A2A" w:rsidP="00B32A2A">
            <w:pPr>
              <w:pStyle w:val="ColorfulList-Accent13"/>
              <w:ind w:left="0"/>
              <w:jc w:val="center"/>
              <w:rPr>
                <w:rFonts w:cs="Arial"/>
                <w:bCs/>
                <w:i/>
                <w:noProof/>
                <w:sz w:val="16"/>
                <w:szCs w:val="16"/>
              </w:rPr>
            </w:pPr>
            <w:r>
              <w:rPr>
                <w:i/>
                <w:noProof/>
                <w:sz w:val="16"/>
              </w:rPr>
              <w:t>(Please provide disaggregated data where available)</w:t>
            </w:r>
          </w:p>
        </w:tc>
        <w:tc>
          <w:tcPr>
            <w:tcW w:w="1226" w:type="dxa"/>
            <w:vMerge w:val="restart"/>
            <w:shd w:val="clear" w:color="auto" w:fill="FFFFFF"/>
            <w:vAlign w:val="center"/>
          </w:tcPr>
          <w:p w:rsidR="00B32A2A" w:rsidRPr="00B32A2A" w:rsidRDefault="00B32A2A" w:rsidP="00B32A2A">
            <w:pPr>
              <w:pStyle w:val="ColorfulList-Accent13"/>
              <w:ind w:left="0"/>
              <w:jc w:val="center"/>
              <w:rPr>
                <w:rFonts w:cs="Arial"/>
                <w:b/>
                <w:bCs/>
                <w:noProof/>
                <w:sz w:val="16"/>
                <w:szCs w:val="16"/>
              </w:rPr>
            </w:pPr>
            <w:r>
              <w:rPr>
                <w:b/>
                <w:noProof/>
                <w:sz w:val="16"/>
              </w:rPr>
              <w:t>Year</w:t>
            </w:r>
          </w:p>
        </w:tc>
      </w:tr>
      <w:tr w:rsidR="00B32A2A" w:rsidRPr="00B32A2A" w:rsidTr="00B32A2A">
        <w:trPr>
          <w:trHeight w:val="487"/>
        </w:trPr>
        <w:tc>
          <w:tcPr>
            <w:tcW w:w="1843" w:type="dxa"/>
            <w:vMerge/>
            <w:shd w:val="clear" w:color="auto" w:fill="FFFFFF"/>
            <w:vAlign w:val="center"/>
          </w:tcPr>
          <w:p w:rsidR="00B32A2A" w:rsidRPr="00B32A2A" w:rsidRDefault="00B32A2A" w:rsidP="00B32A2A">
            <w:pPr>
              <w:pStyle w:val="ColorfulList-Accent13"/>
              <w:ind w:left="0"/>
              <w:jc w:val="both"/>
              <w:rPr>
                <w:rFonts w:cs="Arial"/>
                <w:b/>
                <w:bCs/>
                <w:noProof/>
                <w:sz w:val="16"/>
                <w:szCs w:val="16"/>
              </w:rPr>
            </w:pPr>
          </w:p>
        </w:tc>
        <w:tc>
          <w:tcPr>
            <w:tcW w:w="1559" w:type="dxa"/>
            <w:gridSpan w:val="2"/>
            <w:vMerge/>
            <w:shd w:val="clear" w:color="auto" w:fill="FFFFFF"/>
            <w:vAlign w:val="center"/>
          </w:tcPr>
          <w:p w:rsidR="00B32A2A" w:rsidRPr="00B32A2A" w:rsidRDefault="00B32A2A" w:rsidP="00B32A2A">
            <w:pPr>
              <w:pStyle w:val="ColorfulList-Accent13"/>
              <w:ind w:left="0"/>
              <w:jc w:val="both"/>
              <w:rPr>
                <w:rFonts w:cs="Arial"/>
                <w:b/>
                <w:bCs/>
                <w:noProof/>
                <w:sz w:val="16"/>
                <w:szCs w:val="16"/>
              </w:rPr>
            </w:pPr>
          </w:p>
        </w:tc>
        <w:tc>
          <w:tcPr>
            <w:tcW w:w="1384" w:type="dxa"/>
            <w:vMerge/>
            <w:shd w:val="clear" w:color="auto" w:fill="FFFFFF"/>
            <w:vAlign w:val="center"/>
          </w:tcPr>
          <w:p w:rsidR="00B32A2A" w:rsidRPr="00B32A2A" w:rsidRDefault="00B32A2A" w:rsidP="00B32A2A">
            <w:pPr>
              <w:pStyle w:val="ColorfulList-Accent13"/>
              <w:ind w:left="0"/>
              <w:jc w:val="both"/>
              <w:rPr>
                <w:rFonts w:cs="Arial"/>
                <w:b/>
                <w:bCs/>
                <w:noProof/>
                <w:sz w:val="16"/>
                <w:szCs w:val="16"/>
              </w:rPr>
            </w:pPr>
          </w:p>
        </w:tc>
        <w:tc>
          <w:tcPr>
            <w:tcW w:w="1876" w:type="dxa"/>
            <w:gridSpan w:val="2"/>
            <w:vMerge/>
            <w:shd w:val="clear" w:color="auto" w:fill="FFFFFF"/>
            <w:vAlign w:val="center"/>
          </w:tcPr>
          <w:p w:rsidR="00B32A2A" w:rsidRPr="00B32A2A" w:rsidRDefault="00B32A2A" w:rsidP="00B32A2A">
            <w:pPr>
              <w:pStyle w:val="ColorfulList-Accent13"/>
              <w:ind w:left="0"/>
              <w:jc w:val="both"/>
              <w:rPr>
                <w:rFonts w:cs="Arial"/>
                <w:b/>
                <w:bCs/>
                <w:noProof/>
                <w:sz w:val="16"/>
                <w:szCs w:val="16"/>
              </w:rPr>
            </w:pPr>
          </w:p>
        </w:tc>
        <w:tc>
          <w:tcPr>
            <w:tcW w:w="851" w:type="dxa"/>
            <w:shd w:val="clear" w:color="auto" w:fill="FFFFFF"/>
            <w:vAlign w:val="center"/>
          </w:tcPr>
          <w:p w:rsidR="00B32A2A" w:rsidRPr="00B32A2A" w:rsidRDefault="00B32A2A" w:rsidP="00B32A2A">
            <w:pPr>
              <w:pStyle w:val="ColorfulList-Accent13"/>
              <w:ind w:left="0"/>
              <w:jc w:val="both"/>
              <w:rPr>
                <w:rFonts w:cs="Arial"/>
                <w:b/>
                <w:bCs/>
                <w:noProof/>
                <w:sz w:val="16"/>
                <w:szCs w:val="16"/>
              </w:rPr>
            </w:pPr>
            <w:r>
              <w:rPr>
                <w:b/>
                <w:noProof/>
                <w:sz w:val="16"/>
              </w:rPr>
              <w:t>M</w:t>
            </w:r>
          </w:p>
        </w:tc>
        <w:tc>
          <w:tcPr>
            <w:tcW w:w="851" w:type="dxa"/>
            <w:shd w:val="clear" w:color="auto" w:fill="FFFFFF"/>
            <w:vAlign w:val="center"/>
          </w:tcPr>
          <w:p w:rsidR="00B32A2A" w:rsidRPr="00B32A2A" w:rsidRDefault="00B32A2A" w:rsidP="00B32A2A">
            <w:pPr>
              <w:pStyle w:val="ColorfulList-Accent13"/>
              <w:ind w:left="0"/>
              <w:jc w:val="both"/>
              <w:rPr>
                <w:rFonts w:cs="Arial"/>
                <w:b/>
                <w:bCs/>
                <w:noProof/>
                <w:sz w:val="16"/>
                <w:szCs w:val="16"/>
              </w:rPr>
            </w:pPr>
            <w:r>
              <w:rPr>
                <w:b/>
                <w:noProof/>
                <w:sz w:val="16"/>
              </w:rPr>
              <w:t>F</w:t>
            </w:r>
          </w:p>
        </w:tc>
        <w:tc>
          <w:tcPr>
            <w:tcW w:w="850" w:type="dxa"/>
            <w:gridSpan w:val="2"/>
            <w:shd w:val="clear" w:color="auto" w:fill="FFFFFF"/>
            <w:vAlign w:val="center"/>
          </w:tcPr>
          <w:p w:rsidR="00B32A2A" w:rsidRPr="00B32A2A" w:rsidRDefault="00B32A2A" w:rsidP="00B32A2A">
            <w:pPr>
              <w:pStyle w:val="ColorfulList-Accent13"/>
              <w:ind w:left="0"/>
              <w:jc w:val="both"/>
              <w:rPr>
                <w:rFonts w:cs="Arial"/>
                <w:b/>
                <w:bCs/>
                <w:noProof/>
                <w:sz w:val="16"/>
                <w:szCs w:val="16"/>
              </w:rPr>
            </w:pPr>
            <w:r>
              <w:rPr>
                <w:b/>
                <w:noProof/>
                <w:sz w:val="16"/>
              </w:rPr>
              <w:t>T</w:t>
            </w:r>
          </w:p>
        </w:tc>
        <w:tc>
          <w:tcPr>
            <w:tcW w:w="1226" w:type="dxa"/>
            <w:vMerge/>
            <w:shd w:val="clear" w:color="auto" w:fill="FFFFFF"/>
            <w:vAlign w:val="center"/>
          </w:tcPr>
          <w:p w:rsidR="00B32A2A" w:rsidRPr="00B32A2A" w:rsidRDefault="00B32A2A" w:rsidP="00B32A2A">
            <w:pPr>
              <w:pStyle w:val="ColorfulList-Accent13"/>
              <w:ind w:left="0"/>
              <w:jc w:val="both"/>
              <w:rPr>
                <w:rFonts w:cs="Arial"/>
                <w:b/>
                <w:bCs/>
                <w:noProof/>
                <w:sz w:val="16"/>
                <w:szCs w:val="16"/>
              </w:rPr>
            </w:pPr>
          </w:p>
        </w:tc>
      </w:tr>
      <w:tr w:rsidR="00B32A2A" w:rsidRPr="00B32A2A" w:rsidTr="00B32A2A">
        <w:trPr>
          <w:trHeight w:val="54"/>
        </w:trPr>
        <w:tc>
          <w:tcPr>
            <w:tcW w:w="1843" w:type="dxa"/>
            <w:vMerge w:val="restart"/>
            <w:shd w:val="clear" w:color="auto" w:fill="FFFFFF"/>
            <w:vAlign w:val="center"/>
          </w:tcPr>
          <w:p w:rsidR="00B32A2A" w:rsidRPr="00B32A2A" w:rsidRDefault="00B32A2A" w:rsidP="00B32A2A">
            <w:pPr>
              <w:pStyle w:val="ColorfulList-Accent13"/>
              <w:ind w:left="0"/>
              <w:jc w:val="both"/>
              <w:rPr>
                <w:rFonts w:cs="Arial"/>
                <w:bCs/>
                <w:noProof/>
                <w:sz w:val="20"/>
              </w:rPr>
            </w:pPr>
            <w:r>
              <w:rPr>
                <w:noProof/>
                <w:sz w:val="20"/>
              </w:rPr>
              <w:t>Penta3 coverage</w:t>
            </w:r>
          </w:p>
        </w:tc>
        <w:tc>
          <w:tcPr>
            <w:tcW w:w="1559" w:type="dxa"/>
            <w:gridSpan w:val="2"/>
            <w:shd w:val="clear" w:color="auto" w:fill="FFFFFF"/>
            <w:vAlign w:val="center"/>
          </w:tcPr>
          <w:p w:rsidR="00B32A2A" w:rsidRPr="00B32A2A" w:rsidRDefault="00B32A2A" w:rsidP="00B32A2A">
            <w:pPr>
              <w:pStyle w:val="ColorfulList-Accent13"/>
              <w:ind w:left="0"/>
              <w:jc w:val="both"/>
              <w:rPr>
                <w:rFonts w:cs="Arial"/>
                <w:noProof/>
                <w:sz w:val="20"/>
              </w:rPr>
            </w:pPr>
            <w:r>
              <w:rPr>
                <w:noProof/>
                <w:sz w:val="20"/>
              </w:rPr>
              <w:t>Administrative Data</w:t>
            </w:r>
          </w:p>
        </w:tc>
        <w:tc>
          <w:tcPr>
            <w:tcW w:w="1384"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96%</w:t>
            </w:r>
          </w:p>
        </w:tc>
        <w:tc>
          <w:tcPr>
            <w:tcW w:w="1876" w:type="dxa"/>
            <w:gridSpan w:val="2"/>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N/A</w:t>
            </w: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N/A</w:t>
            </w: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N/A</w:t>
            </w:r>
          </w:p>
        </w:tc>
        <w:tc>
          <w:tcPr>
            <w:tcW w:w="850" w:type="dxa"/>
            <w:gridSpan w:val="2"/>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96%</w:t>
            </w:r>
          </w:p>
        </w:tc>
        <w:tc>
          <w:tcPr>
            <w:tcW w:w="1226"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2012</w:t>
            </w:r>
          </w:p>
        </w:tc>
      </w:tr>
      <w:tr w:rsidR="00B32A2A" w:rsidRPr="00B32A2A" w:rsidTr="00B32A2A">
        <w:trPr>
          <w:trHeight w:val="54"/>
        </w:trPr>
        <w:tc>
          <w:tcPr>
            <w:tcW w:w="1843" w:type="dxa"/>
            <w:vMerge/>
            <w:shd w:val="clear" w:color="auto" w:fill="FFFFFF"/>
            <w:vAlign w:val="center"/>
          </w:tcPr>
          <w:p w:rsidR="00B32A2A" w:rsidRPr="00B32A2A" w:rsidRDefault="00B32A2A" w:rsidP="00B32A2A">
            <w:pPr>
              <w:pStyle w:val="ColorfulList-Accent13"/>
              <w:ind w:left="0"/>
              <w:jc w:val="both"/>
              <w:rPr>
                <w:rFonts w:cs="Arial"/>
                <w:b/>
                <w:bCs/>
                <w:noProof/>
                <w:sz w:val="20"/>
              </w:rPr>
            </w:pPr>
          </w:p>
        </w:tc>
        <w:tc>
          <w:tcPr>
            <w:tcW w:w="1559" w:type="dxa"/>
            <w:gridSpan w:val="2"/>
            <w:shd w:val="clear" w:color="auto" w:fill="FFFFFF"/>
            <w:vAlign w:val="center"/>
          </w:tcPr>
          <w:p w:rsidR="00B32A2A" w:rsidRPr="00B32A2A" w:rsidRDefault="00B32A2A" w:rsidP="00B32A2A">
            <w:pPr>
              <w:pStyle w:val="ColorfulList-Accent13"/>
              <w:ind w:left="0"/>
              <w:jc w:val="both"/>
              <w:rPr>
                <w:rFonts w:cs="Arial"/>
                <w:noProof/>
                <w:sz w:val="20"/>
              </w:rPr>
            </w:pPr>
            <w:r>
              <w:rPr>
                <w:noProof/>
                <w:sz w:val="20"/>
              </w:rPr>
              <w:t>DHSN</w:t>
            </w:r>
          </w:p>
        </w:tc>
        <w:tc>
          <w:tcPr>
            <w:tcW w:w="1384"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68%</w:t>
            </w:r>
          </w:p>
        </w:tc>
        <w:tc>
          <w:tcPr>
            <w:tcW w:w="1876" w:type="dxa"/>
            <w:gridSpan w:val="2"/>
            <w:shd w:val="clear" w:color="auto" w:fill="FFFFFF"/>
            <w:vAlign w:val="center"/>
          </w:tcPr>
          <w:p w:rsidR="00B32A2A" w:rsidRPr="00B32A2A" w:rsidRDefault="00B32A2A" w:rsidP="00B32A2A">
            <w:pPr>
              <w:pStyle w:val="ColorfulList-Accent13"/>
              <w:ind w:left="0"/>
              <w:jc w:val="center"/>
              <w:rPr>
                <w:rFonts w:cs="Arial"/>
                <w:b/>
                <w:bCs/>
                <w:noProof/>
                <w:sz w:val="20"/>
              </w:rPr>
            </w:pP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67.5%</w:t>
            </w: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68.6%</w:t>
            </w:r>
          </w:p>
        </w:tc>
        <w:tc>
          <w:tcPr>
            <w:tcW w:w="850" w:type="dxa"/>
            <w:gridSpan w:val="2"/>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68.1%</w:t>
            </w:r>
          </w:p>
        </w:tc>
        <w:tc>
          <w:tcPr>
            <w:tcW w:w="1226"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2012</w:t>
            </w:r>
          </w:p>
        </w:tc>
      </w:tr>
      <w:tr w:rsidR="00B32A2A" w:rsidRPr="00B32A2A" w:rsidTr="00B32A2A">
        <w:trPr>
          <w:trHeight w:val="54"/>
        </w:trPr>
        <w:tc>
          <w:tcPr>
            <w:tcW w:w="1843" w:type="dxa"/>
            <w:vMerge/>
            <w:shd w:val="clear" w:color="auto" w:fill="FFFFFF"/>
            <w:vAlign w:val="center"/>
          </w:tcPr>
          <w:p w:rsidR="00B32A2A" w:rsidRPr="00B32A2A" w:rsidRDefault="00B32A2A" w:rsidP="00B32A2A">
            <w:pPr>
              <w:pStyle w:val="ColorfulList-Accent13"/>
              <w:ind w:left="0"/>
              <w:jc w:val="both"/>
              <w:rPr>
                <w:rFonts w:cs="Arial"/>
                <w:b/>
                <w:bCs/>
                <w:noProof/>
                <w:sz w:val="20"/>
              </w:rPr>
            </w:pPr>
          </w:p>
        </w:tc>
        <w:tc>
          <w:tcPr>
            <w:tcW w:w="1559" w:type="dxa"/>
            <w:gridSpan w:val="2"/>
            <w:shd w:val="clear" w:color="auto" w:fill="FFFFFF"/>
            <w:vAlign w:val="center"/>
          </w:tcPr>
          <w:p w:rsidR="00B32A2A" w:rsidRPr="00B32A2A" w:rsidRDefault="00B32A2A" w:rsidP="00B32A2A">
            <w:pPr>
              <w:pStyle w:val="ColorfulList-Accent13"/>
              <w:ind w:left="0"/>
              <w:jc w:val="both"/>
              <w:rPr>
                <w:rFonts w:cs="Arial"/>
                <w:noProof/>
                <w:sz w:val="20"/>
              </w:rPr>
            </w:pPr>
            <w:r>
              <w:rPr>
                <w:noProof/>
                <w:sz w:val="20"/>
              </w:rPr>
              <w:t xml:space="preserve">FIC </w:t>
            </w:r>
          </w:p>
        </w:tc>
        <w:tc>
          <w:tcPr>
            <w:tcW w:w="1384"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78%</w:t>
            </w:r>
          </w:p>
        </w:tc>
        <w:tc>
          <w:tcPr>
            <w:tcW w:w="1876" w:type="dxa"/>
            <w:gridSpan w:val="2"/>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42%</w:t>
            </w: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78.0%</w:t>
            </w: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77.4%</w:t>
            </w:r>
          </w:p>
        </w:tc>
        <w:tc>
          <w:tcPr>
            <w:tcW w:w="850" w:type="dxa"/>
            <w:gridSpan w:val="2"/>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78%</w:t>
            </w:r>
          </w:p>
        </w:tc>
        <w:tc>
          <w:tcPr>
            <w:tcW w:w="1226"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2012</w:t>
            </w:r>
          </w:p>
        </w:tc>
      </w:tr>
      <w:tr w:rsidR="00B32A2A" w:rsidRPr="00B32A2A" w:rsidTr="00B32A2A">
        <w:trPr>
          <w:trHeight w:val="54"/>
        </w:trPr>
        <w:tc>
          <w:tcPr>
            <w:tcW w:w="1843" w:type="dxa"/>
            <w:vMerge w:val="restart"/>
            <w:shd w:val="clear" w:color="auto" w:fill="FFFFFF"/>
            <w:vAlign w:val="center"/>
          </w:tcPr>
          <w:p w:rsidR="00B32A2A" w:rsidRPr="00B32A2A" w:rsidRDefault="00B32A2A" w:rsidP="00B32A2A">
            <w:pPr>
              <w:pStyle w:val="ColorfulList-Accent13"/>
              <w:ind w:left="0"/>
              <w:jc w:val="both"/>
              <w:rPr>
                <w:rFonts w:cs="Arial"/>
                <w:b/>
                <w:bCs/>
                <w:noProof/>
                <w:sz w:val="20"/>
              </w:rPr>
            </w:pPr>
            <w:r>
              <w:rPr>
                <w:noProof/>
                <w:sz w:val="20"/>
              </w:rPr>
              <w:t>Coverage for 1</w:t>
            </w:r>
            <w:r>
              <w:rPr>
                <w:noProof/>
                <w:sz w:val="20"/>
                <w:vertAlign w:val="superscript"/>
              </w:rPr>
              <w:t>st</w:t>
            </w:r>
            <w:r>
              <w:rPr>
                <w:noProof/>
                <w:sz w:val="20"/>
              </w:rPr>
              <w:t xml:space="preserve"> dose of measles vaccine</w:t>
            </w:r>
          </w:p>
        </w:tc>
        <w:tc>
          <w:tcPr>
            <w:tcW w:w="1559" w:type="dxa"/>
            <w:gridSpan w:val="2"/>
            <w:shd w:val="clear" w:color="auto" w:fill="FFFFFF"/>
            <w:vAlign w:val="center"/>
          </w:tcPr>
          <w:p w:rsidR="00B32A2A" w:rsidRPr="00B32A2A" w:rsidRDefault="00B32A2A" w:rsidP="00B32A2A">
            <w:pPr>
              <w:pStyle w:val="ColorfulList-Accent13"/>
              <w:ind w:left="0"/>
              <w:jc w:val="both"/>
              <w:rPr>
                <w:rFonts w:cs="Arial"/>
                <w:noProof/>
                <w:sz w:val="20"/>
              </w:rPr>
            </w:pPr>
            <w:r>
              <w:rPr>
                <w:noProof/>
                <w:sz w:val="20"/>
              </w:rPr>
              <w:t>Administrative Data</w:t>
            </w:r>
          </w:p>
        </w:tc>
        <w:tc>
          <w:tcPr>
            <w:tcW w:w="1384"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91%</w:t>
            </w:r>
          </w:p>
        </w:tc>
        <w:tc>
          <w:tcPr>
            <w:tcW w:w="1876" w:type="dxa"/>
            <w:gridSpan w:val="2"/>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44%</w:t>
            </w: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N/A</w:t>
            </w: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N/A</w:t>
            </w:r>
          </w:p>
        </w:tc>
        <w:tc>
          <w:tcPr>
            <w:tcW w:w="850" w:type="dxa"/>
            <w:gridSpan w:val="2"/>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91%</w:t>
            </w:r>
          </w:p>
        </w:tc>
        <w:tc>
          <w:tcPr>
            <w:tcW w:w="1226"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2012</w:t>
            </w:r>
          </w:p>
        </w:tc>
      </w:tr>
      <w:tr w:rsidR="00B32A2A" w:rsidRPr="00B32A2A" w:rsidTr="00B32A2A">
        <w:trPr>
          <w:trHeight w:val="54"/>
        </w:trPr>
        <w:tc>
          <w:tcPr>
            <w:tcW w:w="1843" w:type="dxa"/>
            <w:vMerge/>
            <w:shd w:val="clear" w:color="auto" w:fill="FFFFFF"/>
            <w:vAlign w:val="center"/>
          </w:tcPr>
          <w:p w:rsidR="00B32A2A" w:rsidRPr="00B32A2A" w:rsidRDefault="00B32A2A" w:rsidP="00B32A2A">
            <w:pPr>
              <w:pStyle w:val="ColorfulList-Accent13"/>
              <w:ind w:left="0"/>
              <w:jc w:val="both"/>
              <w:rPr>
                <w:rFonts w:cs="Arial"/>
                <w:b/>
                <w:bCs/>
                <w:noProof/>
                <w:sz w:val="20"/>
              </w:rPr>
            </w:pPr>
          </w:p>
        </w:tc>
        <w:tc>
          <w:tcPr>
            <w:tcW w:w="1559" w:type="dxa"/>
            <w:gridSpan w:val="2"/>
            <w:shd w:val="clear" w:color="auto" w:fill="FFFFFF"/>
            <w:vAlign w:val="center"/>
          </w:tcPr>
          <w:p w:rsidR="00B32A2A" w:rsidRPr="00B32A2A" w:rsidRDefault="00B32A2A" w:rsidP="00B32A2A">
            <w:pPr>
              <w:pStyle w:val="ColorfulList-Accent13"/>
              <w:ind w:left="0"/>
              <w:jc w:val="both"/>
              <w:rPr>
                <w:rFonts w:cs="Arial"/>
                <w:noProof/>
                <w:sz w:val="20"/>
              </w:rPr>
            </w:pPr>
            <w:r>
              <w:rPr>
                <w:noProof/>
                <w:sz w:val="20"/>
              </w:rPr>
              <w:t>DHSN</w:t>
            </w:r>
          </w:p>
        </w:tc>
        <w:tc>
          <w:tcPr>
            <w:tcW w:w="1384"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69%</w:t>
            </w:r>
          </w:p>
        </w:tc>
        <w:tc>
          <w:tcPr>
            <w:tcW w:w="1876" w:type="dxa"/>
            <w:gridSpan w:val="2"/>
            <w:shd w:val="clear" w:color="auto" w:fill="FFFFFF"/>
            <w:vAlign w:val="center"/>
          </w:tcPr>
          <w:p w:rsidR="00B32A2A" w:rsidRPr="00B32A2A" w:rsidRDefault="00B32A2A" w:rsidP="00B32A2A">
            <w:pPr>
              <w:pStyle w:val="ColorfulList-Accent13"/>
              <w:ind w:left="0"/>
              <w:jc w:val="center"/>
              <w:rPr>
                <w:rFonts w:cs="Arial"/>
                <w:b/>
                <w:bCs/>
                <w:noProof/>
                <w:sz w:val="20"/>
              </w:rPr>
            </w:pP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68.9%</w:t>
            </w: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68.5%</w:t>
            </w:r>
          </w:p>
        </w:tc>
        <w:tc>
          <w:tcPr>
            <w:tcW w:w="850" w:type="dxa"/>
            <w:gridSpan w:val="2"/>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68.7%</w:t>
            </w:r>
          </w:p>
        </w:tc>
        <w:tc>
          <w:tcPr>
            <w:tcW w:w="1226"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2012</w:t>
            </w:r>
          </w:p>
        </w:tc>
      </w:tr>
      <w:tr w:rsidR="00B32A2A" w:rsidRPr="00B32A2A" w:rsidTr="00B32A2A">
        <w:trPr>
          <w:trHeight w:val="54"/>
        </w:trPr>
        <w:tc>
          <w:tcPr>
            <w:tcW w:w="1843" w:type="dxa"/>
            <w:vMerge/>
            <w:shd w:val="clear" w:color="auto" w:fill="FFFFFF"/>
            <w:vAlign w:val="center"/>
          </w:tcPr>
          <w:p w:rsidR="00B32A2A" w:rsidRPr="00B32A2A" w:rsidRDefault="00B32A2A" w:rsidP="00B32A2A">
            <w:pPr>
              <w:pStyle w:val="ColorfulList-Accent13"/>
              <w:ind w:left="0"/>
              <w:jc w:val="both"/>
              <w:rPr>
                <w:rFonts w:cs="Arial"/>
                <w:b/>
                <w:bCs/>
                <w:noProof/>
                <w:sz w:val="20"/>
              </w:rPr>
            </w:pPr>
          </w:p>
        </w:tc>
        <w:tc>
          <w:tcPr>
            <w:tcW w:w="1559" w:type="dxa"/>
            <w:gridSpan w:val="2"/>
            <w:shd w:val="clear" w:color="auto" w:fill="FFFFFF"/>
            <w:vAlign w:val="center"/>
          </w:tcPr>
          <w:p w:rsidR="00B32A2A" w:rsidRPr="00B32A2A" w:rsidRDefault="00B32A2A" w:rsidP="00B32A2A">
            <w:pPr>
              <w:pStyle w:val="ColorfulList-Accent13"/>
              <w:ind w:left="0"/>
              <w:jc w:val="both"/>
              <w:rPr>
                <w:rFonts w:cs="Arial"/>
                <w:noProof/>
                <w:sz w:val="20"/>
              </w:rPr>
            </w:pPr>
            <w:r>
              <w:rPr>
                <w:noProof/>
                <w:sz w:val="20"/>
              </w:rPr>
              <w:t>FIC</w:t>
            </w:r>
          </w:p>
        </w:tc>
        <w:tc>
          <w:tcPr>
            <w:tcW w:w="1384"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75 %</w:t>
            </w:r>
          </w:p>
        </w:tc>
        <w:tc>
          <w:tcPr>
            <w:tcW w:w="1876" w:type="dxa"/>
            <w:gridSpan w:val="2"/>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45%</w:t>
            </w: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74.7%</w:t>
            </w: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74.7%</w:t>
            </w:r>
          </w:p>
        </w:tc>
        <w:tc>
          <w:tcPr>
            <w:tcW w:w="850" w:type="dxa"/>
            <w:gridSpan w:val="2"/>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74.7%</w:t>
            </w:r>
          </w:p>
        </w:tc>
        <w:tc>
          <w:tcPr>
            <w:tcW w:w="1226"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2012</w:t>
            </w:r>
          </w:p>
        </w:tc>
      </w:tr>
      <w:tr w:rsidR="00B32A2A" w:rsidRPr="00B32A2A" w:rsidTr="00B32A2A">
        <w:trPr>
          <w:trHeight w:val="54"/>
        </w:trPr>
        <w:tc>
          <w:tcPr>
            <w:tcW w:w="1843" w:type="dxa"/>
            <w:vMerge w:val="restart"/>
            <w:shd w:val="clear" w:color="auto" w:fill="FFFFFF"/>
            <w:vAlign w:val="center"/>
          </w:tcPr>
          <w:p w:rsidR="00B32A2A" w:rsidRPr="00B32A2A" w:rsidRDefault="00B32A2A" w:rsidP="00B32A2A">
            <w:pPr>
              <w:pStyle w:val="ColorfulList-Accent13"/>
              <w:ind w:left="0"/>
              <w:jc w:val="both"/>
              <w:rPr>
                <w:rFonts w:cs="Arial"/>
                <w:b/>
                <w:bCs/>
                <w:noProof/>
                <w:sz w:val="20"/>
              </w:rPr>
            </w:pPr>
            <w:r>
              <w:rPr>
                <w:noProof/>
                <w:sz w:val="20"/>
              </w:rPr>
              <w:t>Dropout rate between 1</w:t>
            </w:r>
            <w:r>
              <w:rPr>
                <w:noProof/>
                <w:sz w:val="20"/>
                <w:vertAlign w:val="superscript"/>
              </w:rPr>
              <w:t>st</w:t>
            </w:r>
            <w:r>
              <w:rPr>
                <w:noProof/>
                <w:sz w:val="20"/>
              </w:rPr>
              <w:t xml:space="preserve"> and 3</w:t>
            </w:r>
            <w:r>
              <w:rPr>
                <w:noProof/>
                <w:sz w:val="20"/>
                <w:vertAlign w:val="superscript"/>
              </w:rPr>
              <w:t>rd</w:t>
            </w:r>
            <w:r>
              <w:rPr>
                <w:noProof/>
                <w:sz w:val="20"/>
              </w:rPr>
              <w:t xml:space="preserve"> dose of Penta</w:t>
            </w:r>
          </w:p>
        </w:tc>
        <w:tc>
          <w:tcPr>
            <w:tcW w:w="1559" w:type="dxa"/>
            <w:gridSpan w:val="2"/>
            <w:shd w:val="clear" w:color="auto" w:fill="FFFFFF"/>
            <w:vAlign w:val="center"/>
          </w:tcPr>
          <w:p w:rsidR="00B32A2A" w:rsidRPr="00B32A2A" w:rsidRDefault="00B32A2A" w:rsidP="00B32A2A">
            <w:pPr>
              <w:pStyle w:val="ColorfulList-Accent13"/>
              <w:ind w:left="0"/>
              <w:jc w:val="both"/>
              <w:rPr>
                <w:rFonts w:cs="Arial"/>
                <w:noProof/>
                <w:sz w:val="20"/>
              </w:rPr>
            </w:pPr>
            <w:r>
              <w:rPr>
                <w:noProof/>
                <w:sz w:val="20"/>
              </w:rPr>
              <w:t>Administrative Data</w:t>
            </w:r>
          </w:p>
        </w:tc>
        <w:tc>
          <w:tcPr>
            <w:tcW w:w="1384"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6</w:t>
            </w:r>
          </w:p>
        </w:tc>
        <w:tc>
          <w:tcPr>
            <w:tcW w:w="1876" w:type="dxa"/>
            <w:gridSpan w:val="2"/>
            <w:shd w:val="clear" w:color="auto" w:fill="FFFFFF"/>
            <w:vAlign w:val="center"/>
          </w:tcPr>
          <w:p w:rsidR="00B32A2A" w:rsidRPr="00B32A2A" w:rsidRDefault="00B32A2A" w:rsidP="00B32A2A">
            <w:pPr>
              <w:pStyle w:val="ColorfulList-Accent13"/>
              <w:ind w:left="0"/>
              <w:jc w:val="center"/>
              <w:rPr>
                <w:rFonts w:cs="Arial"/>
                <w:b/>
                <w:bCs/>
                <w:noProof/>
                <w:sz w:val="20"/>
              </w:rPr>
            </w:pP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N/A</w:t>
            </w: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N/A</w:t>
            </w:r>
          </w:p>
        </w:tc>
        <w:tc>
          <w:tcPr>
            <w:tcW w:w="850" w:type="dxa"/>
            <w:gridSpan w:val="2"/>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6</w:t>
            </w:r>
          </w:p>
        </w:tc>
        <w:tc>
          <w:tcPr>
            <w:tcW w:w="1226"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2012</w:t>
            </w:r>
          </w:p>
        </w:tc>
      </w:tr>
      <w:tr w:rsidR="00B32A2A" w:rsidRPr="00B32A2A" w:rsidTr="00B32A2A">
        <w:trPr>
          <w:trHeight w:val="54"/>
        </w:trPr>
        <w:tc>
          <w:tcPr>
            <w:tcW w:w="1843" w:type="dxa"/>
            <w:vMerge/>
            <w:shd w:val="clear" w:color="auto" w:fill="FFFFFF"/>
            <w:vAlign w:val="center"/>
          </w:tcPr>
          <w:p w:rsidR="00B32A2A" w:rsidRPr="00B32A2A" w:rsidRDefault="00B32A2A" w:rsidP="00B32A2A">
            <w:pPr>
              <w:pStyle w:val="ColorfulList-Accent13"/>
              <w:ind w:left="0"/>
              <w:jc w:val="both"/>
              <w:rPr>
                <w:rFonts w:cs="Arial"/>
                <w:b/>
                <w:bCs/>
                <w:noProof/>
                <w:sz w:val="20"/>
              </w:rPr>
            </w:pPr>
          </w:p>
        </w:tc>
        <w:tc>
          <w:tcPr>
            <w:tcW w:w="1559" w:type="dxa"/>
            <w:gridSpan w:val="2"/>
            <w:shd w:val="clear" w:color="auto" w:fill="FFFFFF"/>
            <w:vAlign w:val="center"/>
          </w:tcPr>
          <w:p w:rsidR="00B32A2A" w:rsidRPr="00B32A2A" w:rsidRDefault="00B32A2A" w:rsidP="00B32A2A">
            <w:pPr>
              <w:pStyle w:val="ColorfulList-Accent13"/>
              <w:ind w:left="0"/>
              <w:jc w:val="both"/>
              <w:rPr>
                <w:rFonts w:cs="Arial"/>
                <w:noProof/>
                <w:sz w:val="20"/>
              </w:rPr>
            </w:pPr>
            <w:r>
              <w:rPr>
                <w:noProof/>
                <w:sz w:val="20"/>
              </w:rPr>
              <w:t>DHSN</w:t>
            </w:r>
          </w:p>
        </w:tc>
        <w:tc>
          <w:tcPr>
            <w:tcW w:w="1384"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18</w:t>
            </w:r>
          </w:p>
        </w:tc>
        <w:tc>
          <w:tcPr>
            <w:tcW w:w="1876" w:type="dxa"/>
            <w:gridSpan w:val="2"/>
            <w:shd w:val="clear" w:color="auto" w:fill="FFFFFF"/>
            <w:vAlign w:val="center"/>
          </w:tcPr>
          <w:p w:rsidR="00B32A2A" w:rsidRPr="00B32A2A" w:rsidRDefault="00B32A2A" w:rsidP="00B32A2A">
            <w:pPr>
              <w:pStyle w:val="ColorfulList-Accent13"/>
              <w:ind w:left="0"/>
              <w:jc w:val="center"/>
              <w:rPr>
                <w:rFonts w:cs="Arial"/>
                <w:b/>
                <w:bCs/>
                <w:noProof/>
                <w:sz w:val="20"/>
              </w:rPr>
            </w:pP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N/A</w:t>
            </w: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N/A</w:t>
            </w:r>
          </w:p>
        </w:tc>
        <w:tc>
          <w:tcPr>
            <w:tcW w:w="850" w:type="dxa"/>
            <w:gridSpan w:val="2"/>
            <w:shd w:val="clear" w:color="auto" w:fill="FFFFFF"/>
            <w:vAlign w:val="center"/>
          </w:tcPr>
          <w:p w:rsidR="00B32A2A" w:rsidRPr="00B32A2A" w:rsidRDefault="00B32A2A" w:rsidP="00B32A2A">
            <w:pPr>
              <w:pStyle w:val="ColorfulList-Accent13"/>
              <w:ind w:left="0"/>
              <w:rPr>
                <w:rFonts w:cs="Arial"/>
                <w:b/>
                <w:bCs/>
                <w:noProof/>
                <w:sz w:val="20"/>
              </w:rPr>
            </w:pPr>
            <w:r>
              <w:rPr>
                <w:b/>
                <w:noProof/>
                <w:sz w:val="20"/>
              </w:rPr>
              <w:t xml:space="preserve">    18</w:t>
            </w:r>
          </w:p>
        </w:tc>
        <w:tc>
          <w:tcPr>
            <w:tcW w:w="1226"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2012</w:t>
            </w:r>
          </w:p>
        </w:tc>
      </w:tr>
      <w:tr w:rsidR="00B32A2A" w:rsidRPr="00B32A2A" w:rsidTr="00B32A2A">
        <w:trPr>
          <w:trHeight w:val="54"/>
        </w:trPr>
        <w:tc>
          <w:tcPr>
            <w:tcW w:w="1843" w:type="dxa"/>
            <w:vMerge/>
            <w:shd w:val="clear" w:color="auto" w:fill="FFFFFF"/>
            <w:vAlign w:val="center"/>
          </w:tcPr>
          <w:p w:rsidR="00B32A2A" w:rsidRPr="00B32A2A" w:rsidRDefault="00B32A2A" w:rsidP="00B32A2A">
            <w:pPr>
              <w:pStyle w:val="ColorfulList-Accent13"/>
              <w:ind w:left="0"/>
              <w:jc w:val="both"/>
              <w:rPr>
                <w:rFonts w:cs="Arial"/>
                <w:b/>
                <w:bCs/>
                <w:noProof/>
                <w:sz w:val="20"/>
              </w:rPr>
            </w:pPr>
          </w:p>
        </w:tc>
        <w:tc>
          <w:tcPr>
            <w:tcW w:w="1559" w:type="dxa"/>
            <w:gridSpan w:val="2"/>
            <w:shd w:val="clear" w:color="auto" w:fill="FFFFFF"/>
            <w:vAlign w:val="center"/>
          </w:tcPr>
          <w:p w:rsidR="00B32A2A" w:rsidRPr="00B32A2A" w:rsidRDefault="00B32A2A" w:rsidP="00B32A2A">
            <w:pPr>
              <w:pStyle w:val="ColorfulList-Accent13"/>
              <w:ind w:left="0"/>
              <w:jc w:val="both"/>
              <w:rPr>
                <w:rFonts w:cs="Arial"/>
                <w:noProof/>
                <w:sz w:val="20"/>
              </w:rPr>
            </w:pPr>
            <w:r>
              <w:rPr>
                <w:noProof/>
                <w:sz w:val="20"/>
              </w:rPr>
              <w:t>FIC</w:t>
            </w:r>
          </w:p>
        </w:tc>
        <w:tc>
          <w:tcPr>
            <w:tcW w:w="1384"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9</w:t>
            </w:r>
          </w:p>
        </w:tc>
        <w:tc>
          <w:tcPr>
            <w:tcW w:w="1876" w:type="dxa"/>
            <w:gridSpan w:val="2"/>
            <w:shd w:val="clear" w:color="auto" w:fill="FFFFFF"/>
            <w:vAlign w:val="center"/>
          </w:tcPr>
          <w:p w:rsidR="00B32A2A" w:rsidRPr="00B32A2A" w:rsidRDefault="00B32A2A" w:rsidP="00B32A2A">
            <w:pPr>
              <w:pStyle w:val="ColorfulList-Accent13"/>
              <w:ind w:left="0"/>
              <w:jc w:val="center"/>
              <w:rPr>
                <w:rFonts w:cs="Arial"/>
                <w:b/>
                <w:bCs/>
                <w:noProof/>
                <w:sz w:val="20"/>
              </w:rPr>
            </w:pP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N/A</w:t>
            </w: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N/A</w:t>
            </w:r>
          </w:p>
        </w:tc>
        <w:tc>
          <w:tcPr>
            <w:tcW w:w="850" w:type="dxa"/>
            <w:gridSpan w:val="2"/>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9</w:t>
            </w:r>
          </w:p>
        </w:tc>
        <w:tc>
          <w:tcPr>
            <w:tcW w:w="1226"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2012</w:t>
            </w:r>
          </w:p>
        </w:tc>
      </w:tr>
      <w:tr w:rsidR="00B32A2A" w:rsidRPr="00B32A2A" w:rsidTr="00B32A2A">
        <w:trPr>
          <w:trHeight w:val="54"/>
        </w:trPr>
        <w:tc>
          <w:tcPr>
            <w:tcW w:w="1843" w:type="dxa"/>
            <w:vMerge w:val="restart"/>
            <w:shd w:val="clear" w:color="auto" w:fill="FFFFFF"/>
            <w:vAlign w:val="center"/>
          </w:tcPr>
          <w:p w:rsidR="00B32A2A" w:rsidRPr="00B32A2A" w:rsidRDefault="00B32A2A" w:rsidP="00B32A2A">
            <w:pPr>
              <w:pStyle w:val="ColorfulList-Accent13"/>
              <w:ind w:left="0"/>
              <w:jc w:val="both"/>
              <w:rPr>
                <w:rFonts w:cs="Arial"/>
                <w:noProof/>
                <w:sz w:val="20"/>
              </w:rPr>
            </w:pPr>
            <w:r>
              <w:rPr>
                <w:noProof/>
                <w:sz w:val="20"/>
              </w:rPr>
              <w:t>Percent of districts with PENTA3 coverage ≥80%</w:t>
            </w:r>
          </w:p>
        </w:tc>
        <w:tc>
          <w:tcPr>
            <w:tcW w:w="1559" w:type="dxa"/>
            <w:gridSpan w:val="2"/>
            <w:shd w:val="clear" w:color="auto" w:fill="FFFFFF"/>
            <w:vAlign w:val="center"/>
          </w:tcPr>
          <w:p w:rsidR="00B32A2A" w:rsidRPr="00B32A2A" w:rsidRDefault="00B32A2A" w:rsidP="00B32A2A">
            <w:pPr>
              <w:pStyle w:val="ColorfulList-Accent13"/>
              <w:ind w:left="0"/>
              <w:jc w:val="both"/>
              <w:rPr>
                <w:rFonts w:cs="Arial"/>
                <w:noProof/>
                <w:sz w:val="20"/>
              </w:rPr>
            </w:pPr>
            <w:r>
              <w:rPr>
                <w:noProof/>
                <w:sz w:val="20"/>
              </w:rPr>
              <w:t>Administrative Data</w:t>
            </w:r>
          </w:p>
        </w:tc>
        <w:tc>
          <w:tcPr>
            <w:tcW w:w="1384"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98%</w:t>
            </w:r>
          </w:p>
        </w:tc>
        <w:tc>
          <w:tcPr>
            <w:tcW w:w="1876" w:type="dxa"/>
            <w:gridSpan w:val="2"/>
            <w:shd w:val="clear" w:color="auto" w:fill="FFFFFF"/>
            <w:vAlign w:val="center"/>
          </w:tcPr>
          <w:p w:rsidR="00B32A2A" w:rsidRPr="00B32A2A" w:rsidRDefault="00B32A2A" w:rsidP="00B32A2A">
            <w:pPr>
              <w:pStyle w:val="ColorfulList-Accent13"/>
              <w:ind w:left="0"/>
              <w:jc w:val="center"/>
              <w:rPr>
                <w:rFonts w:cs="Arial"/>
                <w:b/>
                <w:bCs/>
                <w:noProof/>
                <w:sz w:val="20"/>
              </w:rPr>
            </w:pP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N/A</w:t>
            </w: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N/A</w:t>
            </w:r>
          </w:p>
        </w:tc>
        <w:tc>
          <w:tcPr>
            <w:tcW w:w="850" w:type="dxa"/>
            <w:gridSpan w:val="2"/>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98%</w:t>
            </w:r>
          </w:p>
        </w:tc>
        <w:tc>
          <w:tcPr>
            <w:tcW w:w="1226"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2012</w:t>
            </w:r>
          </w:p>
        </w:tc>
      </w:tr>
      <w:tr w:rsidR="00B32A2A" w:rsidRPr="00B32A2A" w:rsidTr="00B32A2A">
        <w:trPr>
          <w:trHeight w:val="54"/>
        </w:trPr>
        <w:tc>
          <w:tcPr>
            <w:tcW w:w="1843" w:type="dxa"/>
            <w:vMerge/>
            <w:shd w:val="clear" w:color="auto" w:fill="FFFFFF"/>
            <w:vAlign w:val="center"/>
          </w:tcPr>
          <w:p w:rsidR="00B32A2A" w:rsidRPr="00B32A2A" w:rsidRDefault="00B32A2A" w:rsidP="00B32A2A">
            <w:pPr>
              <w:pStyle w:val="ColorfulList-Accent13"/>
              <w:ind w:left="0"/>
              <w:jc w:val="both"/>
              <w:rPr>
                <w:rFonts w:cs="Arial"/>
                <w:b/>
                <w:bCs/>
                <w:noProof/>
                <w:szCs w:val="22"/>
              </w:rPr>
            </w:pPr>
          </w:p>
        </w:tc>
        <w:tc>
          <w:tcPr>
            <w:tcW w:w="1559" w:type="dxa"/>
            <w:gridSpan w:val="2"/>
            <w:shd w:val="clear" w:color="auto" w:fill="FFFFFF"/>
            <w:vAlign w:val="center"/>
          </w:tcPr>
          <w:p w:rsidR="00B32A2A" w:rsidRPr="00B32A2A" w:rsidRDefault="00B32A2A" w:rsidP="00B32A2A">
            <w:pPr>
              <w:pStyle w:val="ColorfulList-Accent13"/>
              <w:ind w:left="0"/>
              <w:jc w:val="both"/>
              <w:rPr>
                <w:rFonts w:cs="Arial"/>
                <w:noProof/>
                <w:szCs w:val="22"/>
              </w:rPr>
            </w:pPr>
            <w:r>
              <w:t>DHSN</w:t>
            </w:r>
          </w:p>
        </w:tc>
        <w:tc>
          <w:tcPr>
            <w:tcW w:w="1384" w:type="dxa"/>
            <w:shd w:val="clear" w:color="auto" w:fill="FFFFFF"/>
            <w:vAlign w:val="center"/>
          </w:tcPr>
          <w:p w:rsidR="00B32A2A" w:rsidRPr="00B32A2A" w:rsidRDefault="00B32A2A" w:rsidP="00B32A2A">
            <w:pPr>
              <w:pStyle w:val="ColorfulList-Accent13"/>
              <w:ind w:left="0"/>
              <w:jc w:val="center"/>
              <w:rPr>
                <w:rFonts w:cs="Arial"/>
                <w:b/>
                <w:bCs/>
                <w:noProof/>
                <w:szCs w:val="22"/>
              </w:rPr>
            </w:pPr>
            <w:r>
              <w:rPr>
                <w:b/>
                <w:noProof/>
              </w:rPr>
              <w:t>N/A</w:t>
            </w:r>
          </w:p>
        </w:tc>
        <w:tc>
          <w:tcPr>
            <w:tcW w:w="1876" w:type="dxa"/>
            <w:gridSpan w:val="2"/>
            <w:shd w:val="clear" w:color="auto" w:fill="FFFFFF"/>
            <w:vAlign w:val="center"/>
          </w:tcPr>
          <w:p w:rsidR="00B32A2A" w:rsidRPr="00B32A2A" w:rsidRDefault="00B32A2A" w:rsidP="00B32A2A">
            <w:pPr>
              <w:pStyle w:val="ColorfulList-Accent13"/>
              <w:ind w:left="0"/>
              <w:jc w:val="center"/>
              <w:rPr>
                <w:rFonts w:cs="Arial"/>
                <w:b/>
                <w:bCs/>
                <w:noProof/>
                <w:szCs w:val="22"/>
              </w:rPr>
            </w:pP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Cs w:val="22"/>
              </w:rPr>
            </w:pP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Cs w:val="22"/>
              </w:rPr>
            </w:pPr>
          </w:p>
        </w:tc>
        <w:tc>
          <w:tcPr>
            <w:tcW w:w="850" w:type="dxa"/>
            <w:gridSpan w:val="2"/>
            <w:shd w:val="clear" w:color="auto" w:fill="FFFFFF"/>
            <w:vAlign w:val="center"/>
          </w:tcPr>
          <w:p w:rsidR="00B32A2A" w:rsidRPr="00B32A2A" w:rsidRDefault="00B32A2A" w:rsidP="00B32A2A">
            <w:pPr>
              <w:pStyle w:val="ColorfulList-Accent13"/>
              <w:ind w:left="0"/>
              <w:jc w:val="center"/>
              <w:rPr>
                <w:rFonts w:cs="Arial"/>
                <w:b/>
                <w:bCs/>
                <w:noProof/>
                <w:szCs w:val="22"/>
              </w:rPr>
            </w:pPr>
          </w:p>
        </w:tc>
        <w:tc>
          <w:tcPr>
            <w:tcW w:w="1226" w:type="dxa"/>
            <w:shd w:val="clear" w:color="auto" w:fill="FFFFFF"/>
            <w:vAlign w:val="center"/>
          </w:tcPr>
          <w:p w:rsidR="00B32A2A" w:rsidRPr="00B32A2A" w:rsidRDefault="00B32A2A" w:rsidP="00B32A2A">
            <w:pPr>
              <w:pStyle w:val="ColorfulList-Accent13"/>
              <w:ind w:left="0"/>
              <w:jc w:val="center"/>
              <w:rPr>
                <w:rFonts w:cs="Arial"/>
                <w:b/>
                <w:bCs/>
                <w:noProof/>
                <w:szCs w:val="22"/>
              </w:rPr>
            </w:pPr>
            <w:r>
              <w:rPr>
                <w:b/>
                <w:noProof/>
              </w:rPr>
              <w:t>2012</w:t>
            </w:r>
          </w:p>
        </w:tc>
      </w:tr>
      <w:tr w:rsidR="00B32A2A" w:rsidRPr="00B32A2A" w:rsidTr="00B32A2A">
        <w:trPr>
          <w:trHeight w:val="54"/>
        </w:trPr>
        <w:tc>
          <w:tcPr>
            <w:tcW w:w="1843" w:type="dxa"/>
            <w:vMerge/>
            <w:shd w:val="clear" w:color="auto" w:fill="FFFFFF"/>
            <w:vAlign w:val="center"/>
          </w:tcPr>
          <w:p w:rsidR="00B32A2A" w:rsidRPr="00B32A2A" w:rsidRDefault="00B32A2A" w:rsidP="00B32A2A">
            <w:pPr>
              <w:pStyle w:val="ColorfulList-Accent13"/>
              <w:ind w:left="0"/>
              <w:jc w:val="both"/>
              <w:rPr>
                <w:rFonts w:cs="Arial"/>
                <w:b/>
                <w:bCs/>
                <w:noProof/>
                <w:szCs w:val="22"/>
              </w:rPr>
            </w:pPr>
          </w:p>
        </w:tc>
        <w:tc>
          <w:tcPr>
            <w:tcW w:w="1559" w:type="dxa"/>
            <w:gridSpan w:val="2"/>
            <w:shd w:val="clear" w:color="auto" w:fill="FFFFFF"/>
            <w:vAlign w:val="center"/>
          </w:tcPr>
          <w:p w:rsidR="00B32A2A" w:rsidRPr="00B32A2A" w:rsidRDefault="00B32A2A" w:rsidP="00B32A2A">
            <w:pPr>
              <w:pStyle w:val="ColorfulList-Accent13"/>
              <w:ind w:left="0"/>
              <w:jc w:val="both"/>
              <w:rPr>
                <w:rFonts w:cs="Arial"/>
                <w:noProof/>
                <w:szCs w:val="22"/>
              </w:rPr>
            </w:pPr>
            <w:r>
              <w:t>FIC</w:t>
            </w:r>
          </w:p>
        </w:tc>
        <w:tc>
          <w:tcPr>
            <w:tcW w:w="1384" w:type="dxa"/>
            <w:shd w:val="clear" w:color="auto" w:fill="FFFFFF"/>
            <w:vAlign w:val="center"/>
          </w:tcPr>
          <w:p w:rsidR="00B32A2A" w:rsidRPr="00B32A2A" w:rsidRDefault="00B32A2A" w:rsidP="00B32A2A">
            <w:pPr>
              <w:pStyle w:val="ColorfulList-Accent13"/>
              <w:ind w:left="0"/>
              <w:jc w:val="center"/>
              <w:rPr>
                <w:rFonts w:cs="Arial"/>
                <w:b/>
                <w:bCs/>
                <w:noProof/>
                <w:szCs w:val="22"/>
              </w:rPr>
            </w:pPr>
            <w:r>
              <w:rPr>
                <w:b/>
                <w:noProof/>
              </w:rPr>
              <w:t>46%</w:t>
            </w:r>
          </w:p>
        </w:tc>
        <w:tc>
          <w:tcPr>
            <w:tcW w:w="1876" w:type="dxa"/>
            <w:gridSpan w:val="2"/>
            <w:shd w:val="clear" w:color="auto" w:fill="FFFFFF"/>
            <w:vAlign w:val="center"/>
          </w:tcPr>
          <w:p w:rsidR="00B32A2A" w:rsidRPr="00B32A2A" w:rsidRDefault="00B32A2A" w:rsidP="00B32A2A">
            <w:pPr>
              <w:pStyle w:val="ColorfulList-Accent13"/>
              <w:ind w:left="0"/>
              <w:jc w:val="center"/>
              <w:rPr>
                <w:rFonts w:cs="Arial"/>
                <w:b/>
                <w:bCs/>
                <w:noProof/>
                <w:szCs w:val="22"/>
              </w:rPr>
            </w:pP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Cs w:val="22"/>
              </w:rPr>
            </w:pP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Cs w:val="22"/>
              </w:rPr>
            </w:pPr>
          </w:p>
        </w:tc>
        <w:tc>
          <w:tcPr>
            <w:tcW w:w="850" w:type="dxa"/>
            <w:gridSpan w:val="2"/>
            <w:shd w:val="clear" w:color="auto" w:fill="FFFFFF"/>
            <w:vAlign w:val="center"/>
          </w:tcPr>
          <w:p w:rsidR="00B32A2A" w:rsidRPr="00B32A2A" w:rsidRDefault="00B32A2A" w:rsidP="00B32A2A">
            <w:pPr>
              <w:pStyle w:val="ColorfulList-Accent13"/>
              <w:ind w:left="0"/>
              <w:jc w:val="center"/>
              <w:rPr>
                <w:rFonts w:cs="Arial"/>
                <w:b/>
                <w:bCs/>
                <w:noProof/>
                <w:szCs w:val="22"/>
              </w:rPr>
            </w:pPr>
          </w:p>
        </w:tc>
        <w:tc>
          <w:tcPr>
            <w:tcW w:w="1226" w:type="dxa"/>
            <w:shd w:val="clear" w:color="auto" w:fill="FFFFFF"/>
            <w:vAlign w:val="center"/>
          </w:tcPr>
          <w:p w:rsidR="00B32A2A" w:rsidRPr="00B32A2A" w:rsidRDefault="00B32A2A" w:rsidP="00B32A2A">
            <w:pPr>
              <w:pStyle w:val="ColorfulList-Accent13"/>
              <w:ind w:left="0"/>
              <w:jc w:val="center"/>
              <w:rPr>
                <w:rFonts w:cs="Arial"/>
                <w:b/>
                <w:bCs/>
                <w:noProof/>
                <w:szCs w:val="22"/>
              </w:rPr>
            </w:pPr>
            <w:r>
              <w:rPr>
                <w:b/>
                <w:noProof/>
              </w:rPr>
              <w:t>2012</w:t>
            </w:r>
          </w:p>
        </w:tc>
      </w:tr>
      <w:tr w:rsidR="00B32A2A" w:rsidRPr="00B32A2A" w:rsidTr="00B32A2A">
        <w:trPr>
          <w:trHeight w:val="54"/>
        </w:trPr>
        <w:tc>
          <w:tcPr>
            <w:tcW w:w="1843" w:type="dxa"/>
            <w:vMerge w:val="restart"/>
            <w:shd w:val="clear" w:color="auto" w:fill="FFFFFF"/>
            <w:vAlign w:val="center"/>
          </w:tcPr>
          <w:p w:rsidR="00B32A2A" w:rsidRPr="00B32A2A" w:rsidRDefault="00B32A2A" w:rsidP="00B32A2A">
            <w:pPr>
              <w:pStyle w:val="ColorfulList-Accent13"/>
              <w:ind w:left="0"/>
              <w:jc w:val="both"/>
              <w:rPr>
                <w:rFonts w:cs="Arial"/>
                <w:bCs/>
                <w:noProof/>
                <w:sz w:val="20"/>
              </w:rPr>
            </w:pPr>
            <w:r>
              <w:rPr>
                <w:noProof/>
                <w:sz w:val="20"/>
              </w:rPr>
              <w:t>PENTA3 coverage in the lowest wealth quintile is +/- X% points of the coverage in the highest wealth quintile</w:t>
            </w:r>
          </w:p>
        </w:tc>
        <w:tc>
          <w:tcPr>
            <w:tcW w:w="1559" w:type="dxa"/>
            <w:gridSpan w:val="2"/>
            <w:shd w:val="clear" w:color="auto" w:fill="FFFFFF"/>
            <w:vAlign w:val="center"/>
          </w:tcPr>
          <w:p w:rsidR="00B32A2A" w:rsidRPr="00B32A2A" w:rsidRDefault="00B32A2A" w:rsidP="00B32A2A">
            <w:pPr>
              <w:pStyle w:val="ColorfulList-Accent13"/>
              <w:ind w:left="0"/>
              <w:jc w:val="both"/>
              <w:rPr>
                <w:rFonts w:cs="Arial"/>
                <w:noProof/>
                <w:sz w:val="20"/>
              </w:rPr>
            </w:pPr>
            <w:r>
              <w:rPr>
                <w:noProof/>
                <w:sz w:val="20"/>
              </w:rPr>
              <w:t>Administrative Data</w:t>
            </w:r>
          </w:p>
        </w:tc>
        <w:tc>
          <w:tcPr>
            <w:tcW w:w="1384"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N/A</w:t>
            </w:r>
          </w:p>
        </w:tc>
        <w:tc>
          <w:tcPr>
            <w:tcW w:w="1876" w:type="dxa"/>
            <w:gridSpan w:val="2"/>
            <w:shd w:val="clear" w:color="auto" w:fill="FFFFFF"/>
            <w:vAlign w:val="center"/>
          </w:tcPr>
          <w:p w:rsidR="00B32A2A" w:rsidRPr="00B32A2A" w:rsidRDefault="00B32A2A" w:rsidP="00B32A2A">
            <w:pPr>
              <w:pStyle w:val="ColorfulList-Accent13"/>
              <w:ind w:left="0"/>
              <w:jc w:val="center"/>
              <w:rPr>
                <w:rFonts w:cs="Arial"/>
                <w:b/>
                <w:bCs/>
                <w:noProof/>
                <w:sz w:val="20"/>
              </w:rPr>
            </w:pP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p>
        </w:tc>
        <w:tc>
          <w:tcPr>
            <w:tcW w:w="850" w:type="dxa"/>
            <w:gridSpan w:val="2"/>
            <w:shd w:val="clear" w:color="auto" w:fill="FFFFFF"/>
            <w:vAlign w:val="center"/>
          </w:tcPr>
          <w:p w:rsidR="00B32A2A" w:rsidRPr="00B32A2A" w:rsidRDefault="00B32A2A" w:rsidP="00B32A2A">
            <w:pPr>
              <w:pStyle w:val="ColorfulList-Accent13"/>
              <w:ind w:left="0"/>
              <w:jc w:val="center"/>
              <w:rPr>
                <w:rFonts w:cs="Arial"/>
                <w:b/>
                <w:bCs/>
                <w:noProof/>
                <w:sz w:val="20"/>
              </w:rPr>
            </w:pPr>
          </w:p>
        </w:tc>
        <w:tc>
          <w:tcPr>
            <w:tcW w:w="1226" w:type="dxa"/>
            <w:shd w:val="clear" w:color="auto" w:fill="FFFFFF"/>
            <w:vAlign w:val="center"/>
          </w:tcPr>
          <w:p w:rsidR="00B32A2A" w:rsidRPr="00B32A2A" w:rsidRDefault="00B32A2A" w:rsidP="00B32A2A">
            <w:pPr>
              <w:pStyle w:val="ColorfulList-Accent13"/>
              <w:ind w:left="0"/>
              <w:jc w:val="center"/>
              <w:rPr>
                <w:rFonts w:cs="Arial"/>
                <w:b/>
                <w:bCs/>
                <w:noProof/>
                <w:sz w:val="20"/>
              </w:rPr>
            </w:pPr>
          </w:p>
        </w:tc>
      </w:tr>
      <w:tr w:rsidR="00B32A2A" w:rsidRPr="00B32A2A" w:rsidTr="00B32A2A">
        <w:trPr>
          <w:trHeight w:val="166"/>
        </w:trPr>
        <w:tc>
          <w:tcPr>
            <w:tcW w:w="1843" w:type="dxa"/>
            <w:vMerge/>
            <w:shd w:val="clear" w:color="auto" w:fill="FFFFFF"/>
            <w:vAlign w:val="center"/>
          </w:tcPr>
          <w:p w:rsidR="00B32A2A" w:rsidRPr="00B32A2A" w:rsidRDefault="00B32A2A" w:rsidP="00B32A2A">
            <w:pPr>
              <w:pStyle w:val="ColorfulList-Accent13"/>
              <w:ind w:left="0"/>
              <w:jc w:val="both"/>
              <w:rPr>
                <w:rFonts w:cs="Arial"/>
                <w:bCs/>
                <w:noProof/>
                <w:szCs w:val="22"/>
              </w:rPr>
            </w:pPr>
          </w:p>
        </w:tc>
        <w:tc>
          <w:tcPr>
            <w:tcW w:w="1559" w:type="dxa"/>
            <w:gridSpan w:val="2"/>
            <w:shd w:val="clear" w:color="auto" w:fill="FFFFFF"/>
            <w:vAlign w:val="center"/>
          </w:tcPr>
          <w:p w:rsidR="00B32A2A" w:rsidRPr="00B32A2A" w:rsidRDefault="00B32A2A" w:rsidP="00B32A2A">
            <w:pPr>
              <w:pStyle w:val="ColorfulList-Accent13"/>
              <w:ind w:left="0"/>
              <w:jc w:val="both"/>
              <w:rPr>
                <w:rFonts w:cs="Arial"/>
                <w:noProof/>
                <w:sz w:val="20"/>
              </w:rPr>
            </w:pPr>
            <w:r>
              <w:rPr>
                <w:noProof/>
                <w:sz w:val="20"/>
              </w:rPr>
              <w:t>DHSN-MICS IV</w:t>
            </w:r>
          </w:p>
        </w:tc>
        <w:tc>
          <w:tcPr>
            <w:tcW w:w="1384"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31 .8</w:t>
            </w:r>
          </w:p>
        </w:tc>
        <w:tc>
          <w:tcPr>
            <w:tcW w:w="1876" w:type="dxa"/>
            <w:gridSpan w:val="2"/>
            <w:shd w:val="clear" w:color="auto" w:fill="FFFFFF"/>
            <w:vAlign w:val="center"/>
          </w:tcPr>
          <w:p w:rsidR="00B32A2A" w:rsidRPr="00B32A2A" w:rsidRDefault="00B32A2A" w:rsidP="00B32A2A">
            <w:pPr>
              <w:pStyle w:val="ColorfulList-Accent13"/>
              <w:ind w:left="0"/>
              <w:jc w:val="center"/>
              <w:rPr>
                <w:rFonts w:cs="Arial"/>
                <w:b/>
                <w:bCs/>
                <w:noProof/>
                <w:sz w:val="20"/>
              </w:rPr>
            </w:pP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p>
        </w:tc>
        <w:tc>
          <w:tcPr>
            <w:tcW w:w="851" w:type="dxa"/>
            <w:shd w:val="clear" w:color="auto" w:fill="FFFFFF"/>
            <w:vAlign w:val="center"/>
          </w:tcPr>
          <w:p w:rsidR="00B32A2A" w:rsidRPr="00B32A2A" w:rsidRDefault="00B32A2A" w:rsidP="00B32A2A">
            <w:pPr>
              <w:pStyle w:val="ColorfulList-Accent13"/>
              <w:ind w:left="0"/>
              <w:jc w:val="center"/>
              <w:rPr>
                <w:rFonts w:cs="Arial"/>
                <w:b/>
                <w:bCs/>
                <w:noProof/>
                <w:sz w:val="20"/>
              </w:rPr>
            </w:pPr>
          </w:p>
        </w:tc>
        <w:tc>
          <w:tcPr>
            <w:tcW w:w="850" w:type="dxa"/>
            <w:gridSpan w:val="2"/>
            <w:shd w:val="clear" w:color="auto" w:fill="FFFFFF"/>
            <w:vAlign w:val="center"/>
          </w:tcPr>
          <w:p w:rsidR="00B32A2A" w:rsidRPr="00B32A2A" w:rsidRDefault="00B32A2A" w:rsidP="00B32A2A">
            <w:pPr>
              <w:pStyle w:val="ColorfulList-Accent13"/>
              <w:ind w:left="0"/>
              <w:jc w:val="center"/>
              <w:rPr>
                <w:rFonts w:cs="Arial"/>
                <w:b/>
                <w:bCs/>
                <w:noProof/>
                <w:sz w:val="20"/>
              </w:rPr>
            </w:pPr>
          </w:p>
        </w:tc>
        <w:tc>
          <w:tcPr>
            <w:tcW w:w="1226" w:type="dxa"/>
            <w:shd w:val="clear" w:color="auto" w:fill="FFFFFF"/>
            <w:vAlign w:val="center"/>
          </w:tcPr>
          <w:p w:rsidR="00B32A2A" w:rsidRPr="00B32A2A" w:rsidRDefault="00B32A2A" w:rsidP="00B32A2A">
            <w:pPr>
              <w:pStyle w:val="ColorfulList-Accent13"/>
              <w:ind w:left="0"/>
              <w:jc w:val="center"/>
              <w:rPr>
                <w:rFonts w:cs="Arial"/>
                <w:b/>
                <w:bCs/>
                <w:noProof/>
                <w:sz w:val="20"/>
              </w:rPr>
            </w:pPr>
            <w:r>
              <w:rPr>
                <w:b/>
                <w:noProof/>
                <w:sz w:val="20"/>
              </w:rPr>
              <w:t>2012</w:t>
            </w:r>
          </w:p>
        </w:tc>
      </w:tr>
      <w:tr w:rsidR="00B32A2A" w:rsidRPr="00B32A2A" w:rsidTr="00B32A2A">
        <w:trPr>
          <w:trHeight w:val="54"/>
        </w:trPr>
        <w:tc>
          <w:tcPr>
            <w:tcW w:w="1843" w:type="dxa"/>
            <w:vMerge w:val="restart"/>
            <w:shd w:val="clear" w:color="auto" w:fill="FFFFFF"/>
            <w:vAlign w:val="center"/>
          </w:tcPr>
          <w:p w:rsidR="00B32A2A" w:rsidRPr="00B32A2A" w:rsidRDefault="00B32A2A" w:rsidP="00B32A2A">
            <w:pPr>
              <w:pStyle w:val="ColorfulList-Accent13"/>
              <w:ind w:left="0"/>
              <w:rPr>
                <w:rFonts w:cs="Arial"/>
                <w:bCs/>
                <w:noProof/>
                <w:sz w:val="20"/>
              </w:rPr>
            </w:pPr>
            <w:r>
              <w:rPr>
                <w:noProof/>
                <w:sz w:val="20"/>
              </w:rPr>
              <w:t>Fully immunized child coverage (%)</w:t>
            </w:r>
          </w:p>
        </w:tc>
        <w:tc>
          <w:tcPr>
            <w:tcW w:w="1559" w:type="dxa"/>
            <w:gridSpan w:val="2"/>
            <w:shd w:val="clear" w:color="auto" w:fill="FFFFFF"/>
            <w:vAlign w:val="center"/>
          </w:tcPr>
          <w:p w:rsidR="00B32A2A" w:rsidRPr="00B32A2A" w:rsidRDefault="00B32A2A" w:rsidP="00B32A2A">
            <w:pPr>
              <w:pStyle w:val="ColorfulList-Accent13"/>
              <w:ind w:left="0"/>
              <w:jc w:val="both"/>
              <w:rPr>
                <w:rFonts w:cs="Arial"/>
                <w:noProof/>
                <w:sz w:val="20"/>
              </w:rPr>
            </w:pPr>
            <w:r>
              <w:rPr>
                <w:noProof/>
                <w:sz w:val="20"/>
              </w:rPr>
              <w:t>Administrative Data</w:t>
            </w:r>
          </w:p>
        </w:tc>
        <w:tc>
          <w:tcPr>
            <w:tcW w:w="1384" w:type="dxa"/>
            <w:shd w:val="clear" w:color="auto" w:fill="FFFFFF"/>
            <w:vAlign w:val="center"/>
          </w:tcPr>
          <w:p w:rsidR="00B32A2A" w:rsidRPr="00B32A2A" w:rsidRDefault="00B32A2A" w:rsidP="00B32A2A">
            <w:pPr>
              <w:pStyle w:val="ColorfulList-Accent13"/>
              <w:ind w:left="0"/>
              <w:jc w:val="right"/>
              <w:rPr>
                <w:rFonts w:cs="Arial"/>
                <w:b/>
                <w:bCs/>
                <w:noProof/>
                <w:sz w:val="20"/>
              </w:rPr>
            </w:pPr>
            <w:r>
              <w:rPr>
                <w:b/>
                <w:noProof/>
                <w:sz w:val="20"/>
              </w:rPr>
              <w:t>N/A</w:t>
            </w:r>
          </w:p>
        </w:tc>
        <w:tc>
          <w:tcPr>
            <w:tcW w:w="1876" w:type="dxa"/>
            <w:gridSpan w:val="2"/>
            <w:shd w:val="clear" w:color="auto" w:fill="FFFFFF"/>
            <w:vAlign w:val="center"/>
          </w:tcPr>
          <w:p w:rsidR="00B32A2A" w:rsidRPr="00B32A2A" w:rsidRDefault="00B32A2A" w:rsidP="00B32A2A">
            <w:pPr>
              <w:pStyle w:val="ColorfulList-Accent13"/>
              <w:ind w:left="0"/>
              <w:jc w:val="right"/>
              <w:rPr>
                <w:rFonts w:cs="Arial"/>
                <w:b/>
                <w:bCs/>
                <w:noProof/>
                <w:sz w:val="20"/>
              </w:rPr>
            </w:pPr>
          </w:p>
        </w:tc>
        <w:tc>
          <w:tcPr>
            <w:tcW w:w="851" w:type="dxa"/>
            <w:shd w:val="clear" w:color="auto" w:fill="FFFFFF"/>
            <w:vAlign w:val="center"/>
          </w:tcPr>
          <w:p w:rsidR="00B32A2A" w:rsidRPr="00B32A2A" w:rsidRDefault="00B32A2A" w:rsidP="00B32A2A">
            <w:pPr>
              <w:pStyle w:val="ColorfulList-Accent13"/>
              <w:ind w:left="0"/>
              <w:jc w:val="right"/>
              <w:rPr>
                <w:rFonts w:cs="Arial"/>
                <w:b/>
                <w:bCs/>
                <w:noProof/>
                <w:sz w:val="20"/>
              </w:rPr>
            </w:pPr>
          </w:p>
        </w:tc>
        <w:tc>
          <w:tcPr>
            <w:tcW w:w="851" w:type="dxa"/>
            <w:shd w:val="clear" w:color="auto" w:fill="FFFFFF"/>
            <w:vAlign w:val="center"/>
          </w:tcPr>
          <w:p w:rsidR="00B32A2A" w:rsidRPr="00B32A2A" w:rsidRDefault="00B32A2A" w:rsidP="00B32A2A">
            <w:pPr>
              <w:pStyle w:val="ColorfulList-Accent13"/>
              <w:ind w:left="0"/>
              <w:jc w:val="right"/>
              <w:rPr>
                <w:rFonts w:cs="Arial"/>
                <w:b/>
                <w:bCs/>
                <w:noProof/>
                <w:sz w:val="20"/>
              </w:rPr>
            </w:pPr>
          </w:p>
        </w:tc>
        <w:tc>
          <w:tcPr>
            <w:tcW w:w="850" w:type="dxa"/>
            <w:gridSpan w:val="2"/>
            <w:shd w:val="clear" w:color="auto" w:fill="FFFFFF"/>
            <w:vAlign w:val="center"/>
          </w:tcPr>
          <w:p w:rsidR="00B32A2A" w:rsidRPr="00B32A2A" w:rsidRDefault="00B32A2A" w:rsidP="00B32A2A">
            <w:pPr>
              <w:pStyle w:val="ColorfulList-Accent13"/>
              <w:ind w:left="0"/>
              <w:jc w:val="right"/>
              <w:rPr>
                <w:rFonts w:cs="Arial"/>
                <w:b/>
                <w:bCs/>
                <w:noProof/>
                <w:sz w:val="20"/>
              </w:rPr>
            </w:pPr>
          </w:p>
        </w:tc>
        <w:tc>
          <w:tcPr>
            <w:tcW w:w="1226" w:type="dxa"/>
            <w:shd w:val="clear" w:color="auto" w:fill="FFFFFF"/>
            <w:vAlign w:val="center"/>
          </w:tcPr>
          <w:p w:rsidR="00B32A2A" w:rsidRPr="00B32A2A" w:rsidRDefault="00B32A2A" w:rsidP="00B32A2A">
            <w:pPr>
              <w:pStyle w:val="ColorfulList-Accent13"/>
              <w:ind w:left="0"/>
              <w:jc w:val="right"/>
              <w:rPr>
                <w:rFonts w:cs="Arial"/>
                <w:b/>
                <w:bCs/>
                <w:noProof/>
                <w:sz w:val="20"/>
              </w:rPr>
            </w:pPr>
          </w:p>
        </w:tc>
      </w:tr>
      <w:tr w:rsidR="00B32A2A" w:rsidRPr="00B32A2A" w:rsidTr="00B32A2A">
        <w:trPr>
          <w:trHeight w:val="54"/>
        </w:trPr>
        <w:tc>
          <w:tcPr>
            <w:tcW w:w="1843" w:type="dxa"/>
            <w:vMerge/>
            <w:shd w:val="clear" w:color="auto" w:fill="FFFFFF"/>
            <w:vAlign w:val="center"/>
          </w:tcPr>
          <w:p w:rsidR="00B32A2A" w:rsidRPr="00B32A2A" w:rsidRDefault="00B32A2A" w:rsidP="00B32A2A">
            <w:pPr>
              <w:pStyle w:val="ColorfulList-Accent13"/>
              <w:ind w:left="0"/>
              <w:jc w:val="both"/>
              <w:rPr>
                <w:rFonts w:cs="Arial"/>
                <w:b/>
                <w:bCs/>
                <w:noProof/>
                <w:sz w:val="20"/>
              </w:rPr>
            </w:pPr>
          </w:p>
        </w:tc>
        <w:tc>
          <w:tcPr>
            <w:tcW w:w="1559" w:type="dxa"/>
            <w:gridSpan w:val="2"/>
            <w:shd w:val="clear" w:color="auto" w:fill="FFFFFF"/>
            <w:vAlign w:val="center"/>
          </w:tcPr>
          <w:p w:rsidR="00B32A2A" w:rsidRPr="00B32A2A" w:rsidRDefault="00B32A2A" w:rsidP="00B32A2A">
            <w:pPr>
              <w:pStyle w:val="ColorfulList-Accent13"/>
              <w:ind w:left="0"/>
              <w:jc w:val="both"/>
              <w:rPr>
                <w:rFonts w:cs="Arial"/>
                <w:noProof/>
                <w:sz w:val="20"/>
              </w:rPr>
            </w:pPr>
            <w:r>
              <w:rPr>
                <w:noProof/>
                <w:sz w:val="20"/>
              </w:rPr>
              <w:t>DHSN-MICS IV</w:t>
            </w:r>
          </w:p>
        </w:tc>
        <w:tc>
          <w:tcPr>
            <w:tcW w:w="1384" w:type="dxa"/>
            <w:shd w:val="clear" w:color="auto" w:fill="FFFFFF"/>
            <w:vAlign w:val="center"/>
          </w:tcPr>
          <w:p w:rsidR="00B32A2A" w:rsidRPr="00B32A2A" w:rsidRDefault="00B32A2A" w:rsidP="00B32A2A">
            <w:pPr>
              <w:pStyle w:val="ColorfulList-Accent13"/>
              <w:ind w:left="0"/>
              <w:jc w:val="right"/>
              <w:rPr>
                <w:rFonts w:cs="Arial"/>
                <w:b/>
                <w:bCs/>
                <w:noProof/>
                <w:sz w:val="20"/>
              </w:rPr>
            </w:pPr>
            <w:r>
              <w:rPr>
                <w:b/>
                <w:noProof/>
                <w:sz w:val="20"/>
              </w:rPr>
              <w:t>52.0%</w:t>
            </w:r>
          </w:p>
        </w:tc>
        <w:tc>
          <w:tcPr>
            <w:tcW w:w="1876" w:type="dxa"/>
            <w:gridSpan w:val="2"/>
            <w:shd w:val="clear" w:color="auto" w:fill="FFFFFF"/>
            <w:vAlign w:val="center"/>
          </w:tcPr>
          <w:p w:rsidR="00B32A2A" w:rsidRPr="00B32A2A" w:rsidRDefault="00B32A2A" w:rsidP="00B32A2A">
            <w:pPr>
              <w:pStyle w:val="ColorfulList-Accent13"/>
              <w:ind w:left="0"/>
              <w:jc w:val="right"/>
              <w:rPr>
                <w:rFonts w:cs="Arial"/>
                <w:b/>
                <w:bCs/>
                <w:noProof/>
                <w:sz w:val="20"/>
              </w:rPr>
            </w:pPr>
          </w:p>
        </w:tc>
        <w:tc>
          <w:tcPr>
            <w:tcW w:w="851" w:type="dxa"/>
            <w:shd w:val="clear" w:color="auto" w:fill="FFFFFF"/>
            <w:vAlign w:val="center"/>
          </w:tcPr>
          <w:p w:rsidR="00B32A2A" w:rsidRPr="00B32A2A" w:rsidRDefault="00B32A2A" w:rsidP="00B32A2A">
            <w:pPr>
              <w:pStyle w:val="ColorfulList-Accent13"/>
              <w:ind w:left="0"/>
              <w:jc w:val="right"/>
              <w:rPr>
                <w:rFonts w:cs="Arial"/>
                <w:b/>
                <w:bCs/>
                <w:noProof/>
                <w:sz w:val="20"/>
              </w:rPr>
            </w:pPr>
          </w:p>
        </w:tc>
        <w:tc>
          <w:tcPr>
            <w:tcW w:w="851" w:type="dxa"/>
            <w:shd w:val="clear" w:color="auto" w:fill="FFFFFF"/>
            <w:vAlign w:val="center"/>
          </w:tcPr>
          <w:p w:rsidR="00B32A2A" w:rsidRPr="00B32A2A" w:rsidRDefault="00B32A2A" w:rsidP="00B32A2A">
            <w:pPr>
              <w:pStyle w:val="ColorfulList-Accent13"/>
              <w:ind w:left="0"/>
              <w:jc w:val="right"/>
              <w:rPr>
                <w:rFonts w:cs="Arial"/>
                <w:b/>
                <w:bCs/>
                <w:noProof/>
                <w:sz w:val="20"/>
              </w:rPr>
            </w:pPr>
          </w:p>
        </w:tc>
        <w:tc>
          <w:tcPr>
            <w:tcW w:w="850" w:type="dxa"/>
            <w:gridSpan w:val="2"/>
            <w:shd w:val="clear" w:color="auto" w:fill="FFFFFF"/>
            <w:vAlign w:val="center"/>
          </w:tcPr>
          <w:p w:rsidR="00B32A2A" w:rsidRPr="00B32A2A" w:rsidRDefault="00B32A2A" w:rsidP="00B32A2A">
            <w:pPr>
              <w:pStyle w:val="ColorfulList-Accent13"/>
              <w:ind w:left="0"/>
              <w:jc w:val="right"/>
              <w:rPr>
                <w:rFonts w:cs="Arial"/>
                <w:b/>
                <w:bCs/>
                <w:noProof/>
                <w:sz w:val="20"/>
              </w:rPr>
            </w:pPr>
          </w:p>
        </w:tc>
        <w:tc>
          <w:tcPr>
            <w:tcW w:w="1226" w:type="dxa"/>
            <w:shd w:val="clear" w:color="auto" w:fill="FFFFFF"/>
            <w:vAlign w:val="center"/>
          </w:tcPr>
          <w:p w:rsidR="00B32A2A" w:rsidRPr="00B32A2A" w:rsidRDefault="00B32A2A" w:rsidP="00B32A2A">
            <w:pPr>
              <w:pStyle w:val="ColorfulList-Accent13"/>
              <w:ind w:left="0"/>
              <w:jc w:val="right"/>
              <w:rPr>
                <w:rFonts w:cs="Arial"/>
                <w:b/>
                <w:bCs/>
                <w:noProof/>
                <w:sz w:val="20"/>
              </w:rPr>
            </w:pPr>
            <w:r>
              <w:rPr>
                <w:b/>
                <w:noProof/>
                <w:sz w:val="20"/>
              </w:rPr>
              <w:t>2012</w:t>
            </w:r>
          </w:p>
        </w:tc>
      </w:tr>
      <w:tr w:rsidR="00B32A2A" w:rsidRPr="00B32A2A" w:rsidTr="00B32A2A">
        <w:trPr>
          <w:trHeight w:val="54"/>
        </w:trPr>
        <w:tc>
          <w:tcPr>
            <w:tcW w:w="1843" w:type="dxa"/>
            <w:vMerge/>
            <w:shd w:val="clear" w:color="auto" w:fill="FFFFFF"/>
            <w:vAlign w:val="center"/>
          </w:tcPr>
          <w:p w:rsidR="00B32A2A" w:rsidRPr="00B32A2A" w:rsidRDefault="00B32A2A" w:rsidP="00B32A2A">
            <w:pPr>
              <w:pStyle w:val="ColorfulList-Accent13"/>
              <w:ind w:left="0"/>
              <w:jc w:val="both"/>
              <w:rPr>
                <w:rFonts w:cs="Arial"/>
                <w:b/>
                <w:bCs/>
                <w:noProof/>
                <w:sz w:val="20"/>
              </w:rPr>
            </w:pPr>
          </w:p>
        </w:tc>
        <w:tc>
          <w:tcPr>
            <w:tcW w:w="1559" w:type="dxa"/>
            <w:gridSpan w:val="2"/>
            <w:shd w:val="clear" w:color="auto" w:fill="FFFFFF"/>
            <w:vAlign w:val="center"/>
          </w:tcPr>
          <w:p w:rsidR="00B32A2A" w:rsidRPr="00B32A2A" w:rsidRDefault="00B32A2A" w:rsidP="00B32A2A">
            <w:pPr>
              <w:pStyle w:val="ColorfulList-Accent13"/>
              <w:ind w:left="0"/>
              <w:jc w:val="both"/>
              <w:rPr>
                <w:rFonts w:cs="Arial"/>
                <w:noProof/>
                <w:sz w:val="20"/>
              </w:rPr>
            </w:pPr>
            <w:r>
              <w:rPr>
                <w:noProof/>
                <w:sz w:val="20"/>
              </w:rPr>
              <w:t>FIC</w:t>
            </w:r>
          </w:p>
        </w:tc>
        <w:tc>
          <w:tcPr>
            <w:tcW w:w="1384" w:type="dxa"/>
            <w:shd w:val="clear" w:color="auto" w:fill="FFFFFF"/>
            <w:vAlign w:val="center"/>
          </w:tcPr>
          <w:p w:rsidR="00B32A2A" w:rsidRPr="00B32A2A" w:rsidRDefault="00B32A2A" w:rsidP="00B32A2A">
            <w:pPr>
              <w:pStyle w:val="ColorfulList-Accent13"/>
              <w:ind w:left="0"/>
              <w:jc w:val="right"/>
              <w:rPr>
                <w:rFonts w:cs="Arial"/>
                <w:b/>
                <w:bCs/>
                <w:noProof/>
                <w:sz w:val="20"/>
              </w:rPr>
            </w:pPr>
            <w:r>
              <w:rPr>
                <w:b/>
                <w:noProof/>
                <w:sz w:val="20"/>
              </w:rPr>
              <w:t>63.6%</w:t>
            </w:r>
          </w:p>
        </w:tc>
        <w:tc>
          <w:tcPr>
            <w:tcW w:w="1876" w:type="dxa"/>
            <w:gridSpan w:val="2"/>
            <w:shd w:val="clear" w:color="auto" w:fill="FFFFFF"/>
            <w:vAlign w:val="center"/>
          </w:tcPr>
          <w:p w:rsidR="00B32A2A" w:rsidRPr="00B32A2A" w:rsidRDefault="00B32A2A" w:rsidP="00B32A2A">
            <w:pPr>
              <w:pStyle w:val="ColorfulList-Accent13"/>
              <w:ind w:left="0"/>
              <w:jc w:val="right"/>
              <w:rPr>
                <w:rFonts w:cs="Arial"/>
                <w:b/>
                <w:bCs/>
                <w:noProof/>
                <w:sz w:val="20"/>
              </w:rPr>
            </w:pPr>
          </w:p>
        </w:tc>
        <w:tc>
          <w:tcPr>
            <w:tcW w:w="851" w:type="dxa"/>
            <w:shd w:val="clear" w:color="auto" w:fill="FFFFFF"/>
            <w:vAlign w:val="center"/>
          </w:tcPr>
          <w:p w:rsidR="00B32A2A" w:rsidRPr="00B32A2A" w:rsidRDefault="00B32A2A" w:rsidP="00B32A2A">
            <w:pPr>
              <w:pStyle w:val="ColorfulList-Accent13"/>
              <w:ind w:left="0"/>
              <w:jc w:val="right"/>
              <w:rPr>
                <w:rFonts w:cs="Arial"/>
                <w:b/>
                <w:bCs/>
                <w:noProof/>
                <w:sz w:val="20"/>
              </w:rPr>
            </w:pPr>
            <w:r>
              <w:rPr>
                <w:b/>
                <w:noProof/>
                <w:sz w:val="20"/>
              </w:rPr>
              <w:t>63.7%</w:t>
            </w:r>
          </w:p>
        </w:tc>
        <w:tc>
          <w:tcPr>
            <w:tcW w:w="851" w:type="dxa"/>
            <w:shd w:val="clear" w:color="auto" w:fill="FFFFFF"/>
            <w:vAlign w:val="center"/>
          </w:tcPr>
          <w:p w:rsidR="00B32A2A" w:rsidRPr="00B32A2A" w:rsidRDefault="00B32A2A" w:rsidP="00B32A2A">
            <w:pPr>
              <w:pStyle w:val="ColorfulList-Accent13"/>
              <w:ind w:left="0"/>
              <w:jc w:val="right"/>
              <w:rPr>
                <w:rFonts w:cs="Arial"/>
                <w:b/>
                <w:bCs/>
                <w:noProof/>
                <w:sz w:val="20"/>
              </w:rPr>
            </w:pPr>
            <w:r>
              <w:rPr>
                <w:b/>
                <w:noProof/>
                <w:sz w:val="20"/>
              </w:rPr>
              <w:t>63.9%</w:t>
            </w:r>
          </w:p>
        </w:tc>
        <w:tc>
          <w:tcPr>
            <w:tcW w:w="850" w:type="dxa"/>
            <w:gridSpan w:val="2"/>
            <w:shd w:val="clear" w:color="auto" w:fill="FFFFFF"/>
            <w:vAlign w:val="center"/>
          </w:tcPr>
          <w:p w:rsidR="00B32A2A" w:rsidRPr="00B32A2A" w:rsidRDefault="00B32A2A" w:rsidP="00B32A2A">
            <w:pPr>
              <w:pStyle w:val="ColorfulList-Accent13"/>
              <w:ind w:left="0"/>
              <w:jc w:val="right"/>
              <w:rPr>
                <w:rFonts w:cs="Arial"/>
                <w:b/>
                <w:bCs/>
                <w:noProof/>
                <w:sz w:val="20"/>
              </w:rPr>
            </w:pPr>
            <w:r>
              <w:rPr>
                <w:b/>
                <w:noProof/>
                <w:sz w:val="20"/>
              </w:rPr>
              <w:t>63.6%</w:t>
            </w:r>
          </w:p>
        </w:tc>
        <w:tc>
          <w:tcPr>
            <w:tcW w:w="1226" w:type="dxa"/>
            <w:shd w:val="clear" w:color="auto" w:fill="FFFFFF"/>
            <w:vAlign w:val="center"/>
          </w:tcPr>
          <w:p w:rsidR="00B32A2A" w:rsidRPr="00B32A2A" w:rsidRDefault="00B32A2A" w:rsidP="00B32A2A">
            <w:pPr>
              <w:pStyle w:val="ColorfulList-Accent13"/>
              <w:ind w:left="0"/>
              <w:jc w:val="right"/>
              <w:rPr>
                <w:rFonts w:cs="Arial"/>
                <w:b/>
                <w:bCs/>
                <w:noProof/>
                <w:sz w:val="20"/>
              </w:rPr>
            </w:pPr>
            <w:r>
              <w:rPr>
                <w:b/>
                <w:noProof/>
                <w:sz w:val="20"/>
              </w:rPr>
              <w:t>2012</w:t>
            </w:r>
          </w:p>
        </w:tc>
      </w:tr>
      <w:tr w:rsidR="00B32A2A" w:rsidRPr="00B32A2A" w:rsidTr="00B32A2A">
        <w:trPr>
          <w:trHeight w:val="278"/>
        </w:trPr>
        <w:tc>
          <w:tcPr>
            <w:tcW w:w="10440" w:type="dxa"/>
            <w:gridSpan w:val="11"/>
            <w:shd w:val="clear" w:color="auto" w:fill="006666"/>
            <w:vAlign w:val="center"/>
          </w:tcPr>
          <w:p w:rsidR="00B32A2A" w:rsidRPr="00B32A2A" w:rsidRDefault="00B32A2A" w:rsidP="00B32A2A">
            <w:pPr>
              <w:pStyle w:val="ColorfulList-Accent13"/>
              <w:ind w:left="0"/>
              <w:jc w:val="both"/>
              <w:rPr>
                <w:rFonts w:cs="Arial"/>
                <w:b/>
                <w:bCs/>
                <w:noProof/>
                <w:sz w:val="20"/>
              </w:rPr>
            </w:pPr>
            <w:r>
              <w:rPr>
                <w:b/>
                <w:noProof/>
                <w:sz w:val="20"/>
              </w:rPr>
              <w:t>Additional Health System Statistics</w:t>
            </w:r>
          </w:p>
        </w:tc>
      </w:tr>
      <w:tr w:rsidR="00B32A2A" w:rsidRPr="00B32A2A" w:rsidTr="00B32A2A">
        <w:trPr>
          <w:trHeight w:val="490"/>
        </w:trPr>
        <w:tc>
          <w:tcPr>
            <w:tcW w:w="3369" w:type="dxa"/>
            <w:gridSpan w:val="2"/>
            <w:shd w:val="clear" w:color="auto" w:fill="FFFFFF"/>
            <w:vAlign w:val="center"/>
          </w:tcPr>
          <w:p w:rsidR="00B32A2A" w:rsidRPr="00B32A2A" w:rsidRDefault="00B32A2A" w:rsidP="00B32A2A">
            <w:pPr>
              <w:pStyle w:val="ColorfulList-Accent13"/>
              <w:ind w:left="0"/>
              <w:jc w:val="both"/>
              <w:rPr>
                <w:rFonts w:cs="Arial"/>
                <w:b/>
                <w:bCs/>
                <w:noProof/>
                <w:sz w:val="20"/>
              </w:rPr>
            </w:pPr>
            <w:r>
              <w:rPr>
                <w:b/>
                <w:noProof/>
                <w:sz w:val="20"/>
              </w:rPr>
              <w:t>Indicator</w:t>
            </w:r>
          </w:p>
        </w:tc>
        <w:tc>
          <w:tcPr>
            <w:tcW w:w="2126" w:type="dxa"/>
            <w:gridSpan w:val="3"/>
            <w:shd w:val="clear" w:color="auto" w:fill="FFFFFF"/>
            <w:vAlign w:val="center"/>
          </w:tcPr>
          <w:p w:rsidR="00B32A2A" w:rsidRPr="00B32A2A" w:rsidRDefault="00B32A2A" w:rsidP="00B32A2A">
            <w:pPr>
              <w:pStyle w:val="ColorfulList-Accent13"/>
              <w:ind w:left="0"/>
              <w:jc w:val="both"/>
              <w:rPr>
                <w:rFonts w:cs="Arial"/>
                <w:b/>
                <w:bCs/>
                <w:noProof/>
                <w:sz w:val="20"/>
              </w:rPr>
            </w:pPr>
            <w:r>
              <w:rPr>
                <w:b/>
                <w:noProof/>
                <w:sz w:val="20"/>
              </w:rPr>
              <w:t>Source</w:t>
            </w:r>
          </w:p>
        </w:tc>
        <w:tc>
          <w:tcPr>
            <w:tcW w:w="3152" w:type="dxa"/>
            <w:gridSpan w:val="4"/>
            <w:shd w:val="clear" w:color="auto" w:fill="FFFFFF"/>
            <w:vAlign w:val="center"/>
          </w:tcPr>
          <w:p w:rsidR="00B32A2A" w:rsidRPr="00B32A2A" w:rsidRDefault="00B32A2A" w:rsidP="00B32A2A">
            <w:pPr>
              <w:pStyle w:val="ColorfulList-Accent13"/>
              <w:ind w:left="0"/>
              <w:jc w:val="both"/>
              <w:rPr>
                <w:rFonts w:cs="Arial"/>
                <w:b/>
                <w:bCs/>
                <w:noProof/>
                <w:sz w:val="20"/>
              </w:rPr>
            </w:pPr>
            <w:r>
              <w:rPr>
                <w:b/>
                <w:noProof/>
                <w:sz w:val="20"/>
              </w:rPr>
              <w:t xml:space="preserve">Value </w:t>
            </w:r>
          </w:p>
          <w:p w:rsidR="00B32A2A" w:rsidRPr="00B32A2A" w:rsidRDefault="00B32A2A" w:rsidP="00B32A2A">
            <w:pPr>
              <w:pStyle w:val="ColorfulList-Accent13"/>
              <w:ind w:left="0"/>
              <w:jc w:val="both"/>
              <w:rPr>
                <w:rFonts w:cs="Arial"/>
                <w:b/>
                <w:bCs/>
                <w:noProof/>
                <w:sz w:val="20"/>
              </w:rPr>
            </w:pPr>
          </w:p>
        </w:tc>
        <w:tc>
          <w:tcPr>
            <w:tcW w:w="1793" w:type="dxa"/>
            <w:gridSpan w:val="2"/>
            <w:shd w:val="clear" w:color="auto" w:fill="FFFFFF"/>
            <w:vAlign w:val="center"/>
          </w:tcPr>
          <w:p w:rsidR="00B32A2A" w:rsidRPr="00B32A2A" w:rsidRDefault="00B32A2A" w:rsidP="00B32A2A">
            <w:pPr>
              <w:pStyle w:val="ColorfulList-Accent13"/>
              <w:ind w:left="0"/>
              <w:jc w:val="both"/>
              <w:rPr>
                <w:rFonts w:cs="Arial"/>
                <w:b/>
                <w:bCs/>
                <w:noProof/>
                <w:sz w:val="20"/>
              </w:rPr>
            </w:pPr>
            <w:r>
              <w:rPr>
                <w:b/>
                <w:noProof/>
                <w:sz w:val="20"/>
              </w:rPr>
              <w:t>Year</w:t>
            </w:r>
          </w:p>
        </w:tc>
      </w:tr>
      <w:tr w:rsidR="00B32A2A" w:rsidRPr="00B32A2A" w:rsidTr="00B32A2A">
        <w:trPr>
          <w:trHeight w:val="54"/>
        </w:trPr>
        <w:tc>
          <w:tcPr>
            <w:tcW w:w="3369" w:type="dxa"/>
            <w:gridSpan w:val="2"/>
            <w:vMerge w:val="restart"/>
            <w:shd w:val="clear" w:color="auto" w:fill="FFFFFF"/>
            <w:vAlign w:val="center"/>
          </w:tcPr>
          <w:p w:rsidR="00B32A2A" w:rsidRPr="00B32A2A" w:rsidRDefault="00B32A2A" w:rsidP="00B32A2A">
            <w:pPr>
              <w:pStyle w:val="ColorfulList-Accent13"/>
              <w:ind w:left="0"/>
              <w:jc w:val="both"/>
              <w:rPr>
                <w:rFonts w:cs="Arial"/>
                <w:bCs/>
                <w:noProof/>
                <w:sz w:val="20"/>
              </w:rPr>
            </w:pPr>
            <w:r>
              <w:rPr>
                <w:noProof/>
                <w:sz w:val="20"/>
              </w:rPr>
              <w:t>Under Five Mortality</w:t>
            </w:r>
          </w:p>
        </w:tc>
        <w:tc>
          <w:tcPr>
            <w:tcW w:w="2126" w:type="dxa"/>
            <w:gridSpan w:val="3"/>
            <w:shd w:val="clear" w:color="auto" w:fill="FFFFFF"/>
            <w:vAlign w:val="center"/>
          </w:tcPr>
          <w:p w:rsidR="00B32A2A" w:rsidRPr="00B32A2A" w:rsidRDefault="00B32A2A" w:rsidP="00B32A2A">
            <w:pPr>
              <w:pStyle w:val="ColorfulList-Accent13"/>
              <w:ind w:left="0"/>
              <w:jc w:val="both"/>
              <w:rPr>
                <w:rFonts w:cs="Arial"/>
                <w:noProof/>
                <w:sz w:val="20"/>
              </w:rPr>
            </w:pPr>
            <w:r>
              <w:rPr>
                <w:noProof/>
                <w:sz w:val="20"/>
              </w:rPr>
              <w:t>DHSN-MICS IV</w:t>
            </w:r>
          </w:p>
        </w:tc>
        <w:tc>
          <w:tcPr>
            <w:tcW w:w="3152" w:type="dxa"/>
            <w:gridSpan w:val="4"/>
            <w:shd w:val="clear" w:color="auto" w:fill="FFFFFF"/>
            <w:vAlign w:val="center"/>
          </w:tcPr>
          <w:p w:rsidR="00B32A2A" w:rsidRPr="00B32A2A" w:rsidRDefault="00B32A2A" w:rsidP="00B32A2A">
            <w:pPr>
              <w:pStyle w:val="ColorfulList-Accent13"/>
              <w:ind w:left="0"/>
              <w:jc w:val="right"/>
              <w:rPr>
                <w:rFonts w:cs="Arial"/>
                <w:b/>
                <w:bCs/>
                <w:noProof/>
                <w:sz w:val="20"/>
              </w:rPr>
            </w:pPr>
            <w:r>
              <w:rPr>
                <w:b/>
                <w:noProof/>
                <w:sz w:val="20"/>
              </w:rPr>
              <w:t>127/1000</w:t>
            </w:r>
          </w:p>
        </w:tc>
        <w:tc>
          <w:tcPr>
            <w:tcW w:w="1793" w:type="dxa"/>
            <w:gridSpan w:val="2"/>
            <w:shd w:val="clear" w:color="auto" w:fill="FFFFFF"/>
            <w:vAlign w:val="center"/>
          </w:tcPr>
          <w:p w:rsidR="00B32A2A" w:rsidRPr="00B32A2A" w:rsidRDefault="00B32A2A" w:rsidP="00B32A2A">
            <w:pPr>
              <w:pStyle w:val="ColorfulList-Accent13"/>
              <w:ind w:left="0"/>
              <w:jc w:val="right"/>
              <w:rPr>
                <w:rFonts w:cs="Arial"/>
                <w:b/>
                <w:bCs/>
                <w:noProof/>
                <w:sz w:val="20"/>
              </w:rPr>
            </w:pPr>
            <w:r>
              <w:rPr>
                <w:b/>
                <w:noProof/>
                <w:sz w:val="20"/>
              </w:rPr>
              <w:t>2012</w:t>
            </w:r>
          </w:p>
        </w:tc>
      </w:tr>
      <w:tr w:rsidR="00B32A2A" w:rsidRPr="00B32A2A" w:rsidTr="00B32A2A">
        <w:trPr>
          <w:trHeight w:val="54"/>
        </w:trPr>
        <w:tc>
          <w:tcPr>
            <w:tcW w:w="3369" w:type="dxa"/>
            <w:gridSpan w:val="2"/>
            <w:vMerge/>
            <w:shd w:val="clear" w:color="auto" w:fill="FFFFFF"/>
            <w:vAlign w:val="center"/>
          </w:tcPr>
          <w:p w:rsidR="00B32A2A" w:rsidRPr="00B32A2A" w:rsidRDefault="00B32A2A" w:rsidP="00B32A2A">
            <w:pPr>
              <w:pStyle w:val="ColorfulList-Accent13"/>
              <w:ind w:left="0"/>
              <w:jc w:val="both"/>
              <w:rPr>
                <w:rFonts w:cs="Arial"/>
                <w:b/>
                <w:bCs/>
                <w:noProof/>
                <w:sz w:val="20"/>
              </w:rPr>
            </w:pPr>
          </w:p>
        </w:tc>
        <w:tc>
          <w:tcPr>
            <w:tcW w:w="2126" w:type="dxa"/>
            <w:gridSpan w:val="3"/>
            <w:shd w:val="clear" w:color="auto" w:fill="FFFFFF"/>
            <w:vAlign w:val="center"/>
          </w:tcPr>
          <w:p w:rsidR="00B32A2A" w:rsidRPr="00B32A2A" w:rsidRDefault="00B32A2A" w:rsidP="00B32A2A">
            <w:pPr>
              <w:pStyle w:val="ColorfulList-Accent13"/>
              <w:ind w:left="0"/>
              <w:jc w:val="both"/>
              <w:rPr>
                <w:rFonts w:cs="Arial"/>
                <w:noProof/>
                <w:sz w:val="20"/>
              </w:rPr>
            </w:pPr>
            <w:r>
              <w:rPr>
                <w:noProof/>
                <w:sz w:val="20"/>
              </w:rPr>
              <w:t>Mortality survival</w:t>
            </w:r>
          </w:p>
        </w:tc>
        <w:tc>
          <w:tcPr>
            <w:tcW w:w="3152" w:type="dxa"/>
            <w:gridSpan w:val="4"/>
            <w:shd w:val="clear" w:color="auto" w:fill="FFFFFF"/>
            <w:vAlign w:val="center"/>
          </w:tcPr>
          <w:p w:rsidR="00B32A2A" w:rsidRPr="00B32A2A" w:rsidRDefault="00B32A2A" w:rsidP="00B32A2A">
            <w:pPr>
              <w:pStyle w:val="ColorfulList-Accent13"/>
              <w:ind w:left="0"/>
              <w:jc w:val="right"/>
              <w:rPr>
                <w:rFonts w:cs="Arial"/>
                <w:b/>
                <w:bCs/>
                <w:noProof/>
                <w:sz w:val="20"/>
              </w:rPr>
            </w:pPr>
            <w:r>
              <w:rPr>
                <w:b/>
                <w:noProof/>
                <w:sz w:val="20"/>
              </w:rPr>
              <w:t>130/1000</w:t>
            </w:r>
          </w:p>
        </w:tc>
        <w:tc>
          <w:tcPr>
            <w:tcW w:w="1793" w:type="dxa"/>
            <w:gridSpan w:val="2"/>
            <w:shd w:val="clear" w:color="auto" w:fill="FFFFFF"/>
            <w:vAlign w:val="center"/>
          </w:tcPr>
          <w:p w:rsidR="00B32A2A" w:rsidRPr="00B32A2A" w:rsidRDefault="00B32A2A" w:rsidP="00B32A2A">
            <w:pPr>
              <w:pStyle w:val="ColorfulList-Accent13"/>
              <w:ind w:left="0"/>
              <w:jc w:val="right"/>
              <w:rPr>
                <w:rFonts w:cs="Arial"/>
                <w:b/>
                <w:bCs/>
                <w:noProof/>
                <w:sz w:val="20"/>
              </w:rPr>
            </w:pPr>
            <w:r>
              <w:rPr>
                <w:b/>
                <w:noProof/>
                <w:sz w:val="20"/>
              </w:rPr>
              <w:t>2010</w:t>
            </w:r>
          </w:p>
        </w:tc>
      </w:tr>
      <w:tr w:rsidR="00B32A2A" w:rsidRPr="00B32A2A" w:rsidTr="00B32A2A">
        <w:trPr>
          <w:trHeight w:val="54"/>
        </w:trPr>
        <w:tc>
          <w:tcPr>
            <w:tcW w:w="3369" w:type="dxa"/>
            <w:gridSpan w:val="2"/>
            <w:vMerge w:val="restart"/>
            <w:shd w:val="clear" w:color="auto" w:fill="FFFFFF"/>
            <w:vAlign w:val="center"/>
          </w:tcPr>
          <w:p w:rsidR="00B32A2A" w:rsidRPr="00B32A2A" w:rsidRDefault="00B32A2A" w:rsidP="00B32A2A">
            <w:pPr>
              <w:pStyle w:val="ColorfulList-Accent13"/>
              <w:ind w:left="0"/>
              <w:jc w:val="both"/>
              <w:rPr>
                <w:rFonts w:cs="Arial"/>
                <w:bCs/>
                <w:noProof/>
                <w:sz w:val="20"/>
              </w:rPr>
            </w:pPr>
            <w:r>
              <w:rPr>
                <w:noProof/>
                <w:sz w:val="20"/>
              </w:rPr>
              <w:t>Total expenditure on health as percentage of GDP</w:t>
            </w:r>
          </w:p>
        </w:tc>
        <w:tc>
          <w:tcPr>
            <w:tcW w:w="2126" w:type="dxa"/>
            <w:gridSpan w:val="3"/>
            <w:shd w:val="clear" w:color="auto" w:fill="FFFFFF"/>
            <w:vAlign w:val="center"/>
          </w:tcPr>
          <w:p w:rsidR="00B32A2A" w:rsidRPr="00B32A2A" w:rsidRDefault="00B32A2A" w:rsidP="00B32A2A">
            <w:pPr>
              <w:pStyle w:val="ColorfulList-Accent13"/>
              <w:ind w:left="0"/>
              <w:jc w:val="both"/>
              <w:rPr>
                <w:rFonts w:cs="Arial"/>
                <w:noProof/>
                <w:sz w:val="20"/>
              </w:rPr>
            </w:pPr>
            <w:r>
              <w:rPr>
                <w:noProof/>
                <w:sz w:val="20"/>
              </w:rPr>
              <w:t>Administrative Data</w:t>
            </w:r>
          </w:p>
        </w:tc>
        <w:tc>
          <w:tcPr>
            <w:tcW w:w="3152" w:type="dxa"/>
            <w:gridSpan w:val="4"/>
            <w:shd w:val="clear" w:color="auto" w:fill="FFFFFF"/>
            <w:vAlign w:val="center"/>
          </w:tcPr>
          <w:p w:rsidR="00B32A2A" w:rsidRPr="00B32A2A" w:rsidRDefault="00B32A2A" w:rsidP="00B32A2A">
            <w:pPr>
              <w:pStyle w:val="ColorfulList-Accent13"/>
              <w:ind w:left="0"/>
              <w:jc w:val="right"/>
              <w:rPr>
                <w:rFonts w:cs="Arial"/>
                <w:b/>
                <w:bCs/>
                <w:noProof/>
                <w:sz w:val="20"/>
                <w:highlight w:val="yellow"/>
              </w:rPr>
            </w:pPr>
          </w:p>
        </w:tc>
        <w:tc>
          <w:tcPr>
            <w:tcW w:w="1793" w:type="dxa"/>
            <w:gridSpan w:val="2"/>
            <w:shd w:val="clear" w:color="auto" w:fill="FFFFFF"/>
            <w:vAlign w:val="center"/>
          </w:tcPr>
          <w:p w:rsidR="00B32A2A" w:rsidRPr="00B32A2A" w:rsidRDefault="00B32A2A" w:rsidP="00B32A2A">
            <w:pPr>
              <w:pStyle w:val="ColorfulList-Accent13"/>
              <w:ind w:left="0"/>
              <w:jc w:val="right"/>
              <w:rPr>
                <w:rFonts w:cs="Arial"/>
                <w:b/>
                <w:bCs/>
                <w:noProof/>
                <w:sz w:val="20"/>
                <w:highlight w:val="yellow"/>
              </w:rPr>
            </w:pPr>
          </w:p>
        </w:tc>
      </w:tr>
      <w:tr w:rsidR="00B32A2A" w:rsidRPr="00B32A2A" w:rsidTr="00B32A2A">
        <w:trPr>
          <w:trHeight w:val="54"/>
        </w:trPr>
        <w:tc>
          <w:tcPr>
            <w:tcW w:w="3369" w:type="dxa"/>
            <w:gridSpan w:val="2"/>
            <w:vMerge/>
            <w:shd w:val="clear" w:color="auto" w:fill="FFFFFF"/>
            <w:vAlign w:val="center"/>
          </w:tcPr>
          <w:p w:rsidR="00B32A2A" w:rsidRPr="00B32A2A" w:rsidRDefault="00B32A2A" w:rsidP="00B32A2A">
            <w:pPr>
              <w:pStyle w:val="ColorfulList-Accent13"/>
              <w:ind w:left="0"/>
              <w:jc w:val="both"/>
              <w:rPr>
                <w:rFonts w:cs="Arial"/>
                <w:b/>
                <w:bCs/>
                <w:noProof/>
                <w:szCs w:val="22"/>
              </w:rPr>
            </w:pPr>
          </w:p>
        </w:tc>
        <w:tc>
          <w:tcPr>
            <w:tcW w:w="2126" w:type="dxa"/>
            <w:gridSpan w:val="3"/>
            <w:shd w:val="clear" w:color="auto" w:fill="FFFFFF"/>
            <w:vAlign w:val="center"/>
          </w:tcPr>
          <w:p w:rsidR="00B32A2A" w:rsidRPr="00B32A2A" w:rsidRDefault="00B32A2A" w:rsidP="00B32A2A">
            <w:pPr>
              <w:pStyle w:val="ColorfulList-Accent13"/>
              <w:ind w:left="0"/>
              <w:jc w:val="both"/>
              <w:rPr>
                <w:rFonts w:cs="Arial"/>
                <w:noProof/>
                <w:szCs w:val="22"/>
              </w:rPr>
            </w:pPr>
            <w:r>
              <w:t>CNTS</w:t>
            </w:r>
          </w:p>
        </w:tc>
        <w:tc>
          <w:tcPr>
            <w:tcW w:w="3152" w:type="dxa"/>
            <w:gridSpan w:val="4"/>
            <w:shd w:val="clear" w:color="auto" w:fill="FFFFFF"/>
            <w:vAlign w:val="center"/>
          </w:tcPr>
          <w:p w:rsidR="00B32A2A" w:rsidRPr="00B32A2A" w:rsidRDefault="00B32A2A" w:rsidP="00B32A2A">
            <w:pPr>
              <w:pStyle w:val="ColorfulList-Accent13"/>
              <w:ind w:left="0"/>
              <w:jc w:val="right"/>
              <w:rPr>
                <w:rFonts w:cs="Arial"/>
                <w:b/>
                <w:bCs/>
                <w:noProof/>
                <w:szCs w:val="22"/>
              </w:rPr>
            </w:pPr>
            <w:r>
              <w:rPr>
                <w:b/>
                <w:noProof/>
              </w:rPr>
              <w:t>6.7%</w:t>
            </w:r>
          </w:p>
        </w:tc>
        <w:tc>
          <w:tcPr>
            <w:tcW w:w="1793" w:type="dxa"/>
            <w:gridSpan w:val="2"/>
            <w:shd w:val="clear" w:color="auto" w:fill="FFFFFF"/>
            <w:vAlign w:val="center"/>
          </w:tcPr>
          <w:p w:rsidR="00B32A2A" w:rsidRPr="00B32A2A" w:rsidRDefault="00B32A2A" w:rsidP="00B32A2A">
            <w:pPr>
              <w:pStyle w:val="ColorfulList-Accent13"/>
              <w:ind w:left="0"/>
              <w:jc w:val="right"/>
              <w:rPr>
                <w:rFonts w:cs="Arial"/>
                <w:b/>
                <w:bCs/>
                <w:noProof/>
                <w:szCs w:val="22"/>
              </w:rPr>
            </w:pPr>
            <w:r>
              <w:rPr>
                <w:b/>
                <w:noProof/>
              </w:rPr>
              <w:t>2011</w:t>
            </w:r>
          </w:p>
        </w:tc>
      </w:tr>
      <w:tr w:rsidR="00B32A2A" w:rsidRPr="00B32A2A" w:rsidTr="00B32A2A">
        <w:trPr>
          <w:trHeight w:val="54"/>
        </w:trPr>
        <w:tc>
          <w:tcPr>
            <w:tcW w:w="3369" w:type="dxa"/>
            <w:gridSpan w:val="2"/>
            <w:vMerge w:val="restart"/>
            <w:shd w:val="clear" w:color="auto" w:fill="FFFFFF"/>
            <w:vAlign w:val="center"/>
          </w:tcPr>
          <w:p w:rsidR="00B32A2A" w:rsidRPr="00B32A2A" w:rsidRDefault="00B32A2A" w:rsidP="00B32A2A">
            <w:pPr>
              <w:pStyle w:val="ColorfulList-Accent13"/>
              <w:ind w:left="0"/>
              <w:jc w:val="both"/>
              <w:rPr>
                <w:rFonts w:cs="Arial"/>
                <w:bCs/>
                <w:noProof/>
                <w:szCs w:val="22"/>
              </w:rPr>
            </w:pPr>
            <w:r>
              <w:t>Per capita expenditure on health</w:t>
            </w:r>
          </w:p>
        </w:tc>
        <w:tc>
          <w:tcPr>
            <w:tcW w:w="2126" w:type="dxa"/>
            <w:gridSpan w:val="3"/>
            <w:shd w:val="clear" w:color="auto" w:fill="FFFFFF"/>
            <w:vAlign w:val="center"/>
          </w:tcPr>
          <w:p w:rsidR="00B32A2A" w:rsidRPr="00B32A2A" w:rsidRDefault="00B32A2A" w:rsidP="00B32A2A">
            <w:pPr>
              <w:pStyle w:val="ColorfulList-Accent13"/>
              <w:ind w:left="0"/>
              <w:jc w:val="both"/>
              <w:rPr>
                <w:rFonts w:cs="Arial"/>
                <w:noProof/>
                <w:szCs w:val="22"/>
              </w:rPr>
            </w:pPr>
            <w:r>
              <w:t>Administrative Data</w:t>
            </w:r>
          </w:p>
        </w:tc>
        <w:tc>
          <w:tcPr>
            <w:tcW w:w="3152" w:type="dxa"/>
            <w:gridSpan w:val="4"/>
            <w:shd w:val="clear" w:color="auto" w:fill="FFFFFF"/>
            <w:vAlign w:val="center"/>
          </w:tcPr>
          <w:p w:rsidR="00B32A2A" w:rsidRPr="00B32A2A" w:rsidRDefault="00B32A2A" w:rsidP="00B32A2A">
            <w:pPr>
              <w:pStyle w:val="ColorfulList-Accent13"/>
              <w:ind w:left="0"/>
              <w:jc w:val="right"/>
              <w:rPr>
                <w:rFonts w:cs="Arial"/>
                <w:b/>
                <w:bCs/>
                <w:noProof/>
                <w:szCs w:val="22"/>
              </w:rPr>
            </w:pPr>
          </w:p>
        </w:tc>
        <w:tc>
          <w:tcPr>
            <w:tcW w:w="1793" w:type="dxa"/>
            <w:gridSpan w:val="2"/>
            <w:shd w:val="clear" w:color="auto" w:fill="FFFFFF"/>
            <w:vAlign w:val="center"/>
          </w:tcPr>
          <w:p w:rsidR="00B32A2A" w:rsidRPr="00B32A2A" w:rsidRDefault="00B32A2A" w:rsidP="00B32A2A">
            <w:pPr>
              <w:pStyle w:val="ColorfulList-Accent13"/>
              <w:ind w:left="0"/>
              <w:jc w:val="right"/>
              <w:rPr>
                <w:rFonts w:cs="Arial"/>
                <w:b/>
                <w:bCs/>
                <w:noProof/>
                <w:szCs w:val="22"/>
                <w:highlight w:val="yellow"/>
              </w:rPr>
            </w:pPr>
          </w:p>
        </w:tc>
      </w:tr>
      <w:tr w:rsidR="00B32A2A" w:rsidRPr="00B32A2A" w:rsidTr="00B32A2A">
        <w:trPr>
          <w:trHeight w:val="54"/>
        </w:trPr>
        <w:tc>
          <w:tcPr>
            <w:tcW w:w="3369" w:type="dxa"/>
            <w:gridSpan w:val="2"/>
            <w:vMerge/>
            <w:shd w:val="clear" w:color="auto" w:fill="FFFFFF"/>
            <w:vAlign w:val="center"/>
          </w:tcPr>
          <w:p w:rsidR="00B32A2A" w:rsidRPr="00B32A2A" w:rsidRDefault="00B32A2A" w:rsidP="00B32A2A">
            <w:pPr>
              <w:pStyle w:val="ColorfulList-Accent13"/>
              <w:ind w:left="0"/>
              <w:jc w:val="both"/>
              <w:rPr>
                <w:rFonts w:cs="Arial"/>
                <w:b/>
                <w:bCs/>
                <w:noProof/>
                <w:szCs w:val="22"/>
              </w:rPr>
            </w:pPr>
          </w:p>
        </w:tc>
        <w:tc>
          <w:tcPr>
            <w:tcW w:w="2126" w:type="dxa"/>
            <w:gridSpan w:val="3"/>
            <w:shd w:val="clear" w:color="auto" w:fill="FFFFFF"/>
            <w:vAlign w:val="center"/>
          </w:tcPr>
          <w:p w:rsidR="00B32A2A" w:rsidRPr="00B32A2A" w:rsidRDefault="00B32A2A" w:rsidP="00B32A2A">
            <w:pPr>
              <w:pStyle w:val="ColorfulList-Accent13"/>
              <w:ind w:left="0"/>
              <w:jc w:val="both"/>
              <w:rPr>
                <w:rFonts w:cs="Arial"/>
                <w:noProof/>
                <w:szCs w:val="22"/>
              </w:rPr>
            </w:pPr>
            <w:r>
              <w:t>CNTS</w:t>
            </w:r>
          </w:p>
        </w:tc>
        <w:tc>
          <w:tcPr>
            <w:tcW w:w="3152" w:type="dxa"/>
            <w:gridSpan w:val="4"/>
            <w:shd w:val="clear" w:color="auto" w:fill="FFFFFF"/>
            <w:vAlign w:val="center"/>
          </w:tcPr>
          <w:p w:rsidR="00B32A2A" w:rsidRPr="00B32A2A" w:rsidRDefault="00B32A2A" w:rsidP="00B32A2A">
            <w:pPr>
              <w:pStyle w:val="ColorfulList-Accent13"/>
              <w:ind w:left="0"/>
              <w:jc w:val="right"/>
              <w:rPr>
                <w:rFonts w:cs="Arial"/>
                <w:b/>
                <w:bCs/>
                <w:noProof/>
                <w:szCs w:val="22"/>
              </w:rPr>
            </w:pPr>
            <w:r>
              <w:rPr>
                <w:b/>
                <w:noProof/>
              </w:rPr>
              <w:t>US$ 26</w:t>
            </w:r>
          </w:p>
        </w:tc>
        <w:tc>
          <w:tcPr>
            <w:tcW w:w="1793" w:type="dxa"/>
            <w:gridSpan w:val="2"/>
            <w:shd w:val="clear" w:color="auto" w:fill="FFFFFF"/>
            <w:vAlign w:val="center"/>
          </w:tcPr>
          <w:p w:rsidR="00B32A2A" w:rsidRPr="00B32A2A" w:rsidRDefault="00B32A2A" w:rsidP="00B32A2A">
            <w:pPr>
              <w:pStyle w:val="ColorfulList-Accent13"/>
              <w:ind w:left="0"/>
              <w:jc w:val="right"/>
              <w:rPr>
                <w:rFonts w:cs="Arial"/>
                <w:b/>
                <w:bCs/>
                <w:noProof/>
                <w:szCs w:val="22"/>
              </w:rPr>
            </w:pPr>
            <w:r>
              <w:rPr>
                <w:b/>
                <w:noProof/>
              </w:rPr>
              <w:t>2011</w:t>
            </w:r>
          </w:p>
        </w:tc>
      </w:tr>
      <w:tr w:rsidR="00B32A2A" w:rsidRPr="00B32A2A" w:rsidTr="00B32A2A">
        <w:trPr>
          <w:trHeight w:val="54"/>
        </w:trPr>
        <w:tc>
          <w:tcPr>
            <w:tcW w:w="3369" w:type="dxa"/>
            <w:gridSpan w:val="2"/>
            <w:vMerge w:val="restart"/>
            <w:shd w:val="clear" w:color="auto" w:fill="FFFFFF"/>
            <w:vAlign w:val="center"/>
          </w:tcPr>
          <w:p w:rsidR="00B32A2A" w:rsidRPr="00B32A2A" w:rsidRDefault="00B32A2A" w:rsidP="00B32A2A">
            <w:pPr>
              <w:pStyle w:val="ColorfulList-Accent13"/>
              <w:ind w:left="0"/>
              <w:jc w:val="both"/>
              <w:rPr>
                <w:rFonts w:cs="Arial"/>
                <w:bCs/>
                <w:noProof/>
                <w:szCs w:val="22"/>
              </w:rPr>
            </w:pPr>
            <w:r>
              <w:t>Total health sector budget for the year of application</w:t>
            </w:r>
          </w:p>
        </w:tc>
        <w:tc>
          <w:tcPr>
            <w:tcW w:w="2126" w:type="dxa"/>
            <w:gridSpan w:val="3"/>
            <w:shd w:val="clear" w:color="auto" w:fill="FFFFFF"/>
            <w:vAlign w:val="center"/>
          </w:tcPr>
          <w:p w:rsidR="00B32A2A" w:rsidRPr="00B32A2A" w:rsidRDefault="00B32A2A" w:rsidP="00B32A2A">
            <w:pPr>
              <w:pStyle w:val="ColorfulList-Accent13"/>
              <w:ind w:left="0"/>
              <w:jc w:val="both"/>
              <w:rPr>
                <w:rFonts w:cs="Arial"/>
                <w:noProof/>
                <w:szCs w:val="22"/>
              </w:rPr>
            </w:pPr>
            <w:r>
              <w:t>CNTS</w:t>
            </w:r>
          </w:p>
        </w:tc>
        <w:tc>
          <w:tcPr>
            <w:tcW w:w="3152" w:type="dxa"/>
            <w:gridSpan w:val="4"/>
            <w:shd w:val="clear" w:color="auto" w:fill="FFFFFF"/>
            <w:vAlign w:val="center"/>
          </w:tcPr>
          <w:p w:rsidR="00B32A2A" w:rsidRPr="00B32A2A" w:rsidRDefault="00B32A2A" w:rsidP="00B32A2A">
            <w:pPr>
              <w:pStyle w:val="ColorfulList-Accent13"/>
              <w:ind w:left="0"/>
              <w:jc w:val="center"/>
              <w:rPr>
                <w:rFonts w:cs="Arial"/>
                <w:b/>
                <w:noProof/>
                <w:szCs w:val="22"/>
              </w:rPr>
            </w:pPr>
            <w:r>
              <w:rPr>
                <w:b/>
                <w:noProof/>
              </w:rPr>
              <w:t>CFA 174,866,256,647</w:t>
            </w:r>
          </w:p>
        </w:tc>
        <w:tc>
          <w:tcPr>
            <w:tcW w:w="1793" w:type="dxa"/>
            <w:gridSpan w:val="2"/>
            <w:shd w:val="clear" w:color="auto" w:fill="FFFFFF"/>
            <w:vAlign w:val="center"/>
          </w:tcPr>
          <w:p w:rsidR="00B32A2A" w:rsidRPr="00B32A2A" w:rsidRDefault="00B32A2A" w:rsidP="00B32A2A">
            <w:pPr>
              <w:pStyle w:val="ColorfulList-Accent13"/>
              <w:ind w:left="0"/>
              <w:jc w:val="right"/>
              <w:rPr>
                <w:rFonts w:cs="Arial"/>
                <w:b/>
                <w:noProof/>
                <w:szCs w:val="22"/>
              </w:rPr>
            </w:pPr>
            <w:r>
              <w:rPr>
                <w:b/>
                <w:noProof/>
              </w:rPr>
              <w:t>2014</w:t>
            </w:r>
          </w:p>
        </w:tc>
      </w:tr>
      <w:tr w:rsidR="00B32A2A" w:rsidRPr="00B32A2A" w:rsidTr="00B32A2A">
        <w:trPr>
          <w:trHeight w:val="54"/>
        </w:trPr>
        <w:tc>
          <w:tcPr>
            <w:tcW w:w="3369" w:type="dxa"/>
            <w:gridSpan w:val="2"/>
            <w:vMerge/>
            <w:shd w:val="clear" w:color="auto" w:fill="FFFFFF"/>
            <w:vAlign w:val="center"/>
          </w:tcPr>
          <w:p w:rsidR="00B32A2A" w:rsidRPr="00B32A2A" w:rsidRDefault="00B32A2A" w:rsidP="00B32A2A">
            <w:pPr>
              <w:pStyle w:val="ColorfulList-Accent13"/>
              <w:ind w:left="0"/>
              <w:jc w:val="both"/>
              <w:rPr>
                <w:rFonts w:cs="Arial"/>
                <w:b/>
                <w:bCs/>
                <w:noProof/>
                <w:szCs w:val="22"/>
              </w:rPr>
            </w:pPr>
          </w:p>
        </w:tc>
        <w:tc>
          <w:tcPr>
            <w:tcW w:w="2126" w:type="dxa"/>
            <w:gridSpan w:val="3"/>
            <w:shd w:val="clear" w:color="auto" w:fill="FFFFFF"/>
            <w:vAlign w:val="center"/>
          </w:tcPr>
          <w:p w:rsidR="00B32A2A" w:rsidRPr="00B32A2A" w:rsidRDefault="00B32A2A" w:rsidP="00B32A2A">
            <w:pPr>
              <w:pStyle w:val="ColorfulList-Accent13"/>
              <w:ind w:left="0"/>
              <w:jc w:val="both"/>
              <w:rPr>
                <w:rFonts w:cs="Arial"/>
                <w:noProof/>
                <w:szCs w:val="22"/>
              </w:rPr>
            </w:pPr>
            <w:r>
              <w:t xml:space="preserve">Other* </w:t>
            </w:r>
          </w:p>
          <w:p w:rsidR="00B32A2A" w:rsidRPr="00B32A2A" w:rsidRDefault="00B32A2A" w:rsidP="00B32A2A">
            <w:pPr>
              <w:pStyle w:val="ColorfulList-Accent13"/>
              <w:ind w:left="0"/>
              <w:jc w:val="both"/>
              <w:rPr>
                <w:rFonts w:cs="Arial"/>
                <w:noProof/>
                <w:szCs w:val="22"/>
              </w:rPr>
            </w:pPr>
            <w:r>
              <w:t>Other* (state source)</w:t>
            </w:r>
          </w:p>
        </w:tc>
        <w:tc>
          <w:tcPr>
            <w:tcW w:w="3152" w:type="dxa"/>
            <w:gridSpan w:val="4"/>
            <w:shd w:val="clear" w:color="auto" w:fill="FFFFFF"/>
            <w:vAlign w:val="center"/>
          </w:tcPr>
          <w:p w:rsidR="00B32A2A" w:rsidRPr="00B32A2A" w:rsidRDefault="00B32A2A" w:rsidP="00B32A2A">
            <w:pPr>
              <w:pStyle w:val="ColorfulList-Accent13"/>
              <w:ind w:left="0"/>
              <w:jc w:val="right"/>
              <w:rPr>
                <w:rFonts w:cs="Arial"/>
                <w:b/>
                <w:bCs/>
                <w:noProof/>
                <w:szCs w:val="22"/>
              </w:rPr>
            </w:pPr>
          </w:p>
        </w:tc>
        <w:tc>
          <w:tcPr>
            <w:tcW w:w="1793" w:type="dxa"/>
            <w:gridSpan w:val="2"/>
            <w:shd w:val="clear" w:color="auto" w:fill="FFFFFF"/>
            <w:vAlign w:val="center"/>
          </w:tcPr>
          <w:p w:rsidR="00B32A2A" w:rsidRPr="00B32A2A" w:rsidRDefault="00B32A2A" w:rsidP="00B32A2A">
            <w:pPr>
              <w:pStyle w:val="ColorfulList-Accent13"/>
              <w:ind w:left="0"/>
              <w:jc w:val="right"/>
              <w:rPr>
                <w:rFonts w:cs="Arial"/>
                <w:b/>
                <w:bCs/>
                <w:noProof/>
                <w:szCs w:val="22"/>
              </w:rPr>
            </w:pPr>
          </w:p>
        </w:tc>
      </w:tr>
      <w:tr w:rsidR="00B32A2A" w:rsidRPr="00B32A2A" w:rsidTr="00B32A2A">
        <w:trPr>
          <w:trHeight w:val="54"/>
        </w:trPr>
        <w:tc>
          <w:tcPr>
            <w:tcW w:w="3369" w:type="dxa"/>
            <w:gridSpan w:val="2"/>
            <w:vMerge w:val="restart"/>
            <w:shd w:val="clear" w:color="auto" w:fill="FFFFFF"/>
            <w:vAlign w:val="center"/>
          </w:tcPr>
          <w:p w:rsidR="00B32A2A" w:rsidRPr="00B32A2A" w:rsidRDefault="00B32A2A" w:rsidP="00B32A2A">
            <w:pPr>
              <w:pStyle w:val="ColorfulList-Accent13"/>
              <w:ind w:left="0"/>
              <w:jc w:val="both"/>
              <w:rPr>
                <w:rFonts w:cs="Arial"/>
                <w:bCs/>
                <w:noProof/>
                <w:szCs w:val="22"/>
              </w:rPr>
            </w:pPr>
            <w:r>
              <w:t xml:space="preserve">Percent of the health sector budget funded by the government from domestic </w:t>
            </w:r>
            <w:r>
              <w:lastRenderedPageBreak/>
              <w:t>sources</w:t>
            </w:r>
          </w:p>
        </w:tc>
        <w:tc>
          <w:tcPr>
            <w:tcW w:w="2126" w:type="dxa"/>
            <w:gridSpan w:val="3"/>
            <w:shd w:val="clear" w:color="auto" w:fill="FFFFFF"/>
            <w:vAlign w:val="center"/>
          </w:tcPr>
          <w:p w:rsidR="00B32A2A" w:rsidRPr="00B32A2A" w:rsidRDefault="00B32A2A" w:rsidP="00B32A2A">
            <w:pPr>
              <w:pStyle w:val="ColorfulList-Accent13"/>
              <w:ind w:left="0"/>
              <w:jc w:val="both"/>
              <w:rPr>
                <w:rFonts w:cs="Arial"/>
                <w:noProof/>
                <w:szCs w:val="22"/>
              </w:rPr>
            </w:pPr>
            <w:r>
              <w:lastRenderedPageBreak/>
              <w:t>Administrative Data</w:t>
            </w:r>
          </w:p>
        </w:tc>
        <w:tc>
          <w:tcPr>
            <w:tcW w:w="3152" w:type="dxa"/>
            <w:gridSpan w:val="4"/>
            <w:shd w:val="clear" w:color="auto" w:fill="auto"/>
            <w:vAlign w:val="center"/>
          </w:tcPr>
          <w:p w:rsidR="00B32A2A" w:rsidRPr="00B32A2A" w:rsidRDefault="00B32A2A" w:rsidP="00B32A2A">
            <w:pPr>
              <w:pStyle w:val="ColorfulList-Accent13"/>
              <w:ind w:left="0"/>
              <w:jc w:val="right"/>
              <w:rPr>
                <w:rFonts w:cs="Arial"/>
                <w:b/>
                <w:bCs/>
                <w:noProof/>
                <w:szCs w:val="22"/>
              </w:rPr>
            </w:pPr>
            <w:r>
              <w:rPr>
                <w:b/>
                <w:noProof/>
              </w:rPr>
              <w:t>58.27 %</w:t>
            </w:r>
          </w:p>
        </w:tc>
        <w:tc>
          <w:tcPr>
            <w:tcW w:w="1793" w:type="dxa"/>
            <w:gridSpan w:val="2"/>
            <w:shd w:val="clear" w:color="auto" w:fill="auto"/>
            <w:vAlign w:val="center"/>
          </w:tcPr>
          <w:p w:rsidR="00B32A2A" w:rsidRPr="00B32A2A" w:rsidRDefault="00B32A2A" w:rsidP="00B32A2A">
            <w:pPr>
              <w:pStyle w:val="ColorfulList-Accent13"/>
              <w:ind w:left="0"/>
              <w:jc w:val="right"/>
              <w:rPr>
                <w:rFonts w:cs="Arial"/>
                <w:b/>
                <w:bCs/>
                <w:noProof/>
                <w:szCs w:val="22"/>
              </w:rPr>
            </w:pPr>
            <w:r>
              <w:rPr>
                <w:b/>
                <w:noProof/>
              </w:rPr>
              <w:t>2014</w:t>
            </w:r>
          </w:p>
        </w:tc>
      </w:tr>
      <w:tr w:rsidR="00B32A2A" w:rsidRPr="00B32A2A" w:rsidTr="00B32A2A">
        <w:trPr>
          <w:trHeight w:val="54"/>
        </w:trPr>
        <w:tc>
          <w:tcPr>
            <w:tcW w:w="3369" w:type="dxa"/>
            <w:gridSpan w:val="2"/>
            <w:vMerge/>
            <w:shd w:val="clear" w:color="auto" w:fill="FFFFFF"/>
            <w:vAlign w:val="center"/>
          </w:tcPr>
          <w:p w:rsidR="00B32A2A" w:rsidRPr="00B32A2A" w:rsidRDefault="00B32A2A" w:rsidP="00B32A2A">
            <w:pPr>
              <w:pStyle w:val="ColorfulList-Accent13"/>
              <w:ind w:left="0"/>
              <w:jc w:val="both"/>
              <w:rPr>
                <w:rFonts w:cs="Arial"/>
                <w:b/>
                <w:bCs/>
                <w:noProof/>
                <w:szCs w:val="22"/>
              </w:rPr>
            </w:pPr>
          </w:p>
        </w:tc>
        <w:tc>
          <w:tcPr>
            <w:tcW w:w="2126" w:type="dxa"/>
            <w:gridSpan w:val="3"/>
            <w:shd w:val="clear" w:color="auto" w:fill="FFFFFF"/>
            <w:vAlign w:val="center"/>
          </w:tcPr>
          <w:p w:rsidR="00B32A2A" w:rsidRPr="00B32A2A" w:rsidRDefault="00B32A2A" w:rsidP="00B32A2A">
            <w:pPr>
              <w:pStyle w:val="ColorfulList-Accent13"/>
              <w:ind w:left="0"/>
              <w:jc w:val="both"/>
              <w:rPr>
                <w:rFonts w:cs="Arial"/>
                <w:noProof/>
                <w:szCs w:val="22"/>
              </w:rPr>
            </w:pPr>
            <w:r>
              <w:t xml:space="preserve">Other* </w:t>
            </w:r>
          </w:p>
          <w:p w:rsidR="00B32A2A" w:rsidRPr="00B32A2A" w:rsidRDefault="00B32A2A" w:rsidP="00B32A2A">
            <w:pPr>
              <w:pStyle w:val="ColorfulList-Accent13"/>
              <w:ind w:left="0"/>
              <w:jc w:val="both"/>
              <w:rPr>
                <w:rFonts w:cs="Arial"/>
                <w:noProof/>
                <w:szCs w:val="22"/>
              </w:rPr>
            </w:pPr>
            <w:r>
              <w:t xml:space="preserve">Other* (state </w:t>
            </w:r>
            <w:r>
              <w:lastRenderedPageBreak/>
              <w:t>source)</w:t>
            </w:r>
          </w:p>
        </w:tc>
        <w:tc>
          <w:tcPr>
            <w:tcW w:w="3152" w:type="dxa"/>
            <w:gridSpan w:val="4"/>
            <w:shd w:val="clear" w:color="auto" w:fill="FFFFFF"/>
            <w:vAlign w:val="center"/>
          </w:tcPr>
          <w:p w:rsidR="00B32A2A" w:rsidRPr="00B32A2A" w:rsidRDefault="00B32A2A" w:rsidP="00B32A2A">
            <w:pPr>
              <w:pStyle w:val="ColorfulList-Accent13"/>
              <w:ind w:left="0"/>
              <w:jc w:val="both"/>
              <w:rPr>
                <w:rFonts w:cs="Arial"/>
                <w:b/>
                <w:bCs/>
                <w:noProof/>
                <w:szCs w:val="22"/>
              </w:rPr>
            </w:pPr>
          </w:p>
        </w:tc>
        <w:tc>
          <w:tcPr>
            <w:tcW w:w="1793" w:type="dxa"/>
            <w:gridSpan w:val="2"/>
            <w:shd w:val="clear" w:color="auto" w:fill="FFFFFF"/>
            <w:vAlign w:val="center"/>
          </w:tcPr>
          <w:p w:rsidR="00B32A2A" w:rsidRPr="00B32A2A" w:rsidRDefault="00B32A2A" w:rsidP="00B32A2A">
            <w:pPr>
              <w:pStyle w:val="ColorfulList-Accent13"/>
              <w:ind w:left="0"/>
              <w:jc w:val="both"/>
              <w:rPr>
                <w:rFonts w:cs="Arial"/>
                <w:b/>
                <w:bCs/>
                <w:noProof/>
                <w:szCs w:val="22"/>
              </w:rPr>
            </w:pPr>
          </w:p>
        </w:tc>
      </w:tr>
      <w:tr w:rsidR="00B32A2A" w:rsidRPr="00B32A2A" w:rsidTr="00B32A2A">
        <w:trPr>
          <w:trHeight w:val="54"/>
        </w:trPr>
        <w:tc>
          <w:tcPr>
            <w:tcW w:w="3369" w:type="dxa"/>
            <w:gridSpan w:val="2"/>
            <w:vMerge w:val="restart"/>
            <w:shd w:val="clear" w:color="auto" w:fill="FFFFFF"/>
            <w:vAlign w:val="center"/>
          </w:tcPr>
          <w:p w:rsidR="00B32A2A" w:rsidRPr="00B32A2A" w:rsidRDefault="00B32A2A" w:rsidP="00B32A2A">
            <w:pPr>
              <w:pStyle w:val="ColorfulList-Accent13"/>
              <w:ind w:left="0"/>
              <w:jc w:val="both"/>
              <w:rPr>
                <w:rFonts w:cs="Arial"/>
                <w:bCs/>
                <w:noProof/>
                <w:szCs w:val="22"/>
              </w:rPr>
            </w:pPr>
            <w:r>
              <w:lastRenderedPageBreak/>
              <w:t>Budget of EPI program for the year of the application</w:t>
            </w:r>
          </w:p>
        </w:tc>
        <w:tc>
          <w:tcPr>
            <w:tcW w:w="2126" w:type="dxa"/>
            <w:gridSpan w:val="3"/>
            <w:shd w:val="clear" w:color="auto" w:fill="FFFFFF"/>
            <w:vAlign w:val="center"/>
          </w:tcPr>
          <w:p w:rsidR="00B32A2A" w:rsidRPr="00B32A2A" w:rsidRDefault="00B32A2A" w:rsidP="00B32A2A">
            <w:pPr>
              <w:pStyle w:val="ColorfulList-Accent13"/>
              <w:ind w:left="0"/>
              <w:jc w:val="both"/>
              <w:rPr>
                <w:rFonts w:cs="Arial"/>
                <w:noProof/>
                <w:szCs w:val="22"/>
              </w:rPr>
            </w:pPr>
            <w:r>
              <w:t>Administrative Data</w:t>
            </w:r>
          </w:p>
        </w:tc>
        <w:tc>
          <w:tcPr>
            <w:tcW w:w="3152" w:type="dxa"/>
            <w:gridSpan w:val="4"/>
            <w:shd w:val="clear" w:color="auto" w:fill="FFFFFF"/>
            <w:vAlign w:val="center"/>
          </w:tcPr>
          <w:p w:rsidR="00B32A2A" w:rsidRPr="00B32A2A" w:rsidRDefault="00B32A2A" w:rsidP="00B32A2A">
            <w:pPr>
              <w:pStyle w:val="ColorfulList-Accent13"/>
              <w:ind w:left="0"/>
              <w:rPr>
                <w:rFonts w:cs="Arial"/>
                <w:b/>
                <w:bCs/>
                <w:noProof/>
                <w:szCs w:val="22"/>
                <w:highlight w:val="yellow"/>
              </w:rPr>
            </w:pPr>
            <w:r>
              <w:rPr>
                <w:b/>
                <w:noProof/>
              </w:rPr>
              <w:t xml:space="preserve">        CFA 17,625,637,571</w:t>
            </w:r>
          </w:p>
        </w:tc>
        <w:tc>
          <w:tcPr>
            <w:tcW w:w="1793" w:type="dxa"/>
            <w:gridSpan w:val="2"/>
            <w:shd w:val="clear" w:color="auto" w:fill="FFFFFF"/>
            <w:vAlign w:val="center"/>
          </w:tcPr>
          <w:p w:rsidR="00B32A2A" w:rsidRPr="00B32A2A" w:rsidRDefault="00B32A2A" w:rsidP="00B32A2A">
            <w:pPr>
              <w:pStyle w:val="ColorfulList-Accent13"/>
              <w:ind w:left="0"/>
              <w:jc w:val="right"/>
              <w:rPr>
                <w:rFonts w:cs="Arial"/>
                <w:b/>
                <w:bCs/>
                <w:noProof/>
                <w:szCs w:val="22"/>
                <w:highlight w:val="yellow"/>
              </w:rPr>
            </w:pPr>
            <w:r>
              <w:rPr>
                <w:b/>
                <w:noProof/>
              </w:rPr>
              <w:t>2014</w:t>
            </w:r>
          </w:p>
        </w:tc>
      </w:tr>
      <w:tr w:rsidR="00B32A2A" w:rsidRPr="00B32A2A" w:rsidTr="00B32A2A">
        <w:trPr>
          <w:trHeight w:val="54"/>
        </w:trPr>
        <w:tc>
          <w:tcPr>
            <w:tcW w:w="3369" w:type="dxa"/>
            <w:gridSpan w:val="2"/>
            <w:vMerge/>
            <w:shd w:val="clear" w:color="auto" w:fill="FFFFFF"/>
            <w:vAlign w:val="center"/>
          </w:tcPr>
          <w:p w:rsidR="00B32A2A" w:rsidRPr="00B32A2A" w:rsidRDefault="00B32A2A" w:rsidP="00B32A2A">
            <w:pPr>
              <w:pStyle w:val="ColorfulList-Accent13"/>
              <w:ind w:left="0"/>
              <w:jc w:val="both"/>
              <w:rPr>
                <w:rFonts w:cs="Arial"/>
                <w:b/>
                <w:bCs/>
                <w:noProof/>
                <w:szCs w:val="22"/>
              </w:rPr>
            </w:pPr>
          </w:p>
        </w:tc>
        <w:tc>
          <w:tcPr>
            <w:tcW w:w="2126" w:type="dxa"/>
            <w:gridSpan w:val="3"/>
            <w:shd w:val="clear" w:color="auto" w:fill="FFFFFF"/>
            <w:vAlign w:val="center"/>
          </w:tcPr>
          <w:p w:rsidR="00B32A2A" w:rsidRPr="00B32A2A" w:rsidRDefault="00B32A2A" w:rsidP="00B32A2A">
            <w:pPr>
              <w:pStyle w:val="ColorfulList-Accent13"/>
              <w:ind w:left="0"/>
              <w:jc w:val="both"/>
              <w:rPr>
                <w:rFonts w:cs="Arial"/>
                <w:noProof/>
                <w:szCs w:val="22"/>
              </w:rPr>
            </w:pPr>
            <w:r>
              <w:t xml:space="preserve">Other* </w:t>
            </w:r>
          </w:p>
          <w:p w:rsidR="00B32A2A" w:rsidRPr="00B32A2A" w:rsidRDefault="00B32A2A" w:rsidP="00B32A2A">
            <w:pPr>
              <w:pStyle w:val="ColorfulList-Accent13"/>
              <w:ind w:left="0"/>
              <w:jc w:val="both"/>
              <w:rPr>
                <w:rFonts w:cs="Arial"/>
                <w:noProof/>
                <w:szCs w:val="22"/>
              </w:rPr>
            </w:pPr>
            <w:r>
              <w:t>Other* (state source)</w:t>
            </w:r>
          </w:p>
        </w:tc>
        <w:tc>
          <w:tcPr>
            <w:tcW w:w="3152" w:type="dxa"/>
            <w:gridSpan w:val="4"/>
            <w:shd w:val="clear" w:color="auto" w:fill="FFFFFF"/>
            <w:vAlign w:val="center"/>
          </w:tcPr>
          <w:p w:rsidR="00B32A2A" w:rsidRPr="00B32A2A" w:rsidRDefault="00B32A2A" w:rsidP="00B32A2A">
            <w:pPr>
              <w:pStyle w:val="ColorfulList-Accent13"/>
              <w:ind w:left="0"/>
              <w:jc w:val="both"/>
              <w:rPr>
                <w:rFonts w:cs="Arial"/>
                <w:b/>
                <w:bCs/>
                <w:noProof/>
                <w:szCs w:val="22"/>
              </w:rPr>
            </w:pPr>
          </w:p>
        </w:tc>
        <w:tc>
          <w:tcPr>
            <w:tcW w:w="1793" w:type="dxa"/>
            <w:gridSpan w:val="2"/>
            <w:shd w:val="clear" w:color="auto" w:fill="FFFFFF"/>
            <w:vAlign w:val="center"/>
          </w:tcPr>
          <w:p w:rsidR="00B32A2A" w:rsidRPr="00B32A2A" w:rsidRDefault="00B32A2A" w:rsidP="00B32A2A">
            <w:pPr>
              <w:pStyle w:val="ColorfulList-Accent13"/>
              <w:ind w:left="0"/>
              <w:jc w:val="both"/>
              <w:rPr>
                <w:rFonts w:cs="Arial"/>
                <w:b/>
                <w:bCs/>
                <w:noProof/>
                <w:szCs w:val="22"/>
              </w:rPr>
            </w:pPr>
          </w:p>
        </w:tc>
      </w:tr>
      <w:tr w:rsidR="00B32A2A" w:rsidRPr="00B32A2A" w:rsidTr="00B32A2A">
        <w:trPr>
          <w:trHeight w:val="54"/>
        </w:trPr>
        <w:tc>
          <w:tcPr>
            <w:tcW w:w="3369" w:type="dxa"/>
            <w:gridSpan w:val="2"/>
            <w:vMerge w:val="restart"/>
            <w:shd w:val="clear" w:color="auto" w:fill="FFFFFF"/>
            <w:vAlign w:val="center"/>
          </w:tcPr>
          <w:p w:rsidR="00B32A2A" w:rsidRPr="00B32A2A" w:rsidRDefault="00B32A2A" w:rsidP="00B32A2A">
            <w:pPr>
              <w:pStyle w:val="ColorfulList-Accent13"/>
              <w:ind w:left="0"/>
              <w:jc w:val="both"/>
              <w:rPr>
                <w:rFonts w:cs="Arial"/>
                <w:bCs/>
                <w:noProof/>
                <w:szCs w:val="22"/>
              </w:rPr>
            </w:pPr>
            <w:r>
              <w:t>Percent of subnational level facilities with cold chain capacities fit for purpose (based on WHO definition of “fit for purpose”)</w:t>
            </w:r>
          </w:p>
        </w:tc>
        <w:tc>
          <w:tcPr>
            <w:tcW w:w="2126" w:type="dxa"/>
            <w:gridSpan w:val="3"/>
            <w:shd w:val="clear" w:color="auto" w:fill="FFFFFF"/>
            <w:vAlign w:val="center"/>
          </w:tcPr>
          <w:p w:rsidR="00B32A2A" w:rsidRPr="00B32A2A" w:rsidRDefault="00B32A2A" w:rsidP="00B32A2A">
            <w:pPr>
              <w:pStyle w:val="ColorfulList-Accent13"/>
              <w:ind w:left="0"/>
              <w:jc w:val="both"/>
              <w:rPr>
                <w:rFonts w:cs="Arial"/>
                <w:noProof/>
                <w:szCs w:val="22"/>
              </w:rPr>
            </w:pPr>
            <w:r>
              <w:t>Administrative Data</w:t>
            </w:r>
          </w:p>
        </w:tc>
        <w:tc>
          <w:tcPr>
            <w:tcW w:w="3152" w:type="dxa"/>
            <w:gridSpan w:val="4"/>
            <w:shd w:val="clear" w:color="auto" w:fill="FFFFFF"/>
            <w:vAlign w:val="center"/>
          </w:tcPr>
          <w:p w:rsidR="00B32A2A" w:rsidRPr="00B32A2A" w:rsidRDefault="00B32A2A" w:rsidP="00B32A2A">
            <w:pPr>
              <w:pStyle w:val="ColorfulList-Accent13"/>
              <w:ind w:left="0"/>
              <w:jc w:val="right"/>
              <w:rPr>
                <w:rFonts w:cs="Arial"/>
                <w:b/>
                <w:bCs/>
                <w:noProof/>
                <w:szCs w:val="22"/>
              </w:rPr>
            </w:pPr>
            <w:r>
              <w:rPr>
                <w:b/>
                <w:noProof/>
              </w:rPr>
              <w:t>72%</w:t>
            </w:r>
          </w:p>
        </w:tc>
        <w:tc>
          <w:tcPr>
            <w:tcW w:w="1793" w:type="dxa"/>
            <w:gridSpan w:val="2"/>
            <w:shd w:val="clear" w:color="auto" w:fill="FFFFFF"/>
            <w:vAlign w:val="center"/>
          </w:tcPr>
          <w:p w:rsidR="00B32A2A" w:rsidRPr="00B32A2A" w:rsidRDefault="00B32A2A" w:rsidP="00B32A2A">
            <w:pPr>
              <w:pStyle w:val="ColorfulList-Accent13"/>
              <w:ind w:left="0"/>
              <w:jc w:val="right"/>
              <w:rPr>
                <w:rFonts w:cs="Arial"/>
                <w:b/>
                <w:bCs/>
                <w:noProof/>
                <w:szCs w:val="22"/>
              </w:rPr>
            </w:pPr>
            <w:r>
              <w:rPr>
                <w:b/>
                <w:noProof/>
              </w:rPr>
              <w:t>2012</w:t>
            </w:r>
          </w:p>
        </w:tc>
      </w:tr>
      <w:tr w:rsidR="00B32A2A" w:rsidRPr="00B32A2A" w:rsidTr="00B32A2A">
        <w:trPr>
          <w:trHeight w:val="54"/>
        </w:trPr>
        <w:tc>
          <w:tcPr>
            <w:tcW w:w="3369" w:type="dxa"/>
            <w:gridSpan w:val="2"/>
            <w:vMerge/>
            <w:shd w:val="clear" w:color="auto" w:fill="FFFFFF"/>
            <w:vAlign w:val="center"/>
          </w:tcPr>
          <w:p w:rsidR="00B32A2A" w:rsidRPr="00B32A2A" w:rsidRDefault="00B32A2A" w:rsidP="00B32A2A">
            <w:pPr>
              <w:pStyle w:val="ColorfulList-Accent13"/>
              <w:ind w:left="0"/>
              <w:jc w:val="both"/>
              <w:rPr>
                <w:rFonts w:cs="Arial"/>
                <w:b/>
                <w:bCs/>
                <w:noProof/>
                <w:szCs w:val="22"/>
              </w:rPr>
            </w:pPr>
          </w:p>
        </w:tc>
        <w:tc>
          <w:tcPr>
            <w:tcW w:w="2126" w:type="dxa"/>
            <w:gridSpan w:val="3"/>
            <w:shd w:val="clear" w:color="auto" w:fill="FFFFFF"/>
            <w:vAlign w:val="center"/>
          </w:tcPr>
          <w:p w:rsidR="00B32A2A" w:rsidRPr="00B32A2A" w:rsidRDefault="00B32A2A" w:rsidP="00B32A2A">
            <w:pPr>
              <w:pStyle w:val="ColorfulList-Accent13"/>
              <w:ind w:left="0"/>
              <w:jc w:val="both"/>
              <w:rPr>
                <w:rFonts w:cs="Arial"/>
                <w:noProof/>
                <w:szCs w:val="22"/>
              </w:rPr>
            </w:pPr>
            <w:r>
              <w:t xml:space="preserve">Other* </w:t>
            </w:r>
          </w:p>
          <w:p w:rsidR="00B32A2A" w:rsidRPr="00B32A2A" w:rsidRDefault="00B32A2A" w:rsidP="00B32A2A">
            <w:pPr>
              <w:pStyle w:val="ColorfulList-Accent13"/>
              <w:ind w:left="0"/>
              <w:jc w:val="both"/>
              <w:rPr>
                <w:rFonts w:cs="Arial"/>
                <w:noProof/>
                <w:szCs w:val="22"/>
              </w:rPr>
            </w:pPr>
            <w:r>
              <w:t>Other* (state source)</w:t>
            </w:r>
          </w:p>
        </w:tc>
        <w:tc>
          <w:tcPr>
            <w:tcW w:w="3152" w:type="dxa"/>
            <w:gridSpan w:val="4"/>
            <w:shd w:val="clear" w:color="auto" w:fill="FFFFFF"/>
            <w:vAlign w:val="center"/>
          </w:tcPr>
          <w:p w:rsidR="00B32A2A" w:rsidRPr="00B32A2A" w:rsidRDefault="00B32A2A" w:rsidP="00B32A2A">
            <w:pPr>
              <w:pStyle w:val="ColorfulList-Accent13"/>
              <w:ind w:left="0"/>
              <w:jc w:val="both"/>
              <w:rPr>
                <w:rFonts w:cs="Arial"/>
                <w:b/>
                <w:bCs/>
                <w:noProof/>
                <w:szCs w:val="22"/>
              </w:rPr>
            </w:pPr>
          </w:p>
        </w:tc>
        <w:tc>
          <w:tcPr>
            <w:tcW w:w="1793" w:type="dxa"/>
            <w:gridSpan w:val="2"/>
            <w:shd w:val="clear" w:color="auto" w:fill="FFFFFF"/>
            <w:vAlign w:val="center"/>
          </w:tcPr>
          <w:p w:rsidR="00B32A2A" w:rsidRPr="00B32A2A" w:rsidRDefault="00B32A2A" w:rsidP="00B32A2A">
            <w:pPr>
              <w:pStyle w:val="ColorfulList-Accent13"/>
              <w:ind w:left="0"/>
              <w:jc w:val="both"/>
              <w:rPr>
                <w:rFonts w:cs="Arial"/>
                <w:b/>
                <w:bCs/>
                <w:noProof/>
                <w:szCs w:val="22"/>
              </w:rPr>
            </w:pPr>
          </w:p>
        </w:tc>
      </w:tr>
      <w:tr w:rsidR="00B32A2A" w:rsidRPr="00B32A2A" w:rsidTr="00B32A2A">
        <w:trPr>
          <w:trHeight w:val="54"/>
        </w:trPr>
        <w:tc>
          <w:tcPr>
            <w:tcW w:w="3369" w:type="dxa"/>
            <w:gridSpan w:val="2"/>
            <w:vMerge w:val="restart"/>
            <w:shd w:val="clear" w:color="auto" w:fill="FFFFFF"/>
            <w:vAlign w:val="center"/>
          </w:tcPr>
          <w:p w:rsidR="00B32A2A" w:rsidRPr="00B32A2A" w:rsidRDefault="00B32A2A" w:rsidP="00B32A2A">
            <w:pPr>
              <w:pStyle w:val="ColorfulList-Accent13"/>
              <w:ind w:left="0"/>
              <w:jc w:val="both"/>
              <w:rPr>
                <w:rFonts w:cs="Arial"/>
                <w:bCs/>
                <w:noProof/>
                <w:szCs w:val="22"/>
              </w:rPr>
            </w:pPr>
            <w:r>
              <w:t>Timeliness and completeness of center and district (or equivalent) reports</w:t>
            </w:r>
          </w:p>
        </w:tc>
        <w:tc>
          <w:tcPr>
            <w:tcW w:w="2126" w:type="dxa"/>
            <w:gridSpan w:val="3"/>
            <w:shd w:val="clear" w:color="auto" w:fill="FFFFFF"/>
            <w:vAlign w:val="center"/>
          </w:tcPr>
          <w:p w:rsidR="00B32A2A" w:rsidRPr="00B32A2A" w:rsidRDefault="00B32A2A" w:rsidP="00B32A2A">
            <w:pPr>
              <w:pStyle w:val="ColorfulList-Accent13"/>
              <w:ind w:left="0"/>
              <w:jc w:val="both"/>
              <w:rPr>
                <w:rFonts w:cs="Arial"/>
                <w:noProof/>
                <w:szCs w:val="22"/>
              </w:rPr>
            </w:pPr>
            <w:r>
              <w:t>Administrative Data</w:t>
            </w:r>
          </w:p>
        </w:tc>
        <w:tc>
          <w:tcPr>
            <w:tcW w:w="3152" w:type="dxa"/>
            <w:gridSpan w:val="4"/>
            <w:shd w:val="clear" w:color="auto" w:fill="FFFFFF"/>
            <w:vAlign w:val="center"/>
          </w:tcPr>
          <w:p w:rsidR="00B32A2A" w:rsidRPr="00B32A2A" w:rsidRDefault="00B32A2A" w:rsidP="00B32A2A">
            <w:pPr>
              <w:pStyle w:val="ColorfulList-Accent13"/>
              <w:ind w:left="0"/>
              <w:jc w:val="right"/>
              <w:rPr>
                <w:rFonts w:cs="Arial"/>
                <w:b/>
                <w:bCs/>
                <w:noProof/>
                <w:szCs w:val="22"/>
              </w:rPr>
            </w:pPr>
            <w:r>
              <w:rPr>
                <w:b/>
                <w:noProof/>
              </w:rPr>
              <w:t>Completeness 84%</w:t>
            </w:r>
          </w:p>
          <w:p w:rsidR="00B32A2A" w:rsidRPr="00B32A2A" w:rsidRDefault="00B32A2A" w:rsidP="00B32A2A">
            <w:pPr>
              <w:pStyle w:val="ColorfulList-Accent13"/>
              <w:ind w:left="0"/>
              <w:jc w:val="right"/>
              <w:rPr>
                <w:rFonts w:cs="Arial"/>
                <w:b/>
                <w:bCs/>
                <w:noProof/>
                <w:szCs w:val="22"/>
              </w:rPr>
            </w:pPr>
            <w:r>
              <w:rPr>
                <w:b/>
                <w:noProof/>
              </w:rPr>
              <w:t>Timeliness 52%</w:t>
            </w:r>
          </w:p>
        </w:tc>
        <w:tc>
          <w:tcPr>
            <w:tcW w:w="1793" w:type="dxa"/>
            <w:gridSpan w:val="2"/>
            <w:shd w:val="clear" w:color="auto" w:fill="FFFFFF"/>
            <w:vAlign w:val="center"/>
          </w:tcPr>
          <w:p w:rsidR="00B32A2A" w:rsidRPr="00B32A2A" w:rsidRDefault="00B32A2A" w:rsidP="00B32A2A">
            <w:pPr>
              <w:pStyle w:val="ColorfulList-Accent13"/>
              <w:ind w:left="0"/>
              <w:jc w:val="right"/>
              <w:rPr>
                <w:rFonts w:cs="Arial"/>
                <w:b/>
                <w:bCs/>
                <w:noProof/>
                <w:szCs w:val="22"/>
              </w:rPr>
            </w:pPr>
            <w:r>
              <w:rPr>
                <w:b/>
                <w:noProof/>
              </w:rPr>
              <w:t>2012</w:t>
            </w:r>
          </w:p>
        </w:tc>
      </w:tr>
      <w:tr w:rsidR="00B32A2A" w:rsidRPr="00B32A2A" w:rsidTr="00B32A2A">
        <w:trPr>
          <w:trHeight w:val="54"/>
        </w:trPr>
        <w:tc>
          <w:tcPr>
            <w:tcW w:w="3369" w:type="dxa"/>
            <w:gridSpan w:val="2"/>
            <w:vMerge/>
            <w:shd w:val="clear" w:color="auto" w:fill="FFFFFF"/>
            <w:vAlign w:val="center"/>
          </w:tcPr>
          <w:p w:rsidR="00B32A2A" w:rsidRPr="00B32A2A" w:rsidRDefault="00B32A2A" w:rsidP="00B32A2A">
            <w:pPr>
              <w:pStyle w:val="ColorfulList-Accent13"/>
              <w:ind w:left="0"/>
              <w:jc w:val="both"/>
              <w:rPr>
                <w:rFonts w:cs="Arial"/>
                <w:b/>
                <w:bCs/>
                <w:noProof/>
                <w:szCs w:val="22"/>
              </w:rPr>
            </w:pPr>
          </w:p>
        </w:tc>
        <w:tc>
          <w:tcPr>
            <w:tcW w:w="2126" w:type="dxa"/>
            <w:gridSpan w:val="3"/>
            <w:shd w:val="clear" w:color="auto" w:fill="FFFFFF"/>
            <w:vAlign w:val="center"/>
          </w:tcPr>
          <w:p w:rsidR="00B32A2A" w:rsidRPr="00B32A2A" w:rsidRDefault="00B32A2A" w:rsidP="00B32A2A">
            <w:pPr>
              <w:pStyle w:val="ColorfulList-Accent13"/>
              <w:ind w:left="0"/>
              <w:jc w:val="both"/>
              <w:rPr>
                <w:rFonts w:cs="Arial"/>
                <w:noProof/>
                <w:szCs w:val="22"/>
              </w:rPr>
            </w:pPr>
            <w:r>
              <w:t xml:space="preserve">Other* </w:t>
            </w:r>
          </w:p>
          <w:p w:rsidR="00B32A2A" w:rsidRPr="00B32A2A" w:rsidRDefault="00B32A2A" w:rsidP="00B32A2A">
            <w:pPr>
              <w:pStyle w:val="ColorfulList-Accent13"/>
              <w:ind w:left="0"/>
              <w:jc w:val="both"/>
              <w:rPr>
                <w:rFonts w:cs="Arial"/>
                <w:noProof/>
                <w:szCs w:val="22"/>
              </w:rPr>
            </w:pPr>
            <w:r>
              <w:t>Other* (state source)</w:t>
            </w:r>
          </w:p>
        </w:tc>
        <w:tc>
          <w:tcPr>
            <w:tcW w:w="3152" w:type="dxa"/>
            <w:gridSpan w:val="4"/>
            <w:shd w:val="clear" w:color="auto" w:fill="FFFFFF"/>
            <w:vAlign w:val="center"/>
          </w:tcPr>
          <w:p w:rsidR="00B32A2A" w:rsidRPr="00B32A2A" w:rsidRDefault="00B32A2A" w:rsidP="00B32A2A">
            <w:pPr>
              <w:pStyle w:val="ColorfulList-Accent13"/>
              <w:ind w:left="0"/>
              <w:jc w:val="both"/>
              <w:rPr>
                <w:rFonts w:cs="Arial"/>
                <w:b/>
                <w:bCs/>
                <w:noProof/>
                <w:szCs w:val="22"/>
              </w:rPr>
            </w:pPr>
          </w:p>
        </w:tc>
        <w:tc>
          <w:tcPr>
            <w:tcW w:w="1793" w:type="dxa"/>
            <w:gridSpan w:val="2"/>
            <w:shd w:val="clear" w:color="auto" w:fill="FFFFFF"/>
            <w:vAlign w:val="center"/>
          </w:tcPr>
          <w:p w:rsidR="00B32A2A" w:rsidRPr="00B32A2A" w:rsidRDefault="00B32A2A" w:rsidP="00B32A2A">
            <w:pPr>
              <w:pStyle w:val="ColorfulList-Accent13"/>
              <w:ind w:left="0"/>
              <w:jc w:val="both"/>
              <w:rPr>
                <w:rFonts w:cs="Arial"/>
                <w:b/>
                <w:bCs/>
                <w:noProof/>
                <w:szCs w:val="22"/>
              </w:rPr>
            </w:pPr>
          </w:p>
        </w:tc>
      </w:tr>
      <w:tr w:rsidR="00B32A2A" w:rsidRPr="00B32A2A" w:rsidTr="00B32A2A">
        <w:trPr>
          <w:trHeight w:val="1192"/>
        </w:trPr>
        <w:tc>
          <w:tcPr>
            <w:tcW w:w="10440" w:type="dxa"/>
            <w:gridSpan w:val="11"/>
            <w:shd w:val="clear" w:color="auto" w:fill="FFFFFF"/>
          </w:tcPr>
          <w:p w:rsidR="00B32A2A" w:rsidRPr="00B32A2A" w:rsidRDefault="00B32A2A" w:rsidP="00B32A2A">
            <w:pPr>
              <w:pStyle w:val="ColorfulList-Accent13"/>
              <w:ind w:left="0"/>
              <w:jc w:val="both"/>
              <w:rPr>
                <w:rFonts w:cs="Arial"/>
                <w:b/>
                <w:noProof/>
                <w:szCs w:val="22"/>
              </w:rPr>
            </w:pPr>
            <w:r>
              <w:rPr>
                <w:b/>
                <w:noProof/>
              </w:rPr>
              <w:t>Please use the space below to:</w:t>
            </w:r>
          </w:p>
          <w:p w:rsidR="00B32A2A" w:rsidRPr="00B32A2A" w:rsidRDefault="00B32A2A" w:rsidP="00B32A2A">
            <w:pPr>
              <w:pStyle w:val="ColorfulList-Accent13"/>
              <w:numPr>
                <w:ilvl w:val="0"/>
                <w:numId w:val="5"/>
              </w:numPr>
              <w:jc w:val="both"/>
              <w:rPr>
                <w:rFonts w:cs="Arial"/>
                <w:b/>
                <w:noProof/>
                <w:szCs w:val="22"/>
              </w:rPr>
            </w:pPr>
            <w:r>
              <w:rPr>
                <w:b/>
                <w:noProof/>
              </w:rPr>
              <w:t>explain possible disparities between administrative statistics and "other" statistics, and provide details about any plan focused on improving data quality to correct these disparities;</w:t>
            </w:r>
          </w:p>
          <w:p w:rsidR="00B32A2A" w:rsidRPr="00B32A2A" w:rsidRDefault="00B32A2A" w:rsidP="00B32A2A">
            <w:pPr>
              <w:pStyle w:val="ColorfulList-Accent13"/>
              <w:numPr>
                <w:ilvl w:val="0"/>
                <w:numId w:val="5"/>
              </w:numPr>
              <w:jc w:val="both"/>
              <w:rPr>
                <w:rFonts w:cs="Arial"/>
                <w:b/>
                <w:noProof/>
                <w:szCs w:val="22"/>
              </w:rPr>
            </w:pPr>
            <w:r>
              <w:rPr>
                <w:b/>
                <w:noProof/>
              </w:rPr>
              <w:t>show statistic key indicators that are even more specific (if possible). This data will be used to illustrate equity differences by geographic location and urban/rural.</w:t>
            </w:r>
          </w:p>
        </w:tc>
      </w:tr>
      <w:tr w:rsidR="00B32A2A" w:rsidRPr="00B32A2A" w:rsidTr="00B32A2A">
        <w:trPr>
          <w:trHeight w:val="278"/>
        </w:trPr>
        <w:tc>
          <w:tcPr>
            <w:tcW w:w="10440" w:type="dxa"/>
            <w:gridSpan w:val="11"/>
            <w:shd w:val="clear" w:color="auto" w:fill="FFFFFF"/>
          </w:tcPr>
          <w:p w:rsidR="00B32A2A" w:rsidRPr="00B32A2A" w:rsidRDefault="00B32A2A" w:rsidP="00B32A2A">
            <w:pPr>
              <w:pStyle w:val="ColorfulList-Accent13"/>
              <w:spacing w:before="240"/>
              <w:ind w:left="0"/>
              <w:jc w:val="both"/>
              <w:rPr>
                <w:rFonts w:cs="Arial"/>
                <w:b/>
                <w:i/>
                <w:noProof/>
                <w:szCs w:val="22"/>
              </w:rPr>
            </w:pPr>
            <w:r>
              <w:rPr>
                <w:b/>
                <w:i/>
                <w:noProof/>
              </w:rPr>
              <w:t>THREE PAGES MAXIMUM</w:t>
            </w:r>
          </w:p>
          <w:p w:rsidR="00B32A2A" w:rsidRPr="00B32A2A" w:rsidRDefault="00B32A2A" w:rsidP="00B32A2A">
            <w:pPr>
              <w:pStyle w:val="ColorfulList-Accent13"/>
              <w:spacing w:before="240"/>
              <w:ind w:left="0"/>
              <w:jc w:val="both"/>
              <w:rPr>
                <w:rFonts w:eastAsia="'arial','sans-serif'" w:cs="Arial"/>
                <w:noProof/>
                <w:szCs w:val="22"/>
              </w:rPr>
            </w:pPr>
            <w:r>
              <w:t>The data analysis shows gaps between the administrative data and the data from other sources. The observed gaps come from what is basically a lack of adherence to the immunization schedule by mothers, lack of adherence to the interval between doses by immunization workers which causes high levels of invalid doses. To this, we must add inconsistencies in the demographic data linked to immunization from different sources and to poor management, inadequacies in the procurement of immunization supplies at the health center level, inadequacies in the supervision of quality as well as in regular decentralized monitoring for bottlenecks in health centers and health huts, and also frequent shortages of antigens at all levels. According to the results from the last immunization coverage survey (CAR-EPI 2013), the proportion of invalid doses is very high for all antigens in that it is higher than 37%. Among other reasons, it must be noted that there is also a failure to address the program target demographic of children aged 0 – 11 months. All these weaknesses are due to a lack of interpersonal communication, inadequate health coverage (47%), irregular fixed and outreach fair and mobile activities, inadequate funding for immunization activities and delay in releasing the State's portion of funds, inadequate personnel (in quantity and quality) and a lack of understanding of demographic data.</w:t>
            </w:r>
          </w:p>
          <w:p w:rsidR="00B32A2A" w:rsidRPr="00B32A2A" w:rsidRDefault="00B32A2A" w:rsidP="00B32A2A">
            <w:pPr>
              <w:pStyle w:val="ColorfulList-Accent13"/>
              <w:spacing w:before="240"/>
              <w:ind w:left="0"/>
              <w:jc w:val="both"/>
              <w:rPr>
                <w:rFonts w:eastAsia="'arial','sans-serif'" w:cs="Arial"/>
                <w:noProof/>
                <w:szCs w:val="22"/>
              </w:rPr>
            </w:pPr>
          </w:p>
          <w:p w:rsidR="00B32A2A" w:rsidRPr="00B32A2A" w:rsidRDefault="00B32A2A" w:rsidP="00B32A2A">
            <w:pPr>
              <w:pStyle w:val="ColorfulList-Accent13"/>
              <w:spacing w:before="240"/>
              <w:ind w:left="0"/>
              <w:jc w:val="both"/>
              <w:rPr>
                <w:rFonts w:eastAsia="'arial','sans-serif'" w:cs="Arial"/>
                <w:noProof/>
                <w:szCs w:val="22"/>
              </w:rPr>
            </w:pPr>
            <w:r>
              <w:t>To improve data quality, the following actions will be taken and will be reinforced:</w:t>
            </w:r>
          </w:p>
          <w:p w:rsidR="00B32A2A" w:rsidRPr="00B32A2A" w:rsidRDefault="00B32A2A" w:rsidP="00B32A2A">
            <w:pPr>
              <w:pStyle w:val="ColorfulList-Accent13"/>
              <w:numPr>
                <w:ilvl w:val="0"/>
                <w:numId w:val="12"/>
              </w:numPr>
              <w:spacing w:before="240"/>
              <w:jc w:val="both"/>
              <w:rPr>
                <w:rFonts w:eastAsia="'arial','sans-serif'" w:cs="Arial"/>
                <w:noProof/>
                <w:szCs w:val="22"/>
              </w:rPr>
            </w:pPr>
            <w:r>
              <w:t>the use of demographic data from the general population census of 2012;</w:t>
            </w:r>
          </w:p>
          <w:p w:rsidR="00B32A2A" w:rsidRPr="00B32A2A" w:rsidRDefault="00B32A2A" w:rsidP="00B32A2A">
            <w:pPr>
              <w:pStyle w:val="ColorfulList-Accent13"/>
              <w:numPr>
                <w:ilvl w:val="0"/>
                <w:numId w:val="12"/>
              </w:numPr>
              <w:spacing w:before="240"/>
              <w:jc w:val="both"/>
              <w:rPr>
                <w:rFonts w:eastAsia="'arial','sans-serif'" w:cs="Arial"/>
                <w:noProof/>
                <w:szCs w:val="22"/>
              </w:rPr>
            </w:pPr>
            <w:r>
              <w:t>training all district management teams and region health managers in data quality survey (DQS) and RED;</w:t>
            </w:r>
          </w:p>
          <w:p w:rsidR="00B32A2A" w:rsidRPr="00B32A2A" w:rsidRDefault="00B32A2A" w:rsidP="00B32A2A">
            <w:pPr>
              <w:pStyle w:val="ColorfulList-Accent13"/>
              <w:numPr>
                <w:ilvl w:val="0"/>
                <w:numId w:val="12"/>
              </w:numPr>
              <w:spacing w:before="240"/>
              <w:jc w:val="both"/>
              <w:rPr>
                <w:rFonts w:eastAsia="'arial','sans-serif'" w:cs="Arial"/>
                <w:noProof/>
                <w:szCs w:val="22"/>
              </w:rPr>
            </w:pPr>
            <w:r>
              <w:t>the state of data quality survey (DQS) monitoring since 2011 in peripheral health facilities;</w:t>
            </w:r>
          </w:p>
          <w:p w:rsidR="00B32A2A" w:rsidRPr="00B32A2A" w:rsidRDefault="00B32A2A" w:rsidP="00B32A2A">
            <w:pPr>
              <w:pStyle w:val="ColorfulList-Accent13"/>
              <w:numPr>
                <w:ilvl w:val="0"/>
                <w:numId w:val="12"/>
              </w:numPr>
              <w:spacing w:before="200"/>
              <w:jc w:val="both"/>
              <w:rPr>
                <w:rFonts w:eastAsia="'arial','sans-serif'" w:cs="Arial"/>
                <w:noProof/>
                <w:szCs w:val="22"/>
              </w:rPr>
            </w:pPr>
            <w:r>
              <w:t>Monthly meetings to clean up and standardize immunization and monitoring data;</w:t>
            </w:r>
          </w:p>
          <w:p w:rsidR="00B32A2A" w:rsidRPr="00B32A2A" w:rsidRDefault="00B32A2A" w:rsidP="00B32A2A">
            <w:pPr>
              <w:pStyle w:val="ColorfulList-Accent13"/>
              <w:numPr>
                <w:ilvl w:val="0"/>
                <w:numId w:val="12"/>
              </w:numPr>
              <w:spacing w:before="200"/>
              <w:jc w:val="both"/>
              <w:rPr>
                <w:rFonts w:eastAsia="'arial','sans-serif'" w:cs="Arial"/>
                <w:noProof/>
                <w:szCs w:val="22"/>
              </w:rPr>
            </w:pPr>
            <w:r>
              <w:t>verification of data quality during coordination meetings, quarterly and annual reviews.</w:t>
            </w:r>
          </w:p>
          <w:p w:rsidR="00B32A2A" w:rsidRPr="00B32A2A" w:rsidRDefault="00B32A2A" w:rsidP="00B32A2A">
            <w:pPr>
              <w:pStyle w:val="ColorfulList-Accent13"/>
              <w:numPr>
                <w:ilvl w:val="0"/>
                <w:numId w:val="12"/>
              </w:numPr>
              <w:spacing w:before="200"/>
              <w:jc w:val="both"/>
              <w:rPr>
                <w:rFonts w:eastAsia="'arial','sans-serif'" w:cs="Arial"/>
                <w:noProof/>
                <w:szCs w:val="22"/>
              </w:rPr>
            </w:pPr>
            <w:r>
              <w:t>Training of participants at the district and region levels at the end of 2012 on new tools and computerized immunization data management (DVD-MT and SMT);</w:t>
            </w:r>
          </w:p>
          <w:p w:rsidR="00B32A2A" w:rsidRPr="00B32A2A" w:rsidRDefault="00B32A2A" w:rsidP="00B32A2A">
            <w:pPr>
              <w:pStyle w:val="ColorfulList-Accent13"/>
              <w:numPr>
                <w:ilvl w:val="0"/>
                <w:numId w:val="12"/>
              </w:numPr>
              <w:spacing w:before="200"/>
              <w:jc w:val="both"/>
              <w:rPr>
                <w:rFonts w:eastAsia="'arial','sans-serif'" w:cs="Arial"/>
                <w:noProof/>
                <w:szCs w:val="22"/>
              </w:rPr>
            </w:pPr>
            <w:r>
              <w:t>National Health Information System (NHIS);</w:t>
            </w:r>
          </w:p>
          <w:p w:rsidR="00B32A2A" w:rsidRPr="00B32A2A" w:rsidRDefault="00B32A2A" w:rsidP="00B32A2A">
            <w:pPr>
              <w:pStyle w:val="ColorfulList-Accent13"/>
              <w:numPr>
                <w:ilvl w:val="0"/>
                <w:numId w:val="12"/>
              </w:numPr>
              <w:spacing w:before="200"/>
              <w:jc w:val="both"/>
              <w:rPr>
                <w:rFonts w:eastAsia="'arial','sans-serif'" w:cs="Arial"/>
                <w:noProof/>
                <w:szCs w:val="22"/>
              </w:rPr>
            </w:pPr>
            <w:r>
              <w:t>Reform of the NHIS and review of NHIS support completed in 2012;</w:t>
            </w:r>
          </w:p>
          <w:p w:rsidR="00B32A2A" w:rsidRPr="00B32A2A" w:rsidRDefault="00B32A2A" w:rsidP="00B32A2A">
            <w:pPr>
              <w:pStyle w:val="ColorfulList-Accent13"/>
              <w:numPr>
                <w:ilvl w:val="0"/>
                <w:numId w:val="12"/>
              </w:numPr>
              <w:spacing w:before="200"/>
              <w:jc w:val="both"/>
              <w:rPr>
                <w:rFonts w:eastAsia="'arial','sans-serif'" w:cs="Arial"/>
                <w:noProof/>
                <w:szCs w:val="22"/>
              </w:rPr>
            </w:pPr>
            <w:r>
              <w:t xml:space="preserve">Further decentralized monitoring based on equity, limited to 3 districts, </w:t>
            </w:r>
          </w:p>
          <w:p w:rsidR="00B32A2A" w:rsidRPr="00B32A2A" w:rsidRDefault="00B32A2A" w:rsidP="00B32A2A">
            <w:pPr>
              <w:pStyle w:val="ColorfulList-Accent13"/>
              <w:numPr>
                <w:ilvl w:val="0"/>
                <w:numId w:val="12"/>
              </w:numPr>
              <w:spacing w:before="200"/>
              <w:jc w:val="both"/>
              <w:rPr>
                <w:rFonts w:eastAsia="'arial','sans-serif'" w:cs="Arial"/>
                <w:noProof/>
                <w:szCs w:val="22"/>
              </w:rPr>
            </w:pPr>
            <w:r>
              <w:lastRenderedPageBreak/>
              <w:t>Integration of immunization coverage surveys within child survival surveys</w:t>
            </w:r>
          </w:p>
          <w:p w:rsidR="00B32A2A" w:rsidRPr="00B32A2A" w:rsidRDefault="00B32A2A" w:rsidP="00B32A2A">
            <w:pPr>
              <w:pStyle w:val="ColorfulList-Accent13"/>
              <w:spacing w:before="200"/>
              <w:ind w:left="360"/>
              <w:jc w:val="both"/>
              <w:rPr>
                <w:rFonts w:eastAsia="'arial','sans-serif'" w:cs="Arial"/>
                <w:noProof/>
                <w:szCs w:val="22"/>
              </w:rPr>
            </w:pPr>
            <w:r>
              <w:t xml:space="preserve">New actions: </w:t>
            </w:r>
          </w:p>
          <w:p w:rsidR="00B32A2A" w:rsidRPr="00B32A2A" w:rsidRDefault="00B32A2A" w:rsidP="00B32A2A">
            <w:pPr>
              <w:pStyle w:val="ColorfulList-Accent13"/>
              <w:numPr>
                <w:ilvl w:val="0"/>
                <w:numId w:val="12"/>
              </w:numPr>
              <w:spacing w:before="200"/>
              <w:jc w:val="both"/>
              <w:rPr>
                <w:rFonts w:eastAsia="'arial','sans-serif'" w:cs="Arial"/>
                <w:noProof/>
                <w:szCs w:val="22"/>
              </w:rPr>
            </w:pPr>
            <w:r>
              <w:t>Bring decentralized monitoring based on e</w:t>
            </w:r>
            <w:bookmarkStart w:id="23" w:name="_GoBack"/>
            <w:bookmarkEnd w:id="23"/>
            <w:r>
              <w:t>quity up to standard</w:t>
            </w:r>
          </w:p>
          <w:p w:rsidR="00B32A2A" w:rsidRPr="00B32A2A" w:rsidRDefault="00B32A2A" w:rsidP="00B32A2A">
            <w:pPr>
              <w:pStyle w:val="ColorfulList-Accent13"/>
              <w:numPr>
                <w:ilvl w:val="0"/>
                <w:numId w:val="12"/>
              </w:numPr>
              <w:spacing w:before="200"/>
              <w:jc w:val="both"/>
              <w:rPr>
                <w:rFonts w:eastAsia="'arial','sans-serif'" w:cs="Arial"/>
                <w:noProof/>
                <w:szCs w:val="22"/>
              </w:rPr>
            </w:pPr>
            <w:r>
              <w:t>Carry out bi-annual DQAs</w:t>
            </w:r>
          </w:p>
          <w:p w:rsidR="00B32A2A" w:rsidRPr="00B32A2A" w:rsidRDefault="00B32A2A" w:rsidP="00B32A2A">
            <w:pPr>
              <w:pStyle w:val="ColorfulList-Accent13"/>
              <w:numPr>
                <w:ilvl w:val="0"/>
                <w:numId w:val="12"/>
              </w:numPr>
              <w:spacing w:before="200"/>
              <w:jc w:val="both"/>
              <w:rPr>
                <w:rFonts w:eastAsia="'arial','sans-serif'" w:cs="Arial"/>
                <w:noProof/>
                <w:szCs w:val="22"/>
              </w:rPr>
            </w:pPr>
            <w:r>
              <w:t>Carry out bi-annual coverage surveys</w:t>
            </w:r>
          </w:p>
          <w:p w:rsidR="00B32A2A" w:rsidRPr="00B32A2A" w:rsidRDefault="00B32A2A" w:rsidP="00B32A2A">
            <w:pPr>
              <w:pStyle w:val="ColorfulList-Accent13"/>
              <w:spacing w:before="200"/>
              <w:ind w:left="360"/>
              <w:jc w:val="both"/>
              <w:rPr>
                <w:rFonts w:eastAsia="'arial','sans-serif'" w:cs="Arial"/>
                <w:noProof/>
                <w:szCs w:val="22"/>
              </w:rPr>
            </w:pPr>
            <w:r>
              <w:t xml:space="preserve">According to DHS-MICS 2012, there is no major difference in immunization coverage between male and female children (DTP3 M: 67.5% F: 68.6%. </w:t>
            </w:r>
          </w:p>
          <w:p w:rsidR="00B32A2A" w:rsidRPr="00B32A2A" w:rsidRDefault="00B32A2A" w:rsidP="00B32A2A">
            <w:pPr>
              <w:pStyle w:val="ColorfulList-Accent13"/>
              <w:spacing w:before="200"/>
              <w:ind w:left="360"/>
              <w:jc w:val="both"/>
              <w:rPr>
                <w:rFonts w:eastAsia="'arial','sans-serif'" w:cs="Arial"/>
                <w:noProof/>
                <w:szCs w:val="22"/>
              </w:rPr>
            </w:pPr>
            <w:r>
              <w:t>The same survey shows inequities between urban and rural areas (DTP3, Urban: 86.3% and Rural 64.9%), there are also significant regional disparities (DTP3 from 58.2% to 87.2%). Finally, there are strong disparities with regard to socio-economic levels (31.8 points between the richest and poorest quintiles).</w:t>
            </w:r>
          </w:p>
          <w:p w:rsidR="00B32A2A" w:rsidRPr="00B32A2A" w:rsidRDefault="00B32A2A" w:rsidP="00B32A2A">
            <w:pPr>
              <w:pStyle w:val="ColorfulList-Accent13"/>
              <w:spacing w:before="200"/>
              <w:ind w:left="360"/>
              <w:jc w:val="both"/>
              <w:rPr>
                <w:rFonts w:eastAsia="'arial','sans-serif'" w:cs="Arial"/>
                <w:noProof/>
                <w:szCs w:val="22"/>
              </w:rPr>
            </w:pPr>
            <w:r>
              <w:t xml:space="preserve">The GAVI-HSS grant will take into account these inequitable factors by focusing on these activities in 21 high-priority districts and by developing specific strategies to reach difficult-to-access populations, in rural areas, nomads and insecure areas </w:t>
            </w:r>
          </w:p>
          <w:p w:rsidR="00B32A2A" w:rsidRPr="00B32A2A" w:rsidRDefault="00B32A2A" w:rsidP="00B32A2A">
            <w:pPr>
              <w:pStyle w:val="ColorfulList-Accent13"/>
              <w:spacing w:before="200"/>
              <w:ind w:left="360"/>
              <w:jc w:val="both"/>
              <w:rPr>
                <w:rFonts w:cs="Arial"/>
                <w:noProof/>
                <w:szCs w:val="22"/>
              </w:rPr>
            </w:pPr>
          </w:p>
        </w:tc>
      </w:tr>
    </w:tbl>
    <w:p w:rsidR="00B32A2A" w:rsidRPr="00B32A2A" w:rsidRDefault="00B32A2A" w:rsidP="00B32A2A">
      <w:pPr>
        <w:spacing w:after="0"/>
        <w:rPr>
          <w:rFonts w:cs="Arial"/>
          <w:b/>
          <w:noProof/>
        </w:rPr>
      </w:pPr>
      <w:bookmarkStart w:id="24" w:name="_Toc346116637"/>
    </w:p>
    <w:tbl>
      <w:tblPr>
        <w:tblpPr w:leftFromText="141" w:rightFromText="141" w:vertAnchor="text" w:horzAnchor="margin" w:tblpY="-38"/>
        <w:tblW w:w="1034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48"/>
      </w:tblGrid>
      <w:tr w:rsidR="00B32A2A" w:rsidRPr="00B32A2A" w:rsidTr="00B32A2A">
        <w:tc>
          <w:tcPr>
            <w:tcW w:w="10348" w:type="dxa"/>
            <w:shd w:val="clear" w:color="auto" w:fill="006460"/>
          </w:tcPr>
          <w:p w:rsidR="00B32A2A" w:rsidRPr="00B32A2A" w:rsidRDefault="00B32A2A" w:rsidP="00B32A2A">
            <w:pPr>
              <w:pStyle w:val="Heading2"/>
              <w:rPr>
                <w:noProof/>
              </w:rPr>
            </w:pPr>
            <w:bookmarkStart w:id="25" w:name="_Toc381123263"/>
            <w:bookmarkStart w:id="26" w:name="_Toc381566353"/>
            <w:r>
              <w:t>2. Description of the National Health Sector</w:t>
            </w:r>
            <w:bookmarkEnd w:id="24"/>
            <w:bookmarkEnd w:id="25"/>
            <w:bookmarkEnd w:id="26"/>
          </w:p>
        </w:tc>
      </w:tr>
      <w:tr w:rsidR="00B32A2A" w:rsidRPr="00B32A2A" w:rsidTr="00B32A2A">
        <w:tc>
          <w:tcPr>
            <w:tcW w:w="10348" w:type="dxa"/>
            <w:shd w:val="clear" w:color="auto" w:fill="FFFFFF"/>
          </w:tcPr>
          <w:p w:rsidR="00B32A2A" w:rsidRPr="00B32A2A" w:rsidRDefault="00B32A2A" w:rsidP="00B32A2A">
            <w:pPr>
              <w:spacing w:before="120" w:after="120"/>
              <w:jc w:val="both"/>
              <w:rPr>
                <w:rFonts w:cs="Arial"/>
                <w:i/>
                <w:noProof/>
              </w:rPr>
            </w:pPr>
            <w:r>
              <w:rPr>
                <w:i/>
                <w:noProof/>
              </w:rPr>
              <w:t xml:space="preserve">This section will provide GAVI with the country context which will serve as background information during the review of the HSS proposal. </w:t>
            </w:r>
          </w:p>
          <w:p w:rsidR="00B32A2A" w:rsidRPr="00B32A2A" w:rsidRDefault="00B32A2A" w:rsidP="00B32A2A">
            <w:pPr>
              <w:spacing w:before="120" w:after="120"/>
              <w:jc w:val="both"/>
              <w:rPr>
                <w:rFonts w:cs="Arial"/>
                <w:i/>
                <w:noProof/>
              </w:rPr>
            </w:pPr>
            <w:r>
              <w:rPr>
                <w:i/>
                <w:noProof/>
              </w:rPr>
              <w:t>→ Please provide a concise overview of the national health sector, covering both the public and private sectors, including CSOs, at national, sub-national and community levels, with reference to NHP or other key documents.</w:t>
            </w:r>
          </w:p>
          <w:p w:rsidR="00B32A2A" w:rsidRPr="00B32A2A" w:rsidRDefault="00B32A2A" w:rsidP="00B32A2A">
            <w:pPr>
              <w:pStyle w:val="ListParagraph"/>
              <w:ind w:left="0" w:right="55"/>
              <w:rPr>
                <w:rFonts w:cs="Arial"/>
                <w:i w:val="0"/>
                <w:noProof/>
                <w:color w:val="auto"/>
                <w:sz w:val="22"/>
                <w:szCs w:val="22"/>
              </w:rPr>
            </w:pPr>
            <w:r>
              <w:rPr>
                <w:i w:val="0"/>
                <w:noProof/>
                <w:color w:val="auto"/>
                <w:sz w:val="22"/>
              </w:rPr>
              <w:t>→ Please include a copy of the National Health Strategy/Plan as Attachment 5. If the NHP is in draft format please provide details of the process and timeline for finalizing it. If there is not a NHP or other documents are referenced in this section, please provide these other key relevant documents.</w:t>
            </w:r>
          </w:p>
          <w:p w:rsidR="00B32A2A" w:rsidRPr="00B32A2A" w:rsidRDefault="00B32A2A" w:rsidP="00B32A2A">
            <w:pPr>
              <w:spacing w:before="120" w:after="120"/>
              <w:jc w:val="both"/>
              <w:rPr>
                <w:rFonts w:cs="Arial"/>
                <w:i/>
                <w:noProof/>
              </w:rPr>
            </w:pPr>
            <w:r>
              <w:rPr>
                <w:i/>
                <w:noProof/>
              </w:rPr>
              <w:t xml:space="preserve">It is recommended that applicants refer to GAVI’s health systems strengthening activity categories detailed in the Application Guidelines (Table 1, "Key Terms" section). For each of the categories listed in the Guidelines (2.1-2.7) please provide a short commentary. In order to keep this section concise, please summarize the key elements in the context of the HSS support being requested, providing a reference to the relevant section in the National Health Strategy/Plan for further detail. </w:t>
            </w:r>
          </w:p>
        </w:tc>
      </w:tr>
      <w:tr w:rsidR="00B32A2A" w:rsidRPr="00B32A2A" w:rsidTr="00B32A2A">
        <w:trPr>
          <w:trHeight w:val="278"/>
        </w:trPr>
        <w:tc>
          <w:tcPr>
            <w:tcW w:w="10348" w:type="dxa"/>
            <w:shd w:val="clear" w:color="auto" w:fill="FFFFFF"/>
          </w:tcPr>
          <w:p w:rsidR="00B32A2A" w:rsidRPr="00B32A2A" w:rsidRDefault="00B32A2A" w:rsidP="00B32A2A">
            <w:pPr>
              <w:spacing w:before="120" w:after="120"/>
              <w:jc w:val="both"/>
              <w:rPr>
                <w:rFonts w:cs="Arial"/>
                <w:b/>
                <w:i/>
                <w:noProof/>
              </w:rPr>
            </w:pPr>
            <w:r>
              <w:rPr>
                <w:b/>
                <w:i/>
                <w:noProof/>
              </w:rPr>
              <w:t>TWO PAGES MAXIMUM</w:t>
            </w:r>
          </w:p>
        </w:tc>
      </w:tr>
    </w:tbl>
    <w:p w:rsidR="00B32A2A" w:rsidRPr="00B32A2A" w:rsidRDefault="00B32A2A" w:rsidP="00B32A2A">
      <w:pPr>
        <w:jc w:val="both"/>
        <w:rPr>
          <w:rFonts w:cs="Arial"/>
          <w:noProof/>
        </w:rPr>
      </w:pPr>
    </w:p>
    <w:p w:rsidR="00B32A2A" w:rsidRPr="00B32A2A" w:rsidRDefault="00B32A2A" w:rsidP="00B32A2A">
      <w:pPr>
        <w:spacing w:after="0" w:line="240" w:lineRule="auto"/>
        <w:ind w:right="-426"/>
        <w:jc w:val="both"/>
        <w:rPr>
          <w:rFonts w:cs="Arial"/>
          <w:noProof/>
        </w:rPr>
      </w:pPr>
      <w:r>
        <w:t xml:space="preserve">Niger has a declaration sector health policy which is being implemented via a Health Development Plan that covers the 2011 - 2015 period. </w:t>
      </w:r>
    </w:p>
    <w:p w:rsidR="00B32A2A" w:rsidRPr="00B32A2A" w:rsidRDefault="00B32A2A" w:rsidP="00B32A2A">
      <w:pPr>
        <w:spacing w:after="0" w:line="240" w:lineRule="auto"/>
        <w:ind w:right="-426"/>
        <w:jc w:val="both"/>
        <w:rPr>
          <w:rFonts w:cs="Arial"/>
          <w:noProof/>
        </w:rPr>
      </w:pPr>
    </w:p>
    <w:p w:rsidR="00B32A2A" w:rsidRPr="00B32A2A" w:rsidRDefault="00B32A2A" w:rsidP="00B32A2A">
      <w:pPr>
        <w:spacing w:after="0" w:line="240" w:lineRule="auto"/>
        <w:ind w:right="-426"/>
        <w:jc w:val="both"/>
        <w:rPr>
          <w:rFonts w:cs="Arial"/>
          <w:noProof/>
        </w:rPr>
      </w:pPr>
      <w:r>
        <w:t>Coordination of actions is ensured at the national level by the Ministry of Public Health that includes the Office of the MPH, a Secretariat-General, 3 General Director</w:t>
      </w:r>
      <w:r w:rsidR="00AD29C2">
        <w:t xml:space="preserve">ates, 17 National Directorates </w:t>
      </w:r>
      <w:r>
        <w:t>and 16 health programs; at the regional level, there are 8 Regional Directorates of Public Health; and at the departmental level, 42 operational health districts.</w:t>
      </w:r>
    </w:p>
    <w:p w:rsidR="00B32A2A" w:rsidRPr="00B32A2A" w:rsidRDefault="00B32A2A" w:rsidP="00B32A2A">
      <w:pPr>
        <w:spacing w:after="0" w:line="240" w:lineRule="auto"/>
        <w:ind w:right="-426"/>
        <w:jc w:val="both"/>
        <w:rPr>
          <w:rFonts w:cs="Arial"/>
          <w:b/>
          <w:noProof/>
        </w:rPr>
      </w:pPr>
    </w:p>
    <w:p w:rsidR="00B32A2A" w:rsidRPr="00B32A2A" w:rsidRDefault="00B32A2A" w:rsidP="00B32A2A">
      <w:pPr>
        <w:spacing w:after="0" w:line="240" w:lineRule="auto"/>
        <w:ind w:right="-426"/>
        <w:jc w:val="both"/>
        <w:rPr>
          <w:rFonts w:cs="Arial"/>
          <w:b/>
          <w:noProof/>
        </w:rPr>
      </w:pPr>
      <w:r>
        <w:rPr>
          <w:b/>
          <w:noProof/>
        </w:rPr>
        <w:t xml:space="preserve">Providing services </w:t>
      </w:r>
    </w:p>
    <w:p w:rsidR="00B32A2A" w:rsidRPr="00B32A2A" w:rsidRDefault="00B32A2A" w:rsidP="00B32A2A">
      <w:pPr>
        <w:spacing w:after="0" w:line="240" w:lineRule="auto"/>
        <w:ind w:right="-426"/>
        <w:jc w:val="both"/>
        <w:rPr>
          <w:rFonts w:cs="Arial"/>
          <w:noProof/>
        </w:rPr>
      </w:pPr>
    </w:p>
    <w:p w:rsidR="00B32A2A" w:rsidRPr="00B32A2A" w:rsidRDefault="00B32A2A" w:rsidP="00B32A2A">
      <w:pPr>
        <w:spacing w:after="0" w:line="240" w:lineRule="auto"/>
        <w:ind w:right="-426"/>
        <w:jc w:val="both"/>
        <w:rPr>
          <w:rFonts w:cs="Arial"/>
          <w:noProof/>
        </w:rPr>
      </w:pPr>
      <w:r>
        <w:t>The health system in Niger is made up of three 3 hierarchical levels with pac</w:t>
      </w:r>
      <w:r w:rsidR="001F248A">
        <w:t xml:space="preserve">kages of activities per level. </w:t>
      </w:r>
      <w:r>
        <w:t xml:space="preserve">Health services are provided by public and private health facilities, including religious ones. The public sector has 42 operational health districts with 33 district hospitals, 871 Integrated Health Centers and 2,434 operational health huts, 6 regional hospitals, 2 regional maternities for referral, 7 Mother and Child Centers and 4 regional blood transfer centers, 7 specialized centers, 3 national hospitals and one national maternity for referral. </w:t>
      </w:r>
    </w:p>
    <w:p w:rsidR="00B32A2A" w:rsidRPr="00B32A2A" w:rsidRDefault="00B32A2A" w:rsidP="00B32A2A">
      <w:pPr>
        <w:spacing w:after="0" w:line="240" w:lineRule="auto"/>
        <w:ind w:right="-426"/>
        <w:jc w:val="both"/>
        <w:rPr>
          <w:rFonts w:cs="Arial"/>
          <w:noProof/>
        </w:rPr>
      </w:pPr>
    </w:p>
    <w:p w:rsidR="00B32A2A" w:rsidRPr="00B32A2A" w:rsidRDefault="00B32A2A" w:rsidP="00B32A2A">
      <w:pPr>
        <w:spacing w:after="0" w:line="240" w:lineRule="auto"/>
        <w:ind w:right="-426"/>
        <w:jc w:val="both"/>
        <w:rPr>
          <w:rFonts w:cs="Arial"/>
          <w:noProof/>
        </w:rPr>
      </w:pPr>
      <w:r>
        <w:t xml:space="preserve">There are 283 private service providers, 57 of which are private clinics, 36 medical offices and 5 private hospitals mainly focused on curative activities. </w:t>
      </w:r>
    </w:p>
    <w:p w:rsidR="00B32A2A" w:rsidRPr="00B32A2A" w:rsidRDefault="00B32A2A" w:rsidP="00B32A2A">
      <w:pPr>
        <w:spacing w:after="0" w:line="240" w:lineRule="auto"/>
        <w:ind w:right="-426"/>
        <w:jc w:val="both"/>
        <w:rPr>
          <w:rFonts w:cs="Arial"/>
          <w:noProof/>
        </w:rPr>
      </w:pPr>
    </w:p>
    <w:p w:rsidR="00B32A2A" w:rsidRPr="00B32A2A" w:rsidRDefault="00B32A2A" w:rsidP="00B32A2A">
      <w:pPr>
        <w:spacing w:after="0" w:line="240" w:lineRule="auto"/>
        <w:ind w:right="-426"/>
        <w:jc w:val="both"/>
        <w:rPr>
          <w:rFonts w:cs="Arial"/>
          <w:noProof/>
        </w:rPr>
      </w:pPr>
    </w:p>
    <w:p w:rsidR="00B32A2A" w:rsidRPr="00B32A2A" w:rsidRDefault="00B32A2A" w:rsidP="00B32A2A">
      <w:pPr>
        <w:spacing w:after="0" w:line="240" w:lineRule="auto"/>
        <w:ind w:right="-426"/>
        <w:jc w:val="both"/>
        <w:rPr>
          <w:rFonts w:cs="Arial"/>
          <w:noProof/>
        </w:rPr>
      </w:pPr>
      <w:r>
        <w:t>In addition to fixed service providers, due to inadequate health coverage (47.80%) health fairs, mobile and decentralized strategies have also been developed to reach the maximum amount of the population, and especially areas that are difficult to access and nomads. To ensure quality health services for the entire population, a referral system and a counter referral system have been put in place, supported by a processes of quality assurance and action in the health care sector.</w:t>
      </w:r>
    </w:p>
    <w:p w:rsidR="00B32A2A" w:rsidRPr="00B32A2A" w:rsidRDefault="00B32A2A" w:rsidP="00B32A2A">
      <w:pPr>
        <w:spacing w:after="0" w:line="240" w:lineRule="auto"/>
        <w:ind w:right="-426"/>
        <w:jc w:val="both"/>
        <w:rPr>
          <w:rFonts w:cs="Arial"/>
          <w:noProof/>
        </w:rPr>
      </w:pPr>
    </w:p>
    <w:p w:rsidR="00B32A2A" w:rsidRPr="00B32A2A" w:rsidRDefault="00B32A2A" w:rsidP="00B32A2A">
      <w:pPr>
        <w:pStyle w:val="List2"/>
        <w:numPr>
          <w:ilvl w:val="0"/>
          <w:numId w:val="23"/>
        </w:numPr>
        <w:spacing w:before="100" w:beforeAutospacing="1" w:after="100" w:afterAutospacing="1" w:line="360" w:lineRule="auto"/>
        <w:rPr>
          <w:rFonts w:ascii="Arial" w:hAnsi="Arial" w:cs="Arial"/>
          <w:b/>
          <w:noProof/>
        </w:rPr>
      </w:pPr>
      <w:r>
        <w:rPr>
          <w:rFonts w:ascii="Arial" w:hAnsi="Arial"/>
          <w:b/>
          <w:noProof/>
        </w:rPr>
        <w:t>Human resources </w:t>
      </w:r>
    </w:p>
    <w:p w:rsidR="00B32A2A" w:rsidRPr="00B32A2A" w:rsidRDefault="00B32A2A" w:rsidP="00B32A2A">
      <w:pPr>
        <w:widowControl/>
        <w:autoSpaceDE w:val="0"/>
        <w:autoSpaceDN w:val="0"/>
        <w:adjustRightInd w:val="0"/>
        <w:spacing w:after="0" w:line="240" w:lineRule="auto"/>
        <w:rPr>
          <w:rFonts w:cs="Arial"/>
          <w:noProof/>
        </w:rPr>
      </w:pPr>
      <w:r>
        <w:t>The health sector has human resources that amount to 12,783 workers in all categories together, which break down as follows: 1 doctor per 17,880 inhabitants, 1 nurse per 4,529 inhabitants, 1 midwife per 3,996 CBAW.</w:t>
      </w:r>
    </w:p>
    <w:p w:rsidR="00B32A2A" w:rsidRPr="00B32A2A" w:rsidRDefault="00B32A2A" w:rsidP="00B32A2A">
      <w:pPr>
        <w:widowControl/>
        <w:autoSpaceDE w:val="0"/>
        <w:autoSpaceDN w:val="0"/>
        <w:adjustRightInd w:val="0"/>
        <w:spacing w:after="0" w:line="240" w:lineRule="auto"/>
        <w:rPr>
          <w:rFonts w:cs="Arial"/>
          <w:noProof/>
        </w:rPr>
      </w:pPr>
    </w:p>
    <w:p w:rsidR="00B32A2A" w:rsidRPr="00B32A2A" w:rsidRDefault="00B32A2A" w:rsidP="00B32A2A">
      <w:pPr>
        <w:spacing w:after="0" w:line="240" w:lineRule="auto"/>
        <w:ind w:right="-1"/>
        <w:jc w:val="both"/>
        <w:rPr>
          <w:rFonts w:cs="Arial"/>
          <w:noProof/>
        </w:rPr>
      </w:pPr>
      <w:r>
        <w:t>Out of all personnel, 76% are located in an urban area and 24% in a rural one. In addition to this unequal distribution throughout the country, the health system continues to suffer from inadequate Health Human Resources, quantitatively and qualitatively, due to inadequate recruitment in the public sector, inadequate ongoing training (specializations, learning internships) and a lack of appropriate mechanisms to motivate personnel.</w:t>
      </w:r>
    </w:p>
    <w:p w:rsidR="00B32A2A" w:rsidRPr="00B32A2A" w:rsidRDefault="00B32A2A" w:rsidP="00B32A2A">
      <w:pPr>
        <w:widowControl/>
        <w:autoSpaceDE w:val="0"/>
        <w:autoSpaceDN w:val="0"/>
        <w:adjustRightInd w:val="0"/>
        <w:spacing w:after="0" w:line="240" w:lineRule="auto"/>
        <w:rPr>
          <w:rFonts w:cs="Arial"/>
          <w:b/>
          <w:noProof/>
        </w:rPr>
      </w:pPr>
    </w:p>
    <w:p w:rsidR="00B32A2A" w:rsidRPr="00B32A2A" w:rsidRDefault="00B32A2A" w:rsidP="00B32A2A">
      <w:pPr>
        <w:widowControl/>
        <w:autoSpaceDE w:val="0"/>
        <w:autoSpaceDN w:val="0"/>
        <w:adjustRightInd w:val="0"/>
        <w:spacing w:after="0" w:line="240" w:lineRule="auto"/>
        <w:rPr>
          <w:rFonts w:cs="Arial"/>
          <w:b/>
          <w:noProof/>
        </w:rPr>
      </w:pPr>
      <w:r>
        <w:rPr>
          <w:b/>
          <w:noProof/>
        </w:rPr>
        <w:t>Health information</w:t>
      </w:r>
    </w:p>
    <w:p w:rsidR="00B32A2A" w:rsidRPr="00B32A2A" w:rsidRDefault="00B32A2A" w:rsidP="00B32A2A">
      <w:pPr>
        <w:widowControl/>
        <w:autoSpaceDE w:val="0"/>
        <w:autoSpaceDN w:val="0"/>
        <w:adjustRightInd w:val="0"/>
        <w:spacing w:after="0" w:line="240" w:lineRule="auto"/>
        <w:rPr>
          <w:rFonts w:cs="Arial"/>
          <w:noProof/>
        </w:rPr>
      </w:pPr>
    </w:p>
    <w:p w:rsidR="00B32A2A" w:rsidRPr="00B32A2A" w:rsidRDefault="001F248A" w:rsidP="00B32A2A">
      <w:pPr>
        <w:tabs>
          <w:tab w:val="right" w:leader="dot" w:pos="9498"/>
        </w:tabs>
        <w:autoSpaceDE w:val="0"/>
        <w:autoSpaceDN w:val="0"/>
        <w:adjustRightInd w:val="0"/>
        <w:spacing w:after="0" w:line="240" w:lineRule="auto"/>
        <w:contextualSpacing/>
        <w:jc w:val="both"/>
        <w:rPr>
          <w:rFonts w:cs="Arial"/>
          <w:noProof/>
        </w:rPr>
      </w:pPr>
      <w:r>
        <w:t xml:space="preserve">Niger </w:t>
      </w:r>
      <w:r w:rsidR="00B32A2A">
        <w:t>has a National Health Information System (NHIS) that depends on the IHC network, the health districts and the RPHM. Routine health data is produced and processed at the IHC, HD, RHC levels and in national health centers which transmit the data to Department of Statistics charged with managing health dat</w:t>
      </w:r>
      <w:r>
        <w:t xml:space="preserve">a. </w:t>
      </w:r>
      <w:r w:rsidR="00B32A2A">
        <w:t>In addition, to monitor the implementation of health policy, periodic surveys are organized (immunization coverage every year, DHS/MICS every 4 years, child survival surveys every year, monitoring 2 times per year, satisfaction survey of beneficiaries every two years. The system also benefits from data provided by the Institut National de la Statistique (INS) gathered from different surveys as well as the general census of the population. However, the system suffers from: (1) a lack of qualified personnel and a lack of sufficient numbers of personnel, (2) inadequate support for data collection;(3) the lack of an Intranet network and the lack of computer equipment; (4) inadequate logistics; (5) a variety of support to fill out (NHIS, NGO and vertical programs); (6) the poor quality of data; (7) the inadequate quality of supervision; (8) untimely completion of data; (9) the inadequate sharing of data and (10) weak collaboration between the private and public health sectors. (11) inadequate data disaggregation.</w:t>
      </w:r>
    </w:p>
    <w:p w:rsidR="00B32A2A" w:rsidRPr="00B32A2A" w:rsidRDefault="00B32A2A" w:rsidP="00B32A2A">
      <w:pPr>
        <w:tabs>
          <w:tab w:val="right" w:leader="dot" w:pos="9498"/>
        </w:tabs>
        <w:autoSpaceDE w:val="0"/>
        <w:autoSpaceDN w:val="0"/>
        <w:adjustRightInd w:val="0"/>
        <w:spacing w:after="0" w:line="240" w:lineRule="auto"/>
        <w:contextualSpacing/>
        <w:jc w:val="both"/>
        <w:rPr>
          <w:rFonts w:cs="Arial"/>
          <w:noProof/>
        </w:rPr>
      </w:pPr>
    </w:p>
    <w:p w:rsidR="00B32A2A" w:rsidRPr="00B32A2A" w:rsidRDefault="00B32A2A" w:rsidP="00B32A2A">
      <w:pPr>
        <w:spacing w:after="0" w:line="240" w:lineRule="auto"/>
        <w:rPr>
          <w:rFonts w:cs="Arial"/>
          <w:b/>
          <w:noProof/>
        </w:rPr>
      </w:pPr>
      <w:r>
        <w:rPr>
          <w:b/>
          <w:noProof/>
        </w:rPr>
        <w:t xml:space="preserve">Community and other local actors </w:t>
      </w:r>
    </w:p>
    <w:p w:rsidR="00B32A2A" w:rsidRPr="00B32A2A" w:rsidRDefault="00B32A2A" w:rsidP="00B32A2A">
      <w:pPr>
        <w:spacing w:after="0" w:line="240" w:lineRule="auto"/>
        <w:rPr>
          <w:rFonts w:cs="Arial"/>
          <w:b/>
          <w:noProof/>
        </w:rPr>
      </w:pPr>
    </w:p>
    <w:p w:rsidR="00B32A2A" w:rsidRPr="00B32A2A" w:rsidRDefault="00B32A2A" w:rsidP="00B32A2A">
      <w:pPr>
        <w:pStyle w:val="ListParagraph"/>
        <w:numPr>
          <w:ilvl w:val="0"/>
          <w:numId w:val="46"/>
        </w:numPr>
        <w:spacing w:after="0" w:line="240" w:lineRule="auto"/>
        <w:rPr>
          <w:rFonts w:cs="Arial"/>
          <w:noProof/>
          <w:color w:val="auto"/>
          <w:sz w:val="22"/>
          <w:szCs w:val="22"/>
        </w:rPr>
      </w:pPr>
      <w:r>
        <w:rPr>
          <w:noProof/>
          <w:color w:val="auto"/>
          <w:sz w:val="22"/>
        </w:rPr>
        <w:t xml:space="preserve">Community structures or those based in health centers for supervision and financial accountability of health services  </w:t>
      </w:r>
    </w:p>
    <w:p w:rsidR="00B32A2A" w:rsidRPr="00B32A2A" w:rsidRDefault="00B32A2A" w:rsidP="00B32A2A">
      <w:pPr>
        <w:widowControl/>
        <w:autoSpaceDE w:val="0"/>
        <w:autoSpaceDN w:val="0"/>
        <w:adjustRightInd w:val="0"/>
        <w:spacing w:after="0" w:line="240" w:lineRule="auto"/>
        <w:jc w:val="both"/>
        <w:rPr>
          <w:rFonts w:cs="Arial"/>
          <w:noProof/>
        </w:rPr>
      </w:pPr>
    </w:p>
    <w:p w:rsidR="00B32A2A" w:rsidRPr="00B32A2A" w:rsidRDefault="00B32A2A" w:rsidP="00B32A2A">
      <w:pPr>
        <w:widowControl/>
        <w:autoSpaceDE w:val="0"/>
        <w:autoSpaceDN w:val="0"/>
        <w:adjustRightInd w:val="0"/>
        <w:spacing w:after="0" w:line="240" w:lineRule="auto"/>
        <w:jc w:val="both"/>
        <w:rPr>
          <w:rFonts w:cs="Arial"/>
          <w:noProof/>
        </w:rPr>
      </w:pPr>
      <w:r>
        <w:t>Related to cost-recovery, for all integrated health centers and health huts, there is a management committee (COGES) in charge of managing financial revenue for services according to the rules in force in relation to the IHC health team. The system of participation is supervised by the COSAN (Health Committee) elected by the community. This method of community participation has evolved, in practice, within a limited context in relation to its conceptual framework. It has focused heavily on the financial aspects linked to cost recovery and to inventory management, but with limited power to affect the recovery margin as well as a weak commitment thank is linked to a lack of involvement by the community in local decision-making.</w:t>
      </w:r>
    </w:p>
    <w:p w:rsidR="00B32A2A" w:rsidRPr="00B32A2A" w:rsidRDefault="00B32A2A" w:rsidP="00B32A2A">
      <w:pPr>
        <w:widowControl/>
        <w:autoSpaceDE w:val="0"/>
        <w:autoSpaceDN w:val="0"/>
        <w:adjustRightInd w:val="0"/>
        <w:spacing w:after="0" w:line="240" w:lineRule="auto"/>
        <w:jc w:val="both"/>
        <w:rPr>
          <w:rFonts w:cs="Arial"/>
          <w:noProof/>
        </w:rPr>
      </w:pPr>
    </w:p>
    <w:p w:rsidR="00B32A2A" w:rsidRPr="00B32A2A" w:rsidRDefault="00B32A2A" w:rsidP="00B32A2A">
      <w:pPr>
        <w:widowControl/>
        <w:autoSpaceDE w:val="0"/>
        <w:autoSpaceDN w:val="0"/>
        <w:adjustRightInd w:val="0"/>
        <w:spacing w:after="0" w:line="240" w:lineRule="auto"/>
        <w:jc w:val="both"/>
        <w:rPr>
          <w:rFonts w:cs="Arial"/>
          <w:noProof/>
        </w:rPr>
      </w:pPr>
      <w:r>
        <w:t>The external mid-term evaluation that took place for the 2005-2010 HDP highlighted the following main weaknesses of community participation:</w:t>
      </w:r>
    </w:p>
    <w:p w:rsidR="00B32A2A" w:rsidRPr="00B32A2A" w:rsidRDefault="00B32A2A" w:rsidP="00B32A2A">
      <w:pPr>
        <w:pStyle w:val="ListParagraph"/>
        <w:widowControl/>
        <w:numPr>
          <w:ilvl w:val="0"/>
          <w:numId w:val="45"/>
        </w:numPr>
        <w:autoSpaceDE w:val="0"/>
        <w:autoSpaceDN w:val="0"/>
        <w:adjustRightInd w:val="0"/>
        <w:spacing w:after="0" w:line="240" w:lineRule="auto"/>
        <w:rPr>
          <w:rFonts w:eastAsia="Calibri" w:cs="Arial"/>
          <w:i w:val="0"/>
          <w:noProof/>
          <w:color w:val="auto"/>
          <w:sz w:val="22"/>
          <w:szCs w:val="22"/>
        </w:rPr>
      </w:pPr>
      <w:r>
        <w:rPr>
          <w:i w:val="0"/>
          <w:noProof/>
          <w:color w:val="auto"/>
          <w:sz w:val="22"/>
        </w:rPr>
        <w:t>Non-adoption of texts drafted through community participation;</w:t>
      </w:r>
    </w:p>
    <w:p w:rsidR="00B32A2A" w:rsidRPr="00B32A2A" w:rsidRDefault="00B32A2A" w:rsidP="00B32A2A">
      <w:pPr>
        <w:pStyle w:val="ListParagraph"/>
        <w:widowControl/>
        <w:numPr>
          <w:ilvl w:val="0"/>
          <w:numId w:val="45"/>
        </w:numPr>
        <w:autoSpaceDE w:val="0"/>
        <w:autoSpaceDN w:val="0"/>
        <w:adjustRightInd w:val="0"/>
        <w:spacing w:after="0" w:line="240" w:lineRule="auto"/>
        <w:rPr>
          <w:rFonts w:eastAsia="Calibri" w:cs="Arial"/>
          <w:i w:val="0"/>
          <w:noProof/>
          <w:color w:val="auto"/>
          <w:sz w:val="22"/>
          <w:szCs w:val="22"/>
        </w:rPr>
      </w:pPr>
      <w:r>
        <w:rPr>
          <w:i w:val="0"/>
          <w:noProof/>
          <w:color w:val="auto"/>
          <w:sz w:val="22"/>
        </w:rPr>
        <w:t>Low participation of local territorial governments in funding health services;</w:t>
      </w:r>
    </w:p>
    <w:p w:rsidR="00B32A2A" w:rsidRPr="00B32A2A" w:rsidRDefault="00B32A2A" w:rsidP="00B32A2A">
      <w:pPr>
        <w:pStyle w:val="ListParagraph"/>
        <w:widowControl/>
        <w:numPr>
          <w:ilvl w:val="0"/>
          <w:numId w:val="45"/>
        </w:numPr>
        <w:autoSpaceDE w:val="0"/>
        <w:autoSpaceDN w:val="0"/>
        <w:adjustRightInd w:val="0"/>
        <w:spacing w:after="0" w:line="240" w:lineRule="auto"/>
        <w:rPr>
          <w:rFonts w:eastAsia="Calibri" w:cs="Arial"/>
          <w:i w:val="0"/>
          <w:noProof/>
          <w:color w:val="auto"/>
          <w:sz w:val="22"/>
          <w:szCs w:val="22"/>
        </w:rPr>
      </w:pPr>
      <w:r>
        <w:rPr>
          <w:i w:val="0"/>
          <w:noProof/>
          <w:color w:val="auto"/>
          <w:sz w:val="22"/>
        </w:rPr>
        <w:t>Delays in disseminating the micro-planning training guide;</w:t>
      </w:r>
    </w:p>
    <w:p w:rsidR="00B32A2A" w:rsidRPr="00B32A2A" w:rsidRDefault="00B32A2A" w:rsidP="00B32A2A">
      <w:pPr>
        <w:pStyle w:val="ListParagraph"/>
        <w:widowControl/>
        <w:numPr>
          <w:ilvl w:val="0"/>
          <w:numId w:val="45"/>
        </w:numPr>
        <w:autoSpaceDE w:val="0"/>
        <w:autoSpaceDN w:val="0"/>
        <w:adjustRightInd w:val="0"/>
        <w:spacing w:after="0" w:line="240" w:lineRule="auto"/>
        <w:rPr>
          <w:rFonts w:eastAsia="Calibri" w:cs="Arial"/>
          <w:i w:val="0"/>
          <w:noProof/>
          <w:color w:val="auto"/>
          <w:sz w:val="22"/>
          <w:szCs w:val="22"/>
        </w:rPr>
      </w:pPr>
      <w:r>
        <w:rPr>
          <w:i w:val="0"/>
          <w:noProof/>
          <w:color w:val="auto"/>
          <w:sz w:val="22"/>
        </w:rPr>
        <w:t xml:space="preserve">Ineffective nature of MCs and COSAN. </w:t>
      </w:r>
    </w:p>
    <w:p w:rsidR="00B32A2A" w:rsidRPr="00B32A2A" w:rsidRDefault="00B32A2A" w:rsidP="00B32A2A">
      <w:pPr>
        <w:widowControl/>
        <w:autoSpaceDE w:val="0"/>
        <w:autoSpaceDN w:val="0"/>
        <w:adjustRightInd w:val="0"/>
        <w:spacing w:after="0" w:line="240" w:lineRule="auto"/>
        <w:rPr>
          <w:rFonts w:cs="Arial"/>
          <w:noProof/>
        </w:rPr>
      </w:pPr>
    </w:p>
    <w:p w:rsidR="00B32A2A" w:rsidRPr="00B32A2A" w:rsidRDefault="00B32A2A" w:rsidP="00B32A2A">
      <w:pPr>
        <w:widowControl/>
        <w:autoSpaceDE w:val="0"/>
        <w:autoSpaceDN w:val="0"/>
        <w:adjustRightInd w:val="0"/>
        <w:spacing w:after="0" w:line="240" w:lineRule="auto"/>
        <w:rPr>
          <w:rFonts w:cs="Arial"/>
          <w:noProof/>
        </w:rPr>
      </w:pPr>
      <w:r>
        <w:t xml:space="preserve">To offset all of these deficiencies, this system is currently being revised to be match up with the policy of free car. </w:t>
      </w:r>
    </w:p>
    <w:p w:rsidR="00B32A2A" w:rsidRPr="00B32A2A" w:rsidRDefault="00B32A2A" w:rsidP="00B32A2A">
      <w:pPr>
        <w:widowControl/>
        <w:autoSpaceDE w:val="0"/>
        <w:autoSpaceDN w:val="0"/>
        <w:adjustRightInd w:val="0"/>
        <w:spacing w:after="0" w:line="240" w:lineRule="auto"/>
        <w:rPr>
          <w:rFonts w:cs="Arial"/>
          <w:noProof/>
        </w:rPr>
      </w:pPr>
    </w:p>
    <w:p w:rsidR="00B32A2A" w:rsidRPr="00B32A2A" w:rsidRDefault="00B32A2A" w:rsidP="00B32A2A">
      <w:pPr>
        <w:pStyle w:val="ListParagraph"/>
        <w:numPr>
          <w:ilvl w:val="0"/>
          <w:numId w:val="44"/>
        </w:numPr>
        <w:rPr>
          <w:rFonts w:cs="Arial"/>
          <w:b/>
          <w:noProof/>
          <w:color w:val="auto"/>
          <w:sz w:val="22"/>
          <w:szCs w:val="22"/>
        </w:rPr>
      </w:pPr>
      <w:r>
        <w:rPr>
          <w:b/>
          <w:noProof/>
          <w:color w:val="auto"/>
          <w:sz w:val="22"/>
        </w:rPr>
        <w:t>Role of the community and civil society in service offerings</w:t>
      </w:r>
    </w:p>
    <w:p w:rsidR="00B32A2A" w:rsidRPr="00B32A2A" w:rsidRDefault="00B32A2A" w:rsidP="00B32A2A">
      <w:pPr>
        <w:ind w:left="360"/>
        <w:jc w:val="both"/>
        <w:rPr>
          <w:rFonts w:cs="Arial"/>
          <w:noProof/>
        </w:rPr>
      </w:pPr>
      <w:r>
        <w:t>The community, via households, participates in funding health care by: (i) paying direct fees l</w:t>
      </w:r>
      <w:r w:rsidR="001F248A">
        <w:t xml:space="preserve">inked to health services, (ii) </w:t>
      </w:r>
      <w:r>
        <w:t xml:space="preserve">contributing to the construction and housing for health workers, (iii) paying for the fuel for evacuating patients and to pay the tax collector. Communities fund the gas supply used to preserve immunizations (via cost-recovery).These methods of community participation also contribute to different immunization activities (advocacy, awareness and immunization campaigns) </w:t>
      </w:r>
    </w:p>
    <w:p w:rsidR="00B32A2A" w:rsidRPr="00B32A2A" w:rsidRDefault="00B32A2A" w:rsidP="00B32A2A">
      <w:pPr>
        <w:ind w:left="360"/>
        <w:jc w:val="both"/>
        <w:rPr>
          <w:rFonts w:cs="Arial"/>
          <w:noProof/>
        </w:rPr>
      </w:pPr>
      <w:r>
        <w:t xml:space="preserve">Civil society, through associations, NGOs and unions participate from time to time in the funding of health care activities by creating support networks for certain vulnerable populations. Civil society also contributes to the implementation of different immunization activities (advocacy, awareness and immunization campaigns). [sic] </w:t>
      </w:r>
    </w:p>
    <w:p w:rsidR="00B32A2A" w:rsidRPr="00B32A2A" w:rsidRDefault="00B32A2A" w:rsidP="00B32A2A">
      <w:pPr>
        <w:pStyle w:val="ListParagraph"/>
        <w:numPr>
          <w:ilvl w:val="0"/>
          <w:numId w:val="44"/>
        </w:numPr>
        <w:rPr>
          <w:rFonts w:cs="Arial"/>
          <w:noProof/>
          <w:color w:val="auto"/>
          <w:sz w:val="22"/>
          <w:szCs w:val="22"/>
        </w:rPr>
      </w:pPr>
      <w:r>
        <w:rPr>
          <w:b/>
          <w:noProof/>
          <w:color w:val="auto"/>
          <w:sz w:val="22"/>
        </w:rPr>
        <w:t>Lists of all encouragement programs (Financial or not targeted at stimulating community participation</w:t>
      </w:r>
      <w:r>
        <w:rPr>
          <w:noProof/>
          <w:color w:val="auto"/>
          <w:sz w:val="22"/>
        </w:rPr>
        <w:t>)</w:t>
      </w:r>
    </w:p>
    <w:p w:rsidR="00B32A2A" w:rsidRPr="00B32A2A" w:rsidRDefault="00B32A2A" w:rsidP="00B32A2A">
      <w:pPr>
        <w:ind w:left="360"/>
        <w:jc w:val="both"/>
        <w:rPr>
          <w:rFonts w:cs="Arial"/>
          <w:noProof/>
        </w:rPr>
      </w:pPr>
      <w:r>
        <w:t xml:space="preserve">There is no national program for encouraging community-level participation, however, in certain cases, such as local or regional projects and programs (WFP, BEFEN, UNFPA, etc.) diverse incentives have been developed to stimulate community participation. </w:t>
      </w:r>
    </w:p>
    <w:p w:rsidR="00B32A2A" w:rsidRPr="00B32A2A" w:rsidRDefault="00B32A2A" w:rsidP="00B32A2A">
      <w:pPr>
        <w:ind w:left="360"/>
        <w:jc w:val="both"/>
        <w:rPr>
          <w:rFonts w:cs="Arial"/>
          <w:noProof/>
        </w:rPr>
      </w:pPr>
    </w:p>
    <w:tbl>
      <w:tblPr>
        <w:tblpPr w:leftFromText="141" w:rightFromText="141" w:vertAnchor="text" w:horzAnchor="margin" w:tblpY="153"/>
        <w:tblW w:w="1034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48"/>
      </w:tblGrid>
      <w:tr w:rsidR="00B32A2A" w:rsidRPr="00B32A2A" w:rsidTr="00B32A2A">
        <w:tc>
          <w:tcPr>
            <w:tcW w:w="10348" w:type="dxa"/>
            <w:shd w:val="clear" w:color="auto" w:fill="006460"/>
          </w:tcPr>
          <w:p w:rsidR="00B32A2A" w:rsidRPr="00B32A2A" w:rsidRDefault="00B32A2A" w:rsidP="00B32A2A">
            <w:pPr>
              <w:pStyle w:val="Heading2"/>
              <w:rPr>
                <w:rFonts w:ascii="Arial" w:hAnsi="Arial" w:cs="Arial"/>
                <w:noProof/>
                <w:color w:val="auto"/>
                <w:sz w:val="22"/>
                <w:szCs w:val="22"/>
              </w:rPr>
            </w:pPr>
            <w:bookmarkStart w:id="27" w:name="_Toc346116638"/>
            <w:bookmarkStart w:id="28" w:name="_Toc381123264"/>
            <w:bookmarkStart w:id="29" w:name="_Toc381566354"/>
            <w:r>
              <w:rPr>
                <w:rFonts w:ascii="Arial" w:hAnsi="Arial"/>
                <w:noProof/>
                <w:color w:val="auto"/>
                <w:sz w:val="22"/>
              </w:rPr>
              <w:t xml:space="preserve">3. </w:t>
            </w:r>
            <w:bookmarkStart w:id="30" w:name="_Toc349297133"/>
            <w:bookmarkStart w:id="31" w:name="_Toc358399416"/>
            <w:r>
              <w:rPr>
                <w:rFonts w:ascii="Arial" w:hAnsi="Arial"/>
                <w:noProof/>
                <w:color w:val="auto"/>
                <w:sz w:val="22"/>
              </w:rPr>
              <w:t>National Health Strategy and Joint Assessment of National Health Strategy</w:t>
            </w:r>
            <w:bookmarkEnd w:id="30"/>
            <w:bookmarkEnd w:id="31"/>
            <w:r>
              <w:rPr>
                <w:rFonts w:ascii="Arial" w:hAnsi="Arial"/>
                <w:noProof/>
                <w:color w:val="auto"/>
                <w:sz w:val="22"/>
              </w:rPr>
              <w:t xml:space="preserve"> (JANS)</w:t>
            </w:r>
            <w:bookmarkEnd w:id="27"/>
            <w:bookmarkEnd w:id="28"/>
            <w:bookmarkEnd w:id="29"/>
          </w:p>
        </w:tc>
      </w:tr>
      <w:tr w:rsidR="00B32A2A" w:rsidRPr="00B32A2A" w:rsidTr="00B32A2A">
        <w:tc>
          <w:tcPr>
            <w:tcW w:w="10348" w:type="dxa"/>
            <w:shd w:val="clear" w:color="auto" w:fill="FFFFFF"/>
          </w:tcPr>
          <w:p w:rsidR="00B32A2A" w:rsidRPr="00B32A2A" w:rsidRDefault="00B32A2A" w:rsidP="00B32A2A">
            <w:pPr>
              <w:spacing w:before="120" w:after="120"/>
              <w:jc w:val="both"/>
              <w:rPr>
                <w:rFonts w:cs="Arial"/>
                <w:i/>
                <w:noProof/>
              </w:rPr>
            </w:pPr>
            <w:r>
              <w:rPr>
                <w:i/>
                <w:noProof/>
              </w:rPr>
              <w:t xml:space="preserve">This section will be used to determine how immunization is addressed in the national health strategy, </w:t>
            </w:r>
            <w:r>
              <w:rPr>
                <w:i/>
                <w:noProof/>
              </w:rPr>
              <w:lastRenderedPageBreak/>
              <w:t>what the key findings of an independent JANS assessment of the strategy were. The Independent Review Committee (IRC) will use the conclusions from the JANS assessment to better understand the political context in which the health sector exists; this will inform the Committee as it evaluates the credibility and feasibility of the HSS proposal.</w:t>
            </w:r>
          </w:p>
          <w:p w:rsidR="00B32A2A" w:rsidRPr="00B32A2A" w:rsidRDefault="00B32A2A" w:rsidP="00B32A2A">
            <w:pPr>
              <w:pStyle w:val="ListParagraph"/>
              <w:ind w:left="0" w:right="51"/>
              <w:rPr>
                <w:rFonts w:cs="Arial"/>
                <w:i w:val="0"/>
                <w:noProof/>
                <w:color w:val="auto"/>
                <w:sz w:val="22"/>
                <w:szCs w:val="22"/>
              </w:rPr>
            </w:pPr>
            <w:r>
              <w:rPr>
                <w:i w:val="0"/>
                <w:noProof/>
                <w:color w:val="auto"/>
                <w:sz w:val="22"/>
              </w:rPr>
              <w:t xml:space="preserve">→ Please provide a reference to the relevant sections and pages in the NHP which outline immunization policies, objectives, and activities. </w:t>
            </w:r>
          </w:p>
          <w:p w:rsidR="00B32A2A" w:rsidRPr="00B32A2A" w:rsidRDefault="00B32A2A" w:rsidP="00B32A2A">
            <w:pPr>
              <w:pStyle w:val="ListParagraph"/>
              <w:ind w:left="0" w:right="51"/>
              <w:rPr>
                <w:rFonts w:cs="Arial"/>
                <w:i w:val="0"/>
                <w:noProof/>
                <w:color w:val="auto"/>
                <w:sz w:val="22"/>
                <w:szCs w:val="22"/>
              </w:rPr>
            </w:pPr>
            <w:r>
              <w:rPr>
                <w:i w:val="0"/>
                <w:noProof/>
                <w:color w:val="auto"/>
                <w:sz w:val="22"/>
              </w:rPr>
              <w:t>→ If a Joint Assessment of the National Health Strategy (JANS) has been conducted, please provide the JANS report as an attachment.</w:t>
            </w:r>
          </w:p>
          <w:p w:rsidR="00B32A2A" w:rsidRPr="00B32A2A" w:rsidRDefault="00B32A2A" w:rsidP="00B32A2A">
            <w:pPr>
              <w:pStyle w:val="ListParagraph"/>
              <w:ind w:left="0" w:right="51"/>
              <w:rPr>
                <w:rFonts w:cs="Arial"/>
                <w:i w:val="0"/>
                <w:noProof/>
                <w:color w:val="auto"/>
                <w:sz w:val="22"/>
                <w:szCs w:val="22"/>
              </w:rPr>
            </w:pPr>
            <w:r>
              <w:rPr>
                <w:i w:val="0"/>
                <w:noProof/>
                <w:color w:val="auto"/>
                <w:sz w:val="22"/>
              </w:rPr>
              <w:t>→ Please provide a summary of how the government and partners have addressed the weaknesses and recommendations identified in the JANS or attach the country’s response.</w:t>
            </w:r>
          </w:p>
        </w:tc>
      </w:tr>
      <w:tr w:rsidR="00B32A2A" w:rsidRPr="00B32A2A" w:rsidTr="00B32A2A">
        <w:trPr>
          <w:trHeight w:val="278"/>
        </w:trPr>
        <w:tc>
          <w:tcPr>
            <w:tcW w:w="10348" w:type="dxa"/>
            <w:shd w:val="clear" w:color="auto" w:fill="FFFFFF"/>
          </w:tcPr>
          <w:p w:rsidR="00B32A2A" w:rsidRPr="00B32A2A" w:rsidRDefault="00B32A2A" w:rsidP="00B32A2A">
            <w:pPr>
              <w:spacing w:before="120" w:after="120"/>
              <w:jc w:val="both"/>
              <w:rPr>
                <w:rFonts w:cs="Arial"/>
                <w:b/>
                <w:i/>
                <w:noProof/>
              </w:rPr>
            </w:pPr>
            <w:r>
              <w:rPr>
                <w:b/>
                <w:i/>
                <w:noProof/>
              </w:rPr>
              <w:lastRenderedPageBreak/>
              <w:t>ONE PAGE MAXIMUM</w:t>
            </w:r>
          </w:p>
        </w:tc>
      </w:tr>
    </w:tbl>
    <w:p w:rsidR="00B32A2A" w:rsidRPr="00B32A2A" w:rsidRDefault="00B32A2A" w:rsidP="00B32A2A">
      <w:pPr>
        <w:spacing w:before="100" w:beforeAutospacing="1" w:after="100" w:afterAutospacing="1"/>
        <w:jc w:val="both"/>
        <w:rPr>
          <w:rFonts w:cs="Arial"/>
          <w:noProof/>
        </w:rPr>
      </w:pPr>
    </w:p>
    <w:p w:rsidR="00B32A2A" w:rsidRPr="00B32A2A" w:rsidRDefault="00B32A2A" w:rsidP="00B32A2A">
      <w:pPr>
        <w:spacing w:before="100" w:beforeAutospacing="1" w:after="100" w:afterAutospacing="1"/>
        <w:jc w:val="both"/>
        <w:rPr>
          <w:rFonts w:cs="Arial"/>
          <w:noProof/>
        </w:rPr>
      </w:pPr>
      <w:r>
        <w:t>In Niger, the national healthcare policy is structured around the implementation of a 2011-2015 Health development plan (HDP) (Appendix 5). This policy specifically focuses on studying equity and improved accessibility for the greatest number of vulnerable individuals (women, children, populations located in rural areas, etc.)</w:t>
      </w:r>
    </w:p>
    <w:p w:rsidR="00B32A2A" w:rsidRPr="00B32A2A" w:rsidRDefault="00B32A2A" w:rsidP="00B32A2A">
      <w:pPr>
        <w:spacing w:before="100" w:beforeAutospacing="1" w:after="100" w:afterAutospacing="1"/>
        <w:jc w:val="both"/>
        <w:rPr>
          <w:rFonts w:cs="Arial"/>
          <w:noProof/>
        </w:rPr>
      </w:pPr>
      <w:r>
        <w:t xml:space="preserve">The HDP aims to contribute to improving the health of the population, with a view toward achieving the MDGs related to the health sector. So as to be able to respond to this general objective, the specific objective assigned to HDP 2011-2015 is to offer quality health care to the population, and, in particular, to vulnerable groups. </w:t>
      </w:r>
    </w:p>
    <w:p w:rsidR="00B32A2A" w:rsidRPr="00B32A2A" w:rsidRDefault="00B32A2A" w:rsidP="00B32A2A">
      <w:pPr>
        <w:spacing w:before="100" w:beforeAutospacing="1" w:after="100" w:afterAutospacing="1"/>
        <w:jc w:val="both"/>
        <w:rPr>
          <w:rFonts w:cs="Arial"/>
          <w:noProof/>
        </w:rPr>
      </w:pPr>
      <w:r>
        <w:t xml:space="preserve">To get closer to achieving the MDGs, the MPH has decided to focus the HDP 2011 - 2015 on improving health system management with an emphasis on reproductive health, human resource management, procurement of inputs and pharmaceutical products, the national health information system, combating HIV/AIDS, tuberculosis and malaria. And also to strengthen immunization services, a 2011-2015 Comprehensive Multi-Year Plan (cMYP) to develop the Expanded Program on Immunization has been created. </w:t>
      </w:r>
    </w:p>
    <w:p w:rsidR="00B32A2A" w:rsidRPr="00B32A2A" w:rsidRDefault="00B32A2A" w:rsidP="00B32A2A">
      <w:pPr>
        <w:spacing w:before="100" w:beforeAutospacing="1" w:after="100" w:afterAutospacing="1"/>
        <w:jc w:val="both"/>
        <w:rPr>
          <w:rFonts w:cs="Arial"/>
          <w:noProof/>
        </w:rPr>
      </w:pPr>
      <w:r>
        <w:t>To ensure that the plan in implemented during the 2011-2015 period, eight strategic axes, as outlined below, have been defined: (1) Extension of health coverage, (2) development of quality reproductive health services; (3) providing health facilities with competent and motivated human resources, as needed; (4) permanent availability of medications, immunizations, supplies, food and therapeutic inputs, reagents, blood and blood derivatives; (5) intensification of the campaigns against diseases that are subject to integrated surveillance; (6) improved governance and leadership at all levels of the health system, (7) development of funding methods for the health sector, and (8) promotion of health research.</w:t>
      </w:r>
    </w:p>
    <w:p w:rsidR="00B32A2A" w:rsidRPr="00B32A2A" w:rsidRDefault="00B32A2A" w:rsidP="00B32A2A">
      <w:pPr>
        <w:tabs>
          <w:tab w:val="right" w:leader="dot" w:pos="9498"/>
        </w:tabs>
        <w:autoSpaceDE w:val="0"/>
        <w:autoSpaceDN w:val="0"/>
        <w:adjustRightInd w:val="0"/>
        <w:spacing w:before="120" w:after="120"/>
        <w:contextualSpacing/>
        <w:jc w:val="both"/>
        <w:rPr>
          <w:rFonts w:cs="Arial"/>
          <w:noProof/>
        </w:rPr>
      </w:pPr>
      <w:r>
        <w:t xml:space="preserve">The HDP includes immunization among the high-impact health interventions (see pages 46, 51 and 61). </w:t>
      </w:r>
    </w:p>
    <w:p w:rsidR="00B32A2A" w:rsidRPr="00B32A2A" w:rsidRDefault="00B32A2A" w:rsidP="00B32A2A">
      <w:pPr>
        <w:tabs>
          <w:tab w:val="right" w:leader="dot" w:pos="9498"/>
        </w:tabs>
        <w:autoSpaceDE w:val="0"/>
        <w:autoSpaceDN w:val="0"/>
        <w:adjustRightInd w:val="0"/>
        <w:spacing w:before="120" w:after="120"/>
        <w:contextualSpacing/>
        <w:jc w:val="both"/>
        <w:rPr>
          <w:rFonts w:cs="Arial"/>
          <w:noProof/>
        </w:rPr>
      </w:pPr>
    </w:p>
    <w:p w:rsidR="00B32A2A" w:rsidRPr="00B32A2A" w:rsidRDefault="00B32A2A" w:rsidP="00B32A2A">
      <w:pPr>
        <w:tabs>
          <w:tab w:val="right" w:leader="dot" w:pos="9498"/>
        </w:tabs>
        <w:autoSpaceDE w:val="0"/>
        <w:autoSpaceDN w:val="0"/>
        <w:adjustRightInd w:val="0"/>
        <w:spacing w:before="120" w:after="120"/>
        <w:contextualSpacing/>
        <w:jc w:val="both"/>
        <w:rPr>
          <w:rFonts w:cs="Arial"/>
          <w:noProof/>
        </w:rPr>
      </w:pPr>
      <w:r>
        <w:t xml:space="preserve">In Niger, there has not been an evaluation of the 2011-2015 HDP using the JANS tool but an evaluation occurred in a participative and inclusive fashion with all relevant parties involved, including the CSOs. </w:t>
      </w:r>
    </w:p>
    <w:p w:rsidR="00B32A2A" w:rsidRPr="00B32A2A" w:rsidRDefault="00B32A2A" w:rsidP="00B32A2A">
      <w:pPr>
        <w:tabs>
          <w:tab w:val="right" w:leader="dot" w:pos="9498"/>
        </w:tabs>
        <w:autoSpaceDE w:val="0"/>
        <w:autoSpaceDN w:val="0"/>
        <w:adjustRightInd w:val="0"/>
        <w:spacing w:before="120" w:after="120"/>
        <w:contextualSpacing/>
        <w:jc w:val="both"/>
        <w:rPr>
          <w:rFonts w:cs="Arial"/>
          <w:noProof/>
        </w:rPr>
      </w:pPr>
    </w:p>
    <w:p w:rsidR="00B32A2A" w:rsidRPr="00B32A2A" w:rsidRDefault="00B32A2A" w:rsidP="00B32A2A">
      <w:pPr>
        <w:tabs>
          <w:tab w:val="right" w:leader="dot" w:pos="9498"/>
        </w:tabs>
        <w:autoSpaceDE w:val="0"/>
        <w:autoSpaceDN w:val="0"/>
        <w:adjustRightInd w:val="0"/>
        <w:spacing w:before="120" w:after="120"/>
        <w:contextualSpacing/>
        <w:jc w:val="both"/>
        <w:rPr>
          <w:rFonts w:cs="Arial"/>
          <w:noProof/>
        </w:rPr>
      </w:pPr>
      <w:r>
        <w:t>Studies and forums took place between 2011 and 2013, with all involved parties, including:</w:t>
      </w:r>
    </w:p>
    <w:p w:rsidR="00B32A2A" w:rsidRPr="00B32A2A" w:rsidRDefault="00B32A2A" w:rsidP="00B32A2A">
      <w:pPr>
        <w:tabs>
          <w:tab w:val="right" w:leader="dot" w:pos="9498"/>
        </w:tabs>
        <w:autoSpaceDE w:val="0"/>
        <w:autoSpaceDN w:val="0"/>
        <w:adjustRightInd w:val="0"/>
        <w:spacing w:before="120" w:after="120"/>
        <w:ind w:left="720"/>
        <w:contextualSpacing/>
        <w:jc w:val="both"/>
        <w:rPr>
          <w:rFonts w:cs="Arial"/>
          <w:noProof/>
        </w:rPr>
      </w:pPr>
      <w:r>
        <w:t>- Internal mid-term evaluation of the 2011-2015 HDP,</w:t>
      </w:r>
    </w:p>
    <w:p w:rsidR="00B32A2A" w:rsidRPr="00B32A2A" w:rsidRDefault="00B32A2A" w:rsidP="00B32A2A">
      <w:pPr>
        <w:tabs>
          <w:tab w:val="right" w:leader="dot" w:pos="9498"/>
        </w:tabs>
        <w:autoSpaceDE w:val="0"/>
        <w:autoSpaceDN w:val="0"/>
        <w:adjustRightInd w:val="0"/>
        <w:spacing w:before="120" w:after="120"/>
        <w:ind w:left="720"/>
        <w:contextualSpacing/>
        <w:jc w:val="both"/>
        <w:rPr>
          <w:rFonts w:cs="Arial"/>
          <w:noProof/>
        </w:rPr>
      </w:pPr>
      <w:r>
        <w:t>- National Forum on Free Care</w:t>
      </w:r>
    </w:p>
    <w:p w:rsidR="00B32A2A" w:rsidRPr="00B32A2A" w:rsidRDefault="00B32A2A" w:rsidP="00B32A2A">
      <w:pPr>
        <w:tabs>
          <w:tab w:val="right" w:leader="dot" w:pos="9498"/>
        </w:tabs>
        <w:autoSpaceDE w:val="0"/>
        <w:autoSpaceDN w:val="0"/>
        <w:adjustRightInd w:val="0"/>
        <w:spacing w:before="120" w:after="120"/>
        <w:ind w:left="720"/>
        <w:contextualSpacing/>
        <w:jc w:val="both"/>
        <w:rPr>
          <w:rFonts w:cs="Arial"/>
          <w:noProof/>
        </w:rPr>
      </w:pPr>
      <w:r>
        <w:t>- Etats Généraux (general meeting) on Immunization</w:t>
      </w:r>
    </w:p>
    <w:p w:rsidR="00B32A2A" w:rsidRPr="00B32A2A" w:rsidRDefault="00B32A2A" w:rsidP="00B32A2A">
      <w:pPr>
        <w:tabs>
          <w:tab w:val="right" w:leader="dot" w:pos="9498"/>
        </w:tabs>
        <w:autoSpaceDE w:val="0"/>
        <w:autoSpaceDN w:val="0"/>
        <w:adjustRightInd w:val="0"/>
        <w:spacing w:before="120" w:after="120"/>
        <w:ind w:left="720"/>
        <w:contextualSpacing/>
        <w:jc w:val="both"/>
        <w:rPr>
          <w:rFonts w:cs="Arial"/>
          <w:noProof/>
        </w:rPr>
      </w:pPr>
      <w:r>
        <w:t>- Health sector study</w:t>
      </w:r>
    </w:p>
    <w:p w:rsidR="00B32A2A" w:rsidRPr="00B32A2A" w:rsidRDefault="00B32A2A" w:rsidP="00B32A2A">
      <w:pPr>
        <w:widowControl/>
        <w:spacing w:line="240" w:lineRule="auto"/>
        <w:jc w:val="both"/>
        <w:rPr>
          <w:rFonts w:cs="Arial"/>
          <w:noProof/>
        </w:rPr>
      </w:pPr>
    </w:p>
    <w:p w:rsidR="00B32A2A" w:rsidRPr="00B32A2A" w:rsidRDefault="00B32A2A" w:rsidP="00B32A2A">
      <w:pPr>
        <w:widowControl/>
        <w:spacing w:line="240" w:lineRule="auto"/>
        <w:jc w:val="both"/>
        <w:rPr>
          <w:rFonts w:cs="Arial"/>
          <w:noProof/>
        </w:rPr>
      </w:pPr>
      <w:r>
        <w:t xml:space="preserve">The main weaknesses of the studies and the forums that were revealed are the following: (i) the weak capacity of health workers to offer quality immunization services; (ii) the unreliability of population data used for planning; (iii) lack of supportive supervision and monitoring of immunization activities; the high number of health training (IHC and health huts) that do not offer immunization services; frequent immunization stock shortages; inadequate transport logistics (auto/motorbike) to organize immunizations; the program's heavy dependence on external funding and the poor management of funds allocated for immunization; the low coverage of nomadic populations and others that are in insecure areas; the poor performance of community actors (CHW, town criers, liaisons, immunization workers, etc.). </w:t>
      </w:r>
    </w:p>
    <w:p w:rsidR="00B32A2A" w:rsidRPr="00B32A2A" w:rsidRDefault="00B32A2A" w:rsidP="00B32A2A">
      <w:pPr>
        <w:widowControl/>
        <w:spacing w:line="240" w:lineRule="auto"/>
        <w:jc w:val="both"/>
        <w:rPr>
          <w:rFonts w:cs="Arial"/>
          <w:noProof/>
        </w:rPr>
      </w:pPr>
      <w:r>
        <w:t xml:space="preserve">To correct these weaknesses, several recommendations have been identified by the Government and other partners. To address these weaknesses and recommendations, several strategies have been developed and put into place, including the adoption of the roadmap from the immunization general meeting, the revision of the minimum package of activities for health huts, the community-based strategy, the reorganization of large districts and the health financing strategy. Other strategies are being considered, specifically, offering free childbirth more often, </w:t>
      </w:r>
      <w:r>
        <w:rPr>
          <w:i/>
          <w:noProof/>
        </w:rPr>
        <w:t>Results Based Financing, Universal Health Coverage, including a healthcare social fund.</w:t>
      </w:r>
    </w:p>
    <w:tbl>
      <w:tblPr>
        <w:tblpPr w:leftFromText="141" w:rightFromText="141" w:vertAnchor="text" w:horzAnchor="margin" w:tblpY="22"/>
        <w:tblW w:w="1034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48"/>
      </w:tblGrid>
      <w:tr w:rsidR="00B32A2A" w:rsidRPr="00B32A2A" w:rsidTr="00B32A2A">
        <w:tc>
          <w:tcPr>
            <w:tcW w:w="10348" w:type="dxa"/>
            <w:shd w:val="clear" w:color="auto" w:fill="006460"/>
          </w:tcPr>
          <w:p w:rsidR="00B32A2A" w:rsidRPr="00B32A2A" w:rsidRDefault="00B32A2A" w:rsidP="00B32A2A">
            <w:pPr>
              <w:pStyle w:val="Heading2"/>
              <w:rPr>
                <w:rFonts w:ascii="Arial" w:hAnsi="Arial" w:cs="Arial"/>
                <w:noProof/>
                <w:color w:val="auto"/>
                <w:sz w:val="22"/>
                <w:szCs w:val="22"/>
              </w:rPr>
            </w:pPr>
            <w:bookmarkStart w:id="32" w:name="_Toc346116639"/>
            <w:bookmarkStart w:id="33" w:name="_Toc381123265"/>
            <w:bookmarkStart w:id="34" w:name="_Toc381566355"/>
            <w:r>
              <w:rPr>
                <w:rFonts w:ascii="Arial" w:hAnsi="Arial"/>
                <w:noProof/>
                <w:color w:val="auto"/>
                <w:sz w:val="22"/>
              </w:rPr>
              <w:t xml:space="preserve">4. </w:t>
            </w:r>
            <w:bookmarkStart w:id="35" w:name="_Toc349297134"/>
            <w:bookmarkStart w:id="36" w:name="_Toc358399417"/>
            <w:bookmarkEnd w:id="32"/>
            <w:r>
              <w:rPr>
                <w:rFonts w:ascii="Arial" w:hAnsi="Arial"/>
                <w:noProof/>
                <w:color w:val="auto"/>
                <w:sz w:val="22"/>
              </w:rPr>
              <w:t>Monitoring and Evaluation Plan for the National Health Strategy</w:t>
            </w:r>
            <w:bookmarkEnd w:id="33"/>
            <w:bookmarkEnd w:id="34"/>
            <w:bookmarkEnd w:id="35"/>
            <w:bookmarkEnd w:id="36"/>
          </w:p>
        </w:tc>
      </w:tr>
      <w:tr w:rsidR="00B32A2A" w:rsidRPr="00B32A2A" w:rsidTr="00B32A2A">
        <w:tc>
          <w:tcPr>
            <w:tcW w:w="10348" w:type="dxa"/>
            <w:shd w:val="clear" w:color="auto" w:fill="FFFFFF"/>
          </w:tcPr>
          <w:p w:rsidR="00B32A2A" w:rsidRPr="00B32A2A" w:rsidRDefault="00B32A2A" w:rsidP="00B32A2A">
            <w:pPr>
              <w:spacing w:before="120" w:after="120"/>
              <w:jc w:val="both"/>
              <w:rPr>
                <w:rFonts w:cs="Arial"/>
                <w:i/>
                <w:noProof/>
              </w:rPr>
            </w:pPr>
            <w:r>
              <w:rPr>
                <w:i/>
                <w:noProof/>
              </w:rPr>
              <w:t xml:space="preserve">This section will provide background information on how the country organizes M&amp;E arrangements and whether this proposal is aligned and complementary to national M&amp;E plans. </w:t>
            </w:r>
          </w:p>
          <w:p w:rsidR="00B32A2A" w:rsidRPr="00B32A2A" w:rsidRDefault="00B32A2A" w:rsidP="00B32A2A">
            <w:pPr>
              <w:spacing w:before="120" w:after="120"/>
              <w:jc w:val="both"/>
              <w:rPr>
                <w:rFonts w:cs="Arial"/>
                <w:i/>
                <w:noProof/>
              </w:rPr>
            </w:pPr>
            <w:r>
              <w:rPr>
                <w:i/>
                <w:noProof/>
              </w:rPr>
              <w:t>→ Please attach a copy of the National M&amp;E Plan for the national health strategy.</w:t>
            </w:r>
          </w:p>
          <w:p w:rsidR="00B32A2A" w:rsidRPr="00B32A2A" w:rsidRDefault="00B32A2A" w:rsidP="00B32A2A">
            <w:pPr>
              <w:spacing w:before="120" w:after="120"/>
              <w:jc w:val="both"/>
              <w:rPr>
                <w:rFonts w:cs="Arial"/>
                <w:i/>
                <w:noProof/>
              </w:rPr>
            </w:pPr>
            <w:r>
              <w:rPr>
                <w:i/>
                <w:noProof/>
              </w:rPr>
              <w:t xml:space="preserve">→ Please provide a summary of how the National M&amp;E Plan is implemented in practice. In your answer refer to relevant sections of the M&amp;E Plan for the national health strategy for further details. </w:t>
            </w:r>
          </w:p>
          <w:p w:rsidR="00B32A2A" w:rsidRPr="00B32A2A" w:rsidRDefault="00B32A2A" w:rsidP="00B32A2A">
            <w:pPr>
              <w:spacing w:before="120" w:after="120"/>
              <w:jc w:val="both"/>
              <w:rPr>
                <w:rFonts w:cs="Arial"/>
                <w:i/>
                <w:noProof/>
              </w:rPr>
            </w:pPr>
            <w:r>
              <w:rPr>
                <w:i/>
                <w:noProof/>
              </w:rPr>
              <w:t>→ Please provide a description of how development partners are involved in the M&amp;E of the national health strategy implementation and financing. Has there been an annual joint assessment of the health sector (JAR), and if so how is it conducted? Please describe the extent of GAVI's participation and the annual joint assessment process.</w:t>
            </w:r>
          </w:p>
          <w:p w:rsidR="00B32A2A" w:rsidRPr="00B32A2A" w:rsidRDefault="00B32A2A" w:rsidP="00B32A2A">
            <w:pPr>
              <w:spacing w:before="120" w:after="120"/>
              <w:jc w:val="both"/>
              <w:rPr>
                <w:rFonts w:cs="Arial"/>
                <w:i/>
                <w:noProof/>
              </w:rPr>
            </w:pPr>
            <w:r>
              <w:rPr>
                <w:i/>
                <w:noProof/>
              </w:rPr>
              <w:t>→ Is the immunization program assessment part of the annual joint assessment? Please indicate Yes or No.</w:t>
            </w:r>
          </w:p>
        </w:tc>
      </w:tr>
      <w:tr w:rsidR="00B32A2A" w:rsidRPr="00B32A2A" w:rsidTr="00B32A2A">
        <w:trPr>
          <w:trHeight w:val="278"/>
        </w:trPr>
        <w:tc>
          <w:tcPr>
            <w:tcW w:w="10348" w:type="dxa"/>
            <w:shd w:val="clear" w:color="auto" w:fill="FFFFFF"/>
          </w:tcPr>
          <w:p w:rsidR="00B32A2A" w:rsidRPr="00B32A2A" w:rsidRDefault="00B32A2A" w:rsidP="00B32A2A">
            <w:pPr>
              <w:spacing w:before="120" w:after="120"/>
              <w:jc w:val="both"/>
              <w:rPr>
                <w:rFonts w:cs="Arial"/>
                <w:b/>
                <w:i/>
                <w:noProof/>
              </w:rPr>
            </w:pPr>
            <w:r>
              <w:rPr>
                <w:b/>
                <w:i/>
                <w:noProof/>
              </w:rPr>
              <w:t>ONE PAGE MAXIMUM</w:t>
            </w:r>
          </w:p>
          <w:p w:rsidR="00B32A2A" w:rsidRPr="00B32A2A" w:rsidRDefault="00B32A2A" w:rsidP="00B32A2A">
            <w:pPr>
              <w:rPr>
                <w:rFonts w:cs="Arial"/>
                <w:b/>
                <w:i/>
                <w:noProof/>
              </w:rPr>
            </w:pPr>
          </w:p>
        </w:tc>
      </w:tr>
    </w:tbl>
    <w:p w:rsidR="00B32A2A" w:rsidRPr="00B32A2A" w:rsidRDefault="00B32A2A" w:rsidP="00B32A2A">
      <w:pPr>
        <w:spacing w:after="0" w:line="240" w:lineRule="auto"/>
        <w:jc w:val="both"/>
        <w:rPr>
          <w:rFonts w:cs="Arial"/>
          <w:noProof/>
        </w:rPr>
      </w:pPr>
    </w:p>
    <w:p w:rsidR="00B32A2A" w:rsidRPr="00B32A2A" w:rsidRDefault="00B32A2A" w:rsidP="00B32A2A">
      <w:pPr>
        <w:spacing w:after="0" w:line="240" w:lineRule="auto"/>
        <w:jc w:val="both"/>
        <w:rPr>
          <w:rFonts w:cs="Arial"/>
          <w:noProof/>
        </w:rPr>
      </w:pPr>
      <w:r>
        <w:t>Monitoring and evaluation system</w:t>
      </w:r>
    </w:p>
    <w:p w:rsidR="00B32A2A" w:rsidRPr="00B32A2A" w:rsidRDefault="00B32A2A" w:rsidP="00B32A2A">
      <w:pPr>
        <w:spacing w:after="0" w:line="240" w:lineRule="auto"/>
        <w:jc w:val="both"/>
        <w:rPr>
          <w:rFonts w:cs="Arial"/>
          <w:noProof/>
        </w:rPr>
      </w:pPr>
      <w:r>
        <w:lastRenderedPageBreak/>
        <w:t xml:space="preserve">The health sector has a monitoring and evaluation manual (2011-2015), a reference document for all players involved in implementing the HDP. </w:t>
      </w:r>
    </w:p>
    <w:p w:rsidR="00B32A2A" w:rsidRPr="00B32A2A" w:rsidRDefault="00B32A2A" w:rsidP="00B32A2A">
      <w:pPr>
        <w:spacing w:after="0" w:line="240" w:lineRule="auto"/>
        <w:rPr>
          <w:rFonts w:cs="Arial"/>
          <w:noProof/>
        </w:rPr>
      </w:pPr>
      <w:r>
        <w:t>This manual specifies the composition, responsibilities and operations of the monitoring and evaluation entities for the HDP at the different levels of the health system. The manual determines the indicators (of which there are 45) that allow for performance within the sector to be evaluated, how they are calculated, how frequently they occur, data collection required, and its source for verification. This document integrates the objectives and indicators specific to immunization: the number of children fully immunized is set at 75% for 2015 and the rate of Penta 3 coverage is set at 95% for 2015.</w:t>
      </w:r>
    </w:p>
    <w:p w:rsidR="00B32A2A" w:rsidRPr="00B32A2A" w:rsidRDefault="00B32A2A" w:rsidP="00B32A2A">
      <w:pPr>
        <w:spacing w:after="0" w:line="240" w:lineRule="auto"/>
        <w:rPr>
          <w:rFonts w:cs="Arial"/>
          <w:noProof/>
        </w:rPr>
      </w:pPr>
    </w:p>
    <w:p w:rsidR="00B32A2A" w:rsidRPr="00B32A2A" w:rsidRDefault="00B32A2A" w:rsidP="00B32A2A">
      <w:pPr>
        <w:spacing w:after="0" w:line="240" w:lineRule="auto"/>
        <w:jc w:val="both"/>
        <w:rPr>
          <w:rFonts w:cs="Arial"/>
          <w:noProof/>
        </w:rPr>
      </w:pPr>
      <w:r>
        <w:t>The National Health Committee (CNS), chaired by the Minister of Public Health and the Nati</w:t>
      </w:r>
      <w:r w:rsidR="001F248A">
        <w:t xml:space="preserve">onal Technical Health Committee </w:t>
      </w:r>
      <w:r>
        <w:t>(CTNS) which evaluate and validate the Strategic Plans and their Annual Actions Plans (AAP), meets one time per year, at the end of the fourth quarter of each year, and all parties involved participate at this national assembly. These two entities involve the full participation of the TFPs and the CSOs and also have representation at the district and regional levels.</w:t>
      </w:r>
    </w:p>
    <w:p w:rsidR="00B32A2A" w:rsidRPr="00B32A2A" w:rsidRDefault="00B32A2A" w:rsidP="00B32A2A">
      <w:pPr>
        <w:spacing w:after="0" w:line="240" w:lineRule="auto"/>
        <w:jc w:val="both"/>
        <w:rPr>
          <w:rFonts w:cs="Arial"/>
          <w:noProof/>
        </w:rPr>
      </w:pPr>
    </w:p>
    <w:p w:rsidR="00B32A2A" w:rsidRPr="00B32A2A" w:rsidRDefault="00B32A2A" w:rsidP="00B32A2A">
      <w:pPr>
        <w:spacing w:after="0" w:line="240" w:lineRule="auto"/>
        <w:jc w:val="both"/>
        <w:rPr>
          <w:rFonts w:cs="Arial"/>
          <w:noProof/>
        </w:rPr>
      </w:pPr>
      <w:r>
        <w:t xml:space="preserve">At the national level, each review is made up of a joint field mission followed by the annual meetings of the CTNS and the CNS to address performance analyses of the different facilities using the AAP. </w:t>
      </w:r>
    </w:p>
    <w:p w:rsidR="00B32A2A" w:rsidRPr="00B32A2A" w:rsidRDefault="00B32A2A" w:rsidP="00B32A2A">
      <w:pPr>
        <w:spacing w:after="0" w:line="240" w:lineRule="auto"/>
        <w:jc w:val="both"/>
        <w:rPr>
          <w:rFonts w:cs="Arial"/>
          <w:noProof/>
        </w:rPr>
      </w:pPr>
    </w:p>
    <w:p w:rsidR="00B32A2A" w:rsidRPr="00B32A2A" w:rsidRDefault="00B32A2A" w:rsidP="00B32A2A">
      <w:pPr>
        <w:jc w:val="both"/>
        <w:rPr>
          <w:rFonts w:cs="Arial"/>
          <w:noProof/>
        </w:rPr>
      </w:pPr>
      <w:r>
        <w:t xml:space="preserve">As regards scheduling, the HDP monitoring and evaluation reviews are held for each level of the health system during the first half of the year and again at the end of the year. These reviews take place with the full participation of the TFPs, government representatives, the community, civil society organizations and private entities. During these reviews, the performance of the EPI is also assessed. Even though GAVI contributes to the Common Funds, its participation is missed during the review process and would be welcome. At the peripheral health facility level, there is a quarterly performance evaluation using monitoring that supplements the district-level review and a self-evaluation by the IHCs that uses the health chart checklist.    </w:t>
      </w:r>
    </w:p>
    <w:p w:rsidR="00B32A2A" w:rsidRPr="00B32A2A" w:rsidRDefault="00B32A2A" w:rsidP="00B32A2A">
      <w:pPr>
        <w:spacing w:after="0" w:line="240" w:lineRule="auto"/>
        <w:jc w:val="both"/>
        <w:rPr>
          <w:rFonts w:cs="Arial"/>
          <w:noProof/>
        </w:rPr>
      </w:pPr>
      <w:r>
        <w:t>During these reviews, AAP implementation is assessed as is evolution of the 45 HDP indicators, two of which are related to immunization (Penta3 and the number of children fully immunized). The data used to calculate these indicators are obtained from the monitoring that takes place at the health center level.</w:t>
      </w:r>
    </w:p>
    <w:p w:rsidR="00B32A2A" w:rsidRPr="00B32A2A" w:rsidRDefault="00B32A2A" w:rsidP="00B32A2A">
      <w:pPr>
        <w:spacing w:after="0" w:line="240" w:lineRule="auto"/>
        <w:jc w:val="both"/>
        <w:rPr>
          <w:rFonts w:cs="Arial"/>
          <w:noProof/>
        </w:rPr>
      </w:pPr>
    </w:p>
    <w:p w:rsidR="00B32A2A" w:rsidRPr="00B32A2A" w:rsidRDefault="00B32A2A" w:rsidP="00B32A2A">
      <w:pPr>
        <w:spacing w:after="0" w:line="240" w:lineRule="auto"/>
        <w:jc w:val="both"/>
        <w:rPr>
          <w:rFonts w:cs="Arial"/>
          <w:noProof/>
        </w:rPr>
      </w:pPr>
      <w:r>
        <w:t xml:space="preserve">Related to immunization, the appropriate parts of the Ministry of Public Health and the ICC, with technical support from the EPI, are responsible for monitoring and evaluation of the program's performance in compliance with the indicators noted in the AAP. </w:t>
      </w:r>
    </w:p>
    <w:p w:rsidR="00B32A2A" w:rsidRPr="00B32A2A" w:rsidRDefault="00B32A2A" w:rsidP="00B32A2A">
      <w:pPr>
        <w:spacing w:after="0" w:line="240" w:lineRule="auto"/>
        <w:jc w:val="both"/>
        <w:rPr>
          <w:rFonts w:cs="Arial"/>
          <w:noProof/>
        </w:rPr>
      </w:pPr>
    </w:p>
    <w:p w:rsidR="00B32A2A" w:rsidRPr="00B32A2A" w:rsidRDefault="00B32A2A" w:rsidP="00B32A2A">
      <w:pPr>
        <w:spacing w:after="0" w:line="240" w:lineRule="auto"/>
        <w:jc w:val="both"/>
        <w:rPr>
          <w:rFonts w:cs="Arial"/>
          <w:noProof/>
        </w:rPr>
      </w:pPr>
      <w:r>
        <w:t>At the peripheral level, the Regional Public Health Directors and District Executive Teams are responsible for performing the first level of activity monitoring as well as program performance evaluations in their respective regions and districts.</w:t>
      </w:r>
    </w:p>
    <w:p w:rsidR="00B32A2A" w:rsidRPr="00B32A2A" w:rsidRDefault="00B32A2A" w:rsidP="00B32A2A">
      <w:pPr>
        <w:spacing w:after="0" w:line="240" w:lineRule="auto"/>
        <w:jc w:val="both"/>
        <w:rPr>
          <w:rFonts w:cs="Arial"/>
          <w:noProof/>
        </w:rPr>
      </w:pPr>
    </w:p>
    <w:p w:rsidR="00B32A2A" w:rsidRPr="00B32A2A" w:rsidRDefault="00B32A2A" w:rsidP="00B32A2A">
      <w:pPr>
        <w:spacing w:after="0" w:line="240" w:lineRule="auto"/>
        <w:jc w:val="both"/>
        <w:rPr>
          <w:rFonts w:cs="Arial"/>
          <w:noProof/>
        </w:rPr>
      </w:pPr>
      <w:r>
        <w:t>The mechanisms for monitoring and evaluation depend on NHIS, on the different sub-systems for collecting and analyzing data which have been implemented within the programs and certain surveys.</w:t>
      </w:r>
    </w:p>
    <w:p w:rsidR="00B32A2A" w:rsidRPr="00B32A2A" w:rsidRDefault="00B32A2A" w:rsidP="00B32A2A">
      <w:pPr>
        <w:spacing w:after="0" w:line="240" w:lineRule="auto"/>
        <w:jc w:val="both"/>
        <w:rPr>
          <w:rFonts w:cs="Arial"/>
          <w:noProof/>
        </w:rPr>
      </w:pPr>
    </w:p>
    <w:p w:rsidR="00B32A2A" w:rsidRPr="00B32A2A" w:rsidRDefault="00B32A2A" w:rsidP="00B32A2A">
      <w:pPr>
        <w:spacing w:after="0" w:line="240" w:lineRule="auto"/>
        <w:jc w:val="both"/>
        <w:rPr>
          <w:rFonts w:cs="Arial"/>
          <w:noProof/>
        </w:rPr>
      </w:pPr>
      <w:r>
        <w:t>A mid-term evaluation and a final evaluation are planned for the 2011-2015 HDP as well as a JANS evaluation for the 2016-2020 HDP. At this time, a monitoring and evaluation review specific to the 2016-2020 HDP will be planned and will integrate additional essential immunization indicators.</w:t>
      </w:r>
    </w:p>
    <w:p w:rsidR="00B32A2A" w:rsidRPr="00B32A2A" w:rsidRDefault="00B32A2A" w:rsidP="00B32A2A">
      <w:pPr>
        <w:spacing w:after="0" w:line="240" w:lineRule="auto"/>
        <w:jc w:val="both"/>
        <w:rPr>
          <w:noProof/>
        </w:rPr>
      </w:pPr>
      <w:r>
        <w:br/>
      </w:r>
    </w:p>
    <w:tbl>
      <w:tblPr>
        <w:tblpPr w:leftFromText="141" w:rightFromText="141" w:vertAnchor="text" w:horzAnchor="margin" w:tblpY="-143"/>
        <w:tblW w:w="1034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48"/>
      </w:tblGrid>
      <w:tr w:rsidR="00B32A2A" w:rsidRPr="00B32A2A" w:rsidTr="00B32A2A">
        <w:trPr>
          <w:trHeight w:val="65"/>
        </w:trPr>
        <w:tc>
          <w:tcPr>
            <w:tcW w:w="10348" w:type="dxa"/>
            <w:shd w:val="clear" w:color="auto" w:fill="006460"/>
          </w:tcPr>
          <w:p w:rsidR="00B32A2A" w:rsidRPr="00B32A2A" w:rsidRDefault="00B32A2A" w:rsidP="00B32A2A">
            <w:pPr>
              <w:pStyle w:val="Heading2"/>
              <w:rPr>
                <w:rFonts w:ascii="Arial" w:hAnsi="Arial" w:cs="Arial"/>
                <w:noProof/>
                <w:color w:val="auto"/>
                <w:sz w:val="22"/>
                <w:szCs w:val="22"/>
              </w:rPr>
            </w:pPr>
            <w:r>
              <w:lastRenderedPageBreak/>
              <w:br w:type="page"/>
            </w:r>
            <w:bookmarkStart w:id="37" w:name="_Toc346116640"/>
            <w:bookmarkStart w:id="38" w:name="_Toc381123266"/>
            <w:bookmarkStart w:id="39" w:name="_Toc381566356"/>
            <w:r>
              <w:rPr>
                <w:rFonts w:ascii="Arial" w:hAnsi="Arial"/>
                <w:noProof/>
                <w:color w:val="auto"/>
                <w:sz w:val="22"/>
              </w:rPr>
              <w:t xml:space="preserve">5. </w:t>
            </w:r>
            <w:bookmarkStart w:id="40" w:name="_Toc349297135"/>
            <w:bookmarkStart w:id="41" w:name="_Toc358399418"/>
            <w:r>
              <w:rPr>
                <w:rFonts w:ascii="Arial" w:hAnsi="Arial"/>
                <w:noProof/>
                <w:color w:val="auto"/>
                <w:sz w:val="22"/>
              </w:rPr>
              <w:t>Health Systems Bottlenecks to Achieving Immunization Outcomes</w:t>
            </w:r>
            <w:bookmarkEnd w:id="37"/>
            <w:bookmarkEnd w:id="38"/>
            <w:bookmarkEnd w:id="39"/>
            <w:bookmarkEnd w:id="40"/>
            <w:bookmarkEnd w:id="41"/>
          </w:p>
        </w:tc>
      </w:tr>
      <w:tr w:rsidR="00B32A2A" w:rsidRPr="00B32A2A" w:rsidTr="00B32A2A">
        <w:tc>
          <w:tcPr>
            <w:tcW w:w="10348" w:type="dxa"/>
            <w:shd w:val="clear" w:color="auto" w:fill="FFFFFF"/>
          </w:tcPr>
          <w:p w:rsidR="00B32A2A" w:rsidRPr="00B32A2A" w:rsidRDefault="00B32A2A" w:rsidP="00B32A2A">
            <w:pPr>
              <w:spacing w:after="0"/>
              <w:jc w:val="both"/>
              <w:rPr>
                <w:rFonts w:cs="Arial"/>
                <w:i/>
                <w:noProof/>
              </w:rPr>
            </w:pPr>
            <w:r>
              <w:rPr>
                <w:i/>
                <w:noProof/>
              </w:rPr>
              <w:t xml:space="preserve">This section will be used to understand the main bottlenecks affecting health system performance. The analysis here underpins the application, ensuring the proposed activities are designed to address the bottlenecks. </w:t>
            </w:r>
          </w:p>
          <w:p w:rsidR="00B32A2A" w:rsidRPr="00B32A2A" w:rsidRDefault="00B32A2A" w:rsidP="00B32A2A">
            <w:pPr>
              <w:spacing w:after="0"/>
              <w:jc w:val="both"/>
              <w:rPr>
                <w:rFonts w:cs="Arial"/>
                <w:i/>
                <w:noProof/>
              </w:rPr>
            </w:pPr>
            <w:r>
              <w:rPr>
                <w:i/>
                <w:noProof/>
              </w:rPr>
              <w:t>→ Please describe key health and immunization systems constraints at national, sub-national and community levels preventing your country from improving immunization outcomes. Consider constraints to providing services to specific population groups, such as the unreached, marginalized or otherwise disadvantaged populations. The country is also asked to consider gender related barriers to accessing quality services.</w:t>
            </w:r>
          </w:p>
          <w:p w:rsidR="00B32A2A" w:rsidRPr="00B32A2A" w:rsidRDefault="00B32A2A" w:rsidP="00B32A2A">
            <w:pPr>
              <w:spacing w:after="0"/>
              <w:jc w:val="both"/>
              <w:rPr>
                <w:rFonts w:cs="Arial"/>
                <w:i/>
                <w:noProof/>
              </w:rPr>
            </w:pPr>
            <w:r>
              <w:rPr>
                <w:i/>
                <w:noProof/>
              </w:rPr>
              <w:t xml:space="preserve">In order to keep this section concise, please summarizes the key elements in the context of the HSS support being asked for, providing a reference to the relevant section in the National Health Strategy/Plan for further detail. </w:t>
            </w:r>
          </w:p>
          <w:p w:rsidR="00B32A2A" w:rsidRPr="00B32A2A" w:rsidRDefault="00B32A2A" w:rsidP="00B32A2A">
            <w:pPr>
              <w:spacing w:after="0"/>
              <w:jc w:val="both"/>
              <w:rPr>
                <w:rFonts w:cs="Arial"/>
                <w:i/>
                <w:noProof/>
              </w:rPr>
            </w:pPr>
            <w:r>
              <w:rPr>
                <w:i/>
                <w:noProof/>
              </w:rPr>
              <w:t>→ Please refer to bottlenecks which impact gender and equity-related access to immunization.</w:t>
            </w:r>
          </w:p>
          <w:p w:rsidR="00B32A2A" w:rsidRPr="00B32A2A" w:rsidRDefault="00B32A2A" w:rsidP="00B32A2A">
            <w:pPr>
              <w:spacing w:after="0"/>
              <w:jc w:val="both"/>
              <w:rPr>
                <w:rFonts w:cs="Arial"/>
                <w:i/>
                <w:noProof/>
              </w:rPr>
            </w:pPr>
            <w:r>
              <w:rPr>
                <w:i/>
                <w:noProof/>
              </w:rPr>
              <w:t>→ Please reference the analytical work that led to identification of the bottlenecks.</w:t>
            </w:r>
          </w:p>
          <w:p w:rsidR="00B32A2A" w:rsidRPr="00B32A2A" w:rsidRDefault="00B32A2A" w:rsidP="00B32A2A">
            <w:pPr>
              <w:spacing w:after="0"/>
              <w:jc w:val="both"/>
              <w:rPr>
                <w:rFonts w:cs="Arial"/>
                <w:i/>
                <w:noProof/>
              </w:rPr>
            </w:pPr>
            <w:r>
              <w:rPr>
                <w:i/>
                <w:noProof/>
              </w:rPr>
              <w:t>→ Describe the bottlenecks identified in any new vaccine proposals submitted to GAVI, the National Health Plan, and any recent health sector assessments such as the Effective Vaccine Management (EVM) assessment or Post Introduction Evaluation (PIE).</w:t>
            </w:r>
          </w:p>
          <w:p w:rsidR="00B32A2A" w:rsidRPr="00B32A2A" w:rsidRDefault="00B32A2A" w:rsidP="00B32A2A">
            <w:pPr>
              <w:spacing w:after="0"/>
              <w:jc w:val="both"/>
              <w:rPr>
                <w:rFonts w:cs="Arial"/>
                <w:i/>
                <w:noProof/>
              </w:rPr>
            </w:pPr>
            <w:r>
              <w:rPr>
                <w:i/>
                <w:noProof/>
              </w:rPr>
              <w:t>→ Which of the above-specified bottlenecks will be addressed by the current proposal? Which bottlenecks are addressed by other national or externally supported programs?</w:t>
            </w:r>
          </w:p>
        </w:tc>
      </w:tr>
      <w:tr w:rsidR="00B32A2A" w:rsidRPr="00B32A2A" w:rsidTr="00B32A2A">
        <w:trPr>
          <w:trHeight w:val="278"/>
        </w:trPr>
        <w:tc>
          <w:tcPr>
            <w:tcW w:w="10348" w:type="dxa"/>
            <w:shd w:val="clear" w:color="auto" w:fill="FFFFFF"/>
          </w:tcPr>
          <w:p w:rsidR="00B32A2A" w:rsidRPr="00B32A2A" w:rsidRDefault="00B32A2A" w:rsidP="00B32A2A">
            <w:pPr>
              <w:spacing w:before="120" w:after="120"/>
              <w:jc w:val="both"/>
              <w:rPr>
                <w:rFonts w:cs="Arial"/>
                <w:b/>
                <w:i/>
                <w:noProof/>
              </w:rPr>
            </w:pPr>
            <w:r>
              <w:rPr>
                <w:b/>
                <w:i/>
                <w:noProof/>
              </w:rPr>
              <w:t>FOUR PAGES MAXIMUM</w:t>
            </w:r>
          </w:p>
          <w:p w:rsidR="00B32A2A" w:rsidRPr="00B32A2A" w:rsidRDefault="00B32A2A" w:rsidP="00B32A2A">
            <w:pPr>
              <w:rPr>
                <w:rFonts w:cs="Arial"/>
                <w:b/>
                <w:noProof/>
              </w:rPr>
            </w:pPr>
            <w:r>
              <w:rPr>
                <w:b/>
                <w:noProof/>
              </w:rPr>
              <w:t xml:space="preserve">1. Key health system constraints </w:t>
            </w:r>
          </w:p>
          <w:p w:rsidR="00B32A2A" w:rsidRPr="00B32A2A" w:rsidRDefault="00B32A2A" w:rsidP="00B32A2A">
            <w:pPr>
              <w:widowControl/>
              <w:spacing w:after="0" w:line="240" w:lineRule="auto"/>
              <w:jc w:val="both"/>
              <w:rPr>
                <w:rFonts w:cs="Arial"/>
                <w:noProof/>
              </w:rPr>
            </w:pPr>
            <w:r>
              <w:t>Identification of bottlenecks was made using the documents listed below: HDP, cMYP, Roadmap from immunization general meeting, integrated strategic communication plan, national plans for introducing new immunizations (rotavirus, pneumococcus, HPV).</w:t>
            </w:r>
          </w:p>
          <w:p w:rsidR="00B32A2A" w:rsidRPr="00B32A2A" w:rsidRDefault="00B32A2A" w:rsidP="00B32A2A">
            <w:pPr>
              <w:widowControl/>
              <w:spacing w:after="0" w:line="240" w:lineRule="auto"/>
              <w:jc w:val="both"/>
              <w:rPr>
                <w:rFonts w:cs="Arial"/>
                <w:noProof/>
              </w:rPr>
            </w:pPr>
          </w:p>
          <w:p w:rsidR="00B32A2A" w:rsidRPr="00B32A2A" w:rsidRDefault="00B32A2A" w:rsidP="00B32A2A">
            <w:pPr>
              <w:jc w:val="both"/>
              <w:rPr>
                <w:rFonts w:cs="Arial"/>
                <w:noProof/>
              </w:rPr>
            </w:pPr>
            <w:r>
              <w:t>The main areas that have blockages are listed below according to the level in which they have been identified:</w:t>
            </w:r>
          </w:p>
          <w:p w:rsidR="00B32A2A" w:rsidRPr="00B32A2A" w:rsidRDefault="00B32A2A" w:rsidP="00B32A2A">
            <w:pPr>
              <w:widowControl/>
              <w:numPr>
                <w:ilvl w:val="0"/>
                <w:numId w:val="25"/>
              </w:numPr>
              <w:tabs>
                <w:tab w:val="clear" w:pos="720"/>
              </w:tabs>
              <w:spacing w:after="0" w:line="240" w:lineRule="auto"/>
              <w:ind w:left="360"/>
              <w:jc w:val="both"/>
              <w:rPr>
                <w:rFonts w:cs="Arial"/>
                <w:noProof/>
              </w:rPr>
            </w:pPr>
            <w:r>
              <w:t>At the national level:</w:t>
            </w:r>
          </w:p>
          <w:p w:rsidR="00B32A2A" w:rsidRPr="00B32A2A" w:rsidRDefault="00B32A2A" w:rsidP="00B32A2A">
            <w:pPr>
              <w:widowControl/>
              <w:numPr>
                <w:ilvl w:val="1"/>
                <w:numId w:val="25"/>
              </w:numPr>
              <w:tabs>
                <w:tab w:val="clear" w:pos="1440"/>
              </w:tabs>
              <w:spacing w:after="0" w:line="240" w:lineRule="auto"/>
              <w:ind w:left="709"/>
              <w:jc w:val="both"/>
              <w:rPr>
                <w:rFonts w:cs="Arial"/>
                <w:noProof/>
              </w:rPr>
            </w:pPr>
            <w:r>
              <w:t>Inadequate equitable health coverage with regard to access to quality health services;</w:t>
            </w:r>
          </w:p>
          <w:p w:rsidR="00B32A2A" w:rsidRPr="00B32A2A" w:rsidRDefault="00B32A2A" w:rsidP="00B32A2A">
            <w:pPr>
              <w:widowControl/>
              <w:numPr>
                <w:ilvl w:val="1"/>
                <w:numId w:val="25"/>
              </w:numPr>
              <w:tabs>
                <w:tab w:val="clear" w:pos="1440"/>
              </w:tabs>
              <w:spacing w:after="0" w:line="240" w:lineRule="auto"/>
              <w:ind w:left="709"/>
              <w:jc w:val="both"/>
              <w:rPr>
                <w:rFonts w:cs="Arial"/>
                <w:noProof/>
              </w:rPr>
            </w:pPr>
            <w:r>
              <w:t>Inadequate human resources from both quantitative and qualitative perspectives, as well as their inequitable distribution throughout the country and their disparity between rural and urban areas.</w:t>
            </w:r>
          </w:p>
          <w:p w:rsidR="00B32A2A" w:rsidRPr="00B32A2A" w:rsidRDefault="00B32A2A" w:rsidP="00B32A2A">
            <w:pPr>
              <w:widowControl/>
              <w:numPr>
                <w:ilvl w:val="1"/>
                <w:numId w:val="25"/>
              </w:numPr>
              <w:tabs>
                <w:tab w:val="clear" w:pos="1440"/>
              </w:tabs>
              <w:spacing w:after="0" w:line="240" w:lineRule="auto"/>
              <w:ind w:left="709"/>
              <w:jc w:val="both"/>
              <w:rPr>
                <w:rFonts w:cs="Arial"/>
                <w:noProof/>
              </w:rPr>
            </w:pPr>
            <w:r>
              <w:t>Districts' low use of health workers made available to them;</w:t>
            </w:r>
          </w:p>
          <w:p w:rsidR="00B32A2A" w:rsidRPr="00B32A2A" w:rsidRDefault="00B32A2A" w:rsidP="00B32A2A">
            <w:pPr>
              <w:widowControl/>
              <w:numPr>
                <w:ilvl w:val="1"/>
                <w:numId w:val="25"/>
              </w:numPr>
              <w:tabs>
                <w:tab w:val="clear" w:pos="1440"/>
              </w:tabs>
              <w:spacing w:after="0" w:line="240" w:lineRule="auto"/>
              <w:ind w:left="709"/>
              <w:jc w:val="both"/>
              <w:rPr>
                <w:rFonts w:cs="Arial"/>
                <w:noProof/>
              </w:rPr>
            </w:pPr>
            <w:r>
              <w:t>Weak capacity of health information system to retain monitoring and evaluation results information;</w:t>
            </w:r>
          </w:p>
          <w:p w:rsidR="00B32A2A" w:rsidRPr="00B32A2A" w:rsidRDefault="00B32A2A" w:rsidP="00B32A2A">
            <w:pPr>
              <w:widowControl/>
              <w:numPr>
                <w:ilvl w:val="1"/>
                <w:numId w:val="25"/>
              </w:numPr>
              <w:tabs>
                <w:tab w:val="clear" w:pos="1440"/>
              </w:tabs>
              <w:spacing w:after="0" w:line="240" w:lineRule="auto"/>
              <w:ind w:left="709"/>
              <w:jc w:val="both"/>
              <w:rPr>
                <w:rFonts w:cs="Arial"/>
                <w:noProof/>
              </w:rPr>
            </w:pPr>
            <w:r>
              <w:t>Inadequate support for data collection;</w:t>
            </w:r>
          </w:p>
          <w:p w:rsidR="00B32A2A" w:rsidRPr="00B32A2A" w:rsidRDefault="00B32A2A" w:rsidP="00B32A2A">
            <w:pPr>
              <w:widowControl/>
              <w:numPr>
                <w:ilvl w:val="1"/>
                <w:numId w:val="25"/>
              </w:numPr>
              <w:tabs>
                <w:tab w:val="clear" w:pos="1440"/>
              </w:tabs>
              <w:spacing w:after="0" w:line="240" w:lineRule="auto"/>
              <w:ind w:left="709"/>
              <w:jc w:val="both"/>
              <w:rPr>
                <w:rFonts w:cs="Arial"/>
                <w:noProof/>
              </w:rPr>
            </w:pPr>
            <w:r>
              <w:t>Low level of growth in healthcare research;</w:t>
            </w:r>
          </w:p>
          <w:p w:rsidR="00B32A2A" w:rsidRPr="00B32A2A" w:rsidRDefault="00B32A2A" w:rsidP="00B32A2A">
            <w:pPr>
              <w:widowControl/>
              <w:numPr>
                <w:ilvl w:val="1"/>
                <w:numId w:val="25"/>
              </w:numPr>
              <w:tabs>
                <w:tab w:val="clear" w:pos="1440"/>
              </w:tabs>
              <w:spacing w:after="0" w:line="240" w:lineRule="auto"/>
              <w:ind w:left="709"/>
              <w:jc w:val="both"/>
              <w:rPr>
                <w:rFonts w:cs="Arial"/>
                <w:noProof/>
              </w:rPr>
            </w:pPr>
            <w:r>
              <w:t>Under funding of sector and lack of attention given to financial protection of users and to health inequalities that exist between rural and urban areas;</w:t>
            </w:r>
          </w:p>
          <w:p w:rsidR="00B32A2A" w:rsidRPr="00B32A2A" w:rsidRDefault="00B32A2A" w:rsidP="00B32A2A">
            <w:pPr>
              <w:widowControl/>
              <w:numPr>
                <w:ilvl w:val="1"/>
                <w:numId w:val="25"/>
              </w:numPr>
              <w:tabs>
                <w:tab w:val="clear" w:pos="1440"/>
              </w:tabs>
              <w:spacing w:after="0" w:line="240" w:lineRule="auto"/>
              <w:ind w:left="709"/>
              <w:jc w:val="both"/>
              <w:rPr>
                <w:rFonts w:cs="Arial"/>
                <w:noProof/>
              </w:rPr>
            </w:pPr>
            <w:r>
              <w:t>Delays in reimbursement of costs linked to free health care;</w:t>
            </w:r>
          </w:p>
          <w:p w:rsidR="00B32A2A" w:rsidRPr="00B32A2A" w:rsidRDefault="00B32A2A" w:rsidP="00B32A2A">
            <w:pPr>
              <w:widowControl/>
              <w:numPr>
                <w:ilvl w:val="1"/>
                <w:numId w:val="25"/>
              </w:numPr>
              <w:tabs>
                <w:tab w:val="clear" w:pos="1440"/>
              </w:tabs>
              <w:autoSpaceDE w:val="0"/>
              <w:autoSpaceDN w:val="0"/>
              <w:adjustRightInd w:val="0"/>
              <w:spacing w:before="100" w:beforeAutospacing="1" w:after="100" w:afterAutospacing="1" w:line="360" w:lineRule="auto"/>
              <w:ind w:left="709"/>
              <w:jc w:val="both"/>
              <w:rPr>
                <w:rFonts w:eastAsia="Times New Roman" w:cs="Arial"/>
                <w:noProof/>
              </w:rPr>
            </w:pPr>
            <w:r>
              <w:t>Significant contribution by households in the funding of health care;</w:t>
            </w:r>
          </w:p>
          <w:p w:rsidR="00B32A2A" w:rsidRPr="00B32A2A" w:rsidRDefault="00B32A2A" w:rsidP="00B32A2A">
            <w:pPr>
              <w:widowControl/>
              <w:numPr>
                <w:ilvl w:val="1"/>
                <w:numId w:val="25"/>
              </w:numPr>
              <w:tabs>
                <w:tab w:val="clear" w:pos="1440"/>
              </w:tabs>
              <w:autoSpaceDE w:val="0"/>
              <w:autoSpaceDN w:val="0"/>
              <w:adjustRightInd w:val="0"/>
              <w:spacing w:before="100" w:beforeAutospacing="1" w:after="100" w:afterAutospacing="1" w:line="360" w:lineRule="auto"/>
              <w:ind w:left="709"/>
              <w:jc w:val="both"/>
              <w:rPr>
                <w:rFonts w:eastAsia="Times New Roman" w:cs="Arial"/>
                <w:noProof/>
              </w:rPr>
            </w:pPr>
            <w:r>
              <w:t>Inadequate funding by the State for the purchase of immunizations and other EPI activities;</w:t>
            </w:r>
          </w:p>
          <w:p w:rsidR="00B32A2A" w:rsidRPr="00B32A2A" w:rsidRDefault="00B32A2A" w:rsidP="00B32A2A">
            <w:pPr>
              <w:widowControl/>
              <w:numPr>
                <w:ilvl w:val="1"/>
                <w:numId w:val="25"/>
              </w:numPr>
              <w:tabs>
                <w:tab w:val="clear" w:pos="1440"/>
              </w:tabs>
              <w:autoSpaceDE w:val="0"/>
              <w:autoSpaceDN w:val="0"/>
              <w:adjustRightInd w:val="0"/>
              <w:spacing w:before="100" w:beforeAutospacing="1" w:after="100" w:afterAutospacing="1" w:line="360" w:lineRule="auto"/>
              <w:ind w:left="993"/>
              <w:jc w:val="both"/>
              <w:rPr>
                <w:rFonts w:cs="Arial"/>
                <w:noProof/>
              </w:rPr>
            </w:pPr>
            <w:r>
              <w:t>Limited logistic capacity to ensure better management of inputs at all levels,</w:t>
            </w:r>
          </w:p>
          <w:p w:rsidR="00B32A2A" w:rsidRPr="00B32A2A" w:rsidRDefault="00B32A2A" w:rsidP="00B32A2A">
            <w:pPr>
              <w:widowControl/>
              <w:numPr>
                <w:ilvl w:val="1"/>
                <w:numId w:val="25"/>
              </w:numPr>
              <w:tabs>
                <w:tab w:val="clear" w:pos="1440"/>
              </w:tabs>
              <w:autoSpaceDE w:val="0"/>
              <w:autoSpaceDN w:val="0"/>
              <w:adjustRightInd w:val="0"/>
              <w:spacing w:before="100" w:beforeAutospacing="1" w:after="100" w:afterAutospacing="1" w:line="360" w:lineRule="auto"/>
              <w:ind w:left="993"/>
              <w:jc w:val="both"/>
              <w:rPr>
                <w:rFonts w:eastAsia="Times New Roman" w:cs="Arial"/>
                <w:noProof/>
              </w:rPr>
            </w:pPr>
            <w:r>
              <w:lastRenderedPageBreak/>
              <w:t>Lack of storage capacity at all levels;</w:t>
            </w:r>
          </w:p>
          <w:p w:rsidR="00B32A2A" w:rsidRPr="00B32A2A" w:rsidRDefault="00B32A2A" w:rsidP="00B32A2A">
            <w:pPr>
              <w:widowControl/>
              <w:numPr>
                <w:ilvl w:val="1"/>
                <w:numId w:val="25"/>
              </w:numPr>
              <w:tabs>
                <w:tab w:val="clear" w:pos="1440"/>
              </w:tabs>
              <w:autoSpaceDE w:val="0"/>
              <w:autoSpaceDN w:val="0"/>
              <w:adjustRightInd w:val="0"/>
              <w:spacing w:before="100" w:beforeAutospacing="1" w:after="100" w:afterAutospacing="1" w:line="360" w:lineRule="auto"/>
              <w:ind w:left="993"/>
              <w:jc w:val="both"/>
              <w:rPr>
                <w:rFonts w:eastAsia="Times New Roman" w:cs="Arial"/>
                <w:noProof/>
              </w:rPr>
            </w:pPr>
            <w:r>
              <w:t>Inadequate management capacity for health programs;</w:t>
            </w:r>
          </w:p>
          <w:p w:rsidR="00B32A2A" w:rsidRPr="00B32A2A" w:rsidRDefault="00B32A2A" w:rsidP="00B32A2A">
            <w:pPr>
              <w:widowControl/>
              <w:numPr>
                <w:ilvl w:val="0"/>
                <w:numId w:val="25"/>
              </w:numPr>
              <w:tabs>
                <w:tab w:val="clear" w:pos="720"/>
              </w:tabs>
              <w:spacing w:after="0" w:line="240" w:lineRule="auto"/>
              <w:ind w:left="360"/>
              <w:jc w:val="both"/>
              <w:rPr>
                <w:rFonts w:cs="Arial"/>
                <w:noProof/>
              </w:rPr>
            </w:pPr>
            <w:r>
              <w:t>At the regional and sub-regional level:</w:t>
            </w:r>
          </w:p>
          <w:p w:rsidR="00B32A2A" w:rsidRPr="00B32A2A" w:rsidRDefault="00B32A2A" w:rsidP="00B32A2A">
            <w:pPr>
              <w:widowControl/>
              <w:numPr>
                <w:ilvl w:val="1"/>
                <w:numId w:val="25"/>
              </w:numPr>
              <w:tabs>
                <w:tab w:val="clear" w:pos="1440"/>
              </w:tabs>
              <w:spacing w:after="0" w:line="240" w:lineRule="auto"/>
              <w:ind w:left="993"/>
              <w:jc w:val="both"/>
              <w:rPr>
                <w:rFonts w:cs="Arial"/>
                <w:noProof/>
              </w:rPr>
            </w:pPr>
            <w:r>
              <w:t>Low community involvement in health-related activities, including immunization,</w:t>
            </w:r>
          </w:p>
          <w:p w:rsidR="00B32A2A" w:rsidRPr="00B32A2A" w:rsidRDefault="00B32A2A" w:rsidP="00B32A2A">
            <w:pPr>
              <w:widowControl/>
              <w:numPr>
                <w:ilvl w:val="1"/>
                <w:numId w:val="25"/>
              </w:numPr>
              <w:tabs>
                <w:tab w:val="clear" w:pos="1440"/>
              </w:tabs>
              <w:spacing w:after="0" w:line="240" w:lineRule="auto"/>
              <w:ind w:left="993"/>
              <w:jc w:val="both"/>
              <w:rPr>
                <w:rFonts w:cs="Arial"/>
                <w:noProof/>
              </w:rPr>
            </w:pPr>
            <w:r>
              <w:t>Inadequate inter personnel awareness and communication within the health sector;</w:t>
            </w:r>
          </w:p>
          <w:p w:rsidR="00B32A2A" w:rsidRPr="00B32A2A" w:rsidRDefault="00B32A2A" w:rsidP="00B32A2A">
            <w:pPr>
              <w:widowControl/>
              <w:numPr>
                <w:ilvl w:val="1"/>
                <w:numId w:val="25"/>
              </w:numPr>
              <w:tabs>
                <w:tab w:val="clear" w:pos="1440"/>
              </w:tabs>
              <w:spacing w:after="0" w:line="240" w:lineRule="auto"/>
              <w:ind w:left="993"/>
              <w:jc w:val="both"/>
              <w:rPr>
                <w:rFonts w:cs="Arial"/>
                <w:noProof/>
              </w:rPr>
            </w:pPr>
            <w:r>
              <w:t>Low quality of care and services, in particular with regard to the reception by and behavior of service providers vis-à-vis patients,</w:t>
            </w:r>
          </w:p>
          <w:p w:rsidR="00B32A2A" w:rsidRPr="00B32A2A" w:rsidRDefault="00B32A2A" w:rsidP="00B32A2A">
            <w:pPr>
              <w:widowControl/>
              <w:numPr>
                <w:ilvl w:val="1"/>
                <w:numId w:val="25"/>
              </w:numPr>
              <w:tabs>
                <w:tab w:val="clear" w:pos="1440"/>
              </w:tabs>
              <w:spacing w:after="0" w:line="240" w:lineRule="auto"/>
              <w:ind w:left="993"/>
              <w:jc w:val="both"/>
              <w:rPr>
                <w:rFonts w:cs="Arial"/>
                <w:noProof/>
              </w:rPr>
            </w:pPr>
            <w:r>
              <w:t xml:space="preserve">Inadequate micro-planning at the ICH level; </w:t>
            </w:r>
          </w:p>
          <w:p w:rsidR="00B32A2A" w:rsidRPr="00B32A2A" w:rsidRDefault="00B32A2A" w:rsidP="00B32A2A">
            <w:pPr>
              <w:widowControl/>
              <w:numPr>
                <w:ilvl w:val="1"/>
                <w:numId w:val="25"/>
              </w:numPr>
              <w:tabs>
                <w:tab w:val="clear" w:pos="1440"/>
              </w:tabs>
              <w:spacing w:after="0" w:line="240" w:lineRule="auto"/>
              <w:ind w:left="993"/>
              <w:jc w:val="both"/>
              <w:rPr>
                <w:rFonts w:cs="Arial"/>
                <w:noProof/>
              </w:rPr>
            </w:pPr>
            <w:r>
              <w:t>Inadequate implementation of decentralized mobile activities;</w:t>
            </w:r>
          </w:p>
          <w:p w:rsidR="00B32A2A" w:rsidRPr="00B32A2A" w:rsidRDefault="00B32A2A" w:rsidP="00B32A2A">
            <w:pPr>
              <w:widowControl/>
              <w:numPr>
                <w:ilvl w:val="1"/>
                <w:numId w:val="25"/>
              </w:numPr>
              <w:tabs>
                <w:tab w:val="clear" w:pos="1440"/>
              </w:tabs>
              <w:spacing w:after="0" w:line="240" w:lineRule="auto"/>
              <w:ind w:left="993"/>
              <w:jc w:val="both"/>
              <w:rPr>
                <w:rFonts w:cs="Arial"/>
                <w:noProof/>
              </w:rPr>
            </w:pPr>
            <w:r>
              <w:t>Inadequate strategies for contacting those in nomadic areas and those that live in areas that are difficult to access (far away, etc.);</w:t>
            </w:r>
          </w:p>
          <w:p w:rsidR="00B32A2A" w:rsidRPr="00B32A2A" w:rsidRDefault="00B32A2A" w:rsidP="00B32A2A">
            <w:pPr>
              <w:widowControl/>
              <w:numPr>
                <w:ilvl w:val="1"/>
                <w:numId w:val="25"/>
              </w:numPr>
              <w:tabs>
                <w:tab w:val="clear" w:pos="1440"/>
              </w:tabs>
              <w:spacing w:after="0" w:line="240" w:lineRule="auto"/>
              <w:ind w:left="993"/>
              <w:jc w:val="both"/>
              <w:rPr>
                <w:rFonts w:cs="Arial"/>
                <w:noProof/>
              </w:rPr>
            </w:pPr>
            <w:r>
              <w:t>Inadequate implementation of revised MPAs in the health huts;</w:t>
            </w:r>
          </w:p>
          <w:p w:rsidR="00B32A2A" w:rsidRPr="00B32A2A" w:rsidRDefault="00B32A2A" w:rsidP="00B32A2A">
            <w:pPr>
              <w:widowControl/>
              <w:numPr>
                <w:ilvl w:val="1"/>
                <w:numId w:val="25"/>
              </w:numPr>
              <w:tabs>
                <w:tab w:val="clear" w:pos="1440"/>
              </w:tabs>
              <w:spacing w:after="0" w:line="240" w:lineRule="auto"/>
              <w:ind w:left="993"/>
              <w:jc w:val="both"/>
              <w:rPr>
                <w:rFonts w:cs="Arial"/>
                <w:noProof/>
              </w:rPr>
            </w:pPr>
            <w:r>
              <w:t>Low participation by civil society organizations with regard to the implementation of health-related activities;</w:t>
            </w:r>
          </w:p>
          <w:p w:rsidR="00B32A2A" w:rsidRPr="00B32A2A" w:rsidRDefault="00B32A2A" w:rsidP="00B32A2A">
            <w:pPr>
              <w:widowControl/>
              <w:numPr>
                <w:ilvl w:val="1"/>
                <w:numId w:val="25"/>
              </w:numPr>
              <w:tabs>
                <w:tab w:val="clear" w:pos="1440"/>
              </w:tabs>
              <w:spacing w:after="0" w:line="240" w:lineRule="auto"/>
              <w:ind w:left="993"/>
              <w:jc w:val="both"/>
              <w:rPr>
                <w:rFonts w:cs="Arial"/>
                <w:noProof/>
              </w:rPr>
            </w:pPr>
            <w:r>
              <w:t>Inadequate equipment maintenance management;</w:t>
            </w:r>
          </w:p>
          <w:p w:rsidR="00B32A2A" w:rsidRPr="00B32A2A" w:rsidRDefault="00B32A2A" w:rsidP="00B32A2A">
            <w:pPr>
              <w:pStyle w:val="StyleTitre2ArialNarrow"/>
              <w:numPr>
                <w:ilvl w:val="1"/>
                <w:numId w:val="25"/>
              </w:numPr>
              <w:tabs>
                <w:tab w:val="clear" w:pos="1440"/>
              </w:tabs>
              <w:spacing w:before="100" w:beforeAutospacing="1" w:after="100" w:afterAutospacing="1" w:line="360" w:lineRule="auto"/>
              <w:ind w:left="993"/>
              <w:jc w:val="both"/>
              <w:rPr>
                <w:rFonts w:ascii="Arial" w:hAnsi="Arial" w:cs="Arial"/>
                <w:noProof/>
                <w:sz w:val="22"/>
                <w:szCs w:val="22"/>
              </w:rPr>
            </w:pPr>
            <w:r>
              <w:rPr>
                <w:rFonts w:ascii="Arial" w:hAnsi="Arial"/>
                <w:noProof/>
                <w:sz w:val="22"/>
              </w:rPr>
              <w:t>Obsolete fleet of motorized vehicles;</w:t>
            </w:r>
          </w:p>
          <w:p w:rsidR="00B32A2A" w:rsidRPr="00B32A2A" w:rsidRDefault="00B32A2A" w:rsidP="00B32A2A">
            <w:pPr>
              <w:pStyle w:val="StyleTitre2ArialNarrow"/>
              <w:numPr>
                <w:ilvl w:val="1"/>
                <w:numId w:val="25"/>
              </w:numPr>
              <w:tabs>
                <w:tab w:val="clear" w:pos="1440"/>
              </w:tabs>
              <w:spacing w:before="100" w:beforeAutospacing="1" w:after="100" w:afterAutospacing="1" w:line="360" w:lineRule="auto"/>
              <w:ind w:left="993"/>
              <w:jc w:val="both"/>
              <w:rPr>
                <w:rFonts w:ascii="Arial" w:hAnsi="Arial" w:cs="Arial"/>
                <w:noProof/>
                <w:sz w:val="22"/>
                <w:szCs w:val="22"/>
              </w:rPr>
            </w:pPr>
            <w:r>
              <w:rPr>
                <w:rFonts w:ascii="Arial" w:hAnsi="Arial"/>
                <w:noProof/>
                <w:sz w:val="22"/>
              </w:rPr>
              <w:t>Inadequate medication procurement, laboratory reagents, supplies and other inputs;</w:t>
            </w:r>
          </w:p>
          <w:p w:rsidR="00B32A2A" w:rsidRPr="00B32A2A" w:rsidRDefault="00B32A2A" w:rsidP="00B32A2A">
            <w:pPr>
              <w:pStyle w:val="StyleTitre2ArialNarrow"/>
              <w:numPr>
                <w:ilvl w:val="1"/>
                <w:numId w:val="25"/>
              </w:numPr>
              <w:tabs>
                <w:tab w:val="clear" w:pos="1440"/>
              </w:tabs>
              <w:spacing w:before="100" w:beforeAutospacing="1" w:afterAutospacing="1"/>
              <w:ind w:left="993"/>
              <w:jc w:val="both"/>
              <w:rPr>
                <w:rFonts w:ascii="Arial" w:hAnsi="Arial" w:cs="Arial"/>
                <w:noProof/>
                <w:sz w:val="22"/>
                <w:szCs w:val="22"/>
              </w:rPr>
            </w:pPr>
            <w:r>
              <w:rPr>
                <w:rFonts w:ascii="Arial" w:hAnsi="Arial"/>
                <w:noProof/>
                <w:sz w:val="22"/>
              </w:rPr>
              <w:t>Not taking into account community data when producing reports;</w:t>
            </w:r>
          </w:p>
          <w:p w:rsidR="00B32A2A" w:rsidRPr="00B32A2A" w:rsidRDefault="00B32A2A" w:rsidP="00B32A2A">
            <w:pPr>
              <w:widowControl/>
              <w:spacing w:after="0" w:line="240" w:lineRule="auto"/>
              <w:ind w:left="360"/>
              <w:jc w:val="both"/>
              <w:rPr>
                <w:rFonts w:cs="Arial"/>
                <w:noProof/>
              </w:rPr>
            </w:pPr>
          </w:p>
          <w:p w:rsidR="00B32A2A" w:rsidRPr="00B32A2A" w:rsidRDefault="00B32A2A" w:rsidP="00B32A2A">
            <w:pPr>
              <w:widowControl/>
              <w:numPr>
                <w:ilvl w:val="0"/>
                <w:numId w:val="25"/>
              </w:numPr>
              <w:tabs>
                <w:tab w:val="clear" w:pos="720"/>
              </w:tabs>
              <w:spacing w:after="0" w:line="240" w:lineRule="auto"/>
              <w:ind w:left="360"/>
              <w:jc w:val="both"/>
              <w:rPr>
                <w:rFonts w:cs="Arial"/>
                <w:noProof/>
              </w:rPr>
            </w:pPr>
            <w:r>
              <w:t>A the community level:</w:t>
            </w:r>
          </w:p>
          <w:p w:rsidR="00B32A2A" w:rsidRPr="00B32A2A" w:rsidRDefault="00B32A2A" w:rsidP="00B32A2A">
            <w:pPr>
              <w:widowControl/>
              <w:numPr>
                <w:ilvl w:val="1"/>
                <w:numId w:val="25"/>
              </w:numPr>
              <w:tabs>
                <w:tab w:val="clear" w:pos="1440"/>
              </w:tabs>
              <w:spacing w:after="0" w:line="240" w:lineRule="auto"/>
              <w:ind w:left="993"/>
              <w:jc w:val="both"/>
              <w:rPr>
                <w:rFonts w:cs="Arial"/>
                <w:noProof/>
              </w:rPr>
            </w:pPr>
            <w:r>
              <w:t>Low community participation in health-related activities, including immunization as well as integrated activities related to child survival;</w:t>
            </w:r>
          </w:p>
          <w:p w:rsidR="00B32A2A" w:rsidRPr="00B32A2A" w:rsidRDefault="00B32A2A" w:rsidP="00B32A2A">
            <w:pPr>
              <w:widowControl/>
              <w:numPr>
                <w:ilvl w:val="1"/>
                <w:numId w:val="25"/>
              </w:numPr>
              <w:tabs>
                <w:tab w:val="clear" w:pos="1440"/>
              </w:tabs>
              <w:spacing w:after="0" w:line="240" w:lineRule="auto"/>
              <w:ind w:left="993"/>
              <w:jc w:val="both"/>
              <w:rPr>
                <w:rFonts w:cs="Arial"/>
                <w:noProof/>
              </w:rPr>
            </w:pPr>
            <w:r>
              <w:t>Socio-cultural factors (taboos, religious considerations, work burden placed on women, etc.);</w:t>
            </w:r>
          </w:p>
          <w:p w:rsidR="00B32A2A" w:rsidRPr="00B32A2A" w:rsidRDefault="00B32A2A" w:rsidP="00B32A2A">
            <w:pPr>
              <w:widowControl/>
              <w:spacing w:after="0" w:line="240" w:lineRule="auto"/>
              <w:jc w:val="both"/>
              <w:rPr>
                <w:rFonts w:cs="Arial"/>
                <w:noProof/>
              </w:rPr>
            </w:pPr>
          </w:p>
          <w:p w:rsidR="00B32A2A" w:rsidRPr="00B32A2A" w:rsidRDefault="00B32A2A" w:rsidP="00B32A2A">
            <w:pPr>
              <w:widowControl/>
              <w:spacing w:after="0" w:line="240" w:lineRule="auto"/>
              <w:jc w:val="both"/>
              <w:rPr>
                <w:rFonts w:cs="Arial"/>
                <w:noProof/>
              </w:rPr>
            </w:pPr>
          </w:p>
          <w:p w:rsidR="00B32A2A" w:rsidRPr="00B32A2A" w:rsidRDefault="00B32A2A" w:rsidP="00B32A2A">
            <w:pPr>
              <w:widowControl/>
              <w:rPr>
                <w:rFonts w:cs="Arial"/>
                <w:noProof/>
              </w:rPr>
            </w:pPr>
            <w:r>
              <w:t>Constraints specific to the introduction of new immunizations, including:</w:t>
            </w:r>
          </w:p>
          <w:p w:rsidR="00B32A2A" w:rsidRPr="00B32A2A" w:rsidRDefault="00B32A2A" w:rsidP="00B32A2A">
            <w:pPr>
              <w:pStyle w:val="ListParagraph"/>
              <w:widowControl/>
              <w:numPr>
                <w:ilvl w:val="0"/>
                <w:numId w:val="45"/>
              </w:numPr>
              <w:rPr>
                <w:rFonts w:cs="Arial"/>
                <w:i w:val="0"/>
                <w:noProof/>
                <w:color w:val="auto"/>
                <w:sz w:val="22"/>
                <w:szCs w:val="22"/>
              </w:rPr>
            </w:pPr>
            <w:r>
              <w:rPr>
                <w:i w:val="0"/>
                <w:noProof/>
                <w:color w:val="auto"/>
                <w:sz w:val="22"/>
              </w:rPr>
              <w:t>socio-cultural factors,</w:t>
            </w:r>
          </w:p>
          <w:p w:rsidR="00B32A2A" w:rsidRPr="00B32A2A" w:rsidRDefault="00B32A2A" w:rsidP="00B32A2A">
            <w:pPr>
              <w:pStyle w:val="ListParagraph"/>
              <w:widowControl/>
              <w:numPr>
                <w:ilvl w:val="0"/>
                <w:numId w:val="45"/>
              </w:numPr>
              <w:rPr>
                <w:rFonts w:cs="Arial"/>
                <w:i w:val="0"/>
                <w:noProof/>
                <w:color w:val="auto"/>
                <w:sz w:val="22"/>
                <w:szCs w:val="22"/>
              </w:rPr>
            </w:pPr>
            <w:r>
              <w:rPr>
                <w:i w:val="0"/>
                <w:noProof/>
                <w:color w:val="auto"/>
                <w:sz w:val="22"/>
              </w:rPr>
              <w:t>inadequate immunization storage capacity,</w:t>
            </w:r>
          </w:p>
          <w:p w:rsidR="00B32A2A" w:rsidRPr="00B32A2A" w:rsidRDefault="00B32A2A" w:rsidP="00B32A2A">
            <w:pPr>
              <w:pStyle w:val="ListParagraph"/>
              <w:widowControl/>
              <w:numPr>
                <w:ilvl w:val="0"/>
                <w:numId w:val="45"/>
              </w:numPr>
              <w:rPr>
                <w:rFonts w:cs="Arial"/>
                <w:i w:val="0"/>
                <w:noProof/>
                <w:color w:val="auto"/>
                <w:sz w:val="22"/>
                <w:szCs w:val="22"/>
              </w:rPr>
            </w:pPr>
            <w:r>
              <w:rPr>
                <w:i w:val="0"/>
                <w:noProof/>
                <w:color w:val="auto"/>
                <w:sz w:val="22"/>
              </w:rPr>
              <w:t>delays in releasing the State's portion of the funds for the procurement of immunizations.</w:t>
            </w:r>
          </w:p>
          <w:p w:rsidR="00B32A2A" w:rsidRPr="00B32A2A" w:rsidRDefault="00B32A2A" w:rsidP="00B32A2A">
            <w:pPr>
              <w:widowControl/>
              <w:rPr>
                <w:rFonts w:cs="Arial"/>
                <w:noProof/>
              </w:rPr>
            </w:pPr>
          </w:p>
          <w:p w:rsidR="00B32A2A" w:rsidRPr="00B32A2A" w:rsidRDefault="00B32A2A" w:rsidP="00B32A2A">
            <w:pPr>
              <w:widowControl/>
              <w:rPr>
                <w:rFonts w:cs="Arial"/>
                <w:noProof/>
              </w:rPr>
            </w:pPr>
            <w:r>
              <w:t>The current proposal will contribute, along with other support, to removing the following bottlenecks:</w:t>
            </w:r>
          </w:p>
          <w:p w:rsidR="00B32A2A" w:rsidRPr="00B32A2A" w:rsidRDefault="00B32A2A" w:rsidP="00B32A2A">
            <w:pPr>
              <w:widowControl/>
              <w:rPr>
                <w:rFonts w:cs="Arial"/>
                <w:noProof/>
              </w:rPr>
            </w:pPr>
            <w:r>
              <w:t>OS1</w:t>
            </w:r>
          </w:p>
          <w:p w:rsidR="00B32A2A" w:rsidRPr="00B32A2A" w:rsidRDefault="00B32A2A" w:rsidP="00B32A2A">
            <w:pPr>
              <w:widowControl/>
              <w:numPr>
                <w:ilvl w:val="1"/>
                <w:numId w:val="25"/>
              </w:numPr>
              <w:spacing w:after="0" w:line="240" w:lineRule="auto"/>
              <w:jc w:val="both"/>
              <w:rPr>
                <w:rFonts w:cs="Arial"/>
                <w:noProof/>
              </w:rPr>
            </w:pPr>
            <w:r>
              <w:t>Inadequate equitable health coverage with regard to access to quality health services;</w:t>
            </w:r>
          </w:p>
          <w:p w:rsidR="00B32A2A" w:rsidRPr="00B32A2A" w:rsidRDefault="00B32A2A" w:rsidP="00B32A2A">
            <w:pPr>
              <w:widowControl/>
              <w:numPr>
                <w:ilvl w:val="1"/>
                <w:numId w:val="25"/>
              </w:numPr>
              <w:spacing w:after="0" w:line="240" w:lineRule="auto"/>
              <w:jc w:val="both"/>
              <w:rPr>
                <w:rFonts w:cs="Arial"/>
                <w:noProof/>
              </w:rPr>
            </w:pPr>
            <w:r>
              <w:t>Inadequate human resources from both quantitative and qualitative perspectives, as well as their inequitable distribution throughout the country and their disparity between rural and urban areas.</w:t>
            </w:r>
          </w:p>
          <w:p w:rsidR="00B32A2A" w:rsidRPr="00B32A2A" w:rsidRDefault="00B32A2A" w:rsidP="00B32A2A">
            <w:pPr>
              <w:widowControl/>
              <w:numPr>
                <w:ilvl w:val="1"/>
                <w:numId w:val="25"/>
              </w:numPr>
              <w:spacing w:after="0" w:line="240" w:lineRule="auto"/>
              <w:jc w:val="both"/>
              <w:rPr>
                <w:rFonts w:cs="Arial"/>
                <w:noProof/>
              </w:rPr>
            </w:pPr>
            <w:r>
              <w:t>Inadequate strategies for contacting those in rural nomadic areas that are difficult to access (far away, etc.);</w:t>
            </w:r>
          </w:p>
          <w:p w:rsidR="00B32A2A" w:rsidRPr="00B32A2A" w:rsidRDefault="00B32A2A" w:rsidP="00B32A2A">
            <w:pPr>
              <w:widowControl/>
              <w:numPr>
                <w:ilvl w:val="1"/>
                <w:numId w:val="25"/>
              </w:numPr>
              <w:spacing w:after="0" w:line="240" w:lineRule="auto"/>
              <w:jc w:val="both"/>
              <w:rPr>
                <w:rFonts w:cs="Arial"/>
                <w:noProof/>
              </w:rPr>
            </w:pPr>
            <w:r>
              <w:t>Inadequate implementation of revised MPAs in the health huts;</w:t>
            </w:r>
          </w:p>
          <w:p w:rsidR="00B32A2A" w:rsidRPr="00B32A2A" w:rsidRDefault="00B32A2A" w:rsidP="00B32A2A">
            <w:pPr>
              <w:pStyle w:val="StyleTitre2ArialNarrow"/>
              <w:numPr>
                <w:ilvl w:val="1"/>
                <w:numId w:val="25"/>
              </w:numPr>
              <w:spacing w:before="100" w:beforeAutospacing="1" w:afterAutospacing="1"/>
              <w:jc w:val="both"/>
              <w:rPr>
                <w:rFonts w:ascii="Arial" w:hAnsi="Arial" w:cs="Arial"/>
                <w:noProof/>
                <w:sz w:val="22"/>
                <w:szCs w:val="22"/>
              </w:rPr>
            </w:pPr>
            <w:r>
              <w:rPr>
                <w:rFonts w:ascii="Arial" w:hAnsi="Arial"/>
                <w:noProof/>
                <w:sz w:val="22"/>
              </w:rPr>
              <w:t>Obsolete fleet of motorized vehicles;</w:t>
            </w:r>
          </w:p>
          <w:p w:rsidR="00B32A2A" w:rsidRPr="00B32A2A" w:rsidRDefault="00B32A2A" w:rsidP="00B32A2A">
            <w:pPr>
              <w:widowControl/>
              <w:numPr>
                <w:ilvl w:val="1"/>
                <w:numId w:val="25"/>
              </w:numPr>
              <w:spacing w:after="0" w:line="240" w:lineRule="auto"/>
              <w:jc w:val="both"/>
              <w:rPr>
                <w:rFonts w:cs="Arial"/>
                <w:noProof/>
              </w:rPr>
            </w:pPr>
            <w:r>
              <w:t>Limited logistic capacity to ensure better management of inputs at all levels;</w:t>
            </w:r>
          </w:p>
          <w:p w:rsidR="00B32A2A" w:rsidRPr="00B32A2A" w:rsidRDefault="00B32A2A" w:rsidP="00B32A2A">
            <w:pPr>
              <w:pStyle w:val="StyleTitre2ArialNarrow"/>
              <w:numPr>
                <w:ilvl w:val="1"/>
                <w:numId w:val="25"/>
              </w:numPr>
              <w:spacing w:before="100" w:beforeAutospacing="1" w:after="100" w:afterAutospacing="1" w:line="360" w:lineRule="auto"/>
              <w:jc w:val="both"/>
              <w:rPr>
                <w:rFonts w:ascii="Arial" w:hAnsi="Arial" w:cs="Arial"/>
                <w:noProof/>
                <w:sz w:val="22"/>
                <w:szCs w:val="22"/>
              </w:rPr>
            </w:pPr>
            <w:r>
              <w:rPr>
                <w:rFonts w:ascii="Arial" w:hAnsi="Arial"/>
                <w:noProof/>
                <w:sz w:val="22"/>
              </w:rPr>
              <w:t xml:space="preserve">Inadequate medication procurement, laboratory reagents, immunization supplies and </w:t>
            </w:r>
            <w:r>
              <w:rPr>
                <w:rFonts w:ascii="Arial" w:hAnsi="Arial"/>
                <w:noProof/>
                <w:sz w:val="22"/>
              </w:rPr>
              <w:lastRenderedPageBreak/>
              <w:t>other inputs;</w:t>
            </w:r>
          </w:p>
          <w:p w:rsidR="00B32A2A" w:rsidRPr="00B32A2A" w:rsidRDefault="00B32A2A" w:rsidP="00B32A2A">
            <w:pPr>
              <w:widowControl/>
              <w:numPr>
                <w:ilvl w:val="1"/>
                <w:numId w:val="25"/>
              </w:numPr>
              <w:spacing w:after="0" w:line="240" w:lineRule="auto"/>
              <w:jc w:val="both"/>
              <w:rPr>
                <w:rFonts w:cs="Arial"/>
                <w:noProof/>
              </w:rPr>
            </w:pPr>
            <w:r>
              <w:t xml:space="preserve">Inadequate micro-planning at the ICH level; </w:t>
            </w:r>
          </w:p>
          <w:p w:rsidR="00B32A2A" w:rsidRPr="00B32A2A" w:rsidRDefault="00B32A2A" w:rsidP="00B32A2A">
            <w:pPr>
              <w:widowControl/>
              <w:spacing w:after="0" w:line="240" w:lineRule="auto"/>
              <w:ind w:left="1440"/>
              <w:jc w:val="both"/>
              <w:rPr>
                <w:rFonts w:cs="Arial"/>
                <w:noProof/>
              </w:rPr>
            </w:pPr>
          </w:p>
          <w:p w:rsidR="00B32A2A" w:rsidRPr="00B32A2A" w:rsidRDefault="00B32A2A" w:rsidP="00B32A2A">
            <w:pPr>
              <w:widowControl/>
              <w:spacing w:after="0" w:line="240" w:lineRule="auto"/>
              <w:jc w:val="both"/>
              <w:rPr>
                <w:rFonts w:cs="Arial"/>
                <w:noProof/>
              </w:rPr>
            </w:pPr>
            <w:r>
              <w:t>OS2</w:t>
            </w:r>
          </w:p>
          <w:p w:rsidR="00B32A2A" w:rsidRPr="00B32A2A" w:rsidRDefault="00B32A2A" w:rsidP="00B32A2A">
            <w:pPr>
              <w:widowControl/>
              <w:numPr>
                <w:ilvl w:val="1"/>
                <w:numId w:val="25"/>
              </w:numPr>
              <w:spacing w:after="0" w:line="240" w:lineRule="auto"/>
              <w:jc w:val="both"/>
              <w:rPr>
                <w:rFonts w:cs="Arial"/>
                <w:noProof/>
              </w:rPr>
            </w:pPr>
            <w:r>
              <w:t>Low participation by civil society organizations with regard to the implementation of health-related activities;</w:t>
            </w:r>
          </w:p>
          <w:p w:rsidR="00B32A2A" w:rsidRPr="00B32A2A" w:rsidRDefault="00B32A2A" w:rsidP="00B32A2A">
            <w:pPr>
              <w:widowControl/>
              <w:numPr>
                <w:ilvl w:val="1"/>
                <w:numId w:val="25"/>
              </w:numPr>
              <w:spacing w:after="0" w:line="240" w:lineRule="auto"/>
              <w:jc w:val="both"/>
              <w:rPr>
                <w:rFonts w:cs="Arial"/>
                <w:noProof/>
              </w:rPr>
            </w:pPr>
            <w:r>
              <w:t>Low community participation in health-related activities, including immunization;</w:t>
            </w:r>
          </w:p>
          <w:p w:rsidR="00B32A2A" w:rsidRPr="00B32A2A" w:rsidRDefault="00B32A2A" w:rsidP="00B32A2A">
            <w:pPr>
              <w:widowControl/>
              <w:numPr>
                <w:ilvl w:val="1"/>
                <w:numId w:val="25"/>
              </w:numPr>
              <w:spacing w:after="0" w:line="240" w:lineRule="auto"/>
              <w:jc w:val="both"/>
              <w:rPr>
                <w:rFonts w:cs="Arial"/>
                <w:noProof/>
              </w:rPr>
            </w:pPr>
            <w:r>
              <w:t>Socio-cultural factors (taboos, religious considerations, work burden placed on women, etc.).</w:t>
            </w:r>
          </w:p>
          <w:p w:rsidR="00B32A2A" w:rsidRPr="00B32A2A" w:rsidRDefault="00B32A2A" w:rsidP="00B32A2A">
            <w:pPr>
              <w:widowControl/>
              <w:spacing w:after="0" w:line="240" w:lineRule="auto"/>
              <w:jc w:val="both"/>
              <w:rPr>
                <w:rFonts w:cs="Arial"/>
                <w:noProof/>
              </w:rPr>
            </w:pPr>
            <w:r>
              <w:t>OS3</w:t>
            </w:r>
          </w:p>
          <w:p w:rsidR="00B32A2A" w:rsidRPr="00B32A2A" w:rsidRDefault="00B32A2A" w:rsidP="00B32A2A">
            <w:pPr>
              <w:pStyle w:val="StyleTitre1ArialNarrow"/>
              <w:numPr>
                <w:ilvl w:val="1"/>
                <w:numId w:val="25"/>
              </w:numPr>
              <w:jc w:val="both"/>
              <w:rPr>
                <w:rFonts w:ascii="Arial" w:hAnsi="Arial" w:cs="Arial"/>
                <w:noProof/>
                <w:sz w:val="22"/>
                <w:szCs w:val="22"/>
              </w:rPr>
            </w:pPr>
            <w:r>
              <w:rPr>
                <w:rFonts w:ascii="Arial" w:hAnsi="Arial"/>
                <w:noProof/>
                <w:sz w:val="22"/>
              </w:rPr>
              <w:t>Poor data quality and their [lack of] permanent availability at different levels;</w:t>
            </w:r>
          </w:p>
          <w:p w:rsidR="00B32A2A" w:rsidRPr="00B32A2A" w:rsidRDefault="00B32A2A" w:rsidP="00B32A2A">
            <w:pPr>
              <w:widowControl/>
              <w:numPr>
                <w:ilvl w:val="1"/>
                <w:numId w:val="25"/>
              </w:numPr>
              <w:spacing w:after="0" w:line="240" w:lineRule="auto"/>
              <w:jc w:val="both"/>
              <w:rPr>
                <w:rFonts w:cs="Arial"/>
                <w:noProof/>
              </w:rPr>
            </w:pPr>
            <w:r>
              <w:t>Inadequate support for data collection;</w:t>
            </w:r>
          </w:p>
          <w:p w:rsidR="00B32A2A" w:rsidRPr="00B32A2A" w:rsidRDefault="00B32A2A" w:rsidP="00B32A2A">
            <w:pPr>
              <w:widowControl/>
              <w:numPr>
                <w:ilvl w:val="1"/>
                <w:numId w:val="25"/>
              </w:numPr>
              <w:spacing w:after="0" w:line="240" w:lineRule="auto"/>
              <w:jc w:val="both"/>
              <w:rPr>
                <w:rFonts w:cs="Arial"/>
                <w:noProof/>
              </w:rPr>
            </w:pPr>
            <w:r>
              <w:t>Weak capacity of health information system to retain monitoring and evaluation results information, specifically as related to immunizations.</w:t>
            </w:r>
          </w:p>
          <w:p w:rsidR="00B32A2A" w:rsidRPr="00B32A2A" w:rsidRDefault="00B32A2A" w:rsidP="00B32A2A">
            <w:pPr>
              <w:widowControl/>
              <w:spacing w:after="0" w:line="240" w:lineRule="auto"/>
              <w:jc w:val="both"/>
              <w:rPr>
                <w:rFonts w:cs="Arial"/>
                <w:noProof/>
              </w:rPr>
            </w:pPr>
            <w:r>
              <w:t>OS4</w:t>
            </w:r>
          </w:p>
          <w:p w:rsidR="00B32A2A" w:rsidRPr="00B32A2A" w:rsidRDefault="00B32A2A" w:rsidP="00B32A2A">
            <w:pPr>
              <w:widowControl/>
              <w:numPr>
                <w:ilvl w:val="1"/>
                <w:numId w:val="25"/>
              </w:numPr>
              <w:autoSpaceDE w:val="0"/>
              <w:autoSpaceDN w:val="0"/>
              <w:adjustRightInd w:val="0"/>
              <w:spacing w:before="100" w:beforeAutospacing="1" w:after="100" w:afterAutospacing="1" w:line="360" w:lineRule="auto"/>
              <w:jc w:val="both"/>
              <w:rPr>
                <w:rFonts w:eastAsia="Times New Roman" w:cs="Arial"/>
                <w:noProof/>
              </w:rPr>
            </w:pPr>
            <w:r>
              <w:t>Inadequate budget allocated to health by the State, specifically with regard to immunization;</w:t>
            </w:r>
          </w:p>
          <w:p w:rsidR="00B32A2A" w:rsidRPr="00B32A2A" w:rsidRDefault="00B32A2A" w:rsidP="00B32A2A">
            <w:pPr>
              <w:widowControl/>
              <w:numPr>
                <w:ilvl w:val="1"/>
                <w:numId w:val="25"/>
              </w:numPr>
              <w:spacing w:after="0" w:line="240" w:lineRule="auto"/>
              <w:jc w:val="both"/>
              <w:rPr>
                <w:rFonts w:cs="Arial"/>
                <w:noProof/>
              </w:rPr>
            </w:pPr>
            <w:r>
              <w:t>Under funding of sector and lack of attention given to financial protection of users and to health inequalities that exist between rural and urban areas;</w:t>
            </w:r>
          </w:p>
          <w:p w:rsidR="00B32A2A" w:rsidRPr="00B32A2A" w:rsidRDefault="00B32A2A" w:rsidP="00B32A2A">
            <w:pPr>
              <w:widowControl/>
              <w:autoSpaceDE w:val="0"/>
              <w:autoSpaceDN w:val="0"/>
              <w:adjustRightInd w:val="0"/>
              <w:spacing w:before="100" w:beforeAutospacing="1" w:after="100" w:afterAutospacing="1" w:line="360" w:lineRule="auto"/>
              <w:jc w:val="both"/>
              <w:rPr>
                <w:rFonts w:eastAsia="Times New Roman" w:cs="Arial"/>
                <w:noProof/>
              </w:rPr>
            </w:pPr>
            <w:r>
              <w:t>OS5</w:t>
            </w:r>
          </w:p>
          <w:p w:rsidR="00B32A2A" w:rsidRPr="00B32A2A" w:rsidRDefault="00B32A2A" w:rsidP="00B32A2A">
            <w:pPr>
              <w:widowControl/>
              <w:numPr>
                <w:ilvl w:val="1"/>
                <w:numId w:val="25"/>
              </w:numPr>
              <w:autoSpaceDE w:val="0"/>
              <w:autoSpaceDN w:val="0"/>
              <w:adjustRightInd w:val="0"/>
              <w:spacing w:before="100" w:beforeAutospacing="1" w:after="100" w:afterAutospacing="1" w:line="360" w:lineRule="auto"/>
              <w:jc w:val="both"/>
              <w:rPr>
                <w:rFonts w:eastAsia="Times New Roman" w:cs="Arial"/>
                <w:noProof/>
              </w:rPr>
            </w:pPr>
            <w:r>
              <w:t>Inadequate management capacity for health programs;</w:t>
            </w:r>
          </w:p>
          <w:p w:rsidR="00B32A2A" w:rsidRPr="00B32A2A" w:rsidRDefault="00B32A2A" w:rsidP="00B32A2A">
            <w:pPr>
              <w:widowControl/>
              <w:numPr>
                <w:ilvl w:val="1"/>
                <w:numId w:val="25"/>
              </w:numPr>
              <w:autoSpaceDE w:val="0"/>
              <w:autoSpaceDN w:val="0"/>
              <w:adjustRightInd w:val="0"/>
              <w:spacing w:before="100" w:beforeAutospacing="1" w:after="100" w:afterAutospacing="1" w:line="360" w:lineRule="auto"/>
              <w:jc w:val="both"/>
              <w:rPr>
                <w:rFonts w:eastAsia="Times New Roman" w:cs="Arial"/>
                <w:noProof/>
              </w:rPr>
            </w:pPr>
            <w:r>
              <w:t>Inadequate coordination within the sector;</w:t>
            </w:r>
          </w:p>
          <w:p w:rsidR="00B32A2A" w:rsidRPr="00B32A2A" w:rsidRDefault="00B32A2A" w:rsidP="00B32A2A">
            <w:pPr>
              <w:widowControl/>
              <w:rPr>
                <w:rFonts w:cs="Arial"/>
                <w:noProof/>
              </w:rPr>
            </w:pPr>
            <w:r>
              <w:t>The bottlenecks below are addressed through other programs (Policy on Free Healthcare, universal health coverage , reforms related to the management of human resources, reforms of the national health Information system, etc.):</w:t>
            </w:r>
          </w:p>
          <w:p w:rsidR="00B32A2A" w:rsidRPr="00B32A2A" w:rsidRDefault="00B32A2A" w:rsidP="00B32A2A">
            <w:pPr>
              <w:widowControl/>
              <w:numPr>
                <w:ilvl w:val="1"/>
                <w:numId w:val="25"/>
              </w:numPr>
              <w:spacing w:after="0" w:line="240" w:lineRule="auto"/>
              <w:jc w:val="both"/>
              <w:rPr>
                <w:rFonts w:cs="Arial"/>
                <w:noProof/>
              </w:rPr>
            </w:pPr>
            <w:r>
              <w:t>Delays in reimbursement of costs linked to free health care;</w:t>
            </w:r>
          </w:p>
          <w:p w:rsidR="00B32A2A" w:rsidRPr="00B32A2A" w:rsidRDefault="00B32A2A" w:rsidP="00B32A2A">
            <w:pPr>
              <w:widowControl/>
              <w:numPr>
                <w:ilvl w:val="1"/>
                <w:numId w:val="25"/>
              </w:numPr>
              <w:spacing w:after="0" w:line="240" w:lineRule="auto"/>
              <w:jc w:val="both"/>
              <w:rPr>
                <w:rFonts w:cs="Arial"/>
                <w:noProof/>
              </w:rPr>
            </w:pPr>
            <w:r>
              <w:t>Districts' low use of health workers made available to them;</w:t>
            </w:r>
          </w:p>
          <w:p w:rsidR="00B32A2A" w:rsidRPr="00B32A2A" w:rsidRDefault="00B32A2A" w:rsidP="00B32A2A">
            <w:pPr>
              <w:widowControl/>
              <w:numPr>
                <w:ilvl w:val="1"/>
                <w:numId w:val="25"/>
              </w:numPr>
              <w:autoSpaceDE w:val="0"/>
              <w:autoSpaceDN w:val="0"/>
              <w:adjustRightInd w:val="0"/>
              <w:spacing w:before="100" w:beforeAutospacing="1" w:after="100" w:afterAutospacing="1" w:line="360" w:lineRule="auto"/>
              <w:jc w:val="both"/>
              <w:rPr>
                <w:rFonts w:eastAsia="Times New Roman" w:cs="Arial"/>
                <w:noProof/>
              </w:rPr>
            </w:pPr>
            <w:r>
              <w:t>Significant contribution by households in the funding of health care;</w:t>
            </w:r>
          </w:p>
          <w:p w:rsidR="00B32A2A" w:rsidRPr="00B32A2A" w:rsidRDefault="00B32A2A" w:rsidP="00B32A2A">
            <w:pPr>
              <w:pStyle w:val="StyleTitre2ArialNarrow"/>
              <w:numPr>
                <w:ilvl w:val="1"/>
                <w:numId w:val="25"/>
              </w:numPr>
              <w:spacing w:before="100" w:beforeAutospacing="1" w:after="100" w:afterAutospacing="1" w:line="360" w:lineRule="auto"/>
              <w:jc w:val="both"/>
              <w:rPr>
                <w:rFonts w:ascii="Arial" w:hAnsi="Arial" w:cs="Arial"/>
                <w:noProof/>
                <w:sz w:val="22"/>
                <w:szCs w:val="22"/>
              </w:rPr>
            </w:pPr>
            <w:r>
              <w:rPr>
                <w:rFonts w:ascii="Arial" w:hAnsi="Arial"/>
                <w:noProof/>
                <w:sz w:val="22"/>
              </w:rPr>
              <w:t>Not taking into account community data when producing reports.</w:t>
            </w:r>
          </w:p>
          <w:p w:rsidR="00B32A2A" w:rsidRPr="00B32A2A" w:rsidRDefault="00B32A2A" w:rsidP="00B32A2A">
            <w:pPr>
              <w:pStyle w:val="StyleTitre2ArialNarrow"/>
              <w:numPr>
                <w:ilvl w:val="0"/>
                <w:numId w:val="0"/>
              </w:numPr>
              <w:spacing w:before="100" w:beforeAutospacing="1" w:after="100" w:afterAutospacing="1" w:line="360" w:lineRule="auto"/>
              <w:ind w:left="1440"/>
              <w:jc w:val="both"/>
              <w:rPr>
                <w:rFonts w:ascii="Arial" w:hAnsi="Arial" w:cs="Arial"/>
                <w:noProof/>
                <w:sz w:val="22"/>
                <w:szCs w:val="22"/>
              </w:rPr>
            </w:pPr>
          </w:p>
          <w:p w:rsidR="00B32A2A" w:rsidRPr="00B32A2A" w:rsidRDefault="00B32A2A" w:rsidP="00B32A2A">
            <w:pPr>
              <w:widowControl/>
              <w:rPr>
                <w:rFonts w:cs="Arial"/>
                <w:noProof/>
              </w:rPr>
            </w:pPr>
            <w:r>
              <w:t>References related to the analysis that supports the proposal are:</w:t>
            </w:r>
          </w:p>
          <w:p w:rsidR="00B32A2A" w:rsidRPr="00B32A2A" w:rsidRDefault="00B32A2A" w:rsidP="00B32A2A">
            <w:pPr>
              <w:pStyle w:val="ListParagraph"/>
              <w:widowControl/>
              <w:numPr>
                <w:ilvl w:val="0"/>
                <w:numId w:val="47"/>
              </w:numPr>
              <w:rPr>
                <w:rFonts w:cs="Arial"/>
                <w:i w:val="0"/>
                <w:noProof/>
                <w:color w:val="auto"/>
                <w:sz w:val="22"/>
                <w:szCs w:val="22"/>
              </w:rPr>
            </w:pPr>
            <w:r>
              <w:rPr>
                <w:i w:val="0"/>
                <w:noProof/>
                <w:color w:val="auto"/>
                <w:sz w:val="22"/>
              </w:rPr>
              <w:t>for the Plan to introduce the rotavirus and pneumococcus immunizations into Niger's routine EPI in the “institutional health framework” section, on pages 12 and 13, respectively</w:t>
            </w:r>
          </w:p>
          <w:p w:rsidR="00B32A2A" w:rsidRPr="00B32A2A" w:rsidRDefault="00B32A2A" w:rsidP="00B32A2A">
            <w:pPr>
              <w:pStyle w:val="ListParagraph"/>
              <w:widowControl/>
              <w:numPr>
                <w:ilvl w:val="0"/>
                <w:numId w:val="47"/>
              </w:numPr>
              <w:spacing w:after="0" w:line="240" w:lineRule="auto"/>
              <w:rPr>
                <w:rFonts w:cs="Arial"/>
                <w:i w:val="0"/>
                <w:noProof/>
                <w:color w:val="auto"/>
                <w:sz w:val="22"/>
                <w:szCs w:val="22"/>
              </w:rPr>
            </w:pPr>
            <w:r>
              <w:rPr>
                <w:i w:val="0"/>
                <w:noProof/>
                <w:color w:val="auto"/>
                <w:sz w:val="22"/>
              </w:rPr>
              <w:t>for the HDP in the chapter “summary of major difficulties and constraint” on pages 42 and 43</w:t>
            </w:r>
          </w:p>
          <w:p w:rsidR="00B32A2A" w:rsidRPr="00B32A2A" w:rsidRDefault="00B32A2A" w:rsidP="00B32A2A">
            <w:pPr>
              <w:pStyle w:val="ListParagraph"/>
              <w:widowControl/>
              <w:numPr>
                <w:ilvl w:val="0"/>
                <w:numId w:val="47"/>
              </w:numPr>
              <w:spacing w:after="0" w:line="240" w:lineRule="auto"/>
              <w:rPr>
                <w:rFonts w:cs="Arial"/>
                <w:i w:val="0"/>
                <w:noProof/>
                <w:color w:val="auto"/>
                <w:sz w:val="22"/>
                <w:szCs w:val="22"/>
              </w:rPr>
            </w:pPr>
            <w:r>
              <w:rPr>
                <w:i w:val="0"/>
                <w:noProof/>
                <w:color w:val="auto"/>
                <w:sz w:val="22"/>
              </w:rPr>
              <w:t>for the cMYP in the chapter “analysis of the SWOT situation” on pages 40 to 59</w:t>
            </w:r>
          </w:p>
          <w:p w:rsidR="00B32A2A" w:rsidRPr="00B32A2A" w:rsidRDefault="00B32A2A" w:rsidP="00B32A2A">
            <w:pPr>
              <w:pStyle w:val="ListParagraph"/>
              <w:widowControl/>
              <w:numPr>
                <w:ilvl w:val="0"/>
                <w:numId w:val="47"/>
              </w:numPr>
              <w:spacing w:after="0" w:line="240" w:lineRule="auto"/>
              <w:rPr>
                <w:rFonts w:cs="Arial"/>
                <w:i w:val="0"/>
                <w:noProof/>
                <w:color w:val="auto"/>
                <w:sz w:val="22"/>
                <w:szCs w:val="22"/>
              </w:rPr>
            </w:pPr>
            <w:r>
              <w:rPr>
                <w:i w:val="0"/>
                <w:noProof/>
                <w:color w:val="auto"/>
                <w:sz w:val="22"/>
              </w:rPr>
              <w:t>for the Roadmap from the general meeting on immunization in the pages 6 to 13</w:t>
            </w:r>
          </w:p>
          <w:p w:rsidR="00B32A2A" w:rsidRPr="00B32A2A" w:rsidRDefault="00B32A2A" w:rsidP="00B32A2A">
            <w:pPr>
              <w:pStyle w:val="ListParagraph"/>
              <w:widowControl/>
              <w:numPr>
                <w:ilvl w:val="0"/>
                <w:numId w:val="47"/>
              </w:numPr>
              <w:spacing w:after="0" w:line="240" w:lineRule="auto"/>
              <w:rPr>
                <w:rFonts w:cs="Arial"/>
                <w:i w:val="0"/>
                <w:noProof/>
                <w:color w:val="auto"/>
                <w:sz w:val="22"/>
                <w:szCs w:val="22"/>
              </w:rPr>
            </w:pPr>
            <w:r>
              <w:rPr>
                <w:i w:val="0"/>
                <w:noProof/>
                <w:color w:val="auto"/>
                <w:sz w:val="22"/>
              </w:rPr>
              <w:lastRenderedPageBreak/>
              <w:t>for the Integrated Strategic Communication Plan in the "Situation Analysis" on page 16</w:t>
            </w:r>
          </w:p>
          <w:p w:rsidR="00B32A2A" w:rsidRPr="00B32A2A" w:rsidRDefault="00B32A2A" w:rsidP="00B32A2A">
            <w:pPr>
              <w:spacing w:before="120" w:after="120"/>
              <w:jc w:val="both"/>
              <w:rPr>
                <w:rFonts w:cs="Arial"/>
                <w:b/>
                <w:i/>
                <w:noProof/>
              </w:rPr>
            </w:pPr>
          </w:p>
        </w:tc>
      </w:tr>
    </w:tbl>
    <w:p w:rsidR="00B32A2A" w:rsidRPr="00B32A2A" w:rsidRDefault="00B32A2A" w:rsidP="00B32A2A">
      <w:pPr>
        <w:jc w:val="both"/>
        <w:rPr>
          <w:rFonts w:cs="Arial"/>
          <w:noProof/>
        </w:rPr>
        <w:sectPr w:rsidR="00B32A2A" w:rsidRPr="00B32A2A" w:rsidSect="007A5D3B">
          <w:headerReference w:type="default" r:id="rId29"/>
          <w:footerReference w:type="even" r:id="rId30"/>
          <w:footerReference w:type="default" r:id="rId31"/>
          <w:pgSz w:w="11907" w:h="16839" w:code="9"/>
          <w:pgMar w:top="709" w:right="851" w:bottom="993" w:left="851" w:header="709" w:footer="0" w:gutter="0"/>
          <w:cols w:space="708"/>
          <w:docGrid w:linePitch="360"/>
        </w:sectPr>
      </w:pPr>
    </w:p>
    <w:tbl>
      <w:tblPr>
        <w:tblpPr w:leftFromText="180" w:rightFromText="180" w:vertAnchor="text" w:horzAnchor="margin" w:tblpY="234"/>
        <w:tblW w:w="10314"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14"/>
      </w:tblGrid>
      <w:tr w:rsidR="00B32A2A" w:rsidRPr="00B32A2A" w:rsidTr="00B32A2A">
        <w:tc>
          <w:tcPr>
            <w:tcW w:w="10314" w:type="dxa"/>
            <w:tcBorders>
              <w:bottom w:val="single" w:sz="6" w:space="0" w:color="215868"/>
            </w:tcBorders>
            <w:shd w:val="clear" w:color="auto" w:fill="006460"/>
          </w:tcPr>
          <w:p w:rsidR="00B32A2A" w:rsidRPr="00B32A2A" w:rsidRDefault="00B32A2A" w:rsidP="00B32A2A">
            <w:pPr>
              <w:pStyle w:val="Heading2"/>
              <w:rPr>
                <w:rFonts w:ascii="Arial" w:hAnsi="Arial" w:cs="Arial"/>
                <w:noProof/>
                <w:color w:val="auto"/>
                <w:sz w:val="22"/>
                <w:szCs w:val="22"/>
              </w:rPr>
            </w:pPr>
            <w:bookmarkStart w:id="42" w:name="_Toc349297145"/>
            <w:bookmarkStart w:id="43" w:name="_Toc358399419"/>
            <w:bookmarkStart w:id="44" w:name="_Toc381123267"/>
            <w:bookmarkStart w:id="45" w:name="_Toc346116649"/>
            <w:bookmarkStart w:id="46" w:name="_Toc381566357"/>
            <w:r>
              <w:rPr>
                <w:rFonts w:ascii="Arial" w:hAnsi="Arial"/>
                <w:noProof/>
                <w:color w:val="auto"/>
                <w:sz w:val="22"/>
              </w:rPr>
              <w:lastRenderedPageBreak/>
              <w:t>6. Lessons Learned and Past Experience</w:t>
            </w:r>
            <w:bookmarkEnd w:id="42"/>
            <w:bookmarkEnd w:id="43"/>
            <w:bookmarkEnd w:id="44"/>
            <w:bookmarkEnd w:id="46"/>
          </w:p>
          <w:bookmarkEnd w:id="45"/>
          <w:p w:rsidR="00B32A2A" w:rsidRPr="00B32A2A" w:rsidRDefault="00B32A2A" w:rsidP="00B32A2A">
            <w:pPr>
              <w:pStyle w:val="Heading2"/>
              <w:rPr>
                <w:rFonts w:ascii="Arial" w:hAnsi="Arial" w:cs="Arial"/>
                <w:noProof/>
                <w:color w:val="auto"/>
                <w:sz w:val="22"/>
                <w:szCs w:val="22"/>
              </w:rPr>
            </w:pPr>
          </w:p>
        </w:tc>
      </w:tr>
      <w:tr w:rsidR="00B32A2A" w:rsidRPr="00B32A2A" w:rsidTr="00B32A2A">
        <w:tc>
          <w:tcPr>
            <w:tcW w:w="10314" w:type="dxa"/>
            <w:shd w:val="clear" w:color="auto" w:fill="FFFFFF"/>
          </w:tcPr>
          <w:p w:rsidR="00B32A2A" w:rsidRPr="00B32A2A" w:rsidRDefault="00B32A2A" w:rsidP="00B32A2A">
            <w:pPr>
              <w:spacing w:before="120" w:after="120"/>
              <w:jc w:val="both"/>
              <w:rPr>
                <w:rFonts w:eastAsia="Arial" w:cs="Arial"/>
                <w:i/>
                <w:noProof/>
              </w:rPr>
            </w:pPr>
            <w:r>
              <w:rPr>
                <w:i/>
                <w:noProof/>
              </w:rPr>
              <w:t>This description will highlight to GAVI how lesson-learning has been incorporated into the design of the activities. This description will include the support documents which show that the proposed activities will be effective and that by implementing them, intermediary and final results related to immunization will be anticipated.</w:t>
            </w:r>
          </w:p>
          <w:p w:rsidR="00B32A2A" w:rsidRPr="00B32A2A" w:rsidRDefault="00B32A2A" w:rsidP="00B32A2A">
            <w:pPr>
              <w:spacing w:before="120" w:after="120"/>
              <w:jc w:val="both"/>
              <w:rPr>
                <w:rFonts w:cs="Arial"/>
                <w:i/>
                <w:noProof/>
              </w:rPr>
            </w:pPr>
            <w:r>
              <w:rPr>
                <w:i/>
                <w:noProof/>
              </w:rPr>
              <w:t xml:space="preserve">→ Please use the table below to summarize the support documents and/or the lessons learned as they relate to each objective within the proposal. Applicants are requested to provide specific examples from their country, of similar initiatives that have been successful, as well as examples illustrating challenges to successful implementation. </w:t>
            </w:r>
          </w:p>
          <w:p w:rsidR="00B32A2A" w:rsidRPr="00B32A2A" w:rsidRDefault="00B32A2A" w:rsidP="00B32A2A">
            <w:pPr>
              <w:spacing w:before="120" w:after="120"/>
              <w:jc w:val="both"/>
              <w:rPr>
                <w:rFonts w:eastAsia="Arial" w:cs="Arial"/>
                <w:i/>
                <w:noProof/>
              </w:rPr>
            </w:pPr>
            <w:r>
              <w:rPr>
                <w:i/>
                <w:noProof/>
              </w:rPr>
              <w:t xml:space="preserve">→ In addition, please provide examples that illustrate the obstacles that impede a successful implementation. If no evidence base exists within the country of question, please note "not applicable". </w:t>
            </w:r>
          </w:p>
          <w:p w:rsidR="00B32A2A" w:rsidRPr="00B32A2A" w:rsidRDefault="00B32A2A" w:rsidP="00B32A2A">
            <w:pPr>
              <w:spacing w:before="120" w:after="120"/>
              <w:jc w:val="both"/>
              <w:rPr>
                <w:rFonts w:cs="Arial"/>
                <w:i/>
                <w:noProof/>
              </w:rPr>
            </w:pPr>
            <w:r>
              <w:rPr>
                <w:i/>
                <w:noProof/>
              </w:rPr>
              <w:t>*Where possible, please provide evidence of this learning by providing a reference or a web-link to a published document related to each example.</w:t>
            </w:r>
          </w:p>
        </w:tc>
      </w:tr>
      <w:tr w:rsidR="00B32A2A" w:rsidRPr="00B32A2A" w:rsidTr="00B32A2A">
        <w:trPr>
          <w:trHeight w:val="278"/>
        </w:trPr>
        <w:tc>
          <w:tcPr>
            <w:tcW w:w="10314" w:type="dxa"/>
            <w:shd w:val="clear" w:color="auto" w:fill="FFFFFF"/>
          </w:tcPr>
          <w:p w:rsidR="00B32A2A" w:rsidRPr="00B32A2A" w:rsidRDefault="00B32A2A" w:rsidP="00B32A2A">
            <w:pPr>
              <w:spacing w:before="120" w:after="120"/>
              <w:jc w:val="both"/>
              <w:rPr>
                <w:rFonts w:eastAsia="Arial" w:cs="Arial"/>
                <w:i/>
                <w:noProof/>
              </w:rPr>
            </w:pPr>
            <w:r>
              <w:rPr>
                <w:i/>
                <w:noProof/>
              </w:rPr>
              <w:t>TWO PAGES MAXIMUM</w:t>
            </w:r>
          </w:p>
          <w:p w:rsidR="00B32A2A" w:rsidRPr="00B32A2A" w:rsidRDefault="00B32A2A" w:rsidP="00B32A2A">
            <w:pPr>
              <w:ind w:left="360"/>
              <w:rPr>
                <w:rFonts w:cs="Arial"/>
                <w:noProof/>
              </w:rPr>
            </w:pPr>
            <w:r>
              <w:t>The lessons learned, particularly in relation to the implementation of GAVI-HSS 2011 include:</w:t>
            </w:r>
          </w:p>
          <w:tbl>
            <w:tblPr>
              <w:tblpPr w:leftFromText="180" w:rightFromText="180" w:vertAnchor="text" w:horzAnchor="margin" w:tblpY="234"/>
              <w:tblW w:w="10314"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2802"/>
              <w:gridCol w:w="7512"/>
            </w:tblGrid>
            <w:tr w:rsidR="00B32A2A" w:rsidRPr="00B32A2A" w:rsidTr="00B32A2A">
              <w:trPr>
                <w:trHeight w:val="278"/>
              </w:trPr>
              <w:tc>
                <w:tcPr>
                  <w:tcW w:w="2802" w:type="dxa"/>
                  <w:shd w:val="clear" w:color="auto" w:fill="FFFFFF"/>
                </w:tcPr>
                <w:p w:rsidR="00B32A2A" w:rsidRPr="00B32A2A" w:rsidRDefault="00B32A2A" w:rsidP="00B32A2A">
                  <w:pPr>
                    <w:spacing w:before="120" w:after="120"/>
                    <w:jc w:val="both"/>
                    <w:rPr>
                      <w:rFonts w:eastAsia="Arial" w:cs="Arial"/>
                      <w:i/>
                      <w:noProof/>
                    </w:rPr>
                  </w:pPr>
                  <w:r>
                    <w:rPr>
                      <w:i/>
                      <w:noProof/>
                    </w:rPr>
                    <w:t>Objective</w:t>
                  </w:r>
                </w:p>
              </w:tc>
              <w:tc>
                <w:tcPr>
                  <w:tcW w:w="7512" w:type="dxa"/>
                  <w:shd w:val="clear" w:color="auto" w:fill="FFFFFF"/>
                </w:tcPr>
                <w:p w:rsidR="00B32A2A" w:rsidRPr="00B32A2A" w:rsidRDefault="00B32A2A" w:rsidP="00B32A2A">
                  <w:pPr>
                    <w:spacing w:before="120" w:after="120"/>
                    <w:jc w:val="both"/>
                    <w:rPr>
                      <w:rFonts w:eastAsia="Arial" w:cs="Arial"/>
                      <w:i/>
                      <w:noProof/>
                    </w:rPr>
                  </w:pPr>
                  <w:r>
                    <w:rPr>
                      <w:i/>
                      <w:noProof/>
                    </w:rPr>
                    <w:t>Lessons were learned from the results of the internal mid-term evaluation for the 2011-2015 HDP and the survey of national immunization coverage, stratified by district (MPH-January 2013), highlighting successes and was challenges.</w:t>
                  </w:r>
                </w:p>
              </w:tc>
            </w:tr>
            <w:tr w:rsidR="00B32A2A" w:rsidRPr="00B32A2A" w:rsidTr="00B32A2A">
              <w:trPr>
                <w:trHeight w:val="278"/>
              </w:trPr>
              <w:tc>
                <w:tcPr>
                  <w:tcW w:w="2802" w:type="dxa"/>
                  <w:shd w:val="clear" w:color="auto" w:fill="FFFFFF"/>
                </w:tcPr>
                <w:p w:rsidR="00B32A2A" w:rsidRPr="00B32A2A" w:rsidRDefault="00B32A2A" w:rsidP="00B32A2A">
                  <w:pPr>
                    <w:spacing w:before="120" w:after="120"/>
                    <w:rPr>
                      <w:rFonts w:eastAsia="Arial" w:cs="Arial"/>
                      <w:i/>
                      <w:noProof/>
                    </w:rPr>
                  </w:pPr>
                  <w:r>
                    <w:rPr>
                      <w:i/>
                      <w:noProof/>
                    </w:rPr>
                    <w:t>Improve accessibility to health services including quality immunization services, specifically within the 21 high-priority health districts.</w:t>
                  </w:r>
                </w:p>
              </w:tc>
              <w:tc>
                <w:tcPr>
                  <w:tcW w:w="7512" w:type="dxa"/>
                  <w:shd w:val="clear" w:color="auto" w:fill="FFFFFF"/>
                </w:tcPr>
                <w:p w:rsidR="00B32A2A" w:rsidRPr="00B32A2A" w:rsidRDefault="00B32A2A" w:rsidP="00B32A2A">
                  <w:pPr>
                    <w:numPr>
                      <w:ilvl w:val="0"/>
                      <w:numId w:val="27"/>
                    </w:numPr>
                    <w:spacing w:before="120" w:after="120"/>
                    <w:jc w:val="both"/>
                    <w:rPr>
                      <w:rFonts w:eastAsia="Arial" w:cs="Arial"/>
                      <w:i/>
                      <w:noProof/>
                    </w:rPr>
                  </w:pPr>
                  <w:r>
                    <w:rPr>
                      <w:i/>
                      <w:noProof/>
                    </w:rPr>
                    <w:t>Support, development and implementation of IHC micro-plans has shown convincing results with regard to improved health and immunization coverage in particular.</w:t>
                  </w:r>
                </w:p>
                <w:p w:rsidR="00B32A2A" w:rsidRPr="00B32A2A" w:rsidRDefault="00B32A2A" w:rsidP="00B32A2A">
                  <w:pPr>
                    <w:pStyle w:val="ListParagraph"/>
                    <w:widowControl/>
                    <w:numPr>
                      <w:ilvl w:val="0"/>
                      <w:numId w:val="27"/>
                    </w:numPr>
                    <w:spacing w:after="200"/>
                    <w:ind w:right="0"/>
                    <w:rPr>
                      <w:rFonts w:cs="Arial"/>
                      <w:noProof/>
                      <w:color w:val="auto"/>
                      <w:sz w:val="22"/>
                      <w:szCs w:val="22"/>
                    </w:rPr>
                  </w:pPr>
                  <w:r>
                    <w:rPr>
                      <w:noProof/>
                      <w:color w:val="auto"/>
                      <w:sz w:val="22"/>
                    </w:rPr>
                    <w:t xml:space="preserve">Extending immunization services to health huts (by providing cold chain and inputs) and the transformation of health huts into IHCs allow for improved access to health care including immunization services as well as reductions in operational costs linked to mobile and fair activities; </w:t>
                  </w:r>
                </w:p>
                <w:p w:rsidR="00B32A2A" w:rsidRPr="00B32A2A" w:rsidRDefault="00B32A2A" w:rsidP="00B32A2A">
                  <w:pPr>
                    <w:pStyle w:val="ListParagraph"/>
                    <w:widowControl/>
                    <w:numPr>
                      <w:ilvl w:val="0"/>
                      <w:numId w:val="27"/>
                    </w:numPr>
                    <w:spacing w:after="200"/>
                    <w:ind w:right="0"/>
                    <w:rPr>
                      <w:rFonts w:cs="Arial"/>
                      <w:noProof/>
                      <w:color w:val="auto"/>
                      <w:sz w:val="22"/>
                      <w:szCs w:val="22"/>
                    </w:rPr>
                  </w:pPr>
                  <w:r>
                    <w:rPr>
                      <w:noProof/>
                      <w:color w:val="auto"/>
                      <w:sz w:val="22"/>
                    </w:rPr>
                    <w:t xml:space="preserve">Niger has developed specific strategies (health fairs and integrated mobile activities) to reach populations that are difficult to access and nomads; these strategies have been show to be effective. </w:t>
                  </w:r>
                </w:p>
                <w:p w:rsidR="00B32A2A" w:rsidRPr="00B32A2A" w:rsidRDefault="00B32A2A" w:rsidP="00B32A2A">
                  <w:pPr>
                    <w:pStyle w:val="ListParagraph"/>
                    <w:widowControl/>
                    <w:numPr>
                      <w:ilvl w:val="0"/>
                      <w:numId w:val="27"/>
                    </w:numPr>
                    <w:spacing w:after="200"/>
                    <w:ind w:right="0"/>
                    <w:rPr>
                      <w:rFonts w:cs="Arial"/>
                      <w:noProof/>
                      <w:color w:val="auto"/>
                      <w:sz w:val="22"/>
                      <w:szCs w:val="22"/>
                    </w:rPr>
                  </w:pPr>
                  <w:r>
                    <w:rPr>
                      <w:noProof/>
                      <w:color w:val="auto"/>
                      <w:sz w:val="22"/>
                    </w:rPr>
                    <w:t xml:space="preserve">considering cost and gas procurement challenges as well as poor electrical coverage, the Government of Niger has implemented a </w:t>
                  </w:r>
                  <w:r>
                    <w:rPr>
                      <w:noProof/>
                      <w:color w:val="auto"/>
                      <w:sz w:val="22"/>
                    </w:rPr>
                    <w:lastRenderedPageBreak/>
                    <w:t xml:space="preserve">replacement plan for the cold chain, to use solar refrigerators that do not use batteries; </w:t>
                  </w:r>
                </w:p>
              </w:tc>
            </w:tr>
            <w:tr w:rsidR="00B32A2A" w:rsidRPr="00B32A2A" w:rsidTr="00B32A2A">
              <w:trPr>
                <w:trHeight w:val="1814"/>
              </w:trPr>
              <w:tc>
                <w:tcPr>
                  <w:tcW w:w="2802" w:type="dxa"/>
                  <w:shd w:val="clear" w:color="auto" w:fill="FFFFFF"/>
                </w:tcPr>
                <w:p w:rsidR="00B32A2A" w:rsidRPr="00B32A2A" w:rsidRDefault="00B32A2A" w:rsidP="00B32A2A">
                  <w:pPr>
                    <w:spacing w:after="0" w:line="240" w:lineRule="auto"/>
                    <w:rPr>
                      <w:rFonts w:eastAsia="Arial" w:cs="Arial"/>
                      <w:i/>
                      <w:noProof/>
                    </w:rPr>
                  </w:pPr>
                  <w:r>
                    <w:rPr>
                      <w:i/>
                      <w:noProof/>
                    </w:rPr>
                    <w:lastRenderedPageBreak/>
                    <w:t>Increase demand for delivery of health service and care, and particularly, for immunization at the national level.</w:t>
                  </w:r>
                </w:p>
              </w:tc>
              <w:tc>
                <w:tcPr>
                  <w:tcW w:w="7512" w:type="dxa"/>
                  <w:shd w:val="clear" w:color="auto" w:fill="FFFFFF"/>
                </w:tcPr>
                <w:p w:rsidR="00B32A2A" w:rsidRPr="00B32A2A" w:rsidRDefault="00B32A2A" w:rsidP="00B32A2A">
                  <w:pPr>
                    <w:pStyle w:val="ListParagraph"/>
                    <w:widowControl/>
                    <w:numPr>
                      <w:ilvl w:val="0"/>
                      <w:numId w:val="26"/>
                    </w:numPr>
                    <w:spacing w:after="200"/>
                    <w:ind w:right="0"/>
                    <w:rPr>
                      <w:rFonts w:cs="Arial"/>
                      <w:noProof/>
                      <w:color w:val="auto"/>
                      <w:sz w:val="22"/>
                      <w:szCs w:val="22"/>
                    </w:rPr>
                  </w:pPr>
                  <w:r>
                    <w:rPr>
                      <w:noProof/>
                      <w:color w:val="auto"/>
                      <w:sz w:val="22"/>
                    </w:rPr>
                    <w:t>Commitments by opinion leaders (traditional chiefs and religious leaders) and CSOs, formalized via partner contracts, have been shown to be an effective means by which to involve the population in health-related activities, including immunization;</w:t>
                  </w:r>
                </w:p>
                <w:p w:rsidR="00B32A2A" w:rsidRPr="00B32A2A" w:rsidRDefault="00B32A2A" w:rsidP="00B32A2A">
                  <w:pPr>
                    <w:pStyle w:val="ListParagraph"/>
                    <w:widowControl/>
                    <w:numPr>
                      <w:ilvl w:val="0"/>
                      <w:numId w:val="26"/>
                    </w:numPr>
                    <w:spacing w:after="200"/>
                    <w:ind w:right="0"/>
                    <w:rPr>
                      <w:rFonts w:cs="Arial"/>
                      <w:noProof/>
                      <w:color w:val="auto"/>
                      <w:sz w:val="22"/>
                      <w:szCs w:val="22"/>
                    </w:rPr>
                  </w:pPr>
                  <w:r>
                    <w:rPr>
                      <w:noProof/>
                      <w:color w:val="auto"/>
                      <w:sz w:val="22"/>
                    </w:rPr>
                    <w:t>Community monitoring of immunization coverage allows for improved efficiency and for verification of the regularity with which outreach and mobile strategies are carried out;</w:t>
                  </w:r>
                </w:p>
                <w:p w:rsidR="00B32A2A" w:rsidRPr="00B32A2A" w:rsidRDefault="00B32A2A" w:rsidP="00B32A2A">
                  <w:pPr>
                    <w:pStyle w:val="ListParagraph"/>
                    <w:widowControl/>
                    <w:numPr>
                      <w:ilvl w:val="0"/>
                      <w:numId w:val="26"/>
                    </w:numPr>
                    <w:spacing w:after="200"/>
                    <w:ind w:right="0"/>
                    <w:rPr>
                      <w:rFonts w:cs="Arial"/>
                      <w:noProof/>
                      <w:color w:val="auto"/>
                      <w:sz w:val="22"/>
                      <w:szCs w:val="22"/>
                    </w:rPr>
                  </w:pPr>
                  <w:r>
                    <w:rPr>
                      <w:noProof/>
                      <w:color w:val="auto"/>
                      <w:sz w:val="22"/>
                    </w:rPr>
                    <w:t>Negotiation the teams' immunization schedules with the parents facilitates community involvement in the immunization process;</w:t>
                  </w:r>
                </w:p>
              </w:tc>
            </w:tr>
            <w:tr w:rsidR="00B32A2A" w:rsidRPr="00B32A2A" w:rsidTr="00B32A2A">
              <w:trPr>
                <w:trHeight w:val="1930"/>
              </w:trPr>
              <w:tc>
                <w:tcPr>
                  <w:tcW w:w="2802" w:type="dxa"/>
                  <w:shd w:val="clear" w:color="auto" w:fill="FFFFFF"/>
                </w:tcPr>
                <w:p w:rsidR="00B32A2A" w:rsidRPr="00B32A2A" w:rsidRDefault="00B32A2A" w:rsidP="00B32A2A">
                  <w:pPr>
                    <w:spacing w:after="0" w:line="240" w:lineRule="auto"/>
                    <w:rPr>
                      <w:rFonts w:eastAsia="Arial" w:cs="Arial"/>
                      <w:i/>
                      <w:noProof/>
                    </w:rPr>
                  </w:pPr>
                </w:p>
                <w:p w:rsidR="00B32A2A" w:rsidRPr="00B32A2A" w:rsidRDefault="00B32A2A" w:rsidP="00B32A2A">
                  <w:pPr>
                    <w:spacing w:after="0" w:line="240" w:lineRule="auto"/>
                    <w:rPr>
                      <w:rFonts w:eastAsia="Arial" w:cs="Arial"/>
                      <w:i/>
                      <w:noProof/>
                    </w:rPr>
                  </w:pPr>
                  <w:r>
                    <w:rPr>
                      <w:i/>
                      <w:noProof/>
                    </w:rPr>
                    <w:t>Improve the quality and use of health information and M&amp;E activities for better strategic planning within the sector</w:t>
                  </w:r>
                </w:p>
              </w:tc>
              <w:tc>
                <w:tcPr>
                  <w:tcW w:w="7512" w:type="dxa"/>
                  <w:shd w:val="clear" w:color="auto" w:fill="FFFFFF"/>
                </w:tcPr>
                <w:p w:rsidR="00B32A2A" w:rsidRPr="00B32A2A" w:rsidRDefault="00B32A2A" w:rsidP="00B32A2A">
                  <w:pPr>
                    <w:numPr>
                      <w:ilvl w:val="0"/>
                      <w:numId w:val="28"/>
                    </w:numPr>
                    <w:spacing w:before="120" w:after="120"/>
                    <w:jc w:val="both"/>
                    <w:rPr>
                      <w:rFonts w:eastAsia="Arial" w:cs="Arial"/>
                      <w:i/>
                      <w:noProof/>
                    </w:rPr>
                  </w:pPr>
                  <w:r>
                    <w:rPr>
                      <w:i/>
                      <w:noProof/>
                    </w:rPr>
                    <w:t xml:space="preserve">Adopting DQS for key HDP indicators will allow for improvements to the quality of data found in the National Health Information System in a more integrated fashion, </w:t>
                  </w:r>
                </w:p>
                <w:p w:rsidR="00B32A2A" w:rsidRPr="00B32A2A" w:rsidRDefault="00B32A2A" w:rsidP="00B32A2A">
                  <w:pPr>
                    <w:numPr>
                      <w:ilvl w:val="0"/>
                      <w:numId w:val="28"/>
                    </w:numPr>
                    <w:spacing w:before="120" w:after="120"/>
                    <w:jc w:val="both"/>
                    <w:rPr>
                      <w:rFonts w:eastAsia="Arial" w:cs="Arial"/>
                      <w:i/>
                      <w:noProof/>
                    </w:rPr>
                  </w:pPr>
                  <w:r>
                    <w:rPr>
                      <w:i/>
                      <w:noProof/>
                    </w:rPr>
                    <w:t>Holding periodic programming-related and sector reviews in which the regions, TFPs, communities and CSOs participate allows the system's operational constraints to be identified as well as corrective measures</w:t>
                  </w:r>
                </w:p>
                <w:p w:rsidR="00B32A2A" w:rsidRPr="00B32A2A" w:rsidRDefault="00B32A2A" w:rsidP="00B32A2A">
                  <w:pPr>
                    <w:numPr>
                      <w:ilvl w:val="0"/>
                      <w:numId w:val="28"/>
                    </w:numPr>
                    <w:spacing w:before="120" w:after="120"/>
                    <w:jc w:val="both"/>
                    <w:rPr>
                      <w:rFonts w:eastAsia="Arial" w:cs="Arial"/>
                      <w:i/>
                      <w:noProof/>
                    </w:rPr>
                  </w:pPr>
                  <w:r>
                    <w:rPr>
                      <w:i/>
                      <w:noProof/>
                    </w:rPr>
                    <w:t xml:space="preserve">Understanding the dashboard health indicators at the IHC level improves health teams' self-evaluations and leads to prompt decision-making   </w:t>
                  </w:r>
                </w:p>
              </w:tc>
            </w:tr>
            <w:tr w:rsidR="00B32A2A" w:rsidRPr="00B32A2A" w:rsidTr="00B32A2A">
              <w:trPr>
                <w:trHeight w:val="1047"/>
              </w:trPr>
              <w:tc>
                <w:tcPr>
                  <w:tcW w:w="2802" w:type="dxa"/>
                  <w:shd w:val="clear" w:color="auto" w:fill="FFFFFF"/>
                </w:tcPr>
                <w:p w:rsidR="00B32A2A" w:rsidRPr="00B32A2A" w:rsidRDefault="00B32A2A" w:rsidP="00B32A2A">
                  <w:pPr>
                    <w:spacing w:after="0" w:line="240" w:lineRule="auto"/>
                    <w:rPr>
                      <w:rFonts w:eastAsia="Arial" w:cs="Arial"/>
                      <w:i/>
                      <w:noProof/>
                    </w:rPr>
                  </w:pPr>
                  <w:r>
                    <w:rPr>
                      <w:i/>
                      <w:noProof/>
                    </w:rPr>
                    <w:t xml:space="preserve">Increasing the State's contribution to the funding of these health activities, including immunization. </w:t>
                  </w:r>
                </w:p>
              </w:tc>
              <w:tc>
                <w:tcPr>
                  <w:tcW w:w="7512" w:type="dxa"/>
                  <w:shd w:val="clear" w:color="auto" w:fill="FFFFFF"/>
                </w:tcPr>
                <w:p w:rsidR="00B32A2A" w:rsidRPr="00B32A2A" w:rsidRDefault="00B32A2A" w:rsidP="00B32A2A">
                  <w:pPr>
                    <w:numPr>
                      <w:ilvl w:val="0"/>
                      <w:numId w:val="29"/>
                    </w:numPr>
                    <w:spacing w:before="120" w:after="120"/>
                    <w:jc w:val="both"/>
                    <w:rPr>
                      <w:rFonts w:eastAsia="Arial" w:cs="Arial"/>
                      <w:i/>
                      <w:noProof/>
                    </w:rPr>
                  </w:pPr>
                  <w:r>
                    <w:rPr>
                      <w:i/>
                      <w:noProof/>
                    </w:rPr>
                    <w:t>The sub-regional experience shows that the "network of advocacy champions encouraging adequate funding" has been effective in mobilizing resources who support health.</w:t>
                  </w:r>
                </w:p>
                <w:p w:rsidR="00B32A2A" w:rsidRPr="00B32A2A" w:rsidRDefault="00B32A2A" w:rsidP="00B32A2A">
                  <w:pPr>
                    <w:pStyle w:val="bullet"/>
                    <w:numPr>
                      <w:ilvl w:val="0"/>
                      <w:numId w:val="29"/>
                    </w:numPr>
                    <w:rPr>
                      <w:rFonts w:cs="Arial"/>
                      <w:noProof/>
                      <w:sz w:val="22"/>
                      <w:szCs w:val="22"/>
                    </w:rPr>
                  </w:pPr>
                  <w:r>
                    <w:rPr>
                      <w:noProof/>
                      <w:sz w:val="22"/>
                    </w:rPr>
                    <w:t xml:space="preserve">media and civil society involvement has proven its ability capacity to influence political decision makers to support health-related activities. </w:t>
                  </w:r>
                </w:p>
              </w:tc>
            </w:tr>
            <w:tr w:rsidR="00B32A2A" w:rsidRPr="00B32A2A" w:rsidTr="00B32A2A">
              <w:trPr>
                <w:trHeight w:val="5096"/>
              </w:trPr>
              <w:tc>
                <w:tcPr>
                  <w:tcW w:w="2802" w:type="dxa"/>
                  <w:shd w:val="clear" w:color="auto" w:fill="FFFFFF"/>
                </w:tcPr>
                <w:p w:rsidR="00B32A2A" w:rsidRPr="00B32A2A" w:rsidRDefault="00B32A2A" w:rsidP="00B32A2A">
                  <w:pPr>
                    <w:spacing w:after="0" w:line="240" w:lineRule="auto"/>
                    <w:rPr>
                      <w:rFonts w:eastAsia="Arial" w:cs="Arial"/>
                      <w:i/>
                      <w:noProof/>
                    </w:rPr>
                  </w:pPr>
                  <w:r>
                    <w:rPr>
                      <w:i/>
                      <w:noProof/>
                    </w:rPr>
                    <w:lastRenderedPageBreak/>
                    <w:t>Improve existing management mechanisms so as to implement an efficient and effective Program</w:t>
                  </w:r>
                </w:p>
              </w:tc>
              <w:tc>
                <w:tcPr>
                  <w:tcW w:w="7512" w:type="dxa"/>
                  <w:shd w:val="clear" w:color="auto" w:fill="FFFFFF"/>
                </w:tcPr>
                <w:p w:rsidR="00B32A2A" w:rsidRPr="00B32A2A" w:rsidRDefault="00B32A2A" w:rsidP="00B32A2A">
                  <w:pPr>
                    <w:numPr>
                      <w:ilvl w:val="0"/>
                      <w:numId w:val="29"/>
                    </w:numPr>
                    <w:jc w:val="both"/>
                    <w:rPr>
                      <w:rFonts w:eastAsia="Arial" w:cs="Arial"/>
                      <w:i/>
                      <w:noProof/>
                    </w:rPr>
                  </w:pPr>
                  <w:r>
                    <w:rPr>
                      <w:i/>
                      <w:noProof/>
                    </w:rPr>
                    <w:t>The implementation of interventions via the program (Common Funds) facilitates the execution of activities and allows for short-term and long-term results to be reached.</w:t>
                  </w:r>
                </w:p>
                <w:p w:rsidR="00B32A2A" w:rsidRPr="00B32A2A" w:rsidRDefault="00B32A2A" w:rsidP="00B32A2A">
                  <w:pPr>
                    <w:numPr>
                      <w:ilvl w:val="0"/>
                      <w:numId w:val="29"/>
                    </w:numPr>
                    <w:spacing w:before="120" w:after="120"/>
                    <w:jc w:val="both"/>
                    <w:rPr>
                      <w:rFonts w:eastAsia="Arial" w:cs="Arial"/>
                      <w:i/>
                      <w:noProof/>
                    </w:rPr>
                  </w:pPr>
                  <w:r>
                    <w:rPr>
                      <w:i/>
                      <w:noProof/>
                    </w:rPr>
                    <w:t>Regular controls and audits of facilities and programs within the framework of the Common Funds provides a way to measure management improvements;</w:t>
                  </w:r>
                </w:p>
                <w:p w:rsidR="00B32A2A" w:rsidRPr="00B32A2A" w:rsidRDefault="00B32A2A" w:rsidP="00B32A2A">
                  <w:pPr>
                    <w:numPr>
                      <w:ilvl w:val="0"/>
                      <w:numId w:val="29"/>
                    </w:numPr>
                    <w:spacing w:before="120" w:after="120"/>
                    <w:jc w:val="both"/>
                    <w:rPr>
                      <w:rFonts w:eastAsia="Arial" w:cs="Arial"/>
                      <w:i/>
                      <w:noProof/>
                    </w:rPr>
                  </w:pPr>
                  <w:r>
                    <w:rPr>
                      <w:i/>
                      <w:noProof/>
                    </w:rPr>
                    <w:t xml:space="preserve">Lessons learned from the implementation of the Common Funds shows the need to improve beneficiaries' information/awareness using the procedures manual and communication/coordination from different players </w:t>
                  </w:r>
                </w:p>
                <w:p w:rsidR="00B32A2A" w:rsidRPr="00B32A2A" w:rsidRDefault="00B32A2A" w:rsidP="00B32A2A">
                  <w:pPr>
                    <w:numPr>
                      <w:ilvl w:val="0"/>
                      <w:numId w:val="29"/>
                    </w:numPr>
                    <w:jc w:val="both"/>
                    <w:rPr>
                      <w:rFonts w:eastAsia="Arial" w:cs="Arial"/>
                      <w:i/>
                      <w:noProof/>
                    </w:rPr>
                  </w:pPr>
                  <w:r>
                    <w:rPr>
                      <w:i/>
                      <w:noProof/>
                    </w:rPr>
                    <w:t>To remove cumbersome procedures related to awarding public contracts, the government decided to eliminate the Directorate General for Public Contract Audits. In a related vein, it is preferable that procurement for the cold chain, vehicles and specific EPI inputs for the GAVI-HSS grant be made using UNIPAC through the Common Funds.</w:t>
                  </w:r>
                </w:p>
                <w:p w:rsidR="00B32A2A" w:rsidRPr="00B32A2A" w:rsidRDefault="00B32A2A" w:rsidP="00B32A2A">
                  <w:pPr>
                    <w:ind w:left="360"/>
                    <w:jc w:val="both"/>
                    <w:rPr>
                      <w:rFonts w:eastAsia="Arial" w:cs="Arial"/>
                      <w:i/>
                      <w:noProof/>
                    </w:rPr>
                  </w:pPr>
                </w:p>
              </w:tc>
            </w:tr>
          </w:tbl>
          <w:p w:rsidR="00B32A2A" w:rsidRPr="00B32A2A" w:rsidRDefault="00B32A2A" w:rsidP="00B32A2A">
            <w:pPr>
              <w:spacing w:before="120" w:after="120"/>
              <w:jc w:val="both"/>
              <w:rPr>
                <w:rFonts w:eastAsia="Arial" w:cs="Arial"/>
                <w:i/>
                <w:noProof/>
              </w:rPr>
            </w:pPr>
            <w:r>
              <w:rPr>
                <w:i/>
                <w:noProof/>
              </w:rPr>
              <w:t xml:space="preserve">  </w:t>
            </w:r>
          </w:p>
        </w:tc>
      </w:tr>
    </w:tbl>
    <w:p w:rsidR="00B32A2A" w:rsidRPr="00B32A2A" w:rsidRDefault="00B32A2A" w:rsidP="00B32A2A">
      <w:pPr>
        <w:jc w:val="both"/>
        <w:rPr>
          <w:rFonts w:cs="Arial"/>
          <w:noProof/>
        </w:rPr>
      </w:pPr>
    </w:p>
    <w:tbl>
      <w:tblPr>
        <w:tblW w:w="10348" w:type="dxa"/>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48"/>
      </w:tblGrid>
      <w:tr w:rsidR="00B32A2A" w:rsidRPr="00B32A2A" w:rsidTr="00B32A2A">
        <w:tc>
          <w:tcPr>
            <w:tcW w:w="10348" w:type="dxa"/>
            <w:tcBorders>
              <w:top w:val="nil"/>
              <w:left w:val="nil"/>
              <w:bottom w:val="nil"/>
              <w:right w:val="nil"/>
            </w:tcBorders>
            <w:shd w:val="clear" w:color="auto" w:fill="006460"/>
          </w:tcPr>
          <w:p w:rsidR="00B32A2A" w:rsidRPr="00B32A2A" w:rsidRDefault="00B32A2A" w:rsidP="00B32A2A">
            <w:pPr>
              <w:pStyle w:val="Heading1"/>
              <w:rPr>
                <w:rFonts w:cs="Arial"/>
                <w:noProof/>
                <w:color w:val="auto"/>
                <w:spacing w:val="0"/>
                <w:sz w:val="22"/>
                <w:szCs w:val="22"/>
              </w:rPr>
            </w:pPr>
            <w:bookmarkStart w:id="47" w:name="_Toc346115524"/>
            <w:bookmarkStart w:id="48" w:name="_Toc346116641"/>
            <w:bookmarkEnd w:id="10"/>
            <w:bookmarkEnd w:id="11"/>
          </w:p>
          <w:p w:rsidR="00B32A2A" w:rsidRPr="00B32A2A" w:rsidRDefault="00B32A2A" w:rsidP="00B32A2A">
            <w:pPr>
              <w:pStyle w:val="Heading1"/>
              <w:rPr>
                <w:rFonts w:cs="Arial"/>
                <w:noProof/>
                <w:color w:val="auto"/>
                <w:spacing w:val="0"/>
                <w:sz w:val="22"/>
                <w:szCs w:val="22"/>
              </w:rPr>
            </w:pPr>
            <w:bookmarkStart w:id="49" w:name="_Toc381123268"/>
            <w:bookmarkStart w:id="50" w:name="_Toc381566358"/>
            <w:r>
              <w:rPr>
                <w:noProof/>
                <w:color w:val="auto"/>
                <w:spacing w:val="0"/>
                <w:sz w:val="22"/>
              </w:rPr>
              <w:t>PART D – PROPOSAL DETAILS</w:t>
            </w:r>
            <w:bookmarkEnd w:id="47"/>
            <w:bookmarkEnd w:id="48"/>
            <w:bookmarkEnd w:id="49"/>
            <w:bookmarkEnd w:id="50"/>
            <w:r>
              <w:tab/>
            </w:r>
          </w:p>
        </w:tc>
      </w:tr>
      <w:tr w:rsidR="00B32A2A" w:rsidRPr="00B32A2A" w:rsidTr="00B32A2A">
        <w:trPr>
          <w:trHeight w:val="211"/>
        </w:trPr>
        <w:tc>
          <w:tcPr>
            <w:tcW w:w="10348" w:type="dxa"/>
            <w:tcBorders>
              <w:top w:val="nil"/>
              <w:left w:val="nil"/>
              <w:bottom w:val="single" w:sz="6" w:space="0" w:color="215868"/>
              <w:right w:val="nil"/>
            </w:tcBorders>
            <w:shd w:val="clear" w:color="auto" w:fill="FFFFFF"/>
          </w:tcPr>
          <w:p w:rsidR="00B32A2A" w:rsidRPr="00B32A2A" w:rsidRDefault="00B32A2A" w:rsidP="00B32A2A">
            <w:pPr>
              <w:jc w:val="both"/>
              <w:rPr>
                <w:rFonts w:cs="Arial"/>
                <w:b/>
                <w:noProof/>
              </w:rPr>
            </w:pPr>
          </w:p>
        </w:tc>
      </w:tr>
      <w:tr w:rsidR="00B32A2A" w:rsidRPr="00B32A2A" w:rsidTr="00B32A2A">
        <w:tc>
          <w:tcPr>
            <w:tcW w:w="10348" w:type="dxa"/>
            <w:tcBorders>
              <w:bottom w:val="single" w:sz="6" w:space="0" w:color="215868"/>
            </w:tcBorders>
            <w:shd w:val="clear" w:color="auto" w:fill="auto"/>
            <w:vAlign w:val="center"/>
          </w:tcPr>
          <w:p w:rsidR="00B32A2A" w:rsidRPr="00B32A2A" w:rsidRDefault="00B32A2A" w:rsidP="00B32A2A">
            <w:pPr>
              <w:jc w:val="both"/>
              <w:rPr>
                <w:rFonts w:cs="Arial"/>
                <w:b/>
                <w:noProof/>
              </w:rPr>
            </w:pPr>
            <w:r>
              <w:rPr>
                <w:b/>
                <w:noProof/>
              </w:rPr>
              <w:t>For further instructions, please refer to the Guidelines for Completing the HSS Application</w:t>
            </w:r>
          </w:p>
        </w:tc>
      </w:tr>
      <w:tr w:rsidR="00B32A2A" w:rsidRPr="00B32A2A" w:rsidTr="00B32A2A">
        <w:tc>
          <w:tcPr>
            <w:tcW w:w="10348" w:type="dxa"/>
            <w:tcBorders>
              <w:bottom w:val="single" w:sz="6" w:space="0" w:color="215868"/>
            </w:tcBorders>
            <w:shd w:val="clear" w:color="auto" w:fill="006460"/>
          </w:tcPr>
          <w:p w:rsidR="00B32A2A" w:rsidRPr="00B32A2A" w:rsidRDefault="00B32A2A" w:rsidP="00B32A2A">
            <w:pPr>
              <w:pStyle w:val="Heading2"/>
              <w:rPr>
                <w:rFonts w:ascii="Arial" w:hAnsi="Arial" w:cs="Arial"/>
                <w:noProof/>
                <w:color w:val="auto"/>
                <w:sz w:val="22"/>
                <w:szCs w:val="22"/>
              </w:rPr>
            </w:pPr>
            <w:bookmarkStart w:id="51" w:name="_Toc346116643"/>
            <w:bookmarkStart w:id="52" w:name="_Toc381123269"/>
            <w:bookmarkStart w:id="53" w:name="_Toc381566359"/>
            <w:r>
              <w:rPr>
                <w:rFonts w:ascii="Arial" w:hAnsi="Arial"/>
                <w:noProof/>
                <w:color w:val="auto"/>
                <w:sz w:val="22"/>
              </w:rPr>
              <w:t>7. Proposal Objectives</w:t>
            </w:r>
            <w:bookmarkEnd w:id="51"/>
            <w:bookmarkEnd w:id="52"/>
            <w:bookmarkEnd w:id="53"/>
            <w:r>
              <w:tab/>
            </w:r>
          </w:p>
        </w:tc>
      </w:tr>
      <w:tr w:rsidR="00B32A2A" w:rsidRPr="00B32A2A" w:rsidTr="00B32A2A">
        <w:tc>
          <w:tcPr>
            <w:tcW w:w="10348" w:type="dxa"/>
            <w:shd w:val="clear" w:color="auto" w:fill="FFFFFF"/>
          </w:tcPr>
          <w:p w:rsidR="00B32A2A" w:rsidRPr="00B32A2A" w:rsidRDefault="00B32A2A" w:rsidP="00B32A2A">
            <w:pPr>
              <w:spacing w:before="120" w:after="120"/>
              <w:jc w:val="both"/>
              <w:rPr>
                <w:rFonts w:cs="Arial"/>
                <w:i/>
                <w:noProof/>
              </w:rPr>
            </w:pPr>
            <w:r>
              <w:rPr>
                <w:i/>
                <w:noProof/>
              </w:rPr>
              <w:t xml:space="preserve">This section will be used to assess whether the proposed objectives are relevant, appropriate and aligned with the National Health Strategy and cMYP, and contribute to improving immunization outcomes. It will also ensure alignment with the bottleneck analysis above. </w:t>
            </w:r>
          </w:p>
          <w:p w:rsidR="00B32A2A" w:rsidRPr="00B32A2A" w:rsidRDefault="00B32A2A" w:rsidP="00B32A2A">
            <w:pPr>
              <w:spacing w:before="120" w:after="120"/>
              <w:jc w:val="both"/>
              <w:rPr>
                <w:rFonts w:cs="Arial"/>
                <w:i/>
                <w:noProof/>
              </w:rPr>
            </w:pPr>
            <w:r>
              <w:rPr>
                <w:i/>
                <w:noProof/>
              </w:rPr>
              <w:t xml:space="preserve">→ Please succinctly describe the immunization and HSS objectives to be addressed in this proposal and explain how they relate to, and contribute to, reducing HSS and immunization bottlenecks (identified in section C.5 above) and strengthening of the health system. Please describe how these objectives are aligned with those in the national health strategy and cMYP. </w:t>
            </w:r>
          </w:p>
          <w:p w:rsidR="00B32A2A" w:rsidRPr="00B32A2A" w:rsidRDefault="00B32A2A" w:rsidP="00B32A2A">
            <w:pPr>
              <w:spacing w:before="120" w:after="120"/>
              <w:jc w:val="both"/>
              <w:rPr>
                <w:rFonts w:cs="Arial"/>
                <w:i/>
                <w:noProof/>
              </w:rPr>
            </w:pPr>
            <w:r>
              <w:rPr>
                <w:i/>
                <w:noProof/>
              </w:rPr>
              <w:t xml:space="preserve">The objectives need to be aligned and numbered in the same way in the HSS M&amp;E Framework </w:t>
            </w:r>
            <w:r>
              <w:rPr>
                <w:i/>
                <w:noProof/>
              </w:rPr>
              <w:lastRenderedPageBreak/>
              <w:t xml:space="preserve">(Attachment 3) and also in the detailed Budget, Workplan and Gap Analysis Template (Attachment 4). </w:t>
            </w:r>
          </w:p>
          <w:p w:rsidR="00B32A2A" w:rsidRPr="00B32A2A" w:rsidRDefault="00B32A2A" w:rsidP="00B32A2A">
            <w:pPr>
              <w:spacing w:before="120" w:after="120"/>
              <w:jc w:val="both"/>
              <w:rPr>
                <w:rFonts w:cs="Arial"/>
                <w:i/>
                <w:noProof/>
              </w:rPr>
            </w:pPr>
            <w:r>
              <w:rPr>
                <w:i/>
                <w:noProof/>
              </w:rPr>
              <w:t xml:space="preserve">For each objective, please describe: </w:t>
            </w:r>
          </w:p>
          <w:p w:rsidR="00B32A2A" w:rsidRPr="00B32A2A" w:rsidRDefault="00B32A2A" w:rsidP="00B32A2A">
            <w:pPr>
              <w:pStyle w:val="ListParagraph"/>
              <w:numPr>
                <w:ilvl w:val="0"/>
                <w:numId w:val="48"/>
              </w:numPr>
              <w:spacing w:before="120"/>
              <w:rPr>
                <w:rFonts w:cs="Arial"/>
                <w:noProof/>
                <w:color w:val="auto"/>
                <w:sz w:val="22"/>
                <w:szCs w:val="22"/>
              </w:rPr>
            </w:pPr>
            <w:r>
              <w:rPr>
                <w:noProof/>
                <w:color w:val="auto"/>
                <w:sz w:val="22"/>
              </w:rPr>
              <w:t>Which immunization outcomes will be improved by implementing the activities and how will the activities contribute to their improvement? Please focus on the key activities related to each objective rather than every single activity. Please demonstrate this link in the next section on the results chain.</w:t>
            </w:r>
          </w:p>
          <w:p w:rsidR="00B32A2A" w:rsidRPr="00B32A2A" w:rsidRDefault="00B32A2A" w:rsidP="00B32A2A">
            <w:pPr>
              <w:numPr>
                <w:ilvl w:val="0"/>
                <w:numId w:val="4"/>
              </w:numPr>
              <w:spacing w:before="120" w:after="120"/>
              <w:jc w:val="both"/>
              <w:rPr>
                <w:rFonts w:cs="Arial"/>
                <w:i/>
                <w:noProof/>
              </w:rPr>
            </w:pPr>
            <w:r>
              <w:rPr>
                <w:i/>
                <w:noProof/>
              </w:rPr>
              <w:t>Whether and how the proposed objectives relate to the equity and gender related barriers to access as identified in the bottleneck analysis and how the objectives will result in narrowing the equity gap in immunization coverage and contribute to reaching the unreached, under-served and marginalized populations? Countries are requested to consider gender related and geographic barriers to access of immunization and other health services.</w:t>
            </w:r>
          </w:p>
          <w:p w:rsidR="00B32A2A" w:rsidRPr="00B32A2A" w:rsidRDefault="00B32A2A" w:rsidP="00B32A2A">
            <w:pPr>
              <w:spacing w:before="120" w:after="120"/>
              <w:jc w:val="both"/>
              <w:rPr>
                <w:rFonts w:cs="Arial"/>
                <w:i/>
                <w:noProof/>
              </w:rPr>
            </w:pPr>
            <w:r>
              <w:rPr>
                <w:i/>
                <w:noProof/>
              </w:rPr>
              <w:t xml:space="preserve">→ Please list and describe all of the proposed activities in the Budget, Workplan and Gap Analysis Template. If the GAVI funding is requested to be put into a mechanism [sic]. </w:t>
            </w:r>
          </w:p>
          <w:p w:rsidR="00B32A2A" w:rsidRPr="00B32A2A" w:rsidRDefault="00B32A2A" w:rsidP="00B32A2A">
            <w:pPr>
              <w:spacing w:before="120" w:after="120"/>
              <w:jc w:val="both"/>
              <w:rPr>
                <w:rFonts w:cs="Arial"/>
                <w:i/>
                <w:noProof/>
              </w:rPr>
            </w:pPr>
            <w:r>
              <w:rPr>
                <w:i/>
                <w:noProof/>
              </w:rPr>
              <w:t>This description will be used to assess if the proposed key activities will be sufficient to achieve the identified immunization outcomes.</w:t>
            </w:r>
          </w:p>
        </w:tc>
      </w:tr>
      <w:tr w:rsidR="00B32A2A" w:rsidRPr="00B32A2A" w:rsidTr="00B32A2A">
        <w:trPr>
          <w:trHeight w:val="278"/>
        </w:trPr>
        <w:tc>
          <w:tcPr>
            <w:tcW w:w="10348" w:type="dxa"/>
            <w:shd w:val="clear" w:color="auto" w:fill="FFFFFF"/>
          </w:tcPr>
          <w:p w:rsidR="00B32A2A" w:rsidRPr="00B32A2A" w:rsidRDefault="00B32A2A" w:rsidP="00B32A2A">
            <w:pPr>
              <w:spacing w:before="120" w:after="120"/>
              <w:jc w:val="both"/>
              <w:rPr>
                <w:rFonts w:cs="Arial"/>
                <w:b/>
                <w:i/>
                <w:noProof/>
              </w:rPr>
            </w:pPr>
            <w:r>
              <w:rPr>
                <w:b/>
                <w:i/>
                <w:noProof/>
              </w:rPr>
              <w:lastRenderedPageBreak/>
              <w:t>TWO PAGES MAXIMUM</w:t>
            </w:r>
          </w:p>
          <w:p w:rsidR="00B32A2A" w:rsidRPr="00B32A2A" w:rsidRDefault="00B32A2A" w:rsidP="00B32A2A">
            <w:pPr>
              <w:jc w:val="both"/>
              <w:rPr>
                <w:rFonts w:cs="Arial"/>
                <w:b/>
                <w:noProof/>
              </w:rPr>
            </w:pPr>
            <w:r>
              <w:t xml:space="preserve">Objective 1: </w:t>
            </w:r>
            <w:r>
              <w:rPr>
                <w:b/>
              </w:rPr>
              <w:t>Improve accessibility to health services including quality immunization services, specifically within the 21 high-priority health districts</w:t>
            </w:r>
            <w:r>
              <w:t xml:space="preserve"> (the Budget is US$ 30,190,983 or 75.4% of the total budget).</w:t>
            </w:r>
          </w:p>
          <w:p w:rsidR="00B32A2A" w:rsidRPr="00B32A2A" w:rsidRDefault="00B32A2A" w:rsidP="00B32A2A">
            <w:pPr>
              <w:jc w:val="both"/>
              <w:rPr>
                <w:rFonts w:cs="Arial"/>
                <w:noProof/>
              </w:rPr>
            </w:pPr>
            <w:r>
              <w:t xml:space="preserve">To take inequity factors into account, the initiatives linked to this objective will be carried out within the 21 Health Districts selected, using the a criteria of Penta 3 lower than 80% (see </w:t>
            </w:r>
            <w:r w:rsidR="00FF4FCF">
              <w:t>annex</w:t>
            </w:r>
            <w:r>
              <w:t xml:space="preserve"> justifications for Priority DS): </w:t>
            </w:r>
          </w:p>
          <w:p w:rsidR="00B32A2A" w:rsidRPr="00B32A2A" w:rsidRDefault="00B32A2A" w:rsidP="00B32A2A">
            <w:pPr>
              <w:jc w:val="both"/>
              <w:rPr>
                <w:rFonts w:cs="Arial"/>
                <w:noProof/>
              </w:rPr>
            </w:pPr>
            <w:r>
              <w:t>Reaching this objective will be made possible by: the transformation of thirty (30) health huts into integrated health centers with related equipment; updating the cold chain; organization of fair-based strategies, outreach and mobile strategies, and the development of a specific strategies for nomadic zones and those that suffer from insecurity; improved human resource capacity; implementation of supervision; and, support, development, and implementation of micro-plans. The large investment for transforming health huts into IHCs with related equipment, once complete, will allow for cost reductions in mobile and outreach strategies. The amount for the cold chain will result in lower recurring charges.</w:t>
            </w:r>
          </w:p>
          <w:p w:rsidR="00B32A2A" w:rsidRPr="00B32A2A" w:rsidRDefault="00B32A2A" w:rsidP="00B32A2A">
            <w:pPr>
              <w:jc w:val="both"/>
              <w:rPr>
                <w:rFonts w:cs="Arial"/>
                <w:noProof/>
              </w:rPr>
            </w:pPr>
            <w:r>
              <w:t>This objective will contribute to removing the bottlenecks noted above (see OS1, Page 30).</w:t>
            </w:r>
          </w:p>
          <w:p w:rsidR="00B32A2A" w:rsidRPr="00B32A2A" w:rsidRDefault="00B32A2A" w:rsidP="00B32A2A">
            <w:pPr>
              <w:jc w:val="both"/>
              <w:rPr>
                <w:rFonts w:cs="Arial"/>
                <w:noProof/>
              </w:rPr>
            </w:pPr>
          </w:p>
          <w:p w:rsidR="00B32A2A" w:rsidRPr="00B32A2A" w:rsidRDefault="00B32A2A" w:rsidP="00B32A2A">
            <w:pPr>
              <w:jc w:val="both"/>
              <w:rPr>
                <w:rFonts w:cs="Arial"/>
                <w:noProof/>
              </w:rPr>
            </w:pPr>
            <w:r>
              <w:t xml:space="preserve">Objective 2:   </w:t>
            </w:r>
            <w:r>
              <w:rPr>
                <w:b/>
                <w:noProof/>
              </w:rPr>
              <w:t>Increase demand for delivery of health service and care, and particularly, for immunization at the national level. (</w:t>
            </w:r>
            <w:r>
              <w:t xml:space="preserve">the Budget is US$ 4,719,759, or 11.8% of the total budget). </w:t>
            </w:r>
          </w:p>
          <w:p w:rsidR="00B32A2A" w:rsidRPr="00B32A2A" w:rsidRDefault="00B32A2A" w:rsidP="00B32A2A">
            <w:pPr>
              <w:spacing w:after="0" w:line="240" w:lineRule="auto"/>
              <w:jc w:val="both"/>
              <w:rPr>
                <w:rFonts w:cs="Arial"/>
                <w:noProof/>
              </w:rPr>
            </w:pPr>
            <w:r>
              <w:t xml:space="preserve">Reaching this objective will be made possible by developing communication and social mobilization </w:t>
            </w:r>
            <w:r>
              <w:lastRenderedPageBreak/>
              <w:t>focused on changing behavior at the household level, opinion leaders and community health workers, and by surveys of attitudes and practices related to immunization. The training of community health workers and support for their initiatives will contribute to the strengthening of community participation in health activities, including immunization</w:t>
            </w:r>
          </w:p>
          <w:p w:rsidR="00B32A2A" w:rsidRPr="00B32A2A" w:rsidRDefault="00B32A2A" w:rsidP="00B32A2A">
            <w:pPr>
              <w:jc w:val="both"/>
              <w:rPr>
                <w:rFonts w:cs="Arial"/>
                <w:noProof/>
              </w:rPr>
            </w:pPr>
          </w:p>
          <w:p w:rsidR="00B32A2A" w:rsidRPr="00B32A2A" w:rsidRDefault="00B32A2A" w:rsidP="00B32A2A">
            <w:pPr>
              <w:jc w:val="both"/>
              <w:rPr>
                <w:rFonts w:cs="Arial"/>
                <w:noProof/>
              </w:rPr>
            </w:pPr>
            <w:r>
              <w:t>This objective will contribute to removing the bottlenecks noted above (see OS2, Page 30).</w:t>
            </w:r>
          </w:p>
          <w:p w:rsidR="00B32A2A" w:rsidRPr="00B32A2A" w:rsidRDefault="00B32A2A" w:rsidP="00B32A2A">
            <w:pPr>
              <w:jc w:val="both"/>
              <w:rPr>
                <w:rFonts w:cs="Arial"/>
                <w:b/>
                <w:noProof/>
              </w:rPr>
            </w:pPr>
            <w:r>
              <w:t xml:space="preserve"> Objective 3: </w:t>
            </w:r>
            <w:r>
              <w:rPr>
                <w:b/>
              </w:rPr>
              <w:t xml:space="preserve">Improve the quality and use of health information and M&amp;E activities for better strategic planning within the sector, </w:t>
            </w:r>
            <w:r>
              <w:t>(the Budget is US$ 3,305,510.4 or 8.3% of the total budget)</w:t>
            </w:r>
            <w:r>
              <w:rPr>
                <w:b/>
              </w:rPr>
              <w:t>.</w:t>
            </w:r>
            <w:r>
              <w:t xml:space="preserve"> </w:t>
            </w:r>
          </w:p>
          <w:p w:rsidR="00B32A2A" w:rsidRPr="00B32A2A" w:rsidRDefault="00B32A2A" w:rsidP="00B32A2A">
            <w:pPr>
              <w:spacing w:after="0"/>
              <w:jc w:val="both"/>
              <w:rPr>
                <w:rFonts w:cs="Arial"/>
                <w:noProof/>
              </w:rPr>
            </w:pPr>
            <w:r>
              <w:t>Reaching this objective will be made possible by support for implementing the strategic NHIS plan for 2013-2022; the data quality audits, surveys and monitoring and evaluation.</w:t>
            </w:r>
          </w:p>
          <w:p w:rsidR="00B32A2A" w:rsidRPr="00B32A2A" w:rsidRDefault="00B32A2A" w:rsidP="00B32A2A">
            <w:pPr>
              <w:jc w:val="both"/>
              <w:rPr>
                <w:rFonts w:cs="Arial"/>
                <w:noProof/>
              </w:rPr>
            </w:pPr>
            <w:r>
              <w:t>This objective will contribute to removing the bottlenecks noted above (see OS3, Page 30).</w:t>
            </w:r>
          </w:p>
          <w:p w:rsidR="00B32A2A" w:rsidRPr="00B32A2A" w:rsidRDefault="00B32A2A" w:rsidP="00B32A2A">
            <w:pPr>
              <w:jc w:val="both"/>
              <w:rPr>
                <w:rFonts w:cs="Arial"/>
                <w:b/>
                <w:noProof/>
              </w:rPr>
            </w:pPr>
            <w:r>
              <w:rPr>
                <w:b/>
                <w:noProof/>
              </w:rPr>
              <w:t xml:space="preserve">Objective 4: </w:t>
            </w:r>
            <w:r>
              <w:rPr>
                <w:b/>
              </w:rPr>
              <w:t>Increase the State's contribution to the funding of these health activities, including immunization</w:t>
            </w:r>
            <w:r>
              <w:t xml:space="preserve"> (the Budget is US$ 141,750.0 or 0.4% of the total budget).</w:t>
            </w:r>
          </w:p>
          <w:p w:rsidR="00B32A2A" w:rsidRPr="00B32A2A" w:rsidRDefault="00B32A2A" w:rsidP="00B32A2A">
            <w:pPr>
              <w:spacing w:after="0"/>
              <w:jc w:val="both"/>
              <w:rPr>
                <w:rFonts w:cs="Arial"/>
                <w:noProof/>
              </w:rPr>
            </w:pPr>
            <w:r>
              <w:t>This objective seeks to make health activities sustainable in Niger by having the State take responsibility for its leadership role by increasing its health funding contribution, consistently and efficiently.</w:t>
            </w:r>
          </w:p>
          <w:p w:rsidR="00B32A2A" w:rsidRPr="00B32A2A" w:rsidRDefault="00B32A2A" w:rsidP="00B32A2A">
            <w:pPr>
              <w:spacing w:after="0"/>
              <w:jc w:val="both"/>
              <w:rPr>
                <w:rFonts w:cs="Arial"/>
                <w:noProof/>
              </w:rPr>
            </w:pPr>
          </w:p>
          <w:p w:rsidR="00B32A2A" w:rsidRPr="00B32A2A" w:rsidRDefault="00B32A2A" w:rsidP="00B32A2A">
            <w:pPr>
              <w:jc w:val="both"/>
              <w:rPr>
                <w:rFonts w:cs="Arial"/>
                <w:noProof/>
              </w:rPr>
            </w:pPr>
            <w:r>
              <w:t>This objective will contribute to removing the bottlenecks noted above (see OS4, Page 30).</w:t>
            </w:r>
          </w:p>
          <w:p w:rsidR="00B32A2A" w:rsidRPr="00B32A2A" w:rsidRDefault="00B32A2A" w:rsidP="00B32A2A">
            <w:pPr>
              <w:spacing w:after="0"/>
              <w:jc w:val="both"/>
              <w:rPr>
                <w:rFonts w:cs="Arial"/>
                <w:b/>
                <w:noProof/>
              </w:rPr>
            </w:pPr>
            <w:r>
              <w:t xml:space="preserve"> </w:t>
            </w:r>
            <w:r>
              <w:rPr>
                <w:b/>
                <w:noProof/>
              </w:rPr>
              <w:t xml:space="preserve">Objective 5: </w:t>
            </w:r>
            <w:r>
              <w:rPr>
                <w:b/>
              </w:rPr>
              <w:t>Improve existing management mechanisms so as to implement an efficient and effective Program</w:t>
            </w:r>
            <w:r>
              <w:rPr>
                <w:b/>
                <w:noProof/>
              </w:rPr>
              <w:t xml:space="preserve"> </w:t>
            </w:r>
            <w:r>
              <w:t>(the Budget is US$ 1,667,091, or 4.2% of the total budget).</w:t>
            </w:r>
          </w:p>
          <w:p w:rsidR="00B32A2A" w:rsidRPr="00B32A2A" w:rsidRDefault="00B32A2A" w:rsidP="00B32A2A">
            <w:pPr>
              <w:spacing w:after="0" w:line="240" w:lineRule="auto"/>
              <w:jc w:val="both"/>
              <w:rPr>
                <w:rFonts w:cs="Arial"/>
                <w:noProof/>
              </w:rPr>
            </w:pPr>
          </w:p>
          <w:p w:rsidR="00B32A2A" w:rsidRPr="00B32A2A" w:rsidRDefault="00B32A2A" w:rsidP="00B32A2A">
            <w:pPr>
              <w:spacing w:after="0" w:line="240" w:lineRule="auto"/>
              <w:jc w:val="both"/>
              <w:rPr>
                <w:rFonts w:cs="Arial"/>
                <w:noProof/>
              </w:rPr>
            </w:pPr>
            <w:r>
              <w:t xml:space="preserve">This objective seeks to improve management of the Common Funds using tools, procedures and entities for a better implementation of the Program, and do so in accordance with the Paris Declaration. </w:t>
            </w:r>
          </w:p>
          <w:p w:rsidR="00B32A2A" w:rsidRPr="00B32A2A" w:rsidRDefault="00B32A2A" w:rsidP="00B32A2A">
            <w:pPr>
              <w:spacing w:after="0" w:line="240" w:lineRule="auto"/>
              <w:jc w:val="both"/>
              <w:rPr>
                <w:rFonts w:cs="Arial"/>
                <w:noProof/>
              </w:rPr>
            </w:pPr>
          </w:p>
          <w:p w:rsidR="00B32A2A" w:rsidRPr="00B32A2A" w:rsidRDefault="00B32A2A" w:rsidP="00B32A2A">
            <w:pPr>
              <w:jc w:val="both"/>
              <w:rPr>
                <w:rFonts w:cs="Arial"/>
                <w:noProof/>
              </w:rPr>
            </w:pPr>
            <w:r>
              <w:t>This objective will contribute to removing the bottlenecks noted above (see OS5, Page 30).</w:t>
            </w:r>
          </w:p>
          <w:p w:rsidR="00B32A2A" w:rsidRPr="00B32A2A" w:rsidRDefault="00B32A2A" w:rsidP="00B32A2A">
            <w:pPr>
              <w:numPr>
                <w:ilvl w:val="0"/>
                <w:numId w:val="12"/>
              </w:numPr>
              <w:spacing w:after="0"/>
              <w:jc w:val="both"/>
              <w:rPr>
                <w:rFonts w:cs="Arial"/>
                <w:b/>
                <w:i/>
                <w:noProof/>
              </w:rPr>
            </w:pPr>
          </w:p>
        </w:tc>
      </w:tr>
    </w:tbl>
    <w:p w:rsidR="00B32A2A" w:rsidRPr="00B32A2A" w:rsidRDefault="00B32A2A" w:rsidP="00B32A2A">
      <w:pPr>
        <w:rPr>
          <w:rFonts w:cs="Arial"/>
          <w:noProof/>
          <w:color w:val="FF0000"/>
        </w:rPr>
        <w:sectPr w:rsidR="00B32A2A" w:rsidRPr="00B32A2A" w:rsidSect="00B4413C">
          <w:pgSz w:w="11907" w:h="16839" w:code="9"/>
          <w:pgMar w:top="992" w:right="851" w:bottom="992" w:left="851" w:header="709" w:footer="709" w:gutter="0"/>
          <w:cols w:space="708"/>
          <w:docGrid w:linePitch="360"/>
        </w:sectPr>
      </w:pPr>
    </w:p>
    <w:p w:rsidR="00B32A2A" w:rsidRPr="00B32A2A" w:rsidRDefault="00B32A2A" w:rsidP="00B32A2A">
      <w:pPr>
        <w:rPr>
          <w:rFonts w:cs="Arial"/>
          <w:noProof/>
        </w:rPr>
      </w:pPr>
    </w:p>
    <w:tbl>
      <w:tblPr>
        <w:tblW w:w="15026" w:type="dxa"/>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283"/>
        <w:gridCol w:w="5101"/>
        <w:gridCol w:w="285"/>
        <w:gridCol w:w="141"/>
        <w:gridCol w:w="285"/>
        <w:gridCol w:w="4109"/>
        <w:gridCol w:w="285"/>
        <w:gridCol w:w="283"/>
        <w:gridCol w:w="3686"/>
        <w:gridCol w:w="284"/>
        <w:gridCol w:w="284"/>
      </w:tblGrid>
      <w:tr w:rsidR="00B32A2A" w:rsidRPr="00B32A2A" w:rsidTr="00B32A2A">
        <w:tc>
          <w:tcPr>
            <w:tcW w:w="15026" w:type="dxa"/>
            <w:gridSpan w:val="11"/>
            <w:tcBorders>
              <w:bottom w:val="single" w:sz="6" w:space="0" w:color="215868"/>
            </w:tcBorders>
            <w:shd w:val="clear" w:color="auto" w:fill="006460"/>
          </w:tcPr>
          <w:p w:rsidR="00B32A2A" w:rsidRPr="00B32A2A" w:rsidRDefault="00B32A2A" w:rsidP="00B32A2A">
            <w:pPr>
              <w:pStyle w:val="Heading2"/>
              <w:rPr>
                <w:rFonts w:ascii="Arial" w:hAnsi="Arial" w:cs="Arial"/>
                <w:noProof/>
                <w:color w:val="auto"/>
                <w:sz w:val="22"/>
                <w:szCs w:val="22"/>
              </w:rPr>
            </w:pPr>
            <w:bookmarkStart w:id="54" w:name="_Toc346116644"/>
            <w:bookmarkStart w:id="55" w:name="_Toc381123270"/>
            <w:bookmarkStart w:id="56" w:name="_Toc381566360"/>
            <w:r>
              <w:rPr>
                <w:rFonts w:ascii="Arial" w:hAnsi="Arial"/>
                <w:noProof/>
                <w:color w:val="auto"/>
                <w:sz w:val="22"/>
              </w:rPr>
              <w:t>8. Results Chain</w:t>
            </w:r>
            <w:bookmarkEnd w:id="54"/>
            <w:bookmarkEnd w:id="55"/>
            <w:bookmarkEnd w:id="56"/>
            <w:r>
              <w:tab/>
            </w:r>
          </w:p>
        </w:tc>
      </w:tr>
      <w:tr w:rsidR="00B32A2A" w:rsidRPr="00B32A2A" w:rsidTr="00B32A2A">
        <w:tc>
          <w:tcPr>
            <w:tcW w:w="15026" w:type="dxa"/>
            <w:gridSpan w:val="11"/>
            <w:shd w:val="clear" w:color="auto" w:fill="FFFFFF"/>
          </w:tcPr>
          <w:p w:rsidR="00B32A2A" w:rsidRPr="00B32A2A" w:rsidRDefault="00B32A2A" w:rsidP="00B32A2A">
            <w:pPr>
              <w:spacing w:before="120" w:after="120"/>
              <w:jc w:val="both"/>
              <w:rPr>
                <w:rFonts w:cs="Arial"/>
                <w:i/>
                <w:noProof/>
              </w:rPr>
            </w:pPr>
            <w:r>
              <w:rPr>
                <w:i/>
                <w:noProof/>
              </w:rPr>
              <w:t>This description will detail to GAVI how the proposed activities will result in improved immunization outcomes.</w:t>
            </w:r>
          </w:p>
          <w:p w:rsidR="00B32A2A" w:rsidRPr="00B32A2A" w:rsidRDefault="00B32A2A" w:rsidP="00B32A2A">
            <w:pPr>
              <w:pStyle w:val="ListParagraph"/>
              <w:ind w:left="0" w:right="55"/>
              <w:rPr>
                <w:rFonts w:cs="Arial"/>
                <w:i w:val="0"/>
                <w:noProof/>
                <w:color w:val="auto"/>
                <w:sz w:val="22"/>
                <w:szCs w:val="22"/>
              </w:rPr>
            </w:pPr>
            <w:r>
              <w:rPr>
                <w:i w:val="0"/>
                <w:noProof/>
                <w:color w:val="auto"/>
                <w:sz w:val="22"/>
              </w:rPr>
              <w:t xml:space="preserve">→ Please present a Results Chain using the template provided in the application form for each objective. This diagram should demonstrate how activities contribute to achieving outputs / intermediate results and how outputs/intermediate results contribute to achieving immunization outcomes. The medium-term outputs/results should directly link the bottlenecks identified in section 5, and should examine or help resolve bottlenecks selected for the GAVI/HSS proposal. </w:t>
            </w:r>
          </w:p>
          <w:p w:rsidR="00B32A2A" w:rsidRPr="00B32A2A" w:rsidRDefault="00B32A2A" w:rsidP="00B32A2A">
            <w:pPr>
              <w:pStyle w:val="ListParagraph"/>
              <w:ind w:left="0" w:right="55"/>
              <w:rPr>
                <w:rFonts w:cs="Arial"/>
                <w:i w:val="0"/>
                <w:noProof/>
                <w:color w:val="auto"/>
                <w:sz w:val="22"/>
                <w:szCs w:val="22"/>
              </w:rPr>
            </w:pPr>
            <w:r>
              <w:rPr>
                <w:i w:val="0"/>
                <w:noProof/>
                <w:color w:val="auto"/>
                <w:sz w:val="22"/>
              </w:rPr>
              <w:t>For each objective, please indicate four of five activities which are essential to achieving the mid-term and final results related to immunization. It is not required that all activities for each objective be mentioned. → The Results Chain should be consistent with the HSS M&amp;E Framework.</w:t>
            </w:r>
          </w:p>
          <w:p w:rsidR="00B32A2A" w:rsidRPr="00B32A2A" w:rsidRDefault="00B32A2A" w:rsidP="00B32A2A">
            <w:pPr>
              <w:pStyle w:val="ListParagraph"/>
              <w:ind w:left="0" w:right="55"/>
              <w:rPr>
                <w:rFonts w:cs="Arial"/>
                <w:i w:val="0"/>
                <w:noProof/>
                <w:color w:val="auto"/>
                <w:sz w:val="22"/>
                <w:szCs w:val="22"/>
              </w:rPr>
            </w:pPr>
            <w:r>
              <w:rPr>
                <w:i w:val="0"/>
                <w:noProof/>
                <w:color w:val="auto"/>
                <w:sz w:val="22"/>
              </w:rPr>
              <w:t>→ The results chain must be compatible with the HSS M&amp;E framework. For every output / intermediate result and immunization outcome listed in the Results Chain there should be corresponding indicator(s) in the HSS M&amp;E Framework to measure achievement.</w:t>
            </w:r>
          </w:p>
          <w:p w:rsidR="00B32A2A" w:rsidRPr="00B32A2A" w:rsidRDefault="00B32A2A" w:rsidP="00B32A2A">
            <w:pPr>
              <w:pStyle w:val="ListParagraph"/>
              <w:ind w:left="0" w:right="55"/>
              <w:rPr>
                <w:rFonts w:cs="Arial"/>
                <w:i w:val="0"/>
                <w:noProof/>
                <w:color w:val="auto"/>
                <w:sz w:val="22"/>
                <w:szCs w:val="22"/>
              </w:rPr>
            </w:pPr>
            <w:r>
              <w:rPr>
                <w:i w:val="0"/>
                <w:noProof/>
                <w:color w:val="auto"/>
                <w:sz w:val="22"/>
              </w:rPr>
              <w:t>→ Please note that a GAVI HSS proposal must include the six immunization outcome indicators listed in the Guidelines Key Terms Section. Applicants are encouraged to include other relevant vaccination outcome indicators as well, if they specifically relate to the part of the health system where the funds will be used.</w:t>
            </w:r>
          </w:p>
          <w:p w:rsidR="00B32A2A" w:rsidRPr="00B32A2A" w:rsidRDefault="00B32A2A" w:rsidP="00B32A2A">
            <w:pPr>
              <w:pStyle w:val="ListParagraph"/>
              <w:ind w:left="0" w:right="55"/>
              <w:rPr>
                <w:rFonts w:cs="Arial"/>
                <w:i w:val="0"/>
                <w:noProof/>
                <w:color w:val="auto"/>
                <w:sz w:val="22"/>
                <w:szCs w:val="22"/>
              </w:rPr>
            </w:pPr>
            <w:r>
              <w:rPr>
                <w:i w:val="0"/>
                <w:noProof/>
                <w:color w:val="auto"/>
                <w:sz w:val="22"/>
              </w:rPr>
              <w:t>→ Every mid-term or final outcome related to the results chain must have a corresponding indicator within the monitoring and evaluation plan.</w:t>
            </w:r>
          </w:p>
        </w:tc>
      </w:tr>
      <w:tr w:rsidR="00B32A2A" w:rsidRPr="00B32A2A" w:rsidTr="00B32A2A">
        <w:trPr>
          <w:trHeight w:val="663"/>
        </w:trPr>
        <w:tc>
          <w:tcPr>
            <w:tcW w:w="15026" w:type="dxa"/>
            <w:gridSpan w:val="11"/>
            <w:tcBorders>
              <w:bottom w:val="single" w:sz="4" w:space="0" w:color="auto"/>
            </w:tcBorders>
            <w:shd w:val="clear" w:color="auto" w:fill="FFFFFF"/>
          </w:tcPr>
          <w:p w:rsidR="00B32A2A" w:rsidRPr="00B32A2A" w:rsidRDefault="00B32A2A" w:rsidP="00B32A2A">
            <w:pPr>
              <w:widowControl/>
              <w:spacing w:after="0" w:line="240" w:lineRule="auto"/>
              <w:rPr>
                <w:rFonts w:cs="Arial"/>
                <w:b/>
                <w:noProof/>
              </w:rPr>
            </w:pPr>
            <w:r>
              <w:rPr>
                <w:b/>
                <w:noProof/>
                <w:u w:val="single"/>
              </w:rPr>
              <w:t>Objective 1: Objective description</w:t>
            </w:r>
            <w:r>
              <w:rPr>
                <w:b/>
                <w:noProof/>
              </w:rPr>
              <w:t xml:space="preserve">: Improve accessibility to health services including quality immunization services, specifically within the 21 high-priority health districts </w:t>
            </w:r>
          </w:p>
          <w:p w:rsidR="00B32A2A" w:rsidRPr="00B32A2A" w:rsidRDefault="00B32A2A" w:rsidP="00B32A2A">
            <w:pPr>
              <w:widowControl/>
              <w:spacing w:after="0" w:line="240" w:lineRule="auto"/>
              <w:rPr>
                <w:rFonts w:cs="Arial"/>
                <w:b/>
                <w:noProof/>
                <w:u w:val="single"/>
              </w:rPr>
            </w:pPr>
          </w:p>
        </w:tc>
      </w:tr>
      <w:tr w:rsidR="00B32A2A" w:rsidRPr="00B32A2A" w:rsidTr="00B32A2A">
        <w:trPr>
          <w:trHeight w:val="642"/>
        </w:trPr>
        <w:tc>
          <w:tcPr>
            <w:tcW w:w="283" w:type="dxa"/>
            <w:tcBorders>
              <w:top w:val="nil"/>
              <w:left w:val="single" w:sz="4" w:space="0" w:color="auto"/>
              <w:bottom w:val="nil"/>
              <w:right w:val="single" w:sz="4" w:space="0" w:color="auto"/>
            </w:tcBorders>
            <w:shd w:val="clear" w:color="auto" w:fill="FFFFFF"/>
          </w:tcPr>
          <w:p w:rsidR="00B32A2A" w:rsidRPr="00B32A2A" w:rsidRDefault="00B32A2A" w:rsidP="00B32A2A">
            <w:pPr>
              <w:spacing w:before="120" w:after="120"/>
              <w:jc w:val="both"/>
              <w:rPr>
                <w:rFonts w:cs="Arial"/>
                <w:b/>
                <w:i/>
                <w:noProof/>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EEECE1"/>
          </w:tcPr>
          <w:p w:rsidR="00B32A2A" w:rsidRPr="00B32A2A" w:rsidRDefault="00B32A2A" w:rsidP="00B32A2A">
            <w:pPr>
              <w:rPr>
                <w:rFonts w:cs="Arial"/>
                <w:b/>
                <w:noProof/>
              </w:rPr>
            </w:pPr>
            <w:r>
              <w:rPr>
                <w:b/>
                <w:noProof/>
              </w:rPr>
              <w:t>Key activities:</w:t>
            </w:r>
          </w:p>
          <w:p w:rsidR="00B32A2A" w:rsidRPr="00B32A2A" w:rsidRDefault="00B32A2A" w:rsidP="00B32A2A">
            <w:pPr>
              <w:numPr>
                <w:ilvl w:val="0"/>
                <w:numId w:val="13"/>
              </w:numPr>
              <w:spacing w:after="0"/>
              <w:ind w:left="357" w:hanging="357"/>
              <w:rPr>
                <w:rFonts w:cs="Arial"/>
                <w:noProof/>
              </w:rPr>
            </w:pPr>
            <w:r>
              <w:t xml:space="preserve">Extend health coverage by transforming health huts into IHCs, </w:t>
            </w:r>
          </w:p>
          <w:p w:rsidR="00B32A2A" w:rsidRPr="00B32A2A" w:rsidRDefault="00B32A2A" w:rsidP="00B32A2A">
            <w:pPr>
              <w:spacing w:after="0"/>
              <w:ind w:left="357"/>
              <w:rPr>
                <w:rFonts w:cs="Arial"/>
                <w:noProof/>
              </w:rPr>
            </w:pPr>
          </w:p>
          <w:p w:rsidR="00B32A2A" w:rsidRPr="00B32A2A" w:rsidRDefault="00B32A2A" w:rsidP="00B32A2A">
            <w:pPr>
              <w:numPr>
                <w:ilvl w:val="0"/>
                <w:numId w:val="13"/>
              </w:numPr>
              <w:spacing w:after="0"/>
              <w:ind w:left="357" w:hanging="357"/>
              <w:rPr>
                <w:rFonts w:cs="Arial"/>
                <w:noProof/>
              </w:rPr>
            </w:pPr>
            <w:r>
              <w:t>Support the implementation of specific strategies (mobile and fairs) to contact difficult-to-access populations,</w:t>
            </w:r>
          </w:p>
          <w:p w:rsidR="00B32A2A" w:rsidRPr="00B32A2A" w:rsidRDefault="00B32A2A" w:rsidP="00B32A2A">
            <w:pPr>
              <w:spacing w:after="0"/>
              <w:ind w:left="357"/>
              <w:rPr>
                <w:rFonts w:cs="Arial"/>
                <w:noProof/>
              </w:rPr>
            </w:pPr>
          </w:p>
          <w:p w:rsidR="00B32A2A" w:rsidRPr="00B32A2A" w:rsidRDefault="00B32A2A" w:rsidP="00B32A2A">
            <w:pPr>
              <w:numPr>
                <w:ilvl w:val="0"/>
                <w:numId w:val="13"/>
              </w:numPr>
              <w:spacing w:after="0"/>
              <w:ind w:left="357" w:hanging="357"/>
              <w:rPr>
                <w:rFonts w:cs="Arial"/>
                <w:noProof/>
              </w:rPr>
            </w:pPr>
            <w:r>
              <w:t>Improve logistics (vehicles and equipment) as well as the cold chain,</w:t>
            </w:r>
          </w:p>
          <w:p w:rsidR="00B32A2A" w:rsidRPr="00B32A2A" w:rsidRDefault="00B32A2A" w:rsidP="00B32A2A">
            <w:pPr>
              <w:numPr>
                <w:ilvl w:val="0"/>
                <w:numId w:val="13"/>
              </w:numPr>
              <w:spacing w:after="0"/>
              <w:ind w:left="357" w:hanging="357"/>
              <w:rPr>
                <w:rFonts w:cs="Arial"/>
                <w:noProof/>
              </w:rPr>
            </w:pPr>
            <w:r>
              <w:t xml:space="preserve">Improve skills of health sector personnel, </w:t>
            </w:r>
          </w:p>
          <w:p w:rsidR="00B32A2A" w:rsidRPr="00B32A2A" w:rsidRDefault="00B32A2A" w:rsidP="00B32A2A">
            <w:pPr>
              <w:numPr>
                <w:ilvl w:val="0"/>
                <w:numId w:val="13"/>
              </w:numPr>
              <w:spacing w:after="0"/>
              <w:ind w:left="357" w:hanging="357"/>
              <w:rPr>
                <w:rFonts w:cs="Arial"/>
                <w:noProof/>
              </w:rPr>
            </w:pPr>
            <w:r>
              <w:t>Support development and implementation of AAPs and district/IHC micro-plans.</w:t>
            </w:r>
          </w:p>
        </w:tc>
        <w:tc>
          <w:tcPr>
            <w:tcW w:w="426" w:type="dxa"/>
            <w:gridSpan w:val="2"/>
            <w:tcBorders>
              <w:top w:val="nil"/>
              <w:left w:val="single" w:sz="4" w:space="0" w:color="auto"/>
              <w:bottom w:val="nil"/>
              <w:right w:val="single" w:sz="4" w:space="0" w:color="auto"/>
            </w:tcBorders>
            <w:shd w:val="clear" w:color="auto" w:fill="FFFFFF"/>
          </w:tcPr>
          <w:p w:rsidR="00B32A2A" w:rsidRPr="00B32A2A" w:rsidRDefault="00B32A2A" w:rsidP="00B32A2A">
            <w:pPr>
              <w:spacing w:before="120" w:after="120"/>
              <w:rPr>
                <w:rFonts w:cs="Arial"/>
                <w:b/>
                <w:i/>
                <w:noProof/>
              </w:rPr>
            </w:pPr>
          </w:p>
          <w:p w:rsidR="00B32A2A" w:rsidRPr="00B32A2A" w:rsidRDefault="00B32A2A" w:rsidP="00B32A2A">
            <w:pPr>
              <w:spacing w:before="120" w:after="120"/>
              <w:rPr>
                <w:rFonts w:cs="Arial"/>
                <w:b/>
                <w:i/>
                <w:noProof/>
              </w:rPr>
            </w:pPr>
            <w:r>
              <w:rPr>
                <w:rFonts w:cs="Arial"/>
                <w:b/>
                <w:i/>
                <w:noProof/>
                <w:lang w:bidi="ar-SA"/>
              </w:rPr>
              <mc:AlternateContent>
                <mc:Choice Requires="wps">
                  <w:drawing>
                    <wp:anchor distT="4294967295" distB="4294967295" distL="114300" distR="114300" simplePos="0" relativeHeight="251664384" behindDoc="0" locked="0" layoutInCell="1" allowOverlap="1" wp14:anchorId="1E0A133E" wp14:editId="0390E980">
                      <wp:simplePos x="0" y="0"/>
                      <wp:positionH relativeFrom="column">
                        <wp:posOffset>-17145</wp:posOffset>
                      </wp:positionH>
                      <wp:positionV relativeFrom="paragraph">
                        <wp:posOffset>153034</wp:posOffset>
                      </wp:positionV>
                      <wp:extent cx="187325" cy="0"/>
                      <wp:effectExtent l="0" t="76200" r="22225" b="95250"/>
                      <wp:wrapNone/>
                      <wp:docPr id="13"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xmlns:o="urn:schemas-microsoft-com:office:office" xmlns:v="urn:schemas-microsoft-com:vml" id="AutoShape 131" o:spid="_x0000_s1026" type="#_x0000_t32" style="position:absolute;margin-left:-1.35pt;margin-top:12.05pt;width:14.7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GzNAIAAF8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">
                      <v:stroke endarrow="block"/>
                    </v:shape>
                  </w:pict>
                </mc:Fallback>
              </mc:AlternateContent>
            </w:r>
          </w:p>
        </w:tc>
        <w:tc>
          <w:tcPr>
            <w:tcW w:w="4394" w:type="dxa"/>
            <w:gridSpan w:val="2"/>
            <w:tcBorders>
              <w:top w:val="single" w:sz="4" w:space="0" w:color="auto"/>
              <w:left w:val="single" w:sz="4" w:space="0" w:color="auto"/>
              <w:bottom w:val="single" w:sz="4" w:space="0" w:color="auto"/>
              <w:right w:val="single" w:sz="4" w:space="0" w:color="auto"/>
            </w:tcBorders>
            <w:shd w:val="clear" w:color="auto" w:fill="DBE5F1"/>
          </w:tcPr>
          <w:p w:rsidR="00B32A2A" w:rsidRPr="00B32A2A" w:rsidRDefault="00B32A2A" w:rsidP="00B32A2A">
            <w:pPr>
              <w:rPr>
                <w:rFonts w:cs="Arial"/>
                <w:b/>
                <w:noProof/>
              </w:rPr>
            </w:pPr>
            <w:r>
              <w:rPr>
                <w:b/>
                <w:noProof/>
              </w:rPr>
              <w:t>Outputs / Intermediate outcomes:</w:t>
            </w:r>
          </w:p>
          <w:p w:rsidR="00B32A2A" w:rsidRPr="00B32A2A" w:rsidRDefault="00B32A2A" w:rsidP="00B32A2A">
            <w:pPr>
              <w:rPr>
                <w:rFonts w:cs="Arial"/>
                <w:noProof/>
              </w:rPr>
            </w:pPr>
            <w:r>
              <w:t xml:space="preserve">Basic health services, including immunization, are available </w:t>
            </w:r>
          </w:p>
          <w:p w:rsidR="00B32A2A" w:rsidRPr="00B32A2A" w:rsidRDefault="00B32A2A" w:rsidP="00B32A2A">
            <w:pPr>
              <w:rPr>
                <w:rFonts w:cs="Arial"/>
                <w:noProof/>
              </w:rPr>
            </w:pPr>
          </w:p>
          <w:p w:rsidR="00B32A2A" w:rsidRPr="00B32A2A" w:rsidRDefault="00B32A2A" w:rsidP="00B32A2A">
            <w:pPr>
              <w:rPr>
                <w:rFonts w:cs="Arial"/>
                <w:noProof/>
              </w:rPr>
            </w:pPr>
            <w:r>
              <w:t xml:space="preserve"> </w:t>
            </w:r>
          </w:p>
          <w:p w:rsidR="00B32A2A" w:rsidRPr="00B32A2A" w:rsidRDefault="00B32A2A" w:rsidP="00B32A2A">
            <w:pPr>
              <w:rPr>
                <w:rFonts w:cs="Arial"/>
                <w:noProof/>
              </w:rPr>
            </w:pPr>
            <w:r>
              <w:t>Improved equity with regard to geographical accessibility to basic health care services, including immunization, in the 21 health districts.</w:t>
            </w:r>
          </w:p>
          <w:p w:rsidR="00B32A2A" w:rsidRPr="00B32A2A" w:rsidRDefault="00B32A2A" w:rsidP="00B32A2A">
            <w:pPr>
              <w:rPr>
                <w:rFonts w:cs="Arial"/>
                <w:noProof/>
              </w:rPr>
            </w:pPr>
            <w:r>
              <w:t xml:space="preserve">Improved quality of health care services, including immunization, in the 21 health districts. </w:t>
            </w:r>
          </w:p>
        </w:tc>
        <w:tc>
          <w:tcPr>
            <w:tcW w:w="283" w:type="dxa"/>
            <w:tcBorders>
              <w:top w:val="nil"/>
              <w:left w:val="single" w:sz="4" w:space="0" w:color="auto"/>
              <w:bottom w:val="nil"/>
              <w:right w:val="single" w:sz="4" w:space="0" w:color="auto"/>
            </w:tcBorders>
            <w:shd w:val="clear" w:color="auto" w:fill="FFFFFF"/>
          </w:tcPr>
          <w:p w:rsidR="00B32A2A" w:rsidRPr="00B32A2A" w:rsidRDefault="00B32A2A" w:rsidP="00B32A2A">
            <w:pPr>
              <w:spacing w:before="120" w:after="120"/>
              <w:rPr>
                <w:rFonts w:cs="Arial"/>
                <w:b/>
                <w:i/>
                <w:noProof/>
              </w:rPr>
            </w:pPr>
            <w:r>
              <w:rPr>
                <w:rFonts w:cs="Arial"/>
                <w:b/>
                <w:i/>
                <w:noProof/>
                <w:lang w:bidi="ar-SA"/>
              </w:rPr>
              <w:lastRenderedPageBreak/>
              <mc:AlternateContent>
                <mc:Choice Requires="wps">
                  <w:drawing>
                    <wp:anchor distT="0" distB="0" distL="114300" distR="114300" simplePos="0" relativeHeight="251665408" behindDoc="0" locked="0" layoutInCell="1" allowOverlap="1" wp14:anchorId="695A7AE9" wp14:editId="4F2A2B50">
                      <wp:simplePos x="0" y="0"/>
                      <wp:positionH relativeFrom="column">
                        <wp:posOffset>-34925</wp:posOffset>
                      </wp:positionH>
                      <wp:positionV relativeFrom="paragraph">
                        <wp:posOffset>457835</wp:posOffset>
                      </wp:positionV>
                      <wp:extent cx="125730" cy="635"/>
                      <wp:effectExtent l="0" t="76200" r="26670" b="94615"/>
                      <wp:wrapNone/>
                      <wp:docPr id="12"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xmlns:o="urn:schemas-microsoft-com:office:office" xmlns:v="urn:schemas-microsoft-com:vml" id="AutoShape 141" o:spid="_x0000_s1026" type="#_x0000_t32" style="position:absolute;margin-left:-2.75pt;margin-top:36.05pt;width:9.9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">
                      <v:stroke endarrow="block"/>
                    </v:shape>
                  </w:pict>
                </mc:Fallback>
              </mc:AlternateContent>
            </w:r>
          </w:p>
        </w:tc>
        <w:tc>
          <w:tcPr>
            <w:tcW w:w="3970" w:type="dxa"/>
            <w:gridSpan w:val="2"/>
            <w:tcBorders>
              <w:top w:val="single" w:sz="4" w:space="0" w:color="auto"/>
              <w:left w:val="single" w:sz="4" w:space="0" w:color="auto"/>
              <w:bottom w:val="single" w:sz="4" w:space="0" w:color="auto"/>
              <w:right w:val="single" w:sz="4" w:space="0" w:color="auto"/>
            </w:tcBorders>
            <w:shd w:val="clear" w:color="auto" w:fill="F2DBDB"/>
          </w:tcPr>
          <w:p w:rsidR="00B32A2A" w:rsidRPr="00B32A2A" w:rsidRDefault="00B32A2A" w:rsidP="00B32A2A">
            <w:pPr>
              <w:rPr>
                <w:rFonts w:cs="Arial"/>
                <w:b/>
                <w:noProof/>
              </w:rPr>
            </w:pPr>
            <w:r>
              <w:rPr>
                <w:b/>
                <w:noProof/>
              </w:rPr>
              <w:t>Immunization outcomes:</w:t>
            </w:r>
          </w:p>
          <w:p w:rsidR="00B32A2A" w:rsidRPr="00B32A2A" w:rsidRDefault="00B32A2A" w:rsidP="00B32A2A">
            <w:pPr>
              <w:rPr>
                <w:rFonts w:cs="Arial"/>
                <w:b/>
                <w:noProof/>
              </w:rPr>
            </w:pPr>
            <w:r>
              <w:rPr>
                <w:b/>
                <w:noProof/>
              </w:rPr>
              <w:t xml:space="preserve">The amount of the population that has access to immunization </w:t>
            </w:r>
            <w:r>
              <w:rPr>
                <w:b/>
                <w:noProof/>
              </w:rPr>
              <w:lastRenderedPageBreak/>
              <w:t>services using national immunization strategies (fixed, outreach and mobile) has increased;</w:t>
            </w:r>
          </w:p>
          <w:p w:rsidR="00B32A2A" w:rsidRPr="00B32A2A" w:rsidRDefault="00B32A2A" w:rsidP="00B32A2A">
            <w:pPr>
              <w:rPr>
                <w:rFonts w:cs="Arial"/>
                <w:b/>
                <w:noProof/>
              </w:rPr>
            </w:pPr>
            <w:r>
              <w:rPr>
                <w:b/>
                <w:noProof/>
              </w:rPr>
              <w:t>Improved socio-economic equity with regards to immunization coverage;</w:t>
            </w:r>
          </w:p>
          <w:p w:rsidR="00B32A2A" w:rsidRPr="00B32A2A" w:rsidRDefault="00B32A2A" w:rsidP="00B32A2A">
            <w:pPr>
              <w:rPr>
                <w:rFonts w:cs="Arial"/>
                <w:b/>
                <w:noProof/>
              </w:rPr>
            </w:pPr>
            <w:r>
              <w:rPr>
                <w:b/>
                <w:noProof/>
              </w:rPr>
              <w:t>The rate of children who are fully vaccinated has improved.</w:t>
            </w:r>
          </w:p>
          <w:p w:rsidR="00B32A2A" w:rsidRPr="00B32A2A" w:rsidRDefault="00B32A2A" w:rsidP="00B32A2A">
            <w:pPr>
              <w:rPr>
                <w:rFonts w:cs="Arial"/>
                <w:b/>
                <w:noProof/>
              </w:rPr>
            </w:pPr>
          </w:p>
        </w:tc>
        <w:tc>
          <w:tcPr>
            <w:tcW w:w="284" w:type="dxa"/>
            <w:tcBorders>
              <w:top w:val="nil"/>
              <w:left w:val="single" w:sz="4" w:space="0" w:color="auto"/>
              <w:bottom w:val="nil"/>
              <w:right w:val="single" w:sz="4" w:space="0" w:color="auto"/>
            </w:tcBorders>
            <w:shd w:val="clear" w:color="auto" w:fill="FFFFFF"/>
          </w:tcPr>
          <w:p w:rsidR="00B32A2A" w:rsidRPr="00B32A2A" w:rsidRDefault="00B32A2A" w:rsidP="00B32A2A">
            <w:pPr>
              <w:spacing w:before="120" w:after="120"/>
              <w:jc w:val="both"/>
              <w:rPr>
                <w:rFonts w:cs="Arial"/>
                <w:b/>
                <w:i/>
                <w:noProof/>
              </w:rPr>
            </w:pPr>
          </w:p>
        </w:tc>
      </w:tr>
      <w:tr w:rsidR="00B32A2A" w:rsidRPr="00B32A2A" w:rsidTr="00B32A2A">
        <w:trPr>
          <w:trHeight w:val="642"/>
        </w:trPr>
        <w:tc>
          <w:tcPr>
            <w:tcW w:w="14742" w:type="dxa"/>
            <w:gridSpan w:val="10"/>
            <w:tcBorders>
              <w:top w:val="single" w:sz="4" w:space="0" w:color="auto"/>
              <w:left w:val="single" w:sz="4" w:space="0" w:color="auto"/>
              <w:bottom w:val="single" w:sz="4" w:space="0" w:color="auto"/>
              <w:right w:val="single" w:sz="4" w:space="0" w:color="auto"/>
            </w:tcBorders>
            <w:shd w:val="clear" w:color="auto" w:fill="FFFFFF"/>
          </w:tcPr>
          <w:p w:rsidR="00B32A2A" w:rsidRPr="00B32A2A" w:rsidRDefault="00B32A2A" w:rsidP="00B32A2A">
            <w:pPr>
              <w:spacing w:after="0" w:line="240" w:lineRule="auto"/>
              <w:ind w:left="720"/>
              <w:rPr>
                <w:rFonts w:cs="Arial"/>
                <w:b/>
                <w:i/>
                <w:noProof/>
                <w:u w:val="single"/>
              </w:rPr>
            </w:pPr>
          </w:p>
          <w:p w:rsidR="00B32A2A" w:rsidRPr="00B32A2A" w:rsidRDefault="00B32A2A" w:rsidP="00B32A2A">
            <w:pPr>
              <w:spacing w:after="0" w:line="240" w:lineRule="auto"/>
              <w:rPr>
                <w:rFonts w:cs="Arial"/>
                <w:noProof/>
              </w:rPr>
            </w:pPr>
            <w:r>
              <w:rPr>
                <w:b/>
                <w:noProof/>
                <w:u w:val="single"/>
              </w:rPr>
              <w:t xml:space="preserve">Objective 2: Objective description: </w:t>
            </w:r>
            <w:r>
              <w:rPr>
                <w:b/>
                <w:noProof/>
              </w:rPr>
              <w:t>Increase demand for delivery of health service and care, and particularly, for immunization at the national level.</w:t>
            </w:r>
          </w:p>
          <w:p w:rsidR="00B32A2A" w:rsidRPr="00B32A2A" w:rsidRDefault="00B32A2A" w:rsidP="00B32A2A">
            <w:pPr>
              <w:spacing w:after="0" w:line="240" w:lineRule="auto"/>
              <w:rPr>
                <w:rFonts w:cs="Arial"/>
                <w:b/>
                <w:i/>
                <w:noProof/>
              </w:rPr>
            </w:pPr>
            <w:r>
              <w:rPr>
                <w:b/>
                <w:i/>
                <w:noProof/>
              </w:rPr>
              <w:t xml:space="preserve"> </w:t>
            </w:r>
          </w:p>
        </w:tc>
        <w:tc>
          <w:tcPr>
            <w:tcW w:w="284" w:type="dxa"/>
            <w:tcBorders>
              <w:top w:val="nil"/>
              <w:left w:val="single" w:sz="4" w:space="0" w:color="auto"/>
              <w:bottom w:val="nil"/>
              <w:right w:val="single" w:sz="4" w:space="0" w:color="auto"/>
            </w:tcBorders>
            <w:shd w:val="clear" w:color="auto" w:fill="FFFFFF"/>
          </w:tcPr>
          <w:p w:rsidR="00B32A2A" w:rsidRPr="00B32A2A" w:rsidRDefault="00B32A2A" w:rsidP="00B32A2A">
            <w:pPr>
              <w:spacing w:before="120" w:after="120"/>
              <w:jc w:val="both"/>
              <w:rPr>
                <w:rFonts w:cs="Arial"/>
                <w:b/>
                <w:i/>
                <w:noProof/>
              </w:rPr>
            </w:pPr>
          </w:p>
        </w:tc>
      </w:tr>
      <w:tr w:rsidR="00B32A2A" w:rsidRPr="00B32A2A" w:rsidTr="00B32A2A">
        <w:trPr>
          <w:trHeight w:val="642"/>
        </w:trPr>
        <w:tc>
          <w:tcPr>
            <w:tcW w:w="283" w:type="dxa"/>
            <w:tcBorders>
              <w:top w:val="nil"/>
              <w:left w:val="single" w:sz="4" w:space="0" w:color="auto"/>
              <w:bottom w:val="nil"/>
              <w:right w:val="single" w:sz="4" w:space="0" w:color="auto"/>
            </w:tcBorders>
            <w:shd w:val="clear" w:color="auto" w:fill="FFFFFF"/>
          </w:tcPr>
          <w:p w:rsidR="00B32A2A" w:rsidRPr="00B32A2A" w:rsidRDefault="00B32A2A" w:rsidP="00B32A2A">
            <w:pPr>
              <w:spacing w:before="120" w:after="120"/>
              <w:jc w:val="both"/>
              <w:rPr>
                <w:rFonts w:cs="Arial"/>
                <w:b/>
                <w:i/>
                <w:noProof/>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EEECE1"/>
          </w:tcPr>
          <w:p w:rsidR="00B32A2A" w:rsidRPr="00B32A2A" w:rsidRDefault="00B32A2A" w:rsidP="00B32A2A">
            <w:pPr>
              <w:rPr>
                <w:rFonts w:cs="Arial"/>
                <w:b/>
                <w:noProof/>
              </w:rPr>
            </w:pPr>
            <w:r>
              <w:rPr>
                <w:b/>
                <w:noProof/>
              </w:rPr>
              <w:t>Key activities:</w:t>
            </w:r>
          </w:p>
          <w:p w:rsidR="00B32A2A" w:rsidRPr="00B32A2A" w:rsidRDefault="00B32A2A" w:rsidP="00B32A2A">
            <w:pPr>
              <w:numPr>
                <w:ilvl w:val="0"/>
                <w:numId w:val="14"/>
              </w:numPr>
              <w:spacing w:after="0"/>
              <w:ind w:left="357" w:hanging="357"/>
              <w:rPr>
                <w:rFonts w:cs="Arial"/>
                <w:noProof/>
              </w:rPr>
            </w:pPr>
            <w:r>
              <w:t>Improve involved parties' skill level with regards to communication and social mobilization</w:t>
            </w:r>
          </w:p>
          <w:p w:rsidR="00B32A2A" w:rsidRPr="00B32A2A" w:rsidRDefault="00B32A2A" w:rsidP="00B32A2A">
            <w:pPr>
              <w:numPr>
                <w:ilvl w:val="0"/>
                <w:numId w:val="14"/>
              </w:numPr>
              <w:spacing w:after="0"/>
              <w:ind w:left="357" w:hanging="357"/>
              <w:rPr>
                <w:rFonts w:cs="Arial"/>
                <w:noProof/>
              </w:rPr>
            </w:pPr>
            <w:r>
              <w:t>Implementation advocacy, social mobilization and communication activities to change behavior</w:t>
            </w:r>
          </w:p>
          <w:p w:rsidR="00B32A2A" w:rsidRPr="00B32A2A" w:rsidRDefault="00B32A2A" w:rsidP="00B32A2A">
            <w:pPr>
              <w:pStyle w:val="ListParagraph"/>
              <w:numPr>
                <w:ilvl w:val="0"/>
                <w:numId w:val="14"/>
              </w:numPr>
              <w:spacing w:after="0" w:line="240" w:lineRule="auto"/>
              <w:rPr>
                <w:rFonts w:eastAsia="Calibri" w:cs="Arial"/>
                <w:i w:val="0"/>
                <w:noProof/>
                <w:color w:val="auto"/>
                <w:sz w:val="22"/>
                <w:szCs w:val="22"/>
              </w:rPr>
            </w:pPr>
            <w:r>
              <w:rPr>
                <w:i w:val="0"/>
                <w:noProof/>
                <w:color w:val="auto"/>
                <w:sz w:val="22"/>
              </w:rPr>
              <w:t>Increase community participation in health-related activities, including immunization</w:t>
            </w:r>
          </w:p>
          <w:p w:rsidR="00B32A2A" w:rsidRPr="00B32A2A" w:rsidRDefault="00B32A2A" w:rsidP="00B32A2A">
            <w:pPr>
              <w:numPr>
                <w:ilvl w:val="0"/>
                <w:numId w:val="14"/>
              </w:numPr>
              <w:spacing w:after="0"/>
              <w:ind w:left="357" w:hanging="357"/>
              <w:rPr>
                <w:rFonts w:cs="Arial"/>
                <w:noProof/>
              </w:rPr>
            </w:pPr>
            <w:r>
              <w:lastRenderedPageBreak/>
              <w:t>Implement operational research activities</w:t>
            </w:r>
          </w:p>
        </w:tc>
        <w:tc>
          <w:tcPr>
            <w:tcW w:w="426" w:type="dxa"/>
            <w:gridSpan w:val="2"/>
            <w:tcBorders>
              <w:top w:val="nil"/>
              <w:left w:val="single" w:sz="4" w:space="0" w:color="auto"/>
              <w:bottom w:val="nil"/>
              <w:right w:val="single" w:sz="4" w:space="0" w:color="auto"/>
            </w:tcBorders>
            <w:shd w:val="clear" w:color="auto" w:fill="FFFFFF"/>
          </w:tcPr>
          <w:p w:rsidR="00B32A2A" w:rsidRPr="00B32A2A" w:rsidRDefault="00B32A2A" w:rsidP="00B32A2A">
            <w:pPr>
              <w:spacing w:before="120" w:after="120"/>
              <w:jc w:val="both"/>
              <w:rPr>
                <w:rFonts w:cs="Arial"/>
                <w:b/>
                <w:i/>
                <w:noProof/>
              </w:rPr>
            </w:pPr>
            <w:r>
              <w:rPr>
                <w:rFonts w:cs="Arial"/>
                <w:b/>
                <w:i/>
                <w:noProof/>
                <w:lang w:bidi="ar-SA"/>
              </w:rPr>
              <w:lastRenderedPageBreak/>
              <mc:AlternateContent>
                <mc:Choice Requires="wps">
                  <w:drawing>
                    <wp:anchor distT="4294967295" distB="4294967295" distL="114300" distR="114300" simplePos="0" relativeHeight="251666432" behindDoc="0" locked="0" layoutInCell="1" allowOverlap="1" wp14:anchorId="1FCC80C5" wp14:editId="0374BDD7">
                      <wp:simplePos x="0" y="0"/>
                      <wp:positionH relativeFrom="column">
                        <wp:posOffset>-17145</wp:posOffset>
                      </wp:positionH>
                      <wp:positionV relativeFrom="paragraph">
                        <wp:posOffset>399414</wp:posOffset>
                      </wp:positionV>
                      <wp:extent cx="187325" cy="0"/>
                      <wp:effectExtent l="0" t="76200" r="22225" b="95250"/>
                      <wp:wrapNone/>
                      <wp:docPr id="11"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xmlns:o="urn:schemas-microsoft-com:office:office" xmlns:v="urn:schemas-microsoft-com:vml" id="AutoShape 142" o:spid="_x0000_s1026" type="#_x0000_t32" style="position:absolute;margin-left:-1.35pt;margin-top:31.45pt;width:14.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S0MwIAAF8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">
                      <v:stroke endarrow="block"/>
                    </v:shape>
                  </w:pict>
                </mc:Fallback>
              </mc:AlternateContent>
            </w:r>
          </w:p>
        </w:tc>
        <w:tc>
          <w:tcPr>
            <w:tcW w:w="4394" w:type="dxa"/>
            <w:gridSpan w:val="2"/>
            <w:tcBorders>
              <w:top w:val="single" w:sz="4" w:space="0" w:color="auto"/>
              <w:left w:val="single" w:sz="4" w:space="0" w:color="auto"/>
              <w:bottom w:val="single" w:sz="4" w:space="0" w:color="auto"/>
              <w:right w:val="single" w:sz="4" w:space="0" w:color="auto"/>
            </w:tcBorders>
            <w:shd w:val="clear" w:color="auto" w:fill="DBE5F1"/>
          </w:tcPr>
          <w:p w:rsidR="00B32A2A" w:rsidRPr="00B32A2A" w:rsidRDefault="00B32A2A" w:rsidP="00B32A2A">
            <w:pPr>
              <w:jc w:val="both"/>
              <w:rPr>
                <w:rFonts w:cs="Arial"/>
                <w:noProof/>
              </w:rPr>
            </w:pPr>
            <w:r>
              <w:t>Outputs / Intermediate outcomes:</w:t>
            </w:r>
          </w:p>
          <w:p w:rsidR="00B32A2A" w:rsidRPr="00B32A2A" w:rsidRDefault="00B32A2A" w:rsidP="00B32A2A">
            <w:pPr>
              <w:rPr>
                <w:rFonts w:cs="Arial"/>
                <w:noProof/>
              </w:rPr>
            </w:pPr>
            <w:r>
              <w:t xml:space="preserve">The population is better informed/aware and participate more often in immunization activities </w:t>
            </w:r>
          </w:p>
          <w:p w:rsidR="00B32A2A" w:rsidRPr="00B32A2A" w:rsidRDefault="00B32A2A" w:rsidP="00B32A2A">
            <w:pPr>
              <w:rPr>
                <w:rFonts w:cs="Arial"/>
                <w:noProof/>
              </w:rPr>
            </w:pPr>
          </w:p>
          <w:p w:rsidR="00B32A2A" w:rsidRPr="00B32A2A" w:rsidRDefault="00B32A2A" w:rsidP="00B32A2A">
            <w:pPr>
              <w:rPr>
                <w:rFonts w:cs="Arial"/>
                <w:noProof/>
              </w:rPr>
            </w:pPr>
            <w:r>
              <w:t xml:space="preserve">The health committees' participation in </w:t>
            </w:r>
            <w:r>
              <w:lastRenderedPageBreak/>
              <w:t xml:space="preserve">immunization is effective </w:t>
            </w:r>
          </w:p>
          <w:p w:rsidR="00B32A2A" w:rsidRPr="00B32A2A" w:rsidRDefault="00B32A2A" w:rsidP="00B32A2A">
            <w:pPr>
              <w:rPr>
                <w:rFonts w:cs="Arial"/>
                <w:noProof/>
              </w:rPr>
            </w:pPr>
            <w:r>
              <w:t>Community health workers participate effectively in immunization activities.</w:t>
            </w:r>
          </w:p>
          <w:p w:rsidR="00B32A2A" w:rsidRPr="00B32A2A" w:rsidRDefault="00B32A2A" w:rsidP="00B32A2A">
            <w:pPr>
              <w:jc w:val="both"/>
              <w:rPr>
                <w:rFonts w:cs="Arial"/>
                <w:noProof/>
              </w:rPr>
            </w:pPr>
          </w:p>
          <w:p w:rsidR="00B32A2A" w:rsidRPr="00B32A2A" w:rsidRDefault="00B32A2A" w:rsidP="00B32A2A">
            <w:pPr>
              <w:jc w:val="both"/>
              <w:rPr>
                <w:rFonts w:cs="Arial"/>
                <w:i/>
                <w:noProof/>
              </w:rPr>
            </w:pPr>
          </w:p>
        </w:tc>
        <w:tc>
          <w:tcPr>
            <w:tcW w:w="283" w:type="dxa"/>
            <w:tcBorders>
              <w:top w:val="nil"/>
              <w:left w:val="single" w:sz="4" w:space="0" w:color="auto"/>
              <w:bottom w:val="nil"/>
              <w:right w:val="single" w:sz="4" w:space="0" w:color="auto"/>
            </w:tcBorders>
            <w:shd w:val="clear" w:color="auto" w:fill="FFFFFF"/>
          </w:tcPr>
          <w:p w:rsidR="00B32A2A" w:rsidRPr="00B32A2A" w:rsidRDefault="00B32A2A" w:rsidP="00B32A2A">
            <w:pPr>
              <w:spacing w:before="120" w:after="120"/>
              <w:jc w:val="both"/>
              <w:rPr>
                <w:rFonts w:cs="Arial"/>
                <w:b/>
                <w:i/>
                <w:noProof/>
              </w:rPr>
            </w:pPr>
            <w:r>
              <w:rPr>
                <w:rFonts w:cs="Arial"/>
                <w:b/>
                <w:i/>
                <w:noProof/>
                <w:lang w:bidi="ar-SA"/>
              </w:rPr>
              <w:lastRenderedPageBreak/>
              <mc:AlternateContent>
                <mc:Choice Requires="wps">
                  <w:drawing>
                    <wp:anchor distT="0" distB="0" distL="114300" distR="114300" simplePos="0" relativeHeight="251669504" behindDoc="0" locked="0" layoutInCell="1" allowOverlap="1" wp14:anchorId="30A3A464" wp14:editId="10E66E84">
                      <wp:simplePos x="0" y="0"/>
                      <wp:positionH relativeFrom="column">
                        <wp:posOffset>-34925</wp:posOffset>
                      </wp:positionH>
                      <wp:positionV relativeFrom="paragraph">
                        <wp:posOffset>398780</wp:posOffset>
                      </wp:positionV>
                      <wp:extent cx="125730" cy="635"/>
                      <wp:effectExtent l="0" t="76200" r="26670" b="94615"/>
                      <wp:wrapNone/>
                      <wp:docPr id="10"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xmlns:o="urn:schemas-microsoft-com:office:office" xmlns:v="urn:schemas-microsoft-com:vml" id="AutoShape 146" o:spid="_x0000_s1026" type="#_x0000_t32" style="position:absolute;margin-left:-2.75pt;margin-top:31.4pt;width:9.9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">
                      <v:stroke endarrow="block"/>
                    </v:shape>
                  </w:pict>
                </mc:Fallback>
              </mc:AlternateContent>
            </w:r>
          </w:p>
        </w:tc>
        <w:tc>
          <w:tcPr>
            <w:tcW w:w="3970" w:type="dxa"/>
            <w:gridSpan w:val="2"/>
            <w:tcBorders>
              <w:top w:val="single" w:sz="4" w:space="0" w:color="auto"/>
              <w:left w:val="single" w:sz="4" w:space="0" w:color="auto"/>
              <w:bottom w:val="single" w:sz="4" w:space="0" w:color="auto"/>
              <w:right w:val="single" w:sz="4" w:space="0" w:color="auto"/>
            </w:tcBorders>
            <w:shd w:val="clear" w:color="auto" w:fill="F2DBDB"/>
          </w:tcPr>
          <w:p w:rsidR="00B32A2A" w:rsidRPr="00B32A2A" w:rsidRDefault="00B32A2A" w:rsidP="00B32A2A">
            <w:pPr>
              <w:jc w:val="both"/>
              <w:rPr>
                <w:rFonts w:cs="Arial"/>
                <w:b/>
                <w:noProof/>
              </w:rPr>
            </w:pPr>
            <w:r>
              <w:rPr>
                <w:b/>
                <w:noProof/>
              </w:rPr>
              <w:t>Immunization outcomes:</w:t>
            </w:r>
          </w:p>
          <w:p w:rsidR="00B32A2A" w:rsidRPr="00B32A2A" w:rsidRDefault="00B32A2A" w:rsidP="00B32A2A">
            <w:pPr>
              <w:rPr>
                <w:rFonts w:cs="Arial"/>
                <w:b/>
                <w:noProof/>
              </w:rPr>
            </w:pPr>
            <w:r>
              <w:rPr>
                <w:b/>
                <w:noProof/>
              </w:rPr>
              <w:t>The number of parents who are  not aware of or who have a negative view of immunization is reduced;</w:t>
            </w:r>
          </w:p>
          <w:p w:rsidR="00B32A2A" w:rsidRPr="00B32A2A" w:rsidRDefault="00B32A2A" w:rsidP="00B32A2A">
            <w:pPr>
              <w:rPr>
                <w:rFonts w:cs="Arial"/>
                <w:b/>
                <w:noProof/>
              </w:rPr>
            </w:pPr>
          </w:p>
          <w:p w:rsidR="00B32A2A" w:rsidRPr="00B32A2A" w:rsidRDefault="00B32A2A" w:rsidP="00B32A2A">
            <w:pPr>
              <w:rPr>
                <w:rFonts w:cs="Arial"/>
                <w:b/>
                <w:noProof/>
              </w:rPr>
            </w:pPr>
            <w:r>
              <w:rPr>
                <w:b/>
                <w:noProof/>
              </w:rPr>
              <w:t>The dropout rate is reduced.</w:t>
            </w:r>
          </w:p>
          <w:p w:rsidR="00B32A2A" w:rsidRPr="00B32A2A" w:rsidRDefault="00B32A2A" w:rsidP="00B32A2A">
            <w:pPr>
              <w:rPr>
                <w:rFonts w:cs="Arial"/>
                <w:b/>
                <w:noProof/>
              </w:rPr>
            </w:pPr>
          </w:p>
          <w:p w:rsidR="00B32A2A" w:rsidRPr="00B32A2A" w:rsidRDefault="00B32A2A" w:rsidP="00B32A2A">
            <w:pPr>
              <w:rPr>
                <w:rFonts w:cs="Arial"/>
                <w:b/>
                <w:noProof/>
              </w:rPr>
            </w:pPr>
          </w:p>
          <w:p w:rsidR="00B32A2A" w:rsidRPr="00B32A2A" w:rsidRDefault="00B32A2A" w:rsidP="00B32A2A">
            <w:pPr>
              <w:spacing w:after="0" w:line="240" w:lineRule="auto"/>
              <w:rPr>
                <w:rFonts w:cs="Arial"/>
                <w:b/>
                <w:i/>
                <w:noProof/>
              </w:rPr>
            </w:pPr>
          </w:p>
        </w:tc>
        <w:tc>
          <w:tcPr>
            <w:tcW w:w="284" w:type="dxa"/>
            <w:tcBorders>
              <w:top w:val="nil"/>
              <w:left w:val="single" w:sz="4" w:space="0" w:color="auto"/>
              <w:bottom w:val="nil"/>
              <w:right w:val="single" w:sz="4" w:space="0" w:color="auto"/>
            </w:tcBorders>
            <w:shd w:val="clear" w:color="auto" w:fill="FFFFFF"/>
          </w:tcPr>
          <w:p w:rsidR="00B32A2A" w:rsidRPr="00B32A2A" w:rsidRDefault="00B32A2A" w:rsidP="00B32A2A">
            <w:pPr>
              <w:spacing w:before="120" w:after="120"/>
              <w:jc w:val="both"/>
              <w:rPr>
                <w:rFonts w:cs="Arial"/>
                <w:b/>
                <w:i/>
                <w:noProof/>
              </w:rPr>
            </w:pPr>
          </w:p>
        </w:tc>
      </w:tr>
      <w:tr w:rsidR="00B32A2A" w:rsidRPr="00B32A2A" w:rsidTr="00B32A2A">
        <w:trPr>
          <w:trHeight w:val="642"/>
        </w:trPr>
        <w:tc>
          <w:tcPr>
            <w:tcW w:w="14742" w:type="dxa"/>
            <w:gridSpan w:val="10"/>
            <w:tcBorders>
              <w:top w:val="single" w:sz="4" w:space="0" w:color="auto"/>
              <w:left w:val="single" w:sz="4" w:space="0" w:color="auto"/>
              <w:bottom w:val="single" w:sz="4" w:space="0" w:color="auto"/>
              <w:right w:val="single" w:sz="4" w:space="0" w:color="auto"/>
            </w:tcBorders>
            <w:shd w:val="clear" w:color="auto" w:fill="FFFFFF"/>
          </w:tcPr>
          <w:p w:rsidR="00B32A2A" w:rsidRPr="00B32A2A" w:rsidRDefault="00B32A2A" w:rsidP="00B32A2A">
            <w:pPr>
              <w:spacing w:after="0" w:line="240" w:lineRule="auto"/>
              <w:ind w:left="720"/>
              <w:rPr>
                <w:rFonts w:cs="Arial"/>
                <w:b/>
                <w:i/>
                <w:noProof/>
                <w:u w:val="single"/>
              </w:rPr>
            </w:pPr>
          </w:p>
          <w:p w:rsidR="00B32A2A" w:rsidRPr="00B32A2A" w:rsidRDefault="00B32A2A" w:rsidP="00B32A2A">
            <w:pPr>
              <w:spacing w:after="0" w:line="240" w:lineRule="auto"/>
              <w:rPr>
                <w:rFonts w:cs="Arial"/>
                <w:b/>
                <w:noProof/>
              </w:rPr>
            </w:pPr>
            <w:r>
              <w:rPr>
                <w:b/>
                <w:noProof/>
                <w:u w:val="single"/>
              </w:rPr>
              <w:t xml:space="preserve">Objective 3:Objective description: </w:t>
            </w:r>
            <w:r>
              <w:rPr>
                <w:b/>
                <w:noProof/>
              </w:rPr>
              <w:t>Improve the quality and use of health information and M&amp;E activities for better strategic planning within the sector</w:t>
            </w:r>
          </w:p>
          <w:p w:rsidR="00B32A2A" w:rsidRPr="00B32A2A" w:rsidRDefault="00B32A2A" w:rsidP="00B32A2A">
            <w:pPr>
              <w:pStyle w:val="ListParagraph"/>
              <w:widowControl/>
              <w:numPr>
                <w:ilvl w:val="0"/>
                <w:numId w:val="0"/>
              </w:numPr>
              <w:spacing w:after="200"/>
              <w:ind w:left="360" w:right="0"/>
              <w:jc w:val="left"/>
              <w:rPr>
                <w:rFonts w:cs="Arial"/>
                <w:b/>
                <w:i w:val="0"/>
                <w:noProof/>
                <w:color w:val="auto"/>
                <w:sz w:val="22"/>
                <w:szCs w:val="22"/>
              </w:rPr>
            </w:pPr>
          </w:p>
        </w:tc>
        <w:tc>
          <w:tcPr>
            <w:tcW w:w="284" w:type="dxa"/>
            <w:tcBorders>
              <w:top w:val="nil"/>
              <w:left w:val="single" w:sz="4" w:space="0" w:color="auto"/>
              <w:bottom w:val="nil"/>
              <w:right w:val="single" w:sz="4" w:space="0" w:color="auto"/>
            </w:tcBorders>
            <w:shd w:val="clear" w:color="auto" w:fill="FFFFFF"/>
          </w:tcPr>
          <w:p w:rsidR="00B32A2A" w:rsidRPr="00B32A2A" w:rsidRDefault="00B32A2A" w:rsidP="00B32A2A">
            <w:pPr>
              <w:spacing w:before="120" w:after="120"/>
              <w:jc w:val="both"/>
              <w:rPr>
                <w:rFonts w:cs="Arial"/>
                <w:b/>
                <w:i/>
                <w:noProof/>
              </w:rPr>
            </w:pPr>
          </w:p>
        </w:tc>
      </w:tr>
      <w:tr w:rsidR="00B32A2A" w:rsidRPr="00B32A2A" w:rsidTr="00B32A2A">
        <w:trPr>
          <w:trHeight w:val="642"/>
        </w:trPr>
        <w:tc>
          <w:tcPr>
            <w:tcW w:w="283" w:type="dxa"/>
            <w:tcBorders>
              <w:top w:val="nil"/>
              <w:left w:val="single" w:sz="4" w:space="0" w:color="auto"/>
              <w:bottom w:val="nil"/>
              <w:right w:val="single" w:sz="4" w:space="0" w:color="auto"/>
            </w:tcBorders>
            <w:shd w:val="clear" w:color="auto" w:fill="FFFFFF"/>
          </w:tcPr>
          <w:p w:rsidR="00B32A2A" w:rsidRPr="00B32A2A" w:rsidRDefault="00B32A2A" w:rsidP="00B32A2A">
            <w:pPr>
              <w:spacing w:before="120" w:after="120"/>
              <w:jc w:val="both"/>
              <w:rPr>
                <w:rFonts w:cs="Arial"/>
                <w:b/>
                <w:i/>
                <w:noProof/>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EEECE1"/>
          </w:tcPr>
          <w:p w:rsidR="00B32A2A" w:rsidRPr="00B32A2A" w:rsidRDefault="00B32A2A" w:rsidP="00B32A2A">
            <w:pPr>
              <w:jc w:val="both"/>
              <w:rPr>
                <w:rFonts w:cs="Arial"/>
                <w:noProof/>
              </w:rPr>
            </w:pPr>
            <w:r>
              <w:t>Key activities:</w:t>
            </w:r>
          </w:p>
          <w:p w:rsidR="00B32A2A" w:rsidRPr="00B32A2A" w:rsidRDefault="00B32A2A" w:rsidP="00B32A2A">
            <w:pPr>
              <w:numPr>
                <w:ilvl w:val="0"/>
                <w:numId w:val="15"/>
              </w:numPr>
              <w:spacing w:after="0"/>
              <w:ind w:left="357" w:hanging="357"/>
              <w:rPr>
                <w:rFonts w:cs="Arial"/>
                <w:noProof/>
              </w:rPr>
            </w:pPr>
            <w:r>
              <w:t>Improve NHIS actors' capacity</w:t>
            </w:r>
          </w:p>
          <w:p w:rsidR="00B32A2A" w:rsidRPr="00B32A2A" w:rsidRDefault="00B32A2A" w:rsidP="00B32A2A">
            <w:pPr>
              <w:numPr>
                <w:ilvl w:val="0"/>
                <w:numId w:val="15"/>
              </w:numPr>
              <w:spacing w:after="0"/>
              <w:ind w:left="357" w:hanging="357"/>
              <w:rPr>
                <w:rFonts w:cs="Arial"/>
                <w:noProof/>
              </w:rPr>
            </w:pPr>
            <w:r>
              <w:t xml:space="preserve">Standardize/update management tools </w:t>
            </w:r>
          </w:p>
          <w:p w:rsidR="00B32A2A" w:rsidRPr="00B32A2A" w:rsidRDefault="00B32A2A" w:rsidP="00B32A2A">
            <w:pPr>
              <w:numPr>
                <w:ilvl w:val="0"/>
                <w:numId w:val="15"/>
              </w:numPr>
              <w:spacing w:after="0"/>
              <w:ind w:left="357" w:hanging="357"/>
              <w:rPr>
                <w:rFonts w:cs="Arial"/>
                <w:noProof/>
              </w:rPr>
            </w:pPr>
            <w:r>
              <w:t>Support the use of ICT by NHIS</w:t>
            </w:r>
          </w:p>
          <w:p w:rsidR="00B32A2A" w:rsidRPr="00B32A2A" w:rsidRDefault="00B32A2A" w:rsidP="00B32A2A">
            <w:pPr>
              <w:numPr>
                <w:ilvl w:val="0"/>
                <w:numId w:val="15"/>
              </w:numPr>
              <w:spacing w:after="0"/>
              <w:ind w:left="357" w:hanging="357"/>
              <w:rPr>
                <w:rFonts w:cs="Arial"/>
                <w:noProof/>
              </w:rPr>
            </w:pPr>
            <w:r>
              <w:t>Improve  data quality and use</w:t>
            </w:r>
          </w:p>
          <w:p w:rsidR="00B32A2A" w:rsidRPr="00B32A2A" w:rsidRDefault="00B32A2A" w:rsidP="00B32A2A">
            <w:pPr>
              <w:numPr>
                <w:ilvl w:val="0"/>
                <w:numId w:val="15"/>
              </w:numPr>
              <w:spacing w:after="0"/>
              <w:ind w:left="357" w:hanging="357"/>
              <w:rPr>
                <w:rFonts w:cs="Arial"/>
                <w:noProof/>
              </w:rPr>
            </w:pPr>
            <w:r>
              <w:t>Support sector reviews, the implementation of specific surveys and the development of strategic documents and funding proposals</w:t>
            </w:r>
          </w:p>
          <w:p w:rsidR="00B32A2A" w:rsidRPr="00B32A2A" w:rsidRDefault="00B32A2A" w:rsidP="00B32A2A">
            <w:pPr>
              <w:spacing w:after="0"/>
              <w:ind w:left="357"/>
              <w:rPr>
                <w:rFonts w:cs="Arial"/>
                <w:noProof/>
              </w:rPr>
            </w:pPr>
            <w:r>
              <w:t xml:space="preserve"> </w:t>
            </w:r>
          </w:p>
        </w:tc>
        <w:tc>
          <w:tcPr>
            <w:tcW w:w="426" w:type="dxa"/>
            <w:gridSpan w:val="2"/>
            <w:tcBorders>
              <w:top w:val="nil"/>
              <w:left w:val="single" w:sz="4" w:space="0" w:color="auto"/>
              <w:bottom w:val="nil"/>
              <w:right w:val="single" w:sz="4" w:space="0" w:color="auto"/>
            </w:tcBorders>
            <w:shd w:val="clear" w:color="auto" w:fill="FFFFFF"/>
          </w:tcPr>
          <w:p w:rsidR="00B32A2A" w:rsidRPr="00B32A2A" w:rsidRDefault="00B32A2A" w:rsidP="00B32A2A">
            <w:pPr>
              <w:spacing w:before="120" w:after="120"/>
              <w:jc w:val="both"/>
              <w:rPr>
                <w:rFonts w:cs="Arial"/>
                <w:b/>
                <w:i/>
                <w:noProof/>
              </w:rPr>
            </w:pPr>
            <w:r>
              <w:rPr>
                <w:rFonts w:cs="Arial"/>
                <w:b/>
                <w:i/>
                <w:noProof/>
                <w:lang w:bidi="ar-SA"/>
              </w:rPr>
              <mc:AlternateContent>
                <mc:Choice Requires="wps">
                  <w:drawing>
                    <wp:anchor distT="0" distB="0" distL="114300" distR="114300" simplePos="0" relativeHeight="251668480" behindDoc="0" locked="0" layoutInCell="1" allowOverlap="1" wp14:anchorId="732A7DCA" wp14:editId="4028A54B">
                      <wp:simplePos x="0" y="0"/>
                      <wp:positionH relativeFrom="column">
                        <wp:posOffset>-17145</wp:posOffset>
                      </wp:positionH>
                      <wp:positionV relativeFrom="paragraph">
                        <wp:posOffset>408305</wp:posOffset>
                      </wp:positionV>
                      <wp:extent cx="187325" cy="0"/>
                      <wp:effectExtent l="11430" t="55880" r="20320" b="58420"/>
                      <wp:wrapNone/>
                      <wp:docPr id="9"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xmlns:o="urn:schemas-microsoft-com:office:office" xmlns:v="urn:schemas-microsoft-com:vml" id="AutoShape 144" o:spid="_x0000_s1026" type="#_x0000_t32" style="position:absolute;margin-left:-1.35pt;margin-top:32.15pt;width:14.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">
                      <v:stroke endarrow="block"/>
                    </v:shape>
                  </w:pict>
                </mc:Fallback>
              </mc:AlternateContent>
            </w:r>
          </w:p>
        </w:tc>
        <w:tc>
          <w:tcPr>
            <w:tcW w:w="4394" w:type="dxa"/>
            <w:gridSpan w:val="2"/>
            <w:tcBorders>
              <w:top w:val="single" w:sz="4" w:space="0" w:color="auto"/>
              <w:left w:val="single" w:sz="4" w:space="0" w:color="auto"/>
              <w:bottom w:val="single" w:sz="4" w:space="0" w:color="auto"/>
              <w:right w:val="single" w:sz="4" w:space="0" w:color="auto"/>
            </w:tcBorders>
            <w:shd w:val="clear" w:color="auto" w:fill="DBE5F1"/>
          </w:tcPr>
          <w:p w:rsidR="00B32A2A" w:rsidRPr="00B32A2A" w:rsidRDefault="00B32A2A" w:rsidP="00B32A2A">
            <w:pPr>
              <w:jc w:val="both"/>
              <w:rPr>
                <w:rFonts w:cs="Arial"/>
                <w:b/>
                <w:noProof/>
              </w:rPr>
            </w:pPr>
            <w:r>
              <w:rPr>
                <w:b/>
                <w:noProof/>
              </w:rPr>
              <w:t>Outputs / Intermediate outcomes:</w:t>
            </w:r>
          </w:p>
          <w:p w:rsidR="00B32A2A" w:rsidRPr="00B32A2A" w:rsidRDefault="00B32A2A" w:rsidP="00B32A2A">
            <w:pPr>
              <w:rPr>
                <w:rFonts w:cs="Arial"/>
                <w:b/>
                <w:noProof/>
              </w:rPr>
            </w:pPr>
            <w:r>
              <w:rPr>
                <w:b/>
                <w:noProof/>
              </w:rPr>
              <w:t xml:space="preserve">Quality health information is available </w:t>
            </w:r>
          </w:p>
          <w:p w:rsidR="00B32A2A" w:rsidRPr="00B32A2A" w:rsidRDefault="00B32A2A" w:rsidP="00B32A2A">
            <w:pPr>
              <w:rPr>
                <w:rFonts w:cs="Arial"/>
                <w:b/>
                <w:i/>
                <w:noProof/>
                <w:color w:val="FF0000"/>
              </w:rPr>
            </w:pPr>
          </w:p>
        </w:tc>
        <w:tc>
          <w:tcPr>
            <w:tcW w:w="283" w:type="dxa"/>
            <w:tcBorders>
              <w:top w:val="nil"/>
              <w:left w:val="single" w:sz="4" w:space="0" w:color="auto"/>
              <w:bottom w:val="nil"/>
              <w:right w:val="single" w:sz="4" w:space="0" w:color="auto"/>
            </w:tcBorders>
            <w:shd w:val="clear" w:color="auto" w:fill="FFFFFF"/>
          </w:tcPr>
          <w:p w:rsidR="00B32A2A" w:rsidRPr="00B32A2A" w:rsidRDefault="00B32A2A" w:rsidP="00B32A2A">
            <w:pPr>
              <w:spacing w:before="120" w:after="120"/>
              <w:jc w:val="both"/>
              <w:rPr>
                <w:rFonts w:cs="Arial"/>
                <w:b/>
                <w:i/>
                <w:noProof/>
              </w:rPr>
            </w:pPr>
            <w:r>
              <w:rPr>
                <w:rFonts w:cs="Arial"/>
                <w:b/>
                <w:i/>
                <w:noProof/>
                <w:lang w:bidi="ar-SA"/>
              </w:rPr>
              <mc:AlternateContent>
                <mc:Choice Requires="wps">
                  <w:drawing>
                    <wp:anchor distT="0" distB="0" distL="114300" distR="114300" simplePos="0" relativeHeight="251670528" behindDoc="0" locked="0" layoutInCell="1" allowOverlap="1" wp14:anchorId="725A1246" wp14:editId="047BF414">
                      <wp:simplePos x="0" y="0"/>
                      <wp:positionH relativeFrom="column">
                        <wp:posOffset>-34925</wp:posOffset>
                      </wp:positionH>
                      <wp:positionV relativeFrom="paragraph">
                        <wp:posOffset>408305</wp:posOffset>
                      </wp:positionV>
                      <wp:extent cx="125730" cy="635"/>
                      <wp:effectExtent l="12700" t="55880" r="23495" b="57785"/>
                      <wp:wrapNone/>
                      <wp:docPr id="8"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xmlns:o="urn:schemas-microsoft-com:office:office" xmlns:v="urn:schemas-microsoft-com:vml" id="_x0000_t34" coordsize="21600,21600" o:spt="34" o:oned="t" adj="10800" path="m,l@0,0@0,21600,21600,21600e" filled="f">
                      <v:stroke joinstyle="miter"/>
                      <v:formulas>
                        <v:f eqn="val #0"/>
                      </v:formulas>
                      <v:path arrowok="t" fillok="f" o:connecttype="none"/>
                      <v:handles>
                        <v:h position="#0,center"/>
                      </v:handles>
                      <o:lock v:ext="edit" shapetype="t"/>
                    </v:shapetype>
                    <v:shape xmlns:o="urn:schemas-microsoft-com:office:office" xmlns:v="urn:schemas-microsoft-com:vml" id="AutoShape 147" o:spid="_x0000_s1026" type="#_x0000_t34" style="position:absolute;margin-left:-2.75pt;margin-top:32.15pt;width:9.9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">
                      <v:stroke endarrow="block"/>
                    </v:shape>
                  </w:pict>
                </mc:Fallback>
              </mc:AlternateContent>
            </w:r>
          </w:p>
        </w:tc>
        <w:tc>
          <w:tcPr>
            <w:tcW w:w="3970" w:type="dxa"/>
            <w:gridSpan w:val="2"/>
            <w:tcBorders>
              <w:top w:val="single" w:sz="4" w:space="0" w:color="auto"/>
              <w:left w:val="single" w:sz="4" w:space="0" w:color="auto"/>
              <w:bottom w:val="single" w:sz="4" w:space="0" w:color="auto"/>
              <w:right w:val="single" w:sz="4" w:space="0" w:color="auto"/>
            </w:tcBorders>
            <w:shd w:val="clear" w:color="auto" w:fill="F2DBDB"/>
          </w:tcPr>
          <w:p w:rsidR="00B32A2A" w:rsidRPr="00B32A2A" w:rsidRDefault="00B32A2A" w:rsidP="00B32A2A">
            <w:pPr>
              <w:jc w:val="both"/>
              <w:rPr>
                <w:rFonts w:cs="Arial"/>
                <w:b/>
                <w:noProof/>
              </w:rPr>
            </w:pPr>
            <w:r>
              <w:rPr>
                <w:b/>
                <w:noProof/>
              </w:rPr>
              <w:t>Immunization outcomes:</w:t>
            </w:r>
          </w:p>
          <w:p w:rsidR="00B32A2A" w:rsidRPr="00B32A2A" w:rsidRDefault="00B32A2A" w:rsidP="00B32A2A">
            <w:pPr>
              <w:spacing w:after="0" w:line="240" w:lineRule="auto"/>
              <w:rPr>
                <w:rFonts w:cs="Arial"/>
                <w:b/>
                <w:noProof/>
              </w:rPr>
            </w:pPr>
            <w:r>
              <w:rPr>
                <w:b/>
                <w:noProof/>
              </w:rPr>
              <w:t>Improvements to the timeliness and \completeness of immunization data;</w:t>
            </w:r>
          </w:p>
          <w:p w:rsidR="00B32A2A" w:rsidRPr="00B32A2A" w:rsidRDefault="00B32A2A" w:rsidP="00B32A2A">
            <w:pPr>
              <w:spacing w:after="0" w:line="240" w:lineRule="auto"/>
              <w:rPr>
                <w:rFonts w:cs="Arial"/>
                <w:b/>
                <w:noProof/>
              </w:rPr>
            </w:pPr>
          </w:p>
          <w:p w:rsidR="00B32A2A" w:rsidRPr="00B32A2A" w:rsidRDefault="00B32A2A" w:rsidP="00B32A2A">
            <w:pPr>
              <w:spacing w:after="0" w:line="240" w:lineRule="auto"/>
              <w:rPr>
                <w:rFonts w:cs="Arial"/>
                <w:b/>
                <w:noProof/>
              </w:rPr>
            </w:pPr>
            <w:r>
              <w:rPr>
                <w:b/>
                <w:noProof/>
              </w:rPr>
              <w:t>The gaps between immunization data from different sources are reduced (Administrative, NHIS and ECV)</w:t>
            </w:r>
          </w:p>
          <w:p w:rsidR="00B32A2A" w:rsidRPr="00B32A2A" w:rsidRDefault="00B32A2A" w:rsidP="00B32A2A">
            <w:pPr>
              <w:spacing w:after="0"/>
              <w:rPr>
                <w:rFonts w:cs="Arial"/>
                <w:b/>
                <w:noProof/>
              </w:rPr>
            </w:pPr>
          </w:p>
        </w:tc>
        <w:tc>
          <w:tcPr>
            <w:tcW w:w="284" w:type="dxa"/>
            <w:tcBorders>
              <w:top w:val="nil"/>
              <w:left w:val="single" w:sz="4" w:space="0" w:color="auto"/>
              <w:bottom w:val="nil"/>
              <w:right w:val="single" w:sz="4" w:space="0" w:color="auto"/>
            </w:tcBorders>
            <w:shd w:val="clear" w:color="auto" w:fill="FFFFFF"/>
          </w:tcPr>
          <w:p w:rsidR="00B32A2A" w:rsidRPr="00B32A2A" w:rsidRDefault="00B32A2A" w:rsidP="00B32A2A">
            <w:pPr>
              <w:spacing w:before="120" w:after="120"/>
              <w:jc w:val="both"/>
              <w:rPr>
                <w:rFonts w:cs="Arial"/>
                <w:b/>
                <w:i/>
                <w:noProof/>
              </w:rPr>
            </w:pPr>
          </w:p>
        </w:tc>
      </w:tr>
      <w:tr w:rsidR="00B32A2A" w:rsidRPr="00B32A2A" w:rsidTr="00B32A2A">
        <w:trPr>
          <w:trHeight w:val="1059"/>
        </w:trPr>
        <w:tc>
          <w:tcPr>
            <w:tcW w:w="14742" w:type="dxa"/>
            <w:gridSpan w:val="10"/>
            <w:tcBorders>
              <w:top w:val="single" w:sz="4" w:space="0" w:color="auto"/>
              <w:left w:val="single" w:sz="4" w:space="0" w:color="auto"/>
              <w:bottom w:val="single" w:sz="4" w:space="0" w:color="auto"/>
              <w:right w:val="single" w:sz="4" w:space="0" w:color="auto"/>
            </w:tcBorders>
            <w:shd w:val="clear" w:color="auto" w:fill="FFFFFF"/>
          </w:tcPr>
          <w:p w:rsidR="00B32A2A" w:rsidRPr="00B32A2A" w:rsidRDefault="00B32A2A" w:rsidP="00B32A2A">
            <w:pPr>
              <w:spacing w:after="0" w:line="240" w:lineRule="auto"/>
              <w:ind w:left="720"/>
              <w:rPr>
                <w:rFonts w:cs="Arial"/>
                <w:b/>
                <w:i/>
                <w:noProof/>
                <w:u w:val="single"/>
              </w:rPr>
            </w:pPr>
          </w:p>
          <w:p w:rsidR="00B32A2A" w:rsidRPr="00B32A2A" w:rsidRDefault="00B32A2A" w:rsidP="00B32A2A">
            <w:pPr>
              <w:spacing w:after="0" w:line="240" w:lineRule="auto"/>
              <w:rPr>
                <w:rFonts w:cs="Arial"/>
                <w:b/>
                <w:i/>
                <w:noProof/>
              </w:rPr>
            </w:pPr>
            <w:r>
              <w:rPr>
                <w:b/>
                <w:noProof/>
                <w:u w:val="single"/>
              </w:rPr>
              <w:t xml:space="preserve">Objective 4:Objective description: </w:t>
            </w:r>
            <w:r>
              <w:rPr>
                <w:b/>
                <w:noProof/>
              </w:rPr>
              <w:t>Increasing the State's contribution to the funding of these health activities, including immunization.</w:t>
            </w:r>
          </w:p>
        </w:tc>
        <w:tc>
          <w:tcPr>
            <w:tcW w:w="284" w:type="dxa"/>
            <w:tcBorders>
              <w:top w:val="nil"/>
              <w:left w:val="single" w:sz="4" w:space="0" w:color="auto"/>
              <w:bottom w:val="nil"/>
              <w:right w:val="single" w:sz="4" w:space="0" w:color="auto"/>
            </w:tcBorders>
            <w:shd w:val="clear" w:color="auto" w:fill="FFFFFF"/>
          </w:tcPr>
          <w:p w:rsidR="00B32A2A" w:rsidRPr="00B32A2A" w:rsidRDefault="00B32A2A" w:rsidP="00B32A2A">
            <w:pPr>
              <w:spacing w:before="120" w:after="120"/>
              <w:jc w:val="both"/>
              <w:rPr>
                <w:rFonts w:cs="Arial"/>
                <w:b/>
                <w:i/>
                <w:noProof/>
              </w:rPr>
            </w:pPr>
          </w:p>
        </w:tc>
      </w:tr>
      <w:tr w:rsidR="00B32A2A" w:rsidRPr="00B32A2A" w:rsidTr="00B32A2A">
        <w:trPr>
          <w:trHeight w:val="642"/>
        </w:trPr>
        <w:tc>
          <w:tcPr>
            <w:tcW w:w="283" w:type="dxa"/>
            <w:tcBorders>
              <w:top w:val="nil"/>
              <w:left w:val="single" w:sz="4" w:space="0" w:color="auto"/>
              <w:bottom w:val="nil"/>
              <w:right w:val="single" w:sz="4" w:space="0" w:color="auto"/>
            </w:tcBorders>
            <w:shd w:val="clear" w:color="auto" w:fill="FFFFFF"/>
          </w:tcPr>
          <w:p w:rsidR="00B32A2A" w:rsidRPr="00B32A2A" w:rsidRDefault="00B32A2A" w:rsidP="00B32A2A">
            <w:pPr>
              <w:spacing w:before="120" w:after="120"/>
              <w:jc w:val="both"/>
              <w:rPr>
                <w:rFonts w:cs="Arial"/>
                <w:b/>
                <w:i/>
                <w:noProof/>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EEECE1"/>
          </w:tcPr>
          <w:p w:rsidR="00B32A2A" w:rsidRPr="00B32A2A" w:rsidRDefault="00B32A2A" w:rsidP="00B32A2A">
            <w:pPr>
              <w:pBdr>
                <w:bottom w:val="single" w:sz="4" w:space="1" w:color="auto"/>
              </w:pBdr>
              <w:jc w:val="both"/>
              <w:rPr>
                <w:rFonts w:cs="Arial"/>
                <w:b/>
                <w:noProof/>
              </w:rPr>
            </w:pPr>
            <w:r>
              <w:rPr>
                <w:b/>
                <w:noProof/>
              </w:rPr>
              <w:t>Key activities:</w:t>
            </w:r>
          </w:p>
          <w:p w:rsidR="00B32A2A" w:rsidRPr="00B32A2A" w:rsidRDefault="00B32A2A" w:rsidP="00B32A2A">
            <w:pPr>
              <w:numPr>
                <w:ilvl w:val="0"/>
                <w:numId w:val="16"/>
              </w:numPr>
              <w:spacing w:after="0"/>
              <w:ind w:left="357" w:hanging="357"/>
              <w:rPr>
                <w:rFonts w:cs="Arial"/>
                <w:noProof/>
              </w:rPr>
            </w:pPr>
            <w:r>
              <w:t>Intensify the advocacy activities targeted at opinion leaders and decision makers.</w:t>
            </w:r>
          </w:p>
          <w:p w:rsidR="00B32A2A" w:rsidRPr="00B32A2A" w:rsidRDefault="00B32A2A" w:rsidP="00B32A2A">
            <w:pPr>
              <w:numPr>
                <w:ilvl w:val="0"/>
                <w:numId w:val="16"/>
              </w:numPr>
              <w:spacing w:after="0"/>
              <w:ind w:left="357" w:hanging="357"/>
              <w:rPr>
                <w:rFonts w:cs="Arial"/>
                <w:noProof/>
              </w:rPr>
            </w:pPr>
            <w:r>
              <w:t>Strengthen collaboration with other related sectors.</w:t>
            </w:r>
          </w:p>
          <w:p w:rsidR="00B32A2A" w:rsidRPr="00B32A2A" w:rsidRDefault="00B32A2A" w:rsidP="00B32A2A">
            <w:pPr>
              <w:numPr>
                <w:ilvl w:val="0"/>
                <w:numId w:val="16"/>
              </w:numPr>
              <w:spacing w:after="0"/>
              <w:ind w:left="357" w:hanging="357"/>
              <w:rPr>
                <w:rFonts w:cs="Arial"/>
                <w:noProof/>
              </w:rPr>
            </w:pPr>
            <w:r>
              <w:t>Strengthen the monitoring of financial commitments by the State and partners and the implementation of the National Compact.</w:t>
            </w:r>
          </w:p>
        </w:tc>
        <w:tc>
          <w:tcPr>
            <w:tcW w:w="426" w:type="dxa"/>
            <w:gridSpan w:val="2"/>
            <w:tcBorders>
              <w:top w:val="nil"/>
              <w:left w:val="single" w:sz="4" w:space="0" w:color="auto"/>
              <w:bottom w:val="nil"/>
              <w:right w:val="single" w:sz="4" w:space="0" w:color="auto"/>
            </w:tcBorders>
            <w:shd w:val="clear" w:color="auto" w:fill="FFFFFF"/>
          </w:tcPr>
          <w:p w:rsidR="00B32A2A" w:rsidRPr="00B32A2A" w:rsidRDefault="00B32A2A" w:rsidP="00B32A2A">
            <w:pPr>
              <w:spacing w:before="120" w:after="120"/>
              <w:jc w:val="both"/>
              <w:rPr>
                <w:rFonts w:cs="Arial"/>
                <w:b/>
                <w:noProof/>
              </w:rPr>
            </w:pPr>
            <w:r>
              <w:rPr>
                <w:rFonts w:cs="Arial"/>
                <w:b/>
                <w:noProof/>
                <w:lang w:bidi="ar-SA"/>
              </w:rPr>
              <mc:AlternateContent>
                <mc:Choice Requires="wps">
                  <w:drawing>
                    <wp:anchor distT="0" distB="0" distL="114300" distR="114300" simplePos="0" relativeHeight="251667456" behindDoc="0" locked="0" layoutInCell="1" allowOverlap="1" wp14:anchorId="224F6548" wp14:editId="5AED2F9B">
                      <wp:simplePos x="0" y="0"/>
                      <wp:positionH relativeFrom="column">
                        <wp:posOffset>-36195</wp:posOffset>
                      </wp:positionH>
                      <wp:positionV relativeFrom="paragraph">
                        <wp:posOffset>378460</wp:posOffset>
                      </wp:positionV>
                      <wp:extent cx="187325" cy="0"/>
                      <wp:effectExtent l="11430" t="54610" r="20320" b="59690"/>
                      <wp:wrapNone/>
                      <wp:docPr id="7"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xmlns:o="urn:schemas-microsoft-com:office:office" xmlns:v="urn:schemas-microsoft-com:vml" id="AutoShape 143" o:spid="_x0000_s1026" type="#_x0000_t32" style="position:absolute;margin-left:-2.85pt;margin-top:29.8pt;width:14.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DpMgIAAF4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">
                      <v:stroke endarrow="block"/>
                    </v:shape>
                  </w:pict>
                </mc:Fallback>
              </mc:AlternateContent>
            </w:r>
          </w:p>
        </w:tc>
        <w:tc>
          <w:tcPr>
            <w:tcW w:w="4394" w:type="dxa"/>
            <w:gridSpan w:val="2"/>
            <w:tcBorders>
              <w:top w:val="single" w:sz="4" w:space="0" w:color="auto"/>
              <w:left w:val="single" w:sz="4" w:space="0" w:color="auto"/>
              <w:bottom w:val="single" w:sz="4" w:space="0" w:color="auto"/>
              <w:right w:val="single" w:sz="4" w:space="0" w:color="auto"/>
            </w:tcBorders>
            <w:shd w:val="clear" w:color="auto" w:fill="DBE5F1"/>
          </w:tcPr>
          <w:p w:rsidR="00B32A2A" w:rsidRPr="00B32A2A" w:rsidRDefault="00B32A2A" w:rsidP="00B32A2A">
            <w:pPr>
              <w:jc w:val="both"/>
              <w:rPr>
                <w:rFonts w:cs="Arial"/>
                <w:b/>
                <w:noProof/>
              </w:rPr>
            </w:pPr>
            <w:r>
              <w:rPr>
                <w:b/>
                <w:noProof/>
              </w:rPr>
              <w:t>Outputs / Intermediate outcomes:</w:t>
            </w:r>
          </w:p>
          <w:p w:rsidR="00B32A2A" w:rsidRPr="00B32A2A" w:rsidRDefault="00B32A2A" w:rsidP="00B32A2A">
            <w:pPr>
              <w:jc w:val="both"/>
              <w:rPr>
                <w:rFonts w:cs="Arial"/>
                <w:b/>
                <w:noProof/>
              </w:rPr>
            </w:pPr>
            <w:r>
              <w:rPr>
                <w:b/>
                <w:noProof/>
              </w:rPr>
              <w:t>The State's contribution to funding traditional and new immunizations is effective.</w:t>
            </w:r>
          </w:p>
          <w:p w:rsidR="00B32A2A" w:rsidRPr="00B32A2A" w:rsidRDefault="00B32A2A" w:rsidP="00B32A2A">
            <w:pPr>
              <w:jc w:val="both"/>
              <w:rPr>
                <w:rFonts w:cs="Arial"/>
                <w:b/>
                <w:noProof/>
              </w:rPr>
            </w:pPr>
            <w:r>
              <w:rPr>
                <w:b/>
                <w:noProof/>
              </w:rPr>
              <w:t xml:space="preserve">The funding of health services by the State budget, local governments and individuals continues to grow. </w:t>
            </w:r>
          </w:p>
        </w:tc>
        <w:tc>
          <w:tcPr>
            <w:tcW w:w="283" w:type="dxa"/>
            <w:tcBorders>
              <w:top w:val="nil"/>
              <w:left w:val="single" w:sz="4" w:space="0" w:color="auto"/>
              <w:bottom w:val="nil"/>
              <w:right w:val="single" w:sz="4" w:space="0" w:color="auto"/>
            </w:tcBorders>
            <w:shd w:val="clear" w:color="auto" w:fill="FFFFFF"/>
          </w:tcPr>
          <w:p w:rsidR="00B32A2A" w:rsidRPr="00B32A2A" w:rsidRDefault="00B32A2A" w:rsidP="00B32A2A">
            <w:pPr>
              <w:spacing w:before="120" w:after="120"/>
              <w:jc w:val="both"/>
              <w:rPr>
                <w:rFonts w:cs="Arial"/>
                <w:b/>
                <w:noProof/>
              </w:rPr>
            </w:pPr>
            <w:r>
              <w:rPr>
                <w:rFonts w:cs="Arial"/>
                <w:b/>
                <w:noProof/>
                <w:lang w:bidi="ar-SA"/>
              </w:rPr>
              <mc:AlternateContent>
                <mc:Choice Requires="wps">
                  <w:drawing>
                    <wp:anchor distT="0" distB="0" distL="114300" distR="114300" simplePos="0" relativeHeight="251671552" behindDoc="0" locked="0" layoutInCell="1" allowOverlap="1" wp14:anchorId="58482CD7" wp14:editId="63ED24A5">
                      <wp:simplePos x="0" y="0"/>
                      <wp:positionH relativeFrom="column">
                        <wp:posOffset>-65405</wp:posOffset>
                      </wp:positionH>
                      <wp:positionV relativeFrom="paragraph">
                        <wp:posOffset>378460</wp:posOffset>
                      </wp:positionV>
                      <wp:extent cx="125730" cy="635"/>
                      <wp:effectExtent l="10795" t="54610" r="15875" b="59055"/>
                      <wp:wrapNone/>
                      <wp:docPr id="6"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xmlns:o="urn:schemas-microsoft-com:office:office" xmlns:v="urn:schemas-microsoft-com:vml" id="AutoShape 148" o:spid="_x0000_s1026" type="#_x0000_t34" style="position:absolute;margin-left:-5.15pt;margin-top:29.8pt;width:9.9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">
                      <v:stroke endarrow="block"/>
                    </v:shape>
                  </w:pict>
                </mc:Fallback>
              </mc:AlternateContent>
            </w:r>
          </w:p>
        </w:tc>
        <w:tc>
          <w:tcPr>
            <w:tcW w:w="3970" w:type="dxa"/>
            <w:gridSpan w:val="2"/>
            <w:tcBorders>
              <w:top w:val="single" w:sz="4" w:space="0" w:color="auto"/>
              <w:left w:val="single" w:sz="4" w:space="0" w:color="auto"/>
              <w:bottom w:val="single" w:sz="4" w:space="0" w:color="auto"/>
              <w:right w:val="single" w:sz="4" w:space="0" w:color="auto"/>
            </w:tcBorders>
            <w:shd w:val="clear" w:color="auto" w:fill="F2DBDB"/>
          </w:tcPr>
          <w:p w:rsidR="00B32A2A" w:rsidRPr="00B32A2A" w:rsidRDefault="00B32A2A" w:rsidP="00B32A2A">
            <w:pPr>
              <w:jc w:val="both"/>
              <w:rPr>
                <w:rFonts w:cs="Arial"/>
                <w:b/>
                <w:noProof/>
              </w:rPr>
            </w:pPr>
            <w:r>
              <w:rPr>
                <w:b/>
                <w:noProof/>
              </w:rPr>
              <w:t>Immunization outcomes:</w:t>
            </w:r>
          </w:p>
          <w:p w:rsidR="00B32A2A" w:rsidRPr="00B32A2A" w:rsidRDefault="00B32A2A" w:rsidP="00B32A2A">
            <w:pPr>
              <w:spacing w:before="120" w:after="120"/>
              <w:rPr>
                <w:rFonts w:cs="Arial"/>
                <w:b/>
                <w:noProof/>
              </w:rPr>
            </w:pPr>
            <w:r>
              <w:rPr>
                <w:b/>
                <w:noProof/>
              </w:rPr>
              <w:t>The State's portion of funding for the procurement of immunizations is increased.</w:t>
            </w:r>
          </w:p>
          <w:p w:rsidR="00B32A2A" w:rsidRPr="00B32A2A" w:rsidRDefault="00B32A2A" w:rsidP="00B32A2A">
            <w:pPr>
              <w:spacing w:before="120" w:after="120"/>
              <w:jc w:val="both"/>
              <w:rPr>
                <w:rFonts w:cs="Arial"/>
                <w:b/>
                <w:noProof/>
              </w:rPr>
            </w:pPr>
            <w:r>
              <w:rPr>
                <w:b/>
                <w:noProof/>
              </w:rPr>
              <w:t>Availability of vaccines is improved.</w:t>
            </w:r>
          </w:p>
        </w:tc>
        <w:tc>
          <w:tcPr>
            <w:tcW w:w="284" w:type="dxa"/>
            <w:tcBorders>
              <w:top w:val="nil"/>
              <w:left w:val="single" w:sz="4" w:space="0" w:color="auto"/>
              <w:bottom w:val="nil"/>
              <w:right w:val="single" w:sz="4" w:space="0" w:color="auto"/>
            </w:tcBorders>
            <w:shd w:val="clear" w:color="auto" w:fill="FFFFFF"/>
          </w:tcPr>
          <w:p w:rsidR="00B32A2A" w:rsidRPr="00B32A2A" w:rsidRDefault="00B32A2A" w:rsidP="00B32A2A">
            <w:pPr>
              <w:spacing w:before="120" w:after="120"/>
              <w:jc w:val="both"/>
              <w:rPr>
                <w:rFonts w:cs="Arial"/>
                <w:b/>
                <w:i/>
                <w:noProof/>
              </w:rPr>
            </w:pPr>
          </w:p>
        </w:tc>
      </w:tr>
      <w:tr w:rsidR="00B32A2A" w:rsidRPr="00B32A2A" w:rsidTr="00B32A2A">
        <w:trPr>
          <w:trHeight w:val="776"/>
        </w:trPr>
        <w:tc>
          <w:tcPr>
            <w:tcW w:w="14742" w:type="dxa"/>
            <w:gridSpan w:val="10"/>
            <w:tcBorders>
              <w:top w:val="single" w:sz="4" w:space="0" w:color="auto"/>
              <w:left w:val="single" w:sz="4" w:space="0" w:color="auto"/>
              <w:bottom w:val="single" w:sz="4" w:space="0" w:color="auto"/>
              <w:right w:val="single" w:sz="4" w:space="0" w:color="auto"/>
            </w:tcBorders>
            <w:shd w:val="clear" w:color="auto" w:fill="FFFFFF"/>
          </w:tcPr>
          <w:p w:rsidR="00B32A2A" w:rsidRPr="00B32A2A" w:rsidRDefault="00B32A2A" w:rsidP="00B32A2A">
            <w:pPr>
              <w:spacing w:after="0" w:line="240" w:lineRule="auto"/>
              <w:ind w:left="720"/>
              <w:rPr>
                <w:rFonts w:cs="Arial"/>
                <w:b/>
                <w:i/>
                <w:noProof/>
                <w:u w:val="single"/>
              </w:rPr>
            </w:pPr>
          </w:p>
          <w:p w:rsidR="00B32A2A" w:rsidRPr="00B32A2A" w:rsidRDefault="00B32A2A" w:rsidP="00B32A2A">
            <w:pPr>
              <w:spacing w:after="0" w:line="240" w:lineRule="auto"/>
              <w:rPr>
                <w:rFonts w:cs="Arial"/>
                <w:b/>
                <w:noProof/>
                <w:u w:val="single"/>
              </w:rPr>
            </w:pPr>
          </w:p>
          <w:p w:rsidR="00B32A2A" w:rsidRPr="00B32A2A" w:rsidRDefault="00B32A2A" w:rsidP="00B32A2A">
            <w:pPr>
              <w:spacing w:after="0" w:line="240" w:lineRule="auto"/>
              <w:rPr>
                <w:rFonts w:cs="Arial"/>
                <w:b/>
                <w:i/>
                <w:noProof/>
              </w:rPr>
            </w:pPr>
            <w:r>
              <w:rPr>
                <w:b/>
                <w:noProof/>
                <w:u w:val="single"/>
              </w:rPr>
              <w:t xml:space="preserve">Objective 5:Objective description: </w:t>
            </w:r>
            <w:r>
              <w:rPr>
                <w:b/>
                <w:noProof/>
              </w:rPr>
              <w:t>Improve existing management mechanisms so as to implement an efficient and effective Program</w:t>
            </w:r>
          </w:p>
        </w:tc>
        <w:tc>
          <w:tcPr>
            <w:tcW w:w="284" w:type="dxa"/>
            <w:tcBorders>
              <w:top w:val="nil"/>
              <w:left w:val="single" w:sz="4" w:space="0" w:color="auto"/>
              <w:bottom w:val="nil"/>
              <w:right w:val="single" w:sz="4" w:space="0" w:color="auto"/>
            </w:tcBorders>
            <w:shd w:val="clear" w:color="auto" w:fill="FFFFFF"/>
          </w:tcPr>
          <w:p w:rsidR="00B32A2A" w:rsidRPr="00B32A2A" w:rsidRDefault="00B32A2A" w:rsidP="00B32A2A">
            <w:pPr>
              <w:spacing w:before="120" w:after="120"/>
              <w:jc w:val="both"/>
              <w:rPr>
                <w:rFonts w:cs="Arial"/>
                <w:b/>
                <w:i/>
                <w:noProof/>
              </w:rPr>
            </w:pPr>
          </w:p>
        </w:tc>
      </w:tr>
      <w:tr w:rsidR="00B32A2A" w:rsidRPr="00B32A2A" w:rsidTr="00B32A2A">
        <w:trPr>
          <w:gridAfter w:val="1"/>
          <w:wAfter w:w="284" w:type="dxa"/>
          <w:trHeight w:val="642"/>
        </w:trPr>
        <w:tc>
          <w:tcPr>
            <w:tcW w:w="5384" w:type="dxa"/>
            <w:gridSpan w:val="2"/>
            <w:tcBorders>
              <w:top w:val="single" w:sz="4" w:space="0" w:color="auto"/>
              <w:left w:val="single" w:sz="4" w:space="0" w:color="auto"/>
              <w:bottom w:val="single" w:sz="4" w:space="0" w:color="auto"/>
              <w:right w:val="single" w:sz="4" w:space="0" w:color="auto"/>
            </w:tcBorders>
            <w:shd w:val="clear" w:color="auto" w:fill="EEECE1"/>
          </w:tcPr>
          <w:p w:rsidR="00B32A2A" w:rsidRPr="00B32A2A" w:rsidRDefault="00B32A2A" w:rsidP="00B32A2A">
            <w:pPr>
              <w:pBdr>
                <w:bottom w:val="single" w:sz="4" w:space="1" w:color="auto"/>
              </w:pBdr>
              <w:jc w:val="both"/>
              <w:rPr>
                <w:rFonts w:cs="Arial"/>
                <w:b/>
                <w:noProof/>
              </w:rPr>
            </w:pPr>
            <w:r>
              <w:rPr>
                <w:b/>
                <w:noProof/>
              </w:rPr>
              <w:t>Key activities:</w:t>
            </w:r>
          </w:p>
          <w:p w:rsidR="00B32A2A" w:rsidRPr="00B32A2A" w:rsidRDefault="00B32A2A" w:rsidP="00B32A2A">
            <w:pPr>
              <w:numPr>
                <w:ilvl w:val="0"/>
                <w:numId w:val="43"/>
              </w:numPr>
              <w:spacing w:after="0"/>
              <w:jc w:val="both"/>
              <w:rPr>
                <w:rFonts w:cs="Arial"/>
                <w:noProof/>
              </w:rPr>
            </w:pPr>
            <w:r>
              <w:t>Contribute to the operation of the Common Funds for the implementation of HSS activities from 2014 to 2018;</w:t>
            </w:r>
          </w:p>
          <w:p w:rsidR="00B32A2A" w:rsidRPr="00B32A2A" w:rsidRDefault="00B32A2A" w:rsidP="00B32A2A">
            <w:pPr>
              <w:numPr>
                <w:ilvl w:val="0"/>
                <w:numId w:val="43"/>
              </w:numPr>
              <w:spacing w:after="0"/>
              <w:jc w:val="both"/>
              <w:rPr>
                <w:rFonts w:cs="Arial"/>
                <w:noProof/>
              </w:rPr>
            </w:pPr>
            <w:r>
              <w:t>Strengthen Common Funds financial management personnel skills (control and audit);</w:t>
            </w:r>
          </w:p>
          <w:p w:rsidR="00B32A2A" w:rsidRPr="00B32A2A" w:rsidRDefault="00B32A2A" w:rsidP="00B32A2A">
            <w:pPr>
              <w:numPr>
                <w:ilvl w:val="0"/>
                <w:numId w:val="43"/>
              </w:numPr>
              <w:spacing w:after="0"/>
              <w:jc w:val="both"/>
              <w:rPr>
                <w:rFonts w:cs="Arial"/>
                <w:noProof/>
              </w:rPr>
            </w:pPr>
            <w:r>
              <w:t xml:space="preserve">Carry out financial audits and controls for </w:t>
            </w:r>
            <w:r>
              <w:lastRenderedPageBreak/>
              <w:t>GAVI-HSS interventions</w:t>
            </w:r>
          </w:p>
        </w:tc>
        <w:tc>
          <w:tcPr>
            <w:tcW w:w="426" w:type="dxa"/>
            <w:gridSpan w:val="2"/>
            <w:tcBorders>
              <w:top w:val="nil"/>
              <w:left w:val="single" w:sz="4" w:space="0" w:color="auto"/>
              <w:bottom w:val="nil"/>
              <w:right w:val="single" w:sz="4" w:space="0" w:color="auto"/>
            </w:tcBorders>
            <w:shd w:val="clear" w:color="auto" w:fill="FFFFFF"/>
          </w:tcPr>
          <w:p w:rsidR="00B32A2A" w:rsidRPr="00B32A2A" w:rsidRDefault="00B32A2A" w:rsidP="00B32A2A">
            <w:pPr>
              <w:spacing w:before="120" w:after="120"/>
              <w:jc w:val="both"/>
              <w:rPr>
                <w:rFonts w:cs="Arial"/>
                <w:b/>
                <w:noProof/>
              </w:rPr>
            </w:pPr>
            <w:r>
              <w:rPr>
                <w:rFonts w:cs="Arial"/>
                <w:b/>
                <w:noProof/>
                <w:lang w:bidi="ar-SA"/>
              </w:rPr>
              <w:lastRenderedPageBreak/>
              <mc:AlternateContent>
                <mc:Choice Requires="wps">
                  <w:drawing>
                    <wp:anchor distT="0" distB="0" distL="114300" distR="114300" simplePos="0" relativeHeight="251677696" behindDoc="0" locked="0" layoutInCell="1" allowOverlap="1" wp14:anchorId="1BA3C767" wp14:editId="75257EC0">
                      <wp:simplePos x="0" y="0"/>
                      <wp:positionH relativeFrom="column">
                        <wp:posOffset>-36195</wp:posOffset>
                      </wp:positionH>
                      <wp:positionV relativeFrom="paragraph">
                        <wp:posOffset>378460</wp:posOffset>
                      </wp:positionV>
                      <wp:extent cx="187325" cy="0"/>
                      <wp:effectExtent l="11430" t="54610" r="20320" b="59690"/>
                      <wp:wrapNone/>
                      <wp:docPr id="5"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xmlns:o="urn:schemas-microsoft-com:office:office" xmlns:v="urn:schemas-microsoft-com:vml" id="AutoShape 143" o:spid="_x0000_s1026" type="#_x0000_t32" style="position:absolute;margin-left:-2.85pt;margin-top:29.8pt;width:14.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">
                      <v:stroke endarrow="block"/>
                    </v:shape>
                  </w:pict>
                </mc:Fallback>
              </mc:AlternateContent>
            </w:r>
          </w:p>
        </w:tc>
        <w:tc>
          <w:tcPr>
            <w:tcW w:w="4394" w:type="dxa"/>
            <w:gridSpan w:val="2"/>
            <w:tcBorders>
              <w:top w:val="single" w:sz="4" w:space="0" w:color="auto"/>
              <w:left w:val="single" w:sz="4" w:space="0" w:color="auto"/>
              <w:bottom w:val="single" w:sz="4" w:space="0" w:color="auto"/>
              <w:right w:val="single" w:sz="4" w:space="0" w:color="auto"/>
            </w:tcBorders>
            <w:shd w:val="clear" w:color="auto" w:fill="DBE5F1"/>
          </w:tcPr>
          <w:p w:rsidR="00B32A2A" w:rsidRPr="00B32A2A" w:rsidRDefault="00B32A2A" w:rsidP="00B32A2A">
            <w:pPr>
              <w:jc w:val="both"/>
              <w:rPr>
                <w:rFonts w:cs="Arial"/>
                <w:b/>
                <w:noProof/>
              </w:rPr>
            </w:pPr>
            <w:r>
              <w:rPr>
                <w:b/>
                <w:noProof/>
              </w:rPr>
              <w:t>Outputs / Intermediate outcomes:</w:t>
            </w:r>
          </w:p>
          <w:p w:rsidR="00B32A2A" w:rsidRPr="00B32A2A" w:rsidRDefault="00B32A2A" w:rsidP="00B32A2A">
            <w:pPr>
              <w:jc w:val="both"/>
              <w:rPr>
                <w:rFonts w:cs="Arial"/>
                <w:noProof/>
              </w:rPr>
            </w:pPr>
            <w:r>
              <w:t xml:space="preserve"> Financial monitoring reports are available within the stated deadline,</w:t>
            </w:r>
          </w:p>
          <w:p w:rsidR="00B32A2A" w:rsidRPr="00B32A2A" w:rsidRDefault="00B32A2A" w:rsidP="00B32A2A">
            <w:pPr>
              <w:jc w:val="both"/>
              <w:rPr>
                <w:rFonts w:cs="Arial"/>
                <w:noProof/>
              </w:rPr>
            </w:pPr>
            <w:r>
              <w:t>Program implementation reports are available within the stated deadline,</w:t>
            </w:r>
          </w:p>
          <w:p w:rsidR="00B32A2A" w:rsidRPr="00B32A2A" w:rsidRDefault="00B32A2A" w:rsidP="00B32A2A">
            <w:pPr>
              <w:jc w:val="both"/>
              <w:rPr>
                <w:rFonts w:cs="Arial"/>
                <w:noProof/>
              </w:rPr>
            </w:pPr>
          </w:p>
          <w:p w:rsidR="00B32A2A" w:rsidRPr="00B32A2A" w:rsidRDefault="00B32A2A" w:rsidP="00B32A2A">
            <w:pPr>
              <w:jc w:val="both"/>
              <w:rPr>
                <w:rFonts w:cs="Arial"/>
                <w:noProof/>
              </w:rPr>
            </w:pPr>
            <w:r>
              <w:lastRenderedPageBreak/>
              <w:t>Program activities are implemented within the required deadlines.</w:t>
            </w:r>
          </w:p>
        </w:tc>
        <w:tc>
          <w:tcPr>
            <w:tcW w:w="285" w:type="dxa"/>
            <w:tcBorders>
              <w:top w:val="nil"/>
              <w:left w:val="single" w:sz="4" w:space="0" w:color="auto"/>
              <w:bottom w:val="nil"/>
              <w:right w:val="single" w:sz="4" w:space="0" w:color="auto"/>
            </w:tcBorders>
            <w:shd w:val="clear" w:color="auto" w:fill="FFFFFF"/>
          </w:tcPr>
          <w:p w:rsidR="00B32A2A" w:rsidRPr="00B32A2A" w:rsidRDefault="00B32A2A" w:rsidP="00B32A2A">
            <w:pPr>
              <w:spacing w:before="120" w:after="120"/>
              <w:jc w:val="both"/>
              <w:rPr>
                <w:rFonts w:cs="Arial"/>
                <w:b/>
                <w:noProof/>
              </w:rPr>
            </w:pPr>
            <w:r>
              <w:rPr>
                <w:rFonts w:cs="Arial"/>
                <w:b/>
                <w:noProof/>
                <w:lang w:bidi="ar-SA"/>
              </w:rPr>
              <w:lastRenderedPageBreak/>
              <mc:AlternateContent>
                <mc:Choice Requires="wps">
                  <w:drawing>
                    <wp:anchor distT="0" distB="0" distL="114300" distR="114300" simplePos="0" relativeHeight="251678720" behindDoc="0" locked="0" layoutInCell="1" allowOverlap="1" wp14:anchorId="3A7C7EC4" wp14:editId="5517F826">
                      <wp:simplePos x="0" y="0"/>
                      <wp:positionH relativeFrom="column">
                        <wp:posOffset>-65405</wp:posOffset>
                      </wp:positionH>
                      <wp:positionV relativeFrom="paragraph">
                        <wp:posOffset>378460</wp:posOffset>
                      </wp:positionV>
                      <wp:extent cx="125730" cy="635"/>
                      <wp:effectExtent l="10795" t="54610" r="15875" b="59055"/>
                      <wp:wrapNone/>
                      <wp:docPr id="4"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xmlns:o="urn:schemas-microsoft-com:office:office" xmlns:v="urn:schemas-microsoft-com:vml" id="AutoShape 148" o:spid="_x0000_s1026" type="#_x0000_t34" style="position:absolute;margin-left:-5.15pt;margin-top:29.8pt;width:9.9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">
                      <v:stroke endarrow="block"/>
                    </v:shape>
                  </w:pict>
                </mc:Fallback>
              </mc:AlternateContent>
            </w:r>
          </w:p>
        </w:tc>
        <w:tc>
          <w:tcPr>
            <w:tcW w:w="3969" w:type="dxa"/>
            <w:gridSpan w:val="2"/>
            <w:tcBorders>
              <w:top w:val="single" w:sz="4" w:space="0" w:color="auto"/>
              <w:left w:val="single" w:sz="4" w:space="0" w:color="auto"/>
              <w:bottom w:val="single" w:sz="4" w:space="0" w:color="auto"/>
              <w:right w:val="single" w:sz="4" w:space="0" w:color="auto"/>
            </w:tcBorders>
            <w:shd w:val="clear" w:color="auto" w:fill="F2DBDB"/>
          </w:tcPr>
          <w:p w:rsidR="00B32A2A" w:rsidRPr="00B32A2A" w:rsidRDefault="00B32A2A" w:rsidP="00B32A2A">
            <w:pPr>
              <w:jc w:val="both"/>
              <w:rPr>
                <w:rFonts w:cs="Arial"/>
                <w:b/>
                <w:noProof/>
              </w:rPr>
            </w:pPr>
            <w:r>
              <w:rPr>
                <w:b/>
                <w:noProof/>
              </w:rPr>
              <w:t>Immunization outcomes:</w:t>
            </w:r>
          </w:p>
          <w:p w:rsidR="00B32A2A" w:rsidRPr="00B32A2A" w:rsidRDefault="00B32A2A" w:rsidP="00B32A2A">
            <w:pPr>
              <w:spacing w:after="0" w:line="240" w:lineRule="auto"/>
              <w:rPr>
                <w:rFonts w:cs="Arial"/>
                <w:b/>
                <w:noProof/>
              </w:rPr>
            </w:pPr>
          </w:p>
          <w:p w:rsidR="00B32A2A" w:rsidRPr="00B32A2A" w:rsidRDefault="00B32A2A" w:rsidP="00B32A2A">
            <w:pPr>
              <w:spacing w:after="0" w:line="240" w:lineRule="auto"/>
              <w:rPr>
                <w:rFonts w:cs="Arial"/>
                <w:b/>
                <w:noProof/>
              </w:rPr>
            </w:pPr>
            <w:r>
              <w:rPr>
                <w:b/>
                <w:noProof/>
              </w:rPr>
              <w:t>Physical and financial implementation rates are improved.</w:t>
            </w:r>
          </w:p>
          <w:p w:rsidR="00B32A2A" w:rsidRPr="00B32A2A" w:rsidRDefault="00B32A2A" w:rsidP="00B32A2A">
            <w:pPr>
              <w:spacing w:before="120" w:after="120"/>
              <w:jc w:val="both"/>
              <w:rPr>
                <w:rFonts w:cs="Arial"/>
                <w:b/>
                <w:noProof/>
              </w:rPr>
            </w:pPr>
          </w:p>
        </w:tc>
        <w:tc>
          <w:tcPr>
            <w:tcW w:w="284" w:type="dxa"/>
            <w:tcBorders>
              <w:top w:val="nil"/>
              <w:left w:val="single" w:sz="4" w:space="0" w:color="auto"/>
              <w:bottom w:val="nil"/>
              <w:right w:val="single" w:sz="4" w:space="0" w:color="auto"/>
            </w:tcBorders>
            <w:shd w:val="clear" w:color="auto" w:fill="FFFFFF"/>
          </w:tcPr>
          <w:p w:rsidR="00B32A2A" w:rsidRPr="00B32A2A" w:rsidRDefault="00B32A2A" w:rsidP="00B32A2A">
            <w:pPr>
              <w:spacing w:before="120" w:after="120"/>
              <w:jc w:val="both"/>
              <w:rPr>
                <w:rFonts w:cs="Arial"/>
                <w:b/>
                <w:i/>
                <w:noProof/>
              </w:rPr>
            </w:pPr>
          </w:p>
        </w:tc>
      </w:tr>
      <w:tr w:rsidR="00B32A2A" w:rsidRPr="00B32A2A" w:rsidTr="00B32A2A">
        <w:trPr>
          <w:gridAfter w:val="1"/>
          <w:wAfter w:w="284" w:type="dxa"/>
          <w:trHeight w:val="642"/>
        </w:trPr>
        <w:tc>
          <w:tcPr>
            <w:tcW w:w="14742" w:type="dxa"/>
            <w:gridSpan w:val="10"/>
            <w:tcBorders>
              <w:top w:val="single" w:sz="4" w:space="0" w:color="auto"/>
            </w:tcBorders>
            <w:shd w:val="clear" w:color="auto" w:fill="FFFFFF"/>
          </w:tcPr>
          <w:p w:rsidR="00B32A2A" w:rsidRPr="00B32A2A" w:rsidRDefault="00B32A2A" w:rsidP="00B32A2A">
            <w:pPr>
              <w:spacing w:before="120" w:after="120"/>
              <w:jc w:val="both"/>
              <w:rPr>
                <w:rFonts w:cs="Arial"/>
                <w:b/>
                <w:i/>
                <w:noProof/>
              </w:rPr>
            </w:pPr>
            <w:r>
              <w:rPr>
                <w:b/>
                <w:i/>
                <w:noProof/>
                <w:u w:val="single"/>
              </w:rPr>
              <w:lastRenderedPageBreak/>
              <w:t>IMPACT</w:t>
            </w:r>
            <w:r>
              <w:rPr>
                <w:b/>
                <w:i/>
                <w:noProof/>
              </w:rPr>
              <w:t>: Please provide a description of the impact and one or multiple indicator(s)</w:t>
            </w:r>
          </w:p>
          <w:p w:rsidR="00B32A2A" w:rsidRPr="00B32A2A" w:rsidRDefault="00B32A2A" w:rsidP="00B32A2A">
            <w:pPr>
              <w:numPr>
                <w:ilvl w:val="0"/>
                <w:numId w:val="2"/>
              </w:numPr>
              <w:jc w:val="both"/>
              <w:rPr>
                <w:rFonts w:cs="Arial"/>
                <w:noProof/>
              </w:rPr>
            </w:pPr>
            <w:r>
              <w:t xml:space="preserve">Contribute to reduction of the under-five mortality rate </w:t>
            </w:r>
          </w:p>
          <w:p w:rsidR="00B32A2A" w:rsidRPr="00B32A2A" w:rsidRDefault="00B32A2A" w:rsidP="00B32A2A">
            <w:pPr>
              <w:ind w:left="360"/>
              <w:jc w:val="both"/>
              <w:rPr>
                <w:rFonts w:cs="Arial"/>
                <w:noProof/>
              </w:rPr>
            </w:pPr>
            <w:r>
              <w:t xml:space="preserve">Infant and juvenile mortality rate per 1000 live births  </w:t>
            </w:r>
          </w:p>
          <w:p w:rsidR="00B32A2A" w:rsidRPr="00B32A2A" w:rsidRDefault="00B32A2A" w:rsidP="00B32A2A">
            <w:pPr>
              <w:ind w:left="360"/>
              <w:jc w:val="both"/>
              <w:rPr>
                <w:rFonts w:cs="Arial"/>
                <w:noProof/>
              </w:rPr>
            </w:pPr>
            <w:r>
              <w:t>Under-five mortality rate per 1000 live births in rural areas</w:t>
            </w:r>
          </w:p>
          <w:p w:rsidR="00B32A2A" w:rsidRPr="00B32A2A" w:rsidRDefault="00B32A2A" w:rsidP="00B32A2A">
            <w:pPr>
              <w:ind w:left="360"/>
              <w:jc w:val="both"/>
              <w:rPr>
                <w:rFonts w:cs="Arial"/>
                <w:noProof/>
              </w:rPr>
            </w:pPr>
          </w:p>
          <w:p w:rsidR="00B32A2A" w:rsidRPr="00B32A2A" w:rsidRDefault="00B32A2A" w:rsidP="00B32A2A">
            <w:pPr>
              <w:ind w:left="360"/>
              <w:jc w:val="both"/>
              <w:rPr>
                <w:rFonts w:cs="Arial"/>
                <w:b/>
                <w:i/>
                <w:noProof/>
              </w:rPr>
            </w:pPr>
          </w:p>
        </w:tc>
      </w:tr>
    </w:tbl>
    <w:p w:rsidR="00B32A2A" w:rsidRPr="00B32A2A" w:rsidRDefault="00B32A2A" w:rsidP="00B32A2A">
      <w:pPr>
        <w:spacing w:before="240" w:after="120"/>
        <w:jc w:val="both"/>
        <w:rPr>
          <w:rFonts w:cs="Arial"/>
          <w:b/>
          <w:i/>
          <w:noProof/>
          <w:u w:val="single"/>
        </w:rPr>
        <w:sectPr w:rsidR="00B32A2A" w:rsidRPr="00B32A2A" w:rsidSect="00AB7BCC">
          <w:pgSz w:w="16839" w:h="11907" w:orient="landscape" w:code="9"/>
          <w:pgMar w:top="851" w:right="992" w:bottom="851" w:left="992" w:header="709" w:footer="709" w:gutter="0"/>
          <w:cols w:space="708"/>
          <w:docGrid w:linePitch="360"/>
        </w:sectPr>
      </w:pPr>
    </w:p>
    <w:tbl>
      <w:tblPr>
        <w:tblW w:w="10206" w:type="dxa"/>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206"/>
      </w:tblGrid>
      <w:tr w:rsidR="00B32A2A" w:rsidRPr="00B32A2A" w:rsidTr="00B32A2A">
        <w:trPr>
          <w:trHeight w:val="642"/>
        </w:trPr>
        <w:tc>
          <w:tcPr>
            <w:tcW w:w="10206" w:type="dxa"/>
            <w:shd w:val="clear" w:color="auto" w:fill="FFFFFF"/>
          </w:tcPr>
          <w:p w:rsidR="00B32A2A" w:rsidRPr="00B32A2A" w:rsidRDefault="00B32A2A" w:rsidP="00B32A2A">
            <w:pPr>
              <w:spacing w:before="240" w:after="120"/>
              <w:jc w:val="both"/>
              <w:rPr>
                <w:rFonts w:cs="Arial"/>
                <w:b/>
                <w:i/>
                <w:noProof/>
                <w:u w:val="single"/>
              </w:rPr>
            </w:pPr>
            <w:r>
              <w:rPr>
                <w:b/>
                <w:i/>
                <w:noProof/>
                <w:u w:val="single"/>
              </w:rPr>
              <w:lastRenderedPageBreak/>
              <w:t>ASSUMPTIONS AND RISKS:</w:t>
            </w:r>
          </w:p>
          <w:p w:rsidR="00B32A2A" w:rsidRPr="00B32A2A" w:rsidRDefault="00B32A2A" w:rsidP="00B32A2A">
            <w:pPr>
              <w:widowControl/>
              <w:autoSpaceDE w:val="0"/>
              <w:autoSpaceDN w:val="0"/>
              <w:adjustRightInd w:val="0"/>
              <w:spacing w:after="0" w:line="240" w:lineRule="auto"/>
              <w:ind w:left="720"/>
              <w:rPr>
                <w:rFonts w:cs="Arial"/>
                <w:noProof/>
              </w:rPr>
            </w:pPr>
          </w:p>
          <w:p w:rsidR="00B32A2A" w:rsidRPr="00B32A2A" w:rsidRDefault="00B32A2A" w:rsidP="00B32A2A">
            <w:pPr>
              <w:widowControl/>
              <w:autoSpaceDE w:val="0"/>
              <w:autoSpaceDN w:val="0"/>
              <w:adjustRightInd w:val="0"/>
              <w:spacing w:after="0" w:line="240" w:lineRule="auto"/>
              <w:ind w:left="720"/>
              <w:rPr>
                <w:rFonts w:cs="Arial"/>
                <w:b/>
                <w:i/>
                <w:noProof/>
              </w:rPr>
            </w:pPr>
          </w:p>
        </w:tc>
      </w:tr>
      <w:tr w:rsidR="00B32A2A" w:rsidRPr="00B32A2A" w:rsidTr="00B32A2A">
        <w:trPr>
          <w:trHeight w:val="278"/>
        </w:trPr>
        <w:tc>
          <w:tcPr>
            <w:tcW w:w="10206" w:type="dxa"/>
            <w:shd w:val="clear" w:color="auto" w:fill="FFFFFF"/>
          </w:tcPr>
          <w:p w:rsidR="00B32A2A" w:rsidRPr="00B32A2A" w:rsidRDefault="00B32A2A" w:rsidP="00B32A2A">
            <w:pPr>
              <w:spacing w:before="120" w:after="120"/>
              <w:jc w:val="both"/>
              <w:rPr>
                <w:rFonts w:cs="Arial"/>
                <w:b/>
                <w:i/>
                <w:noProof/>
              </w:rPr>
            </w:pPr>
            <w:r>
              <w:rPr>
                <w:b/>
                <w:i/>
                <w:noProof/>
              </w:rPr>
              <w:t>THREE PAGES MAXIMUM</w:t>
            </w:r>
          </w:p>
        </w:tc>
      </w:tr>
    </w:tbl>
    <w:p w:rsidR="00B32A2A" w:rsidRPr="00B32A2A" w:rsidRDefault="00B32A2A" w:rsidP="00B32A2A">
      <w:pPr>
        <w:jc w:val="both"/>
        <w:rPr>
          <w:rFonts w:cs="Arial"/>
          <w:noProof/>
        </w:rPr>
      </w:pPr>
    </w:p>
    <w:p w:rsidR="00B32A2A" w:rsidRPr="00B32A2A" w:rsidRDefault="00B32A2A" w:rsidP="00B32A2A">
      <w:pPr>
        <w:rPr>
          <w:rFonts w:cs="Arial"/>
          <w:b/>
          <w:noProof/>
          <w:u w:val="single"/>
        </w:rPr>
      </w:pPr>
      <w:r>
        <w:rPr>
          <w:b/>
          <w:noProof/>
          <w:u w:val="single"/>
        </w:rPr>
        <w:t>ASSUMPTIONS</w:t>
      </w:r>
    </w:p>
    <w:p w:rsidR="00B32A2A" w:rsidRPr="00B32A2A" w:rsidRDefault="00B32A2A" w:rsidP="00B32A2A">
      <w:pPr>
        <w:numPr>
          <w:ilvl w:val="0"/>
          <w:numId w:val="42"/>
        </w:numPr>
        <w:rPr>
          <w:rFonts w:cs="Arial"/>
          <w:noProof/>
        </w:rPr>
      </w:pPr>
      <w:r>
        <w:t>Political stability is maintained;</w:t>
      </w:r>
    </w:p>
    <w:p w:rsidR="00B32A2A" w:rsidRPr="00B32A2A" w:rsidRDefault="00B32A2A" w:rsidP="00B32A2A">
      <w:pPr>
        <w:numPr>
          <w:ilvl w:val="0"/>
          <w:numId w:val="42"/>
        </w:numPr>
        <w:rPr>
          <w:rFonts w:cs="Arial"/>
          <w:noProof/>
        </w:rPr>
      </w:pPr>
      <w:r>
        <w:t>Security is guaranteed throughout country.</w:t>
      </w:r>
    </w:p>
    <w:p w:rsidR="00B32A2A" w:rsidRPr="00B32A2A" w:rsidRDefault="00B32A2A" w:rsidP="00B32A2A">
      <w:pPr>
        <w:numPr>
          <w:ilvl w:val="0"/>
          <w:numId w:val="42"/>
        </w:numPr>
        <w:rPr>
          <w:rFonts w:cs="Arial"/>
          <w:noProof/>
        </w:rPr>
      </w:pPr>
      <w:r>
        <w:t>Communities support, and accept being involved in the programs and projects;</w:t>
      </w:r>
    </w:p>
    <w:p w:rsidR="00B32A2A" w:rsidRPr="00B32A2A" w:rsidRDefault="00B32A2A" w:rsidP="00B32A2A">
      <w:pPr>
        <w:numPr>
          <w:ilvl w:val="0"/>
          <w:numId w:val="42"/>
        </w:numPr>
        <w:rPr>
          <w:rFonts w:cs="Arial"/>
          <w:noProof/>
        </w:rPr>
      </w:pPr>
      <w:r>
        <w:t>The TFPs contribute financially;</w:t>
      </w:r>
    </w:p>
    <w:p w:rsidR="00B32A2A" w:rsidRPr="00B32A2A" w:rsidRDefault="00B32A2A" w:rsidP="00B32A2A">
      <w:pPr>
        <w:numPr>
          <w:ilvl w:val="0"/>
          <w:numId w:val="42"/>
        </w:numPr>
        <w:rPr>
          <w:rFonts w:cs="Arial"/>
          <w:noProof/>
        </w:rPr>
      </w:pPr>
      <w:r>
        <w:t>Civil society as a whole participate effectively in the program's implementation;</w:t>
      </w:r>
    </w:p>
    <w:p w:rsidR="00B32A2A" w:rsidRPr="00B32A2A" w:rsidRDefault="00B32A2A" w:rsidP="00B32A2A">
      <w:pPr>
        <w:numPr>
          <w:ilvl w:val="0"/>
          <w:numId w:val="42"/>
        </w:numPr>
        <w:rPr>
          <w:rFonts w:cs="Arial"/>
          <w:noProof/>
        </w:rPr>
      </w:pPr>
      <w:r>
        <w:t>Good governance and rigorous management of resources within the health sector;</w:t>
      </w:r>
    </w:p>
    <w:p w:rsidR="00B32A2A" w:rsidRPr="00B32A2A" w:rsidRDefault="00B32A2A" w:rsidP="00B32A2A">
      <w:pPr>
        <w:numPr>
          <w:ilvl w:val="0"/>
          <w:numId w:val="42"/>
        </w:numPr>
        <w:rPr>
          <w:rFonts w:cs="Arial"/>
          <w:noProof/>
        </w:rPr>
      </w:pPr>
      <w:r>
        <w:t>Improved health personnel recruiting and low turnover for health workers at dispensaries;</w:t>
      </w:r>
    </w:p>
    <w:p w:rsidR="00B32A2A" w:rsidRPr="00B32A2A" w:rsidRDefault="00B32A2A" w:rsidP="00B32A2A">
      <w:pPr>
        <w:numPr>
          <w:ilvl w:val="0"/>
          <w:numId w:val="42"/>
        </w:numPr>
        <w:rPr>
          <w:rFonts w:cs="Arial"/>
          <w:noProof/>
        </w:rPr>
      </w:pPr>
      <w:r>
        <w:t>Availability of an HDP and an integrated monitoring and evaluation plan that covers the proposed period for GAVI/HSS.</w:t>
      </w:r>
    </w:p>
    <w:p w:rsidR="00B32A2A" w:rsidRPr="00B32A2A" w:rsidRDefault="00B32A2A" w:rsidP="00B32A2A">
      <w:pPr>
        <w:jc w:val="both"/>
        <w:rPr>
          <w:rFonts w:cs="Arial"/>
          <w:b/>
          <w:noProof/>
        </w:rPr>
      </w:pPr>
      <w:r>
        <w:rPr>
          <w:b/>
          <w:noProof/>
        </w:rPr>
        <w:t>RISKS</w:t>
      </w:r>
    </w:p>
    <w:p w:rsidR="00B32A2A" w:rsidRPr="00B32A2A" w:rsidRDefault="00B32A2A" w:rsidP="00B32A2A">
      <w:pPr>
        <w:rPr>
          <w:rFonts w:cs="Arial"/>
          <w:b/>
          <w:noProof/>
        </w:rPr>
      </w:pPr>
      <w:r>
        <w:rPr>
          <w:b/>
          <w:noProof/>
        </w:rPr>
        <w:t>General risks</w:t>
      </w:r>
    </w:p>
    <w:p w:rsidR="00B32A2A" w:rsidRPr="00B32A2A" w:rsidRDefault="00B32A2A" w:rsidP="00B32A2A">
      <w:pPr>
        <w:rPr>
          <w:rFonts w:cs="Arial"/>
          <w:b/>
          <w:noProof/>
        </w:rPr>
      </w:pPr>
      <w:r>
        <w:rPr>
          <w:b/>
          <w:noProof/>
        </w:rPr>
        <w:t xml:space="preserve"> The main risks are:</w:t>
      </w:r>
    </w:p>
    <w:p w:rsidR="00B32A2A" w:rsidRPr="00B32A2A" w:rsidRDefault="00B32A2A" w:rsidP="00B32A2A">
      <w:pPr>
        <w:spacing w:after="0" w:line="240" w:lineRule="auto"/>
        <w:rPr>
          <w:rFonts w:cs="Arial"/>
          <w:noProof/>
        </w:rPr>
      </w:pPr>
    </w:p>
    <w:p w:rsidR="00B32A2A" w:rsidRPr="00B32A2A" w:rsidRDefault="00B32A2A" w:rsidP="00B32A2A">
      <w:pPr>
        <w:numPr>
          <w:ilvl w:val="0"/>
          <w:numId w:val="38"/>
        </w:numPr>
        <w:spacing w:after="0"/>
        <w:rPr>
          <w:rFonts w:cs="Arial"/>
          <w:noProof/>
        </w:rPr>
      </w:pPr>
      <w:r>
        <w:t>Political and institutional instability: This is defined as unjustified change of those in charge at the MPH (Minister, Secretary Generals, Technical Directors and Program Coordinators), leading to a state of perpetual starting over again with regard to the implementation of activities,</w:t>
      </w:r>
    </w:p>
    <w:p w:rsidR="00B32A2A" w:rsidRPr="00B32A2A" w:rsidRDefault="00B32A2A" w:rsidP="00B32A2A">
      <w:pPr>
        <w:numPr>
          <w:ilvl w:val="0"/>
          <w:numId w:val="38"/>
        </w:numPr>
        <w:spacing w:after="0"/>
        <w:rPr>
          <w:rFonts w:cs="Arial"/>
          <w:noProof/>
        </w:rPr>
      </w:pPr>
      <w:r>
        <w:t>Residual insecurity: Such insecurity hinders accessibility to health services, limits health worker movement needed to implement fair-related and mobile activities with the affected zones,</w:t>
      </w:r>
    </w:p>
    <w:p w:rsidR="00B32A2A" w:rsidRPr="00B32A2A" w:rsidRDefault="00B32A2A" w:rsidP="00B32A2A">
      <w:pPr>
        <w:numPr>
          <w:ilvl w:val="0"/>
          <w:numId w:val="40"/>
        </w:numPr>
        <w:spacing w:after="0"/>
        <w:jc w:val="both"/>
        <w:rPr>
          <w:rFonts w:cs="Arial"/>
          <w:noProof/>
        </w:rPr>
      </w:pPr>
      <w:r>
        <w:t>Onset of epidemics and natural disasters: Niger experiences several cyclical types of epidemics (measles, meningitis, cholera, etc.) which, from their onset, cause additional work, and as a consequence, the cancellation of activities, including immunization-related ones. Furthermore, the consequences of climate events, such as floods, food and nutritional crises cause massive displacements within the population. This would make it difficult to reach certain targets,</w:t>
      </w:r>
    </w:p>
    <w:p w:rsidR="00B32A2A" w:rsidRPr="00B32A2A" w:rsidRDefault="00B32A2A" w:rsidP="00B32A2A">
      <w:pPr>
        <w:spacing w:after="0"/>
        <w:ind w:left="720"/>
        <w:jc w:val="both"/>
        <w:rPr>
          <w:rFonts w:cs="Arial"/>
          <w:noProof/>
        </w:rPr>
      </w:pPr>
    </w:p>
    <w:p w:rsidR="00B32A2A" w:rsidRPr="00B32A2A" w:rsidRDefault="00B32A2A" w:rsidP="00B32A2A">
      <w:pPr>
        <w:numPr>
          <w:ilvl w:val="0"/>
          <w:numId w:val="40"/>
        </w:numPr>
        <w:spacing w:after="0"/>
        <w:jc w:val="both"/>
        <w:rPr>
          <w:rFonts w:cs="Arial"/>
          <w:noProof/>
        </w:rPr>
      </w:pPr>
      <w:r>
        <w:lastRenderedPageBreak/>
        <w:t>The parties involved (TFPs and the Government) failing to honor their commitments: This means delays in releasing funds and a lack of funds made available to health services for the implementation of activities. This impacts the implementation of activities and specifically those related to immunization.</w:t>
      </w:r>
    </w:p>
    <w:p w:rsidR="00B32A2A" w:rsidRPr="00B32A2A" w:rsidRDefault="00B32A2A" w:rsidP="00B32A2A">
      <w:pPr>
        <w:spacing w:after="0"/>
        <w:ind w:left="720"/>
        <w:jc w:val="both"/>
        <w:rPr>
          <w:rFonts w:cs="Arial"/>
          <w:noProof/>
        </w:rPr>
      </w:pPr>
    </w:p>
    <w:p w:rsidR="00B32A2A" w:rsidRPr="00B32A2A" w:rsidRDefault="00B32A2A" w:rsidP="00B32A2A">
      <w:pPr>
        <w:numPr>
          <w:ilvl w:val="0"/>
          <w:numId w:val="39"/>
        </w:numPr>
        <w:spacing w:after="0"/>
        <w:jc w:val="both"/>
        <w:rPr>
          <w:rFonts w:cs="Arial"/>
          <w:noProof/>
        </w:rPr>
      </w:pPr>
      <w:r>
        <w:t>The population's weak economic power can influence how often they use services.</w:t>
      </w:r>
    </w:p>
    <w:p w:rsidR="00B32A2A" w:rsidRPr="00B32A2A" w:rsidRDefault="00B32A2A" w:rsidP="00B32A2A">
      <w:pPr>
        <w:spacing w:after="0" w:line="240" w:lineRule="auto"/>
        <w:rPr>
          <w:rFonts w:cs="Arial"/>
          <w:noProof/>
        </w:rPr>
      </w:pPr>
    </w:p>
    <w:p w:rsidR="00B32A2A" w:rsidRPr="00B32A2A" w:rsidRDefault="00B32A2A" w:rsidP="00B32A2A">
      <w:pPr>
        <w:spacing w:after="0" w:line="240" w:lineRule="auto"/>
        <w:rPr>
          <w:rFonts w:cs="Arial"/>
          <w:noProof/>
        </w:rPr>
      </w:pPr>
      <w:r>
        <w:rPr>
          <w:b/>
          <w:noProof/>
        </w:rPr>
        <w:t>Specific risks can compromise the ability to achieve results</w:t>
      </w:r>
      <w:r>
        <w:t>:</w:t>
      </w:r>
    </w:p>
    <w:p w:rsidR="00B32A2A" w:rsidRPr="00B32A2A" w:rsidRDefault="00B32A2A" w:rsidP="00B32A2A">
      <w:pPr>
        <w:spacing w:after="0" w:line="240" w:lineRule="auto"/>
        <w:rPr>
          <w:rFonts w:cs="Arial"/>
          <w:noProof/>
        </w:rPr>
      </w:pPr>
      <w:r>
        <w:t xml:space="preserve"> </w:t>
      </w:r>
    </w:p>
    <w:p w:rsidR="00B32A2A" w:rsidRPr="00B32A2A" w:rsidRDefault="00B32A2A" w:rsidP="00B32A2A">
      <w:pPr>
        <w:pStyle w:val="ListParagraph"/>
        <w:numPr>
          <w:ilvl w:val="0"/>
          <w:numId w:val="41"/>
        </w:numPr>
        <w:spacing w:after="0"/>
        <w:rPr>
          <w:rFonts w:eastAsia="Calibri" w:cs="Arial"/>
          <w:i w:val="0"/>
          <w:noProof/>
          <w:color w:val="auto"/>
          <w:sz w:val="22"/>
          <w:szCs w:val="22"/>
        </w:rPr>
      </w:pPr>
      <w:r>
        <w:rPr>
          <w:i w:val="0"/>
          <w:noProof/>
          <w:color w:val="auto"/>
          <w:sz w:val="22"/>
        </w:rPr>
        <w:t>Personnel's availability and motivation: Inadequate health human resources, poor distribution of these resources as well as low motivation personnel strikes impact service availability by impeding the execution of activities and leading to lost opportunities for immunization activities,</w:t>
      </w:r>
    </w:p>
    <w:p w:rsidR="00B32A2A" w:rsidRPr="00B32A2A" w:rsidRDefault="00B32A2A" w:rsidP="00B32A2A">
      <w:pPr>
        <w:pStyle w:val="ListParagraph"/>
        <w:numPr>
          <w:ilvl w:val="0"/>
          <w:numId w:val="0"/>
        </w:numPr>
        <w:spacing w:after="0"/>
        <w:ind w:left="360"/>
        <w:rPr>
          <w:rFonts w:eastAsia="Calibri" w:cs="Arial"/>
          <w:i w:val="0"/>
          <w:noProof/>
          <w:color w:val="auto"/>
          <w:sz w:val="22"/>
          <w:szCs w:val="22"/>
        </w:rPr>
      </w:pPr>
    </w:p>
    <w:p w:rsidR="00B32A2A" w:rsidRPr="00B32A2A" w:rsidRDefault="00B32A2A" w:rsidP="00B32A2A">
      <w:pPr>
        <w:pStyle w:val="ListParagraph"/>
        <w:numPr>
          <w:ilvl w:val="0"/>
          <w:numId w:val="41"/>
        </w:numPr>
        <w:spacing w:after="0"/>
        <w:rPr>
          <w:rFonts w:eastAsia="Calibri" w:cs="Arial"/>
          <w:i w:val="0"/>
          <w:noProof/>
          <w:color w:val="auto"/>
          <w:sz w:val="22"/>
          <w:szCs w:val="22"/>
        </w:rPr>
      </w:pPr>
      <w:r>
        <w:rPr>
          <w:i w:val="0"/>
          <w:noProof/>
          <w:color w:val="auto"/>
          <w:sz w:val="22"/>
        </w:rPr>
        <w:t>Inadequate antigen inventory and stock disruption: This interferes with availability and service offerings, including immunization. When this situation occurs, this can lead to periods of disruption in the immunization process; as a result, immunization indicators decline and there may even be the onset of an epidemic.</w:t>
      </w:r>
    </w:p>
    <w:p w:rsidR="00B32A2A" w:rsidRPr="00B32A2A" w:rsidRDefault="00B32A2A" w:rsidP="00B32A2A">
      <w:pPr>
        <w:pStyle w:val="ListParagraph"/>
        <w:numPr>
          <w:ilvl w:val="0"/>
          <w:numId w:val="0"/>
        </w:numPr>
        <w:spacing w:after="0"/>
        <w:ind w:left="360"/>
        <w:rPr>
          <w:rFonts w:eastAsia="Calibri" w:cs="Arial"/>
          <w:i w:val="0"/>
          <w:noProof/>
          <w:color w:val="auto"/>
          <w:sz w:val="22"/>
          <w:szCs w:val="22"/>
        </w:rPr>
      </w:pPr>
    </w:p>
    <w:p w:rsidR="00B32A2A" w:rsidRPr="00B32A2A" w:rsidRDefault="00B32A2A" w:rsidP="00B32A2A">
      <w:pPr>
        <w:pStyle w:val="ListParagraph"/>
        <w:numPr>
          <w:ilvl w:val="0"/>
          <w:numId w:val="41"/>
        </w:numPr>
        <w:spacing w:after="0"/>
        <w:rPr>
          <w:rFonts w:eastAsia="Calibri" w:cs="Arial"/>
          <w:i w:val="0"/>
          <w:noProof/>
          <w:color w:val="auto"/>
          <w:sz w:val="22"/>
          <w:szCs w:val="22"/>
        </w:rPr>
      </w:pPr>
      <w:r>
        <w:rPr>
          <w:i w:val="0"/>
          <w:noProof/>
          <w:color w:val="auto"/>
          <w:sz w:val="22"/>
        </w:rPr>
        <w:t>Inadequate or lack of funding for alternative strategies to access health care services: inadequate or lack of funding alternative strategies to access health care services [sic] (outreach, fair and mobile) limit equitable access and geographic accessibility to health services, including immunization,</w:t>
      </w:r>
    </w:p>
    <w:p w:rsidR="00B32A2A" w:rsidRPr="00B32A2A" w:rsidRDefault="00B32A2A" w:rsidP="00B32A2A">
      <w:pPr>
        <w:pStyle w:val="ListParagraph"/>
        <w:numPr>
          <w:ilvl w:val="0"/>
          <w:numId w:val="0"/>
        </w:numPr>
        <w:ind w:left="720"/>
        <w:rPr>
          <w:rFonts w:eastAsia="Calibri" w:cs="Arial"/>
          <w:i w:val="0"/>
          <w:noProof/>
          <w:color w:val="auto"/>
          <w:sz w:val="22"/>
          <w:szCs w:val="22"/>
        </w:rPr>
      </w:pPr>
    </w:p>
    <w:p w:rsidR="00B32A2A" w:rsidRPr="00B32A2A" w:rsidRDefault="00B32A2A" w:rsidP="00B32A2A">
      <w:pPr>
        <w:pStyle w:val="ListParagraph"/>
        <w:numPr>
          <w:ilvl w:val="0"/>
          <w:numId w:val="41"/>
        </w:numPr>
        <w:spacing w:after="0" w:line="240" w:lineRule="auto"/>
        <w:rPr>
          <w:rFonts w:eastAsia="Calibri" w:cs="Arial"/>
          <w:i w:val="0"/>
          <w:noProof/>
          <w:color w:val="auto"/>
          <w:sz w:val="22"/>
          <w:szCs w:val="22"/>
        </w:rPr>
      </w:pPr>
      <w:r>
        <w:rPr>
          <w:i w:val="0"/>
          <w:noProof/>
          <w:color w:val="auto"/>
          <w:sz w:val="22"/>
        </w:rPr>
        <w:t>Inadequate, or even no, funding for the training of personnel and other inputs: This can affect the quality of health services and care offered, including immunization,</w:t>
      </w:r>
    </w:p>
    <w:p w:rsidR="00B32A2A" w:rsidRPr="00B32A2A" w:rsidRDefault="00B32A2A" w:rsidP="00B32A2A">
      <w:pPr>
        <w:spacing w:after="0" w:line="240" w:lineRule="auto"/>
        <w:rPr>
          <w:rFonts w:cs="Arial"/>
          <w:noProof/>
        </w:rPr>
      </w:pPr>
    </w:p>
    <w:p w:rsidR="00B32A2A" w:rsidRPr="00B32A2A" w:rsidRDefault="00B32A2A" w:rsidP="00B32A2A">
      <w:pPr>
        <w:pStyle w:val="ListParagraph"/>
        <w:numPr>
          <w:ilvl w:val="0"/>
          <w:numId w:val="41"/>
        </w:numPr>
        <w:rPr>
          <w:rFonts w:eastAsia="Calibri" w:cs="Arial"/>
          <w:i w:val="0"/>
          <w:noProof/>
          <w:color w:val="auto"/>
          <w:sz w:val="22"/>
          <w:szCs w:val="22"/>
        </w:rPr>
      </w:pPr>
      <w:r>
        <w:rPr>
          <w:i w:val="0"/>
          <w:noProof/>
          <w:color w:val="auto"/>
          <w:sz w:val="22"/>
        </w:rPr>
        <w:t>The persistence of traditional practices harmful to health and socio-cultural factors: There is a risk that the population will not support immunization activities. This is one of the leading causes for parents refusing immunization as well as for the dropout rate. Furthermore, these factors can prevent community participation in health-related actions,</w:t>
      </w:r>
    </w:p>
    <w:p w:rsidR="00B32A2A" w:rsidRPr="00B32A2A" w:rsidRDefault="00B32A2A" w:rsidP="00B32A2A">
      <w:pPr>
        <w:pStyle w:val="ListParagraph"/>
        <w:numPr>
          <w:ilvl w:val="0"/>
          <w:numId w:val="0"/>
        </w:numPr>
        <w:rPr>
          <w:rFonts w:eastAsia="Calibri" w:cs="Arial"/>
          <w:i w:val="0"/>
          <w:noProof/>
          <w:color w:val="auto"/>
          <w:sz w:val="22"/>
          <w:szCs w:val="22"/>
        </w:rPr>
      </w:pPr>
    </w:p>
    <w:p w:rsidR="00B32A2A" w:rsidRPr="00B32A2A" w:rsidRDefault="00B32A2A" w:rsidP="00B32A2A">
      <w:pPr>
        <w:pStyle w:val="ListParagraph"/>
        <w:numPr>
          <w:ilvl w:val="0"/>
          <w:numId w:val="41"/>
        </w:numPr>
        <w:rPr>
          <w:rFonts w:eastAsia="Calibri" w:cs="Arial"/>
          <w:i w:val="0"/>
          <w:noProof/>
          <w:color w:val="auto"/>
          <w:sz w:val="22"/>
          <w:szCs w:val="22"/>
        </w:rPr>
      </w:pPr>
      <w:r>
        <w:rPr>
          <w:i w:val="0"/>
          <w:noProof/>
          <w:color w:val="auto"/>
          <w:sz w:val="22"/>
        </w:rPr>
        <w:t>The lack of funding for implementation of the strategic NHIS plan: The recent review highlighted underfunding of the 2013-2022 strategic NHIS plan. The persistence of underfunding risks compromising expected results,</w:t>
      </w:r>
    </w:p>
    <w:p w:rsidR="00B32A2A" w:rsidRPr="00B32A2A" w:rsidRDefault="00B32A2A" w:rsidP="00B32A2A">
      <w:pPr>
        <w:pStyle w:val="ListParagraph"/>
        <w:numPr>
          <w:ilvl w:val="0"/>
          <w:numId w:val="0"/>
        </w:numPr>
        <w:ind w:left="360"/>
        <w:rPr>
          <w:rFonts w:eastAsia="Calibri" w:cs="Arial"/>
          <w:i w:val="0"/>
          <w:noProof/>
          <w:color w:val="auto"/>
          <w:sz w:val="22"/>
          <w:szCs w:val="22"/>
        </w:rPr>
      </w:pPr>
    </w:p>
    <w:p w:rsidR="00B32A2A" w:rsidRPr="00B32A2A" w:rsidRDefault="00B32A2A" w:rsidP="00B32A2A">
      <w:pPr>
        <w:pStyle w:val="ListParagraph"/>
        <w:numPr>
          <w:ilvl w:val="0"/>
          <w:numId w:val="41"/>
        </w:numPr>
        <w:rPr>
          <w:rFonts w:eastAsia="Calibri" w:cs="Arial"/>
          <w:i w:val="0"/>
          <w:noProof/>
          <w:color w:val="auto"/>
          <w:sz w:val="22"/>
          <w:szCs w:val="22"/>
        </w:rPr>
      </w:pPr>
      <w:r>
        <w:rPr>
          <w:i w:val="0"/>
          <w:noProof/>
          <w:color w:val="auto"/>
          <w:sz w:val="22"/>
        </w:rPr>
        <w:t>The lack of qualified personnel for health data management: The persistence of shortages and inadequate recruitment of specialized personnel creates a risk for health data management,</w:t>
      </w:r>
    </w:p>
    <w:p w:rsidR="00B32A2A" w:rsidRPr="00B32A2A" w:rsidRDefault="00B32A2A" w:rsidP="00B32A2A">
      <w:pPr>
        <w:pStyle w:val="ListParagraph"/>
        <w:numPr>
          <w:ilvl w:val="0"/>
          <w:numId w:val="0"/>
        </w:numPr>
        <w:ind w:left="720"/>
        <w:rPr>
          <w:rFonts w:eastAsia="Calibri" w:cs="Arial"/>
          <w:i w:val="0"/>
          <w:noProof/>
          <w:color w:val="auto"/>
          <w:sz w:val="22"/>
          <w:szCs w:val="22"/>
        </w:rPr>
      </w:pPr>
    </w:p>
    <w:p w:rsidR="00B32A2A" w:rsidRPr="00B32A2A" w:rsidRDefault="00B32A2A" w:rsidP="00B32A2A">
      <w:pPr>
        <w:pStyle w:val="ListParagraph"/>
        <w:numPr>
          <w:ilvl w:val="0"/>
          <w:numId w:val="41"/>
        </w:numPr>
        <w:rPr>
          <w:rFonts w:eastAsia="Calibri" w:cs="Arial"/>
          <w:i w:val="0"/>
          <w:noProof/>
          <w:color w:val="auto"/>
          <w:sz w:val="22"/>
          <w:szCs w:val="22"/>
        </w:rPr>
      </w:pPr>
      <w:r>
        <w:rPr>
          <w:i w:val="0"/>
          <w:noProof/>
          <w:color w:val="auto"/>
          <w:sz w:val="22"/>
        </w:rPr>
        <w:t xml:space="preserve">Inadequate funding efficiency for State and local government funding: The lack of ability to mobilize internal resources within the State and local governments, made worse by cash flow issues as well as the slow pace of administration with regard to the execution of public expenditures are the risks at the root of the challenges to effective funding for immunization </w:t>
      </w:r>
      <w:r>
        <w:rPr>
          <w:i w:val="0"/>
          <w:noProof/>
          <w:color w:val="auto"/>
          <w:sz w:val="22"/>
        </w:rPr>
        <w:lastRenderedPageBreak/>
        <w:t>procurement. This recurring situation causes immunization stock shortages that impede improved immunization coverage,</w:t>
      </w:r>
    </w:p>
    <w:p w:rsidR="00B32A2A" w:rsidRPr="00B32A2A" w:rsidRDefault="00B32A2A" w:rsidP="00B32A2A">
      <w:pPr>
        <w:pStyle w:val="ListParagraph"/>
        <w:numPr>
          <w:ilvl w:val="0"/>
          <w:numId w:val="0"/>
        </w:numPr>
        <w:ind w:left="720"/>
        <w:rPr>
          <w:rFonts w:eastAsia="Calibri" w:cs="Arial"/>
          <w:i w:val="0"/>
          <w:noProof/>
          <w:color w:val="auto"/>
          <w:sz w:val="22"/>
          <w:szCs w:val="22"/>
        </w:rPr>
      </w:pPr>
    </w:p>
    <w:p w:rsidR="00B32A2A" w:rsidRPr="00B32A2A" w:rsidRDefault="00B32A2A" w:rsidP="00B32A2A">
      <w:pPr>
        <w:pStyle w:val="ListParagraph"/>
        <w:numPr>
          <w:ilvl w:val="0"/>
          <w:numId w:val="41"/>
        </w:numPr>
        <w:rPr>
          <w:rFonts w:eastAsia="Calibri" w:cs="Arial"/>
          <w:i w:val="0"/>
          <w:noProof/>
          <w:color w:val="auto"/>
          <w:sz w:val="22"/>
          <w:szCs w:val="22"/>
        </w:rPr>
      </w:pPr>
      <w:r>
        <w:rPr>
          <w:i w:val="0"/>
          <w:noProof/>
          <w:color w:val="auto"/>
          <w:sz w:val="22"/>
        </w:rPr>
        <w:t>Inadequate management of the proposal's implementation: Fraud, corruption, delays to the release of funds, the slow pace with which requests for proposals related to the procurement of goods and services are addressed, and delays in approving AAPs by the Common Funds' partners are risks that can affect the ability to achieve results.  Furthermore, the lack of understanding of administrative, financial and accounting standards and norms by those in charge of funds management creates a risk that can impede proper implementation of the proposal.</w:t>
      </w:r>
    </w:p>
    <w:p w:rsidR="00B32A2A" w:rsidRPr="00B32A2A" w:rsidRDefault="00B32A2A" w:rsidP="00B32A2A">
      <w:pPr>
        <w:spacing w:after="0"/>
        <w:rPr>
          <w:rFonts w:cs="Arial"/>
          <w:noProof/>
        </w:rPr>
      </w:pPr>
      <w:r>
        <w:t>.</w:t>
      </w:r>
    </w:p>
    <w:tbl>
      <w:tblPr>
        <w:tblW w:w="10348" w:type="dxa"/>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48"/>
      </w:tblGrid>
      <w:tr w:rsidR="00B32A2A" w:rsidRPr="00B32A2A" w:rsidTr="00B32A2A">
        <w:tc>
          <w:tcPr>
            <w:tcW w:w="10348" w:type="dxa"/>
            <w:tcBorders>
              <w:bottom w:val="single" w:sz="6" w:space="0" w:color="215868"/>
            </w:tcBorders>
            <w:shd w:val="clear" w:color="auto" w:fill="auto"/>
            <w:vAlign w:val="center"/>
          </w:tcPr>
          <w:p w:rsidR="00B32A2A" w:rsidRPr="00B32A2A" w:rsidRDefault="00B32A2A" w:rsidP="00B32A2A">
            <w:pPr>
              <w:jc w:val="both"/>
              <w:rPr>
                <w:rFonts w:cs="Arial"/>
                <w:b/>
                <w:noProof/>
              </w:rPr>
            </w:pPr>
            <w:r>
              <w:rPr>
                <w:b/>
                <w:noProof/>
              </w:rPr>
              <w:t>For further instructions, please refer to the Guidelines for Completing the HSS Application</w:t>
            </w:r>
          </w:p>
        </w:tc>
      </w:tr>
      <w:tr w:rsidR="00B32A2A" w:rsidRPr="00B32A2A" w:rsidTr="00B32A2A">
        <w:tc>
          <w:tcPr>
            <w:tcW w:w="10348" w:type="dxa"/>
            <w:tcBorders>
              <w:bottom w:val="single" w:sz="6" w:space="0" w:color="215868"/>
            </w:tcBorders>
            <w:shd w:val="clear" w:color="auto" w:fill="006666"/>
          </w:tcPr>
          <w:p w:rsidR="00B32A2A" w:rsidRPr="00B32A2A" w:rsidRDefault="00B32A2A" w:rsidP="00B32A2A">
            <w:pPr>
              <w:pStyle w:val="Heading2"/>
              <w:rPr>
                <w:rFonts w:ascii="Arial" w:hAnsi="Arial" w:cs="Arial"/>
                <w:noProof/>
                <w:color w:val="auto"/>
                <w:sz w:val="22"/>
                <w:szCs w:val="22"/>
              </w:rPr>
            </w:pPr>
            <w:bookmarkStart w:id="57" w:name="_Toc346116657"/>
            <w:bookmarkStart w:id="58" w:name="_Toc381123271"/>
            <w:bookmarkStart w:id="59" w:name="_Toc381566361"/>
            <w:r>
              <w:rPr>
                <w:rFonts w:ascii="Arial" w:hAnsi="Arial"/>
                <w:noProof/>
                <w:color w:val="auto"/>
                <w:sz w:val="22"/>
              </w:rPr>
              <w:t>9. Monitoring &amp; Evaluation Plan</w:t>
            </w:r>
            <w:bookmarkEnd w:id="57"/>
            <w:bookmarkEnd w:id="58"/>
            <w:bookmarkEnd w:id="59"/>
          </w:p>
        </w:tc>
      </w:tr>
      <w:tr w:rsidR="00B32A2A" w:rsidRPr="00B32A2A" w:rsidTr="00B32A2A">
        <w:tc>
          <w:tcPr>
            <w:tcW w:w="10348" w:type="dxa"/>
            <w:shd w:val="clear" w:color="auto" w:fill="FFFFFF"/>
          </w:tcPr>
          <w:p w:rsidR="00B32A2A" w:rsidRPr="00B32A2A" w:rsidRDefault="00B32A2A" w:rsidP="00B32A2A">
            <w:pPr>
              <w:shd w:val="clear" w:color="auto" w:fill="FFFFFF"/>
              <w:spacing w:before="120" w:after="120"/>
              <w:jc w:val="both"/>
              <w:rPr>
                <w:rFonts w:cs="Arial"/>
                <w:i/>
                <w:noProof/>
              </w:rPr>
            </w:pPr>
            <w:r>
              <w:rPr>
                <w:i/>
                <w:noProof/>
              </w:rPr>
              <w:t>GAVI will use this description to evaluate how the program's performance will be monitored and to ensure harmonization with national monitoring and evaluation methods. The proposed monitoring and evaluation plan for the HSS grant must be linked to the results chain proposed. Please provide an HSS grant Monitoring &amp; Evaluation Framework as Attachment 3 (please complete the GAVI template).</w:t>
            </w:r>
          </w:p>
          <w:p w:rsidR="00B32A2A" w:rsidRPr="00B32A2A" w:rsidRDefault="00B32A2A" w:rsidP="00B32A2A">
            <w:pPr>
              <w:shd w:val="clear" w:color="auto" w:fill="FFFFFF"/>
              <w:spacing w:before="120" w:after="120"/>
              <w:jc w:val="both"/>
              <w:rPr>
                <w:rFonts w:cs="Arial"/>
                <w:i/>
                <w:noProof/>
              </w:rPr>
            </w:pPr>
            <w:r>
              <w:rPr>
                <w:i/>
                <w:noProof/>
              </w:rPr>
              <w:t>→ Please provide a description of how the monitoring and evaluation will be carried out for the grant, in annex 3 (please complete the GAVI template).</w:t>
            </w:r>
          </w:p>
          <w:p w:rsidR="00B32A2A" w:rsidRPr="00B32A2A" w:rsidRDefault="00B32A2A" w:rsidP="00B32A2A">
            <w:pPr>
              <w:shd w:val="clear" w:color="auto" w:fill="FFFFFF"/>
              <w:spacing w:before="120" w:after="120"/>
              <w:jc w:val="both"/>
              <w:rPr>
                <w:rFonts w:cs="Arial"/>
                <w:i/>
                <w:noProof/>
              </w:rPr>
            </w:pPr>
            <w:r>
              <w:rPr>
                <w:i/>
                <w:noProof/>
              </w:rPr>
              <w:t>→ Please provide a description of how the monitoring and evaluation activities will be carried out for the grant, indicating how M&amp;E is aligned with the national health strategy results framework.</w:t>
            </w:r>
          </w:p>
          <w:p w:rsidR="00B32A2A" w:rsidRPr="00B32A2A" w:rsidRDefault="00B32A2A" w:rsidP="00B32A2A">
            <w:pPr>
              <w:shd w:val="clear" w:color="auto" w:fill="FFFFFF"/>
              <w:spacing w:before="120" w:after="120"/>
              <w:jc w:val="both"/>
              <w:rPr>
                <w:rFonts w:cs="Arial"/>
                <w:i/>
                <w:noProof/>
              </w:rPr>
            </w:pPr>
            <w:r>
              <w:rPr>
                <w:i/>
                <w:noProof/>
              </w:rPr>
              <w:t>→ Which sources of data will be used?</w:t>
            </w:r>
          </w:p>
          <w:p w:rsidR="00B32A2A" w:rsidRPr="00B32A2A" w:rsidRDefault="00B32A2A" w:rsidP="00B32A2A">
            <w:pPr>
              <w:shd w:val="clear" w:color="auto" w:fill="FFFFFF"/>
              <w:spacing w:before="120" w:after="120"/>
              <w:jc w:val="both"/>
              <w:rPr>
                <w:rFonts w:cs="Arial"/>
                <w:i/>
                <w:noProof/>
              </w:rPr>
            </w:pPr>
            <w:r>
              <w:rPr>
                <w:i/>
                <w:noProof/>
              </w:rPr>
              <w:t xml:space="preserve">→ How much budget will be allocated to M&amp;E of this grant? </w:t>
            </w:r>
          </w:p>
          <w:p w:rsidR="00B32A2A" w:rsidRPr="00B32A2A" w:rsidRDefault="00B32A2A" w:rsidP="00B32A2A">
            <w:pPr>
              <w:shd w:val="clear" w:color="auto" w:fill="FFFFFF"/>
              <w:spacing w:before="120" w:after="120"/>
              <w:jc w:val="both"/>
              <w:rPr>
                <w:rFonts w:cs="Arial"/>
                <w:i/>
                <w:noProof/>
              </w:rPr>
            </w:pPr>
            <w:r>
              <w:rPr>
                <w:i/>
                <w:noProof/>
              </w:rPr>
              <w:t>→ Please describe the M&amp;E systems strengthening activities to be funded through this proposal.</w:t>
            </w:r>
          </w:p>
          <w:p w:rsidR="00B32A2A" w:rsidRPr="00B32A2A" w:rsidRDefault="00B32A2A" w:rsidP="00B32A2A">
            <w:pPr>
              <w:shd w:val="clear" w:color="auto" w:fill="FFFFFF"/>
              <w:spacing w:before="120" w:after="120"/>
              <w:jc w:val="both"/>
              <w:rPr>
                <w:rFonts w:cs="Arial"/>
                <w:i/>
                <w:noProof/>
              </w:rPr>
            </w:pPr>
            <w:r>
              <w:rPr>
                <w:i/>
                <w:noProof/>
              </w:rPr>
              <w:t>→ Please identify one or multiple result(s) for immunization for each objective. These will be used for results based financing (see figure 2, page 7).</w:t>
            </w:r>
          </w:p>
          <w:p w:rsidR="00B32A2A" w:rsidRPr="00B32A2A" w:rsidRDefault="00B32A2A" w:rsidP="00B32A2A">
            <w:pPr>
              <w:pStyle w:val="ListParagraph"/>
              <w:ind w:left="0" w:right="55"/>
              <w:rPr>
                <w:rFonts w:cs="Arial"/>
                <w:i w:val="0"/>
                <w:noProof/>
                <w:color w:val="auto"/>
                <w:sz w:val="22"/>
                <w:szCs w:val="22"/>
              </w:rPr>
            </w:pPr>
            <w:r>
              <w:rPr>
                <w:i w:val="0"/>
                <w:noProof/>
                <w:color w:val="auto"/>
                <w:sz w:val="22"/>
              </w:rPr>
              <w:t>→ Please identify several intermediate results indicators for each objective within the grant; these will allow for tracking of the grant's overall implementation progress (they will be used for the programmable section related to RBF, see figure 2, page 7). These are the same intermediate outcome indicators that were included in the results chain in Section D.8.</w:t>
            </w:r>
          </w:p>
          <w:p w:rsidR="00B32A2A" w:rsidRPr="00B32A2A" w:rsidRDefault="00B32A2A" w:rsidP="00B32A2A">
            <w:pPr>
              <w:shd w:val="clear" w:color="auto" w:fill="FFFFFF"/>
              <w:spacing w:before="120" w:after="120"/>
              <w:jc w:val="both"/>
              <w:rPr>
                <w:rFonts w:cs="Arial"/>
                <w:i/>
                <w:noProof/>
              </w:rPr>
            </w:pPr>
            <w:r>
              <w:rPr>
                <w:i/>
                <w:noProof/>
              </w:rPr>
              <w:t>Please note that GAVI strongly recommends that each proposal includes an end of grant evaluation in their M&amp;E Framework.</w:t>
            </w:r>
          </w:p>
        </w:tc>
      </w:tr>
      <w:tr w:rsidR="00B32A2A" w:rsidRPr="00B32A2A" w:rsidTr="00B32A2A">
        <w:trPr>
          <w:trHeight w:val="278"/>
        </w:trPr>
        <w:tc>
          <w:tcPr>
            <w:tcW w:w="10348" w:type="dxa"/>
            <w:shd w:val="clear" w:color="auto" w:fill="FFFFFF"/>
          </w:tcPr>
          <w:p w:rsidR="00B32A2A" w:rsidRPr="00B32A2A" w:rsidRDefault="00B32A2A" w:rsidP="00B32A2A">
            <w:pPr>
              <w:spacing w:before="120" w:after="120"/>
              <w:jc w:val="both"/>
              <w:rPr>
                <w:rFonts w:cs="Arial"/>
                <w:b/>
                <w:i/>
                <w:noProof/>
              </w:rPr>
            </w:pPr>
            <w:r>
              <w:rPr>
                <w:b/>
                <w:i/>
                <w:noProof/>
              </w:rPr>
              <w:t>TWO PAGES MAXIMUM</w:t>
            </w:r>
          </w:p>
        </w:tc>
      </w:tr>
    </w:tbl>
    <w:p w:rsidR="00B32A2A" w:rsidRPr="00B32A2A" w:rsidRDefault="00B32A2A" w:rsidP="00B32A2A">
      <w:pPr>
        <w:jc w:val="both"/>
        <w:rPr>
          <w:rFonts w:cs="Arial"/>
          <w:noProof/>
        </w:rPr>
      </w:pPr>
      <w:r>
        <w:t xml:space="preserve">The monitoring and evaluation system for GAVI-HSS support depends on the entities and mechanisms </w:t>
      </w:r>
      <w:r>
        <w:lastRenderedPageBreak/>
        <w:t xml:space="preserve">that exist within the Ministry of Health. It is integrated into the M&amp;E 2011-2015 HDP plan. </w:t>
      </w:r>
    </w:p>
    <w:p w:rsidR="00B32A2A" w:rsidRPr="00B32A2A" w:rsidRDefault="00B32A2A" w:rsidP="00B32A2A">
      <w:pPr>
        <w:jc w:val="both"/>
        <w:rPr>
          <w:rFonts w:cs="Arial"/>
          <w:noProof/>
        </w:rPr>
      </w:pPr>
      <w:r>
        <w:t xml:space="preserve">This manual specifies the composition, responsibilities and operations of the monitoring and evaluation entities for the 2011-2015 HDP at the different levels of the health system. The manual determines the indicators (of which there are 45) that allow for performance within the sector to be evaluated, how they are calculated, how frequently they occur, data collection required, and its source for verification. </w:t>
      </w:r>
    </w:p>
    <w:p w:rsidR="00B32A2A" w:rsidRPr="00B32A2A" w:rsidRDefault="00B32A2A" w:rsidP="00B32A2A">
      <w:pPr>
        <w:jc w:val="both"/>
        <w:rPr>
          <w:rFonts w:cs="Arial"/>
          <w:noProof/>
        </w:rPr>
      </w:pPr>
      <w:r>
        <w:t>This document integrates the objectives and indicators specific to immunization: the number of children fully immunized is set at 75% for 2015 and the rate of Penta 3 coverage is set at 95% for 2015.</w:t>
      </w:r>
    </w:p>
    <w:p w:rsidR="00B32A2A" w:rsidRPr="00B32A2A" w:rsidRDefault="00B32A2A" w:rsidP="00B32A2A">
      <w:pPr>
        <w:jc w:val="both"/>
        <w:rPr>
          <w:rFonts w:cs="Arial"/>
          <w:noProof/>
        </w:rPr>
      </w:pPr>
    </w:p>
    <w:p w:rsidR="00B32A2A" w:rsidRPr="00B32A2A" w:rsidRDefault="00B32A2A" w:rsidP="00B32A2A">
      <w:pPr>
        <w:jc w:val="both"/>
        <w:rPr>
          <w:rFonts w:cs="Arial"/>
          <w:noProof/>
        </w:rPr>
      </w:pPr>
      <w:r>
        <w:t>These monitoring and evaluation entities and mechanisms for the GAVI/HSS program</w:t>
      </w:r>
    </w:p>
    <w:p w:rsidR="00B32A2A" w:rsidRPr="00B32A2A" w:rsidRDefault="00B32A2A" w:rsidP="00B32A2A">
      <w:pPr>
        <w:jc w:val="both"/>
        <w:rPr>
          <w:rFonts w:cs="Arial"/>
          <w:noProof/>
        </w:rPr>
      </w:pPr>
      <w:r>
        <w:t>The entities:</w:t>
      </w:r>
    </w:p>
    <w:p w:rsidR="00B32A2A" w:rsidRPr="00B32A2A" w:rsidRDefault="00B32A2A" w:rsidP="00B32A2A">
      <w:pPr>
        <w:jc w:val="both"/>
        <w:rPr>
          <w:rFonts w:cs="Arial"/>
          <w:noProof/>
        </w:rPr>
      </w:pPr>
      <w:r>
        <w:t>These are health committees and technical health committees at all levels within the health system.</w:t>
      </w:r>
    </w:p>
    <w:p w:rsidR="00B32A2A" w:rsidRPr="00B32A2A" w:rsidRDefault="00B32A2A" w:rsidP="00B32A2A">
      <w:pPr>
        <w:jc w:val="both"/>
        <w:rPr>
          <w:rFonts w:cs="Arial"/>
          <w:noProof/>
        </w:rPr>
      </w:pPr>
      <w:r>
        <w:t>At the district level: Health hut and IHC health committees hold monthly meetings and district health committees meet every three months.</w:t>
      </w:r>
    </w:p>
    <w:p w:rsidR="00B32A2A" w:rsidRPr="00B32A2A" w:rsidRDefault="00B32A2A" w:rsidP="00B32A2A">
      <w:pPr>
        <w:jc w:val="both"/>
        <w:rPr>
          <w:rFonts w:cs="Arial"/>
          <w:noProof/>
        </w:rPr>
      </w:pPr>
      <w:r>
        <w:t>At the regional level: (RPHM): regional health committees and technical health committees meet every six months.</w:t>
      </w:r>
    </w:p>
    <w:p w:rsidR="00B32A2A" w:rsidRPr="00B32A2A" w:rsidRDefault="00B32A2A" w:rsidP="00B32A2A">
      <w:pPr>
        <w:jc w:val="both"/>
        <w:rPr>
          <w:rFonts w:cs="Arial"/>
          <w:noProof/>
        </w:rPr>
      </w:pPr>
      <w:r>
        <w:t>At the national level: The national technical health committee meets annually.</w:t>
      </w:r>
    </w:p>
    <w:p w:rsidR="00B32A2A" w:rsidRPr="00B32A2A" w:rsidRDefault="00B32A2A" w:rsidP="00B32A2A">
      <w:pPr>
        <w:jc w:val="both"/>
        <w:rPr>
          <w:rFonts w:cs="Arial"/>
          <w:noProof/>
        </w:rPr>
      </w:pPr>
      <w:r>
        <w:t>In addition, the committees described above have coordination meetings at the district, regional and national levels to evaluate the data availability and quality.</w:t>
      </w:r>
    </w:p>
    <w:p w:rsidR="00B32A2A" w:rsidRPr="00B32A2A" w:rsidRDefault="00B32A2A" w:rsidP="00B32A2A">
      <w:pPr>
        <w:jc w:val="both"/>
        <w:rPr>
          <w:rFonts w:cs="Arial"/>
          <w:noProof/>
        </w:rPr>
      </w:pPr>
      <w:r>
        <w:t>Furthermore, entities described in the HDP include the ICC which reviews issues specific to immunization and have monthly joint meetings that bring together the MPH and technical and financial partners within the health sector.</w:t>
      </w:r>
    </w:p>
    <w:p w:rsidR="00B32A2A" w:rsidRPr="00B32A2A" w:rsidRDefault="00B32A2A" w:rsidP="00B32A2A">
      <w:pPr>
        <w:jc w:val="both"/>
        <w:rPr>
          <w:rFonts w:cs="Arial"/>
          <w:noProof/>
        </w:rPr>
      </w:pPr>
      <w:r>
        <w:t>The mechanisms:</w:t>
      </w:r>
    </w:p>
    <w:p w:rsidR="00B32A2A" w:rsidRPr="00B32A2A" w:rsidRDefault="00B32A2A" w:rsidP="00B32A2A">
      <w:pPr>
        <w:jc w:val="both"/>
        <w:rPr>
          <w:rFonts w:cs="Arial"/>
          <w:noProof/>
        </w:rPr>
      </w:pPr>
      <w:r>
        <w:t xml:space="preserve">Monitoring and evaluation depends on immunization indicators created from data collected at the health facility level by different individuals in charge. Data collected will be used to create monthly reports. Monthly reports created by the IHCs are compiled into quarterly reports and transmitted to the health district level. These reports are reviewed and analyzed by those in charge of epidemiological surveillance and then submitted to the district coordination meetings before being transmitted to the regional level. </w:t>
      </w:r>
    </w:p>
    <w:p w:rsidR="00B32A2A" w:rsidRPr="00B32A2A" w:rsidRDefault="00B32A2A" w:rsidP="00B32A2A">
      <w:pPr>
        <w:jc w:val="both"/>
        <w:rPr>
          <w:rFonts w:cs="Arial"/>
          <w:noProof/>
        </w:rPr>
      </w:pPr>
      <w:r>
        <w:t xml:space="preserve">The regional level uses the health programming and information service to carry out a first level of audit before sending them to the Department of Statistics within the deadline specified. After being audited, the Department of Statistics compiles the data to draft the statistics yearbooks which are then disseminated to all levels. </w:t>
      </w:r>
    </w:p>
    <w:p w:rsidR="00B32A2A" w:rsidRPr="00B32A2A" w:rsidRDefault="00B32A2A" w:rsidP="00B32A2A">
      <w:pPr>
        <w:jc w:val="both"/>
        <w:rPr>
          <w:noProof/>
        </w:rPr>
      </w:pPr>
      <w:r>
        <w:lastRenderedPageBreak/>
        <w:t xml:space="preserve">In addition to the statistics yearbooks, there are other HSS monitoring and evaluation tools, including the program implementation reports, the financial monitoring report and the immunization coverage survey reports. To this are added the missions to monitor the implementation of HSS activities from 2014 to 2018 in the field, EPI reviews, the mid-term evaluation that takes place during the eighteenth month and the final evaluation at the end of the program. </w:t>
      </w:r>
    </w:p>
    <w:p w:rsidR="00B32A2A" w:rsidRPr="00B32A2A" w:rsidRDefault="00B32A2A" w:rsidP="00B32A2A">
      <w:pPr>
        <w:jc w:val="both"/>
        <w:rPr>
          <w:rFonts w:cs="Arial"/>
          <w:noProof/>
        </w:rPr>
      </w:pPr>
      <w:r>
        <w:t>The program implementation reports and the financial monitoring report are produced every six months through the Directorate for Research and Scheduling and the Directorate for Financial Resources and Equipment within the Ministry of Public Health.</w:t>
      </w:r>
    </w:p>
    <w:p w:rsidR="00B32A2A" w:rsidRPr="00B32A2A" w:rsidRDefault="00B32A2A" w:rsidP="00B32A2A">
      <w:pPr>
        <w:jc w:val="both"/>
        <w:rPr>
          <w:rFonts w:cs="Arial"/>
          <w:noProof/>
        </w:rPr>
      </w:pPr>
      <w:r>
        <w:t>The immunization coverage survey reports (ECV) are produced every two years under the supervision of the EPI and the Statistics Department.</w:t>
      </w:r>
    </w:p>
    <w:p w:rsidR="00B32A2A" w:rsidRPr="00B32A2A" w:rsidRDefault="00B32A2A" w:rsidP="00B32A2A">
      <w:pPr>
        <w:jc w:val="both"/>
        <w:rPr>
          <w:rFonts w:cs="Arial"/>
          <w:noProof/>
        </w:rPr>
      </w:pPr>
      <w:r>
        <w:t>Coordination of monitoring and evaluation for the HSS program is carried out by the (Directorate for Research and Scheduling.</w:t>
      </w:r>
    </w:p>
    <w:p w:rsidR="00B32A2A" w:rsidRPr="00B32A2A" w:rsidRDefault="00B32A2A" w:rsidP="00B32A2A">
      <w:pPr>
        <w:jc w:val="both"/>
        <w:rPr>
          <w:rFonts w:cs="Arial"/>
          <w:noProof/>
        </w:rPr>
      </w:pPr>
      <w:r>
        <w:t>The HSS monitoring and evaluation indicators are those that are included in the monitoring and evaluation plan (see Excel sheet). These indicators verification sources are located within the reports from the different levels mentio</w:t>
      </w:r>
      <w:r w:rsidR="00AD29C2">
        <w:t xml:space="preserve">ned above(Statistics Yearbook, </w:t>
      </w:r>
      <w:r>
        <w:t xml:space="preserve">program implementation reports, financial monitoring report and immunization survey reports). </w:t>
      </w:r>
    </w:p>
    <w:p w:rsidR="00B32A2A" w:rsidRPr="00B32A2A" w:rsidRDefault="00B32A2A" w:rsidP="00B32A2A">
      <w:pPr>
        <w:jc w:val="both"/>
        <w:rPr>
          <w:rFonts w:cs="Arial"/>
          <w:noProof/>
        </w:rPr>
      </w:pPr>
    </w:p>
    <w:p w:rsidR="00B32A2A" w:rsidRPr="00B32A2A" w:rsidRDefault="00B32A2A" w:rsidP="00B32A2A">
      <w:pPr>
        <w:jc w:val="both"/>
        <w:rPr>
          <w:rFonts w:cs="Arial"/>
          <w:noProof/>
        </w:rPr>
      </w:pPr>
    </w:p>
    <w:tbl>
      <w:tblPr>
        <w:tblW w:w="10348" w:type="dxa"/>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48"/>
      </w:tblGrid>
      <w:tr w:rsidR="00B32A2A" w:rsidRPr="00B32A2A" w:rsidTr="00B32A2A">
        <w:tc>
          <w:tcPr>
            <w:tcW w:w="10348" w:type="dxa"/>
            <w:tcBorders>
              <w:bottom w:val="single" w:sz="6" w:space="0" w:color="215868"/>
            </w:tcBorders>
            <w:shd w:val="clear" w:color="auto" w:fill="006460"/>
          </w:tcPr>
          <w:p w:rsidR="00B32A2A" w:rsidRPr="00B32A2A" w:rsidRDefault="00B32A2A" w:rsidP="00B32A2A">
            <w:pPr>
              <w:pStyle w:val="Heading2"/>
              <w:rPr>
                <w:rFonts w:ascii="Arial" w:hAnsi="Arial" w:cs="Arial"/>
                <w:noProof/>
                <w:color w:val="auto"/>
                <w:sz w:val="22"/>
                <w:szCs w:val="22"/>
              </w:rPr>
            </w:pPr>
            <w:bookmarkStart w:id="60" w:name="_Toc381123272"/>
            <w:bookmarkStart w:id="61" w:name="_Toc381566362"/>
            <w:r>
              <w:rPr>
                <w:rFonts w:ascii="Arial" w:hAnsi="Arial"/>
                <w:noProof/>
                <w:color w:val="auto"/>
                <w:sz w:val="22"/>
              </w:rPr>
              <w:t xml:space="preserve">10. </w:t>
            </w:r>
            <w:bookmarkStart w:id="62" w:name="_Toc349297137"/>
            <w:bookmarkStart w:id="63" w:name="_Toc357197361"/>
            <w:bookmarkStart w:id="64" w:name="_Toc353539125"/>
            <w:bookmarkStart w:id="65" w:name="_Toc358399424"/>
            <w:r>
              <w:rPr>
                <w:rFonts w:ascii="Arial" w:hAnsi="Arial"/>
                <w:noProof/>
                <w:color w:val="auto"/>
                <w:sz w:val="22"/>
              </w:rPr>
              <w:t>Detailed Budget and Workplan</w:t>
            </w:r>
            <w:bookmarkEnd w:id="60"/>
            <w:bookmarkEnd w:id="61"/>
            <w:bookmarkEnd w:id="62"/>
            <w:bookmarkEnd w:id="63"/>
            <w:bookmarkEnd w:id="64"/>
            <w:bookmarkEnd w:id="65"/>
          </w:p>
        </w:tc>
      </w:tr>
      <w:tr w:rsidR="00B32A2A" w:rsidRPr="00B32A2A" w:rsidTr="00B32A2A">
        <w:tc>
          <w:tcPr>
            <w:tcW w:w="10348" w:type="dxa"/>
            <w:shd w:val="clear" w:color="auto" w:fill="FFFFFF"/>
          </w:tcPr>
          <w:p w:rsidR="00B32A2A" w:rsidRPr="00B32A2A" w:rsidRDefault="00B32A2A" w:rsidP="00B32A2A">
            <w:pPr>
              <w:spacing w:before="120" w:after="120"/>
              <w:jc w:val="both"/>
              <w:rPr>
                <w:rFonts w:cs="Arial"/>
                <w:i/>
                <w:noProof/>
              </w:rPr>
            </w:pPr>
            <w:r>
              <w:rPr>
                <w:i/>
                <w:noProof/>
              </w:rPr>
              <w:t>This section provides an overview of the proposal development process, emphasizing the contributions of the primary stakeholders.</w:t>
            </w:r>
          </w:p>
          <w:p w:rsidR="00B32A2A" w:rsidRPr="00B32A2A" w:rsidRDefault="00B32A2A" w:rsidP="00B32A2A">
            <w:pPr>
              <w:spacing w:before="120" w:after="120"/>
              <w:jc w:val="both"/>
              <w:rPr>
                <w:rFonts w:cs="Arial"/>
                <w:i/>
                <w:noProof/>
              </w:rPr>
            </w:pPr>
            <w:r>
              <w:rPr>
                <w:i/>
                <w:noProof/>
              </w:rPr>
              <w:t>→ Please address all points listed below. If any of these are not applicable, please indicate this and explain why:</w:t>
            </w:r>
          </w:p>
          <w:p w:rsidR="00B32A2A" w:rsidRPr="00B32A2A" w:rsidRDefault="00B32A2A" w:rsidP="00B32A2A">
            <w:pPr>
              <w:numPr>
                <w:ilvl w:val="0"/>
                <w:numId w:val="8"/>
              </w:numPr>
              <w:spacing w:before="120" w:after="120"/>
              <w:jc w:val="both"/>
              <w:rPr>
                <w:rFonts w:cs="Arial"/>
                <w:bCs/>
                <w:i/>
                <w:noProof/>
              </w:rPr>
            </w:pPr>
            <w:r>
              <w:rPr>
                <w:i/>
                <w:noProof/>
              </w:rPr>
              <w:t>the main entity that led proposal development and coordinated contributions; it is possible to have several main implementation entities, nevertheless, the country must decide which department will lead the process of proposal development;</w:t>
            </w:r>
          </w:p>
          <w:p w:rsidR="00B32A2A" w:rsidRPr="00B32A2A" w:rsidRDefault="00B32A2A" w:rsidP="00B32A2A">
            <w:pPr>
              <w:numPr>
                <w:ilvl w:val="0"/>
                <w:numId w:val="8"/>
              </w:numPr>
              <w:spacing w:before="120" w:after="120"/>
              <w:jc w:val="both"/>
              <w:rPr>
                <w:rFonts w:cs="Arial"/>
                <w:bCs/>
                <w:i/>
                <w:noProof/>
              </w:rPr>
            </w:pPr>
            <w:r>
              <w:rPr>
                <w:i/>
                <w:noProof/>
              </w:rPr>
              <w:t>the role played by the HSCC and the ICC;</w:t>
            </w:r>
          </w:p>
          <w:p w:rsidR="00B32A2A" w:rsidRPr="00B32A2A" w:rsidRDefault="00B32A2A" w:rsidP="00B32A2A">
            <w:pPr>
              <w:numPr>
                <w:ilvl w:val="0"/>
                <w:numId w:val="8"/>
              </w:numPr>
              <w:spacing w:before="120" w:after="120"/>
              <w:jc w:val="both"/>
              <w:rPr>
                <w:rFonts w:cs="Arial"/>
                <w:bCs/>
                <w:i/>
                <w:noProof/>
              </w:rPr>
            </w:pPr>
            <w:r>
              <w:rPr>
                <w:i/>
                <w:noProof/>
              </w:rPr>
              <w:t>cooperation between the EPI and other departments within the ministry of health who have participated in drafting the proposal;</w:t>
            </w:r>
          </w:p>
          <w:p w:rsidR="00B32A2A" w:rsidRPr="00B32A2A" w:rsidRDefault="00B32A2A" w:rsidP="00B32A2A">
            <w:pPr>
              <w:numPr>
                <w:ilvl w:val="0"/>
                <w:numId w:val="8"/>
              </w:numPr>
              <w:spacing w:before="120" w:after="120"/>
              <w:jc w:val="both"/>
              <w:rPr>
                <w:rFonts w:cs="Arial"/>
                <w:bCs/>
                <w:i/>
                <w:noProof/>
              </w:rPr>
            </w:pPr>
            <w:r>
              <w:rPr>
                <w:i/>
                <w:noProof/>
              </w:rPr>
              <w:t>Participation of entities below the national level (provincial, district, etc.);</w:t>
            </w:r>
          </w:p>
          <w:p w:rsidR="00B32A2A" w:rsidRPr="00B32A2A" w:rsidRDefault="00B32A2A" w:rsidP="00B32A2A">
            <w:pPr>
              <w:numPr>
                <w:ilvl w:val="0"/>
                <w:numId w:val="8"/>
              </w:numPr>
              <w:spacing w:before="120" w:after="120"/>
              <w:jc w:val="both"/>
              <w:rPr>
                <w:rFonts w:cs="Arial"/>
                <w:bCs/>
                <w:i/>
                <w:noProof/>
              </w:rPr>
            </w:pPr>
            <w:r>
              <w:rPr>
                <w:i/>
                <w:noProof/>
              </w:rPr>
              <w:t xml:space="preserve">the role of CSOs. Applicants must note if the HSCC/ICC has worked with a CSO platform/coalition, or only with individual organizations; please provide the name of the relevant CSOs or CSO </w:t>
            </w:r>
            <w:r>
              <w:rPr>
                <w:i/>
                <w:noProof/>
              </w:rPr>
              <w:lastRenderedPageBreak/>
              <w:t xml:space="preserve">platforms; </w:t>
            </w:r>
          </w:p>
          <w:p w:rsidR="00B32A2A" w:rsidRPr="00B32A2A" w:rsidRDefault="00B32A2A" w:rsidP="00B32A2A">
            <w:pPr>
              <w:numPr>
                <w:ilvl w:val="0"/>
                <w:numId w:val="8"/>
              </w:numPr>
              <w:spacing w:before="120" w:after="120"/>
              <w:jc w:val="both"/>
              <w:rPr>
                <w:rFonts w:cs="Arial"/>
                <w:bCs/>
                <w:i/>
                <w:noProof/>
              </w:rPr>
            </w:pPr>
            <w:r>
              <w:rPr>
                <w:i/>
                <w:noProof/>
              </w:rPr>
              <w:t>the names and roles of other development partners or donors;</w:t>
            </w:r>
          </w:p>
          <w:p w:rsidR="00B32A2A" w:rsidRPr="00B32A2A" w:rsidRDefault="00B32A2A" w:rsidP="00B32A2A">
            <w:pPr>
              <w:numPr>
                <w:ilvl w:val="0"/>
                <w:numId w:val="8"/>
              </w:numPr>
              <w:spacing w:before="120" w:after="120"/>
              <w:jc w:val="both"/>
              <w:rPr>
                <w:rFonts w:cs="Arial"/>
                <w:bCs/>
                <w:i/>
                <w:noProof/>
              </w:rPr>
            </w:pPr>
            <w:r>
              <w:rPr>
                <w:i/>
                <w:noProof/>
              </w:rPr>
              <w:t>The role of the private sector, if applicable;</w:t>
            </w:r>
          </w:p>
          <w:p w:rsidR="00B32A2A" w:rsidRPr="00B32A2A" w:rsidRDefault="00B32A2A" w:rsidP="00B32A2A">
            <w:pPr>
              <w:numPr>
                <w:ilvl w:val="0"/>
                <w:numId w:val="8"/>
              </w:numPr>
              <w:spacing w:before="120" w:after="120"/>
              <w:jc w:val="both"/>
              <w:rPr>
                <w:rFonts w:cs="Arial"/>
                <w:bCs/>
                <w:i/>
                <w:noProof/>
              </w:rPr>
            </w:pPr>
            <w:r>
              <w:rPr>
                <w:i/>
                <w:noProof/>
              </w:rPr>
              <w:t>a description of technical assistance received during the drafting of this proposal; include the source of technical assistance and feedback on the quality and usefulness of this technical assistance;</w:t>
            </w:r>
          </w:p>
          <w:p w:rsidR="00B32A2A" w:rsidRPr="00B32A2A" w:rsidRDefault="00B32A2A" w:rsidP="00B32A2A">
            <w:pPr>
              <w:numPr>
                <w:ilvl w:val="0"/>
                <w:numId w:val="8"/>
              </w:numPr>
              <w:spacing w:before="120" w:after="120"/>
              <w:jc w:val="both"/>
              <w:rPr>
                <w:rFonts w:cs="Arial"/>
                <w:bCs/>
                <w:i/>
                <w:noProof/>
              </w:rPr>
            </w:pPr>
            <w:r>
              <w:rPr>
                <w:i/>
                <w:noProof/>
              </w:rPr>
              <w:t>a description of the global development process of the proposal: duration, main stages, analytical work performed, links between preparing the proposal and the planning/budgeting for the national health sector, links between preparing the proposal and the JANS evaluation, if applicable;</w:t>
            </w:r>
          </w:p>
          <w:p w:rsidR="00B32A2A" w:rsidRPr="00B32A2A" w:rsidRDefault="00B32A2A" w:rsidP="00B32A2A">
            <w:pPr>
              <w:numPr>
                <w:ilvl w:val="0"/>
                <w:numId w:val="8"/>
              </w:numPr>
              <w:spacing w:before="120" w:after="120"/>
              <w:jc w:val="both"/>
              <w:rPr>
                <w:rFonts w:cs="Arial"/>
                <w:bCs/>
                <w:i/>
                <w:noProof/>
              </w:rPr>
            </w:pPr>
            <w:r>
              <w:rPr>
                <w:i/>
                <w:noProof/>
              </w:rPr>
              <w:t>a description of the most challenging issues during the preparation process, and the manner in which these were resolved.</w:t>
            </w:r>
          </w:p>
        </w:tc>
      </w:tr>
      <w:tr w:rsidR="00B32A2A" w:rsidRPr="00B32A2A" w:rsidTr="00B32A2A">
        <w:trPr>
          <w:trHeight w:val="278"/>
        </w:trPr>
        <w:tc>
          <w:tcPr>
            <w:tcW w:w="10348" w:type="dxa"/>
            <w:shd w:val="clear" w:color="auto" w:fill="FFFFFF"/>
          </w:tcPr>
          <w:p w:rsidR="00B32A2A" w:rsidRPr="00B32A2A" w:rsidRDefault="00B32A2A" w:rsidP="00B32A2A">
            <w:pPr>
              <w:spacing w:before="120" w:after="120"/>
              <w:jc w:val="both"/>
              <w:rPr>
                <w:rFonts w:cs="Arial"/>
                <w:b/>
                <w:i/>
                <w:noProof/>
              </w:rPr>
            </w:pPr>
            <w:r>
              <w:rPr>
                <w:b/>
                <w:i/>
                <w:noProof/>
              </w:rPr>
              <w:lastRenderedPageBreak/>
              <w:t>TWO PAGES MAXIMUM</w:t>
            </w:r>
          </w:p>
          <w:p w:rsidR="00B32A2A" w:rsidRPr="00B32A2A" w:rsidRDefault="00B32A2A" w:rsidP="00B32A2A">
            <w:pPr>
              <w:spacing w:before="120" w:after="120"/>
              <w:jc w:val="both"/>
              <w:rPr>
                <w:rFonts w:cs="Arial"/>
                <w:bCs/>
                <w:i/>
                <w:noProof/>
              </w:rPr>
            </w:pPr>
            <w:r>
              <w:rPr>
                <w:i/>
                <w:noProof/>
              </w:rPr>
              <w:t>When developing the proposal, a pilot committee led by the Directorate for Research and Scheduling was created, be ministerial decree of the Ministry of Public Health. The committee is made up of managers from the different technical departments within the Ministry of Public Health (planning, EPI, DIES, DSME,DSRE, HRD, HD, etc.), within the Ministries in charge of Planing, Finance, and within technical and financial partners (WHO, UNICEF, UNFPA, etc.), within members of NGOs and civil society (the network of organizations and associations, unions and the Order of Doctors in the health sector as well as international NGOs).</w:t>
            </w:r>
          </w:p>
          <w:p w:rsidR="00B32A2A" w:rsidRPr="00B32A2A" w:rsidRDefault="00B32A2A" w:rsidP="00B32A2A">
            <w:pPr>
              <w:spacing w:before="120" w:after="120"/>
              <w:jc w:val="both"/>
              <w:rPr>
                <w:rFonts w:cs="Arial"/>
                <w:bCs/>
                <w:i/>
                <w:noProof/>
              </w:rPr>
            </w:pPr>
            <w:r>
              <w:rPr>
                <w:i/>
                <w:noProof/>
              </w:rPr>
              <w:t>Technical assistance was solicited from WHO Niger that allowed the committee to benefit from the support of an international expert during a workshop that was very participative and inclusive and which increased members' skills and helped to reframe the proposal. The workshop took place from 29 July to 02 August 2013; a take-away from this workshop was a roadmap to assist with completing the work at hand. After the workshop, different observations were taken into account.</w:t>
            </w:r>
          </w:p>
          <w:p w:rsidR="00B32A2A" w:rsidRPr="00B32A2A" w:rsidRDefault="00B32A2A" w:rsidP="00B32A2A">
            <w:pPr>
              <w:spacing w:before="120" w:after="120"/>
              <w:jc w:val="both"/>
              <w:rPr>
                <w:rFonts w:cs="Arial"/>
                <w:bCs/>
                <w:i/>
                <w:noProof/>
              </w:rPr>
            </w:pPr>
            <w:r>
              <w:rPr>
                <w:i/>
                <w:noProof/>
              </w:rPr>
              <w:t>The small committee received a visit from the joint WHO, UNICEF, GAVI mission. The mission remained in Niger from the 26th of November to the 29th of November, 2013. This mission was informed of the progress made by the committee. Upon its return, the mission came up with amendments and comments that would improve this document.</w:t>
            </w:r>
          </w:p>
          <w:p w:rsidR="00B32A2A" w:rsidRPr="00B32A2A" w:rsidRDefault="00B32A2A" w:rsidP="00B32A2A">
            <w:pPr>
              <w:spacing w:before="120" w:after="120"/>
              <w:jc w:val="both"/>
              <w:rPr>
                <w:rFonts w:cs="Arial"/>
                <w:bCs/>
                <w:i/>
                <w:noProof/>
              </w:rPr>
            </w:pPr>
            <w:r>
              <w:rPr>
                <w:i/>
                <w:noProof/>
              </w:rPr>
              <w:t xml:space="preserve">The committee also benefited from the support of technical assistants from the 2nd of September to the 6th of September, 2013 and then again from the 20th of January to the 23rd of January, 2014, to finalize the proposal. </w:t>
            </w:r>
          </w:p>
          <w:p w:rsidR="00B32A2A" w:rsidRPr="00B32A2A" w:rsidRDefault="00B32A2A" w:rsidP="00B32A2A">
            <w:pPr>
              <w:spacing w:before="120" w:after="120"/>
              <w:jc w:val="both"/>
              <w:rPr>
                <w:rFonts w:cs="Arial"/>
                <w:bCs/>
                <w:i/>
                <w:noProof/>
              </w:rPr>
            </w:pPr>
            <w:r>
              <w:rPr>
                <w:i/>
                <w:noProof/>
              </w:rPr>
              <w:t>Then the proposal was sent for review by the MPH-TFP coordination meeting for the sector, chaired by the Minister of Public Health on 14 January 2014, for comments. Another meeting of the coordination group was held on 20 January to validate the proposal.</w:t>
            </w:r>
          </w:p>
          <w:p w:rsidR="00B32A2A" w:rsidRPr="00B32A2A" w:rsidRDefault="00B32A2A" w:rsidP="00B32A2A">
            <w:pPr>
              <w:spacing w:before="120" w:after="120"/>
              <w:jc w:val="both"/>
              <w:rPr>
                <w:rFonts w:cs="Arial"/>
                <w:bCs/>
                <w:i/>
                <w:noProof/>
              </w:rPr>
            </w:pPr>
            <w:r>
              <w:rPr>
                <w:i/>
                <w:noProof/>
              </w:rPr>
              <w:t>The small group met from the 20th of January to the 24th of January, 2014  to integrate the comments made during the validation meeting of 20 January.</w:t>
            </w:r>
          </w:p>
          <w:p w:rsidR="00B32A2A" w:rsidRPr="00B32A2A" w:rsidRDefault="00B32A2A" w:rsidP="00B32A2A">
            <w:pPr>
              <w:spacing w:before="120" w:after="120"/>
              <w:jc w:val="both"/>
              <w:rPr>
                <w:rFonts w:cs="Arial"/>
                <w:bCs/>
                <w:i/>
                <w:noProof/>
              </w:rPr>
            </w:pPr>
            <w:r>
              <w:rPr>
                <w:i/>
                <w:noProof/>
              </w:rPr>
              <w:lastRenderedPageBreak/>
              <w:t>Furthermore, during some of the meetings, planning began for the large number of regional and sub-regional facilities within the MPH that will be created under the current request. The committee also conducted discussions via email to further refine this document.</w:t>
            </w:r>
          </w:p>
          <w:p w:rsidR="00B32A2A" w:rsidRPr="00B32A2A" w:rsidRDefault="00B32A2A" w:rsidP="00B32A2A">
            <w:pPr>
              <w:spacing w:before="120" w:after="120"/>
              <w:jc w:val="both"/>
              <w:rPr>
                <w:rFonts w:cs="Arial"/>
                <w:bCs/>
                <w:i/>
                <w:noProof/>
              </w:rPr>
            </w:pPr>
            <w:r>
              <w:rPr>
                <w:i/>
                <w:noProof/>
              </w:rPr>
              <w:t xml:space="preserve">To draft the proposal, the committee carried out an analysis of the health situation through review of documentation, interviews, the Internet. The purpose of this was to identify the problems and needs of the population so as to better determine the different areas of intervention. Then, priority objectives were chosen as was the order of activities. The preparatory work allowed for the budget to be refined for all the activities selected, using a timeline for execution.   </w:t>
            </w:r>
          </w:p>
          <w:p w:rsidR="00B32A2A" w:rsidRPr="00B32A2A" w:rsidRDefault="00B32A2A" w:rsidP="00B32A2A">
            <w:pPr>
              <w:spacing w:before="120" w:after="120"/>
              <w:jc w:val="both"/>
              <w:rPr>
                <w:rFonts w:cs="Arial"/>
                <w:bCs/>
                <w:i/>
                <w:noProof/>
              </w:rPr>
            </w:pPr>
            <w:r>
              <w:rPr>
                <w:i/>
                <w:noProof/>
              </w:rPr>
              <w:t>The challenges experienced during the development of this proposal were addressed, mainly:</w:t>
            </w:r>
          </w:p>
          <w:p w:rsidR="00B32A2A" w:rsidRPr="00B32A2A" w:rsidRDefault="00B32A2A" w:rsidP="00B32A2A">
            <w:pPr>
              <w:numPr>
                <w:ilvl w:val="0"/>
                <w:numId w:val="36"/>
              </w:numPr>
              <w:spacing w:before="120" w:after="120"/>
              <w:jc w:val="both"/>
              <w:rPr>
                <w:rFonts w:cs="Arial"/>
                <w:bCs/>
                <w:i/>
                <w:noProof/>
              </w:rPr>
            </w:pPr>
            <w:r>
              <w:rPr>
                <w:i/>
                <w:noProof/>
              </w:rPr>
              <w:t>the unavailability of certain data that would allow for physical and financial gaps to be better defined;</w:t>
            </w:r>
          </w:p>
          <w:p w:rsidR="00B32A2A" w:rsidRPr="00B32A2A" w:rsidRDefault="00B32A2A" w:rsidP="00B32A2A">
            <w:pPr>
              <w:numPr>
                <w:ilvl w:val="0"/>
                <w:numId w:val="36"/>
              </w:numPr>
              <w:spacing w:before="120" w:after="120"/>
              <w:jc w:val="both"/>
              <w:rPr>
                <w:rFonts w:cs="Arial"/>
                <w:bCs/>
                <w:i/>
                <w:noProof/>
              </w:rPr>
            </w:pPr>
            <w:r>
              <w:rPr>
                <w:i/>
                <w:noProof/>
              </w:rPr>
              <w:t>inadequate resources that are required for optimal operations of the technical committee that develops the proposal.</w:t>
            </w:r>
          </w:p>
          <w:p w:rsidR="00B32A2A" w:rsidRPr="00B32A2A" w:rsidRDefault="00B32A2A" w:rsidP="00B32A2A">
            <w:pPr>
              <w:spacing w:before="120" w:after="120"/>
              <w:jc w:val="both"/>
              <w:rPr>
                <w:rFonts w:cs="Arial"/>
                <w:bCs/>
                <w:i/>
                <w:noProof/>
              </w:rPr>
            </w:pPr>
            <w:r>
              <w:rPr>
                <w:i/>
                <w:noProof/>
              </w:rPr>
              <w:t>The process of creating this request lasted eight (8) months, beginning in June 2013.</w:t>
            </w:r>
          </w:p>
        </w:tc>
      </w:tr>
    </w:tbl>
    <w:p w:rsidR="00B32A2A" w:rsidRPr="00B32A2A" w:rsidRDefault="00B32A2A" w:rsidP="00B32A2A">
      <w:pPr>
        <w:pStyle w:val="NoSpacing"/>
        <w:jc w:val="both"/>
        <w:rPr>
          <w:rFonts w:ascii="Arial" w:hAnsi="Arial" w:cs="Arial"/>
          <w:noProof/>
        </w:rPr>
      </w:pPr>
    </w:p>
    <w:p w:rsidR="00B32A2A" w:rsidRPr="00B32A2A" w:rsidRDefault="00B32A2A" w:rsidP="00B32A2A">
      <w:pPr>
        <w:widowControl/>
        <w:spacing w:after="0" w:line="240" w:lineRule="auto"/>
        <w:rPr>
          <w:rFonts w:cs="Arial"/>
          <w:noProof/>
        </w:rPr>
      </w:pPr>
      <w:r>
        <w:br w:type="page"/>
      </w:r>
    </w:p>
    <w:p w:rsidR="00B32A2A" w:rsidRPr="00B32A2A" w:rsidRDefault="00B32A2A" w:rsidP="00B32A2A">
      <w:pPr>
        <w:widowControl/>
        <w:shd w:val="clear" w:color="auto" w:fill="006666"/>
        <w:spacing w:before="120" w:after="120" w:line="240" w:lineRule="auto"/>
        <w:outlineLvl w:val="0"/>
        <w:rPr>
          <w:rFonts w:eastAsia="Times New Roman" w:cs="Arial"/>
          <w:b/>
          <w:noProof/>
        </w:rPr>
      </w:pPr>
      <w:bookmarkStart w:id="66" w:name="_Toc357677794"/>
      <w:bookmarkStart w:id="67" w:name="_Toc381123273"/>
      <w:bookmarkStart w:id="68" w:name="_Toc381566363"/>
      <w:r>
        <w:rPr>
          <w:b/>
          <w:noProof/>
        </w:rPr>
        <w:lastRenderedPageBreak/>
        <w:t>PART E – BUDGET, GAP ANALYSIS AND WORK PLAN</w:t>
      </w:r>
      <w:bookmarkEnd w:id="66"/>
      <w:bookmarkEnd w:id="67"/>
      <w:bookmarkEnd w:id="68"/>
    </w:p>
    <w:tbl>
      <w:tblPr>
        <w:tblpPr w:leftFromText="141" w:rightFromText="141" w:vertAnchor="text" w:horzAnchor="margin" w:tblpX="108" w:tblpY="407"/>
        <w:tblW w:w="1034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48"/>
      </w:tblGrid>
      <w:tr w:rsidR="00B32A2A" w:rsidRPr="00B32A2A" w:rsidTr="00B32A2A">
        <w:tc>
          <w:tcPr>
            <w:tcW w:w="10348" w:type="dxa"/>
            <w:tcBorders>
              <w:bottom w:val="single" w:sz="6" w:space="0" w:color="215868"/>
            </w:tcBorders>
            <w:shd w:val="clear" w:color="auto" w:fill="006460"/>
          </w:tcPr>
          <w:p w:rsidR="00B32A2A" w:rsidRPr="00B32A2A" w:rsidRDefault="00B32A2A" w:rsidP="00B32A2A">
            <w:pPr>
              <w:pStyle w:val="Heading2"/>
              <w:rPr>
                <w:rFonts w:ascii="Arial" w:hAnsi="Arial" w:cs="Arial"/>
                <w:noProof/>
                <w:color w:val="auto"/>
                <w:sz w:val="22"/>
                <w:szCs w:val="22"/>
              </w:rPr>
            </w:pPr>
            <w:bookmarkStart w:id="69" w:name="_Toc381123274"/>
            <w:bookmarkStart w:id="70" w:name="_Toc381566364"/>
            <w:r>
              <w:rPr>
                <w:rFonts w:ascii="Arial" w:hAnsi="Arial"/>
                <w:noProof/>
                <w:color w:val="auto"/>
                <w:sz w:val="22"/>
              </w:rPr>
              <w:t>11. Detailed Budget and workplan</w:t>
            </w:r>
            <w:bookmarkEnd w:id="69"/>
            <w:bookmarkEnd w:id="70"/>
          </w:p>
        </w:tc>
      </w:tr>
      <w:tr w:rsidR="00B32A2A" w:rsidRPr="00B32A2A" w:rsidTr="00B32A2A">
        <w:tc>
          <w:tcPr>
            <w:tcW w:w="10348" w:type="dxa"/>
            <w:tcBorders>
              <w:bottom w:val="single" w:sz="4" w:space="0" w:color="auto"/>
            </w:tcBorders>
            <w:shd w:val="clear" w:color="auto" w:fill="FFFFFF"/>
          </w:tcPr>
          <w:p w:rsidR="00B32A2A" w:rsidRPr="00B32A2A" w:rsidRDefault="00B32A2A" w:rsidP="00B32A2A">
            <w:pPr>
              <w:spacing w:before="120" w:after="120"/>
              <w:jc w:val="both"/>
              <w:rPr>
                <w:rFonts w:cs="Arial"/>
                <w:i/>
                <w:noProof/>
              </w:rPr>
            </w:pPr>
            <w:r>
              <w:rPr>
                <w:i/>
                <w:noProof/>
              </w:rPr>
              <w:t>This description will allow for the budget to be evaluated if the proposed budget sufficiently justifies the activities proposed and the costs of the activities within the framework of the HSS grant.</w:t>
            </w:r>
          </w:p>
          <w:p w:rsidR="00B32A2A" w:rsidRPr="00B32A2A" w:rsidRDefault="00B32A2A" w:rsidP="00B32A2A">
            <w:pPr>
              <w:pStyle w:val="ListParagraph"/>
              <w:ind w:left="0" w:right="-20"/>
              <w:rPr>
                <w:rFonts w:cs="Arial"/>
                <w:i w:val="0"/>
                <w:noProof/>
                <w:color w:val="auto"/>
                <w:sz w:val="22"/>
                <w:szCs w:val="22"/>
              </w:rPr>
            </w:pPr>
            <w:r>
              <w:rPr>
                <w:i w:val="0"/>
                <w:noProof/>
                <w:color w:val="auto"/>
                <w:sz w:val="22"/>
              </w:rPr>
              <w:t xml:space="preserve">→ Please provide a budget and a detailed work plan as attachment 4 to this proposal. → It is strongly recommended that the template for the GAVI-HSS Budget, Work plan &amp; Gap Analysis be used. In addition, the countries may also provide this information as an existing annual operational plan or equivalent document. </w:t>
            </w:r>
          </w:p>
          <w:p w:rsidR="00B32A2A" w:rsidRPr="00B32A2A" w:rsidRDefault="00B32A2A" w:rsidP="00B32A2A">
            <w:pPr>
              <w:spacing w:before="120" w:after="120"/>
              <w:jc w:val="both"/>
              <w:rPr>
                <w:rFonts w:cs="Arial"/>
                <w:i/>
                <w:noProof/>
              </w:rPr>
            </w:pPr>
            <w:r>
              <w:rPr>
                <w:i/>
                <w:noProof/>
              </w:rPr>
              <w:t>→Please include additional information on the applications as related to the budget and justify unit costs to show that they are reasonable and supported by planning at the national level. These applications and justifications of unit costs may be included here or attached as separate documentation.</w:t>
            </w:r>
          </w:p>
        </w:tc>
      </w:tr>
      <w:tr w:rsidR="00B32A2A" w:rsidRPr="00B32A2A" w:rsidTr="00B32A2A">
        <w:trPr>
          <w:trHeight w:val="278"/>
        </w:trPr>
        <w:tc>
          <w:tcPr>
            <w:tcW w:w="10348" w:type="dxa"/>
            <w:tcBorders>
              <w:top w:val="single" w:sz="4" w:space="0" w:color="auto"/>
              <w:left w:val="single" w:sz="4" w:space="0" w:color="auto"/>
              <w:bottom w:val="single" w:sz="4" w:space="0" w:color="auto"/>
              <w:right w:val="single" w:sz="4" w:space="0" w:color="auto"/>
            </w:tcBorders>
            <w:shd w:val="clear" w:color="auto" w:fill="FFFFFF"/>
          </w:tcPr>
          <w:p w:rsidR="00B32A2A" w:rsidRPr="00B32A2A" w:rsidRDefault="00B32A2A" w:rsidP="00B32A2A">
            <w:pPr>
              <w:spacing w:before="120" w:after="120"/>
              <w:jc w:val="both"/>
              <w:rPr>
                <w:rFonts w:cs="Arial"/>
                <w:b/>
                <w:i/>
                <w:noProof/>
              </w:rPr>
            </w:pPr>
            <w:r>
              <w:rPr>
                <w:b/>
                <w:i/>
                <w:noProof/>
              </w:rPr>
              <w:t>TWO PAGES MAXIMUM</w:t>
            </w:r>
          </w:p>
          <w:p w:rsidR="00B32A2A" w:rsidRPr="00B32A2A" w:rsidRDefault="00B32A2A" w:rsidP="00B32A2A">
            <w:pPr>
              <w:spacing w:before="120" w:after="120"/>
              <w:jc w:val="both"/>
              <w:rPr>
                <w:rFonts w:cs="Arial"/>
                <w:noProof/>
              </w:rPr>
            </w:pPr>
            <w:r>
              <w:t>This proposal includes ninety-nine (99) activities for an estimated total of forty million, twenty-five thousand and ninety-five (US$ 40,025,095) US dollars, of which US$ 1,667,091, or 4.2% are for the management of the proposal.</w:t>
            </w:r>
          </w:p>
          <w:p w:rsidR="00B32A2A" w:rsidRPr="00B32A2A" w:rsidRDefault="00B32A2A" w:rsidP="00B32A2A">
            <w:pPr>
              <w:rPr>
                <w:rFonts w:cs="Arial"/>
                <w:noProof/>
              </w:rPr>
            </w:pPr>
            <w:r>
              <w:t xml:space="preserve">Detailed budgets in GAVI's format with financial gap analysis are included in the annex. The procedure used to select activities corresponds with the methodology defined above. The amount for each activity is defined using unit costs with different variables that are relevant to its implementation. </w:t>
            </w:r>
          </w:p>
          <w:p w:rsidR="00B32A2A" w:rsidRPr="00B32A2A" w:rsidRDefault="00B32A2A" w:rsidP="00B32A2A">
            <w:pPr>
              <w:rPr>
                <w:rFonts w:cs="Arial"/>
                <w:noProof/>
              </w:rPr>
            </w:pPr>
            <w:r>
              <w:t>The unit costs used to develop the budgets have been established using:</w:t>
            </w:r>
          </w:p>
          <w:p w:rsidR="00B32A2A" w:rsidRPr="00B32A2A" w:rsidRDefault="00B32A2A" w:rsidP="00B32A2A">
            <w:pPr>
              <w:numPr>
                <w:ilvl w:val="0"/>
                <w:numId w:val="52"/>
              </w:numPr>
              <w:spacing w:before="120" w:after="120" w:line="240" w:lineRule="auto"/>
              <w:rPr>
                <w:rFonts w:cs="Arial"/>
                <w:noProof/>
              </w:rPr>
            </w:pPr>
            <w:r>
              <w:t>The procedures manual for the Common Fund;</w:t>
            </w:r>
          </w:p>
          <w:p w:rsidR="00B32A2A" w:rsidRPr="00B32A2A" w:rsidRDefault="00B32A2A" w:rsidP="00B32A2A">
            <w:pPr>
              <w:numPr>
                <w:ilvl w:val="0"/>
                <w:numId w:val="52"/>
              </w:numPr>
              <w:spacing w:before="120" w:after="120" w:line="240" w:lineRule="auto"/>
              <w:rPr>
                <w:rFonts w:cs="Arial"/>
                <w:noProof/>
              </w:rPr>
            </w:pPr>
            <w:r>
              <w:t>The national price list for supplies and services;</w:t>
            </w:r>
          </w:p>
          <w:p w:rsidR="00B32A2A" w:rsidRPr="00B32A2A" w:rsidRDefault="00B32A2A" w:rsidP="00B32A2A">
            <w:pPr>
              <w:numPr>
                <w:ilvl w:val="0"/>
                <w:numId w:val="52"/>
              </w:numPr>
              <w:spacing w:before="120" w:after="120" w:line="240" w:lineRule="auto"/>
              <w:rPr>
                <w:rFonts w:cs="Arial"/>
                <w:noProof/>
              </w:rPr>
            </w:pPr>
            <w:r>
              <w:t>The UNICEF/WHO database for vehicles, cold chain and EPI-specific equipment, supplemented by UNICEF management costs, as well as costs for supply chain management, transport and installation.</w:t>
            </w:r>
          </w:p>
          <w:p w:rsidR="00B32A2A" w:rsidRPr="00B32A2A" w:rsidRDefault="00B32A2A" w:rsidP="00B32A2A">
            <w:pPr>
              <w:rPr>
                <w:rFonts w:cs="Arial"/>
                <w:noProof/>
              </w:rPr>
            </w:pPr>
          </w:p>
          <w:p w:rsidR="00B32A2A" w:rsidRPr="00B32A2A" w:rsidRDefault="00B32A2A" w:rsidP="00B32A2A">
            <w:pPr>
              <w:rPr>
                <w:rFonts w:cs="Arial"/>
                <w:noProof/>
              </w:rPr>
            </w:pPr>
          </w:p>
          <w:p w:rsidR="00B32A2A" w:rsidRPr="00B32A2A" w:rsidRDefault="00B32A2A" w:rsidP="00B32A2A">
            <w:pPr>
              <w:rPr>
                <w:rFonts w:cs="Arial"/>
                <w:noProof/>
              </w:rPr>
            </w:pPr>
            <w:r>
              <w:t xml:space="preserve">The following table shows the overall budget, showing absolute and relative values and per objective </w:t>
            </w:r>
          </w:p>
          <w:tbl>
            <w:tblPr>
              <w:tblW w:w="5000" w:type="pct"/>
              <w:tblLayout w:type="fixed"/>
              <w:tblCellMar>
                <w:left w:w="70" w:type="dxa"/>
                <w:right w:w="70" w:type="dxa"/>
              </w:tblCellMar>
              <w:tblLook w:val="04A0" w:firstRow="1" w:lastRow="0" w:firstColumn="1" w:lastColumn="0" w:noHBand="0" w:noVBand="1"/>
            </w:tblPr>
            <w:tblGrid>
              <w:gridCol w:w="3501"/>
              <w:gridCol w:w="3333"/>
              <w:gridCol w:w="3278"/>
            </w:tblGrid>
            <w:tr w:rsidR="00B32A2A" w:rsidRPr="00B32A2A" w:rsidTr="00B32A2A">
              <w:trPr>
                <w:trHeight w:val="675"/>
              </w:trPr>
              <w:tc>
                <w:tcPr>
                  <w:tcW w:w="173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r>
                    <w:t>Objective</w:t>
                  </w:r>
                </w:p>
              </w:tc>
              <w:tc>
                <w:tcPr>
                  <w:tcW w:w="1648" w:type="pct"/>
                  <w:tcBorders>
                    <w:top w:val="single" w:sz="8" w:space="0" w:color="auto"/>
                    <w:left w:val="nil"/>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r>
                    <w:t>Amount ($US)</w:t>
                  </w:r>
                </w:p>
              </w:tc>
              <w:tc>
                <w:tcPr>
                  <w:tcW w:w="1621" w:type="pct"/>
                  <w:tcBorders>
                    <w:top w:val="single" w:sz="8" w:space="0" w:color="auto"/>
                    <w:left w:val="nil"/>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r>
                    <w:t>% Total</w:t>
                  </w:r>
                </w:p>
              </w:tc>
            </w:tr>
            <w:tr w:rsidR="00B32A2A" w:rsidRPr="00B32A2A" w:rsidTr="00B32A2A">
              <w:trPr>
                <w:trHeight w:val="345"/>
              </w:trPr>
              <w:tc>
                <w:tcPr>
                  <w:tcW w:w="1731" w:type="pct"/>
                  <w:tcBorders>
                    <w:top w:val="nil"/>
                    <w:left w:val="single" w:sz="8" w:space="0" w:color="auto"/>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r>
                    <w:t>1</w:t>
                  </w:r>
                </w:p>
              </w:tc>
              <w:tc>
                <w:tcPr>
                  <w:tcW w:w="1648" w:type="pct"/>
                  <w:tcBorders>
                    <w:top w:val="nil"/>
                    <w:left w:val="nil"/>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r>
                    <w:t>30,190,983.7</w:t>
                  </w:r>
                </w:p>
              </w:tc>
              <w:tc>
                <w:tcPr>
                  <w:tcW w:w="1621" w:type="pct"/>
                  <w:tcBorders>
                    <w:top w:val="nil"/>
                    <w:left w:val="nil"/>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r>
                    <w:t>75.4%</w:t>
                  </w:r>
                </w:p>
              </w:tc>
            </w:tr>
            <w:tr w:rsidR="00B32A2A" w:rsidRPr="00B32A2A" w:rsidTr="00B32A2A">
              <w:trPr>
                <w:trHeight w:val="345"/>
              </w:trPr>
              <w:tc>
                <w:tcPr>
                  <w:tcW w:w="1731" w:type="pct"/>
                  <w:tcBorders>
                    <w:top w:val="nil"/>
                    <w:left w:val="single" w:sz="8" w:space="0" w:color="auto"/>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r>
                    <w:t>2</w:t>
                  </w:r>
                </w:p>
              </w:tc>
              <w:tc>
                <w:tcPr>
                  <w:tcW w:w="1648" w:type="pct"/>
                  <w:tcBorders>
                    <w:top w:val="nil"/>
                    <w:left w:val="nil"/>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r>
                    <w:t>4,719,759.4</w:t>
                  </w:r>
                </w:p>
              </w:tc>
              <w:tc>
                <w:tcPr>
                  <w:tcW w:w="1621" w:type="pct"/>
                  <w:tcBorders>
                    <w:top w:val="nil"/>
                    <w:left w:val="nil"/>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r>
                    <w:t>11.8%</w:t>
                  </w:r>
                </w:p>
              </w:tc>
            </w:tr>
            <w:tr w:rsidR="00B32A2A" w:rsidRPr="00B32A2A" w:rsidTr="00B32A2A">
              <w:trPr>
                <w:trHeight w:val="345"/>
              </w:trPr>
              <w:tc>
                <w:tcPr>
                  <w:tcW w:w="1731" w:type="pct"/>
                  <w:tcBorders>
                    <w:top w:val="nil"/>
                    <w:left w:val="single" w:sz="8" w:space="0" w:color="auto"/>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r>
                    <w:lastRenderedPageBreak/>
                    <w:t>3</w:t>
                  </w:r>
                </w:p>
              </w:tc>
              <w:tc>
                <w:tcPr>
                  <w:tcW w:w="1648" w:type="pct"/>
                  <w:tcBorders>
                    <w:top w:val="nil"/>
                    <w:left w:val="nil"/>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r>
                    <w:t>3,305,510.4</w:t>
                  </w:r>
                </w:p>
              </w:tc>
              <w:tc>
                <w:tcPr>
                  <w:tcW w:w="1621" w:type="pct"/>
                  <w:tcBorders>
                    <w:top w:val="nil"/>
                    <w:left w:val="nil"/>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r>
                    <w:t>8.3%</w:t>
                  </w:r>
                </w:p>
              </w:tc>
            </w:tr>
            <w:tr w:rsidR="00B32A2A" w:rsidRPr="00B32A2A" w:rsidTr="00B32A2A">
              <w:trPr>
                <w:trHeight w:val="345"/>
              </w:trPr>
              <w:tc>
                <w:tcPr>
                  <w:tcW w:w="1731" w:type="pct"/>
                  <w:tcBorders>
                    <w:top w:val="nil"/>
                    <w:left w:val="single" w:sz="8" w:space="0" w:color="auto"/>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r>
                    <w:t>4</w:t>
                  </w:r>
                </w:p>
              </w:tc>
              <w:tc>
                <w:tcPr>
                  <w:tcW w:w="1648" w:type="pct"/>
                  <w:tcBorders>
                    <w:top w:val="nil"/>
                    <w:left w:val="nil"/>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r>
                    <w:t>141,750.0</w:t>
                  </w:r>
                </w:p>
              </w:tc>
              <w:tc>
                <w:tcPr>
                  <w:tcW w:w="1621" w:type="pct"/>
                  <w:tcBorders>
                    <w:top w:val="nil"/>
                    <w:left w:val="nil"/>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r>
                    <w:t>0.4%</w:t>
                  </w:r>
                </w:p>
              </w:tc>
            </w:tr>
            <w:tr w:rsidR="00B32A2A" w:rsidRPr="00B32A2A" w:rsidTr="00B32A2A">
              <w:trPr>
                <w:trHeight w:val="345"/>
              </w:trPr>
              <w:tc>
                <w:tcPr>
                  <w:tcW w:w="1731" w:type="pct"/>
                  <w:tcBorders>
                    <w:top w:val="nil"/>
                    <w:left w:val="single" w:sz="8" w:space="0" w:color="auto"/>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r>
                    <w:t>Sub-total</w:t>
                  </w:r>
                </w:p>
              </w:tc>
              <w:tc>
                <w:tcPr>
                  <w:tcW w:w="1648" w:type="pct"/>
                  <w:tcBorders>
                    <w:top w:val="nil"/>
                    <w:left w:val="nil"/>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r>
                    <w:t>38,358,003.5</w:t>
                  </w:r>
                </w:p>
              </w:tc>
              <w:tc>
                <w:tcPr>
                  <w:tcW w:w="1621" w:type="pct"/>
                  <w:tcBorders>
                    <w:top w:val="nil"/>
                    <w:left w:val="nil"/>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p>
              </w:tc>
            </w:tr>
            <w:tr w:rsidR="00B32A2A" w:rsidRPr="00B32A2A" w:rsidTr="00B32A2A">
              <w:trPr>
                <w:trHeight w:val="1005"/>
              </w:trPr>
              <w:tc>
                <w:tcPr>
                  <w:tcW w:w="1731" w:type="pct"/>
                  <w:tcBorders>
                    <w:top w:val="nil"/>
                    <w:left w:val="single" w:sz="8" w:space="0" w:color="auto"/>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r>
                    <w:t>Proposal management (Objective 5)</w:t>
                  </w:r>
                </w:p>
              </w:tc>
              <w:tc>
                <w:tcPr>
                  <w:tcW w:w="1648" w:type="pct"/>
                  <w:tcBorders>
                    <w:top w:val="nil"/>
                    <w:left w:val="nil"/>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r>
                    <w:t>1,667,091.0</w:t>
                  </w:r>
                </w:p>
              </w:tc>
              <w:tc>
                <w:tcPr>
                  <w:tcW w:w="1621" w:type="pct"/>
                  <w:tcBorders>
                    <w:top w:val="nil"/>
                    <w:left w:val="nil"/>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r>
                    <w:t>4.2%</w:t>
                  </w:r>
                </w:p>
              </w:tc>
            </w:tr>
            <w:tr w:rsidR="00B32A2A" w:rsidRPr="00B32A2A" w:rsidTr="00B32A2A">
              <w:trPr>
                <w:trHeight w:val="345"/>
              </w:trPr>
              <w:tc>
                <w:tcPr>
                  <w:tcW w:w="1731" w:type="pct"/>
                  <w:tcBorders>
                    <w:top w:val="nil"/>
                    <w:left w:val="single" w:sz="8" w:space="0" w:color="auto"/>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r>
                    <w:t>Grand TOTAL</w:t>
                  </w:r>
                </w:p>
              </w:tc>
              <w:tc>
                <w:tcPr>
                  <w:tcW w:w="1648" w:type="pct"/>
                  <w:tcBorders>
                    <w:top w:val="nil"/>
                    <w:left w:val="nil"/>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r>
                    <w:t>40,025,094.5</w:t>
                  </w:r>
                </w:p>
              </w:tc>
              <w:tc>
                <w:tcPr>
                  <w:tcW w:w="1621" w:type="pct"/>
                  <w:tcBorders>
                    <w:top w:val="nil"/>
                    <w:left w:val="nil"/>
                    <w:bottom w:val="single" w:sz="8" w:space="0" w:color="auto"/>
                    <w:right w:val="single" w:sz="8" w:space="0" w:color="auto"/>
                  </w:tcBorders>
                  <w:shd w:val="clear" w:color="auto" w:fill="auto"/>
                  <w:vAlign w:val="center"/>
                  <w:hideMark/>
                </w:tcPr>
                <w:p w:rsidR="00B32A2A" w:rsidRPr="00B32A2A" w:rsidRDefault="00B32A2A" w:rsidP="0070526F">
                  <w:pPr>
                    <w:framePr w:hSpace="141" w:wrap="around" w:vAnchor="text" w:hAnchor="margin" w:x="108" w:y="407"/>
                    <w:widowControl/>
                    <w:spacing w:after="0" w:line="240" w:lineRule="auto"/>
                    <w:jc w:val="center"/>
                    <w:rPr>
                      <w:rFonts w:eastAsia="Times New Roman" w:cs="Arial"/>
                      <w:noProof/>
                    </w:rPr>
                  </w:pPr>
                </w:p>
              </w:tc>
            </w:tr>
          </w:tbl>
          <w:p w:rsidR="00B32A2A" w:rsidRPr="00B32A2A" w:rsidRDefault="00B32A2A" w:rsidP="00B32A2A">
            <w:pPr>
              <w:pStyle w:val="ListParagraph"/>
              <w:numPr>
                <w:ilvl w:val="0"/>
                <w:numId w:val="0"/>
              </w:numPr>
              <w:rPr>
                <w:rFonts w:cs="Arial"/>
                <w:b/>
                <w:noProof/>
                <w:color w:val="auto"/>
                <w:sz w:val="22"/>
                <w:szCs w:val="22"/>
              </w:rPr>
            </w:pPr>
          </w:p>
          <w:p w:rsidR="00B32A2A" w:rsidRPr="00B32A2A" w:rsidRDefault="00B32A2A" w:rsidP="00B32A2A">
            <w:pPr>
              <w:pStyle w:val="ListParagraph"/>
              <w:numPr>
                <w:ilvl w:val="0"/>
                <w:numId w:val="0"/>
              </w:numPr>
              <w:rPr>
                <w:rFonts w:cs="Arial"/>
                <w:b/>
                <w:i w:val="0"/>
                <w:noProof/>
                <w:color w:val="auto"/>
                <w:sz w:val="22"/>
                <w:szCs w:val="22"/>
              </w:rPr>
            </w:pPr>
            <w:r>
              <w:rPr>
                <w:b/>
                <w:i w:val="0"/>
                <w:noProof/>
                <w:color w:val="auto"/>
                <w:sz w:val="22"/>
              </w:rPr>
              <w:t xml:space="preserve"> It is important to specify that additional RBF-GAVI funds will be used, if received, for Objective 1, to strengthen mobile and fair activities as well as update cold chain equipment</w:t>
            </w:r>
          </w:p>
          <w:p w:rsidR="00B32A2A" w:rsidRPr="00B32A2A" w:rsidRDefault="00B32A2A" w:rsidP="00B32A2A">
            <w:pPr>
              <w:rPr>
                <w:rFonts w:cs="Arial"/>
                <w:noProof/>
              </w:rPr>
            </w:pPr>
          </w:p>
          <w:p w:rsidR="00B32A2A" w:rsidRPr="00B32A2A" w:rsidRDefault="00B32A2A" w:rsidP="00B32A2A">
            <w:pPr>
              <w:pStyle w:val="ListParagraph"/>
              <w:numPr>
                <w:ilvl w:val="0"/>
                <w:numId w:val="0"/>
              </w:numPr>
              <w:rPr>
                <w:rFonts w:cs="Arial"/>
                <w:b/>
                <w:noProof/>
                <w:color w:val="auto"/>
                <w:sz w:val="22"/>
                <w:szCs w:val="22"/>
              </w:rPr>
            </w:pPr>
          </w:p>
          <w:p w:rsidR="00B32A2A" w:rsidRPr="00B32A2A" w:rsidRDefault="00B32A2A" w:rsidP="00B32A2A">
            <w:pPr>
              <w:pStyle w:val="ListParagraph"/>
              <w:numPr>
                <w:ilvl w:val="0"/>
                <w:numId w:val="0"/>
              </w:numPr>
              <w:rPr>
                <w:rFonts w:cs="Arial"/>
                <w:b/>
                <w:noProof/>
                <w:color w:val="auto"/>
                <w:sz w:val="22"/>
                <w:szCs w:val="22"/>
              </w:rPr>
            </w:pPr>
          </w:p>
          <w:p w:rsidR="00B32A2A" w:rsidRPr="00B32A2A" w:rsidRDefault="00B32A2A" w:rsidP="00B32A2A">
            <w:pPr>
              <w:pStyle w:val="ListParagraph"/>
              <w:numPr>
                <w:ilvl w:val="0"/>
                <w:numId w:val="0"/>
              </w:numPr>
              <w:rPr>
                <w:rFonts w:cs="Arial"/>
                <w:b/>
                <w:noProof/>
                <w:color w:val="auto"/>
                <w:sz w:val="22"/>
                <w:szCs w:val="22"/>
              </w:rPr>
            </w:pPr>
          </w:p>
          <w:p w:rsidR="00B32A2A" w:rsidRPr="00B32A2A" w:rsidRDefault="00B32A2A" w:rsidP="00B32A2A">
            <w:pPr>
              <w:pStyle w:val="ListParagraph"/>
              <w:numPr>
                <w:ilvl w:val="0"/>
                <w:numId w:val="0"/>
              </w:numPr>
              <w:rPr>
                <w:rFonts w:cs="Arial"/>
                <w:b/>
                <w:noProof/>
                <w:color w:val="auto"/>
                <w:sz w:val="22"/>
                <w:szCs w:val="22"/>
              </w:rPr>
            </w:pPr>
            <w:r>
              <w:rPr>
                <w:b/>
                <w:noProof/>
                <w:color w:val="auto"/>
                <w:sz w:val="22"/>
              </w:rPr>
              <w:t xml:space="preserve"> </w:t>
            </w:r>
          </w:p>
          <w:p w:rsidR="00B32A2A" w:rsidRPr="00B32A2A" w:rsidRDefault="00B32A2A" w:rsidP="00B32A2A">
            <w:pPr>
              <w:rPr>
                <w:rFonts w:cs="Arial"/>
                <w:noProof/>
              </w:rPr>
            </w:pPr>
          </w:p>
          <w:p w:rsidR="00B32A2A" w:rsidRPr="00B32A2A" w:rsidRDefault="00B32A2A" w:rsidP="00B32A2A">
            <w:pPr>
              <w:spacing w:before="120" w:after="120"/>
              <w:jc w:val="both"/>
              <w:rPr>
                <w:rFonts w:cs="Arial"/>
                <w:b/>
                <w:i/>
                <w:noProof/>
              </w:rPr>
            </w:pPr>
          </w:p>
        </w:tc>
      </w:tr>
    </w:tbl>
    <w:p w:rsidR="00B32A2A" w:rsidRPr="00B32A2A" w:rsidRDefault="00B32A2A" w:rsidP="00B32A2A">
      <w:pPr>
        <w:tabs>
          <w:tab w:val="left" w:pos="1755"/>
        </w:tabs>
        <w:rPr>
          <w:rFonts w:cs="Arial"/>
          <w:noProof/>
        </w:rPr>
      </w:pPr>
    </w:p>
    <w:tbl>
      <w:tblPr>
        <w:tblW w:w="4965" w:type="pct"/>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ook w:val="0000" w:firstRow="0" w:lastRow="0" w:firstColumn="0" w:lastColumn="0" w:noHBand="0" w:noVBand="0"/>
      </w:tblPr>
      <w:tblGrid>
        <w:gridCol w:w="10348"/>
      </w:tblGrid>
      <w:tr w:rsidR="00B32A2A" w:rsidRPr="00B32A2A" w:rsidTr="00B32A2A">
        <w:trPr>
          <w:trHeight w:val="272"/>
        </w:trPr>
        <w:tc>
          <w:tcPr>
            <w:tcW w:w="5000" w:type="pct"/>
            <w:tcBorders>
              <w:bottom w:val="single" w:sz="4" w:space="0" w:color="173E49"/>
            </w:tcBorders>
            <w:shd w:val="clear" w:color="auto" w:fill="006460"/>
          </w:tcPr>
          <w:p w:rsidR="00B32A2A" w:rsidRPr="00B32A2A" w:rsidRDefault="00B32A2A" w:rsidP="00B32A2A">
            <w:pPr>
              <w:pStyle w:val="Heading2"/>
              <w:rPr>
                <w:rFonts w:ascii="Arial" w:hAnsi="Arial" w:cs="Arial"/>
                <w:noProof/>
                <w:color w:val="auto"/>
                <w:sz w:val="22"/>
                <w:szCs w:val="22"/>
              </w:rPr>
            </w:pPr>
            <w:bookmarkStart w:id="71" w:name="_Toc346116646"/>
            <w:bookmarkStart w:id="72" w:name="_Toc381123275"/>
            <w:bookmarkStart w:id="73" w:name="_Toc381566365"/>
            <w:r>
              <w:rPr>
                <w:rFonts w:ascii="Arial" w:hAnsi="Arial"/>
                <w:noProof/>
                <w:color w:val="auto"/>
                <w:sz w:val="22"/>
              </w:rPr>
              <w:t>12. Gap Analysis &amp; Complementarity</w:t>
            </w:r>
            <w:bookmarkEnd w:id="71"/>
            <w:bookmarkEnd w:id="72"/>
            <w:bookmarkEnd w:id="73"/>
          </w:p>
        </w:tc>
      </w:tr>
      <w:tr w:rsidR="00B32A2A" w:rsidRPr="00B32A2A" w:rsidTr="00B32A2A">
        <w:trPr>
          <w:trHeight w:val="699"/>
        </w:trPr>
        <w:tc>
          <w:tcPr>
            <w:tcW w:w="5000" w:type="pct"/>
            <w:tcBorders>
              <w:top w:val="single" w:sz="4" w:space="0" w:color="173E49"/>
              <w:left w:val="single" w:sz="4" w:space="0" w:color="173E49"/>
              <w:bottom w:val="single" w:sz="4" w:space="0" w:color="173E49"/>
              <w:right w:val="single" w:sz="4" w:space="0" w:color="173E49"/>
            </w:tcBorders>
            <w:shd w:val="clear" w:color="auto" w:fill="FFFFFF"/>
          </w:tcPr>
          <w:p w:rsidR="00B32A2A" w:rsidRPr="00B32A2A" w:rsidRDefault="00B32A2A" w:rsidP="00B32A2A">
            <w:pPr>
              <w:spacing w:before="120" w:after="120"/>
              <w:jc w:val="both"/>
              <w:rPr>
                <w:rFonts w:cs="Arial"/>
                <w:i/>
                <w:noProof/>
              </w:rPr>
            </w:pPr>
            <w:r>
              <w:rPr>
                <w:i/>
                <w:noProof/>
              </w:rPr>
              <w:t>This description will ensure that GAVI is aware of support provided by other donors, thereby avoiding overlap or duplication. This will also highlight the value added of the support asked of GAVI.</w:t>
            </w:r>
          </w:p>
          <w:p w:rsidR="00B32A2A" w:rsidRPr="00B32A2A" w:rsidRDefault="00B32A2A" w:rsidP="00B32A2A">
            <w:pPr>
              <w:spacing w:before="120"/>
              <w:jc w:val="both"/>
              <w:rPr>
                <w:rFonts w:cs="Arial"/>
                <w:i/>
                <w:noProof/>
              </w:rPr>
            </w:pPr>
            <w:r>
              <w:rPr>
                <w:i/>
                <w:noProof/>
              </w:rPr>
              <w:t>→ Please complete the gap analysis tab in the GAVI-HSS Budget, Work plan &amp; Gap Analysis Template. This Gap Analysis should be linked to each of the proposal's objectives, to clarify the total amount of resources need to strengthen the health system related to this objective, and the different funding resources from HSS that are already in place, such as those that appear on the national health sector strategy/plan, cMYP or other gap analyses that have been performed.</w:t>
            </w:r>
          </w:p>
          <w:p w:rsidR="00B32A2A" w:rsidRPr="00B32A2A" w:rsidRDefault="00B32A2A" w:rsidP="00B32A2A">
            <w:pPr>
              <w:spacing w:before="120" w:after="120"/>
              <w:jc w:val="both"/>
              <w:rPr>
                <w:rFonts w:cs="Arial"/>
                <w:i/>
                <w:noProof/>
              </w:rPr>
            </w:pPr>
            <w:r>
              <w:rPr>
                <w:i/>
                <w:noProof/>
              </w:rPr>
              <w:t>→ For each objective, the candidates will prepare the list of different HSS funding resources already in place that contribute to the proposal objective, including Government and external donors' grants, the name of the project, as applicable (or indicate budget support), the duration of the support, the funding amount provided in US Dollars and the geographic zone covered by the support.</w:t>
            </w:r>
          </w:p>
          <w:p w:rsidR="00B32A2A" w:rsidRPr="00B32A2A" w:rsidRDefault="00B32A2A" w:rsidP="00B32A2A">
            <w:pPr>
              <w:spacing w:before="120" w:after="120"/>
              <w:jc w:val="both"/>
              <w:rPr>
                <w:rFonts w:cs="Arial"/>
                <w:i/>
                <w:noProof/>
              </w:rPr>
            </w:pPr>
            <w:r>
              <w:rPr>
                <w:i/>
                <w:noProof/>
              </w:rPr>
              <w:t xml:space="preserve">→ In the box below, please describe other activities undertaken by the Government or its development partners which focus on the bottlenecks targeted by the proposed objectives, in particular, the calendar and geographic zone of the support, highlighting the value added of GAVI support and the manner in </w:t>
            </w:r>
            <w:r>
              <w:rPr>
                <w:i/>
                <w:noProof/>
              </w:rPr>
              <w:lastRenderedPageBreak/>
              <w:t>which the current proposal complements these activities.</w:t>
            </w:r>
          </w:p>
        </w:tc>
      </w:tr>
      <w:tr w:rsidR="00B32A2A" w:rsidRPr="00B32A2A" w:rsidTr="00B32A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57"/>
        </w:trPr>
        <w:tc>
          <w:tcPr>
            <w:tcW w:w="5000" w:type="pct"/>
            <w:tcBorders>
              <w:top w:val="single" w:sz="4" w:space="0" w:color="173E49"/>
              <w:left w:val="single" w:sz="4" w:space="0" w:color="173E49"/>
              <w:bottom w:val="single" w:sz="4" w:space="0" w:color="173E49"/>
              <w:right w:val="single" w:sz="4" w:space="0" w:color="173E49"/>
            </w:tcBorders>
            <w:shd w:val="clear" w:color="auto" w:fill="auto"/>
            <w:vAlign w:val="center"/>
          </w:tcPr>
          <w:p w:rsidR="00B32A2A" w:rsidRPr="00B32A2A" w:rsidRDefault="00B32A2A" w:rsidP="00B32A2A">
            <w:pPr>
              <w:jc w:val="both"/>
              <w:rPr>
                <w:rFonts w:cs="Arial"/>
                <w:b/>
                <w:noProof/>
              </w:rPr>
            </w:pPr>
            <w:r>
              <w:rPr>
                <w:b/>
                <w:noProof/>
              </w:rPr>
              <w:lastRenderedPageBreak/>
              <w:t>TWO PAGES MAXIMUM</w:t>
            </w:r>
          </w:p>
          <w:p w:rsidR="00B32A2A" w:rsidRPr="00B32A2A" w:rsidRDefault="00B32A2A" w:rsidP="00B32A2A">
            <w:pPr>
              <w:jc w:val="both"/>
              <w:rPr>
                <w:rFonts w:cs="Arial"/>
                <w:noProof/>
              </w:rPr>
            </w:pPr>
            <w:r>
              <w:t>The gap and complementarity analyses depend on the total resources required per objective which were estimated using the 2012 - 2013 AAP financial projections for the 2014 - 2018 period.</w:t>
            </w:r>
          </w:p>
          <w:p w:rsidR="00B32A2A" w:rsidRPr="00B32A2A" w:rsidRDefault="00B32A2A" w:rsidP="00B32A2A">
            <w:pPr>
              <w:jc w:val="both"/>
              <w:rPr>
                <w:rFonts w:cs="Arial"/>
                <w:noProof/>
              </w:rPr>
            </w:pPr>
            <w:r>
              <w:t>The estimate of the government's grants and of resources come from external donors was established using available data from various annual action plans for the facilities concerned. The estimates for the 2014 - 2018 period were made using the 2012 - 2013 data projections.</w:t>
            </w:r>
          </w:p>
          <w:p w:rsidR="00B32A2A" w:rsidRPr="00B32A2A" w:rsidRDefault="00B32A2A" w:rsidP="00B32A2A">
            <w:pPr>
              <w:jc w:val="both"/>
              <w:rPr>
                <w:rFonts w:cs="Arial"/>
                <w:b/>
                <w:noProof/>
              </w:rPr>
            </w:pPr>
            <w:r>
              <w:rPr>
                <w:b/>
                <w:noProof/>
              </w:rPr>
              <w:t>Objective 1: Improve accessibility to health services including quality immunization services, specifically within the 21 high-priority health districts</w:t>
            </w:r>
          </w:p>
          <w:p w:rsidR="00B32A2A" w:rsidRPr="00B32A2A" w:rsidRDefault="00B32A2A" w:rsidP="00B32A2A">
            <w:pPr>
              <w:jc w:val="both"/>
              <w:rPr>
                <w:rFonts w:cs="Arial"/>
                <w:noProof/>
              </w:rPr>
            </w:pPr>
            <w:r>
              <w:t xml:space="preserve">To reach this objective, the Government of Niger will contribute to the government and technical and financial partners' efforts for the implementation of actions for which the global amount needed is estimated at US$ 235,791,237 for the 2014 - 2018 period. The resources currently available for the implementation from the State equal US$ 34,207,885. Those from the main partners, including UNFPA, UNICEF, CF, WHO, EU, Coopération chinoise and the DSF, are estimated at US$ 74,554,715, for a total of US$ 108,762,600. Therefore, there is a funding gap of US$ 127,028,637. GAVI's contribution toward reducing the gap is estimated at US$ 30,190,984.  </w:t>
            </w:r>
          </w:p>
          <w:p w:rsidR="00B32A2A" w:rsidRPr="00B32A2A" w:rsidRDefault="00B32A2A" w:rsidP="00B32A2A">
            <w:pPr>
              <w:jc w:val="both"/>
              <w:rPr>
                <w:rFonts w:cs="Arial"/>
                <w:b/>
                <w:noProof/>
              </w:rPr>
            </w:pPr>
            <w:r>
              <w:rPr>
                <w:b/>
                <w:noProof/>
              </w:rPr>
              <w:t>Objective 2: Increase demand for delivery of health service and care, and particularly, for immunization at the national level</w:t>
            </w:r>
          </w:p>
          <w:p w:rsidR="00B32A2A" w:rsidRPr="00B32A2A" w:rsidRDefault="00B32A2A" w:rsidP="00B32A2A">
            <w:pPr>
              <w:jc w:val="both"/>
              <w:rPr>
                <w:rFonts w:cs="Arial"/>
                <w:noProof/>
              </w:rPr>
            </w:pPr>
            <w:r>
              <w:t xml:space="preserve">To increase demand for care, the health system requires total funding estimated at US$ 449,062,541 for the 2014-2018 period. To reach this objective, the resources available </w:t>
            </w:r>
            <w:r w:rsidR="00FF4FCF">
              <w:t>from</w:t>
            </w:r>
            <w:r>
              <w:t xml:space="preserve"> the State are estimated at US$ 4,114,277. Those from the main partners, including UNFPA, UNICEF, the CF, WHO, the WAHO, and AGIR PF, are estimated at US$ 268,148,988, for a total amount of US$ 272,263,265 for the 2014 - 2018 period. GAVI's contribution is estimated at US$ 4,719,759 for a funding gap of US$ 176,799,276.</w:t>
            </w:r>
          </w:p>
          <w:p w:rsidR="00B32A2A" w:rsidRPr="00B32A2A" w:rsidRDefault="00B32A2A" w:rsidP="00B32A2A">
            <w:pPr>
              <w:jc w:val="both"/>
              <w:rPr>
                <w:rFonts w:cs="Arial"/>
                <w:b/>
                <w:noProof/>
              </w:rPr>
            </w:pPr>
            <w:r>
              <w:rPr>
                <w:b/>
                <w:noProof/>
              </w:rPr>
              <w:t>Objective 3: Improve the quality and use of health information and M&amp;E activities for better strategic planning within the sector</w:t>
            </w:r>
          </w:p>
          <w:p w:rsidR="00B32A2A" w:rsidRPr="00B32A2A" w:rsidRDefault="00B32A2A" w:rsidP="00B32A2A">
            <w:pPr>
              <w:jc w:val="both"/>
              <w:rPr>
                <w:rFonts w:cs="Arial"/>
                <w:noProof/>
              </w:rPr>
            </w:pPr>
            <w:r>
              <w:t>To reach this objective, the State is expecting to be able to contribute US$ 7,703,056 for the 2014-2018 period. As for the main partners, including UNFPA, UNICEF, the CF, WHO, PAI and URC, their contribution is estimated at US$ 77,364,798.</w:t>
            </w:r>
          </w:p>
          <w:p w:rsidR="00B32A2A" w:rsidRPr="00B32A2A" w:rsidRDefault="00B32A2A" w:rsidP="00B32A2A">
            <w:pPr>
              <w:jc w:val="both"/>
              <w:rPr>
                <w:rFonts w:cs="Arial"/>
                <w:noProof/>
              </w:rPr>
            </w:pPr>
            <w:r>
              <w:t>For a total global funding need of US$ 151,545,475, there is an estimated funding gap of US$ 66,477,621. The expected GAVI contribution is estimated at US$ 3,305,510.</w:t>
            </w:r>
          </w:p>
          <w:p w:rsidR="00B32A2A" w:rsidRPr="00B32A2A" w:rsidRDefault="00B32A2A" w:rsidP="00B32A2A">
            <w:pPr>
              <w:jc w:val="both"/>
              <w:rPr>
                <w:rFonts w:cs="Arial"/>
                <w:b/>
                <w:noProof/>
              </w:rPr>
            </w:pPr>
            <w:r>
              <w:rPr>
                <w:b/>
                <w:noProof/>
              </w:rPr>
              <w:t>Objective 4: Increasing the State's contribution to the funding of these health activities, including immunization.</w:t>
            </w:r>
          </w:p>
          <w:p w:rsidR="00B32A2A" w:rsidRPr="00B32A2A" w:rsidRDefault="00B32A2A" w:rsidP="00B32A2A">
            <w:pPr>
              <w:jc w:val="both"/>
              <w:rPr>
                <w:rFonts w:cs="Arial"/>
                <w:noProof/>
              </w:rPr>
            </w:pPr>
            <w:r>
              <w:lastRenderedPageBreak/>
              <w:t>The global needs to cover these activities are US$ 345,053,216 for the 2014 - 2018 period and the expected funding from the State is estimated at US$ 85,110,000 and will be used to strengthen the free health care policy. The contribution from partners such as the WAEMU, the CF, WHO and PAI is estimated at US$ 2,330,000.</w:t>
            </w:r>
          </w:p>
          <w:p w:rsidR="00B32A2A" w:rsidRPr="00B32A2A" w:rsidRDefault="00B32A2A" w:rsidP="00B32A2A">
            <w:pPr>
              <w:jc w:val="both"/>
              <w:rPr>
                <w:rFonts w:cs="Arial"/>
                <w:noProof/>
              </w:rPr>
            </w:pPr>
            <w:r>
              <w:t>There is a funding gap of US$ 257,613,216 and the expected GAVI contribution is estimated at US$ 141,750 for the implementation of activities for advocacy directed at members of parliament, local governments, state-run companies, private companies, CSOs, the media, and the "network of advocacy champions," with the goal of mobilizing resources for health-related actions, and immunization activities specifically.</w:t>
            </w:r>
          </w:p>
          <w:p w:rsidR="00B32A2A" w:rsidRPr="00B32A2A" w:rsidRDefault="00B32A2A" w:rsidP="00B32A2A">
            <w:pPr>
              <w:jc w:val="both"/>
              <w:rPr>
                <w:rFonts w:cs="Arial"/>
                <w:b/>
                <w:noProof/>
              </w:rPr>
            </w:pPr>
            <w:r>
              <w:rPr>
                <w:b/>
                <w:noProof/>
              </w:rPr>
              <w:t>Objective 5: Improve existing management mechanisms so as to implement an efficient and effective Program</w:t>
            </w:r>
          </w:p>
          <w:p w:rsidR="00B32A2A" w:rsidRPr="00B32A2A" w:rsidRDefault="00B32A2A" w:rsidP="00B32A2A">
            <w:pPr>
              <w:jc w:val="both"/>
              <w:rPr>
                <w:rFonts w:cs="Arial"/>
                <w:noProof/>
              </w:rPr>
            </w:pPr>
            <w:r>
              <w:t>To strengthen the Program's management mechanism, the global need is estimated at US$ 105,463,487 for the 2014 - 2018 period. The State's contribution is estimated at US$ 10,846,062 and that of the main partners (UNFPA, UNICEF, the CF, WHO and PAI) is estimated at US$ 9,701,619. The State's and the partners' contributions together total US$ 20,547,680. GAVI's contribution within the proposal is US$ 1,667,091 for the 2014 - 2018 period, for a funding gap of US$ 84,915,806.</w:t>
            </w:r>
          </w:p>
          <w:p w:rsidR="00B32A2A" w:rsidRPr="00B32A2A" w:rsidRDefault="00B32A2A" w:rsidP="00B32A2A">
            <w:pPr>
              <w:jc w:val="both"/>
              <w:rPr>
                <w:rFonts w:cs="Arial"/>
                <w:noProof/>
              </w:rPr>
            </w:pPr>
          </w:p>
          <w:p w:rsidR="00B32A2A" w:rsidRPr="00B32A2A" w:rsidRDefault="00B32A2A" w:rsidP="00B32A2A">
            <w:pPr>
              <w:jc w:val="both"/>
              <w:rPr>
                <w:rFonts w:cs="Arial"/>
                <w:noProof/>
                <w:sz w:val="20"/>
                <w:szCs w:val="20"/>
                <w:highlight w:val="yellow"/>
              </w:rPr>
            </w:pPr>
          </w:p>
        </w:tc>
      </w:tr>
    </w:tbl>
    <w:p w:rsidR="00B32A2A" w:rsidRPr="00B32A2A" w:rsidRDefault="00B32A2A" w:rsidP="00B32A2A">
      <w:pPr>
        <w:jc w:val="both"/>
        <w:rPr>
          <w:rFonts w:cs="Arial"/>
          <w:noProof/>
          <w:vanish/>
        </w:rPr>
      </w:pPr>
      <w:bookmarkStart w:id="74" w:name="_Toc346116647"/>
    </w:p>
    <w:bookmarkEnd w:id="74"/>
    <w:p w:rsidR="00B32A2A" w:rsidRPr="00B32A2A" w:rsidRDefault="00B32A2A" w:rsidP="00B32A2A">
      <w:pPr>
        <w:jc w:val="both"/>
        <w:rPr>
          <w:rFonts w:cs="Arial"/>
          <w:noProof/>
        </w:rPr>
      </w:pPr>
    </w:p>
    <w:tbl>
      <w:tblPr>
        <w:tblpPr w:leftFromText="180" w:rightFromText="180" w:vertAnchor="text" w:horzAnchor="margin" w:tblpX="108" w:tblpY="13"/>
        <w:tblW w:w="10314"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14"/>
      </w:tblGrid>
      <w:tr w:rsidR="00B32A2A" w:rsidRPr="00B32A2A" w:rsidTr="00B32A2A">
        <w:tc>
          <w:tcPr>
            <w:tcW w:w="10314" w:type="dxa"/>
            <w:tcBorders>
              <w:bottom w:val="single" w:sz="6" w:space="0" w:color="215868"/>
            </w:tcBorders>
            <w:shd w:val="clear" w:color="auto" w:fill="006460"/>
          </w:tcPr>
          <w:p w:rsidR="00B32A2A" w:rsidRPr="00B32A2A" w:rsidRDefault="00B32A2A" w:rsidP="00B32A2A">
            <w:pPr>
              <w:pStyle w:val="Heading2"/>
              <w:rPr>
                <w:rFonts w:ascii="Arial" w:hAnsi="Arial" w:cs="Arial"/>
                <w:noProof/>
                <w:color w:val="auto"/>
                <w:sz w:val="22"/>
                <w:szCs w:val="22"/>
              </w:rPr>
            </w:pPr>
            <w:bookmarkStart w:id="75" w:name="_Toc346116648"/>
            <w:bookmarkStart w:id="76" w:name="_Toc381123276"/>
            <w:bookmarkStart w:id="77" w:name="_Toc381566366"/>
            <w:r>
              <w:rPr>
                <w:rFonts w:ascii="Arial" w:hAnsi="Arial"/>
                <w:noProof/>
                <w:color w:val="auto"/>
                <w:sz w:val="22"/>
              </w:rPr>
              <w:t>13. Viability</w:t>
            </w:r>
            <w:bookmarkEnd w:id="75"/>
            <w:bookmarkEnd w:id="76"/>
            <w:bookmarkEnd w:id="77"/>
          </w:p>
        </w:tc>
      </w:tr>
      <w:tr w:rsidR="00B32A2A" w:rsidRPr="00B32A2A" w:rsidTr="00B32A2A">
        <w:tc>
          <w:tcPr>
            <w:tcW w:w="10314" w:type="dxa"/>
            <w:shd w:val="clear" w:color="auto" w:fill="FFFFFF"/>
          </w:tcPr>
          <w:p w:rsidR="00B32A2A" w:rsidRPr="00B32A2A" w:rsidRDefault="00B32A2A" w:rsidP="00B32A2A">
            <w:pPr>
              <w:spacing w:before="120" w:after="120"/>
              <w:jc w:val="both"/>
              <w:rPr>
                <w:rFonts w:cs="Arial"/>
                <w:i/>
                <w:noProof/>
              </w:rPr>
            </w:pPr>
            <w:r>
              <w:rPr>
                <w:i/>
                <w:noProof/>
              </w:rPr>
              <w:t>This description will enable GAVI to assess whether issues of sustainability have been adequately addressed.</w:t>
            </w:r>
          </w:p>
          <w:p w:rsidR="00B32A2A" w:rsidRPr="00B32A2A" w:rsidRDefault="00B32A2A" w:rsidP="00B32A2A">
            <w:pPr>
              <w:spacing w:before="120"/>
              <w:jc w:val="both"/>
              <w:rPr>
                <w:rFonts w:cs="Arial"/>
                <w:i/>
                <w:noProof/>
              </w:rPr>
            </w:pPr>
            <w:r>
              <w:rPr>
                <w:i/>
                <w:noProof/>
              </w:rPr>
              <w:t>→ Please describe how the government is going to ensure sustainability of the results achieved by the GAVI grant after its completion.</w:t>
            </w:r>
          </w:p>
          <w:p w:rsidR="00B32A2A" w:rsidRPr="00B32A2A" w:rsidRDefault="00B32A2A" w:rsidP="00B32A2A">
            <w:pPr>
              <w:spacing w:before="120"/>
              <w:jc w:val="both"/>
              <w:rPr>
                <w:rFonts w:cs="Arial"/>
                <w:i/>
                <w:noProof/>
              </w:rPr>
            </w:pPr>
            <w:r>
              <w:rPr>
                <w:i/>
                <w:noProof/>
              </w:rPr>
              <w:t>This should include the viability of funding immunization services and strengthening the health system, as well as the programmatic viability of results.</w:t>
            </w:r>
          </w:p>
          <w:p w:rsidR="00B32A2A" w:rsidRPr="00B32A2A" w:rsidRDefault="00B32A2A" w:rsidP="00B32A2A">
            <w:pPr>
              <w:spacing w:before="120" w:after="120"/>
              <w:jc w:val="both"/>
              <w:rPr>
                <w:rFonts w:cs="Arial"/>
                <w:i/>
                <w:noProof/>
              </w:rPr>
            </w:pPr>
            <w:r>
              <w:rPr>
                <w:i/>
                <w:noProof/>
              </w:rPr>
              <w:t>→ If there are other recurring costs included in the proposal, please describe how the country will cover these costs after support has ended.</w:t>
            </w:r>
          </w:p>
        </w:tc>
      </w:tr>
      <w:tr w:rsidR="00B32A2A" w:rsidRPr="00B32A2A" w:rsidTr="00B32A2A">
        <w:trPr>
          <w:trHeight w:val="278"/>
        </w:trPr>
        <w:tc>
          <w:tcPr>
            <w:tcW w:w="10314" w:type="dxa"/>
            <w:shd w:val="clear" w:color="auto" w:fill="FFFFFF"/>
          </w:tcPr>
          <w:p w:rsidR="00B32A2A" w:rsidRPr="00B32A2A" w:rsidRDefault="00B32A2A" w:rsidP="00B32A2A">
            <w:pPr>
              <w:spacing w:before="120" w:after="120"/>
              <w:jc w:val="both"/>
              <w:rPr>
                <w:rFonts w:cs="Arial"/>
                <w:b/>
                <w:i/>
                <w:noProof/>
              </w:rPr>
            </w:pPr>
            <w:r>
              <w:rPr>
                <w:b/>
                <w:i/>
                <w:noProof/>
              </w:rPr>
              <w:t>TWO PAGES MAXIMUM</w:t>
            </w:r>
          </w:p>
          <w:p w:rsidR="00B32A2A" w:rsidRPr="00B32A2A" w:rsidRDefault="00B32A2A" w:rsidP="00B32A2A">
            <w:pPr>
              <w:jc w:val="both"/>
              <w:rPr>
                <w:rFonts w:cs="Arial"/>
                <w:b/>
                <w:i/>
                <w:noProof/>
              </w:rPr>
            </w:pPr>
            <w:r>
              <w:rPr>
                <w:b/>
                <w:i/>
                <w:noProof/>
              </w:rPr>
              <w:t>Viability of funding for immunization services and for health system strengthening,</w:t>
            </w:r>
          </w:p>
          <w:p w:rsidR="00B32A2A" w:rsidRPr="00B32A2A" w:rsidRDefault="00B32A2A" w:rsidP="00B32A2A">
            <w:pPr>
              <w:jc w:val="both"/>
              <w:rPr>
                <w:rFonts w:cs="Arial"/>
                <w:noProof/>
              </w:rPr>
            </w:pPr>
            <w:r>
              <w:t xml:space="preserve">The actions included in this request will be maintained after GAVIs support by the efforts of the </w:t>
            </w:r>
            <w:r>
              <w:lastRenderedPageBreak/>
              <w:t xml:space="preserve">Government, local governments and the support of certain TFPs. </w:t>
            </w:r>
          </w:p>
          <w:p w:rsidR="00B32A2A" w:rsidRPr="00B32A2A" w:rsidRDefault="00B32A2A" w:rsidP="00B32A2A">
            <w:pPr>
              <w:jc w:val="both"/>
              <w:rPr>
                <w:rFonts w:cs="Arial"/>
                <w:noProof/>
              </w:rPr>
            </w:pPr>
            <w:r>
              <w:t>The health huts transformed in IHCs within health districts will be operational as soon as the transition takes place, due to the efforts of the State and the allocation of the required human resources, the implementation of inputs and the regular allocation of designated credits. Currently, more than 80% of health huts are run by qualified personn</w:t>
            </w:r>
            <w:r w:rsidR="001F248A">
              <w:t xml:space="preserve">el. </w:t>
            </w:r>
            <w:r>
              <w:t xml:space="preserve">In addition, the MPH has a budget line item for recruiting contract personnel, which will be made available, as a priority, to the health huts transformed into IHCs (CFA 282M in 2014). </w:t>
            </w:r>
          </w:p>
          <w:p w:rsidR="00B32A2A" w:rsidRPr="00B32A2A" w:rsidRDefault="00B32A2A" w:rsidP="00B32A2A">
            <w:pPr>
              <w:jc w:val="both"/>
              <w:rPr>
                <w:rFonts w:cs="Arial"/>
                <w:noProof/>
              </w:rPr>
            </w:pPr>
            <w:r>
              <w:t>The mobile and fair health strategies are high-impact interventions the 2011-2015 HDP. They are currently carried out in all the health districts with the support of the TFPs, local governments and communities. The funding is ensured via facility annual action plans. One of this request's objectives is to increase funding for these actions and sustained support will be guaranteed by the allocation of additional resources in the State and local government budget as well as contributions from the communities.</w:t>
            </w:r>
          </w:p>
          <w:p w:rsidR="00B32A2A" w:rsidRPr="00B32A2A" w:rsidRDefault="00B32A2A" w:rsidP="00B32A2A">
            <w:pPr>
              <w:jc w:val="both"/>
              <w:rPr>
                <w:rFonts w:cs="Arial"/>
                <w:noProof/>
              </w:rPr>
            </w:pPr>
            <w:r>
              <w:t>Updates to the cold chain with solar equipment will allow for reductions in operational costs.</w:t>
            </w:r>
          </w:p>
          <w:p w:rsidR="00B32A2A" w:rsidRPr="00B32A2A" w:rsidRDefault="00B32A2A" w:rsidP="00B32A2A">
            <w:pPr>
              <w:jc w:val="both"/>
              <w:rPr>
                <w:rFonts w:cs="Arial"/>
                <w:noProof/>
              </w:rPr>
            </w:pPr>
            <w:r>
              <w:t xml:space="preserve">The State budget has a decentralized line item for equipment maintenance and logistics. In addition, local governments are involved in maintenance for these equipment via operation cards. </w:t>
            </w:r>
          </w:p>
          <w:p w:rsidR="00B32A2A" w:rsidRPr="00B32A2A" w:rsidRDefault="00B32A2A" w:rsidP="00B32A2A">
            <w:pPr>
              <w:jc w:val="both"/>
              <w:rPr>
                <w:rFonts w:cs="Arial"/>
                <w:noProof/>
              </w:rPr>
            </w:pPr>
            <w:r>
              <w:t xml:space="preserve">The national health information system has adopted a 2013 - 2022 strategic plan for which the implementation strategies are currently funded by the State and the TFPs.. This request addresses mobilization and allocation of additional resources; associated actions are also relevant to the implementation of this strategic plan. After 2018, funding for these actions will be guaranteed by resources allocated by the State and the TFPs. </w:t>
            </w:r>
          </w:p>
          <w:p w:rsidR="00B32A2A" w:rsidRPr="00B32A2A" w:rsidRDefault="00B32A2A" w:rsidP="00B32A2A">
            <w:pPr>
              <w:spacing w:before="120" w:after="120"/>
              <w:jc w:val="both"/>
              <w:rPr>
                <w:rFonts w:cs="Arial"/>
                <w:noProof/>
              </w:rPr>
            </w:pPr>
            <w:r>
              <w:t>The funding strategy used by the MPH develops all the ongoing actions in this request and is funded by the State, local governments and the TFPs. In addition, their sustainability will be ensured by resources from these same players.</w:t>
            </w:r>
          </w:p>
          <w:p w:rsidR="00B32A2A" w:rsidRPr="00B32A2A" w:rsidRDefault="00B32A2A" w:rsidP="00B32A2A">
            <w:pPr>
              <w:spacing w:before="120" w:after="120"/>
              <w:jc w:val="both"/>
              <w:rPr>
                <w:rFonts w:cs="Arial"/>
                <w:noProof/>
              </w:rPr>
            </w:pPr>
            <w:r>
              <w:t>The GAVI-HSS grant will allow, through advocacy activities for increasing health funding from the State and local governments.</w:t>
            </w:r>
          </w:p>
        </w:tc>
      </w:tr>
    </w:tbl>
    <w:p w:rsidR="00B32A2A" w:rsidRPr="00B32A2A" w:rsidRDefault="00B32A2A" w:rsidP="00B32A2A">
      <w:pPr>
        <w:framePr w:hSpace="141" w:wrap="around" w:vAnchor="page" w:hAnchor="margin" w:y="7950"/>
        <w:jc w:val="both"/>
        <w:rPr>
          <w:rFonts w:cs="Arial"/>
          <w:noProof/>
        </w:rPr>
      </w:pPr>
      <w:r>
        <w:lastRenderedPageBreak/>
        <w:br w:type="page"/>
      </w:r>
    </w:p>
    <w:p w:rsidR="00B32A2A" w:rsidRPr="00B32A2A" w:rsidRDefault="00B32A2A" w:rsidP="00B32A2A">
      <w:pPr>
        <w:jc w:val="both"/>
        <w:rPr>
          <w:rFonts w:cs="Arial"/>
          <w:noProof/>
        </w:rPr>
      </w:pPr>
    </w:p>
    <w:tbl>
      <w:tblPr>
        <w:tblW w:w="10348" w:type="dxa"/>
        <w:tblInd w:w="108" w:type="dxa"/>
        <w:shd w:val="clear" w:color="auto" w:fill="006460"/>
        <w:tblLayout w:type="fixed"/>
        <w:tblLook w:val="0000" w:firstRow="0" w:lastRow="0" w:firstColumn="0" w:lastColumn="0" w:noHBand="0" w:noVBand="0"/>
      </w:tblPr>
      <w:tblGrid>
        <w:gridCol w:w="10348"/>
      </w:tblGrid>
      <w:tr w:rsidR="00B32A2A" w:rsidRPr="00B32A2A" w:rsidTr="00B32A2A">
        <w:tc>
          <w:tcPr>
            <w:tcW w:w="10348" w:type="dxa"/>
            <w:shd w:val="clear" w:color="auto" w:fill="006460"/>
          </w:tcPr>
          <w:p w:rsidR="00B32A2A" w:rsidRPr="00B32A2A" w:rsidRDefault="00B32A2A" w:rsidP="00B32A2A">
            <w:pPr>
              <w:pStyle w:val="Heading1"/>
              <w:rPr>
                <w:rFonts w:cs="Arial"/>
                <w:noProof/>
                <w:color w:val="auto"/>
                <w:spacing w:val="0"/>
                <w:sz w:val="22"/>
                <w:szCs w:val="22"/>
              </w:rPr>
            </w:pPr>
            <w:bookmarkStart w:id="78" w:name="_Toc346115525"/>
            <w:bookmarkStart w:id="79" w:name="_Toc346116650"/>
            <w:bookmarkStart w:id="80" w:name="_Toc381123277"/>
            <w:bookmarkStart w:id="81" w:name="_Toc381566367"/>
            <w:r>
              <w:rPr>
                <w:noProof/>
                <w:color w:val="auto"/>
                <w:spacing w:val="0"/>
                <w:sz w:val="22"/>
              </w:rPr>
              <w:t>PART F – IMPLEMENTATION ARRANGEMENTS AND RISK MITIGATION</w:t>
            </w:r>
            <w:bookmarkEnd w:id="78"/>
            <w:bookmarkEnd w:id="79"/>
            <w:bookmarkEnd w:id="80"/>
            <w:bookmarkEnd w:id="81"/>
          </w:p>
        </w:tc>
      </w:tr>
    </w:tbl>
    <w:p w:rsidR="00B32A2A" w:rsidRPr="00B32A2A" w:rsidRDefault="00B32A2A" w:rsidP="00B32A2A">
      <w:pPr>
        <w:jc w:val="both"/>
        <w:rPr>
          <w:rFonts w:cs="Arial"/>
          <w:noProof/>
        </w:rPr>
      </w:pPr>
    </w:p>
    <w:tbl>
      <w:tblPr>
        <w:tblW w:w="10348" w:type="dxa"/>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48"/>
      </w:tblGrid>
      <w:tr w:rsidR="00B32A2A" w:rsidRPr="00B32A2A" w:rsidTr="00B32A2A">
        <w:tc>
          <w:tcPr>
            <w:tcW w:w="10348" w:type="dxa"/>
            <w:tcBorders>
              <w:bottom w:val="single" w:sz="6" w:space="0" w:color="215868"/>
            </w:tcBorders>
            <w:shd w:val="clear" w:color="auto" w:fill="auto"/>
            <w:vAlign w:val="center"/>
          </w:tcPr>
          <w:p w:rsidR="00B32A2A" w:rsidRPr="00B32A2A" w:rsidRDefault="00B32A2A" w:rsidP="00B32A2A">
            <w:pPr>
              <w:jc w:val="both"/>
              <w:rPr>
                <w:rFonts w:cs="Arial"/>
                <w:b/>
                <w:noProof/>
              </w:rPr>
            </w:pPr>
            <w:r>
              <w:rPr>
                <w:b/>
                <w:noProof/>
              </w:rPr>
              <w:t>For further instructions, please refer to the Guidelines for Completing the HSS Application</w:t>
            </w:r>
          </w:p>
        </w:tc>
      </w:tr>
      <w:tr w:rsidR="00B32A2A" w:rsidRPr="00B32A2A" w:rsidTr="00B32A2A">
        <w:tc>
          <w:tcPr>
            <w:tcW w:w="10348" w:type="dxa"/>
            <w:tcBorders>
              <w:bottom w:val="single" w:sz="6" w:space="0" w:color="215868"/>
            </w:tcBorders>
            <w:shd w:val="clear" w:color="auto" w:fill="006460"/>
          </w:tcPr>
          <w:p w:rsidR="00B32A2A" w:rsidRPr="00B32A2A" w:rsidRDefault="00B32A2A" w:rsidP="00B32A2A">
            <w:pPr>
              <w:pStyle w:val="Heading2"/>
              <w:rPr>
                <w:rFonts w:ascii="Arial" w:hAnsi="Arial" w:cs="Arial"/>
                <w:noProof/>
                <w:color w:val="auto"/>
                <w:sz w:val="22"/>
                <w:szCs w:val="22"/>
              </w:rPr>
            </w:pPr>
            <w:bookmarkStart w:id="82" w:name="_Toc346116651"/>
            <w:bookmarkStart w:id="83" w:name="_Toc381123278"/>
            <w:bookmarkStart w:id="84" w:name="_Toc381566368"/>
            <w:r>
              <w:rPr>
                <w:rFonts w:ascii="Arial" w:hAnsi="Arial"/>
                <w:noProof/>
                <w:color w:val="auto"/>
                <w:sz w:val="22"/>
              </w:rPr>
              <w:t>14. Implementation Strategies</w:t>
            </w:r>
            <w:bookmarkEnd w:id="82"/>
            <w:bookmarkEnd w:id="83"/>
            <w:bookmarkEnd w:id="84"/>
          </w:p>
        </w:tc>
      </w:tr>
      <w:tr w:rsidR="00B32A2A" w:rsidRPr="00B32A2A" w:rsidTr="00B32A2A">
        <w:tc>
          <w:tcPr>
            <w:tcW w:w="10348" w:type="dxa"/>
            <w:shd w:val="clear" w:color="auto" w:fill="FFFFFF"/>
          </w:tcPr>
          <w:p w:rsidR="00B32A2A" w:rsidRPr="00B32A2A" w:rsidRDefault="00B32A2A" w:rsidP="00B32A2A">
            <w:pPr>
              <w:spacing w:before="120" w:after="120"/>
              <w:jc w:val="both"/>
              <w:rPr>
                <w:rFonts w:cs="Arial"/>
                <w:i/>
                <w:noProof/>
              </w:rPr>
            </w:pPr>
            <w:r>
              <w:rPr>
                <w:i/>
                <w:noProof/>
              </w:rPr>
              <w:t xml:space="preserve">This section will be used to determine if the necessary arrangements and responsibilities for </w:t>
            </w:r>
            <w:r>
              <w:rPr>
                <w:i/>
                <w:noProof/>
              </w:rPr>
              <w:lastRenderedPageBreak/>
              <w:t>management, coordination, and technical assistance inputs of the implementing parties have been put in place to ensure that program activities will be implemented.</w:t>
            </w:r>
          </w:p>
          <w:p w:rsidR="00B32A2A" w:rsidRPr="00B32A2A" w:rsidRDefault="00B32A2A" w:rsidP="00B32A2A">
            <w:pPr>
              <w:spacing w:before="120" w:after="120"/>
              <w:jc w:val="both"/>
              <w:rPr>
                <w:rFonts w:cs="Arial"/>
                <w:i/>
                <w:noProof/>
              </w:rPr>
            </w:pPr>
            <w:r>
              <w:rPr>
                <w:i/>
                <w:noProof/>
              </w:rPr>
              <w:t xml:space="preserve">Please describe: </w:t>
            </w:r>
          </w:p>
          <w:p w:rsidR="00B32A2A" w:rsidRPr="00B32A2A" w:rsidRDefault="00B32A2A" w:rsidP="00B32A2A">
            <w:pPr>
              <w:spacing w:before="120" w:after="120"/>
              <w:jc w:val="both"/>
              <w:rPr>
                <w:rFonts w:cs="Arial"/>
                <w:i/>
                <w:noProof/>
              </w:rPr>
            </w:pPr>
            <w:r>
              <w:rPr>
                <w:i/>
                <w:noProof/>
              </w:rPr>
              <w:t>→ how will implementation of the grant be managed; identify key implementing entities and their responsibilities with regard to governance and auditing;</w:t>
            </w:r>
          </w:p>
          <w:p w:rsidR="00B32A2A" w:rsidRPr="00B32A2A" w:rsidRDefault="00B32A2A" w:rsidP="00B32A2A">
            <w:pPr>
              <w:spacing w:before="120" w:after="120"/>
              <w:jc w:val="both"/>
              <w:rPr>
                <w:rFonts w:cs="Arial"/>
                <w:i/>
                <w:noProof/>
              </w:rPr>
            </w:pPr>
            <w:r>
              <w:rPr>
                <w:i/>
                <w:noProof/>
              </w:rPr>
              <w:t>→ mechanisms which will ensure coordination among the implementing entities;</w:t>
            </w:r>
          </w:p>
          <w:p w:rsidR="00B32A2A" w:rsidRPr="00B32A2A" w:rsidRDefault="00B32A2A" w:rsidP="00B32A2A">
            <w:pPr>
              <w:spacing w:before="120" w:after="120"/>
              <w:jc w:val="both"/>
              <w:rPr>
                <w:rFonts w:cs="Arial"/>
                <w:i/>
                <w:noProof/>
              </w:rPr>
            </w:pPr>
            <w:r>
              <w:rPr>
                <w:i/>
                <w:noProof/>
              </w:rPr>
              <w:t>→ financial resources from the grant proceeds that will be allocated to grant management and implementation;</w:t>
            </w:r>
          </w:p>
          <w:p w:rsidR="00B32A2A" w:rsidRPr="00B32A2A" w:rsidRDefault="00B32A2A" w:rsidP="00B32A2A">
            <w:pPr>
              <w:spacing w:before="120" w:after="120"/>
              <w:jc w:val="both"/>
              <w:rPr>
                <w:rFonts w:cs="Arial"/>
                <w:i/>
                <w:noProof/>
              </w:rPr>
            </w:pPr>
            <w:r>
              <w:rPr>
                <w:i/>
                <w:noProof/>
              </w:rPr>
              <w:t xml:space="preserve">→ The role of development partners in supporting the country in grant implementation. </w:t>
            </w:r>
          </w:p>
        </w:tc>
      </w:tr>
      <w:tr w:rsidR="00B32A2A" w:rsidRPr="00B32A2A" w:rsidTr="00B32A2A">
        <w:trPr>
          <w:trHeight w:val="278"/>
        </w:trPr>
        <w:tc>
          <w:tcPr>
            <w:tcW w:w="10348" w:type="dxa"/>
            <w:shd w:val="clear" w:color="auto" w:fill="FFFFFF"/>
          </w:tcPr>
          <w:p w:rsidR="00B32A2A" w:rsidRPr="00B32A2A" w:rsidRDefault="00B32A2A" w:rsidP="00B32A2A">
            <w:pPr>
              <w:spacing w:before="120" w:after="120"/>
              <w:jc w:val="both"/>
              <w:rPr>
                <w:rFonts w:cs="Arial"/>
                <w:b/>
                <w:i/>
                <w:noProof/>
              </w:rPr>
            </w:pPr>
            <w:r>
              <w:rPr>
                <w:b/>
                <w:i/>
                <w:noProof/>
              </w:rPr>
              <w:lastRenderedPageBreak/>
              <w:t>TWO PAGES MAXIMUM</w:t>
            </w:r>
          </w:p>
          <w:p w:rsidR="00B32A2A" w:rsidRPr="00B32A2A" w:rsidRDefault="00B32A2A" w:rsidP="00B32A2A">
            <w:pPr>
              <w:jc w:val="both"/>
              <w:rPr>
                <w:rFonts w:cs="Arial"/>
                <w:noProof/>
              </w:rPr>
            </w:pPr>
            <w:r>
              <w:t xml:space="preserve">The method of management for this proposal will be implemented via common funds management that provides support to the HDP. The management procedure manual defines this and there is a letter of understanding, adopted in collaboration with the TFPs who are involved in this funding. </w:t>
            </w:r>
          </w:p>
          <w:p w:rsidR="00B32A2A" w:rsidRPr="00B32A2A" w:rsidRDefault="00B32A2A" w:rsidP="00B32A2A">
            <w:pPr>
              <w:jc w:val="both"/>
              <w:rPr>
                <w:rFonts w:cs="Arial"/>
                <w:noProof/>
              </w:rPr>
            </w:pPr>
            <w:r>
              <w:t>Fiduciary management is conducted using a main account (national level) and around fifty secondary accounts (regional and district) which have been opened at commercial banks. The secondary accounts are funded from the main account using quarterly forecasting from the AAPs. All financial transactions are subject to dual signatures at all levels. At the national level, the signatories are the Secretary General and the Director of MPH's Financial Resources and Equipment. At the regional level, the signatories are the regional director and the administrative and financial director. At the district level the signatories are the chief doctor and the project manager. Each signatory has an alternate. At the national and regional levels, the common funds use an accounting management software (TOMPRO). At these two levels, management of funds is carried out by accountants. At the district level, this type of management is carried out by project managers who have cash and bank books. Transactions are carried out either using checks or electronic transfer.</w:t>
            </w:r>
          </w:p>
          <w:p w:rsidR="00B32A2A" w:rsidRPr="00B32A2A" w:rsidRDefault="00B32A2A" w:rsidP="00B32A2A">
            <w:pPr>
              <w:jc w:val="both"/>
              <w:rPr>
                <w:rFonts w:cs="Arial"/>
                <w:noProof/>
              </w:rPr>
            </w:pPr>
            <w:r>
              <w:t xml:space="preserve">The funds are subject to internal and external audit. The external audit occurs annually and is performed by independent auditors. The first level internal audit that takes place at the national level is conducted by a comptroller and the second level audit is conducted by an internal auditor. At the regional and district levels, the audit is carried out by a regional accountant. At the regional level, the first level audit is conducted every six months by the internal auditor from the national level. A financial monitoring report is produced each semester by the department of financial resources and equipment and the common funds.   </w:t>
            </w:r>
          </w:p>
          <w:p w:rsidR="00B32A2A" w:rsidRPr="00B32A2A" w:rsidRDefault="00B32A2A" w:rsidP="00B32A2A">
            <w:pPr>
              <w:jc w:val="both"/>
              <w:rPr>
                <w:rFonts w:cs="Arial"/>
                <w:noProof/>
              </w:rPr>
            </w:pPr>
            <w:r>
              <w:t>For the HDP implementation, the health sector has the following management entities: the National Health Committee (CNS), the National Technical Health Committ</w:t>
            </w:r>
            <w:r w:rsidR="001F248A">
              <w:t xml:space="preserve">ee (CTNS) and for coordination </w:t>
            </w:r>
            <w:r>
              <w:t xml:space="preserve">the MPH and the TFPs are responsible for steering the project. Implementation of this request will be executed via these entities.  </w:t>
            </w:r>
          </w:p>
          <w:p w:rsidR="00B32A2A" w:rsidRPr="00B32A2A" w:rsidRDefault="00B32A2A" w:rsidP="00B32A2A">
            <w:pPr>
              <w:jc w:val="both"/>
              <w:rPr>
                <w:rFonts w:cs="Arial"/>
                <w:noProof/>
              </w:rPr>
            </w:pPr>
            <w:r>
              <w:lastRenderedPageBreak/>
              <w:t xml:space="preserve">Within this framework, the AAPs are drafted and submitted to the CTNS  and then validated by the CNS. Once the AAPs are approved, they are executed by the different departments within the ministry of health in accordance with the HDP implementation manual and the administrative and financial procedure manual for the common funds. The action plans are evaluated during the first six months of the year and again at the end of </w:t>
            </w:r>
            <w:r w:rsidR="00FF4FCF">
              <w:t>the</w:t>
            </w:r>
            <w:r>
              <w:t xml:space="preserve"> year. These evaluations are respectively sanctioned by an program implementation evaluation and a memorandum. These two documents are submitted for signature by the two parties--the Secretary General for the MPH and the lead partner for the TFPs.</w:t>
            </w:r>
          </w:p>
          <w:p w:rsidR="00B32A2A" w:rsidRPr="00B32A2A" w:rsidRDefault="00B32A2A" w:rsidP="00B32A2A">
            <w:pPr>
              <w:jc w:val="both"/>
              <w:rPr>
                <w:rFonts w:cs="Arial"/>
                <w:b/>
                <w:noProof/>
              </w:rPr>
            </w:pPr>
            <w:r>
              <w:t xml:space="preserve">The financial resources from this request which will be allocated to management equal US$ </w:t>
            </w:r>
            <w:r>
              <w:rPr>
                <w:b/>
                <w:noProof/>
              </w:rPr>
              <w:t>1,667,091, or 4.17% and will be used to finance the following activities:</w:t>
            </w:r>
          </w:p>
          <w:p w:rsidR="00B32A2A" w:rsidRPr="00B32A2A" w:rsidRDefault="00B32A2A" w:rsidP="00B32A2A">
            <w:pPr>
              <w:numPr>
                <w:ilvl w:val="0"/>
                <w:numId w:val="34"/>
              </w:numPr>
              <w:ind w:left="0"/>
              <w:jc w:val="both"/>
              <w:rPr>
                <w:rFonts w:cs="Arial"/>
                <w:noProof/>
              </w:rPr>
            </w:pPr>
            <w:r>
              <w:t xml:space="preserve">Contribute to the Common Funds' operations (salaries, supplies, computer equipment, fuel, logistics) </w:t>
            </w:r>
          </w:p>
          <w:p w:rsidR="00B32A2A" w:rsidRPr="00B32A2A" w:rsidRDefault="00B32A2A" w:rsidP="00B32A2A">
            <w:pPr>
              <w:numPr>
                <w:ilvl w:val="0"/>
                <w:numId w:val="34"/>
              </w:numPr>
              <w:ind w:left="0"/>
              <w:jc w:val="both"/>
              <w:rPr>
                <w:rFonts w:cs="Arial"/>
                <w:noProof/>
              </w:rPr>
            </w:pPr>
            <w:r>
              <w:t>Contribute to Common Funds' financial audit costs;</w:t>
            </w:r>
          </w:p>
          <w:p w:rsidR="00B32A2A" w:rsidRPr="00B32A2A" w:rsidRDefault="00B32A2A" w:rsidP="00B32A2A">
            <w:pPr>
              <w:numPr>
                <w:ilvl w:val="0"/>
                <w:numId w:val="34"/>
              </w:numPr>
              <w:ind w:left="0"/>
              <w:jc w:val="both"/>
              <w:rPr>
                <w:rFonts w:cs="Arial"/>
                <w:noProof/>
              </w:rPr>
            </w:pPr>
            <w:r>
              <w:t>Contribute to inventory costs for assets purchased with the Common Funds and for updating the database of the MPH's inventory management software;</w:t>
            </w:r>
          </w:p>
          <w:p w:rsidR="00B32A2A" w:rsidRPr="00B32A2A" w:rsidRDefault="00B32A2A" w:rsidP="00B32A2A">
            <w:pPr>
              <w:numPr>
                <w:ilvl w:val="0"/>
                <w:numId w:val="34"/>
              </w:numPr>
              <w:ind w:left="0"/>
              <w:jc w:val="both"/>
              <w:rPr>
                <w:rFonts w:cs="Arial"/>
                <w:noProof/>
              </w:rPr>
            </w:pPr>
            <w:r>
              <w:t xml:space="preserve">Contribute to the funding of financial monitoring activities for the management of the Common Funds </w:t>
            </w:r>
          </w:p>
          <w:p w:rsidR="00B32A2A" w:rsidRPr="00B32A2A" w:rsidRDefault="00B32A2A" w:rsidP="00B32A2A">
            <w:pPr>
              <w:numPr>
                <w:ilvl w:val="0"/>
                <w:numId w:val="34"/>
              </w:numPr>
              <w:ind w:left="0"/>
              <w:jc w:val="both"/>
              <w:rPr>
                <w:rFonts w:cs="Arial"/>
                <w:noProof/>
              </w:rPr>
            </w:pPr>
            <w:r>
              <w:t>Contribute to funding the improvement of skills for the Common Funds personnel.</w:t>
            </w:r>
          </w:p>
          <w:p w:rsidR="00B32A2A" w:rsidRPr="00B32A2A" w:rsidRDefault="00B32A2A" w:rsidP="00B32A2A">
            <w:pPr>
              <w:jc w:val="both"/>
              <w:rPr>
                <w:rFonts w:cs="Arial"/>
                <w:i/>
                <w:noProof/>
              </w:rPr>
            </w:pPr>
          </w:p>
          <w:p w:rsidR="00B32A2A" w:rsidRPr="00B32A2A" w:rsidRDefault="00B32A2A" w:rsidP="00B32A2A">
            <w:pPr>
              <w:jc w:val="both"/>
              <w:rPr>
                <w:rFonts w:cs="Arial"/>
                <w:noProof/>
                <w:u w:val="single"/>
              </w:rPr>
            </w:pPr>
            <w:r>
              <w:rPr>
                <w:noProof/>
                <w:u w:val="single"/>
              </w:rPr>
              <w:t>→ The role of development partners in supporting the country in grant implementation</w:t>
            </w: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7"/>
              <w:gridCol w:w="6804"/>
            </w:tblGrid>
            <w:tr w:rsidR="00B32A2A" w:rsidRPr="00B32A2A" w:rsidTr="00B32A2A">
              <w:trPr>
                <w:trHeight w:val="772"/>
              </w:trPr>
              <w:tc>
                <w:tcPr>
                  <w:tcW w:w="3157" w:type="dxa"/>
                  <w:shd w:val="clear" w:color="auto" w:fill="CCCCCC"/>
                </w:tcPr>
                <w:p w:rsidR="00B32A2A" w:rsidRPr="00B32A2A" w:rsidRDefault="00B32A2A" w:rsidP="00B32A2A">
                  <w:pPr>
                    <w:spacing w:before="40" w:after="40"/>
                    <w:rPr>
                      <w:rFonts w:cs="Arial"/>
                      <w:b/>
                      <w:noProof/>
                    </w:rPr>
                  </w:pPr>
                  <w:r>
                    <w:rPr>
                      <w:b/>
                      <w:noProof/>
                    </w:rPr>
                    <w:t>Partners</w:t>
                  </w:r>
                </w:p>
              </w:tc>
              <w:tc>
                <w:tcPr>
                  <w:tcW w:w="6804" w:type="dxa"/>
                  <w:shd w:val="clear" w:color="auto" w:fill="CCCCCC"/>
                </w:tcPr>
                <w:p w:rsidR="00B32A2A" w:rsidRPr="00B32A2A" w:rsidRDefault="00B32A2A" w:rsidP="00B32A2A">
                  <w:pPr>
                    <w:spacing w:before="40" w:after="40"/>
                    <w:rPr>
                      <w:rFonts w:cs="Arial"/>
                      <w:b/>
                      <w:noProof/>
                    </w:rPr>
                  </w:pPr>
                  <w:r>
                    <w:rPr>
                      <w:b/>
                      <w:noProof/>
                    </w:rPr>
                    <w:t>Roles and specific responsibilities of the implementation partners</w:t>
                  </w:r>
                </w:p>
                <w:p w:rsidR="00B32A2A" w:rsidRPr="00B32A2A" w:rsidRDefault="00B32A2A" w:rsidP="00B32A2A">
                  <w:pPr>
                    <w:spacing w:before="40" w:after="40"/>
                    <w:rPr>
                      <w:rFonts w:cs="Arial"/>
                      <w:b/>
                      <w:noProof/>
                    </w:rPr>
                  </w:pPr>
                </w:p>
              </w:tc>
            </w:tr>
            <w:tr w:rsidR="00B32A2A" w:rsidRPr="00B32A2A" w:rsidTr="00B32A2A">
              <w:trPr>
                <w:trHeight w:val="614"/>
              </w:trPr>
              <w:tc>
                <w:tcPr>
                  <w:tcW w:w="3157" w:type="dxa"/>
                </w:tcPr>
                <w:p w:rsidR="00B32A2A" w:rsidRPr="00B32A2A" w:rsidRDefault="00B32A2A" w:rsidP="00B32A2A">
                  <w:pPr>
                    <w:spacing w:before="40" w:after="40"/>
                    <w:rPr>
                      <w:rFonts w:cs="Arial"/>
                      <w:noProof/>
                    </w:rPr>
                  </w:pPr>
                  <w:r>
                    <w:t>Minister in charge of Public Health</w:t>
                  </w:r>
                </w:p>
              </w:tc>
              <w:tc>
                <w:tcPr>
                  <w:tcW w:w="6804" w:type="dxa"/>
                </w:tcPr>
                <w:p w:rsidR="00B32A2A" w:rsidRPr="00B32A2A" w:rsidRDefault="00B32A2A" w:rsidP="00B32A2A">
                  <w:pPr>
                    <w:rPr>
                      <w:rFonts w:cs="Arial"/>
                      <w:noProof/>
                    </w:rPr>
                  </w:pPr>
                </w:p>
                <w:p w:rsidR="00B32A2A" w:rsidRPr="00B32A2A" w:rsidRDefault="00B32A2A" w:rsidP="00B32A2A">
                  <w:pPr>
                    <w:rPr>
                      <w:rFonts w:cs="Arial"/>
                      <w:noProof/>
                    </w:rPr>
                  </w:pPr>
                  <w:r>
                    <w:t>PRESIDENT of the National Health Committee (CNS) and coordination within the health sector.</w:t>
                  </w:r>
                </w:p>
              </w:tc>
            </w:tr>
            <w:tr w:rsidR="00B32A2A" w:rsidRPr="00B32A2A" w:rsidTr="00B32A2A">
              <w:trPr>
                <w:trHeight w:val="1726"/>
              </w:trPr>
              <w:tc>
                <w:tcPr>
                  <w:tcW w:w="3157" w:type="dxa"/>
                </w:tcPr>
                <w:p w:rsidR="00B32A2A" w:rsidRPr="00B32A2A" w:rsidRDefault="00B32A2A" w:rsidP="00B32A2A">
                  <w:pPr>
                    <w:rPr>
                      <w:rFonts w:cs="Arial"/>
                      <w:noProof/>
                    </w:rPr>
                  </w:pPr>
                </w:p>
                <w:p w:rsidR="00B32A2A" w:rsidRPr="00B32A2A" w:rsidRDefault="00B32A2A" w:rsidP="00B32A2A">
                  <w:pPr>
                    <w:rPr>
                      <w:rFonts w:cs="Arial"/>
                      <w:noProof/>
                    </w:rPr>
                  </w:pPr>
                  <w:r>
                    <w:t>The Secretary General of the MPH;</w:t>
                  </w:r>
                </w:p>
                <w:p w:rsidR="00B32A2A" w:rsidRPr="00B32A2A" w:rsidRDefault="00B32A2A" w:rsidP="00B32A2A">
                  <w:pPr>
                    <w:spacing w:before="40" w:after="40"/>
                    <w:jc w:val="both"/>
                    <w:rPr>
                      <w:rFonts w:cs="Arial"/>
                      <w:noProof/>
                    </w:rPr>
                  </w:pPr>
                </w:p>
                <w:p w:rsidR="00B32A2A" w:rsidRPr="00B32A2A" w:rsidRDefault="00B32A2A" w:rsidP="00B32A2A">
                  <w:pPr>
                    <w:spacing w:before="40" w:after="40"/>
                    <w:jc w:val="both"/>
                    <w:rPr>
                      <w:rFonts w:cs="Arial"/>
                      <w:noProof/>
                    </w:rPr>
                  </w:pPr>
                </w:p>
                <w:p w:rsidR="00B32A2A" w:rsidRPr="00B32A2A" w:rsidRDefault="00B32A2A" w:rsidP="00B32A2A">
                  <w:pPr>
                    <w:spacing w:before="40" w:after="40"/>
                    <w:jc w:val="both"/>
                    <w:rPr>
                      <w:rFonts w:cs="Arial"/>
                      <w:noProof/>
                    </w:rPr>
                  </w:pPr>
                </w:p>
              </w:tc>
              <w:tc>
                <w:tcPr>
                  <w:tcW w:w="6804" w:type="dxa"/>
                </w:tcPr>
                <w:p w:rsidR="00B32A2A" w:rsidRPr="00B32A2A" w:rsidRDefault="00B32A2A" w:rsidP="00B32A2A">
                  <w:pPr>
                    <w:spacing w:before="40" w:after="40"/>
                    <w:jc w:val="both"/>
                    <w:rPr>
                      <w:rFonts w:cs="Arial"/>
                      <w:bCs/>
                      <w:noProof/>
                    </w:rPr>
                  </w:pPr>
                  <w:r>
                    <w:t>EXECUTIVE SECRETARY OF THE CNS</w:t>
                  </w:r>
                </w:p>
                <w:p w:rsidR="00B32A2A" w:rsidRPr="00B32A2A" w:rsidRDefault="00B32A2A" w:rsidP="00B32A2A">
                  <w:pPr>
                    <w:widowControl/>
                    <w:numPr>
                      <w:ilvl w:val="0"/>
                      <w:numId w:val="33"/>
                    </w:numPr>
                    <w:spacing w:before="40" w:after="40" w:line="240" w:lineRule="auto"/>
                    <w:ind w:left="0"/>
                    <w:jc w:val="both"/>
                    <w:rPr>
                      <w:rFonts w:cs="Arial"/>
                      <w:noProof/>
                    </w:rPr>
                  </w:pPr>
                  <w:r>
                    <w:t>Prepare CNS/TFP meetings;</w:t>
                  </w:r>
                </w:p>
                <w:p w:rsidR="00B32A2A" w:rsidRPr="00B32A2A" w:rsidRDefault="00B32A2A" w:rsidP="00B32A2A">
                  <w:pPr>
                    <w:widowControl/>
                    <w:numPr>
                      <w:ilvl w:val="0"/>
                      <w:numId w:val="33"/>
                    </w:numPr>
                    <w:spacing w:before="40" w:after="40" w:line="240" w:lineRule="auto"/>
                    <w:ind w:left="0"/>
                    <w:jc w:val="both"/>
                    <w:rPr>
                      <w:rFonts w:cs="Arial"/>
                      <w:noProof/>
                    </w:rPr>
                  </w:pPr>
                  <w:r>
                    <w:t>Monitor implementation of decisions;</w:t>
                  </w:r>
                </w:p>
                <w:p w:rsidR="00B32A2A" w:rsidRPr="00B32A2A" w:rsidRDefault="00B32A2A" w:rsidP="00B32A2A">
                  <w:pPr>
                    <w:widowControl/>
                    <w:numPr>
                      <w:ilvl w:val="0"/>
                      <w:numId w:val="33"/>
                    </w:numPr>
                    <w:spacing w:before="40" w:after="40" w:line="240" w:lineRule="auto"/>
                    <w:ind w:left="0"/>
                    <w:jc w:val="both"/>
                    <w:rPr>
                      <w:rFonts w:cs="Arial"/>
                      <w:noProof/>
                    </w:rPr>
                  </w:pPr>
                  <w:r>
                    <w:t>Handle liaison between the CNS and the Regional Health Committees;</w:t>
                  </w:r>
                </w:p>
                <w:p w:rsidR="00B32A2A" w:rsidRPr="00B32A2A" w:rsidRDefault="00B32A2A" w:rsidP="00B32A2A">
                  <w:pPr>
                    <w:widowControl/>
                    <w:numPr>
                      <w:ilvl w:val="0"/>
                      <w:numId w:val="33"/>
                    </w:numPr>
                    <w:spacing w:before="40" w:after="40" w:line="240" w:lineRule="auto"/>
                    <w:ind w:left="0"/>
                    <w:jc w:val="both"/>
                    <w:rPr>
                      <w:rFonts w:cs="Arial"/>
                      <w:noProof/>
                    </w:rPr>
                  </w:pPr>
                  <w:r>
                    <w:t>Ensure strategic HDP coordination.</w:t>
                  </w:r>
                </w:p>
                <w:p w:rsidR="00B32A2A" w:rsidRPr="00B32A2A" w:rsidRDefault="00B32A2A" w:rsidP="00B32A2A">
                  <w:pPr>
                    <w:rPr>
                      <w:rFonts w:cs="Arial"/>
                      <w:noProof/>
                    </w:rPr>
                  </w:pPr>
                </w:p>
                <w:p w:rsidR="00B32A2A" w:rsidRPr="00B32A2A" w:rsidRDefault="00B32A2A" w:rsidP="00B32A2A">
                  <w:pPr>
                    <w:rPr>
                      <w:rFonts w:cs="Arial"/>
                      <w:noProof/>
                    </w:rPr>
                  </w:pPr>
                  <w:r>
                    <w:t xml:space="preserve">PRESIDENT of the National Healthcare Technical Committee </w:t>
                  </w:r>
                  <w:r>
                    <w:lastRenderedPageBreak/>
                    <w:t>(CTNS)</w:t>
                  </w:r>
                </w:p>
                <w:p w:rsidR="00B32A2A" w:rsidRPr="00B32A2A" w:rsidRDefault="00B32A2A" w:rsidP="00B32A2A">
                  <w:pPr>
                    <w:widowControl/>
                    <w:numPr>
                      <w:ilvl w:val="0"/>
                      <w:numId w:val="33"/>
                    </w:numPr>
                    <w:spacing w:before="40" w:after="40" w:line="240" w:lineRule="auto"/>
                    <w:ind w:left="0"/>
                    <w:jc w:val="both"/>
                    <w:rPr>
                      <w:rFonts w:cs="Arial"/>
                      <w:noProof/>
                    </w:rPr>
                  </w:pPr>
                  <w:r>
                    <w:t>Coordinate and supervise the implementation of HSS support;</w:t>
                  </w:r>
                </w:p>
                <w:p w:rsidR="00B32A2A" w:rsidRPr="00B32A2A" w:rsidRDefault="00B32A2A" w:rsidP="00B32A2A">
                  <w:pPr>
                    <w:widowControl/>
                    <w:numPr>
                      <w:ilvl w:val="0"/>
                      <w:numId w:val="33"/>
                    </w:numPr>
                    <w:spacing w:before="40" w:after="40" w:line="240" w:lineRule="auto"/>
                    <w:ind w:left="0"/>
                    <w:jc w:val="both"/>
                    <w:rPr>
                      <w:rFonts w:cs="Arial"/>
                      <w:noProof/>
                    </w:rPr>
                  </w:pPr>
                  <w:r>
                    <w:t>Coordinate Common Funds activities;</w:t>
                  </w:r>
                </w:p>
                <w:p w:rsidR="00B32A2A" w:rsidRPr="00B32A2A" w:rsidRDefault="00B32A2A" w:rsidP="00B32A2A">
                  <w:pPr>
                    <w:widowControl/>
                    <w:numPr>
                      <w:ilvl w:val="0"/>
                      <w:numId w:val="33"/>
                    </w:numPr>
                    <w:spacing w:before="40" w:after="40" w:line="240" w:lineRule="auto"/>
                    <w:ind w:left="0"/>
                    <w:jc w:val="both"/>
                    <w:rPr>
                      <w:rFonts w:cs="Arial"/>
                      <w:noProof/>
                    </w:rPr>
                  </w:pPr>
                  <w:r>
                    <w:t>Signs the memorandum and implementation report</w:t>
                  </w:r>
                </w:p>
                <w:p w:rsidR="00B32A2A" w:rsidRPr="00B32A2A" w:rsidRDefault="00B32A2A" w:rsidP="00B32A2A">
                  <w:pPr>
                    <w:widowControl/>
                    <w:spacing w:before="40" w:after="40" w:line="240" w:lineRule="auto"/>
                    <w:jc w:val="both"/>
                    <w:rPr>
                      <w:rFonts w:cs="Arial"/>
                      <w:noProof/>
                    </w:rPr>
                  </w:pPr>
                </w:p>
              </w:tc>
            </w:tr>
            <w:tr w:rsidR="00B32A2A" w:rsidRPr="00B32A2A" w:rsidTr="00B32A2A">
              <w:trPr>
                <w:trHeight w:val="924"/>
              </w:trPr>
              <w:tc>
                <w:tcPr>
                  <w:tcW w:w="3157" w:type="dxa"/>
                </w:tcPr>
                <w:p w:rsidR="00B32A2A" w:rsidRPr="00B32A2A" w:rsidRDefault="00B32A2A" w:rsidP="00B32A2A">
                  <w:pPr>
                    <w:spacing w:before="40" w:after="40"/>
                    <w:jc w:val="both"/>
                    <w:rPr>
                      <w:rFonts w:cs="Arial"/>
                      <w:noProof/>
                    </w:rPr>
                  </w:pPr>
                  <w:r>
                    <w:lastRenderedPageBreak/>
                    <w:t>Lead Technical and Financial Partners (TFPs)</w:t>
                  </w:r>
                </w:p>
              </w:tc>
              <w:tc>
                <w:tcPr>
                  <w:tcW w:w="6804" w:type="dxa"/>
                </w:tcPr>
                <w:p w:rsidR="00B32A2A" w:rsidRPr="00B32A2A" w:rsidRDefault="00B32A2A" w:rsidP="00B32A2A">
                  <w:pPr>
                    <w:spacing w:before="40" w:after="40"/>
                    <w:jc w:val="both"/>
                    <w:rPr>
                      <w:rFonts w:cs="Arial"/>
                      <w:noProof/>
                    </w:rPr>
                  </w:pPr>
                  <w:r>
                    <w:t xml:space="preserve"> As the lead TFP, act as an intermediary between the TFP and the MPH and facilitate communication between them. The TFPs participate in health committee meetings and coordination at all levels. They also sign the memorandum and implementation report. Jointly with the SG.</w:t>
                  </w:r>
                </w:p>
              </w:tc>
            </w:tr>
            <w:tr w:rsidR="00B32A2A" w:rsidRPr="00B32A2A" w:rsidTr="00B32A2A">
              <w:trPr>
                <w:trHeight w:val="924"/>
              </w:trPr>
              <w:tc>
                <w:tcPr>
                  <w:tcW w:w="3157" w:type="dxa"/>
                </w:tcPr>
                <w:p w:rsidR="00B32A2A" w:rsidRPr="00B32A2A" w:rsidRDefault="00B32A2A" w:rsidP="00B32A2A">
                  <w:pPr>
                    <w:spacing w:before="40" w:after="40"/>
                    <w:rPr>
                      <w:rFonts w:cs="Arial"/>
                      <w:noProof/>
                    </w:rPr>
                  </w:pPr>
                  <w:r>
                    <w:t xml:space="preserve">Bring together the CSOs (NGO Associations, unions, orders, etc.) for the health sector </w:t>
                  </w:r>
                </w:p>
              </w:tc>
              <w:tc>
                <w:tcPr>
                  <w:tcW w:w="6804" w:type="dxa"/>
                </w:tcPr>
                <w:p w:rsidR="00B32A2A" w:rsidRPr="00B32A2A" w:rsidRDefault="00B32A2A" w:rsidP="00B32A2A">
                  <w:pPr>
                    <w:spacing w:before="40" w:after="40"/>
                    <w:jc w:val="both"/>
                    <w:rPr>
                      <w:rFonts w:cs="Arial"/>
                      <w:noProof/>
                    </w:rPr>
                  </w:pPr>
                  <w:r>
                    <w:t>Actors in the health sector participate in the implementation of the HDP through social mobilization activities and  advocacy of leaders and within communities. They participate in health committee meetings at all levels, in immunization activities and in strengthening the capacities of communities and community health workers.</w:t>
                  </w:r>
                </w:p>
              </w:tc>
            </w:tr>
            <w:tr w:rsidR="00B32A2A" w:rsidRPr="00B32A2A" w:rsidTr="00B32A2A">
              <w:trPr>
                <w:trHeight w:val="924"/>
              </w:trPr>
              <w:tc>
                <w:tcPr>
                  <w:tcW w:w="3157" w:type="dxa"/>
                </w:tcPr>
                <w:p w:rsidR="00B32A2A" w:rsidRPr="00B32A2A" w:rsidRDefault="00B32A2A" w:rsidP="00B32A2A">
                  <w:pPr>
                    <w:spacing w:before="40" w:after="40"/>
                    <w:rPr>
                      <w:rFonts w:cs="Arial"/>
                      <w:noProof/>
                    </w:rPr>
                  </w:pPr>
                  <w:r>
                    <w:t>The private sector</w:t>
                  </w:r>
                </w:p>
              </w:tc>
              <w:tc>
                <w:tcPr>
                  <w:tcW w:w="6804" w:type="dxa"/>
                </w:tcPr>
                <w:p w:rsidR="00B32A2A" w:rsidRPr="00B32A2A" w:rsidRDefault="00B32A2A" w:rsidP="00B32A2A">
                  <w:pPr>
                    <w:spacing w:before="40" w:after="40"/>
                    <w:jc w:val="both"/>
                    <w:rPr>
                      <w:rFonts w:cs="Arial"/>
                      <w:noProof/>
                    </w:rPr>
                  </w:pPr>
                  <w:r>
                    <w:t>Actors in the private sector participate in the implementation of activities through health service offerings at the various levels</w:t>
                  </w:r>
                </w:p>
              </w:tc>
            </w:tr>
            <w:tr w:rsidR="00B32A2A" w:rsidRPr="00B32A2A" w:rsidTr="00B32A2A">
              <w:trPr>
                <w:trHeight w:val="924"/>
              </w:trPr>
              <w:tc>
                <w:tcPr>
                  <w:tcW w:w="3157" w:type="dxa"/>
                </w:tcPr>
                <w:p w:rsidR="00B32A2A" w:rsidRPr="00B32A2A" w:rsidRDefault="00B32A2A" w:rsidP="00B32A2A">
                  <w:pPr>
                    <w:spacing w:before="40" w:after="40"/>
                    <w:rPr>
                      <w:rFonts w:cs="Arial"/>
                      <w:noProof/>
                    </w:rPr>
                  </w:pPr>
                  <w:r>
                    <w:t>Local governments and communities</w:t>
                  </w:r>
                </w:p>
              </w:tc>
              <w:tc>
                <w:tcPr>
                  <w:tcW w:w="6804" w:type="dxa"/>
                </w:tcPr>
                <w:p w:rsidR="00B32A2A" w:rsidRPr="00B32A2A" w:rsidRDefault="00B32A2A" w:rsidP="00B32A2A">
                  <w:pPr>
                    <w:spacing w:before="40" w:after="40"/>
                    <w:jc w:val="both"/>
                    <w:rPr>
                      <w:rFonts w:cs="Arial"/>
                      <w:noProof/>
                    </w:rPr>
                  </w:pPr>
                  <w:r>
                    <w:t>They participate in the mobilization of resources and the implementation of activities</w:t>
                  </w:r>
                </w:p>
              </w:tc>
            </w:tr>
          </w:tbl>
          <w:p w:rsidR="00B32A2A" w:rsidRPr="00B32A2A" w:rsidRDefault="00B32A2A" w:rsidP="00B32A2A">
            <w:pPr>
              <w:spacing w:before="120" w:after="120"/>
              <w:jc w:val="both"/>
              <w:rPr>
                <w:rFonts w:cs="Arial"/>
                <w:b/>
                <w:i/>
                <w:noProof/>
              </w:rPr>
            </w:pPr>
          </w:p>
        </w:tc>
      </w:tr>
    </w:tbl>
    <w:p w:rsidR="00B32A2A" w:rsidRPr="00B32A2A" w:rsidRDefault="00B32A2A" w:rsidP="00B32A2A">
      <w:pPr>
        <w:jc w:val="both"/>
        <w:rPr>
          <w:rFonts w:cs="Arial"/>
          <w:noProof/>
        </w:rPr>
      </w:pPr>
    </w:p>
    <w:tbl>
      <w:tblPr>
        <w:tblW w:w="10348" w:type="dxa"/>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48"/>
      </w:tblGrid>
      <w:tr w:rsidR="00B32A2A" w:rsidRPr="00B32A2A" w:rsidTr="00B32A2A">
        <w:tc>
          <w:tcPr>
            <w:tcW w:w="10348" w:type="dxa"/>
            <w:tcBorders>
              <w:bottom w:val="single" w:sz="6" w:space="0" w:color="215868"/>
            </w:tcBorders>
            <w:shd w:val="clear" w:color="auto" w:fill="006460"/>
          </w:tcPr>
          <w:p w:rsidR="00B32A2A" w:rsidRPr="00B32A2A" w:rsidRDefault="00B32A2A" w:rsidP="00B32A2A">
            <w:pPr>
              <w:pStyle w:val="Heading2"/>
              <w:rPr>
                <w:rFonts w:ascii="Arial" w:hAnsi="Arial" w:cs="Arial"/>
                <w:noProof/>
                <w:color w:val="auto"/>
                <w:sz w:val="22"/>
                <w:szCs w:val="22"/>
              </w:rPr>
            </w:pPr>
            <w:bookmarkStart w:id="85" w:name="_Toc346116652"/>
            <w:bookmarkStart w:id="86" w:name="_Toc381123279"/>
            <w:bookmarkStart w:id="87" w:name="_Toc381566369"/>
            <w:r>
              <w:rPr>
                <w:rFonts w:ascii="Arial" w:hAnsi="Arial"/>
                <w:noProof/>
                <w:color w:val="auto"/>
                <w:sz w:val="22"/>
              </w:rPr>
              <w:t>15. Participation of civil society organizations</w:t>
            </w:r>
            <w:bookmarkEnd w:id="85"/>
            <w:bookmarkEnd w:id="86"/>
            <w:bookmarkEnd w:id="87"/>
          </w:p>
        </w:tc>
      </w:tr>
      <w:tr w:rsidR="00B32A2A" w:rsidRPr="00B32A2A" w:rsidTr="00B32A2A">
        <w:tc>
          <w:tcPr>
            <w:tcW w:w="10348" w:type="dxa"/>
            <w:shd w:val="clear" w:color="auto" w:fill="FFFFFF"/>
          </w:tcPr>
          <w:p w:rsidR="00B32A2A" w:rsidRPr="00B32A2A" w:rsidRDefault="00B32A2A" w:rsidP="00B32A2A">
            <w:pPr>
              <w:spacing w:before="120" w:after="120"/>
              <w:jc w:val="both"/>
              <w:rPr>
                <w:rFonts w:cs="Arial"/>
                <w:i/>
                <w:noProof/>
              </w:rPr>
            </w:pPr>
            <w:r>
              <w:rPr>
                <w:i/>
                <w:noProof/>
              </w:rPr>
              <w:t>This description will be used to assess the involvement of CSOs in the implementation of the proposed activities. CSOs can receive GAVI funding through GAVI HSS grants going to the MoH and then transferred to the CSO</w:t>
            </w:r>
            <w:r>
              <w:rPr>
                <w:rStyle w:val="FootnoteReference"/>
                <w:i/>
                <w:noProof/>
              </w:rPr>
              <w:footnoteReference w:id="2"/>
            </w:r>
            <w:r>
              <w:rPr>
                <w:i/>
                <w:noProof/>
              </w:rPr>
              <w:t xml:space="preserve">. </w:t>
            </w:r>
          </w:p>
          <w:p w:rsidR="00B32A2A" w:rsidRPr="00B32A2A" w:rsidRDefault="00B32A2A" w:rsidP="00B32A2A">
            <w:pPr>
              <w:pStyle w:val="ListParagraph"/>
              <w:ind w:left="0" w:right="55"/>
              <w:rPr>
                <w:rFonts w:cs="Arial"/>
                <w:i w:val="0"/>
                <w:noProof/>
                <w:color w:val="auto"/>
                <w:sz w:val="22"/>
                <w:szCs w:val="22"/>
              </w:rPr>
            </w:pPr>
            <w:r>
              <w:rPr>
                <w:i w:val="0"/>
                <w:noProof/>
                <w:color w:val="auto"/>
                <w:sz w:val="22"/>
              </w:rPr>
              <w:t>→ Please describe if or how CSOs will be involved in the implementation of the grant activities, indicating the approximate budget allocated to CSOs.</w:t>
            </w:r>
          </w:p>
          <w:p w:rsidR="00B32A2A" w:rsidRPr="00B32A2A" w:rsidRDefault="00B32A2A" w:rsidP="00B32A2A">
            <w:pPr>
              <w:spacing w:before="120" w:after="120"/>
              <w:jc w:val="both"/>
              <w:rPr>
                <w:rFonts w:eastAsia="Arial" w:cs="Arial"/>
                <w:i/>
                <w:noProof/>
              </w:rPr>
            </w:pPr>
            <w:r>
              <w:rPr>
                <w:i/>
                <w:noProof/>
              </w:rPr>
              <w:t>→ Please ensure that any CSO implementation details are reflected within the detailed budget and work plan.</w:t>
            </w:r>
          </w:p>
        </w:tc>
      </w:tr>
      <w:tr w:rsidR="00B32A2A" w:rsidRPr="00B32A2A" w:rsidTr="00B32A2A">
        <w:trPr>
          <w:trHeight w:val="278"/>
        </w:trPr>
        <w:tc>
          <w:tcPr>
            <w:tcW w:w="10348" w:type="dxa"/>
            <w:shd w:val="clear" w:color="auto" w:fill="FFFFFF"/>
          </w:tcPr>
          <w:p w:rsidR="00B32A2A" w:rsidRPr="00B32A2A" w:rsidRDefault="00B32A2A" w:rsidP="00B32A2A">
            <w:pPr>
              <w:spacing w:before="120" w:after="120"/>
              <w:jc w:val="both"/>
              <w:rPr>
                <w:rFonts w:cs="Arial"/>
                <w:b/>
                <w:i/>
                <w:noProof/>
              </w:rPr>
            </w:pPr>
            <w:r>
              <w:rPr>
                <w:b/>
                <w:i/>
                <w:noProof/>
              </w:rPr>
              <w:t>TWO PAGES MAXIMUM</w:t>
            </w:r>
          </w:p>
          <w:p w:rsidR="00B32A2A" w:rsidRPr="00B32A2A" w:rsidRDefault="00B32A2A" w:rsidP="00B32A2A">
            <w:pPr>
              <w:jc w:val="both"/>
              <w:rPr>
                <w:rFonts w:cs="Arial"/>
                <w:noProof/>
              </w:rPr>
            </w:pPr>
            <w:r>
              <w:lastRenderedPageBreak/>
              <w:t>Health committees, unions, NGOs and associations within the health sector are key actors in the planned implementation of the HDP. They participate through management activities related to health centers (COGES and COSAN), through social mobilization and through advocacy of leaders and community. They participate in health committee meetings at all levels, in immunization activities and in strengthening the capacities of communities and community health workers. Members of civil society also participate every year in field visits and the supervisions organized by the MPH with the TFPs in the health sector</w:t>
            </w:r>
          </w:p>
          <w:p w:rsidR="00B32A2A" w:rsidRPr="00B32A2A" w:rsidRDefault="00B32A2A" w:rsidP="00B32A2A">
            <w:pPr>
              <w:jc w:val="both"/>
              <w:rPr>
                <w:rFonts w:cs="Arial"/>
                <w:noProof/>
              </w:rPr>
            </w:pPr>
            <w:r>
              <w:t>Regarding monitoring and evaluation of the HDP, civil society participates in this process as member of the entities at different levels within the system. They also participate with drafting and validating the different action plans at all levels.</w:t>
            </w:r>
          </w:p>
          <w:p w:rsidR="00B32A2A" w:rsidRPr="00B32A2A" w:rsidRDefault="00B32A2A" w:rsidP="00B32A2A">
            <w:pPr>
              <w:jc w:val="both"/>
              <w:rPr>
                <w:rFonts w:cs="Arial"/>
                <w:noProof/>
              </w:rPr>
            </w:pPr>
            <w:r>
              <w:t>Within the framework of the implementation of this request, CSOs participate in initiatives through contracts. Therefore, they will be asked to participate in social mobilization activities in communities that support vaccination and where opinion leaders support it, for areas that are difficult to access or insecure. CSOs will also be involved with immunization teams where they will play an important supporting role for immunization activities. The will also be directly involved in the implementation of services, governance, and community health information.</w:t>
            </w:r>
          </w:p>
          <w:p w:rsidR="00B32A2A" w:rsidRPr="00B32A2A" w:rsidRDefault="00B32A2A" w:rsidP="00B32A2A">
            <w:pPr>
              <w:jc w:val="both"/>
              <w:rPr>
                <w:rFonts w:cs="Arial"/>
                <w:noProof/>
              </w:rPr>
            </w:pPr>
            <w:r>
              <w:t>Within the framework of this proposal the budget allocated to CSOs at all levels is US$ 678,748, or 2% of the budget</w:t>
            </w:r>
          </w:p>
        </w:tc>
      </w:tr>
    </w:tbl>
    <w:p w:rsidR="00B32A2A" w:rsidRPr="00B32A2A" w:rsidRDefault="00B32A2A" w:rsidP="00B32A2A">
      <w:pPr>
        <w:jc w:val="both"/>
        <w:rPr>
          <w:rFonts w:cs="Arial"/>
          <w:noProof/>
        </w:rPr>
      </w:pPr>
    </w:p>
    <w:tbl>
      <w:tblPr>
        <w:tblW w:w="10348" w:type="dxa"/>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10348"/>
      </w:tblGrid>
      <w:tr w:rsidR="00B32A2A" w:rsidRPr="00B32A2A" w:rsidTr="00B32A2A">
        <w:tc>
          <w:tcPr>
            <w:tcW w:w="10348" w:type="dxa"/>
            <w:tcBorders>
              <w:bottom w:val="single" w:sz="6" w:space="0" w:color="215868"/>
            </w:tcBorders>
            <w:shd w:val="clear" w:color="auto" w:fill="006460"/>
          </w:tcPr>
          <w:p w:rsidR="00B32A2A" w:rsidRPr="00B32A2A" w:rsidRDefault="00B32A2A" w:rsidP="00B32A2A">
            <w:pPr>
              <w:pStyle w:val="Heading2"/>
              <w:rPr>
                <w:rFonts w:ascii="Arial" w:hAnsi="Arial" w:cs="Arial"/>
                <w:noProof/>
                <w:color w:val="auto"/>
                <w:sz w:val="22"/>
                <w:szCs w:val="22"/>
              </w:rPr>
            </w:pPr>
            <w:bookmarkStart w:id="88" w:name="_Toc346116653"/>
            <w:bookmarkStart w:id="89" w:name="_Toc381123280"/>
            <w:bookmarkStart w:id="90" w:name="_Toc381566370"/>
            <w:r>
              <w:rPr>
                <w:rFonts w:ascii="Arial" w:hAnsi="Arial"/>
                <w:noProof/>
                <w:color w:val="auto"/>
                <w:sz w:val="22"/>
              </w:rPr>
              <w:t>16. Technical Assistance</w:t>
            </w:r>
            <w:bookmarkEnd w:id="88"/>
            <w:bookmarkEnd w:id="89"/>
            <w:bookmarkEnd w:id="90"/>
          </w:p>
        </w:tc>
      </w:tr>
      <w:tr w:rsidR="00B32A2A" w:rsidRPr="00B32A2A" w:rsidTr="00B32A2A">
        <w:tc>
          <w:tcPr>
            <w:tcW w:w="10348" w:type="dxa"/>
            <w:shd w:val="clear" w:color="auto" w:fill="FFFFFF"/>
          </w:tcPr>
          <w:p w:rsidR="00B32A2A" w:rsidRPr="00B32A2A" w:rsidRDefault="00B32A2A" w:rsidP="00B32A2A">
            <w:pPr>
              <w:spacing w:before="120" w:after="120"/>
              <w:jc w:val="both"/>
              <w:rPr>
                <w:rFonts w:cs="Arial"/>
                <w:i/>
                <w:noProof/>
              </w:rPr>
            </w:pPr>
            <w:r>
              <w:rPr>
                <w:i/>
                <w:noProof/>
              </w:rPr>
              <w:t>This description will outline to GAVI how technical assistance will support implementation of the proposed activities.</w:t>
            </w:r>
          </w:p>
          <w:p w:rsidR="00B32A2A" w:rsidRPr="00B32A2A" w:rsidRDefault="00B32A2A" w:rsidP="00B32A2A">
            <w:pPr>
              <w:pStyle w:val="ListParagraph"/>
              <w:ind w:left="0" w:right="55"/>
              <w:rPr>
                <w:rFonts w:cs="Arial"/>
                <w:i w:val="0"/>
                <w:noProof/>
                <w:color w:val="auto"/>
                <w:sz w:val="22"/>
                <w:szCs w:val="22"/>
              </w:rPr>
            </w:pPr>
            <w:r>
              <w:rPr>
                <w:i w:val="0"/>
                <w:noProof/>
                <w:color w:val="auto"/>
                <w:sz w:val="22"/>
              </w:rPr>
              <w:t>→ Please describe technical assistance (consultancy services) included in the grant activities. Please describe how this technical assistance will improve the way health systems and immunization program function.</w:t>
            </w:r>
          </w:p>
          <w:p w:rsidR="00B32A2A" w:rsidRPr="00B32A2A" w:rsidRDefault="00B32A2A" w:rsidP="00B32A2A">
            <w:pPr>
              <w:spacing w:before="120" w:after="120"/>
              <w:jc w:val="both"/>
              <w:rPr>
                <w:rFonts w:eastAsia="Arial" w:cs="Arial"/>
                <w:i/>
                <w:noProof/>
              </w:rPr>
            </w:pPr>
            <w:r>
              <w:rPr>
                <w:i/>
                <w:noProof/>
              </w:rPr>
              <w:t>→ Please outline how technical assistance will improve institutional capacities of government agencies and CSOs and contribute to sustainability.</w:t>
            </w:r>
          </w:p>
        </w:tc>
      </w:tr>
      <w:tr w:rsidR="00B32A2A" w:rsidRPr="00B32A2A" w:rsidTr="00B32A2A">
        <w:trPr>
          <w:trHeight w:val="278"/>
        </w:trPr>
        <w:tc>
          <w:tcPr>
            <w:tcW w:w="10348" w:type="dxa"/>
            <w:shd w:val="clear" w:color="auto" w:fill="FFFFFF"/>
          </w:tcPr>
          <w:p w:rsidR="00B32A2A" w:rsidRPr="00B32A2A" w:rsidRDefault="00B32A2A" w:rsidP="00B32A2A">
            <w:pPr>
              <w:spacing w:before="120" w:after="120"/>
              <w:jc w:val="both"/>
              <w:rPr>
                <w:rFonts w:cs="Arial"/>
                <w:b/>
                <w:i/>
                <w:noProof/>
              </w:rPr>
            </w:pPr>
            <w:r>
              <w:rPr>
                <w:b/>
                <w:i/>
                <w:noProof/>
              </w:rPr>
              <w:t>ONE PAGE MAXIMUM</w:t>
            </w:r>
          </w:p>
        </w:tc>
      </w:tr>
    </w:tbl>
    <w:p w:rsidR="00B32A2A" w:rsidRPr="00B32A2A" w:rsidRDefault="00B32A2A" w:rsidP="00B32A2A">
      <w:pPr>
        <w:jc w:val="both"/>
        <w:rPr>
          <w:rFonts w:cs="Arial"/>
          <w:noProof/>
        </w:rPr>
      </w:pPr>
    </w:p>
    <w:tbl>
      <w:tblPr>
        <w:tblpPr w:leftFromText="181" w:rightFromText="181" w:vertAnchor="text" w:horzAnchor="margin" w:tblpX="142" w:tblpY="221"/>
        <w:tblW w:w="10206"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CellMar>
          <w:left w:w="142" w:type="dxa"/>
          <w:right w:w="142" w:type="dxa"/>
        </w:tblCellMar>
        <w:tblLook w:val="00A0" w:firstRow="1" w:lastRow="0" w:firstColumn="1" w:lastColumn="0" w:noHBand="0" w:noVBand="0"/>
      </w:tblPr>
      <w:tblGrid>
        <w:gridCol w:w="2552"/>
        <w:gridCol w:w="3118"/>
        <w:gridCol w:w="1843"/>
        <w:gridCol w:w="1276"/>
        <w:gridCol w:w="1417"/>
      </w:tblGrid>
      <w:tr w:rsidR="00B32A2A" w:rsidRPr="00B32A2A" w:rsidTr="00B32A2A">
        <w:trPr>
          <w:trHeight w:val="503"/>
        </w:trPr>
        <w:tc>
          <w:tcPr>
            <w:tcW w:w="2552" w:type="dxa"/>
            <w:shd w:val="clear" w:color="auto" w:fill="B6DDE8"/>
            <w:vAlign w:val="center"/>
          </w:tcPr>
          <w:p w:rsidR="00B32A2A" w:rsidRPr="00B32A2A" w:rsidRDefault="00B32A2A" w:rsidP="00B32A2A">
            <w:pPr>
              <w:spacing w:before="120" w:after="120"/>
              <w:rPr>
                <w:rFonts w:cs="Arial"/>
                <w:noProof/>
              </w:rPr>
            </w:pPr>
            <w:r>
              <w:t xml:space="preserve">Management and/or technical assistance </w:t>
            </w:r>
            <w:r>
              <w:rPr>
                <w:b/>
              </w:rPr>
              <w:t>objective</w:t>
            </w:r>
          </w:p>
        </w:tc>
        <w:tc>
          <w:tcPr>
            <w:tcW w:w="3118" w:type="dxa"/>
            <w:shd w:val="clear" w:color="auto" w:fill="B6DDE8"/>
            <w:vAlign w:val="center"/>
          </w:tcPr>
          <w:p w:rsidR="00B32A2A" w:rsidRPr="00B32A2A" w:rsidRDefault="00B32A2A" w:rsidP="00B32A2A">
            <w:pPr>
              <w:spacing w:before="120" w:after="120"/>
              <w:rPr>
                <w:rFonts w:cs="Arial"/>
                <w:noProof/>
              </w:rPr>
            </w:pPr>
            <w:r>
              <w:t xml:space="preserve">Management and/or technical assistance </w:t>
            </w:r>
            <w:r>
              <w:rPr>
                <w:b/>
              </w:rPr>
              <w:t>activity</w:t>
            </w:r>
          </w:p>
        </w:tc>
        <w:tc>
          <w:tcPr>
            <w:tcW w:w="1843" w:type="dxa"/>
            <w:shd w:val="clear" w:color="auto" w:fill="B6DDE8"/>
            <w:vAlign w:val="center"/>
          </w:tcPr>
          <w:p w:rsidR="00B32A2A" w:rsidRPr="00B32A2A" w:rsidRDefault="00B32A2A" w:rsidP="00B32A2A">
            <w:pPr>
              <w:spacing w:before="120" w:after="120"/>
              <w:rPr>
                <w:rFonts w:cs="Arial"/>
                <w:noProof/>
              </w:rPr>
            </w:pPr>
            <w:r>
              <w:rPr>
                <w:b/>
              </w:rPr>
              <w:t>Intended beneficiary</w:t>
            </w:r>
            <w:r>
              <w:t xml:space="preserve"> of management </w:t>
            </w:r>
            <w:r>
              <w:lastRenderedPageBreak/>
              <w:t>and/or technical assistance</w:t>
            </w:r>
          </w:p>
        </w:tc>
        <w:tc>
          <w:tcPr>
            <w:tcW w:w="1276" w:type="dxa"/>
            <w:shd w:val="clear" w:color="auto" w:fill="B6DDE8"/>
            <w:vAlign w:val="center"/>
          </w:tcPr>
          <w:p w:rsidR="00B32A2A" w:rsidRPr="00B32A2A" w:rsidRDefault="00B32A2A" w:rsidP="00B32A2A">
            <w:pPr>
              <w:spacing w:before="120" w:after="120"/>
              <w:rPr>
                <w:rFonts w:cs="Arial"/>
                <w:noProof/>
              </w:rPr>
            </w:pPr>
            <w:r>
              <w:lastRenderedPageBreak/>
              <w:t>Estimated timeline</w:t>
            </w:r>
          </w:p>
        </w:tc>
        <w:tc>
          <w:tcPr>
            <w:tcW w:w="1417" w:type="dxa"/>
            <w:shd w:val="clear" w:color="auto" w:fill="B6DDE8"/>
            <w:vAlign w:val="center"/>
          </w:tcPr>
          <w:p w:rsidR="00B32A2A" w:rsidRPr="00B32A2A" w:rsidRDefault="00B32A2A" w:rsidP="00B32A2A">
            <w:pPr>
              <w:spacing w:before="120" w:after="120"/>
              <w:rPr>
                <w:rFonts w:cs="Arial"/>
                <w:noProof/>
              </w:rPr>
            </w:pPr>
            <w:r>
              <w:t>Estimated cost</w:t>
            </w:r>
          </w:p>
          <w:p w:rsidR="00B32A2A" w:rsidRPr="00B32A2A" w:rsidRDefault="00B32A2A" w:rsidP="00B32A2A">
            <w:pPr>
              <w:spacing w:before="120" w:after="120"/>
              <w:rPr>
                <w:rFonts w:cs="Arial"/>
                <w:i/>
                <w:noProof/>
              </w:rPr>
            </w:pPr>
            <w:r w:rsidRPr="00B32A2A">
              <w:rPr>
                <w:rFonts w:cs="Arial"/>
                <w:i/>
                <w:noProof/>
              </w:rPr>
              <w:sym w:font="Wingdings" w:char="F0E0"/>
            </w:r>
            <w:r>
              <w:rPr>
                <w:i/>
                <w:noProof/>
              </w:rPr>
              <w:t xml:space="preserve"> same </w:t>
            </w:r>
            <w:r>
              <w:rPr>
                <w:i/>
                <w:noProof/>
              </w:rPr>
              <w:lastRenderedPageBreak/>
              <w:t>currency as for proposal</w:t>
            </w:r>
          </w:p>
        </w:tc>
      </w:tr>
      <w:tr w:rsidR="00B32A2A" w:rsidRPr="00B32A2A" w:rsidTr="00B32A2A">
        <w:trPr>
          <w:trHeight w:val="503"/>
        </w:trPr>
        <w:tc>
          <w:tcPr>
            <w:tcW w:w="2552" w:type="dxa"/>
            <w:vAlign w:val="center"/>
          </w:tcPr>
          <w:p w:rsidR="00B32A2A" w:rsidRPr="00B32A2A" w:rsidRDefault="00B32A2A" w:rsidP="00B32A2A">
            <w:pPr>
              <w:spacing w:before="120" w:after="120"/>
              <w:rPr>
                <w:rFonts w:cs="Arial"/>
                <w:noProof/>
              </w:rPr>
            </w:pPr>
            <w:r>
              <w:lastRenderedPageBreak/>
              <w:t>Support final 2011-2015 HDP evaluation and development of new HDP</w:t>
            </w:r>
          </w:p>
        </w:tc>
        <w:tc>
          <w:tcPr>
            <w:tcW w:w="3118" w:type="dxa"/>
          </w:tcPr>
          <w:p w:rsidR="00B32A2A" w:rsidRPr="00B32A2A" w:rsidRDefault="00B32A2A" w:rsidP="00B32A2A">
            <w:pPr>
              <w:numPr>
                <w:ilvl w:val="0"/>
                <w:numId w:val="30"/>
              </w:numPr>
              <w:spacing w:before="120" w:after="120" w:line="240" w:lineRule="auto"/>
              <w:rPr>
                <w:rFonts w:cs="Arial"/>
                <w:noProof/>
              </w:rPr>
            </w:pPr>
            <w:r>
              <w:t xml:space="preserve">Technical assistance to support the MPH with evaluation methodology and the training of resource persons  </w:t>
            </w:r>
          </w:p>
          <w:p w:rsidR="00B32A2A" w:rsidRPr="00B32A2A" w:rsidRDefault="00B32A2A" w:rsidP="00B32A2A">
            <w:pPr>
              <w:numPr>
                <w:ilvl w:val="0"/>
                <w:numId w:val="30"/>
              </w:numPr>
              <w:spacing w:before="120" w:after="120" w:line="240" w:lineRule="auto"/>
              <w:rPr>
                <w:rFonts w:cs="Arial"/>
                <w:noProof/>
              </w:rPr>
            </w:pPr>
            <w:r>
              <w:t xml:space="preserve">Technical assistance for analyzing the situation, objectives, priority strategies and costing </w:t>
            </w:r>
          </w:p>
        </w:tc>
        <w:tc>
          <w:tcPr>
            <w:tcW w:w="1843" w:type="dxa"/>
          </w:tcPr>
          <w:p w:rsidR="00B32A2A" w:rsidRPr="00B32A2A" w:rsidRDefault="00B32A2A" w:rsidP="00B32A2A">
            <w:pPr>
              <w:spacing w:before="120" w:after="120"/>
              <w:rPr>
                <w:rFonts w:cs="Arial"/>
                <w:noProof/>
              </w:rPr>
            </w:pPr>
            <w:r>
              <w:t>DEP</w:t>
            </w:r>
          </w:p>
        </w:tc>
        <w:tc>
          <w:tcPr>
            <w:tcW w:w="1276" w:type="dxa"/>
          </w:tcPr>
          <w:p w:rsidR="00B32A2A" w:rsidRPr="00B32A2A" w:rsidRDefault="00B32A2A" w:rsidP="00B32A2A">
            <w:pPr>
              <w:spacing w:before="120" w:after="120"/>
              <w:rPr>
                <w:rFonts w:cs="Arial"/>
                <w:noProof/>
              </w:rPr>
            </w:pPr>
            <w:r>
              <w:t>60 days</w:t>
            </w:r>
          </w:p>
        </w:tc>
        <w:tc>
          <w:tcPr>
            <w:tcW w:w="1417" w:type="dxa"/>
            <w:vAlign w:val="center"/>
          </w:tcPr>
          <w:p w:rsidR="00B32A2A" w:rsidRPr="00B32A2A" w:rsidRDefault="00B32A2A" w:rsidP="00B32A2A">
            <w:pPr>
              <w:spacing w:before="120" w:after="120"/>
              <w:rPr>
                <w:rFonts w:cs="Arial"/>
                <w:noProof/>
              </w:rPr>
            </w:pPr>
            <w:r>
              <w:t>US$ 32000</w:t>
            </w:r>
          </w:p>
          <w:p w:rsidR="00B32A2A" w:rsidRPr="00B32A2A" w:rsidRDefault="00B32A2A" w:rsidP="00B32A2A">
            <w:pPr>
              <w:spacing w:before="120" w:after="120"/>
              <w:rPr>
                <w:rFonts w:cs="Arial"/>
                <w:noProof/>
              </w:rPr>
            </w:pPr>
            <w:r>
              <w:t>(WHO,UNICEF,CTB,WB; CF)</w:t>
            </w:r>
          </w:p>
        </w:tc>
      </w:tr>
      <w:tr w:rsidR="00B32A2A" w:rsidRPr="00B32A2A" w:rsidTr="00B32A2A">
        <w:trPr>
          <w:trHeight w:val="503"/>
        </w:trPr>
        <w:tc>
          <w:tcPr>
            <w:tcW w:w="2552" w:type="dxa"/>
            <w:vAlign w:val="center"/>
          </w:tcPr>
          <w:p w:rsidR="00B32A2A" w:rsidRPr="00B32A2A" w:rsidRDefault="00B32A2A" w:rsidP="00B32A2A">
            <w:pPr>
              <w:spacing w:before="120" w:after="120"/>
              <w:rPr>
                <w:rFonts w:cs="Arial"/>
                <w:noProof/>
              </w:rPr>
            </w:pPr>
            <w:r>
              <w:t>Strengthen worker skills (DEP, EPI, HD, DSRE, DOS, DN, DSME) on SARA and JANS</w:t>
            </w:r>
          </w:p>
        </w:tc>
        <w:tc>
          <w:tcPr>
            <w:tcW w:w="3118" w:type="dxa"/>
          </w:tcPr>
          <w:p w:rsidR="00B32A2A" w:rsidRPr="00B32A2A" w:rsidRDefault="00B32A2A" w:rsidP="00B32A2A">
            <w:pPr>
              <w:numPr>
                <w:ilvl w:val="0"/>
                <w:numId w:val="30"/>
              </w:numPr>
              <w:spacing w:before="120" w:after="120" w:line="240" w:lineRule="auto"/>
              <w:rPr>
                <w:rFonts w:cs="Arial"/>
                <w:noProof/>
              </w:rPr>
            </w:pPr>
            <w:r>
              <w:t xml:space="preserve">Training specific to the JANS tool </w:t>
            </w:r>
          </w:p>
          <w:p w:rsidR="00B32A2A" w:rsidRPr="00B32A2A" w:rsidRDefault="00B32A2A" w:rsidP="00B32A2A">
            <w:pPr>
              <w:numPr>
                <w:ilvl w:val="0"/>
                <w:numId w:val="30"/>
              </w:numPr>
              <w:spacing w:before="120" w:after="120" w:line="240" w:lineRule="auto"/>
              <w:rPr>
                <w:rFonts w:cs="Arial"/>
                <w:noProof/>
              </w:rPr>
            </w:pPr>
            <w:r>
              <w:t>Technical support for the implementation of SARA request and data analysis</w:t>
            </w:r>
          </w:p>
          <w:p w:rsidR="00B32A2A" w:rsidRPr="00B32A2A" w:rsidRDefault="00B32A2A" w:rsidP="00B32A2A">
            <w:pPr>
              <w:spacing w:before="120" w:after="120"/>
              <w:ind w:left="360"/>
              <w:rPr>
                <w:rFonts w:cs="Arial"/>
                <w:noProof/>
              </w:rPr>
            </w:pPr>
          </w:p>
        </w:tc>
        <w:tc>
          <w:tcPr>
            <w:tcW w:w="1843" w:type="dxa"/>
          </w:tcPr>
          <w:p w:rsidR="00B32A2A" w:rsidRPr="00B32A2A" w:rsidRDefault="00B32A2A" w:rsidP="00B32A2A">
            <w:pPr>
              <w:spacing w:before="120" w:after="120"/>
              <w:rPr>
                <w:rFonts w:cs="Arial"/>
                <w:noProof/>
              </w:rPr>
            </w:pPr>
            <w:r>
              <w:t>DEP</w:t>
            </w:r>
          </w:p>
        </w:tc>
        <w:tc>
          <w:tcPr>
            <w:tcW w:w="1276" w:type="dxa"/>
          </w:tcPr>
          <w:p w:rsidR="00B32A2A" w:rsidRPr="00B32A2A" w:rsidRDefault="00B32A2A" w:rsidP="00B32A2A">
            <w:pPr>
              <w:spacing w:before="120" w:after="120"/>
              <w:rPr>
                <w:rFonts w:cs="Arial"/>
                <w:noProof/>
              </w:rPr>
            </w:pPr>
            <w:r>
              <w:t>30 days</w:t>
            </w:r>
          </w:p>
        </w:tc>
        <w:tc>
          <w:tcPr>
            <w:tcW w:w="1417" w:type="dxa"/>
            <w:vAlign w:val="center"/>
          </w:tcPr>
          <w:p w:rsidR="00B32A2A" w:rsidRPr="00B32A2A" w:rsidRDefault="00B32A2A" w:rsidP="00B32A2A">
            <w:pPr>
              <w:spacing w:before="120" w:after="120"/>
              <w:rPr>
                <w:rFonts w:cs="Arial"/>
                <w:noProof/>
              </w:rPr>
            </w:pPr>
            <w:r>
              <w:t>US$ 16600</w:t>
            </w:r>
          </w:p>
          <w:p w:rsidR="00B32A2A" w:rsidRPr="00B32A2A" w:rsidRDefault="00B32A2A" w:rsidP="00B32A2A">
            <w:pPr>
              <w:spacing w:before="120" w:after="120"/>
              <w:rPr>
                <w:rFonts w:cs="Arial"/>
                <w:noProof/>
              </w:rPr>
            </w:pPr>
            <w:r>
              <w:t>(WHO, COIA, IHP+, Luxembourg)</w:t>
            </w:r>
          </w:p>
        </w:tc>
      </w:tr>
      <w:tr w:rsidR="00B32A2A" w:rsidRPr="00B32A2A" w:rsidTr="00B32A2A">
        <w:trPr>
          <w:trHeight w:val="985"/>
        </w:trPr>
        <w:tc>
          <w:tcPr>
            <w:tcW w:w="2552" w:type="dxa"/>
            <w:vAlign w:val="center"/>
          </w:tcPr>
          <w:p w:rsidR="00B32A2A" w:rsidRPr="00B32A2A" w:rsidRDefault="00B32A2A" w:rsidP="00B32A2A">
            <w:pPr>
              <w:spacing w:before="120" w:after="120"/>
              <w:rPr>
                <w:rFonts w:cs="Arial"/>
                <w:noProof/>
              </w:rPr>
            </w:pPr>
            <w:r>
              <w:t>Support the recruitment of financial auditing firms</w:t>
            </w:r>
          </w:p>
        </w:tc>
        <w:tc>
          <w:tcPr>
            <w:tcW w:w="3118" w:type="dxa"/>
          </w:tcPr>
          <w:p w:rsidR="00B32A2A" w:rsidRPr="00B32A2A" w:rsidRDefault="00B32A2A" w:rsidP="00B32A2A">
            <w:pPr>
              <w:numPr>
                <w:ilvl w:val="0"/>
                <w:numId w:val="30"/>
              </w:numPr>
              <w:spacing w:before="120" w:after="120" w:line="240" w:lineRule="auto"/>
              <w:rPr>
                <w:rFonts w:cs="Arial"/>
                <w:noProof/>
              </w:rPr>
            </w:pPr>
            <w:r>
              <w:t>Support for implementation of external financial and accounting audits for the Common Funds accounts</w:t>
            </w:r>
          </w:p>
          <w:p w:rsidR="00B32A2A" w:rsidRPr="00B32A2A" w:rsidRDefault="00B32A2A" w:rsidP="00B32A2A">
            <w:pPr>
              <w:spacing w:before="120" w:after="120"/>
              <w:ind w:left="360"/>
              <w:rPr>
                <w:rFonts w:cs="Arial"/>
                <w:noProof/>
              </w:rPr>
            </w:pPr>
          </w:p>
        </w:tc>
        <w:tc>
          <w:tcPr>
            <w:tcW w:w="1843" w:type="dxa"/>
          </w:tcPr>
          <w:p w:rsidR="00B32A2A" w:rsidRPr="00B32A2A" w:rsidRDefault="00B32A2A" w:rsidP="00B32A2A">
            <w:pPr>
              <w:spacing w:before="120" w:after="120"/>
              <w:rPr>
                <w:rFonts w:cs="Arial"/>
                <w:noProof/>
              </w:rPr>
            </w:pPr>
            <w:r>
              <w:t>SG</w:t>
            </w:r>
          </w:p>
        </w:tc>
        <w:tc>
          <w:tcPr>
            <w:tcW w:w="1276" w:type="dxa"/>
          </w:tcPr>
          <w:p w:rsidR="00B32A2A" w:rsidRPr="00B32A2A" w:rsidRDefault="00B32A2A" w:rsidP="00B32A2A">
            <w:pPr>
              <w:spacing w:before="120" w:after="120"/>
              <w:rPr>
                <w:rFonts w:cs="Arial"/>
                <w:noProof/>
              </w:rPr>
            </w:pPr>
            <w:r>
              <w:t>21 days per year</w:t>
            </w:r>
          </w:p>
        </w:tc>
        <w:tc>
          <w:tcPr>
            <w:tcW w:w="1417" w:type="dxa"/>
            <w:vAlign w:val="center"/>
          </w:tcPr>
          <w:p w:rsidR="00B32A2A" w:rsidRPr="00B32A2A" w:rsidRDefault="00B32A2A" w:rsidP="00B32A2A">
            <w:pPr>
              <w:spacing w:before="120" w:after="120"/>
              <w:rPr>
                <w:rFonts w:cs="Arial"/>
                <w:noProof/>
              </w:rPr>
            </w:pPr>
            <w:r>
              <w:t>US$ 88890</w:t>
            </w:r>
          </w:p>
          <w:p w:rsidR="00B32A2A" w:rsidRPr="00B32A2A" w:rsidRDefault="00B32A2A" w:rsidP="00B32A2A">
            <w:pPr>
              <w:spacing w:before="120" w:after="120"/>
              <w:rPr>
                <w:rFonts w:cs="Arial"/>
                <w:noProof/>
              </w:rPr>
            </w:pPr>
            <w:r>
              <w:t>(GAVI-HSS)</w:t>
            </w:r>
          </w:p>
        </w:tc>
      </w:tr>
      <w:tr w:rsidR="00B32A2A" w:rsidRPr="00B32A2A" w:rsidTr="00B32A2A">
        <w:trPr>
          <w:trHeight w:val="985"/>
        </w:trPr>
        <w:tc>
          <w:tcPr>
            <w:tcW w:w="2552" w:type="dxa"/>
            <w:vAlign w:val="center"/>
          </w:tcPr>
          <w:p w:rsidR="00B32A2A" w:rsidRPr="00B32A2A" w:rsidRDefault="00B32A2A" w:rsidP="00B32A2A">
            <w:pPr>
              <w:spacing w:before="120" w:after="120"/>
              <w:rPr>
                <w:rFonts w:cs="Arial"/>
                <w:noProof/>
              </w:rPr>
            </w:pPr>
            <w:r>
              <w:t>Support for implementation of DHIS2</w:t>
            </w:r>
          </w:p>
        </w:tc>
        <w:tc>
          <w:tcPr>
            <w:tcW w:w="3118" w:type="dxa"/>
          </w:tcPr>
          <w:p w:rsidR="00B32A2A" w:rsidRPr="00B32A2A" w:rsidRDefault="00B32A2A" w:rsidP="00B32A2A">
            <w:pPr>
              <w:numPr>
                <w:ilvl w:val="0"/>
                <w:numId w:val="30"/>
              </w:numPr>
              <w:spacing w:before="120" w:after="120" w:line="240" w:lineRule="auto"/>
              <w:rPr>
                <w:rFonts w:cs="Arial"/>
                <w:noProof/>
              </w:rPr>
            </w:pPr>
            <w:r>
              <w:t>Support for DHIS2 development and training administrators</w:t>
            </w:r>
          </w:p>
        </w:tc>
        <w:tc>
          <w:tcPr>
            <w:tcW w:w="1843" w:type="dxa"/>
          </w:tcPr>
          <w:p w:rsidR="00B32A2A" w:rsidRPr="00B32A2A" w:rsidRDefault="00B32A2A" w:rsidP="00B32A2A">
            <w:pPr>
              <w:spacing w:before="120" w:after="120"/>
              <w:rPr>
                <w:rFonts w:cs="Arial"/>
                <w:noProof/>
              </w:rPr>
            </w:pPr>
            <w:r>
              <w:t>HD</w:t>
            </w:r>
          </w:p>
        </w:tc>
        <w:tc>
          <w:tcPr>
            <w:tcW w:w="1276" w:type="dxa"/>
          </w:tcPr>
          <w:p w:rsidR="00B32A2A" w:rsidRPr="00B32A2A" w:rsidRDefault="00B32A2A" w:rsidP="00B32A2A">
            <w:pPr>
              <w:spacing w:before="120" w:after="120"/>
              <w:rPr>
                <w:rFonts w:cs="Arial"/>
                <w:noProof/>
              </w:rPr>
            </w:pPr>
            <w:r>
              <w:t>30 days</w:t>
            </w:r>
          </w:p>
        </w:tc>
        <w:tc>
          <w:tcPr>
            <w:tcW w:w="1417" w:type="dxa"/>
            <w:vAlign w:val="center"/>
          </w:tcPr>
          <w:p w:rsidR="00B32A2A" w:rsidRPr="00B32A2A" w:rsidRDefault="00B32A2A" w:rsidP="00B32A2A">
            <w:pPr>
              <w:spacing w:before="120" w:after="120"/>
              <w:rPr>
                <w:rFonts w:cs="Arial"/>
                <w:noProof/>
              </w:rPr>
            </w:pPr>
            <w:r>
              <w:t>US$ 16600</w:t>
            </w:r>
          </w:p>
          <w:p w:rsidR="00B32A2A" w:rsidRPr="00B32A2A" w:rsidRDefault="00B32A2A" w:rsidP="00B32A2A">
            <w:pPr>
              <w:spacing w:before="120" w:after="120"/>
              <w:rPr>
                <w:rFonts w:cs="Arial"/>
                <w:noProof/>
              </w:rPr>
            </w:pPr>
            <w:r>
              <w:t>UNICEF, UNFPA, Luxembourg)</w:t>
            </w:r>
          </w:p>
        </w:tc>
      </w:tr>
      <w:tr w:rsidR="00B32A2A" w:rsidRPr="00B32A2A" w:rsidTr="00B32A2A">
        <w:trPr>
          <w:trHeight w:val="985"/>
        </w:trPr>
        <w:tc>
          <w:tcPr>
            <w:tcW w:w="2552" w:type="dxa"/>
            <w:vAlign w:val="center"/>
          </w:tcPr>
          <w:p w:rsidR="00B32A2A" w:rsidRPr="00B32A2A" w:rsidRDefault="00B32A2A" w:rsidP="00B32A2A">
            <w:pPr>
              <w:spacing w:before="120" w:after="120"/>
              <w:rPr>
                <w:rFonts w:cs="Arial"/>
                <w:noProof/>
              </w:rPr>
            </w:pPr>
            <w:r>
              <w:t>Support draft of integrated 2016 - 2020 communication plan</w:t>
            </w:r>
          </w:p>
        </w:tc>
        <w:tc>
          <w:tcPr>
            <w:tcW w:w="3118" w:type="dxa"/>
          </w:tcPr>
          <w:p w:rsidR="00B32A2A" w:rsidRPr="00B32A2A" w:rsidRDefault="00B32A2A" w:rsidP="00B32A2A">
            <w:pPr>
              <w:numPr>
                <w:ilvl w:val="0"/>
                <w:numId w:val="30"/>
              </w:numPr>
              <w:spacing w:before="120" w:after="120" w:line="240" w:lineRule="auto"/>
              <w:rPr>
                <w:rFonts w:cs="Arial"/>
                <w:noProof/>
              </w:rPr>
            </w:pPr>
            <w:r>
              <w:t xml:space="preserve">Specific technical expertise </w:t>
            </w:r>
          </w:p>
          <w:p w:rsidR="00B32A2A" w:rsidRPr="00B32A2A" w:rsidRDefault="00B32A2A" w:rsidP="00B32A2A">
            <w:pPr>
              <w:spacing w:before="120" w:after="120" w:line="240" w:lineRule="auto"/>
              <w:ind w:left="360"/>
              <w:rPr>
                <w:rFonts w:cs="Arial"/>
                <w:noProof/>
              </w:rPr>
            </w:pPr>
          </w:p>
        </w:tc>
        <w:tc>
          <w:tcPr>
            <w:tcW w:w="1843" w:type="dxa"/>
          </w:tcPr>
          <w:p w:rsidR="00B32A2A" w:rsidRPr="00B32A2A" w:rsidRDefault="00B32A2A" w:rsidP="00B32A2A">
            <w:pPr>
              <w:spacing w:before="120" w:after="120"/>
              <w:rPr>
                <w:rFonts w:cs="Arial"/>
                <w:noProof/>
              </w:rPr>
            </w:pPr>
            <w:r>
              <w:t>ID</w:t>
            </w:r>
          </w:p>
        </w:tc>
        <w:tc>
          <w:tcPr>
            <w:tcW w:w="1276" w:type="dxa"/>
          </w:tcPr>
          <w:p w:rsidR="00B32A2A" w:rsidRPr="00B32A2A" w:rsidRDefault="00B32A2A" w:rsidP="00B32A2A">
            <w:pPr>
              <w:spacing w:before="120" w:after="120"/>
              <w:rPr>
                <w:rFonts w:cs="Arial"/>
                <w:noProof/>
              </w:rPr>
            </w:pPr>
            <w:r>
              <w:t>15 days</w:t>
            </w:r>
          </w:p>
        </w:tc>
        <w:tc>
          <w:tcPr>
            <w:tcW w:w="1417" w:type="dxa"/>
            <w:vAlign w:val="center"/>
          </w:tcPr>
          <w:p w:rsidR="00B32A2A" w:rsidRPr="00B32A2A" w:rsidRDefault="00B32A2A" w:rsidP="00B32A2A">
            <w:pPr>
              <w:spacing w:before="120" w:after="120"/>
              <w:rPr>
                <w:rFonts w:cs="Arial"/>
                <w:noProof/>
              </w:rPr>
            </w:pPr>
            <w:r>
              <w:t>US$ 7800</w:t>
            </w:r>
          </w:p>
          <w:p w:rsidR="00B32A2A" w:rsidRPr="00B32A2A" w:rsidRDefault="00B32A2A" w:rsidP="00B32A2A">
            <w:pPr>
              <w:spacing w:before="120" w:after="120"/>
              <w:rPr>
                <w:rFonts w:cs="Arial"/>
                <w:noProof/>
              </w:rPr>
            </w:pPr>
            <w:r>
              <w:t>UNICEF</w:t>
            </w:r>
          </w:p>
          <w:p w:rsidR="00B32A2A" w:rsidRPr="00B32A2A" w:rsidRDefault="00B32A2A" w:rsidP="00B32A2A">
            <w:pPr>
              <w:spacing w:before="120" w:after="120"/>
              <w:rPr>
                <w:rFonts w:cs="Arial"/>
                <w:noProof/>
              </w:rPr>
            </w:pPr>
          </w:p>
          <w:p w:rsidR="00B32A2A" w:rsidRPr="00B32A2A" w:rsidRDefault="00B32A2A" w:rsidP="00B32A2A">
            <w:pPr>
              <w:spacing w:before="120" w:after="120"/>
              <w:rPr>
                <w:rFonts w:cs="Arial"/>
                <w:noProof/>
              </w:rPr>
            </w:pPr>
          </w:p>
        </w:tc>
      </w:tr>
    </w:tbl>
    <w:p w:rsidR="00B32A2A" w:rsidRPr="00B32A2A" w:rsidRDefault="00B32A2A" w:rsidP="00B32A2A">
      <w:pPr>
        <w:jc w:val="both"/>
        <w:rPr>
          <w:rFonts w:cs="Arial"/>
          <w:noProof/>
        </w:rPr>
        <w:sectPr w:rsidR="00B32A2A" w:rsidRPr="00B32A2A" w:rsidSect="00AB7BCC">
          <w:pgSz w:w="11907" w:h="16839" w:code="9"/>
          <w:pgMar w:top="993" w:right="851" w:bottom="993" w:left="851" w:header="709" w:footer="709" w:gutter="0"/>
          <w:cols w:space="708"/>
          <w:docGrid w:linePitch="360"/>
        </w:sectPr>
      </w:pPr>
    </w:p>
    <w:tbl>
      <w:tblPr>
        <w:tblW w:w="11058" w:type="dxa"/>
        <w:tblInd w:w="-31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4254"/>
        <w:gridCol w:w="1701"/>
        <w:gridCol w:w="142"/>
        <w:gridCol w:w="850"/>
        <w:gridCol w:w="142"/>
        <w:gridCol w:w="3969"/>
      </w:tblGrid>
      <w:tr w:rsidR="00B32A2A" w:rsidRPr="00B32A2A" w:rsidTr="00B32A2A">
        <w:trPr>
          <w:trHeight w:val="396"/>
        </w:trPr>
        <w:tc>
          <w:tcPr>
            <w:tcW w:w="11058" w:type="dxa"/>
            <w:gridSpan w:val="6"/>
            <w:tcBorders>
              <w:bottom w:val="single" w:sz="6" w:space="0" w:color="215868"/>
            </w:tcBorders>
            <w:shd w:val="clear" w:color="auto" w:fill="006460"/>
          </w:tcPr>
          <w:p w:rsidR="00B32A2A" w:rsidRPr="00B32A2A" w:rsidRDefault="00B32A2A" w:rsidP="00B32A2A">
            <w:pPr>
              <w:pStyle w:val="Heading2"/>
              <w:rPr>
                <w:rFonts w:ascii="Arial" w:hAnsi="Arial" w:cs="Arial"/>
                <w:noProof/>
                <w:color w:val="auto"/>
                <w:sz w:val="22"/>
                <w:szCs w:val="22"/>
              </w:rPr>
            </w:pPr>
            <w:bookmarkStart w:id="91" w:name="_Toc346116654"/>
            <w:bookmarkStart w:id="92" w:name="_Toc381123281"/>
            <w:bookmarkStart w:id="93" w:name="_Toc381566371"/>
            <w:r>
              <w:rPr>
                <w:rFonts w:ascii="Arial" w:hAnsi="Arial"/>
                <w:noProof/>
                <w:color w:val="auto"/>
                <w:sz w:val="22"/>
              </w:rPr>
              <w:lastRenderedPageBreak/>
              <w:t>17. Risks and Mitigating Factors</w:t>
            </w:r>
            <w:bookmarkEnd w:id="91"/>
            <w:bookmarkEnd w:id="92"/>
            <w:bookmarkEnd w:id="93"/>
          </w:p>
        </w:tc>
      </w:tr>
      <w:tr w:rsidR="00B32A2A" w:rsidRPr="00B32A2A" w:rsidTr="00B32A2A">
        <w:trPr>
          <w:trHeight w:val="396"/>
        </w:trPr>
        <w:tc>
          <w:tcPr>
            <w:tcW w:w="11058" w:type="dxa"/>
            <w:gridSpan w:val="6"/>
            <w:shd w:val="clear" w:color="auto" w:fill="99CCCC"/>
          </w:tcPr>
          <w:p w:rsidR="00B32A2A" w:rsidRPr="00B32A2A" w:rsidRDefault="00B32A2A" w:rsidP="00B32A2A">
            <w:pPr>
              <w:spacing w:before="120" w:after="120"/>
              <w:jc w:val="both"/>
              <w:rPr>
                <w:rFonts w:cs="Arial"/>
                <w:i/>
                <w:noProof/>
              </w:rPr>
            </w:pPr>
            <w:r>
              <w:rPr>
                <w:i/>
                <w:noProof/>
              </w:rPr>
              <w:t>This information reflects the risk of a country not being able to implement the proposed activities within this grant proposal and spend the funds as approved by GAVI. In principal, it is the main implementing entity that will be responsible for evaluating risks and for taking measures to ensure that risk mitigating factors are truly applied.</w:t>
            </w:r>
          </w:p>
          <w:p w:rsidR="00B32A2A" w:rsidRPr="00B32A2A" w:rsidRDefault="00B32A2A" w:rsidP="00B32A2A">
            <w:pPr>
              <w:spacing w:before="120" w:after="120"/>
              <w:jc w:val="both"/>
              <w:rPr>
                <w:rFonts w:cs="Arial"/>
                <w:i/>
                <w:noProof/>
              </w:rPr>
            </w:pPr>
            <w:r>
              <w:rPr>
                <w:i/>
                <w:noProof/>
              </w:rPr>
              <w:t xml:space="preserve">→ Please complete the table below for each of the proposed objectives. Please refer to the Guidelines for Completing the HSS Application for a description of the various types of risk. If the risk is categorized as ‘high’, please provide an explanation as to why it is ‘high’. </w:t>
            </w:r>
          </w:p>
        </w:tc>
      </w:tr>
      <w:tr w:rsidR="00B32A2A" w:rsidRPr="00B32A2A" w:rsidTr="00B32A2A">
        <w:trPr>
          <w:trHeight w:val="996"/>
        </w:trPr>
        <w:tc>
          <w:tcPr>
            <w:tcW w:w="4254" w:type="dxa"/>
            <w:shd w:val="clear" w:color="auto" w:fill="FFFFFF"/>
          </w:tcPr>
          <w:p w:rsidR="00B32A2A" w:rsidRPr="00B32A2A" w:rsidRDefault="00B32A2A" w:rsidP="00B32A2A">
            <w:pPr>
              <w:spacing w:before="120" w:after="120"/>
              <w:jc w:val="both"/>
              <w:rPr>
                <w:rFonts w:cs="Arial"/>
                <w:b/>
                <w:noProof/>
                <w:sz w:val="20"/>
                <w:szCs w:val="20"/>
              </w:rPr>
            </w:pPr>
            <w:r>
              <w:rPr>
                <w:b/>
                <w:noProof/>
                <w:sz w:val="20"/>
              </w:rPr>
              <w:t>Description of risk</w:t>
            </w:r>
          </w:p>
          <w:p w:rsidR="00B32A2A" w:rsidRPr="00B32A2A" w:rsidRDefault="00B32A2A" w:rsidP="00B32A2A">
            <w:pPr>
              <w:spacing w:before="120" w:after="120"/>
              <w:jc w:val="both"/>
              <w:rPr>
                <w:rFonts w:cs="Arial"/>
                <w:b/>
                <w:i/>
                <w:noProof/>
                <w:sz w:val="20"/>
                <w:szCs w:val="20"/>
              </w:rPr>
            </w:pPr>
          </w:p>
        </w:tc>
        <w:tc>
          <w:tcPr>
            <w:tcW w:w="1701" w:type="dxa"/>
            <w:shd w:val="clear" w:color="auto" w:fill="FFFFFF"/>
          </w:tcPr>
          <w:p w:rsidR="00B32A2A" w:rsidRPr="00B32A2A" w:rsidRDefault="00B32A2A" w:rsidP="00B32A2A">
            <w:pPr>
              <w:spacing w:before="120" w:after="120"/>
              <w:jc w:val="both"/>
              <w:rPr>
                <w:rFonts w:cs="Arial"/>
                <w:b/>
                <w:i/>
                <w:noProof/>
                <w:sz w:val="20"/>
                <w:szCs w:val="20"/>
              </w:rPr>
            </w:pPr>
            <w:r>
              <w:rPr>
                <w:b/>
                <w:i/>
                <w:noProof/>
                <w:sz w:val="20"/>
              </w:rPr>
              <w:t>PROBABILITY</w:t>
            </w:r>
          </w:p>
          <w:p w:rsidR="00B32A2A" w:rsidRPr="00B32A2A" w:rsidRDefault="00B32A2A" w:rsidP="00B32A2A">
            <w:pPr>
              <w:spacing w:before="120" w:after="120"/>
              <w:jc w:val="both"/>
              <w:rPr>
                <w:rFonts w:cs="Arial"/>
                <w:b/>
                <w:i/>
                <w:noProof/>
                <w:sz w:val="20"/>
                <w:szCs w:val="20"/>
              </w:rPr>
            </w:pPr>
            <w:r>
              <w:rPr>
                <w:b/>
                <w:i/>
                <w:noProof/>
                <w:sz w:val="20"/>
              </w:rPr>
              <w:t>(high, medium, low)</w:t>
            </w:r>
          </w:p>
        </w:tc>
        <w:tc>
          <w:tcPr>
            <w:tcW w:w="992" w:type="dxa"/>
            <w:gridSpan w:val="2"/>
            <w:shd w:val="clear" w:color="auto" w:fill="FFFFFF"/>
          </w:tcPr>
          <w:p w:rsidR="00B32A2A" w:rsidRPr="00B32A2A" w:rsidRDefault="00B32A2A" w:rsidP="00B32A2A">
            <w:pPr>
              <w:spacing w:before="120" w:after="120"/>
              <w:jc w:val="both"/>
              <w:rPr>
                <w:rFonts w:cs="Arial"/>
                <w:b/>
                <w:i/>
                <w:noProof/>
                <w:sz w:val="20"/>
                <w:szCs w:val="20"/>
              </w:rPr>
            </w:pPr>
            <w:r>
              <w:rPr>
                <w:b/>
                <w:i/>
                <w:noProof/>
                <w:sz w:val="20"/>
              </w:rPr>
              <w:t>IMPACT</w:t>
            </w:r>
          </w:p>
          <w:p w:rsidR="00B32A2A" w:rsidRPr="00B32A2A" w:rsidRDefault="00B32A2A" w:rsidP="00B32A2A">
            <w:pPr>
              <w:spacing w:before="120" w:after="120"/>
              <w:jc w:val="both"/>
              <w:rPr>
                <w:rFonts w:cs="Arial"/>
                <w:b/>
                <w:i/>
                <w:noProof/>
                <w:sz w:val="20"/>
                <w:szCs w:val="20"/>
              </w:rPr>
            </w:pPr>
            <w:r>
              <w:rPr>
                <w:b/>
                <w:i/>
                <w:noProof/>
                <w:sz w:val="20"/>
              </w:rPr>
              <w:t>(high, medium, low)</w:t>
            </w:r>
          </w:p>
        </w:tc>
        <w:tc>
          <w:tcPr>
            <w:tcW w:w="4111" w:type="dxa"/>
            <w:gridSpan w:val="2"/>
            <w:shd w:val="clear" w:color="auto" w:fill="FFFFFF"/>
          </w:tcPr>
          <w:p w:rsidR="00B32A2A" w:rsidRPr="00B32A2A" w:rsidRDefault="00B32A2A" w:rsidP="00B32A2A">
            <w:pPr>
              <w:spacing w:before="120" w:after="120"/>
              <w:jc w:val="both"/>
              <w:rPr>
                <w:rFonts w:cs="Arial"/>
                <w:b/>
                <w:i/>
                <w:noProof/>
                <w:sz w:val="20"/>
                <w:szCs w:val="20"/>
              </w:rPr>
            </w:pPr>
            <w:r>
              <w:rPr>
                <w:b/>
                <w:i/>
                <w:noProof/>
                <w:sz w:val="20"/>
              </w:rPr>
              <w:t>Mitigation Measures</w:t>
            </w:r>
          </w:p>
        </w:tc>
      </w:tr>
      <w:tr w:rsidR="00B32A2A" w:rsidRPr="00B32A2A" w:rsidTr="00B32A2A">
        <w:trPr>
          <w:trHeight w:val="815"/>
        </w:trPr>
        <w:tc>
          <w:tcPr>
            <w:tcW w:w="11058" w:type="dxa"/>
            <w:gridSpan w:val="6"/>
            <w:shd w:val="clear" w:color="auto" w:fill="FFFFFF"/>
          </w:tcPr>
          <w:p w:rsidR="00B32A2A" w:rsidRPr="00B32A2A" w:rsidRDefault="00B32A2A" w:rsidP="00B32A2A">
            <w:pPr>
              <w:spacing w:before="120" w:after="120"/>
              <w:rPr>
                <w:rFonts w:cs="Arial"/>
                <w:b/>
                <w:i/>
                <w:noProof/>
              </w:rPr>
            </w:pPr>
            <w:r>
              <w:rPr>
                <w:b/>
                <w:i/>
                <w:noProof/>
              </w:rPr>
              <w:t xml:space="preserve">Objective 1: </w:t>
            </w:r>
            <w:r>
              <w:rPr>
                <w:b/>
                <w:noProof/>
              </w:rPr>
              <w:t>Improve accessibility to health services including quality immunization services, specifically within the 21 high-priority health districts</w:t>
            </w:r>
          </w:p>
        </w:tc>
      </w:tr>
      <w:tr w:rsidR="00B32A2A" w:rsidRPr="00B32A2A" w:rsidTr="00B32A2A">
        <w:trPr>
          <w:trHeight w:val="472"/>
        </w:trPr>
        <w:tc>
          <w:tcPr>
            <w:tcW w:w="4254" w:type="dxa"/>
            <w:shd w:val="clear" w:color="auto" w:fill="FFFFFF"/>
          </w:tcPr>
          <w:p w:rsidR="00B32A2A" w:rsidRPr="00B32A2A" w:rsidRDefault="00B32A2A" w:rsidP="00B32A2A">
            <w:pPr>
              <w:jc w:val="both"/>
              <w:rPr>
                <w:rFonts w:cs="Arial"/>
                <w:i/>
                <w:noProof/>
              </w:rPr>
            </w:pPr>
            <w:r>
              <w:rPr>
                <w:i/>
                <w:noProof/>
              </w:rPr>
              <w:t>Fiduciary Risks:</w:t>
            </w:r>
          </w:p>
          <w:p w:rsidR="00B32A2A" w:rsidRPr="00B32A2A" w:rsidRDefault="00B32A2A" w:rsidP="00B32A2A">
            <w:pPr>
              <w:rPr>
                <w:rFonts w:cs="Arial"/>
                <w:noProof/>
              </w:rPr>
            </w:pPr>
            <w:r>
              <w:t>- Fraud and corruption may negatively influence the proposal's implementation (internal)</w:t>
            </w:r>
          </w:p>
          <w:p w:rsidR="00B32A2A" w:rsidRPr="00B32A2A" w:rsidRDefault="00B32A2A" w:rsidP="00B32A2A">
            <w:pPr>
              <w:rPr>
                <w:rFonts w:cs="Arial"/>
                <w:noProof/>
              </w:rPr>
            </w:pPr>
          </w:p>
          <w:p w:rsidR="00B32A2A" w:rsidRPr="00B32A2A" w:rsidRDefault="00B32A2A" w:rsidP="00B32A2A">
            <w:pPr>
              <w:rPr>
                <w:rFonts w:cs="Arial"/>
                <w:noProof/>
              </w:rPr>
            </w:pPr>
          </w:p>
          <w:p w:rsidR="00B32A2A" w:rsidRPr="00B32A2A" w:rsidRDefault="00B32A2A" w:rsidP="00B32A2A">
            <w:pPr>
              <w:rPr>
                <w:rFonts w:cs="Arial"/>
                <w:noProof/>
              </w:rPr>
            </w:pPr>
          </w:p>
          <w:p w:rsidR="00B32A2A" w:rsidRPr="00B32A2A" w:rsidRDefault="00B32A2A" w:rsidP="00B32A2A">
            <w:pPr>
              <w:rPr>
                <w:rFonts w:cs="Arial"/>
                <w:noProof/>
              </w:rPr>
            </w:pPr>
          </w:p>
          <w:p w:rsidR="00B32A2A" w:rsidRPr="00B32A2A" w:rsidRDefault="00B32A2A" w:rsidP="00B32A2A">
            <w:pPr>
              <w:rPr>
                <w:rFonts w:cs="Arial"/>
                <w:noProof/>
              </w:rPr>
            </w:pPr>
            <w:r>
              <w:t xml:space="preserve">- Risk of low/slow release of funds for the request </w:t>
            </w:r>
          </w:p>
        </w:tc>
        <w:tc>
          <w:tcPr>
            <w:tcW w:w="1701" w:type="dxa"/>
            <w:shd w:val="clear" w:color="auto" w:fill="FFFFFF"/>
          </w:tcPr>
          <w:p w:rsidR="00B32A2A" w:rsidRPr="00B32A2A" w:rsidRDefault="00B32A2A" w:rsidP="00B32A2A">
            <w:pPr>
              <w:jc w:val="both"/>
              <w:rPr>
                <w:rFonts w:cs="Arial"/>
                <w:b/>
                <w:i/>
                <w:noProof/>
              </w:rPr>
            </w:pPr>
            <w:r>
              <w:rPr>
                <w:b/>
                <w:i/>
                <w:noProof/>
              </w:rPr>
              <w:t>Weak</w:t>
            </w:r>
          </w:p>
        </w:tc>
        <w:tc>
          <w:tcPr>
            <w:tcW w:w="992" w:type="dxa"/>
            <w:gridSpan w:val="2"/>
            <w:shd w:val="clear" w:color="auto" w:fill="FFFFFF"/>
          </w:tcPr>
          <w:p w:rsidR="00B32A2A" w:rsidRPr="00B32A2A" w:rsidRDefault="00B32A2A" w:rsidP="00B32A2A">
            <w:pPr>
              <w:jc w:val="both"/>
              <w:rPr>
                <w:rFonts w:cs="Arial"/>
                <w:b/>
                <w:i/>
                <w:noProof/>
              </w:rPr>
            </w:pPr>
            <w:r>
              <w:rPr>
                <w:b/>
                <w:i/>
                <w:noProof/>
              </w:rPr>
              <w:t xml:space="preserve">Medium </w:t>
            </w:r>
          </w:p>
        </w:tc>
        <w:tc>
          <w:tcPr>
            <w:tcW w:w="4111" w:type="dxa"/>
            <w:gridSpan w:val="2"/>
            <w:shd w:val="clear" w:color="auto" w:fill="FFFFFF"/>
          </w:tcPr>
          <w:p w:rsidR="00B32A2A" w:rsidRPr="00B32A2A" w:rsidRDefault="00B32A2A" w:rsidP="00B32A2A">
            <w:pPr>
              <w:spacing w:after="0" w:line="240" w:lineRule="auto"/>
              <w:rPr>
                <w:rFonts w:cs="Arial"/>
                <w:noProof/>
              </w:rPr>
            </w:pPr>
            <w:r>
              <w:t>- Existence of an accounting and financial procedures manual for the CF</w:t>
            </w:r>
          </w:p>
          <w:p w:rsidR="00B32A2A" w:rsidRPr="00B32A2A" w:rsidRDefault="00B32A2A" w:rsidP="00B32A2A">
            <w:pPr>
              <w:spacing w:after="0" w:line="240" w:lineRule="auto"/>
              <w:rPr>
                <w:rFonts w:cs="Arial"/>
                <w:noProof/>
              </w:rPr>
            </w:pPr>
            <w:r>
              <w:t>- Training, including awareness training, for actors, in the manual</w:t>
            </w:r>
          </w:p>
          <w:p w:rsidR="00B32A2A" w:rsidRPr="00B32A2A" w:rsidRDefault="00B32A2A" w:rsidP="00B32A2A">
            <w:pPr>
              <w:spacing w:after="0" w:line="240" w:lineRule="auto"/>
              <w:rPr>
                <w:rFonts w:cs="Arial"/>
                <w:noProof/>
              </w:rPr>
            </w:pPr>
            <w:r>
              <w:t>- certain equipment will be acquired through UNIPAC</w:t>
            </w:r>
          </w:p>
          <w:p w:rsidR="00B32A2A" w:rsidRPr="00B32A2A" w:rsidRDefault="00B32A2A" w:rsidP="00B32A2A">
            <w:pPr>
              <w:spacing w:after="0" w:line="240" w:lineRule="auto"/>
              <w:rPr>
                <w:rFonts w:cs="Arial"/>
                <w:noProof/>
              </w:rPr>
            </w:pPr>
            <w:r>
              <w:t>- Annual financial audits of the CF</w:t>
            </w:r>
          </w:p>
          <w:p w:rsidR="00B32A2A" w:rsidRPr="00B32A2A" w:rsidRDefault="00B32A2A" w:rsidP="00B32A2A">
            <w:pPr>
              <w:spacing w:after="0" w:line="240" w:lineRule="auto"/>
              <w:rPr>
                <w:rFonts w:cs="Arial"/>
                <w:noProof/>
              </w:rPr>
            </w:pPr>
            <w:r>
              <w:t>- Internal audits of the CF</w:t>
            </w:r>
          </w:p>
          <w:p w:rsidR="00B32A2A" w:rsidRPr="00B32A2A" w:rsidRDefault="00B32A2A" w:rsidP="00B32A2A">
            <w:pPr>
              <w:spacing w:after="0" w:line="240" w:lineRule="auto"/>
              <w:rPr>
                <w:rFonts w:cs="Arial"/>
                <w:noProof/>
              </w:rPr>
            </w:pPr>
            <w:r>
              <w:t>- strengthening activity implementation monitoring</w:t>
            </w:r>
          </w:p>
          <w:p w:rsidR="00B32A2A" w:rsidRPr="00B32A2A" w:rsidRDefault="00B32A2A" w:rsidP="00B32A2A">
            <w:pPr>
              <w:spacing w:after="0" w:line="240" w:lineRule="auto"/>
              <w:rPr>
                <w:rFonts w:cs="Arial"/>
                <w:noProof/>
              </w:rPr>
            </w:pPr>
          </w:p>
          <w:p w:rsidR="00B32A2A" w:rsidRPr="00B32A2A" w:rsidRDefault="00B32A2A" w:rsidP="00B32A2A">
            <w:pPr>
              <w:spacing w:after="0" w:line="240" w:lineRule="auto"/>
              <w:rPr>
                <w:rFonts w:cs="Arial"/>
                <w:noProof/>
              </w:rPr>
            </w:pPr>
            <w:r>
              <w:t xml:space="preserve">- GAVI’S Non-objection </w:t>
            </w:r>
          </w:p>
          <w:p w:rsidR="00B32A2A" w:rsidRPr="00B32A2A" w:rsidRDefault="00B32A2A" w:rsidP="00B32A2A">
            <w:pPr>
              <w:spacing w:after="0" w:line="240" w:lineRule="auto"/>
              <w:rPr>
                <w:rFonts w:cs="Arial"/>
                <w:noProof/>
              </w:rPr>
            </w:pPr>
          </w:p>
          <w:p w:rsidR="00B32A2A" w:rsidRPr="00B32A2A" w:rsidRDefault="00B32A2A" w:rsidP="00B32A2A">
            <w:pPr>
              <w:spacing w:after="0" w:line="240" w:lineRule="auto"/>
              <w:rPr>
                <w:rFonts w:cs="Arial"/>
                <w:noProof/>
              </w:rPr>
            </w:pPr>
          </w:p>
          <w:p w:rsidR="00B32A2A" w:rsidRPr="00B32A2A" w:rsidRDefault="00B32A2A" w:rsidP="00B32A2A">
            <w:pPr>
              <w:spacing w:after="0" w:line="240" w:lineRule="auto"/>
              <w:rPr>
                <w:rFonts w:cs="Arial"/>
                <w:noProof/>
              </w:rPr>
            </w:pPr>
            <w:r>
              <w:t>- strengthen CF management capacities and beneficiary management capacities</w:t>
            </w:r>
          </w:p>
          <w:p w:rsidR="00B32A2A" w:rsidRPr="00B32A2A" w:rsidRDefault="00B32A2A" w:rsidP="00B32A2A">
            <w:pPr>
              <w:spacing w:after="0" w:line="240" w:lineRule="auto"/>
              <w:rPr>
                <w:rFonts w:cs="Arial"/>
                <w:noProof/>
              </w:rPr>
            </w:pPr>
            <w:r>
              <w:t xml:space="preserve"> </w:t>
            </w:r>
          </w:p>
        </w:tc>
      </w:tr>
      <w:tr w:rsidR="00B32A2A" w:rsidRPr="00B32A2A" w:rsidTr="00B32A2A">
        <w:trPr>
          <w:trHeight w:val="472"/>
        </w:trPr>
        <w:tc>
          <w:tcPr>
            <w:tcW w:w="4254" w:type="dxa"/>
            <w:shd w:val="clear" w:color="auto" w:fill="FFFFFF"/>
          </w:tcPr>
          <w:p w:rsidR="00B32A2A" w:rsidRPr="00B32A2A" w:rsidRDefault="00B32A2A" w:rsidP="00B32A2A">
            <w:pPr>
              <w:rPr>
                <w:rFonts w:cs="Arial"/>
                <w:i/>
                <w:noProof/>
              </w:rPr>
            </w:pPr>
            <w:r>
              <w:rPr>
                <w:i/>
                <w:noProof/>
              </w:rPr>
              <w:t>Institutional Risks:</w:t>
            </w:r>
          </w:p>
          <w:p w:rsidR="00B32A2A" w:rsidRPr="00B32A2A" w:rsidRDefault="00B32A2A" w:rsidP="00B32A2A">
            <w:pPr>
              <w:rPr>
                <w:rFonts w:cs="Arial"/>
                <w:noProof/>
              </w:rPr>
            </w:pPr>
            <w:r>
              <w:t xml:space="preserve"> - institutional instability</w:t>
            </w:r>
          </w:p>
          <w:p w:rsidR="00B32A2A" w:rsidRPr="00B32A2A" w:rsidRDefault="00B32A2A" w:rsidP="00B32A2A">
            <w:pPr>
              <w:rPr>
                <w:rFonts w:cs="Arial"/>
                <w:noProof/>
              </w:rPr>
            </w:pPr>
            <w:r>
              <w:t>- inadequate forecasting regarding TFP funding</w:t>
            </w:r>
          </w:p>
        </w:tc>
        <w:tc>
          <w:tcPr>
            <w:tcW w:w="1701" w:type="dxa"/>
            <w:shd w:val="clear" w:color="auto" w:fill="FFFFFF"/>
          </w:tcPr>
          <w:p w:rsidR="00B32A2A" w:rsidRPr="00B32A2A" w:rsidRDefault="00B32A2A" w:rsidP="00B32A2A">
            <w:pPr>
              <w:jc w:val="both"/>
              <w:rPr>
                <w:rFonts w:cs="Arial"/>
                <w:b/>
                <w:i/>
                <w:noProof/>
              </w:rPr>
            </w:pPr>
            <w:r>
              <w:rPr>
                <w:b/>
                <w:i/>
                <w:noProof/>
              </w:rPr>
              <w:t>Weak</w:t>
            </w:r>
          </w:p>
        </w:tc>
        <w:tc>
          <w:tcPr>
            <w:tcW w:w="992" w:type="dxa"/>
            <w:gridSpan w:val="2"/>
            <w:shd w:val="clear" w:color="auto" w:fill="FFFFFF"/>
          </w:tcPr>
          <w:p w:rsidR="00B32A2A" w:rsidRPr="00B32A2A" w:rsidRDefault="00B32A2A" w:rsidP="00B32A2A">
            <w:pPr>
              <w:jc w:val="both"/>
              <w:rPr>
                <w:rFonts w:cs="Arial"/>
                <w:b/>
                <w:i/>
                <w:noProof/>
              </w:rPr>
            </w:pPr>
            <w:r>
              <w:rPr>
                <w:b/>
                <w:i/>
                <w:noProof/>
              </w:rPr>
              <w:t>Medium</w:t>
            </w:r>
          </w:p>
        </w:tc>
        <w:tc>
          <w:tcPr>
            <w:tcW w:w="4111" w:type="dxa"/>
            <w:gridSpan w:val="2"/>
            <w:shd w:val="clear" w:color="auto" w:fill="FFFFFF"/>
          </w:tcPr>
          <w:p w:rsidR="00B32A2A" w:rsidRPr="00B32A2A" w:rsidRDefault="00B32A2A" w:rsidP="00B32A2A">
            <w:pPr>
              <w:rPr>
                <w:rFonts w:cs="Arial"/>
                <w:noProof/>
              </w:rPr>
            </w:pPr>
          </w:p>
          <w:p w:rsidR="00B32A2A" w:rsidRPr="00B32A2A" w:rsidRDefault="00B32A2A" w:rsidP="00B32A2A">
            <w:pPr>
              <w:rPr>
                <w:rFonts w:cs="Arial"/>
                <w:noProof/>
              </w:rPr>
            </w:pPr>
            <w:r>
              <w:t xml:space="preserve">- Delegation of power to alternates </w:t>
            </w:r>
          </w:p>
          <w:p w:rsidR="00B32A2A" w:rsidRPr="00B32A2A" w:rsidRDefault="00B32A2A" w:rsidP="00B32A2A">
            <w:pPr>
              <w:rPr>
                <w:rFonts w:cs="Arial"/>
                <w:noProof/>
              </w:rPr>
            </w:pPr>
            <w:r>
              <w:t>- Strengthen MPH-TFP coordination</w:t>
            </w:r>
          </w:p>
        </w:tc>
      </w:tr>
      <w:tr w:rsidR="00B32A2A" w:rsidRPr="00B32A2A" w:rsidTr="00B32A2A">
        <w:trPr>
          <w:trHeight w:val="472"/>
        </w:trPr>
        <w:tc>
          <w:tcPr>
            <w:tcW w:w="4254" w:type="dxa"/>
            <w:shd w:val="clear" w:color="auto" w:fill="FFFFFF"/>
          </w:tcPr>
          <w:p w:rsidR="00B32A2A" w:rsidRPr="00B32A2A" w:rsidRDefault="00B32A2A" w:rsidP="00B32A2A">
            <w:pPr>
              <w:rPr>
                <w:rFonts w:cs="Arial"/>
                <w:i/>
                <w:noProof/>
              </w:rPr>
            </w:pPr>
            <w:r>
              <w:rPr>
                <w:i/>
                <w:noProof/>
              </w:rPr>
              <w:t xml:space="preserve">Operational Risks: </w:t>
            </w:r>
          </w:p>
          <w:p w:rsidR="00B32A2A" w:rsidRPr="00B32A2A" w:rsidRDefault="00B32A2A" w:rsidP="00B32A2A">
            <w:pPr>
              <w:rPr>
                <w:rFonts w:cs="Arial"/>
                <w:noProof/>
              </w:rPr>
            </w:pPr>
            <w:r>
              <w:lastRenderedPageBreak/>
              <w:t>- Slow treatment of request for proposal for the procurement of goods and services, delays in product delivery (internal)</w:t>
            </w:r>
          </w:p>
          <w:p w:rsidR="00B32A2A" w:rsidRPr="00B32A2A" w:rsidRDefault="00B32A2A" w:rsidP="00B32A2A">
            <w:pPr>
              <w:rPr>
                <w:rFonts w:cs="Arial"/>
                <w:noProof/>
              </w:rPr>
            </w:pPr>
          </w:p>
          <w:p w:rsidR="00B32A2A" w:rsidRPr="00B32A2A" w:rsidRDefault="00B32A2A" w:rsidP="00B32A2A">
            <w:pPr>
              <w:rPr>
                <w:rFonts w:cs="Arial"/>
                <w:noProof/>
              </w:rPr>
            </w:pPr>
            <w:r>
              <w:t>- Delay in AAP approval by Common Funds partners</w:t>
            </w:r>
          </w:p>
          <w:p w:rsidR="00B32A2A" w:rsidRPr="00B32A2A" w:rsidRDefault="00B32A2A" w:rsidP="00B32A2A">
            <w:pPr>
              <w:rPr>
                <w:rFonts w:cs="Arial"/>
                <w:noProof/>
              </w:rPr>
            </w:pPr>
            <w:r>
              <w:t>- Inadequate recruitment of health human resources, poor distribution and excessive displacement of existing personnel (internal)</w:t>
            </w:r>
          </w:p>
          <w:p w:rsidR="00B32A2A" w:rsidRPr="00B32A2A" w:rsidRDefault="00B32A2A" w:rsidP="00B32A2A">
            <w:pPr>
              <w:rPr>
                <w:rFonts w:cs="Arial"/>
                <w:noProof/>
              </w:rPr>
            </w:pPr>
          </w:p>
          <w:p w:rsidR="00B32A2A" w:rsidRPr="00B32A2A" w:rsidRDefault="00B32A2A" w:rsidP="00B32A2A">
            <w:pPr>
              <w:rPr>
                <w:rFonts w:cs="Arial"/>
                <w:noProof/>
              </w:rPr>
            </w:pPr>
            <w:r>
              <w:t>- Poor motivation of existing field personnel impedes execution of activities  (internal)</w:t>
            </w:r>
          </w:p>
          <w:p w:rsidR="00B32A2A" w:rsidRPr="00B32A2A" w:rsidRDefault="00B32A2A" w:rsidP="00B32A2A">
            <w:pPr>
              <w:rPr>
                <w:rFonts w:cs="Arial"/>
                <w:noProof/>
              </w:rPr>
            </w:pPr>
            <w:r>
              <w:t xml:space="preserve">- The population's weak economic power (external) can influence how often they use services. </w:t>
            </w:r>
          </w:p>
        </w:tc>
        <w:tc>
          <w:tcPr>
            <w:tcW w:w="1701" w:type="dxa"/>
            <w:shd w:val="clear" w:color="auto" w:fill="FFFFFF"/>
          </w:tcPr>
          <w:p w:rsidR="00B32A2A" w:rsidRPr="00B32A2A" w:rsidRDefault="00B32A2A" w:rsidP="00B32A2A">
            <w:pPr>
              <w:jc w:val="both"/>
              <w:rPr>
                <w:rFonts w:cs="Arial"/>
                <w:b/>
                <w:i/>
                <w:noProof/>
              </w:rPr>
            </w:pPr>
            <w:r>
              <w:rPr>
                <w:b/>
                <w:i/>
                <w:noProof/>
              </w:rPr>
              <w:lastRenderedPageBreak/>
              <w:t>Weak</w:t>
            </w:r>
          </w:p>
        </w:tc>
        <w:tc>
          <w:tcPr>
            <w:tcW w:w="992" w:type="dxa"/>
            <w:gridSpan w:val="2"/>
            <w:shd w:val="clear" w:color="auto" w:fill="FFFFFF"/>
          </w:tcPr>
          <w:p w:rsidR="00B32A2A" w:rsidRPr="00B32A2A" w:rsidRDefault="00B32A2A" w:rsidP="00B32A2A">
            <w:pPr>
              <w:jc w:val="both"/>
              <w:rPr>
                <w:rFonts w:cs="Arial"/>
                <w:b/>
                <w:i/>
                <w:noProof/>
              </w:rPr>
            </w:pPr>
            <w:r>
              <w:rPr>
                <w:b/>
                <w:i/>
                <w:noProof/>
              </w:rPr>
              <w:t>Mediu</w:t>
            </w:r>
            <w:r>
              <w:rPr>
                <w:b/>
                <w:i/>
                <w:noProof/>
              </w:rPr>
              <w:lastRenderedPageBreak/>
              <w:t>m</w:t>
            </w:r>
          </w:p>
        </w:tc>
        <w:tc>
          <w:tcPr>
            <w:tcW w:w="4111" w:type="dxa"/>
            <w:gridSpan w:val="2"/>
            <w:shd w:val="clear" w:color="auto" w:fill="FFFFFF"/>
          </w:tcPr>
          <w:p w:rsidR="00B32A2A" w:rsidRPr="00B32A2A" w:rsidRDefault="00B32A2A" w:rsidP="00B32A2A">
            <w:pPr>
              <w:spacing w:before="120" w:after="120"/>
              <w:rPr>
                <w:rFonts w:cs="Arial"/>
                <w:noProof/>
              </w:rPr>
            </w:pPr>
            <w:r>
              <w:lastRenderedPageBreak/>
              <w:t xml:space="preserve">Certain equipment will be acquired </w:t>
            </w:r>
            <w:r>
              <w:lastRenderedPageBreak/>
              <w:t xml:space="preserve">through UNIPAC </w:t>
            </w:r>
          </w:p>
          <w:p w:rsidR="00B32A2A" w:rsidRPr="00B32A2A" w:rsidRDefault="00B32A2A" w:rsidP="00B32A2A">
            <w:pPr>
              <w:spacing w:before="120" w:after="120"/>
              <w:rPr>
                <w:rFonts w:cs="Arial"/>
                <w:noProof/>
              </w:rPr>
            </w:pPr>
            <w:r>
              <w:t xml:space="preserve">- Strengthen the skills of those in charge of procurement </w:t>
            </w:r>
          </w:p>
          <w:p w:rsidR="00B32A2A" w:rsidRPr="00B32A2A" w:rsidRDefault="00B32A2A" w:rsidP="00B32A2A">
            <w:pPr>
              <w:spacing w:before="120" w:after="120"/>
              <w:rPr>
                <w:rFonts w:cs="Arial"/>
                <w:noProof/>
              </w:rPr>
            </w:pPr>
            <w:r>
              <w:t>- improve internal reorganization of CF partners to facilitate procurement</w:t>
            </w:r>
          </w:p>
          <w:p w:rsidR="00B32A2A" w:rsidRPr="00B32A2A" w:rsidRDefault="00B32A2A" w:rsidP="00B32A2A">
            <w:pPr>
              <w:spacing w:before="120" w:after="120"/>
              <w:rPr>
                <w:rFonts w:cs="Arial"/>
                <w:noProof/>
              </w:rPr>
            </w:pPr>
            <w:r>
              <w:t>- strengthen MPH-TFP coordination</w:t>
            </w:r>
          </w:p>
          <w:p w:rsidR="00B32A2A" w:rsidRPr="00B32A2A" w:rsidRDefault="00B32A2A" w:rsidP="00B32A2A">
            <w:pPr>
              <w:spacing w:before="120" w:after="120"/>
              <w:rPr>
                <w:rFonts w:cs="Arial"/>
                <w:noProof/>
              </w:rPr>
            </w:pPr>
          </w:p>
          <w:p w:rsidR="00B32A2A" w:rsidRPr="00B32A2A" w:rsidRDefault="00B32A2A" w:rsidP="00B32A2A">
            <w:pPr>
              <w:spacing w:before="120" w:after="120"/>
              <w:rPr>
                <w:rFonts w:cs="Arial"/>
                <w:noProof/>
              </w:rPr>
            </w:pPr>
            <w:r>
              <w:t>- existence of an MPH budget line item to hire contract health personnel</w:t>
            </w:r>
          </w:p>
          <w:p w:rsidR="00B32A2A" w:rsidRPr="00B32A2A" w:rsidRDefault="00B32A2A" w:rsidP="00B32A2A">
            <w:pPr>
              <w:spacing w:before="120" w:after="120"/>
              <w:rPr>
                <w:rFonts w:cs="Arial"/>
                <w:noProof/>
              </w:rPr>
            </w:pPr>
            <w:r>
              <w:t>- decentralization of health personnel management at the regional and district levels</w:t>
            </w:r>
          </w:p>
          <w:p w:rsidR="00B32A2A" w:rsidRPr="00B32A2A" w:rsidRDefault="00B32A2A" w:rsidP="00B32A2A">
            <w:pPr>
              <w:spacing w:before="120" w:after="120"/>
              <w:rPr>
                <w:rFonts w:cs="Arial"/>
                <w:noProof/>
              </w:rPr>
            </w:pPr>
            <w:r>
              <w:t xml:space="preserve"> </w:t>
            </w:r>
            <w:r>
              <w:rPr>
                <w:b/>
                <w:i/>
                <w:noProof/>
              </w:rPr>
              <w:t xml:space="preserve">- </w:t>
            </w:r>
            <w:r>
              <w:t>existence of motivation for personnel located in difficult-to-access areas</w:t>
            </w:r>
          </w:p>
          <w:p w:rsidR="00B32A2A" w:rsidRPr="00B32A2A" w:rsidRDefault="00B32A2A" w:rsidP="00B32A2A">
            <w:pPr>
              <w:rPr>
                <w:rFonts w:cs="Arial"/>
                <w:noProof/>
              </w:rPr>
            </w:pPr>
            <w:r>
              <w:t>- RBF under consideration</w:t>
            </w:r>
          </w:p>
          <w:p w:rsidR="00B32A2A" w:rsidRPr="00B32A2A" w:rsidRDefault="00B32A2A" w:rsidP="00B32A2A">
            <w:pPr>
              <w:rPr>
                <w:rFonts w:cs="Arial"/>
                <w:noProof/>
              </w:rPr>
            </w:pPr>
            <w:r>
              <w:t xml:space="preserve"> </w:t>
            </w:r>
          </w:p>
          <w:p w:rsidR="00B32A2A" w:rsidRPr="00B32A2A" w:rsidRDefault="00B32A2A" w:rsidP="00B32A2A">
            <w:pPr>
              <w:rPr>
                <w:rFonts w:cs="Arial"/>
                <w:noProof/>
              </w:rPr>
            </w:pPr>
            <w:r>
              <w:t>- Pursuing a free health policy</w:t>
            </w:r>
          </w:p>
          <w:p w:rsidR="00B32A2A" w:rsidRPr="00B32A2A" w:rsidRDefault="00B32A2A" w:rsidP="00B32A2A">
            <w:pPr>
              <w:rPr>
                <w:rFonts w:cs="Arial"/>
                <w:noProof/>
              </w:rPr>
            </w:pPr>
            <w:r>
              <w:t>- Implementation of funding strategy for the health sector.</w:t>
            </w:r>
          </w:p>
        </w:tc>
      </w:tr>
      <w:tr w:rsidR="00B32A2A" w:rsidRPr="00B32A2A" w:rsidTr="00B32A2A">
        <w:trPr>
          <w:trHeight w:val="472"/>
        </w:trPr>
        <w:tc>
          <w:tcPr>
            <w:tcW w:w="4254" w:type="dxa"/>
            <w:shd w:val="clear" w:color="auto" w:fill="FFFFFF"/>
          </w:tcPr>
          <w:p w:rsidR="00B32A2A" w:rsidRPr="00B32A2A" w:rsidRDefault="00B32A2A" w:rsidP="00B32A2A">
            <w:pPr>
              <w:jc w:val="both"/>
              <w:rPr>
                <w:rFonts w:cs="Arial"/>
                <w:b/>
                <w:i/>
                <w:noProof/>
              </w:rPr>
            </w:pPr>
            <w:r>
              <w:rPr>
                <w:b/>
                <w:i/>
                <w:noProof/>
              </w:rPr>
              <w:lastRenderedPageBreak/>
              <w:t xml:space="preserve">Overall Risk Rating for Objective 1 </w:t>
            </w:r>
          </w:p>
        </w:tc>
        <w:tc>
          <w:tcPr>
            <w:tcW w:w="1701" w:type="dxa"/>
            <w:shd w:val="clear" w:color="auto" w:fill="FFFFFF"/>
          </w:tcPr>
          <w:p w:rsidR="00B32A2A" w:rsidRPr="00B32A2A" w:rsidRDefault="00B32A2A" w:rsidP="00B32A2A">
            <w:pPr>
              <w:jc w:val="both"/>
              <w:rPr>
                <w:rFonts w:cs="Arial"/>
                <w:b/>
                <w:i/>
                <w:noProof/>
              </w:rPr>
            </w:pPr>
            <w:r>
              <w:rPr>
                <w:b/>
                <w:i/>
                <w:noProof/>
              </w:rPr>
              <w:t>Weak</w:t>
            </w:r>
          </w:p>
        </w:tc>
        <w:tc>
          <w:tcPr>
            <w:tcW w:w="992" w:type="dxa"/>
            <w:gridSpan w:val="2"/>
            <w:shd w:val="clear" w:color="auto" w:fill="FFFFFF"/>
          </w:tcPr>
          <w:p w:rsidR="00B32A2A" w:rsidRPr="00B32A2A" w:rsidRDefault="00B32A2A" w:rsidP="00B32A2A">
            <w:pPr>
              <w:jc w:val="both"/>
              <w:rPr>
                <w:rFonts w:cs="Arial"/>
                <w:b/>
                <w:i/>
                <w:noProof/>
              </w:rPr>
            </w:pPr>
            <w:r>
              <w:rPr>
                <w:b/>
                <w:i/>
                <w:noProof/>
              </w:rPr>
              <w:t xml:space="preserve">Medium </w:t>
            </w:r>
          </w:p>
        </w:tc>
        <w:tc>
          <w:tcPr>
            <w:tcW w:w="4111" w:type="dxa"/>
            <w:gridSpan w:val="2"/>
            <w:shd w:val="clear" w:color="auto" w:fill="FFFFFF"/>
          </w:tcPr>
          <w:p w:rsidR="00B32A2A" w:rsidRPr="00B32A2A" w:rsidRDefault="00B32A2A" w:rsidP="00B32A2A">
            <w:pPr>
              <w:jc w:val="both"/>
              <w:rPr>
                <w:rFonts w:cs="Arial"/>
                <w:b/>
                <w:i/>
                <w:noProof/>
              </w:rPr>
            </w:pPr>
          </w:p>
        </w:tc>
      </w:tr>
      <w:tr w:rsidR="00B32A2A" w:rsidRPr="00B32A2A" w:rsidTr="00B32A2A">
        <w:trPr>
          <w:trHeight w:val="472"/>
        </w:trPr>
        <w:tc>
          <w:tcPr>
            <w:tcW w:w="11058" w:type="dxa"/>
            <w:gridSpan w:val="6"/>
            <w:shd w:val="clear" w:color="auto" w:fill="FFFFFF"/>
          </w:tcPr>
          <w:p w:rsidR="00B32A2A" w:rsidRPr="00B32A2A" w:rsidRDefault="00B32A2A" w:rsidP="00B32A2A">
            <w:pPr>
              <w:spacing w:after="0" w:line="240" w:lineRule="auto"/>
              <w:rPr>
                <w:rFonts w:cs="Arial"/>
                <w:b/>
                <w:i/>
                <w:noProof/>
              </w:rPr>
            </w:pPr>
            <w:r>
              <w:rPr>
                <w:b/>
                <w:i/>
                <w:noProof/>
              </w:rPr>
              <w:t xml:space="preserve">Objective 2: </w:t>
            </w:r>
            <w:r>
              <w:rPr>
                <w:b/>
                <w:noProof/>
              </w:rPr>
              <w:t>Increase demand for delivery of health care, including immunization at the national level.</w:t>
            </w:r>
          </w:p>
        </w:tc>
      </w:tr>
      <w:tr w:rsidR="00B32A2A" w:rsidRPr="00B32A2A" w:rsidTr="00B32A2A">
        <w:trPr>
          <w:trHeight w:val="472"/>
        </w:trPr>
        <w:tc>
          <w:tcPr>
            <w:tcW w:w="4254" w:type="dxa"/>
            <w:shd w:val="clear" w:color="auto" w:fill="FFFFFF"/>
          </w:tcPr>
          <w:p w:rsidR="00B32A2A" w:rsidRPr="00B32A2A" w:rsidRDefault="00B32A2A" w:rsidP="00B32A2A">
            <w:pPr>
              <w:jc w:val="both"/>
              <w:rPr>
                <w:rFonts w:cs="Arial"/>
                <w:i/>
                <w:noProof/>
              </w:rPr>
            </w:pPr>
            <w:r>
              <w:rPr>
                <w:i/>
                <w:noProof/>
              </w:rPr>
              <w:t xml:space="preserve">Fiduciary Risks: </w:t>
            </w:r>
            <w:r>
              <w:rPr>
                <w:b/>
                <w:i/>
                <w:noProof/>
              </w:rPr>
              <w:t>see Objective 1</w:t>
            </w:r>
          </w:p>
        </w:tc>
        <w:tc>
          <w:tcPr>
            <w:tcW w:w="1701" w:type="dxa"/>
            <w:shd w:val="clear" w:color="auto" w:fill="FFFFFF"/>
          </w:tcPr>
          <w:p w:rsidR="00B32A2A" w:rsidRPr="00B32A2A" w:rsidRDefault="00B32A2A" w:rsidP="00B32A2A">
            <w:pPr>
              <w:jc w:val="both"/>
              <w:rPr>
                <w:rFonts w:cs="Arial"/>
                <w:b/>
                <w:i/>
                <w:noProof/>
              </w:rPr>
            </w:pPr>
            <w:r>
              <w:rPr>
                <w:b/>
                <w:i/>
                <w:noProof/>
              </w:rPr>
              <w:t>Weak</w:t>
            </w:r>
          </w:p>
        </w:tc>
        <w:tc>
          <w:tcPr>
            <w:tcW w:w="992" w:type="dxa"/>
            <w:gridSpan w:val="2"/>
            <w:shd w:val="clear" w:color="auto" w:fill="FFFFFF"/>
          </w:tcPr>
          <w:p w:rsidR="00B32A2A" w:rsidRPr="00B32A2A" w:rsidRDefault="00B32A2A" w:rsidP="00B32A2A">
            <w:pPr>
              <w:jc w:val="both"/>
              <w:rPr>
                <w:rFonts w:cs="Arial"/>
                <w:b/>
                <w:i/>
                <w:noProof/>
              </w:rPr>
            </w:pPr>
            <w:r>
              <w:rPr>
                <w:b/>
                <w:i/>
                <w:noProof/>
              </w:rPr>
              <w:t>Medium</w:t>
            </w:r>
          </w:p>
        </w:tc>
        <w:tc>
          <w:tcPr>
            <w:tcW w:w="4111" w:type="dxa"/>
            <w:gridSpan w:val="2"/>
            <w:shd w:val="clear" w:color="auto" w:fill="FFFFFF"/>
          </w:tcPr>
          <w:p w:rsidR="00B32A2A" w:rsidRPr="00B32A2A" w:rsidRDefault="00B32A2A" w:rsidP="00B32A2A">
            <w:pPr>
              <w:jc w:val="both"/>
              <w:rPr>
                <w:rFonts w:cs="Arial"/>
                <w:b/>
                <w:i/>
                <w:noProof/>
              </w:rPr>
            </w:pPr>
            <w:r>
              <w:rPr>
                <w:b/>
                <w:i/>
                <w:noProof/>
              </w:rPr>
              <w:t>same as Objective 1</w:t>
            </w:r>
          </w:p>
        </w:tc>
      </w:tr>
      <w:tr w:rsidR="00B32A2A" w:rsidRPr="00B32A2A" w:rsidTr="00B32A2A">
        <w:trPr>
          <w:trHeight w:val="472"/>
        </w:trPr>
        <w:tc>
          <w:tcPr>
            <w:tcW w:w="4254" w:type="dxa"/>
            <w:shd w:val="clear" w:color="auto" w:fill="FFFFFF"/>
          </w:tcPr>
          <w:p w:rsidR="00B32A2A" w:rsidRPr="00B32A2A" w:rsidRDefault="00B32A2A" w:rsidP="00B32A2A">
            <w:pPr>
              <w:jc w:val="both"/>
              <w:rPr>
                <w:rFonts w:cs="Arial"/>
                <w:i/>
                <w:noProof/>
              </w:rPr>
            </w:pPr>
            <w:r>
              <w:rPr>
                <w:i/>
                <w:noProof/>
              </w:rPr>
              <w:t xml:space="preserve">Institutional Risks: </w:t>
            </w:r>
            <w:r>
              <w:rPr>
                <w:b/>
                <w:i/>
                <w:noProof/>
              </w:rPr>
              <w:t>see Objective 1</w:t>
            </w:r>
          </w:p>
        </w:tc>
        <w:tc>
          <w:tcPr>
            <w:tcW w:w="1701" w:type="dxa"/>
            <w:shd w:val="clear" w:color="auto" w:fill="FFFFFF"/>
          </w:tcPr>
          <w:p w:rsidR="00B32A2A" w:rsidRPr="00B32A2A" w:rsidRDefault="00B32A2A" w:rsidP="00B32A2A">
            <w:pPr>
              <w:jc w:val="both"/>
              <w:rPr>
                <w:rFonts w:cs="Arial"/>
                <w:b/>
                <w:i/>
                <w:noProof/>
              </w:rPr>
            </w:pPr>
            <w:r>
              <w:rPr>
                <w:b/>
                <w:i/>
                <w:noProof/>
              </w:rPr>
              <w:t>Weak</w:t>
            </w:r>
          </w:p>
        </w:tc>
        <w:tc>
          <w:tcPr>
            <w:tcW w:w="992" w:type="dxa"/>
            <w:gridSpan w:val="2"/>
            <w:shd w:val="clear" w:color="auto" w:fill="FFFFFF"/>
          </w:tcPr>
          <w:p w:rsidR="00B32A2A" w:rsidRPr="00B32A2A" w:rsidRDefault="00B32A2A" w:rsidP="00B32A2A">
            <w:pPr>
              <w:jc w:val="both"/>
              <w:rPr>
                <w:rFonts w:cs="Arial"/>
                <w:b/>
                <w:i/>
                <w:noProof/>
              </w:rPr>
            </w:pPr>
            <w:r>
              <w:rPr>
                <w:b/>
                <w:i/>
                <w:noProof/>
              </w:rPr>
              <w:t>Medium</w:t>
            </w:r>
          </w:p>
        </w:tc>
        <w:tc>
          <w:tcPr>
            <w:tcW w:w="4111" w:type="dxa"/>
            <w:gridSpan w:val="2"/>
            <w:shd w:val="clear" w:color="auto" w:fill="FFFFFF"/>
          </w:tcPr>
          <w:p w:rsidR="00B32A2A" w:rsidRPr="00B32A2A" w:rsidRDefault="00B32A2A" w:rsidP="00B32A2A">
            <w:pPr>
              <w:rPr>
                <w:rFonts w:cs="Arial"/>
                <w:b/>
                <w:i/>
                <w:noProof/>
              </w:rPr>
            </w:pPr>
            <w:r>
              <w:rPr>
                <w:b/>
                <w:i/>
                <w:noProof/>
              </w:rPr>
              <w:t>same as Objective 1</w:t>
            </w:r>
          </w:p>
        </w:tc>
      </w:tr>
      <w:tr w:rsidR="00B32A2A" w:rsidRPr="00B32A2A" w:rsidTr="00B32A2A">
        <w:trPr>
          <w:trHeight w:val="472"/>
        </w:trPr>
        <w:tc>
          <w:tcPr>
            <w:tcW w:w="4254" w:type="dxa"/>
            <w:shd w:val="clear" w:color="auto" w:fill="FFFFFF"/>
          </w:tcPr>
          <w:p w:rsidR="00B32A2A" w:rsidRPr="00B32A2A" w:rsidRDefault="00B32A2A" w:rsidP="00B32A2A">
            <w:pPr>
              <w:rPr>
                <w:rFonts w:cs="Arial"/>
                <w:i/>
                <w:noProof/>
              </w:rPr>
            </w:pPr>
            <w:r>
              <w:rPr>
                <w:i/>
                <w:noProof/>
              </w:rPr>
              <w:t xml:space="preserve">Operational Risks: </w:t>
            </w:r>
          </w:p>
          <w:p w:rsidR="00B32A2A" w:rsidRPr="00B32A2A" w:rsidRDefault="00B32A2A" w:rsidP="00B32A2A">
            <w:pPr>
              <w:rPr>
                <w:rFonts w:cs="Arial"/>
                <w:b/>
                <w:i/>
                <w:noProof/>
              </w:rPr>
            </w:pPr>
            <w:r>
              <w:rPr>
                <w:b/>
                <w:i/>
                <w:noProof/>
              </w:rPr>
              <w:t>see Objective 1</w:t>
            </w:r>
          </w:p>
          <w:p w:rsidR="00B32A2A" w:rsidRPr="00B32A2A" w:rsidRDefault="00B32A2A" w:rsidP="00B32A2A">
            <w:pPr>
              <w:rPr>
                <w:rFonts w:cs="Arial"/>
                <w:noProof/>
              </w:rPr>
            </w:pPr>
            <w:r>
              <w:t xml:space="preserve">- Persistence of traditional practices harmful to health and socio-cultural </w:t>
            </w:r>
            <w:r>
              <w:lastRenderedPageBreak/>
              <w:t>factors (external);</w:t>
            </w:r>
          </w:p>
          <w:p w:rsidR="00B32A2A" w:rsidRPr="00B32A2A" w:rsidRDefault="00B32A2A" w:rsidP="00B32A2A">
            <w:pPr>
              <w:rPr>
                <w:rFonts w:cs="Arial"/>
                <w:noProof/>
              </w:rPr>
            </w:pPr>
          </w:p>
          <w:p w:rsidR="00B32A2A" w:rsidRPr="00B32A2A" w:rsidRDefault="00B32A2A" w:rsidP="00B32A2A">
            <w:pPr>
              <w:rPr>
                <w:rFonts w:cs="Arial"/>
                <w:noProof/>
              </w:rPr>
            </w:pPr>
            <w:r>
              <w:t>- inadequate capacity of CSOs to implement activities</w:t>
            </w:r>
          </w:p>
        </w:tc>
        <w:tc>
          <w:tcPr>
            <w:tcW w:w="1701" w:type="dxa"/>
            <w:shd w:val="clear" w:color="auto" w:fill="FFFFFF"/>
          </w:tcPr>
          <w:p w:rsidR="00B32A2A" w:rsidRPr="00B32A2A" w:rsidRDefault="00B32A2A" w:rsidP="00B32A2A">
            <w:pPr>
              <w:rPr>
                <w:rFonts w:cs="Arial"/>
                <w:b/>
                <w:i/>
                <w:noProof/>
              </w:rPr>
            </w:pPr>
            <w:r>
              <w:rPr>
                <w:b/>
                <w:i/>
                <w:noProof/>
              </w:rPr>
              <w:lastRenderedPageBreak/>
              <w:t>Weak</w:t>
            </w:r>
          </w:p>
        </w:tc>
        <w:tc>
          <w:tcPr>
            <w:tcW w:w="992" w:type="dxa"/>
            <w:gridSpan w:val="2"/>
            <w:shd w:val="clear" w:color="auto" w:fill="FFFFFF"/>
          </w:tcPr>
          <w:p w:rsidR="00B32A2A" w:rsidRPr="00B32A2A" w:rsidRDefault="00B32A2A" w:rsidP="00B32A2A">
            <w:pPr>
              <w:rPr>
                <w:rFonts w:cs="Arial"/>
                <w:b/>
                <w:i/>
                <w:noProof/>
              </w:rPr>
            </w:pPr>
            <w:r>
              <w:rPr>
                <w:b/>
                <w:i/>
                <w:noProof/>
              </w:rPr>
              <w:t>Weak</w:t>
            </w:r>
          </w:p>
        </w:tc>
        <w:tc>
          <w:tcPr>
            <w:tcW w:w="4111" w:type="dxa"/>
            <w:gridSpan w:val="2"/>
            <w:shd w:val="clear" w:color="auto" w:fill="FFFFFF"/>
          </w:tcPr>
          <w:p w:rsidR="00B32A2A" w:rsidRPr="00B32A2A" w:rsidRDefault="00B32A2A" w:rsidP="00B32A2A">
            <w:pPr>
              <w:rPr>
                <w:rFonts w:cs="Arial"/>
                <w:b/>
                <w:i/>
                <w:noProof/>
              </w:rPr>
            </w:pPr>
            <w:r>
              <w:rPr>
                <w:b/>
                <w:i/>
                <w:noProof/>
              </w:rPr>
              <w:t>same as Objective 1</w:t>
            </w:r>
          </w:p>
          <w:p w:rsidR="00B32A2A" w:rsidRPr="00B32A2A" w:rsidRDefault="00B32A2A" w:rsidP="00B32A2A">
            <w:pPr>
              <w:rPr>
                <w:rFonts w:cs="Arial"/>
                <w:i/>
                <w:noProof/>
              </w:rPr>
            </w:pPr>
          </w:p>
          <w:p w:rsidR="00B32A2A" w:rsidRPr="00B32A2A" w:rsidRDefault="00B32A2A" w:rsidP="00B32A2A">
            <w:pPr>
              <w:spacing w:before="120" w:after="120"/>
              <w:rPr>
                <w:rFonts w:cs="Arial"/>
                <w:noProof/>
              </w:rPr>
            </w:pPr>
            <w:r>
              <w:t>- Strengthen awareness and advocacy activities in relation to opinion leaders,</w:t>
            </w:r>
          </w:p>
          <w:p w:rsidR="00B32A2A" w:rsidRPr="00B32A2A" w:rsidRDefault="00B32A2A" w:rsidP="00B32A2A">
            <w:pPr>
              <w:rPr>
                <w:rFonts w:cs="Arial"/>
                <w:noProof/>
              </w:rPr>
            </w:pPr>
            <w:r>
              <w:lastRenderedPageBreak/>
              <w:t>- Extend "schools for husbands" program to all IHCs.</w:t>
            </w:r>
          </w:p>
          <w:p w:rsidR="00B32A2A" w:rsidRPr="00B32A2A" w:rsidRDefault="00B32A2A" w:rsidP="00B32A2A">
            <w:pPr>
              <w:rPr>
                <w:rFonts w:cs="Arial"/>
                <w:noProof/>
              </w:rPr>
            </w:pPr>
            <w:r>
              <w:t xml:space="preserve">- Advance evaluation of CSO capacities by the district management teams before contracts </w:t>
            </w:r>
          </w:p>
        </w:tc>
      </w:tr>
      <w:tr w:rsidR="00B32A2A" w:rsidRPr="00B32A2A" w:rsidTr="00B32A2A">
        <w:trPr>
          <w:trHeight w:val="472"/>
        </w:trPr>
        <w:tc>
          <w:tcPr>
            <w:tcW w:w="4254" w:type="dxa"/>
            <w:shd w:val="clear" w:color="auto" w:fill="FFFFFF"/>
          </w:tcPr>
          <w:p w:rsidR="00B32A2A" w:rsidRPr="00B32A2A" w:rsidRDefault="00B32A2A" w:rsidP="00B32A2A">
            <w:pPr>
              <w:jc w:val="both"/>
              <w:rPr>
                <w:rFonts w:cs="Arial"/>
                <w:b/>
                <w:i/>
                <w:noProof/>
              </w:rPr>
            </w:pPr>
            <w:r>
              <w:rPr>
                <w:b/>
                <w:i/>
                <w:noProof/>
              </w:rPr>
              <w:lastRenderedPageBreak/>
              <w:t xml:space="preserve">Overall Risk Rating for Objective 2 </w:t>
            </w:r>
          </w:p>
        </w:tc>
        <w:tc>
          <w:tcPr>
            <w:tcW w:w="1701" w:type="dxa"/>
            <w:shd w:val="clear" w:color="auto" w:fill="FFFFFF"/>
          </w:tcPr>
          <w:p w:rsidR="00B32A2A" w:rsidRPr="00B32A2A" w:rsidRDefault="00B32A2A" w:rsidP="00B32A2A">
            <w:pPr>
              <w:jc w:val="both"/>
              <w:rPr>
                <w:rFonts w:cs="Arial"/>
                <w:b/>
                <w:i/>
                <w:noProof/>
              </w:rPr>
            </w:pPr>
            <w:r>
              <w:rPr>
                <w:b/>
                <w:i/>
                <w:noProof/>
              </w:rPr>
              <w:t>Weak</w:t>
            </w:r>
          </w:p>
        </w:tc>
        <w:tc>
          <w:tcPr>
            <w:tcW w:w="992" w:type="dxa"/>
            <w:gridSpan w:val="2"/>
            <w:shd w:val="clear" w:color="auto" w:fill="FFFFFF"/>
          </w:tcPr>
          <w:p w:rsidR="00B32A2A" w:rsidRPr="00B32A2A" w:rsidRDefault="00B32A2A" w:rsidP="00B32A2A">
            <w:pPr>
              <w:jc w:val="both"/>
              <w:rPr>
                <w:rFonts w:cs="Arial"/>
                <w:b/>
                <w:i/>
                <w:noProof/>
              </w:rPr>
            </w:pPr>
            <w:r>
              <w:rPr>
                <w:b/>
                <w:i/>
                <w:noProof/>
              </w:rPr>
              <w:t xml:space="preserve">Medium </w:t>
            </w:r>
          </w:p>
        </w:tc>
        <w:tc>
          <w:tcPr>
            <w:tcW w:w="4111" w:type="dxa"/>
            <w:gridSpan w:val="2"/>
            <w:shd w:val="clear" w:color="auto" w:fill="FFFFFF"/>
          </w:tcPr>
          <w:p w:rsidR="00B32A2A" w:rsidRPr="00B32A2A" w:rsidRDefault="00B32A2A" w:rsidP="00B32A2A">
            <w:pPr>
              <w:jc w:val="both"/>
              <w:rPr>
                <w:rFonts w:cs="Arial"/>
                <w:b/>
                <w:i/>
                <w:noProof/>
              </w:rPr>
            </w:pPr>
          </w:p>
        </w:tc>
      </w:tr>
      <w:tr w:rsidR="00B32A2A" w:rsidRPr="00B32A2A" w:rsidTr="00B32A2A">
        <w:trPr>
          <w:trHeight w:val="472"/>
        </w:trPr>
        <w:tc>
          <w:tcPr>
            <w:tcW w:w="11058" w:type="dxa"/>
            <w:gridSpan w:val="6"/>
            <w:shd w:val="clear" w:color="auto" w:fill="FFFFFF"/>
          </w:tcPr>
          <w:p w:rsidR="00B32A2A" w:rsidRPr="00B32A2A" w:rsidRDefault="00B32A2A" w:rsidP="00B32A2A">
            <w:pPr>
              <w:jc w:val="both"/>
              <w:rPr>
                <w:rFonts w:cs="Arial"/>
                <w:b/>
                <w:i/>
                <w:noProof/>
              </w:rPr>
            </w:pPr>
            <w:r>
              <w:rPr>
                <w:b/>
                <w:i/>
                <w:noProof/>
              </w:rPr>
              <w:t xml:space="preserve">Objective 3: </w:t>
            </w:r>
            <w:r>
              <w:t>Improve the quality and use of health information and M&amp;E activities for better strategic planning within the sector</w:t>
            </w:r>
          </w:p>
        </w:tc>
      </w:tr>
      <w:tr w:rsidR="00B32A2A" w:rsidRPr="00B32A2A" w:rsidTr="00B32A2A">
        <w:trPr>
          <w:trHeight w:val="472"/>
        </w:trPr>
        <w:tc>
          <w:tcPr>
            <w:tcW w:w="4254" w:type="dxa"/>
            <w:shd w:val="clear" w:color="auto" w:fill="FFFFFF"/>
          </w:tcPr>
          <w:p w:rsidR="00B32A2A" w:rsidRPr="00B32A2A" w:rsidRDefault="00B32A2A" w:rsidP="00B32A2A">
            <w:pPr>
              <w:jc w:val="both"/>
              <w:rPr>
                <w:rFonts w:cs="Arial"/>
                <w:i/>
                <w:noProof/>
              </w:rPr>
            </w:pPr>
            <w:r>
              <w:rPr>
                <w:i/>
                <w:noProof/>
              </w:rPr>
              <w:t xml:space="preserve">Fiduciary Risks: </w:t>
            </w:r>
            <w:r>
              <w:rPr>
                <w:b/>
                <w:i/>
                <w:noProof/>
              </w:rPr>
              <w:t>see Objective 1</w:t>
            </w:r>
          </w:p>
        </w:tc>
        <w:tc>
          <w:tcPr>
            <w:tcW w:w="1843" w:type="dxa"/>
            <w:gridSpan w:val="2"/>
            <w:shd w:val="clear" w:color="auto" w:fill="FFFFFF"/>
          </w:tcPr>
          <w:p w:rsidR="00B32A2A" w:rsidRPr="00B32A2A" w:rsidRDefault="00B32A2A" w:rsidP="00B32A2A">
            <w:pPr>
              <w:jc w:val="both"/>
              <w:rPr>
                <w:rFonts w:cs="Arial"/>
                <w:b/>
                <w:i/>
                <w:noProof/>
              </w:rPr>
            </w:pPr>
            <w:r>
              <w:rPr>
                <w:b/>
                <w:i/>
                <w:noProof/>
              </w:rPr>
              <w:t>Weak</w:t>
            </w:r>
          </w:p>
        </w:tc>
        <w:tc>
          <w:tcPr>
            <w:tcW w:w="992" w:type="dxa"/>
            <w:gridSpan w:val="2"/>
            <w:shd w:val="clear" w:color="auto" w:fill="FFFFFF"/>
          </w:tcPr>
          <w:p w:rsidR="00B32A2A" w:rsidRPr="00B32A2A" w:rsidRDefault="00B32A2A" w:rsidP="00B32A2A">
            <w:pPr>
              <w:jc w:val="both"/>
              <w:rPr>
                <w:rFonts w:cs="Arial"/>
                <w:b/>
                <w:i/>
                <w:noProof/>
              </w:rPr>
            </w:pPr>
            <w:r>
              <w:rPr>
                <w:b/>
                <w:i/>
                <w:noProof/>
              </w:rPr>
              <w:t>Weak</w:t>
            </w:r>
          </w:p>
        </w:tc>
        <w:tc>
          <w:tcPr>
            <w:tcW w:w="3969" w:type="dxa"/>
            <w:shd w:val="clear" w:color="auto" w:fill="FFFFFF"/>
          </w:tcPr>
          <w:p w:rsidR="00B32A2A" w:rsidRPr="00B32A2A" w:rsidRDefault="00B32A2A" w:rsidP="00B32A2A">
            <w:pPr>
              <w:jc w:val="both"/>
              <w:rPr>
                <w:rFonts w:cs="Arial"/>
                <w:b/>
                <w:i/>
                <w:noProof/>
              </w:rPr>
            </w:pPr>
            <w:r>
              <w:rPr>
                <w:b/>
                <w:i/>
                <w:noProof/>
              </w:rPr>
              <w:t>same as Objective 1</w:t>
            </w:r>
          </w:p>
        </w:tc>
      </w:tr>
      <w:tr w:rsidR="00B32A2A" w:rsidRPr="00B32A2A" w:rsidTr="00B32A2A">
        <w:trPr>
          <w:trHeight w:val="472"/>
        </w:trPr>
        <w:tc>
          <w:tcPr>
            <w:tcW w:w="4254" w:type="dxa"/>
            <w:shd w:val="clear" w:color="auto" w:fill="FFFFFF"/>
          </w:tcPr>
          <w:p w:rsidR="00B32A2A" w:rsidRPr="00B32A2A" w:rsidRDefault="00B32A2A" w:rsidP="00B32A2A">
            <w:pPr>
              <w:jc w:val="both"/>
              <w:rPr>
                <w:rFonts w:cs="Arial"/>
                <w:b/>
                <w:i/>
                <w:noProof/>
              </w:rPr>
            </w:pPr>
            <w:r>
              <w:rPr>
                <w:i/>
                <w:noProof/>
              </w:rPr>
              <w:t xml:space="preserve">Institutional Risks: </w:t>
            </w:r>
            <w:r>
              <w:rPr>
                <w:b/>
                <w:i/>
                <w:noProof/>
              </w:rPr>
              <w:t>see Objective 1</w:t>
            </w:r>
          </w:p>
          <w:p w:rsidR="00B32A2A" w:rsidRPr="00B32A2A" w:rsidRDefault="00B32A2A" w:rsidP="00B32A2A">
            <w:pPr>
              <w:jc w:val="both"/>
              <w:rPr>
                <w:rFonts w:cs="Arial"/>
                <w:noProof/>
              </w:rPr>
            </w:pPr>
            <w:r>
              <w:t>The lack of funding for implementation of the strategic NHIS plan</w:t>
            </w:r>
          </w:p>
        </w:tc>
        <w:tc>
          <w:tcPr>
            <w:tcW w:w="1843" w:type="dxa"/>
            <w:gridSpan w:val="2"/>
            <w:shd w:val="clear" w:color="auto" w:fill="FFFFFF"/>
          </w:tcPr>
          <w:p w:rsidR="00B32A2A" w:rsidRPr="00B32A2A" w:rsidRDefault="00B32A2A" w:rsidP="00B32A2A">
            <w:pPr>
              <w:jc w:val="both"/>
              <w:rPr>
                <w:rFonts w:cs="Arial"/>
                <w:b/>
                <w:i/>
                <w:noProof/>
              </w:rPr>
            </w:pPr>
            <w:r>
              <w:rPr>
                <w:b/>
                <w:i/>
                <w:noProof/>
              </w:rPr>
              <w:t>Weak</w:t>
            </w:r>
          </w:p>
        </w:tc>
        <w:tc>
          <w:tcPr>
            <w:tcW w:w="992" w:type="dxa"/>
            <w:gridSpan w:val="2"/>
            <w:shd w:val="clear" w:color="auto" w:fill="FFFFFF"/>
          </w:tcPr>
          <w:p w:rsidR="00B32A2A" w:rsidRPr="00B32A2A" w:rsidRDefault="00B32A2A" w:rsidP="00B32A2A">
            <w:pPr>
              <w:jc w:val="both"/>
              <w:rPr>
                <w:rFonts w:cs="Arial"/>
                <w:b/>
                <w:i/>
                <w:noProof/>
              </w:rPr>
            </w:pPr>
            <w:r>
              <w:rPr>
                <w:b/>
                <w:i/>
                <w:noProof/>
              </w:rPr>
              <w:t>Medium</w:t>
            </w:r>
          </w:p>
        </w:tc>
        <w:tc>
          <w:tcPr>
            <w:tcW w:w="3969" w:type="dxa"/>
            <w:shd w:val="clear" w:color="auto" w:fill="FFFFFF"/>
          </w:tcPr>
          <w:p w:rsidR="00B32A2A" w:rsidRPr="00B32A2A" w:rsidRDefault="00B32A2A" w:rsidP="00B32A2A">
            <w:pPr>
              <w:rPr>
                <w:rFonts w:cs="Arial"/>
                <w:b/>
                <w:i/>
                <w:noProof/>
              </w:rPr>
            </w:pPr>
            <w:r>
              <w:rPr>
                <w:b/>
                <w:i/>
                <w:noProof/>
              </w:rPr>
              <w:t>same as Objective 1</w:t>
            </w:r>
          </w:p>
          <w:p w:rsidR="00B32A2A" w:rsidRPr="00B32A2A" w:rsidRDefault="00B32A2A" w:rsidP="00B32A2A">
            <w:pPr>
              <w:rPr>
                <w:rFonts w:cs="Arial"/>
                <w:b/>
                <w:i/>
                <w:noProof/>
              </w:rPr>
            </w:pPr>
            <w:r>
              <w:rPr>
                <w:b/>
                <w:i/>
                <w:noProof/>
              </w:rPr>
              <w:t xml:space="preserve">- </w:t>
            </w:r>
            <w:r>
              <w:t>organization of a round table to mobilize the resources needed for 2014</w:t>
            </w:r>
          </w:p>
        </w:tc>
      </w:tr>
      <w:tr w:rsidR="00B32A2A" w:rsidRPr="00B32A2A" w:rsidTr="00B32A2A">
        <w:trPr>
          <w:trHeight w:val="472"/>
        </w:trPr>
        <w:tc>
          <w:tcPr>
            <w:tcW w:w="4254" w:type="dxa"/>
            <w:shd w:val="clear" w:color="auto" w:fill="FFFFFF"/>
          </w:tcPr>
          <w:p w:rsidR="00B32A2A" w:rsidRPr="00B32A2A" w:rsidRDefault="00B32A2A" w:rsidP="00B32A2A">
            <w:pPr>
              <w:jc w:val="both"/>
              <w:rPr>
                <w:rFonts w:cs="Arial"/>
                <w:i/>
                <w:noProof/>
              </w:rPr>
            </w:pPr>
            <w:r>
              <w:rPr>
                <w:i/>
                <w:noProof/>
              </w:rPr>
              <w:t>Operational Risks:</w:t>
            </w:r>
          </w:p>
          <w:p w:rsidR="00B32A2A" w:rsidRPr="00B32A2A" w:rsidRDefault="00B32A2A" w:rsidP="00B32A2A">
            <w:pPr>
              <w:pStyle w:val="ListParagraph"/>
              <w:numPr>
                <w:ilvl w:val="0"/>
                <w:numId w:val="33"/>
              </w:numPr>
              <w:rPr>
                <w:rFonts w:cs="Arial"/>
                <w:i w:val="0"/>
                <w:noProof/>
                <w:color w:val="auto"/>
                <w:sz w:val="22"/>
                <w:szCs w:val="22"/>
              </w:rPr>
            </w:pPr>
            <w:r>
              <w:rPr>
                <w:i w:val="0"/>
                <w:noProof/>
                <w:color w:val="auto"/>
                <w:sz w:val="22"/>
              </w:rPr>
              <w:t xml:space="preserve">Poor Internet coverage and operation throughout the country </w:t>
            </w:r>
          </w:p>
          <w:p w:rsidR="00B32A2A" w:rsidRPr="00B32A2A" w:rsidRDefault="00B32A2A" w:rsidP="00B32A2A">
            <w:pPr>
              <w:pStyle w:val="ListParagraph"/>
              <w:numPr>
                <w:ilvl w:val="0"/>
                <w:numId w:val="0"/>
              </w:numPr>
              <w:ind w:left="360"/>
              <w:rPr>
                <w:rFonts w:cs="Arial"/>
                <w:i w:val="0"/>
                <w:noProof/>
                <w:color w:val="auto"/>
                <w:sz w:val="22"/>
                <w:szCs w:val="22"/>
              </w:rPr>
            </w:pPr>
          </w:p>
          <w:p w:rsidR="00B32A2A" w:rsidRPr="00B32A2A" w:rsidRDefault="00B32A2A" w:rsidP="00B32A2A">
            <w:pPr>
              <w:pStyle w:val="ListParagraph"/>
              <w:numPr>
                <w:ilvl w:val="0"/>
                <w:numId w:val="0"/>
              </w:numPr>
              <w:ind w:left="360"/>
              <w:rPr>
                <w:rFonts w:cs="Arial"/>
                <w:i w:val="0"/>
                <w:noProof/>
                <w:color w:val="auto"/>
                <w:sz w:val="22"/>
                <w:szCs w:val="22"/>
              </w:rPr>
            </w:pPr>
          </w:p>
          <w:p w:rsidR="00B32A2A" w:rsidRPr="00B32A2A" w:rsidRDefault="00B32A2A" w:rsidP="00B32A2A">
            <w:pPr>
              <w:pStyle w:val="ListParagraph"/>
              <w:numPr>
                <w:ilvl w:val="0"/>
                <w:numId w:val="33"/>
              </w:numPr>
              <w:rPr>
                <w:rFonts w:cs="Arial"/>
                <w:i w:val="0"/>
                <w:noProof/>
                <w:color w:val="auto"/>
                <w:sz w:val="22"/>
                <w:szCs w:val="22"/>
              </w:rPr>
            </w:pPr>
            <w:r>
              <w:rPr>
                <w:i w:val="0"/>
                <w:noProof/>
                <w:color w:val="auto"/>
                <w:sz w:val="22"/>
              </w:rPr>
              <w:t xml:space="preserve">The persistence of a shortage of specialized personnel in health data management </w:t>
            </w:r>
          </w:p>
          <w:p w:rsidR="00B32A2A" w:rsidRPr="00B32A2A" w:rsidRDefault="00B32A2A" w:rsidP="00B32A2A">
            <w:pPr>
              <w:rPr>
                <w:rFonts w:cs="Arial"/>
                <w:i/>
                <w:noProof/>
              </w:rPr>
            </w:pPr>
          </w:p>
        </w:tc>
        <w:tc>
          <w:tcPr>
            <w:tcW w:w="1843" w:type="dxa"/>
            <w:gridSpan w:val="2"/>
            <w:shd w:val="clear" w:color="auto" w:fill="FFFFFF"/>
          </w:tcPr>
          <w:p w:rsidR="00B32A2A" w:rsidRPr="00B32A2A" w:rsidRDefault="00B32A2A" w:rsidP="00B32A2A">
            <w:pPr>
              <w:jc w:val="both"/>
              <w:rPr>
                <w:rFonts w:cs="Arial"/>
                <w:b/>
                <w:i/>
                <w:noProof/>
              </w:rPr>
            </w:pPr>
          </w:p>
          <w:p w:rsidR="00B32A2A" w:rsidRPr="00B32A2A" w:rsidRDefault="00B32A2A" w:rsidP="00B32A2A">
            <w:pPr>
              <w:jc w:val="both"/>
              <w:rPr>
                <w:rFonts w:cs="Arial"/>
                <w:b/>
                <w:i/>
                <w:noProof/>
              </w:rPr>
            </w:pPr>
            <w:r>
              <w:rPr>
                <w:b/>
                <w:i/>
                <w:noProof/>
              </w:rPr>
              <w:t>Weak</w:t>
            </w:r>
          </w:p>
          <w:p w:rsidR="00B32A2A" w:rsidRPr="00B32A2A" w:rsidRDefault="00B32A2A" w:rsidP="00B32A2A">
            <w:pPr>
              <w:jc w:val="both"/>
              <w:rPr>
                <w:rFonts w:cs="Arial"/>
                <w:b/>
                <w:i/>
                <w:noProof/>
              </w:rPr>
            </w:pPr>
          </w:p>
          <w:p w:rsidR="00B32A2A" w:rsidRPr="00B32A2A" w:rsidRDefault="00B32A2A" w:rsidP="00B32A2A">
            <w:pPr>
              <w:jc w:val="both"/>
              <w:rPr>
                <w:rFonts w:cs="Arial"/>
                <w:b/>
                <w:i/>
                <w:noProof/>
              </w:rPr>
            </w:pPr>
          </w:p>
          <w:p w:rsidR="00B32A2A" w:rsidRPr="00B32A2A" w:rsidRDefault="00B32A2A" w:rsidP="00B32A2A">
            <w:pPr>
              <w:jc w:val="both"/>
              <w:rPr>
                <w:rFonts w:cs="Arial"/>
                <w:b/>
                <w:i/>
                <w:noProof/>
              </w:rPr>
            </w:pPr>
            <w:r>
              <w:rPr>
                <w:b/>
                <w:i/>
                <w:noProof/>
              </w:rPr>
              <w:t>Medium</w:t>
            </w:r>
          </w:p>
        </w:tc>
        <w:tc>
          <w:tcPr>
            <w:tcW w:w="992" w:type="dxa"/>
            <w:gridSpan w:val="2"/>
            <w:shd w:val="clear" w:color="auto" w:fill="FFFFFF"/>
          </w:tcPr>
          <w:p w:rsidR="00B32A2A" w:rsidRPr="00B32A2A" w:rsidRDefault="00B32A2A" w:rsidP="00B32A2A">
            <w:pPr>
              <w:jc w:val="both"/>
              <w:rPr>
                <w:rFonts w:cs="Arial"/>
                <w:b/>
                <w:i/>
                <w:noProof/>
              </w:rPr>
            </w:pPr>
          </w:p>
          <w:p w:rsidR="00B32A2A" w:rsidRPr="00B32A2A" w:rsidRDefault="00B32A2A" w:rsidP="00B32A2A">
            <w:pPr>
              <w:jc w:val="both"/>
              <w:rPr>
                <w:rFonts w:cs="Arial"/>
                <w:b/>
                <w:i/>
                <w:noProof/>
              </w:rPr>
            </w:pPr>
            <w:r>
              <w:rPr>
                <w:b/>
                <w:i/>
                <w:noProof/>
              </w:rPr>
              <w:t>Weak</w:t>
            </w:r>
          </w:p>
          <w:p w:rsidR="00B32A2A" w:rsidRPr="00B32A2A" w:rsidRDefault="00B32A2A" w:rsidP="00B32A2A">
            <w:pPr>
              <w:jc w:val="both"/>
              <w:rPr>
                <w:rFonts w:cs="Arial"/>
                <w:b/>
                <w:i/>
                <w:noProof/>
              </w:rPr>
            </w:pPr>
          </w:p>
          <w:p w:rsidR="00B32A2A" w:rsidRPr="00B32A2A" w:rsidRDefault="00B32A2A" w:rsidP="00B32A2A">
            <w:pPr>
              <w:jc w:val="both"/>
              <w:rPr>
                <w:rFonts w:cs="Arial"/>
                <w:b/>
                <w:i/>
                <w:noProof/>
              </w:rPr>
            </w:pPr>
          </w:p>
          <w:p w:rsidR="00B32A2A" w:rsidRPr="00B32A2A" w:rsidRDefault="00B32A2A" w:rsidP="00B32A2A">
            <w:pPr>
              <w:jc w:val="both"/>
              <w:rPr>
                <w:rFonts w:cs="Arial"/>
                <w:b/>
                <w:i/>
                <w:noProof/>
              </w:rPr>
            </w:pPr>
            <w:r>
              <w:rPr>
                <w:b/>
                <w:i/>
                <w:noProof/>
              </w:rPr>
              <w:t>Medium</w:t>
            </w:r>
          </w:p>
          <w:p w:rsidR="00B32A2A" w:rsidRPr="00B32A2A" w:rsidRDefault="00B32A2A" w:rsidP="00B32A2A">
            <w:pPr>
              <w:jc w:val="both"/>
              <w:rPr>
                <w:rFonts w:cs="Arial"/>
                <w:b/>
                <w:i/>
                <w:noProof/>
              </w:rPr>
            </w:pPr>
          </w:p>
        </w:tc>
        <w:tc>
          <w:tcPr>
            <w:tcW w:w="3969" w:type="dxa"/>
            <w:shd w:val="clear" w:color="auto" w:fill="FFFFFF"/>
          </w:tcPr>
          <w:p w:rsidR="00B32A2A" w:rsidRPr="00B32A2A" w:rsidRDefault="00B32A2A" w:rsidP="00B32A2A">
            <w:pPr>
              <w:rPr>
                <w:rFonts w:cs="Arial"/>
                <w:noProof/>
              </w:rPr>
            </w:pPr>
          </w:p>
          <w:p w:rsidR="00B32A2A" w:rsidRPr="00B32A2A" w:rsidRDefault="00B32A2A" w:rsidP="00B32A2A">
            <w:pPr>
              <w:rPr>
                <w:rFonts w:cs="Arial"/>
                <w:noProof/>
              </w:rPr>
            </w:pPr>
            <w:r>
              <w:t>- Existence of plan to extend Internet coverage, funded by the CF</w:t>
            </w:r>
          </w:p>
          <w:p w:rsidR="00B32A2A" w:rsidRPr="00B32A2A" w:rsidRDefault="00B32A2A" w:rsidP="00B32A2A">
            <w:pPr>
              <w:rPr>
                <w:rFonts w:cs="Arial"/>
                <w:noProof/>
              </w:rPr>
            </w:pPr>
            <w:r>
              <w:t>- Ongoing experiment for transmission of NHIS data using telephone data</w:t>
            </w:r>
          </w:p>
          <w:p w:rsidR="00B32A2A" w:rsidRPr="00B32A2A" w:rsidRDefault="00B32A2A" w:rsidP="00B32A2A">
            <w:pPr>
              <w:rPr>
                <w:rFonts w:cs="Arial"/>
                <w:noProof/>
              </w:rPr>
            </w:pPr>
            <w:r>
              <w:t>- Recruitment and capacity strengthening of the personnel in charge of health information management</w:t>
            </w:r>
          </w:p>
          <w:p w:rsidR="00B32A2A" w:rsidRPr="00B32A2A" w:rsidRDefault="00B32A2A" w:rsidP="00B32A2A">
            <w:pPr>
              <w:rPr>
                <w:rFonts w:cs="Arial"/>
                <w:b/>
                <w:i/>
                <w:noProof/>
              </w:rPr>
            </w:pPr>
          </w:p>
        </w:tc>
      </w:tr>
      <w:tr w:rsidR="00B32A2A" w:rsidRPr="00B32A2A" w:rsidTr="00B32A2A">
        <w:trPr>
          <w:trHeight w:val="472"/>
        </w:trPr>
        <w:tc>
          <w:tcPr>
            <w:tcW w:w="4254" w:type="dxa"/>
            <w:shd w:val="clear" w:color="auto" w:fill="FFFFFF"/>
          </w:tcPr>
          <w:p w:rsidR="00B32A2A" w:rsidRPr="00B32A2A" w:rsidRDefault="00B32A2A" w:rsidP="00B32A2A">
            <w:pPr>
              <w:jc w:val="both"/>
              <w:rPr>
                <w:rFonts w:cs="Arial"/>
                <w:b/>
                <w:i/>
                <w:noProof/>
              </w:rPr>
            </w:pPr>
            <w:r>
              <w:rPr>
                <w:b/>
                <w:i/>
                <w:noProof/>
              </w:rPr>
              <w:t>Overall Risk Rating for Objective 3</w:t>
            </w:r>
          </w:p>
        </w:tc>
        <w:tc>
          <w:tcPr>
            <w:tcW w:w="1843" w:type="dxa"/>
            <w:gridSpan w:val="2"/>
            <w:shd w:val="clear" w:color="auto" w:fill="FFFFFF"/>
          </w:tcPr>
          <w:p w:rsidR="00B32A2A" w:rsidRPr="00B32A2A" w:rsidRDefault="00B32A2A" w:rsidP="00B32A2A">
            <w:pPr>
              <w:jc w:val="both"/>
              <w:rPr>
                <w:rFonts w:cs="Arial"/>
                <w:b/>
                <w:i/>
                <w:noProof/>
              </w:rPr>
            </w:pPr>
            <w:r>
              <w:rPr>
                <w:b/>
                <w:i/>
                <w:noProof/>
              </w:rPr>
              <w:t>Weak</w:t>
            </w:r>
          </w:p>
        </w:tc>
        <w:tc>
          <w:tcPr>
            <w:tcW w:w="992" w:type="dxa"/>
            <w:gridSpan w:val="2"/>
            <w:shd w:val="clear" w:color="auto" w:fill="FFFFFF"/>
          </w:tcPr>
          <w:p w:rsidR="00B32A2A" w:rsidRPr="00B32A2A" w:rsidRDefault="00B32A2A" w:rsidP="00B32A2A">
            <w:pPr>
              <w:jc w:val="both"/>
              <w:rPr>
                <w:rFonts w:cs="Arial"/>
                <w:b/>
                <w:i/>
                <w:noProof/>
              </w:rPr>
            </w:pPr>
            <w:r>
              <w:rPr>
                <w:b/>
                <w:i/>
                <w:noProof/>
              </w:rPr>
              <w:t>Medium</w:t>
            </w:r>
          </w:p>
        </w:tc>
        <w:tc>
          <w:tcPr>
            <w:tcW w:w="3969" w:type="dxa"/>
            <w:shd w:val="clear" w:color="auto" w:fill="FFFFFF"/>
          </w:tcPr>
          <w:p w:rsidR="00B32A2A" w:rsidRPr="00B32A2A" w:rsidRDefault="00B32A2A" w:rsidP="00B32A2A">
            <w:pPr>
              <w:jc w:val="both"/>
              <w:rPr>
                <w:rFonts w:cs="Arial"/>
                <w:b/>
                <w:i/>
                <w:noProof/>
              </w:rPr>
            </w:pPr>
          </w:p>
        </w:tc>
      </w:tr>
      <w:tr w:rsidR="00B32A2A" w:rsidRPr="00B32A2A" w:rsidTr="00B32A2A">
        <w:trPr>
          <w:trHeight w:val="472"/>
        </w:trPr>
        <w:tc>
          <w:tcPr>
            <w:tcW w:w="11058" w:type="dxa"/>
            <w:gridSpan w:val="6"/>
            <w:shd w:val="clear" w:color="auto" w:fill="FFFFFF"/>
          </w:tcPr>
          <w:p w:rsidR="00B32A2A" w:rsidRPr="00B32A2A" w:rsidRDefault="00B32A2A" w:rsidP="00B32A2A">
            <w:pPr>
              <w:jc w:val="both"/>
              <w:rPr>
                <w:rFonts w:cs="Arial"/>
                <w:b/>
                <w:i/>
                <w:noProof/>
              </w:rPr>
            </w:pPr>
            <w:r>
              <w:rPr>
                <w:b/>
                <w:i/>
                <w:noProof/>
              </w:rPr>
              <w:t>Objective 4 </w:t>
            </w:r>
            <w:r>
              <w:t>Increasing the State's contribution to the funding of these health activities, including immunization.</w:t>
            </w:r>
          </w:p>
        </w:tc>
      </w:tr>
      <w:tr w:rsidR="00B32A2A" w:rsidRPr="00B32A2A" w:rsidTr="00B32A2A">
        <w:trPr>
          <w:trHeight w:val="472"/>
        </w:trPr>
        <w:tc>
          <w:tcPr>
            <w:tcW w:w="4254" w:type="dxa"/>
            <w:shd w:val="clear" w:color="auto" w:fill="FFFFFF"/>
          </w:tcPr>
          <w:p w:rsidR="00B32A2A" w:rsidRPr="00B32A2A" w:rsidRDefault="00B32A2A" w:rsidP="00B32A2A">
            <w:pPr>
              <w:jc w:val="both"/>
              <w:rPr>
                <w:rFonts w:cs="Arial"/>
                <w:i/>
                <w:noProof/>
              </w:rPr>
            </w:pPr>
            <w:r>
              <w:rPr>
                <w:i/>
                <w:noProof/>
              </w:rPr>
              <w:t xml:space="preserve">Fiduciary Risks: </w:t>
            </w:r>
            <w:r>
              <w:rPr>
                <w:b/>
                <w:i/>
                <w:noProof/>
              </w:rPr>
              <w:t>see Objective 1</w:t>
            </w:r>
          </w:p>
        </w:tc>
        <w:tc>
          <w:tcPr>
            <w:tcW w:w="1701" w:type="dxa"/>
            <w:shd w:val="clear" w:color="auto" w:fill="FFFFFF"/>
          </w:tcPr>
          <w:p w:rsidR="00B32A2A" w:rsidRPr="00B32A2A" w:rsidRDefault="00B32A2A" w:rsidP="00B32A2A">
            <w:pPr>
              <w:jc w:val="both"/>
              <w:rPr>
                <w:rFonts w:cs="Arial"/>
                <w:b/>
                <w:i/>
                <w:noProof/>
              </w:rPr>
            </w:pPr>
            <w:r>
              <w:rPr>
                <w:b/>
                <w:i/>
                <w:noProof/>
              </w:rPr>
              <w:t>Weak</w:t>
            </w:r>
          </w:p>
        </w:tc>
        <w:tc>
          <w:tcPr>
            <w:tcW w:w="992" w:type="dxa"/>
            <w:gridSpan w:val="2"/>
            <w:shd w:val="clear" w:color="auto" w:fill="FFFFFF"/>
          </w:tcPr>
          <w:p w:rsidR="00B32A2A" w:rsidRPr="00B32A2A" w:rsidRDefault="00B32A2A" w:rsidP="00B32A2A">
            <w:pPr>
              <w:jc w:val="both"/>
              <w:rPr>
                <w:rFonts w:cs="Arial"/>
                <w:b/>
                <w:i/>
                <w:noProof/>
              </w:rPr>
            </w:pPr>
            <w:r>
              <w:rPr>
                <w:b/>
                <w:i/>
                <w:noProof/>
              </w:rPr>
              <w:t>Weak</w:t>
            </w:r>
          </w:p>
        </w:tc>
        <w:tc>
          <w:tcPr>
            <w:tcW w:w="4111" w:type="dxa"/>
            <w:gridSpan w:val="2"/>
            <w:shd w:val="clear" w:color="auto" w:fill="FFFFFF"/>
          </w:tcPr>
          <w:p w:rsidR="00B32A2A" w:rsidRPr="00B32A2A" w:rsidRDefault="00B32A2A" w:rsidP="00B32A2A">
            <w:pPr>
              <w:jc w:val="both"/>
              <w:rPr>
                <w:rFonts w:cs="Arial"/>
                <w:b/>
                <w:i/>
                <w:noProof/>
              </w:rPr>
            </w:pPr>
            <w:r>
              <w:rPr>
                <w:b/>
                <w:i/>
                <w:noProof/>
              </w:rPr>
              <w:t>same as Objective 1</w:t>
            </w:r>
          </w:p>
        </w:tc>
      </w:tr>
      <w:tr w:rsidR="00B32A2A" w:rsidRPr="00B32A2A" w:rsidTr="00B32A2A">
        <w:trPr>
          <w:trHeight w:val="472"/>
        </w:trPr>
        <w:tc>
          <w:tcPr>
            <w:tcW w:w="4254" w:type="dxa"/>
            <w:shd w:val="clear" w:color="auto" w:fill="FFFFFF"/>
          </w:tcPr>
          <w:p w:rsidR="00B32A2A" w:rsidRPr="00B32A2A" w:rsidRDefault="00B32A2A" w:rsidP="00B32A2A">
            <w:pPr>
              <w:jc w:val="both"/>
              <w:rPr>
                <w:rFonts w:cs="Arial"/>
                <w:b/>
                <w:i/>
                <w:noProof/>
              </w:rPr>
            </w:pPr>
            <w:r>
              <w:rPr>
                <w:i/>
                <w:noProof/>
              </w:rPr>
              <w:t xml:space="preserve">Institutional Risks: </w:t>
            </w:r>
            <w:r>
              <w:rPr>
                <w:b/>
                <w:i/>
                <w:noProof/>
              </w:rPr>
              <w:t>see Objective 1</w:t>
            </w:r>
          </w:p>
          <w:p w:rsidR="00B32A2A" w:rsidRPr="00B32A2A" w:rsidRDefault="00B32A2A" w:rsidP="00B32A2A">
            <w:pPr>
              <w:jc w:val="both"/>
              <w:rPr>
                <w:rFonts w:cs="Arial"/>
                <w:i/>
                <w:noProof/>
              </w:rPr>
            </w:pPr>
            <w:r>
              <w:rPr>
                <w:i/>
                <w:noProof/>
              </w:rPr>
              <w:lastRenderedPageBreak/>
              <w:t>- weak capacity to mobilize internal resources</w:t>
            </w:r>
          </w:p>
          <w:p w:rsidR="00B32A2A" w:rsidRPr="00B32A2A" w:rsidRDefault="00B32A2A" w:rsidP="00B32A2A">
            <w:pPr>
              <w:jc w:val="both"/>
              <w:rPr>
                <w:rFonts w:cs="Arial"/>
                <w:i/>
                <w:noProof/>
              </w:rPr>
            </w:pPr>
            <w:r>
              <w:rPr>
                <w:i/>
                <w:noProof/>
              </w:rPr>
              <w:t>- inadequate State funds</w:t>
            </w:r>
          </w:p>
        </w:tc>
        <w:tc>
          <w:tcPr>
            <w:tcW w:w="1701" w:type="dxa"/>
            <w:shd w:val="clear" w:color="auto" w:fill="FFFFFF"/>
          </w:tcPr>
          <w:p w:rsidR="00B32A2A" w:rsidRPr="00B32A2A" w:rsidRDefault="00B32A2A" w:rsidP="00B32A2A">
            <w:pPr>
              <w:jc w:val="both"/>
              <w:rPr>
                <w:rFonts w:cs="Arial"/>
                <w:b/>
                <w:i/>
                <w:noProof/>
              </w:rPr>
            </w:pPr>
            <w:r>
              <w:rPr>
                <w:b/>
                <w:i/>
                <w:noProof/>
              </w:rPr>
              <w:lastRenderedPageBreak/>
              <w:t>Weak</w:t>
            </w:r>
          </w:p>
        </w:tc>
        <w:tc>
          <w:tcPr>
            <w:tcW w:w="992" w:type="dxa"/>
            <w:gridSpan w:val="2"/>
            <w:shd w:val="clear" w:color="auto" w:fill="FFFFFF"/>
          </w:tcPr>
          <w:p w:rsidR="00B32A2A" w:rsidRPr="00B32A2A" w:rsidRDefault="00B32A2A" w:rsidP="00B32A2A">
            <w:pPr>
              <w:jc w:val="both"/>
              <w:rPr>
                <w:rFonts w:cs="Arial"/>
                <w:b/>
                <w:i/>
                <w:noProof/>
              </w:rPr>
            </w:pPr>
            <w:r>
              <w:rPr>
                <w:b/>
                <w:i/>
                <w:noProof/>
              </w:rPr>
              <w:t>Mediu</w:t>
            </w:r>
            <w:r>
              <w:rPr>
                <w:b/>
                <w:i/>
                <w:noProof/>
              </w:rPr>
              <w:lastRenderedPageBreak/>
              <w:t>m</w:t>
            </w:r>
          </w:p>
        </w:tc>
        <w:tc>
          <w:tcPr>
            <w:tcW w:w="4111" w:type="dxa"/>
            <w:gridSpan w:val="2"/>
            <w:shd w:val="clear" w:color="auto" w:fill="FFFFFF"/>
          </w:tcPr>
          <w:p w:rsidR="00B32A2A" w:rsidRPr="00B32A2A" w:rsidRDefault="00B32A2A" w:rsidP="00B32A2A">
            <w:pPr>
              <w:rPr>
                <w:rFonts w:cs="Arial"/>
                <w:b/>
                <w:i/>
                <w:noProof/>
              </w:rPr>
            </w:pPr>
            <w:r>
              <w:rPr>
                <w:b/>
                <w:i/>
                <w:noProof/>
              </w:rPr>
              <w:lastRenderedPageBreak/>
              <w:t>same as Objective 1</w:t>
            </w:r>
          </w:p>
          <w:p w:rsidR="00B32A2A" w:rsidRPr="00B32A2A" w:rsidRDefault="00B32A2A" w:rsidP="00B32A2A">
            <w:pPr>
              <w:rPr>
                <w:rFonts w:cs="Arial"/>
                <w:noProof/>
              </w:rPr>
            </w:pPr>
            <w:r>
              <w:rPr>
                <w:b/>
                <w:i/>
                <w:noProof/>
              </w:rPr>
              <w:lastRenderedPageBreak/>
              <w:t xml:space="preserve">- </w:t>
            </w:r>
            <w:r>
              <w:t xml:space="preserve">existence of a program to reform fiscal administration </w:t>
            </w:r>
          </w:p>
          <w:p w:rsidR="00B32A2A" w:rsidRPr="00B32A2A" w:rsidRDefault="00B32A2A" w:rsidP="00B32A2A">
            <w:pPr>
              <w:rPr>
                <w:rFonts w:cs="Arial"/>
                <w:noProof/>
              </w:rPr>
            </w:pPr>
            <w:r>
              <w:t xml:space="preserve">- decentralized allocation of mining royalties </w:t>
            </w:r>
          </w:p>
        </w:tc>
      </w:tr>
      <w:tr w:rsidR="00B32A2A" w:rsidRPr="00B32A2A" w:rsidTr="00B32A2A">
        <w:trPr>
          <w:trHeight w:val="396"/>
        </w:trPr>
        <w:tc>
          <w:tcPr>
            <w:tcW w:w="4254" w:type="dxa"/>
            <w:shd w:val="clear" w:color="auto" w:fill="FFFFFF"/>
          </w:tcPr>
          <w:p w:rsidR="00B32A2A" w:rsidRPr="00B32A2A" w:rsidRDefault="00B32A2A" w:rsidP="00B32A2A">
            <w:pPr>
              <w:jc w:val="both"/>
              <w:rPr>
                <w:rFonts w:cs="Arial"/>
                <w:i/>
                <w:noProof/>
              </w:rPr>
            </w:pPr>
            <w:r>
              <w:rPr>
                <w:i/>
                <w:noProof/>
              </w:rPr>
              <w:lastRenderedPageBreak/>
              <w:t>Operational Risks:</w:t>
            </w:r>
          </w:p>
          <w:p w:rsidR="00B32A2A" w:rsidRPr="00B32A2A" w:rsidRDefault="00B32A2A" w:rsidP="00B32A2A">
            <w:pPr>
              <w:jc w:val="both"/>
              <w:rPr>
                <w:rFonts w:cs="Arial"/>
                <w:i/>
                <w:noProof/>
              </w:rPr>
            </w:pPr>
            <w:r>
              <w:rPr>
                <w:i/>
                <w:noProof/>
              </w:rPr>
              <w:t xml:space="preserve">- slow administration for the execution of public expenditures </w:t>
            </w:r>
          </w:p>
        </w:tc>
        <w:tc>
          <w:tcPr>
            <w:tcW w:w="1701" w:type="dxa"/>
            <w:shd w:val="clear" w:color="auto" w:fill="FFFFFF"/>
          </w:tcPr>
          <w:p w:rsidR="00B32A2A" w:rsidRPr="00B32A2A" w:rsidRDefault="00B32A2A" w:rsidP="00B32A2A">
            <w:pPr>
              <w:jc w:val="both"/>
              <w:rPr>
                <w:rFonts w:cs="Arial"/>
                <w:b/>
                <w:i/>
                <w:noProof/>
              </w:rPr>
            </w:pPr>
            <w:r>
              <w:rPr>
                <w:b/>
                <w:i/>
                <w:noProof/>
              </w:rPr>
              <w:t xml:space="preserve">Weak </w:t>
            </w:r>
          </w:p>
        </w:tc>
        <w:tc>
          <w:tcPr>
            <w:tcW w:w="992" w:type="dxa"/>
            <w:gridSpan w:val="2"/>
            <w:shd w:val="clear" w:color="auto" w:fill="FFFFFF"/>
          </w:tcPr>
          <w:p w:rsidR="00B32A2A" w:rsidRPr="00B32A2A" w:rsidRDefault="00B32A2A" w:rsidP="00B32A2A">
            <w:pPr>
              <w:jc w:val="both"/>
              <w:rPr>
                <w:rFonts w:cs="Arial"/>
                <w:b/>
                <w:i/>
                <w:noProof/>
              </w:rPr>
            </w:pPr>
            <w:r>
              <w:rPr>
                <w:b/>
                <w:i/>
                <w:noProof/>
              </w:rPr>
              <w:t>Medium</w:t>
            </w:r>
          </w:p>
          <w:p w:rsidR="00B32A2A" w:rsidRPr="00B32A2A" w:rsidRDefault="00B32A2A" w:rsidP="00B32A2A">
            <w:pPr>
              <w:jc w:val="both"/>
              <w:rPr>
                <w:rFonts w:cs="Arial"/>
                <w:b/>
                <w:i/>
                <w:noProof/>
              </w:rPr>
            </w:pPr>
          </w:p>
        </w:tc>
        <w:tc>
          <w:tcPr>
            <w:tcW w:w="4111" w:type="dxa"/>
            <w:gridSpan w:val="2"/>
            <w:shd w:val="clear" w:color="auto" w:fill="FFFFFF"/>
          </w:tcPr>
          <w:p w:rsidR="00B32A2A" w:rsidRPr="00B32A2A" w:rsidRDefault="00B32A2A" w:rsidP="00B32A2A">
            <w:pPr>
              <w:rPr>
                <w:rFonts w:cs="Arial"/>
                <w:b/>
                <w:i/>
                <w:noProof/>
              </w:rPr>
            </w:pPr>
          </w:p>
          <w:p w:rsidR="00B32A2A" w:rsidRPr="00B32A2A" w:rsidRDefault="00B32A2A" w:rsidP="00B32A2A">
            <w:pPr>
              <w:rPr>
                <w:rFonts w:cs="Arial"/>
                <w:noProof/>
              </w:rPr>
            </w:pPr>
            <w:r>
              <w:rPr>
                <w:b/>
                <w:i/>
                <w:noProof/>
              </w:rPr>
              <w:t xml:space="preserve">- </w:t>
            </w:r>
            <w:r>
              <w:t>existence of a monitoring plan for public expenditures</w:t>
            </w:r>
          </w:p>
        </w:tc>
      </w:tr>
      <w:tr w:rsidR="00B32A2A" w:rsidRPr="00B32A2A" w:rsidTr="00B32A2A">
        <w:trPr>
          <w:trHeight w:val="472"/>
        </w:trPr>
        <w:tc>
          <w:tcPr>
            <w:tcW w:w="4254" w:type="dxa"/>
            <w:shd w:val="clear" w:color="auto" w:fill="FFFFFF"/>
          </w:tcPr>
          <w:p w:rsidR="00B32A2A" w:rsidRPr="00B32A2A" w:rsidRDefault="00B32A2A" w:rsidP="00B32A2A">
            <w:pPr>
              <w:jc w:val="both"/>
              <w:rPr>
                <w:rFonts w:cs="Arial"/>
                <w:b/>
                <w:i/>
                <w:noProof/>
              </w:rPr>
            </w:pPr>
            <w:r>
              <w:rPr>
                <w:b/>
                <w:i/>
                <w:noProof/>
              </w:rPr>
              <w:t>Overall Risk Rating for Objective 4</w:t>
            </w:r>
          </w:p>
        </w:tc>
        <w:tc>
          <w:tcPr>
            <w:tcW w:w="1701" w:type="dxa"/>
            <w:shd w:val="clear" w:color="auto" w:fill="FFFFFF"/>
          </w:tcPr>
          <w:p w:rsidR="00B32A2A" w:rsidRPr="00B32A2A" w:rsidRDefault="00B32A2A" w:rsidP="00B32A2A">
            <w:pPr>
              <w:jc w:val="both"/>
              <w:rPr>
                <w:rFonts w:cs="Arial"/>
                <w:b/>
                <w:i/>
                <w:noProof/>
              </w:rPr>
            </w:pPr>
            <w:r>
              <w:rPr>
                <w:b/>
                <w:i/>
                <w:noProof/>
              </w:rPr>
              <w:t>Weak</w:t>
            </w:r>
          </w:p>
        </w:tc>
        <w:tc>
          <w:tcPr>
            <w:tcW w:w="992" w:type="dxa"/>
            <w:gridSpan w:val="2"/>
            <w:shd w:val="clear" w:color="auto" w:fill="FFFFFF"/>
          </w:tcPr>
          <w:p w:rsidR="00B32A2A" w:rsidRPr="00B32A2A" w:rsidRDefault="00B32A2A" w:rsidP="00B32A2A">
            <w:pPr>
              <w:jc w:val="both"/>
              <w:rPr>
                <w:rFonts w:cs="Arial"/>
                <w:b/>
                <w:i/>
                <w:noProof/>
              </w:rPr>
            </w:pPr>
            <w:r>
              <w:rPr>
                <w:b/>
                <w:i/>
                <w:noProof/>
              </w:rPr>
              <w:t xml:space="preserve">Medium </w:t>
            </w:r>
          </w:p>
        </w:tc>
        <w:tc>
          <w:tcPr>
            <w:tcW w:w="4111" w:type="dxa"/>
            <w:gridSpan w:val="2"/>
            <w:shd w:val="clear" w:color="auto" w:fill="FFFFFF"/>
          </w:tcPr>
          <w:p w:rsidR="00B32A2A" w:rsidRPr="00B32A2A" w:rsidRDefault="00B32A2A" w:rsidP="00B32A2A">
            <w:pPr>
              <w:jc w:val="both"/>
              <w:rPr>
                <w:rFonts w:cs="Arial"/>
                <w:b/>
                <w:i/>
                <w:noProof/>
              </w:rPr>
            </w:pPr>
          </w:p>
        </w:tc>
      </w:tr>
      <w:tr w:rsidR="00B32A2A" w:rsidRPr="00B32A2A" w:rsidTr="00B32A2A">
        <w:trPr>
          <w:trHeight w:val="472"/>
        </w:trPr>
        <w:tc>
          <w:tcPr>
            <w:tcW w:w="11058" w:type="dxa"/>
            <w:gridSpan w:val="6"/>
            <w:shd w:val="clear" w:color="auto" w:fill="FFFFFF"/>
          </w:tcPr>
          <w:p w:rsidR="00B32A2A" w:rsidRPr="00B32A2A" w:rsidRDefault="00B32A2A" w:rsidP="00B32A2A">
            <w:pPr>
              <w:jc w:val="both"/>
              <w:rPr>
                <w:rFonts w:cs="Arial"/>
                <w:b/>
                <w:i/>
                <w:noProof/>
              </w:rPr>
            </w:pPr>
            <w:r>
              <w:rPr>
                <w:b/>
                <w:i/>
                <w:noProof/>
              </w:rPr>
              <w:t xml:space="preserve">Objective 5: </w:t>
            </w:r>
            <w:r>
              <w:rPr>
                <w:b/>
                <w:noProof/>
              </w:rPr>
              <w:t>Improve existing management mechanisms so as to implement an efficient and effective Program</w:t>
            </w:r>
          </w:p>
        </w:tc>
      </w:tr>
      <w:tr w:rsidR="00B32A2A" w:rsidRPr="00B32A2A" w:rsidTr="00B32A2A">
        <w:trPr>
          <w:trHeight w:val="472"/>
        </w:trPr>
        <w:tc>
          <w:tcPr>
            <w:tcW w:w="4254" w:type="dxa"/>
            <w:shd w:val="clear" w:color="auto" w:fill="FFFFFF"/>
          </w:tcPr>
          <w:p w:rsidR="00B32A2A" w:rsidRPr="00B32A2A" w:rsidRDefault="00B32A2A" w:rsidP="00B32A2A">
            <w:pPr>
              <w:jc w:val="both"/>
              <w:rPr>
                <w:rFonts w:cs="Arial"/>
                <w:i/>
                <w:noProof/>
              </w:rPr>
            </w:pPr>
            <w:r>
              <w:rPr>
                <w:i/>
                <w:noProof/>
              </w:rPr>
              <w:t>Fiduciary Risks:</w:t>
            </w:r>
          </w:p>
          <w:p w:rsidR="00B32A2A" w:rsidRPr="00B32A2A" w:rsidRDefault="00B32A2A" w:rsidP="00B32A2A">
            <w:pPr>
              <w:pStyle w:val="ListParagraph"/>
              <w:numPr>
                <w:ilvl w:val="0"/>
                <w:numId w:val="50"/>
              </w:numPr>
              <w:rPr>
                <w:rFonts w:cs="Arial"/>
                <w:noProof/>
                <w:color w:val="auto"/>
                <w:sz w:val="22"/>
                <w:szCs w:val="22"/>
              </w:rPr>
            </w:pPr>
            <w:r>
              <w:rPr>
                <w:noProof/>
                <w:color w:val="auto"/>
                <w:sz w:val="22"/>
              </w:rPr>
              <w:t>same as Objective 1</w:t>
            </w:r>
          </w:p>
          <w:p w:rsidR="00B32A2A" w:rsidRPr="00B32A2A" w:rsidRDefault="00B32A2A" w:rsidP="00B32A2A">
            <w:pPr>
              <w:pStyle w:val="ListParagraph"/>
              <w:numPr>
                <w:ilvl w:val="0"/>
                <w:numId w:val="0"/>
              </w:numPr>
              <w:ind w:left="720"/>
              <w:rPr>
                <w:rFonts w:cs="Arial"/>
                <w:noProof/>
                <w:color w:val="auto"/>
                <w:sz w:val="22"/>
                <w:szCs w:val="22"/>
              </w:rPr>
            </w:pPr>
          </w:p>
        </w:tc>
        <w:tc>
          <w:tcPr>
            <w:tcW w:w="1701" w:type="dxa"/>
            <w:shd w:val="clear" w:color="auto" w:fill="FFFFFF"/>
          </w:tcPr>
          <w:p w:rsidR="00B32A2A" w:rsidRPr="00B32A2A" w:rsidRDefault="00B32A2A" w:rsidP="00B32A2A">
            <w:pPr>
              <w:jc w:val="both"/>
              <w:rPr>
                <w:rFonts w:cs="Arial"/>
                <w:b/>
                <w:i/>
                <w:noProof/>
              </w:rPr>
            </w:pPr>
            <w:r>
              <w:rPr>
                <w:b/>
                <w:i/>
                <w:noProof/>
              </w:rPr>
              <w:t>Weak</w:t>
            </w:r>
          </w:p>
        </w:tc>
        <w:tc>
          <w:tcPr>
            <w:tcW w:w="992" w:type="dxa"/>
            <w:gridSpan w:val="2"/>
            <w:shd w:val="clear" w:color="auto" w:fill="FFFFFF"/>
          </w:tcPr>
          <w:p w:rsidR="00B32A2A" w:rsidRPr="00B32A2A" w:rsidRDefault="00B32A2A" w:rsidP="00B32A2A">
            <w:pPr>
              <w:jc w:val="both"/>
              <w:rPr>
                <w:rFonts w:cs="Arial"/>
                <w:b/>
                <w:i/>
                <w:noProof/>
              </w:rPr>
            </w:pPr>
            <w:r>
              <w:rPr>
                <w:b/>
                <w:i/>
                <w:noProof/>
              </w:rPr>
              <w:t xml:space="preserve">Medium </w:t>
            </w:r>
          </w:p>
        </w:tc>
        <w:tc>
          <w:tcPr>
            <w:tcW w:w="4111" w:type="dxa"/>
            <w:gridSpan w:val="2"/>
            <w:shd w:val="clear" w:color="auto" w:fill="FFFFFF"/>
          </w:tcPr>
          <w:p w:rsidR="00B32A2A" w:rsidRPr="00B32A2A" w:rsidRDefault="00B32A2A" w:rsidP="00B32A2A">
            <w:pPr>
              <w:rPr>
                <w:rFonts w:cs="Arial"/>
                <w:noProof/>
              </w:rPr>
            </w:pPr>
          </w:p>
          <w:p w:rsidR="00B32A2A" w:rsidRPr="00B32A2A" w:rsidRDefault="00B32A2A" w:rsidP="00B32A2A">
            <w:pPr>
              <w:rPr>
                <w:rFonts w:cs="Arial"/>
                <w:noProof/>
              </w:rPr>
            </w:pPr>
            <w:r>
              <w:t>- same as Objective 1</w:t>
            </w:r>
          </w:p>
        </w:tc>
      </w:tr>
      <w:tr w:rsidR="00B32A2A" w:rsidRPr="00B32A2A" w:rsidTr="00B32A2A">
        <w:trPr>
          <w:trHeight w:val="472"/>
        </w:trPr>
        <w:tc>
          <w:tcPr>
            <w:tcW w:w="4254" w:type="dxa"/>
            <w:shd w:val="clear" w:color="auto" w:fill="FFFFFF"/>
          </w:tcPr>
          <w:p w:rsidR="00B32A2A" w:rsidRPr="00B32A2A" w:rsidRDefault="00B32A2A" w:rsidP="00B32A2A">
            <w:pPr>
              <w:jc w:val="both"/>
              <w:rPr>
                <w:rFonts w:cs="Arial"/>
                <w:b/>
                <w:i/>
                <w:noProof/>
              </w:rPr>
            </w:pPr>
            <w:r>
              <w:rPr>
                <w:i/>
                <w:noProof/>
              </w:rPr>
              <w:t xml:space="preserve">Institutional Risks: </w:t>
            </w:r>
            <w:r>
              <w:rPr>
                <w:b/>
                <w:i/>
                <w:noProof/>
              </w:rPr>
              <w:t>see Objective 1</w:t>
            </w:r>
          </w:p>
        </w:tc>
        <w:tc>
          <w:tcPr>
            <w:tcW w:w="1701" w:type="dxa"/>
            <w:shd w:val="clear" w:color="auto" w:fill="FFFFFF"/>
          </w:tcPr>
          <w:p w:rsidR="00B32A2A" w:rsidRPr="00B32A2A" w:rsidRDefault="00B32A2A" w:rsidP="00B32A2A">
            <w:pPr>
              <w:jc w:val="both"/>
              <w:rPr>
                <w:rFonts w:cs="Arial"/>
                <w:b/>
                <w:i/>
                <w:noProof/>
              </w:rPr>
            </w:pPr>
            <w:r>
              <w:rPr>
                <w:b/>
                <w:i/>
                <w:noProof/>
              </w:rPr>
              <w:t>Weak</w:t>
            </w:r>
          </w:p>
        </w:tc>
        <w:tc>
          <w:tcPr>
            <w:tcW w:w="992" w:type="dxa"/>
            <w:gridSpan w:val="2"/>
            <w:shd w:val="clear" w:color="auto" w:fill="FFFFFF"/>
          </w:tcPr>
          <w:p w:rsidR="00B32A2A" w:rsidRPr="00B32A2A" w:rsidRDefault="00B32A2A" w:rsidP="00B32A2A">
            <w:pPr>
              <w:jc w:val="both"/>
              <w:rPr>
                <w:rFonts w:cs="Arial"/>
                <w:b/>
                <w:i/>
                <w:noProof/>
              </w:rPr>
            </w:pPr>
            <w:r>
              <w:rPr>
                <w:b/>
                <w:i/>
                <w:noProof/>
              </w:rPr>
              <w:t>Medium</w:t>
            </w:r>
          </w:p>
        </w:tc>
        <w:tc>
          <w:tcPr>
            <w:tcW w:w="4111" w:type="dxa"/>
            <w:gridSpan w:val="2"/>
            <w:shd w:val="clear" w:color="auto" w:fill="FFFFFF"/>
          </w:tcPr>
          <w:p w:rsidR="00B32A2A" w:rsidRPr="00B32A2A" w:rsidRDefault="00B32A2A" w:rsidP="00B32A2A">
            <w:pPr>
              <w:rPr>
                <w:rFonts w:cs="Arial"/>
                <w:b/>
                <w:i/>
                <w:noProof/>
              </w:rPr>
            </w:pPr>
            <w:r>
              <w:rPr>
                <w:b/>
                <w:i/>
                <w:noProof/>
              </w:rPr>
              <w:t xml:space="preserve">same as Objective 1 </w:t>
            </w:r>
          </w:p>
        </w:tc>
      </w:tr>
      <w:tr w:rsidR="00B32A2A" w:rsidRPr="00B32A2A" w:rsidTr="00B32A2A">
        <w:trPr>
          <w:trHeight w:val="472"/>
        </w:trPr>
        <w:tc>
          <w:tcPr>
            <w:tcW w:w="4254" w:type="dxa"/>
            <w:shd w:val="clear" w:color="auto" w:fill="FFFFFF"/>
          </w:tcPr>
          <w:p w:rsidR="00B32A2A" w:rsidRPr="00B32A2A" w:rsidRDefault="00B32A2A" w:rsidP="00B32A2A">
            <w:pPr>
              <w:jc w:val="both"/>
              <w:rPr>
                <w:rFonts w:cs="Arial"/>
                <w:i/>
                <w:noProof/>
              </w:rPr>
            </w:pPr>
            <w:r>
              <w:rPr>
                <w:i/>
                <w:noProof/>
              </w:rPr>
              <w:t>Operational Risks:</w:t>
            </w:r>
          </w:p>
          <w:p w:rsidR="00B32A2A" w:rsidRPr="00B32A2A" w:rsidRDefault="00B32A2A" w:rsidP="00B32A2A">
            <w:pPr>
              <w:jc w:val="both"/>
              <w:rPr>
                <w:rFonts w:cs="Arial"/>
                <w:i/>
                <w:noProof/>
              </w:rPr>
            </w:pPr>
            <w:r>
              <w:rPr>
                <w:i/>
                <w:noProof/>
              </w:rPr>
              <w:t xml:space="preserve">- slow administration for the execution of public expenditures </w:t>
            </w:r>
          </w:p>
        </w:tc>
        <w:tc>
          <w:tcPr>
            <w:tcW w:w="1701" w:type="dxa"/>
            <w:shd w:val="clear" w:color="auto" w:fill="FFFFFF"/>
          </w:tcPr>
          <w:p w:rsidR="00B32A2A" w:rsidRPr="00B32A2A" w:rsidRDefault="00B32A2A" w:rsidP="00B32A2A">
            <w:pPr>
              <w:jc w:val="both"/>
              <w:rPr>
                <w:rFonts w:cs="Arial"/>
                <w:b/>
                <w:i/>
                <w:noProof/>
              </w:rPr>
            </w:pPr>
            <w:r>
              <w:rPr>
                <w:b/>
                <w:i/>
                <w:noProof/>
              </w:rPr>
              <w:t xml:space="preserve">Weak </w:t>
            </w:r>
          </w:p>
        </w:tc>
        <w:tc>
          <w:tcPr>
            <w:tcW w:w="992" w:type="dxa"/>
            <w:gridSpan w:val="2"/>
            <w:shd w:val="clear" w:color="auto" w:fill="FFFFFF"/>
          </w:tcPr>
          <w:p w:rsidR="00B32A2A" w:rsidRPr="00B32A2A" w:rsidRDefault="00B32A2A" w:rsidP="00B32A2A">
            <w:pPr>
              <w:jc w:val="both"/>
              <w:rPr>
                <w:rFonts w:cs="Arial"/>
                <w:b/>
                <w:i/>
                <w:noProof/>
              </w:rPr>
            </w:pPr>
            <w:r>
              <w:rPr>
                <w:b/>
                <w:i/>
                <w:noProof/>
              </w:rPr>
              <w:t>Medium</w:t>
            </w:r>
          </w:p>
          <w:p w:rsidR="00B32A2A" w:rsidRPr="00B32A2A" w:rsidRDefault="00B32A2A" w:rsidP="00B32A2A">
            <w:pPr>
              <w:jc w:val="both"/>
              <w:rPr>
                <w:rFonts w:cs="Arial"/>
                <w:b/>
                <w:i/>
                <w:noProof/>
              </w:rPr>
            </w:pPr>
          </w:p>
        </w:tc>
        <w:tc>
          <w:tcPr>
            <w:tcW w:w="4111" w:type="dxa"/>
            <w:gridSpan w:val="2"/>
            <w:shd w:val="clear" w:color="auto" w:fill="FFFFFF"/>
          </w:tcPr>
          <w:p w:rsidR="00B32A2A" w:rsidRPr="00B32A2A" w:rsidRDefault="00B32A2A" w:rsidP="00B32A2A">
            <w:pPr>
              <w:rPr>
                <w:rFonts w:cs="Arial"/>
                <w:b/>
                <w:i/>
                <w:noProof/>
              </w:rPr>
            </w:pPr>
          </w:p>
          <w:p w:rsidR="00B32A2A" w:rsidRPr="00B32A2A" w:rsidRDefault="00B32A2A" w:rsidP="00B32A2A">
            <w:pPr>
              <w:rPr>
                <w:rFonts w:cs="Arial"/>
                <w:noProof/>
              </w:rPr>
            </w:pPr>
            <w:r>
              <w:rPr>
                <w:b/>
                <w:i/>
                <w:noProof/>
              </w:rPr>
              <w:t xml:space="preserve">- </w:t>
            </w:r>
            <w:r>
              <w:t>existence of a monitoring plan for public expenditures</w:t>
            </w:r>
          </w:p>
        </w:tc>
      </w:tr>
      <w:tr w:rsidR="00B32A2A" w:rsidRPr="00B32A2A" w:rsidTr="00B32A2A">
        <w:trPr>
          <w:trHeight w:val="472"/>
        </w:trPr>
        <w:tc>
          <w:tcPr>
            <w:tcW w:w="4254" w:type="dxa"/>
            <w:shd w:val="clear" w:color="auto" w:fill="FFFFFF"/>
          </w:tcPr>
          <w:p w:rsidR="00B32A2A" w:rsidRPr="00B32A2A" w:rsidRDefault="00B32A2A" w:rsidP="00B32A2A">
            <w:pPr>
              <w:jc w:val="both"/>
              <w:rPr>
                <w:rFonts w:cs="Arial"/>
                <w:b/>
                <w:i/>
                <w:noProof/>
              </w:rPr>
            </w:pPr>
            <w:r>
              <w:rPr>
                <w:b/>
                <w:i/>
                <w:noProof/>
              </w:rPr>
              <w:t>Overall Risk Rating for Objective 5</w:t>
            </w:r>
          </w:p>
        </w:tc>
        <w:tc>
          <w:tcPr>
            <w:tcW w:w="1701" w:type="dxa"/>
            <w:shd w:val="clear" w:color="auto" w:fill="FFFFFF"/>
          </w:tcPr>
          <w:p w:rsidR="00B32A2A" w:rsidRPr="00B32A2A" w:rsidRDefault="00B32A2A" w:rsidP="00B32A2A">
            <w:pPr>
              <w:jc w:val="both"/>
              <w:rPr>
                <w:rFonts w:cs="Arial"/>
                <w:b/>
                <w:i/>
                <w:noProof/>
              </w:rPr>
            </w:pPr>
            <w:r>
              <w:rPr>
                <w:b/>
                <w:i/>
                <w:noProof/>
              </w:rPr>
              <w:t>Weak</w:t>
            </w:r>
          </w:p>
        </w:tc>
        <w:tc>
          <w:tcPr>
            <w:tcW w:w="992" w:type="dxa"/>
            <w:gridSpan w:val="2"/>
            <w:shd w:val="clear" w:color="auto" w:fill="FFFFFF"/>
          </w:tcPr>
          <w:p w:rsidR="00B32A2A" w:rsidRPr="00B32A2A" w:rsidRDefault="00B32A2A" w:rsidP="00B32A2A">
            <w:pPr>
              <w:jc w:val="both"/>
              <w:rPr>
                <w:rFonts w:cs="Arial"/>
                <w:b/>
                <w:i/>
                <w:noProof/>
              </w:rPr>
            </w:pPr>
            <w:r>
              <w:rPr>
                <w:b/>
                <w:i/>
                <w:noProof/>
              </w:rPr>
              <w:t xml:space="preserve">Medium </w:t>
            </w:r>
          </w:p>
        </w:tc>
        <w:tc>
          <w:tcPr>
            <w:tcW w:w="4111" w:type="dxa"/>
            <w:gridSpan w:val="2"/>
            <w:shd w:val="clear" w:color="auto" w:fill="FFFFFF"/>
          </w:tcPr>
          <w:p w:rsidR="00B32A2A" w:rsidRPr="00B32A2A" w:rsidRDefault="00B32A2A" w:rsidP="00B32A2A">
            <w:pPr>
              <w:jc w:val="both"/>
              <w:rPr>
                <w:rFonts w:cs="Arial"/>
                <w:b/>
                <w:i/>
                <w:noProof/>
              </w:rPr>
            </w:pPr>
          </w:p>
        </w:tc>
      </w:tr>
    </w:tbl>
    <w:p w:rsidR="00B32A2A" w:rsidRPr="00B32A2A" w:rsidRDefault="00B32A2A" w:rsidP="00B32A2A">
      <w:pPr>
        <w:jc w:val="both"/>
        <w:rPr>
          <w:rFonts w:cs="Arial"/>
          <w:noProof/>
        </w:rPr>
        <w:sectPr w:rsidR="00B32A2A" w:rsidRPr="00B32A2A" w:rsidSect="00AC08FF">
          <w:pgSz w:w="11907" w:h="16839" w:code="9"/>
          <w:pgMar w:top="992" w:right="851" w:bottom="992" w:left="851" w:header="709" w:footer="709" w:gutter="0"/>
          <w:cols w:space="708"/>
          <w:docGrid w:linePitch="360"/>
        </w:sectPr>
      </w:pPr>
    </w:p>
    <w:tbl>
      <w:tblPr>
        <w:tblW w:w="10773" w:type="dxa"/>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firstRow="0" w:lastRow="0" w:firstColumn="0" w:lastColumn="0" w:noHBand="0" w:noVBand="0"/>
      </w:tblPr>
      <w:tblGrid>
        <w:gridCol w:w="3828"/>
        <w:gridCol w:w="283"/>
        <w:gridCol w:w="142"/>
        <w:gridCol w:w="283"/>
        <w:gridCol w:w="6237"/>
      </w:tblGrid>
      <w:tr w:rsidR="00B32A2A" w:rsidRPr="00B32A2A" w:rsidTr="00B32A2A">
        <w:tc>
          <w:tcPr>
            <w:tcW w:w="10773" w:type="dxa"/>
            <w:gridSpan w:val="5"/>
            <w:tcBorders>
              <w:bottom w:val="single" w:sz="6" w:space="0" w:color="215868"/>
            </w:tcBorders>
            <w:shd w:val="clear" w:color="auto" w:fill="006460"/>
          </w:tcPr>
          <w:p w:rsidR="00B32A2A" w:rsidRPr="00B32A2A" w:rsidRDefault="00B32A2A" w:rsidP="00B32A2A">
            <w:pPr>
              <w:pStyle w:val="Heading2"/>
              <w:rPr>
                <w:rFonts w:ascii="Arial" w:hAnsi="Arial" w:cs="Arial"/>
                <w:noProof/>
                <w:color w:val="auto"/>
                <w:sz w:val="22"/>
                <w:szCs w:val="22"/>
              </w:rPr>
            </w:pPr>
            <w:bookmarkStart w:id="94" w:name="_Toc346116655"/>
            <w:bookmarkStart w:id="95" w:name="_Toc381123282"/>
            <w:bookmarkStart w:id="96" w:name="_Toc381566372"/>
            <w:r>
              <w:rPr>
                <w:rFonts w:ascii="Arial" w:hAnsi="Arial"/>
                <w:noProof/>
                <w:color w:val="auto"/>
                <w:sz w:val="22"/>
              </w:rPr>
              <w:lastRenderedPageBreak/>
              <w:t xml:space="preserve">18. </w:t>
            </w:r>
            <w:bookmarkStart w:id="97" w:name="_Toc349297151"/>
            <w:bookmarkStart w:id="98" w:name="_Toc358399435"/>
            <w:r>
              <w:rPr>
                <w:rFonts w:ascii="Arial" w:hAnsi="Arial"/>
                <w:noProof/>
                <w:color w:val="auto"/>
                <w:sz w:val="22"/>
              </w:rPr>
              <w:t>Financial Management and Procurement Arrangements</w:t>
            </w:r>
            <w:bookmarkEnd w:id="94"/>
            <w:bookmarkEnd w:id="95"/>
            <w:bookmarkEnd w:id="96"/>
            <w:bookmarkEnd w:id="97"/>
            <w:bookmarkEnd w:id="98"/>
          </w:p>
        </w:tc>
      </w:tr>
      <w:tr w:rsidR="00B32A2A" w:rsidRPr="00B32A2A" w:rsidTr="00B32A2A">
        <w:tc>
          <w:tcPr>
            <w:tcW w:w="10773" w:type="dxa"/>
            <w:gridSpan w:val="5"/>
            <w:shd w:val="clear" w:color="auto" w:fill="FFFFFF"/>
          </w:tcPr>
          <w:p w:rsidR="00B32A2A" w:rsidRPr="00B32A2A" w:rsidRDefault="00B32A2A" w:rsidP="00B32A2A">
            <w:pPr>
              <w:ind w:right="99"/>
              <w:jc w:val="both"/>
              <w:rPr>
                <w:rFonts w:eastAsia="Arial" w:cs="Arial"/>
                <w:i/>
                <w:noProof/>
              </w:rPr>
            </w:pPr>
            <w:r>
              <w:rPr>
                <w:i/>
                <w:noProof/>
              </w:rPr>
              <w:t>In this section applicants are requested to describe:</w:t>
            </w:r>
          </w:p>
          <w:p w:rsidR="00B32A2A" w:rsidRPr="00B32A2A" w:rsidRDefault="00B32A2A" w:rsidP="00B32A2A">
            <w:pPr>
              <w:spacing w:before="13" w:line="240" w:lineRule="exact"/>
              <w:jc w:val="both"/>
              <w:rPr>
                <w:rFonts w:cs="Arial"/>
                <w:i/>
                <w:noProof/>
              </w:rPr>
            </w:pPr>
            <w:r>
              <w:rPr>
                <w:i/>
                <w:noProof/>
              </w:rPr>
              <w:t>→ a) The proposed financial management mechanism for this proposal;</w:t>
            </w:r>
          </w:p>
          <w:p w:rsidR="00B32A2A" w:rsidRPr="00B32A2A" w:rsidRDefault="00B32A2A" w:rsidP="00B32A2A">
            <w:pPr>
              <w:spacing w:before="13" w:line="240" w:lineRule="exact"/>
              <w:jc w:val="both"/>
              <w:rPr>
                <w:rFonts w:cs="Arial"/>
                <w:i/>
                <w:noProof/>
              </w:rPr>
            </w:pPr>
            <w:r>
              <w:rPr>
                <w:i/>
                <w:noProof/>
              </w:rPr>
              <w:t>→b) The proposed processes and systems for ensuring effective financial management of this proposal, including the organization and capacity of the finance department and the proposed arrangements for oversight, planning and budgeting, budget execution (incl. treasury management and funds flow) , procurement, accounting and financial reporting ( incl. fixed asset management), internal control and internal audit, and external audit. CSOs can receive GAVI funding through two channels: (i) GAVI sends funds to the Ministry of Health which then transfers them to the CSO, or (ii) GAVI sends funds directly from GAVI to the CSO. Please refer to Annex 4 of the Guidelines for further details;</w:t>
            </w:r>
          </w:p>
          <w:p w:rsidR="00B32A2A" w:rsidRPr="00B32A2A" w:rsidRDefault="00B32A2A" w:rsidP="00B32A2A">
            <w:pPr>
              <w:spacing w:before="13" w:line="240" w:lineRule="exact"/>
              <w:jc w:val="both"/>
              <w:rPr>
                <w:rFonts w:cs="Arial"/>
                <w:i/>
                <w:noProof/>
              </w:rPr>
            </w:pPr>
            <w:r>
              <w:rPr>
                <w:i/>
                <w:noProof/>
              </w:rPr>
              <w:t>→ c) The main constraints in the (health sector’s) financial management system. Does the country plan to address these constraints/ issues? If so, please describe the Technical Assistance (TA) needs in order to fulfill the above functions.</w:t>
            </w:r>
          </w:p>
          <w:p w:rsidR="00B32A2A" w:rsidRPr="00B32A2A" w:rsidRDefault="00B32A2A" w:rsidP="00B32A2A">
            <w:pPr>
              <w:spacing w:before="120" w:after="120"/>
              <w:jc w:val="both"/>
              <w:rPr>
                <w:rFonts w:cs="Arial"/>
                <w:i/>
                <w:noProof/>
              </w:rPr>
            </w:pPr>
            <w:r>
              <w:rPr>
                <w:i/>
                <w:noProof/>
              </w:rPr>
              <w:t>4 pages maximum (additional pages will be required if there is more than one main implementing entity)</w:t>
            </w:r>
          </w:p>
        </w:tc>
      </w:tr>
      <w:tr w:rsidR="00B32A2A" w:rsidRPr="00B32A2A" w:rsidTr="00B32A2A">
        <w:tc>
          <w:tcPr>
            <w:tcW w:w="4536" w:type="dxa"/>
            <w:gridSpan w:val="4"/>
            <w:shd w:val="clear" w:color="auto" w:fill="auto"/>
          </w:tcPr>
          <w:p w:rsidR="00B32A2A" w:rsidRPr="00B32A2A" w:rsidRDefault="00B32A2A" w:rsidP="00B32A2A">
            <w:pPr>
              <w:spacing w:before="120" w:after="120"/>
              <w:jc w:val="both"/>
              <w:rPr>
                <w:rFonts w:cs="Arial"/>
                <w:i/>
                <w:noProof/>
              </w:rPr>
            </w:pPr>
            <w:r>
              <w:rPr>
                <w:i/>
                <w:noProof/>
              </w:rPr>
              <w:t>Question A: applicants should indicate whether an existing financial management mechanism or modality will be employed (pooled funding, joint financing arrangements or other), or if a new approach is proposed. If an agency-specific financial arrangement will be used, specify which one.</w:t>
            </w:r>
          </w:p>
        </w:tc>
        <w:tc>
          <w:tcPr>
            <w:tcW w:w="6237" w:type="dxa"/>
            <w:shd w:val="clear" w:color="auto" w:fill="auto"/>
          </w:tcPr>
          <w:p w:rsidR="00B32A2A" w:rsidRPr="00B32A2A" w:rsidRDefault="00B32A2A" w:rsidP="00B32A2A">
            <w:pPr>
              <w:pStyle w:val="Header"/>
              <w:tabs>
                <w:tab w:val="clear" w:pos="8306"/>
                <w:tab w:val="left" w:pos="360"/>
                <w:tab w:val="left" w:pos="927"/>
                <w:tab w:val="left" w:pos="1494"/>
                <w:tab w:val="left" w:pos="2061"/>
                <w:tab w:val="left" w:pos="2628"/>
                <w:tab w:val="left" w:pos="3195"/>
                <w:tab w:val="left" w:pos="3762"/>
                <w:tab w:val="left" w:pos="4329"/>
                <w:tab w:val="left" w:pos="4896"/>
                <w:tab w:val="left" w:pos="5463"/>
                <w:tab w:val="left" w:pos="6030"/>
                <w:tab w:val="left" w:pos="6597"/>
                <w:tab w:val="left" w:pos="7164"/>
                <w:tab w:val="left" w:pos="7731"/>
                <w:tab w:val="left" w:pos="8298"/>
              </w:tabs>
              <w:jc w:val="both"/>
              <w:rPr>
                <w:rFonts w:eastAsia="Arial" w:cs="Arial"/>
                <w:i/>
                <w:noProof/>
                <w:szCs w:val="22"/>
              </w:rPr>
            </w:pPr>
            <w:r>
              <w:rPr>
                <w:i/>
                <w:noProof/>
              </w:rPr>
              <w:t xml:space="preserve">The method of financial management that will be used is the method used by the Common Funds (CF) that already exist and are satisfactory, and are used by other partners of the Ministry of Public, including GAVI. </w:t>
            </w:r>
          </w:p>
        </w:tc>
      </w:tr>
      <w:tr w:rsidR="00B32A2A" w:rsidRPr="00B32A2A" w:rsidTr="00B32A2A">
        <w:tc>
          <w:tcPr>
            <w:tcW w:w="10773" w:type="dxa"/>
            <w:gridSpan w:val="5"/>
            <w:shd w:val="clear" w:color="auto" w:fill="99CCCC"/>
          </w:tcPr>
          <w:p w:rsidR="00B32A2A" w:rsidRPr="00B32A2A" w:rsidRDefault="00B32A2A" w:rsidP="00B32A2A">
            <w:pPr>
              <w:spacing w:before="120" w:after="120"/>
              <w:jc w:val="both"/>
              <w:rPr>
                <w:rFonts w:cs="Arial"/>
                <w:b/>
                <w:noProof/>
              </w:rPr>
            </w:pPr>
            <w:r>
              <w:rPr>
                <w:b/>
                <w:noProof/>
              </w:rPr>
              <w:t>Question B: Financial Management Arrangements Data Sheet</w:t>
            </w:r>
          </w:p>
        </w:tc>
      </w:tr>
      <w:tr w:rsidR="00B32A2A" w:rsidRPr="00B32A2A" w:rsidTr="00B32A2A">
        <w:trPr>
          <w:trHeight w:val="278"/>
        </w:trPr>
        <w:tc>
          <w:tcPr>
            <w:tcW w:w="10773" w:type="dxa"/>
            <w:gridSpan w:val="5"/>
            <w:shd w:val="clear" w:color="auto" w:fill="FFFFFF"/>
          </w:tcPr>
          <w:p w:rsidR="00B32A2A" w:rsidRPr="00B32A2A" w:rsidRDefault="00B32A2A" w:rsidP="00B32A2A">
            <w:pPr>
              <w:spacing w:before="120" w:after="120"/>
              <w:jc w:val="both"/>
              <w:rPr>
                <w:rFonts w:cs="Arial"/>
                <w:b/>
                <w:noProof/>
              </w:rPr>
            </w:pPr>
            <w:r>
              <w:rPr>
                <w:b/>
                <w:noProof/>
              </w:rPr>
              <w:t>All beneficiaries (organization/country) applying to receive direct financing from GAVI must complete this information sheet (for example the Ministry of Health and/or a CSO</w:t>
            </w:r>
          </w:p>
          <w:p w:rsidR="00B32A2A" w:rsidRPr="00B32A2A" w:rsidRDefault="00B32A2A" w:rsidP="00B32A2A">
            <w:pPr>
              <w:spacing w:before="120" w:after="120"/>
              <w:jc w:val="both"/>
              <w:rPr>
                <w:rFonts w:cs="Arial"/>
                <w:b/>
                <w:noProof/>
              </w:rPr>
            </w:pPr>
            <w:r>
              <w:rPr>
                <w:b/>
                <w:noProof/>
              </w:rPr>
              <w:t xml:space="preserve"> that receives direct financing).</w:t>
            </w:r>
          </w:p>
        </w:tc>
      </w:tr>
      <w:tr w:rsidR="00B32A2A" w:rsidRPr="00B32A2A" w:rsidTr="00B32A2A">
        <w:trPr>
          <w:trHeight w:val="278"/>
        </w:trPr>
        <w:tc>
          <w:tcPr>
            <w:tcW w:w="4536" w:type="dxa"/>
            <w:gridSpan w:val="4"/>
            <w:shd w:val="clear" w:color="auto" w:fill="FFFFFF"/>
          </w:tcPr>
          <w:p w:rsidR="00B32A2A" w:rsidRPr="00B32A2A" w:rsidRDefault="00B32A2A" w:rsidP="00B32A2A">
            <w:pPr>
              <w:pStyle w:val="ListParagraph"/>
              <w:widowControl/>
              <w:numPr>
                <w:ilvl w:val="0"/>
                <w:numId w:val="6"/>
              </w:numPr>
              <w:spacing w:line="240" w:lineRule="auto"/>
              <w:ind w:left="743"/>
              <w:rPr>
                <w:rFonts w:cs="Arial"/>
                <w:noProof/>
                <w:color w:val="auto"/>
                <w:sz w:val="22"/>
                <w:szCs w:val="22"/>
              </w:rPr>
            </w:pPr>
            <w:r>
              <w:rPr>
                <w:noProof/>
                <w:color w:val="auto"/>
                <w:sz w:val="22"/>
              </w:rPr>
              <w:t>General information to be provided by the recipient organization/country.</w:t>
            </w:r>
          </w:p>
        </w:tc>
        <w:tc>
          <w:tcPr>
            <w:tcW w:w="6237" w:type="dxa"/>
            <w:shd w:val="clear" w:color="auto" w:fill="FFFFFF"/>
          </w:tcPr>
          <w:p w:rsidR="00B32A2A" w:rsidRPr="00B32A2A" w:rsidRDefault="00B32A2A" w:rsidP="00B32A2A">
            <w:pPr>
              <w:spacing w:before="120" w:after="120"/>
              <w:jc w:val="both"/>
              <w:rPr>
                <w:rFonts w:cs="Arial"/>
                <w:noProof/>
              </w:rPr>
            </w:pPr>
            <w:r>
              <w:t>ALDJOUMA NIANDOU SAIDOU Financial Resources and Equipment BP 623, Niamey, Niger</w:t>
            </w:r>
          </w:p>
          <w:p w:rsidR="00B32A2A" w:rsidRPr="00B32A2A" w:rsidRDefault="00B32A2A" w:rsidP="00B32A2A">
            <w:pPr>
              <w:spacing w:before="120" w:after="120"/>
              <w:jc w:val="both"/>
              <w:rPr>
                <w:rFonts w:cs="Arial"/>
                <w:noProof/>
              </w:rPr>
            </w:pPr>
            <w:r>
              <w:t>Tel: (227) 20 20 35 66 / 96 55 19 58</w:t>
            </w:r>
          </w:p>
          <w:p w:rsidR="00B32A2A" w:rsidRPr="00B32A2A" w:rsidRDefault="00B32A2A" w:rsidP="00B32A2A">
            <w:pPr>
              <w:spacing w:before="120" w:after="120"/>
              <w:jc w:val="both"/>
              <w:rPr>
                <w:rFonts w:cs="Arial"/>
                <w:noProof/>
              </w:rPr>
            </w:pPr>
            <w:r>
              <w:t>Fax: (227) 20 73 35 70</w:t>
            </w:r>
          </w:p>
        </w:tc>
      </w:tr>
      <w:tr w:rsidR="00B32A2A" w:rsidRPr="00B32A2A" w:rsidTr="00B32A2A">
        <w:trPr>
          <w:trHeight w:val="1024"/>
        </w:trPr>
        <w:tc>
          <w:tcPr>
            <w:tcW w:w="4536" w:type="dxa"/>
            <w:gridSpan w:val="4"/>
            <w:shd w:val="clear" w:color="auto" w:fill="FFFFFF"/>
          </w:tcPr>
          <w:p w:rsidR="00B32A2A" w:rsidRPr="00B32A2A" w:rsidRDefault="00B32A2A" w:rsidP="00B32A2A">
            <w:pPr>
              <w:pStyle w:val="ListParagraph"/>
              <w:widowControl/>
              <w:numPr>
                <w:ilvl w:val="0"/>
                <w:numId w:val="6"/>
              </w:numPr>
              <w:spacing w:line="240" w:lineRule="auto"/>
              <w:ind w:left="743"/>
              <w:jc w:val="left"/>
              <w:rPr>
                <w:rFonts w:cs="Arial"/>
                <w:noProof/>
                <w:color w:val="auto"/>
                <w:sz w:val="22"/>
                <w:szCs w:val="22"/>
              </w:rPr>
            </w:pPr>
            <w:r>
              <w:rPr>
                <w:noProof/>
                <w:color w:val="auto"/>
                <w:sz w:val="22"/>
              </w:rPr>
              <w:t xml:space="preserve">Has the recipient organization already worked with GAVI, the World Bank, WHO, UNICEF, or the Global Fund for the prevention of AIDS, tuberculosis and malaria or </w:t>
            </w:r>
            <w:r>
              <w:rPr>
                <w:noProof/>
                <w:color w:val="auto"/>
                <w:sz w:val="22"/>
              </w:rPr>
              <w:lastRenderedPageBreak/>
              <w:t>other development partners and has it already received grants?</w:t>
            </w:r>
          </w:p>
        </w:tc>
        <w:tc>
          <w:tcPr>
            <w:tcW w:w="6237" w:type="dxa"/>
            <w:shd w:val="clear" w:color="auto" w:fill="FFFFFF"/>
          </w:tcPr>
          <w:p w:rsidR="00B32A2A" w:rsidRPr="00B32A2A" w:rsidRDefault="00B32A2A" w:rsidP="00B32A2A">
            <w:pPr>
              <w:ind w:right="120"/>
              <w:contextualSpacing/>
              <w:rPr>
                <w:rFonts w:cs="Arial"/>
                <w:noProof/>
              </w:rPr>
            </w:pPr>
            <w:r>
              <w:lastRenderedPageBreak/>
              <w:t>Yes </w:t>
            </w:r>
          </w:p>
        </w:tc>
      </w:tr>
      <w:tr w:rsidR="00B32A2A" w:rsidRPr="00B32A2A" w:rsidTr="00B32A2A">
        <w:trPr>
          <w:trHeight w:val="278"/>
        </w:trPr>
        <w:tc>
          <w:tcPr>
            <w:tcW w:w="4536" w:type="dxa"/>
            <w:gridSpan w:val="4"/>
            <w:shd w:val="clear" w:color="auto" w:fill="FFFFFF"/>
          </w:tcPr>
          <w:p w:rsidR="00B32A2A" w:rsidRPr="00B32A2A" w:rsidRDefault="00B32A2A" w:rsidP="00B32A2A">
            <w:pPr>
              <w:pStyle w:val="ListParagraph"/>
              <w:widowControl/>
              <w:numPr>
                <w:ilvl w:val="0"/>
                <w:numId w:val="6"/>
              </w:numPr>
              <w:spacing w:line="240" w:lineRule="auto"/>
              <w:ind w:left="743" w:right="120"/>
              <w:rPr>
                <w:rFonts w:cs="Arial"/>
                <w:b/>
                <w:noProof/>
                <w:color w:val="auto"/>
                <w:sz w:val="22"/>
                <w:szCs w:val="22"/>
              </w:rPr>
            </w:pPr>
            <w:r>
              <w:rPr>
                <w:b/>
                <w:noProof/>
                <w:color w:val="auto"/>
                <w:sz w:val="22"/>
              </w:rPr>
              <w:lastRenderedPageBreak/>
              <w:t>If YES</w:t>
            </w:r>
          </w:p>
          <w:p w:rsidR="00B32A2A" w:rsidRPr="00B32A2A" w:rsidRDefault="00B32A2A" w:rsidP="00B32A2A">
            <w:pPr>
              <w:pStyle w:val="ListParagraph"/>
              <w:widowControl/>
              <w:numPr>
                <w:ilvl w:val="0"/>
                <w:numId w:val="7"/>
              </w:numPr>
              <w:spacing w:line="240" w:lineRule="auto"/>
              <w:ind w:left="743" w:right="120"/>
              <w:jc w:val="left"/>
              <w:rPr>
                <w:rFonts w:cs="Arial"/>
                <w:noProof/>
                <w:color w:val="auto"/>
                <w:sz w:val="22"/>
                <w:szCs w:val="22"/>
              </w:rPr>
            </w:pPr>
            <w:r>
              <w:rPr>
                <w:noProof/>
                <w:color w:val="auto"/>
                <w:sz w:val="22"/>
              </w:rPr>
              <w:t>Please provide the name and amount of the grant, as well as the years awarded.</w:t>
            </w:r>
          </w:p>
          <w:p w:rsidR="00B32A2A" w:rsidRPr="00B32A2A" w:rsidRDefault="00B32A2A" w:rsidP="00B32A2A">
            <w:pPr>
              <w:pStyle w:val="ListParagraph"/>
              <w:widowControl/>
              <w:numPr>
                <w:ilvl w:val="0"/>
                <w:numId w:val="7"/>
              </w:numPr>
              <w:spacing w:line="240" w:lineRule="auto"/>
              <w:ind w:left="743" w:right="120"/>
              <w:jc w:val="left"/>
              <w:rPr>
                <w:rFonts w:cs="Arial"/>
                <w:noProof/>
                <w:color w:val="auto"/>
                <w:sz w:val="22"/>
                <w:szCs w:val="22"/>
              </w:rPr>
            </w:pPr>
            <w:r>
              <w:rPr>
                <w:b/>
                <w:noProof/>
                <w:color w:val="auto"/>
                <w:sz w:val="22"/>
              </w:rPr>
              <w:t xml:space="preserve">For completed GAVI grants and other development partners: </w:t>
            </w:r>
            <w:r>
              <w:rPr>
                <w:noProof/>
                <w:color w:val="auto"/>
                <w:sz w:val="22"/>
              </w:rPr>
              <w:t>please briefly describe the main conclusions related to the use of these funds from a financial management outcome.</w:t>
            </w:r>
          </w:p>
          <w:p w:rsidR="00B32A2A" w:rsidRPr="00B32A2A" w:rsidDel="00E800C7" w:rsidRDefault="00B32A2A" w:rsidP="00B32A2A">
            <w:pPr>
              <w:pStyle w:val="ListParagraph"/>
              <w:widowControl/>
              <w:numPr>
                <w:ilvl w:val="0"/>
                <w:numId w:val="7"/>
              </w:numPr>
              <w:spacing w:line="240" w:lineRule="auto"/>
              <w:ind w:left="743" w:right="120"/>
              <w:jc w:val="left"/>
              <w:rPr>
                <w:rFonts w:cs="Arial"/>
                <w:noProof/>
                <w:color w:val="auto"/>
                <w:sz w:val="22"/>
                <w:szCs w:val="22"/>
              </w:rPr>
            </w:pPr>
            <w:r>
              <w:rPr>
                <w:b/>
                <w:noProof/>
                <w:color w:val="auto"/>
                <w:sz w:val="22"/>
              </w:rPr>
              <w:t xml:space="preserve">For ongoing GAVI grants and other development partners: </w:t>
            </w:r>
            <w:r>
              <w:rPr>
                <w:noProof/>
                <w:color w:val="auto"/>
                <w:sz w:val="22"/>
              </w:rPr>
              <w:t>please briefly describe any financial management or procurement problems (for example, ineligible expenses, out-of-the-norm purchases, misuse of funds, late account audit reports, and account audits that showed reserves).</w:t>
            </w:r>
          </w:p>
        </w:tc>
        <w:tc>
          <w:tcPr>
            <w:tcW w:w="6237" w:type="dxa"/>
            <w:shd w:val="clear" w:color="auto" w:fill="FFFFFF"/>
          </w:tcPr>
          <w:p w:rsidR="00B32A2A" w:rsidRPr="00B32A2A" w:rsidRDefault="00B32A2A" w:rsidP="00B32A2A">
            <w:pPr>
              <w:ind w:left="1080" w:right="120"/>
              <w:contextualSpacing/>
              <w:jc w:val="both"/>
              <w:rPr>
                <w:rFonts w:cs="Arial"/>
                <w:noProof/>
              </w:rPr>
            </w:pPr>
            <w:r>
              <w:rPr>
                <w:b/>
                <w:noProof/>
              </w:rPr>
              <w:t>31 December 2011</w:t>
            </w:r>
            <w:r>
              <w:t>:</w:t>
            </w:r>
          </w:p>
          <w:p w:rsidR="00B32A2A" w:rsidRPr="00B32A2A" w:rsidRDefault="00B32A2A" w:rsidP="00B32A2A">
            <w:pPr>
              <w:numPr>
                <w:ilvl w:val="0"/>
                <w:numId w:val="19"/>
              </w:numPr>
              <w:ind w:right="120"/>
              <w:contextualSpacing/>
              <w:jc w:val="both"/>
              <w:rPr>
                <w:rFonts w:cs="Arial"/>
                <w:noProof/>
                <w:sz w:val="20"/>
                <w:szCs w:val="20"/>
              </w:rPr>
            </w:pPr>
            <w:r>
              <w:rPr>
                <w:noProof/>
                <w:sz w:val="20"/>
              </w:rPr>
              <w:t xml:space="preserve">AFD 9,721,071,072 FCFA or US$ 19,442,144 </w:t>
            </w:r>
          </w:p>
          <w:p w:rsidR="00B32A2A" w:rsidRPr="00B32A2A" w:rsidRDefault="00B32A2A" w:rsidP="00B32A2A">
            <w:pPr>
              <w:numPr>
                <w:ilvl w:val="0"/>
                <w:numId w:val="19"/>
              </w:numPr>
              <w:ind w:right="120"/>
              <w:contextualSpacing/>
              <w:jc w:val="both"/>
              <w:rPr>
                <w:rFonts w:cs="Arial"/>
                <w:noProof/>
                <w:sz w:val="20"/>
                <w:szCs w:val="20"/>
              </w:rPr>
            </w:pPr>
            <w:r>
              <w:rPr>
                <w:noProof/>
                <w:sz w:val="20"/>
              </w:rPr>
              <w:t xml:space="preserve"> AECID 3,35,42,00 FCFA or US$ 7,871,484</w:t>
            </w:r>
          </w:p>
          <w:p w:rsidR="00B32A2A" w:rsidRPr="00B32A2A" w:rsidRDefault="00B32A2A" w:rsidP="00B32A2A">
            <w:pPr>
              <w:numPr>
                <w:ilvl w:val="0"/>
                <w:numId w:val="19"/>
              </w:numPr>
              <w:ind w:right="120"/>
              <w:contextualSpacing/>
              <w:jc w:val="both"/>
              <w:rPr>
                <w:rFonts w:cs="Arial"/>
                <w:noProof/>
                <w:sz w:val="20"/>
                <w:szCs w:val="20"/>
              </w:rPr>
            </w:pPr>
            <w:r>
              <w:rPr>
                <w:noProof/>
                <w:sz w:val="20"/>
              </w:rPr>
              <w:t>GAVI: 212,242,483 FCFA or US$ 424,485</w:t>
            </w:r>
          </w:p>
          <w:p w:rsidR="00B32A2A" w:rsidRPr="00B32A2A" w:rsidRDefault="00B32A2A" w:rsidP="00B32A2A">
            <w:pPr>
              <w:numPr>
                <w:ilvl w:val="0"/>
                <w:numId w:val="19"/>
              </w:numPr>
              <w:ind w:right="120"/>
              <w:contextualSpacing/>
              <w:jc w:val="both"/>
              <w:rPr>
                <w:rFonts w:cs="Arial"/>
                <w:noProof/>
                <w:sz w:val="20"/>
                <w:szCs w:val="20"/>
              </w:rPr>
            </w:pPr>
            <w:r>
              <w:rPr>
                <w:noProof/>
                <w:sz w:val="20"/>
              </w:rPr>
              <w:t xml:space="preserve"> UNICEF: 230,241,000 FCFA or US$ 460,482</w:t>
            </w:r>
          </w:p>
          <w:p w:rsidR="00B32A2A" w:rsidRPr="00B32A2A" w:rsidRDefault="00B32A2A" w:rsidP="00B32A2A">
            <w:pPr>
              <w:numPr>
                <w:ilvl w:val="0"/>
                <w:numId w:val="19"/>
              </w:numPr>
              <w:ind w:right="120"/>
              <w:contextualSpacing/>
              <w:jc w:val="both"/>
              <w:rPr>
                <w:rFonts w:cs="Arial"/>
                <w:noProof/>
                <w:sz w:val="20"/>
                <w:szCs w:val="20"/>
              </w:rPr>
            </w:pPr>
            <w:r>
              <w:rPr>
                <w:noProof/>
                <w:sz w:val="20"/>
              </w:rPr>
              <w:t>World Bank: 17,294,433,754 FCFA or US$ 34,525,868</w:t>
            </w:r>
          </w:p>
          <w:p w:rsidR="00B32A2A" w:rsidRPr="00B32A2A" w:rsidRDefault="00B32A2A" w:rsidP="00B32A2A">
            <w:pPr>
              <w:ind w:left="1080" w:right="120"/>
              <w:contextualSpacing/>
              <w:jc w:val="both"/>
              <w:rPr>
                <w:rFonts w:cs="Arial"/>
                <w:b/>
                <w:noProof/>
                <w:sz w:val="20"/>
                <w:szCs w:val="20"/>
              </w:rPr>
            </w:pPr>
            <w:r>
              <w:rPr>
                <w:b/>
                <w:noProof/>
                <w:sz w:val="20"/>
              </w:rPr>
              <w:t>2012</w:t>
            </w:r>
          </w:p>
          <w:p w:rsidR="00B32A2A" w:rsidRPr="00B32A2A" w:rsidRDefault="00B32A2A" w:rsidP="00B32A2A">
            <w:pPr>
              <w:numPr>
                <w:ilvl w:val="0"/>
                <w:numId w:val="19"/>
              </w:numPr>
              <w:ind w:right="120"/>
              <w:contextualSpacing/>
              <w:jc w:val="both"/>
              <w:rPr>
                <w:rFonts w:cs="Arial"/>
                <w:noProof/>
                <w:sz w:val="20"/>
                <w:szCs w:val="20"/>
              </w:rPr>
            </w:pPr>
            <w:r>
              <w:rPr>
                <w:noProof/>
                <w:sz w:val="20"/>
              </w:rPr>
              <w:t>AECID: 1,967,871,000 FCFA or US$ 3,937,742</w:t>
            </w:r>
          </w:p>
          <w:p w:rsidR="00B32A2A" w:rsidRPr="00B32A2A" w:rsidRDefault="00B32A2A" w:rsidP="00B32A2A">
            <w:pPr>
              <w:numPr>
                <w:ilvl w:val="0"/>
                <w:numId w:val="19"/>
              </w:numPr>
              <w:ind w:right="120"/>
              <w:contextualSpacing/>
              <w:jc w:val="both"/>
              <w:rPr>
                <w:rFonts w:cs="Arial"/>
                <w:noProof/>
                <w:sz w:val="20"/>
                <w:szCs w:val="20"/>
              </w:rPr>
            </w:pPr>
            <w:r>
              <w:rPr>
                <w:noProof/>
                <w:sz w:val="20"/>
              </w:rPr>
              <w:t>AFD: 3,279,785,000 FCFA or US$ 6,559,570</w:t>
            </w:r>
          </w:p>
          <w:p w:rsidR="00B32A2A" w:rsidRPr="00B32A2A" w:rsidRDefault="00B32A2A" w:rsidP="00B32A2A">
            <w:pPr>
              <w:numPr>
                <w:ilvl w:val="0"/>
                <w:numId w:val="19"/>
              </w:numPr>
              <w:ind w:right="120"/>
              <w:contextualSpacing/>
              <w:jc w:val="both"/>
              <w:rPr>
                <w:rFonts w:cs="Arial"/>
                <w:noProof/>
                <w:sz w:val="20"/>
                <w:szCs w:val="20"/>
              </w:rPr>
            </w:pPr>
            <w:r>
              <w:rPr>
                <w:noProof/>
                <w:sz w:val="20"/>
              </w:rPr>
              <w:t>UNICEF: 500,000,000 FCFA or US$ 1,000,000</w:t>
            </w:r>
          </w:p>
          <w:p w:rsidR="00B32A2A" w:rsidRPr="00B32A2A" w:rsidRDefault="00B32A2A" w:rsidP="00B32A2A">
            <w:pPr>
              <w:numPr>
                <w:ilvl w:val="0"/>
                <w:numId w:val="19"/>
              </w:numPr>
              <w:ind w:right="120"/>
              <w:contextualSpacing/>
              <w:jc w:val="both"/>
              <w:rPr>
                <w:rFonts w:cs="Arial"/>
                <w:noProof/>
                <w:sz w:val="20"/>
                <w:szCs w:val="20"/>
              </w:rPr>
            </w:pPr>
            <w:r>
              <w:rPr>
                <w:noProof/>
                <w:sz w:val="20"/>
              </w:rPr>
              <w:t>GAVI: 1,954,916,903 CFA or US$ 3,909,834</w:t>
            </w:r>
          </w:p>
          <w:p w:rsidR="00B32A2A" w:rsidRPr="00B32A2A" w:rsidRDefault="00B32A2A" w:rsidP="00B32A2A">
            <w:pPr>
              <w:ind w:left="1080" w:right="120"/>
              <w:contextualSpacing/>
              <w:jc w:val="both"/>
              <w:rPr>
                <w:rFonts w:cs="Arial"/>
                <w:b/>
                <w:noProof/>
                <w:sz w:val="20"/>
                <w:szCs w:val="20"/>
              </w:rPr>
            </w:pPr>
            <w:r>
              <w:rPr>
                <w:b/>
                <w:noProof/>
                <w:sz w:val="20"/>
              </w:rPr>
              <w:t xml:space="preserve">2013                </w:t>
            </w:r>
          </w:p>
          <w:p w:rsidR="00B32A2A" w:rsidRPr="00B32A2A" w:rsidRDefault="00B32A2A" w:rsidP="00B32A2A">
            <w:pPr>
              <w:numPr>
                <w:ilvl w:val="0"/>
                <w:numId w:val="19"/>
              </w:numPr>
              <w:ind w:right="120"/>
              <w:contextualSpacing/>
              <w:jc w:val="both"/>
              <w:rPr>
                <w:rFonts w:cs="Arial"/>
                <w:noProof/>
                <w:sz w:val="20"/>
                <w:szCs w:val="20"/>
              </w:rPr>
            </w:pPr>
            <w:r>
              <w:rPr>
                <w:noProof/>
                <w:sz w:val="20"/>
              </w:rPr>
              <w:t xml:space="preserve"> AFD: 3,279,785,000 FCFA or US$ 6,559,570</w:t>
            </w:r>
          </w:p>
          <w:p w:rsidR="00B32A2A" w:rsidRPr="00B32A2A" w:rsidRDefault="00B32A2A" w:rsidP="00B32A2A">
            <w:pPr>
              <w:numPr>
                <w:ilvl w:val="0"/>
                <w:numId w:val="19"/>
              </w:numPr>
              <w:ind w:right="120"/>
              <w:contextualSpacing/>
              <w:jc w:val="both"/>
              <w:rPr>
                <w:rFonts w:cs="Arial"/>
                <w:noProof/>
                <w:sz w:val="20"/>
                <w:szCs w:val="20"/>
              </w:rPr>
            </w:pPr>
            <w:r>
              <w:rPr>
                <w:noProof/>
                <w:sz w:val="20"/>
              </w:rPr>
              <w:t>UNICEF: 500,000,000 FCFA or US$ 1,000,000</w:t>
            </w:r>
          </w:p>
          <w:p w:rsidR="00B32A2A" w:rsidRPr="00B32A2A" w:rsidRDefault="00B32A2A" w:rsidP="00B32A2A">
            <w:pPr>
              <w:numPr>
                <w:ilvl w:val="0"/>
                <w:numId w:val="19"/>
              </w:numPr>
              <w:ind w:right="120"/>
              <w:contextualSpacing/>
              <w:jc w:val="both"/>
              <w:rPr>
                <w:rFonts w:cs="Arial"/>
                <w:noProof/>
                <w:sz w:val="20"/>
                <w:szCs w:val="20"/>
              </w:rPr>
            </w:pPr>
            <w:r>
              <w:rPr>
                <w:noProof/>
                <w:sz w:val="20"/>
              </w:rPr>
              <w:t>GAVI: 498,681,525 FCFA or US$ 997,363</w:t>
            </w:r>
          </w:p>
          <w:p w:rsidR="00B32A2A" w:rsidRPr="00B32A2A" w:rsidRDefault="00B32A2A" w:rsidP="00B32A2A">
            <w:pPr>
              <w:pStyle w:val="Header"/>
              <w:tabs>
                <w:tab w:val="clear" w:pos="8306"/>
                <w:tab w:val="left" w:pos="360"/>
                <w:tab w:val="left" w:pos="927"/>
                <w:tab w:val="left" w:pos="1494"/>
                <w:tab w:val="left" w:pos="2061"/>
                <w:tab w:val="left" w:pos="2628"/>
                <w:tab w:val="left" w:pos="3195"/>
                <w:tab w:val="left" w:pos="3762"/>
                <w:tab w:val="left" w:pos="4329"/>
                <w:tab w:val="left" w:pos="4896"/>
                <w:tab w:val="left" w:pos="5463"/>
                <w:tab w:val="left" w:pos="6030"/>
                <w:tab w:val="left" w:pos="6597"/>
                <w:tab w:val="left" w:pos="7164"/>
                <w:tab w:val="left" w:pos="7731"/>
                <w:tab w:val="left" w:pos="8298"/>
              </w:tabs>
              <w:jc w:val="both"/>
              <w:rPr>
                <w:rFonts w:eastAsia="Arial" w:cs="Arial"/>
                <w:i/>
                <w:noProof/>
                <w:szCs w:val="22"/>
              </w:rPr>
            </w:pPr>
            <w:r>
              <w:rPr>
                <w:i/>
                <w:noProof/>
              </w:rPr>
              <w:t>For allocations in progress, GAVI and other development partners, there are no problematic issues for financial management and the procurement process. The current state of the Common Funds ensure efficient financial management.</w:t>
            </w:r>
          </w:p>
        </w:tc>
      </w:tr>
      <w:tr w:rsidR="00B32A2A" w:rsidRPr="00B32A2A" w:rsidTr="00B32A2A">
        <w:trPr>
          <w:trHeight w:val="278"/>
        </w:trPr>
        <w:tc>
          <w:tcPr>
            <w:tcW w:w="10773" w:type="dxa"/>
            <w:gridSpan w:val="5"/>
            <w:shd w:val="clear" w:color="auto" w:fill="FFFFFF"/>
          </w:tcPr>
          <w:p w:rsidR="00B32A2A" w:rsidRPr="00B32A2A" w:rsidRDefault="00B32A2A" w:rsidP="00B32A2A">
            <w:pPr>
              <w:spacing w:before="120" w:after="120"/>
              <w:jc w:val="both"/>
              <w:rPr>
                <w:rFonts w:cs="Arial"/>
                <w:b/>
                <w:noProof/>
              </w:rPr>
            </w:pPr>
            <w:r>
              <w:rPr>
                <w:b/>
                <w:noProof/>
              </w:rPr>
              <w:t>Oversight, Planning and Budgeting</w:t>
            </w:r>
          </w:p>
        </w:tc>
      </w:tr>
      <w:tr w:rsidR="00B32A2A" w:rsidRPr="00B32A2A" w:rsidTr="00B32A2A">
        <w:trPr>
          <w:trHeight w:val="278"/>
        </w:trPr>
        <w:tc>
          <w:tcPr>
            <w:tcW w:w="4536" w:type="dxa"/>
            <w:gridSpan w:val="4"/>
            <w:shd w:val="clear" w:color="auto" w:fill="FFFFFF"/>
          </w:tcPr>
          <w:p w:rsidR="00B32A2A" w:rsidRPr="00B32A2A" w:rsidRDefault="00B32A2A" w:rsidP="00B32A2A">
            <w:pPr>
              <w:pStyle w:val="ListParagraph"/>
              <w:widowControl/>
              <w:numPr>
                <w:ilvl w:val="0"/>
                <w:numId w:val="6"/>
              </w:numPr>
              <w:spacing w:line="240" w:lineRule="auto"/>
              <w:ind w:left="720"/>
              <w:rPr>
                <w:rFonts w:cs="Arial"/>
                <w:noProof/>
                <w:color w:val="auto"/>
                <w:sz w:val="22"/>
                <w:szCs w:val="22"/>
              </w:rPr>
            </w:pPr>
            <w:r>
              <w:rPr>
                <w:noProof/>
                <w:color w:val="auto"/>
                <w:sz w:val="22"/>
              </w:rPr>
              <w:t>Which entity will be responsible for in-country oversight of the program? Please briefly describe membership, meeting frequency as well as decision making process.</w:t>
            </w:r>
          </w:p>
        </w:tc>
        <w:tc>
          <w:tcPr>
            <w:tcW w:w="6237" w:type="dxa"/>
            <w:shd w:val="clear" w:color="auto" w:fill="FFFFFF"/>
          </w:tcPr>
          <w:p w:rsidR="00B32A2A" w:rsidRPr="00B32A2A" w:rsidRDefault="00B32A2A" w:rsidP="00B32A2A">
            <w:pPr>
              <w:pStyle w:val="Header"/>
              <w:tabs>
                <w:tab w:val="clear" w:pos="8306"/>
                <w:tab w:val="left" w:pos="360"/>
                <w:tab w:val="left" w:pos="927"/>
                <w:tab w:val="left" w:pos="1494"/>
                <w:tab w:val="left" w:pos="2061"/>
                <w:tab w:val="left" w:pos="2628"/>
                <w:tab w:val="left" w:pos="3195"/>
                <w:tab w:val="left" w:pos="3762"/>
                <w:tab w:val="left" w:pos="4329"/>
                <w:tab w:val="left" w:pos="4896"/>
                <w:tab w:val="left" w:pos="5463"/>
                <w:tab w:val="left" w:pos="6030"/>
                <w:tab w:val="left" w:pos="6597"/>
                <w:tab w:val="left" w:pos="7164"/>
                <w:tab w:val="left" w:pos="7731"/>
                <w:tab w:val="left" w:pos="8298"/>
              </w:tabs>
              <w:jc w:val="both"/>
              <w:rPr>
                <w:rFonts w:eastAsia="Arial" w:cs="Arial"/>
                <w:i/>
                <w:noProof/>
                <w:szCs w:val="22"/>
              </w:rPr>
            </w:pPr>
            <w:r>
              <w:rPr>
                <w:i/>
                <w:noProof/>
              </w:rPr>
              <w:t>the National Health Committee: is made up of technical managers, political leaders, administrators, traditional leaders, TFPs, community representatives, private health facilities as well as civil society and partner ministries. The committee meets on a annual basis. Decisions are made by consensus and, if needed, by vote.</w:t>
            </w:r>
          </w:p>
        </w:tc>
      </w:tr>
      <w:tr w:rsidR="00B32A2A" w:rsidRPr="00B32A2A" w:rsidTr="00B32A2A">
        <w:trPr>
          <w:trHeight w:val="278"/>
        </w:trPr>
        <w:tc>
          <w:tcPr>
            <w:tcW w:w="4536" w:type="dxa"/>
            <w:gridSpan w:val="4"/>
            <w:shd w:val="clear" w:color="auto" w:fill="FFFFFF"/>
          </w:tcPr>
          <w:p w:rsidR="00B32A2A" w:rsidRPr="00B32A2A" w:rsidRDefault="00B32A2A" w:rsidP="00B32A2A">
            <w:pPr>
              <w:pStyle w:val="ListParagraph"/>
              <w:widowControl/>
              <w:numPr>
                <w:ilvl w:val="0"/>
                <w:numId w:val="6"/>
              </w:numPr>
              <w:spacing w:line="240" w:lineRule="auto"/>
              <w:ind w:left="720"/>
              <w:rPr>
                <w:rFonts w:cs="Arial"/>
                <w:noProof/>
                <w:color w:val="auto"/>
                <w:sz w:val="22"/>
                <w:szCs w:val="22"/>
              </w:rPr>
            </w:pPr>
            <w:r>
              <w:rPr>
                <w:noProof/>
                <w:color w:val="auto"/>
                <w:sz w:val="22"/>
              </w:rPr>
              <w:t>Who will be responsible for annual GAVI-HSS planning and budgeting?</w:t>
            </w:r>
          </w:p>
        </w:tc>
        <w:tc>
          <w:tcPr>
            <w:tcW w:w="6237" w:type="dxa"/>
            <w:shd w:val="clear" w:color="auto" w:fill="FFFFFF"/>
          </w:tcPr>
          <w:p w:rsidR="00B32A2A" w:rsidRPr="00B32A2A" w:rsidRDefault="00B32A2A" w:rsidP="00B32A2A">
            <w:pPr>
              <w:pStyle w:val="Header"/>
              <w:tabs>
                <w:tab w:val="clear" w:pos="8306"/>
                <w:tab w:val="left" w:pos="360"/>
                <w:tab w:val="left" w:pos="927"/>
                <w:tab w:val="left" w:pos="1494"/>
                <w:tab w:val="left" w:pos="2061"/>
                <w:tab w:val="left" w:pos="2628"/>
                <w:tab w:val="left" w:pos="3195"/>
                <w:tab w:val="left" w:pos="3762"/>
                <w:tab w:val="left" w:pos="4329"/>
                <w:tab w:val="left" w:pos="4896"/>
                <w:tab w:val="left" w:pos="5463"/>
                <w:tab w:val="left" w:pos="6030"/>
                <w:tab w:val="left" w:pos="6597"/>
                <w:tab w:val="left" w:pos="7164"/>
                <w:tab w:val="left" w:pos="7731"/>
                <w:tab w:val="left" w:pos="8298"/>
              </w:tabs>
              <w:jc w:val="both"/>
              <w:rPr>
                <w:rFonts w:eastAsia="Arial" w:cs="Arial"/>
                <w:i/>
                <w:noProof/>
                <w:szCs w:val="22"/>
              </w:rPr>
            </w:pPr>
            <w:r>
              <w:rPr>
                <w:i/>
                <w:noProof/>
              </w:rPr>
              <w:t>The DEP is, in collaboration with the different facilities concerned at the national level and decentralized</w:t>
            </w:r>
          </w:p>
        </w:tc>
      </w:tr>
      <w:tr w:rsidR="00B32A2A" w:rsidRPr="00B32A2A" w:rsidTr="00B32A2A">
        <w:trPr>
          <w:trHeight w:val="1335"/>
        </w:trPr>
        <w:tc>
          <w:tcPr>
            <w:tcW w:w="4536" w:type="dxa"/>
            <w:gridSpan w:val="4"/>
            <w:shd w:val="clear" w:color="auto" w:fill="FFFFFF"/>
          </w:tcPr>
          <w:p w:rsidR="00B32A2A" w:rsidRPr="00B32A2A" w:rsidRDefault="00B32A2A" w:rsidP="00B32A2A">
            <w:pPr>
              <w:pStyle w:val="ListParagraph"/>
              <w:widowControl/>
              <w:numPr>
                <w:ilvl w:val="0"/>
                <w:numId w:val="6"/>
              </w:numPr>
              <w:spacing w:line="240" w:lineRule="auto"/>
              <w:ind w:left="720"/>
              <w:rPr>
                <w:rFonts w:cs="Arial"/>
                <w:noProof/>
                <w:color w:val="auto"/>
                <w:sz w:val="22"/>
                <w:szCs w:val="22"/>
              </w:rPr>
            </w:pPr>
            <w:r>
              <w:rPr>
                <w:noProof/>
                <w:color w:val="auto"/>
                <w:sz w:val="22"/>
              </w:rPr>
              <w:t>What is the planning &amp; budgeting process and who is responsible for approving the annual GAVI-HSS work plan and budget?</w:t>
            </w:r>
          </w:p>
        </w:tc>
        <w:tc>
          <w:tcPr>
            <w:tcW w:w="6237" w:type="dxa"/>
            <w:shd w:val="clear" w:color="auto" w:fill="FFFFFF"/>
          </w:tcPr>
          <w:p w:rsidR="00B32A2A" w:rsidRPr="00B32A2A" w:rsidRDefault="00B32A2A" w:rsidP="00B32A2A">
            <w:pPr>
              <w:pStyle w:val="Header"/>
              <w:tabs>
                <w:tab w:val="clear" w:pos="8306"/>
                <w:tab w:val="left" w:pos="360"/>
                <w:tab w:val="left" w:pos="927"/>
                <w:tab w:val="left" w:pos="1494"/>
                <w:tab w:val="left" w:pos="2061"/>
                <w:tab w:val="left" w:pos="2628"/>
                <w:tab w:val="left" w:pos="3195"/>
                <w:tab w:val="left" w:pos="3762"/>
                <w:tab w:val="left" w:pos="4329"/>
                <w:tab w:val="left" w:pos="4896"/>
                <w:tab w:val="left" w:pos="5463"/>
                <w:tab w:val="left" w:pos="6030"/>
                <w:tab w:val="left" w:pos="6597"/>
                <w:tab w:val="left" w:pos="7164"/>
                <w:tab w:val="left" w:pos="7731"/>
                <w:tab w:val="left" w:pos="8298"/>
              </w:tabs>
              <w:jc w:val="both"/>
              <w:rPr>
                <w:rFonts w:eastAsia="Arial" w:cs="Arial"/>
                <w:i/>
                <w:noProof/>
                <w:szCs w:val="22"/>
              </w:rPr>
            </w:pPr>
            <w:r>
              <w:rPr>
                <w:i/>
                <w:noProof/>
              </w:rPr>
              <w:t>Every year, the facilities submit their AAPs (Budgets) to the technical health committees (at the district, regional and national levels) who, in turn, review them and submit them to the CTNS and the CNS for approval.</w:t>
            </w:r>
          </w:p>
        </w:tc>
      </w:tr>
      <w:tr w:rsidR="00B32A2A" w:rsidRPr="00B32A2A" w:rsidTr="00B32A2A">
        <w:trPr>
          <w:trHeight w:val="278"/>
        </w:trPr>
        <w:tc>
          <w:tcPr>
            <w:tcW w:w="4536" w:type="dxa"/>
            <w:gridSpan w:val="4"/>
            <w:shd w:val="clear" w:color="auto" w:fill="FFFFFF"/>
          </w:tcPr>
          <w:p w:rsidR="00B32A2A" w:rsidRPr="00B32A2A" w:rsidRDefault="00B32A2A" w:rsidP="00B32A2A">
            <w:pPr>
              <w:pStyle w:val="ListParagraph"/>
              <w:widowControl/>
              <w:numPr>
                <w:ilvl w:val="0"/>
                <w:numId w:val="6"/>
              </w:numPr>
              <w:spacing w:after="0" w:line="240" w:lineRule="auto"/>
              <w:ind w:left="720"/>
              <w:rPr>
                <w:rFonts w:cs="Arial"/>
                <w:noProof/>
                <w:color w:val="auto"/>
                <w:sz w:val="22"/>
                <w:szCs w:val="22"/>
              </w:rPr>
            </w:pPr>
            <w:r>
              <w:rPr>
                <w:noProof/>
                <w:color w:val="auto"/>
                <w:sz w:val="22"/>
              </w:rPr>
              <w:t xml:space="preserve">Will the GAVI-HSS program be reflected in the budget of the </w:t>
            </w:r>
            <w:r>
              <w:rPr>
                <w:noProof/>
                <w:color w:val="auto"/>
                <w:sz w:val="22"/>
              </w:rPr>
              <w:lastRenderedPageBreak/>
              <w:t xml:space="preserve">Ministry of Health submitted every year to the Parliament for approval? </w:t>
            </w:r>
          </w:p>
        </w:tc>
        <w:tc>
          <w:tcPr>
            <w:tcW w:w="6237" w:type="dxa"/>
            <w:shd w:val="clear" w:color="auto" w:fill="FFFFFF"/>
          </w:tcPr>
          <w:p w:rsidR="00B32A2A" w:rsidRPr="00B32A2A" w:rsidRDefault="00B32A2A" w:rsidP="00B32A2A">
            <w:pPr>
              <w:spacing w:before="120" w:after="120"/>
              <w:rPr>
                <w:rFonts w:eastAsia="Arial" w:cs="Arial"/>
                <w:i/>
                <w:noProof/>
              </w:rPr>
            </w:pPr>
            <w:r>
              <w:rPr>
                <w:b/>
                <w:i/>
                <w:noProof/>
              </w:rPr>
              <w:lastRenderedPageBreak/>
              <w:t xml:space="preserve">Yes: </w:t>
            </w:r>
            <w:r>
              <w:rPr>
                <w:i/>
                <w:noProof/>
              </w:rPr>
              <w:t xml:space="preserve">The entire MPH budget, including what is contributed by </w:t>
            </w:r>
            <w:r>
              <w:rPr>
                <w:i/>
                <w:noProof/>
              </w:rPr>
              <w:lastRenderedPageBreak/>
              <w:t>the TFPs is submitted to parliament for approval, subject to the laws on funding. Contributions  by the TFPs are included and show as investments.</w:t>
            </w:r>
          </w:p>
        </w:tc>
      </w:tr>
      <w:tr w:rsidR="00B32A2A" w:rsidRPr="00B32A2A" w:rsidTr="00B32A2A">
        <w:trPr>
          <w:trHeight w:val="278"/>
        </w:trPr>
        <w:tc>
          <w:tcPr>
            <w:tcW w:w="10773" w:type="dxa"/>
            <w:gridSpan w:val="5"/>
            <w:shd w:val="clear" w:color="auto" w:fill="FFFFFF"/>
          </w:tcPr>
          <w:p w:rsidR="00B32A2A" w:rsidRPr="00B32A2A" w:rsidRDefault="00B32A2A" w:rsidP="00B32A2A">
            <w:pPr>
              <w:spacing w:before="120" w:after="120"/>
              <w:jc w:val="both"/>
              <w:rPr>
                <w:rFonts w:cs="Arial"/>
                <w:b/>
                <w:noProof/>
              </w:rPr>
            </w:pPr>
            <w:r>
              <w:rPr>
                <w:b/>
                <w:noProof/>
              </w:rPr>
              <w:lastRenderedPageBreak/>
              <w:t>Budget Execution (incl. treasury management and funds flow)</w:t>
            </w:r>
          </w:p>
        </w:tc>
      </w:tr>
      <w:tr w:rsidR="00B32A2A" w:rsidRPr="00B32A2A" w:rsidTr="00B32A2A">
        <w:trPr>
          <w:trHeight w:val="278"/>
        </w:trPr>
        <w:tc>
          <w:tcPr>
            <w:tcW w:w="4536" w:type="dxa"/>
            <w:gridSpan w:val="4"/>
            <w:shd w:val="clear" w:color="auto" w:fill="FFFFFF"/>
          </w:tcPr>
          <w:p w:rsidR="00B32A2A" w:rsidRPr="00B32A2A" w:rsidRDefault="00B32A2A" w:rsidP="00B32A2A">
            <w:pPr>
              <w:pStyle w:val="ListParagraph"/>
              <w:widowControl/>
              <w:numPr>
                <w:ilvl w:val="0"/>
                <w:numId w:val="6"/>
              </w:numPr>
              <w:spacing w:after="0" w:line="240" w:lineRule="auto"/>
              <w:ind w:left="720"/>
              <w:rPr>
                <w:rFonts w:cs="Arial"/>
                <w:noProof/>
                <w:color w:val="auto"/>
                <w:sz w:val="22"/>
                <w:szCs w:val="22"/>
              </w:rPr>
            </w:pPr>
            <w:r>
              <w:rPr>
                <w:noProof/>
                <w:color w:val="auto"/>
                <w:sz w:val="22"/>
              </w:rPr>
              <w:t>What is the suggested banking arrangement (for example, SWAp, budget support or pooled funding)? Please provide the list of the authorized signatories for the release of funds and all requests for additional funds.</w:t>
            </w:r>
          </w:p>
        </w:tc>
        <w:tc>
          <w:tcPr>
            <w:tcW w:w="6237" w:type="dxa"/>
            <w:shd w:val="clear" w:color="auto" w:fill="FFFFFF"/>
          </w:tcPr>
          <w:p w:rsidR="00B32A2A" w:rsidRPr="00B32A2A" w:rsidRDefault="00B32A2A" w:rsidP="00B32A2A">
            <w:pPr>
              <w:pStyle w:val="Header"/>
              <w:tabs>
                <w:tab w:val="clear" w:pos="8306"/>
                <w:tab w:val="left" w:pos="360"/>
                <w:tab w:val="left" w:pos="927"/>
                <w:tab w:val="left" w:pos="1494"/>
                <w:tab w:val="left" w:pos="2061"/>
                <w:tab w:val="left" w:pos="2628"/>
                <w:tab w:val="left" w:pos="3195"/>
                <w:tab w:val="left" w:pos="3762"/>
                <w:tab w:val="left" w:pos="4329"/>
                <w:tab w:val="left" w:pos="4896"/>
                <w:tab w:val="left" w:pos="5463"/>
                <w:tab w:val="left" w:pos="6030"/>
                <w:tab w:val="left" w:pos="6597"/>
                <w:tab w:val="left" w:pos="7164"/>
                <w:tab w:val="left" w:pos="7731"/>
                <w:tab w:val="left" w:pos="8298"/>
              </w:tabs>
              <w:jc w:val="both"/>
              <w:rPr>
                <w:rFonts w:eastAsia="Arial" w:cs="Arial"/>
                <w:i/>
                <w:noProof/>
                <w:szCs w:val="22"/>
              </w:rPr>
            </w:pPr>
            <w:r>
              <w:rPr>
                <w:i/>
                <w:noProof/>
              </w:rPr>
              <w:t xml:space="preserve">The special Common Funds (CF) account is at a local commercial bank and funded two times per year in Francs CFA; this account is used to, in turn, fund the secondary accounts on a quarterly basis. </w:t>
            </w:r>
          </w:p>
          <w:p w:rsidR="00B32A2A" w:rsidRPr="00B32A2A" w:rsidRDefault="00B32A2A" w:rsidP="00B32A2A">
            <w:pPr>
              <w:pStyle w:val="Header"/>
              <w:tabs>
                <w:tab w:val="clear" w:pos="8306"/>
                <w:tab w:val="left" w:pos="360"/>
                <w:tab w:val="left" w:pos="927"/>
                <w:tab w:val="left" w:pos="1494"/>
                <w:tab w:val="left" w:pos="2061"/>
                <w:tab w:val="left" w:pos="2628"/>
                <w:tab w:val="left" w:pos="3195"/>
                <w:tab w:val="left" w:pos="3762"/>
                <w:tab w:val="left" w:pos="4329"/>
                <w:tab w:val="left" w:pos="4896"/>
                <w:tab w:val="left" w:pos="5463"/>
                <w:tab w:val="left" w:pos="6030"/>
                <w:tab w:val="left" w:pos="6597"/>
                <w:tab w:val="left" w:pos="7164"/>
                <w:tab w:val="left" w:pos="7731"/>
                <w:tab w:val="left" w:pos="8298"/>
              </w:tabs>
              <w:jc w:val="both"/>
              <w:rPr>
                <w:rFonts w:eastAsia="Arial" w:cs="Arial"/>
                <w:i/>
                <w:noProof/>
                <w:szCs w:val="22"/>
              </w:rPr>
            </w:pPr>
            <w:r>
              <w:rPr>
                <w:i/>
                <w:noProof/>
              </w:rPr>
              <w:t>Authorized signatories for the release of funds and all requests for additional funds are:</w:t>
            </w:r>
          </w:p>
          <w:p w:rsidR="00B32A2A" w:rsidRPr="00B32A2A" w:rsidRDefault="00B32A2A" w:rsidP="00B32A2A">
            <w:pPr>
              <w:pStyle w:val="Header"/>
              <w:tabs>
                <w:tab w:val="clear" w:pos="8306"/>
                <w:tab w:val="left" w:pos="360"/>
                <w:tab w:val="left" w:pos="927"/>
                <w:tab w:val="left" w:pos="1494"/>
                <w:tab w:val="left" w:pos="2061"/>
                <w:tab w:val="left" w:pos="2628"/>
                <w:tab w:val="left" w:pos="3195"/>
                <w:tab w:val="left" w:pos="3762"/>
                <w:tab w:val="left" w:pos="4329"/>
                <w:tab w:val="left" w:pos="4896"/>
                <w:tab w:val="left" w:pos="5463"/>
                <w:tab w:val="left" w:pos="6030"/>
                <w:tab w:val="left" w:pos="6597"/>
                <w:tab w:val="left" w:pos="7164"/>
                <w:tab w:val="left" w:pos="7731"/>
                <w:tab w:val="left" w:pos="8298"/>
              </w:tabs>
              <w:rPr>
                <w:rFonts w:eastAsia="Arial" w:cs="Arial"/>
                <w:i/>
                <w:noProof/>
                <w:szCs w:val="22"/>
              </w:rPr>
            </w:pPr>
            <w:r>
              <w:rPr>
                <w:i/>
                <w:noProof/>
              </w:rPr>
              <w:t>The Common Funds Coordinator (the Secretary General of the MPH) and alternate (the MPH's Under-Secretary General),</w:t>
            </w:r>
          </w:p>
          <w:p w:rsidR="00B32A2A" w:rsidRPr="00B32A2A" w:rsidRDefault="00B32A2A" w:rsidP="00B32A2A">
            <w:pPr>
              <w:pStyle w:val="Header"/>
              <w:tabs>
                <w:tab w:val="clear" w:pos="8306"/>
                <w:tab w:val="left" w:pos="360"/>
                <w:tab w:val="left" w:pos="927"/>
                <w:tab w:val="left" w:pos="1494"/>
                <w:tab w:val="left" w:pos="2061"/>
                <w:tab w:val="left" w:pos="2628"/>
                <w:tab w:val="left" w:pos="3195"/>
                <w:tab w:val="left" w:pos="3762"/>
                <w:tab w:val="left" w:pos="4329"/>
                <w:tab w:val="left" w:pos="4896"/>
                <w:tab w:val="left" w:pos="5463"/>
                <w:tab w:val="left" w:pos="6030"/>
                <w:tab w:val="left" w:pos="6597"/>
                <w:tab w:val="left" w:pos="7164"/>
                <w:tab w:val="left" w:pos="7731"/>
                <w:tab w:val="left" w:pos="8298"/>
              </w:tabs>
              <w:rPr>
                <w:rFonts w:eastAsia="Arial" w:cs="Arial"/>
                <w:i/>
                <w:noProof/>
                <w:szCs w:val="22"/>
              </w:rPr>
            </w:pPr>
            <w:r>
              <w:rPr>
                <w:i/>
                <w:noProof/>
              </w:rPr>
              <w:t>The Director of the Department of Financial Resources and Equipment (DRFM) and alternate, the Head of the Finance and Accounting Division.</w:t>
            </w:r>
          </w:p>
        </w:tc>
      </w:tr>
      <w:tr w:rsidR="00B32A2A" w:rsidRPr="00B32A2A" w:rsidTr="00B32A2A">
        <w:trPr>
          <w:trHeight w:val="278"/>
        </w:trPr>
        <w:tc>
          <w:tcPr>
            <w:tcW w:w="4536" w:type="dxa"/>
            <w:gridSpan w:val="4"/>
            <w:shd w:val="clear" w:color="auto" w:fill="FFFFFF"/>
          </w:tcPr>
          <w:p w:rsidR="00B32A2A" w:rsidRPr="00B32A2A" w:rsidRDefault="00B32A2A" w:rsidP="00B32A2A">
            <w:pPr>
              <w:pStyle w:val="ListParagraph"/>
              <w:widowControl/>
              <w:numPr>
                <w:ilvl w:val="0"/>
                <w:numId w:val="6"/>
              </w:numPr>
              <w:spacing w:after="0" w:line="240" w:lineRule="auto"/>
              <w:ind w:left="720"/>
              <w:rPr>
                <w:rFonts w:cs="Arial"/>
                <w:noProof/>
                <w:color w:val="auto"/>
                <w:sz w:val="22"/>
                <w:szCs w:val="22"/>
              </w:rPr>
            </w:pPr>
            <w:r>
              <w:rPr>
                <w:noProof/>
                <w:color w:val="auto"/>
                <w:sz w:val="22"/>
              </w:rPr>
              <w:t>Will GAVI HSS funds be transferred to a bank account opened at the Central Bank or at a commercial bank in the name of the Ministry of Health or the Implementing Entity?</w:t>
            </w:r>
          </w:p>
        </w:tc>
        <w:tc>
          <w:tcPr>
            <w:tcW w:w="6237" w:type="dxa"/>
            <w:shd w:val="clear" w:color="auto" w:fill="FFFFFF"/>
          </w:tcPr>
          <w:p w:rsidR="00B32A2A" w:rsidRPr="00B32A2A" w:rsidRDefault="00B32A2A" w:rsidP="00B32A2A">
            <w:pPr>
              <w:pStyle w:val="Header"/>
              <w:tabs>
                <w:tab w:val="clear" w:pos="8306"/>
                <w:tab w:val="left" w:pos="360"/>
                <w:tab w:val="left" w:pos="927"/>
                <w:tab w:val="left" w:pos="1494"/>
                <w:tab w:val="left" w:pos="2061"/>
                <w:tab w:val="left" w:pos="2628"/>
                <w:tab w:val="left" w:pos="3195"/>
                <w:tab w:val="left" w:pos="3762"/>
                <w:tab w:val="left" w:pos="4329"/>
                <w:tab w:val="left" w:pos="4896"/>
                <w:tab w:val="left" w:pos="5463"/>
                <w:tab w:val="left" w:pos="6030"/>
                <w:tab w:val="left" w:pos="6597"/>
                <w:tab w:val="left" w:pos="7164"/>
                <w:tab w:val="left" w:pos="7731"/>
                <w:tab w:val="left" w:pos="8298"/>
              </w:tabs>
              <w:jc w:val="both"/>
              <w:rPr>
                <w:rFonts w:eastAsia="Arial" w:cs="Arial"/>
                <w:i/>
                <w:noProof/>
                <w:szCs w:val="22"/>
              </w:rPr>
            </w:pPr>
            <w:r>
              <w:rPr>
                <w:i/>
                <w:noProof/>
              </w:rPr>
              <w:t>YES: GAVI-HSS funds will be transferred to the CF account which is a special account open in a local commercial bank--the BIA.</w:t>
            </w:r>
          </w:p>
        </w:tc>
      </w:tr>
      <w:tr w:rsidR="00B32A2A" w:rsidRPr="00B32A2A" w:rsidTr="00B32A2A">
        <w:trPr>
          <w:trHeight w:val="278"/>
        </w:trPr>
        <w:tc>
          <w:tcPr>
            <w:tcW w:w="4536" w:type="dxa"/>
            <w:gridSpan w:val="4"/>
            <w:shd w:val="clear" w:color="auto" w:fill="FFFFFF"/>
          </w:tcPr>
          <w:p w:rsidR="00B32A2A" w:rsidRPr="00B32A2A" w:rsidRDefault="00B32A2A" w:rsidP="00B32A2A">
            <w:pPr>
              <w:pStyle w:val="ListParagraph"/>
              <w:widowControl/>
              <w:numPr>
                <w:ilvl w:val="0"/>
                <w:numId w:val="6"/>
              </w:numPr>
              <w:spacing w:line="240" w:lineRule="auto"/>
              <w:ind w:left="720"/>
              <w:rPr>
                <w:rFonts w:cs="Arial"/>
                <w:noProof/>
                <w:color w:val="auto"/>
                <w:sz w:val="22"/>
                <w:szCs w:val="22"/>
              </w:rPr>
            </w:pPr>
            <w:r>
              <w:rPr>
                <w:noProof/>
                <w:color w:val="auto"/>
                <w:sz w:val="22"/>
              </w:rPr>
              <w:t>Would this bank account hold only GAVI funds or also funds from other sources (government and/or donors - a “pooled account”)?</w:t>
            </w:r>
          </w:p>
        </w:tc>
        <w:tc>
          <w:tcPr>
            <w:tcW w:w="6237" w:type="dxa"/>
            <w:shd w:val="clear" w:color="auto" w:fill="FFFFFF"/>
          </w:tcPr>
          <w:p w:rsidR="00B32A2A" w:rsidRPr="00B32A2A" w:rsidRDefault="00B32A2A" w:rsidP="00B32A2A">
            <w:pPr>
              <w:pStyle w:val="Header"/>
              <w:tabs>
                <w:tab w:val="clear" w:pos="8306"/>
                <w:tab w:val="left" w:pos="360"/>
                <w:tab w:val="left" w:pos="927"/>
                <w:tab w:val="left" w:pos="1494"/>
                <w:tab w:val="left" w:pos="2061"/>
                <w:tab w:val="left" w:pos="2628"/>
                <w:tab w:val="left" w:pos="3195"/>
                <w:tab w:val="left" w:pos="3762"/>
                <w:tab w:val="left" w:pos="4329"/>
                <w:tab w:val="left" w:pos="4896"/>
                <w:tab w:val="left" w:pos="5463"/>
                <w:tab w:val="left" w:pos="6030"/>
                <w:tab w:val="left" w:pos="6597"/>
                <w:tab w:val="left" w:pos="7164"/>
                <w:tab w:val="left" w:pos="7731"/>
                <w:tab w:val="left" w:pos="8298"/>
              </w:tabs>
              <w:jc w:val="both"/>
              <w:rPr>
                <w:rFonts w:eastAsia="Arial" w:cs="Arial"/>
                <w:i/>
                <w:noProof/>
                <w:szCs w:val="22"/>
              </w:rPr>
            </w:pPr>
            <w:r>
              <w:rPr>
                <w:i/>
                <w:noProof/>
              </w:rPr>
              <w:t>The special CF account is funded by only funds that are from following TFPs: AFD, AECID, UNICEF and GAVI.</w:t>
            </w:r>
          </w:p>
        </w:tc>
      </w:tr>
      <w:tr w:rsidR="00B32A2A" w:rsidRPr="00B32A2A" w:rsidTr="00B32A2A">
        <w:trPr>
          <w:trHeight w:val="2819"/>
        </w:trPr>
        <w:tc>
          <w:tcPr>
            <w:tcW w:w="4536" w:type="dxa"/>
            <w:gridSpan w:val="4"/>
            <w:shd w:val="clear" w:color="auto" w:fill="FFFFFF"/>
          </w:tcPr>
          <w:p w:rsidR="00B32A2A" w:rsidRPr="00B32A2A" w:rsidRDefault="00B32A2A" w:rsidP="00B32A2A">
            <w:pPr>
              <w:pStyle w:val="ListParagraph"/>
              <w:widowControl/>
              <w:numPr>
                <w:ilvl w:val="0"/>
                <w:numId w:val="6"/>
              </w:numPr>
              <w:spacing w:line="240" w:lineRule="auto"/>
              <w:ind w:left="720"/>
              <w:rPr>
                <w:rFonts w:cs="Arial"/>
                <w:noProof/>
                <w:color w:val="auto"/>
                <w:sz w:val="22"/>
                <w:szCs w:val="22"/>
              </w:rPr>
            </w:pPr>
            <w:r>
              <w:rPr>
                <w:noProof/>
                <w:color w:val="auto"/>
                <w:sz w:val="22"/>
              </w:rPr>
              <w:t xml:space="preserve">Within the HSS program, are funds planned to be transferred from central to decentralized levels (provinces, districts etc.)? </w:t>
            </w:r>
            <w:r>
              <w:rPr>
                <w:b/>
                <w:noProof/>
                <w:color w:val="auto"/>
                <w:sz w:val="22"/>
              </w:rPr>
              <w:t xml:space="preserve">If YES, </w:t>
            </w:r>
            <w:r>
              <w:rPr>
                <w:noProof/>
                <w:color w:val="auto"/>
                <w:sz w:val="22"/>
              </w:rPr>
              <w:t>please describe how fund transfers will be executed and controlled.</w:t>
            </w:r>
          </w:p>
        </w:tc>
        <w:tc>
          <w:tcPr>
            <w:tcW w:w="6237" w:type="dxa"/>
            <w:shd w:val="clear" w:color="auto" w:fill="FFFFFF"/>
          </w:tcPr>
          <w:p w:rsidR="00B32A2A" w:rsidRPr="00B32A2A" w:rsidRDefault="00B32A2A" w:rsidP="00B32A2A">
            <w:pPr>
              <w:pStyle w:val="Header"/>
              <w:tabs>
                <w:tab w:val="clear" w:pos="8306"/>
                <w:tab w:val="left" w:pos="360"/>
                <w:tab w:val="left" w:pos="927"/>
                <w:tab w:val="left" w:pos="1494"/>
                <w:tab w:val="left" w:pos="2061"/>
                <w:tab w:val="left" w:pos="2628"/>
                <w:tab w:val="left" w:pos="3195"/>
                <w:tab w:val="left" w:pos="3762"/>
                <w:tab w:val="left" w:pos="4329"/>
                <w:tab w:val="left" w:pos="4896"/>
                <w:tab w:val="left" w:pos="5463"/>
                <w:tab w:val="left" w:pos="6030"/>
                <w:tab w:val="left" w:pos="6597"/>
                <w:tab w:val="left" w:pos="7164"/>
                <w:tab w:val="left" w:pos="7731"/>
                <w:tab w:val="left" w:pos="8298"/>
              </w:tabs>
              <w:jc w:val="both"/>
              <w:rPr>
                <w:rFonts w:eastAsia="Arial" w:cs="Arial"/>
                <w:i/>
                <w:noProof/>
                <w:szCs w:val="22"/>
              </w:rPr>
            </w:pPr>
            <w:r>
              <w:rPr>
                <w:b/>
                <w:i/>
                <w:noProof/>
              </w:rPr>
              <w:t xml:space="preserve">Yes: </w:t>
            </w:r>
            <w:r>
              <w:rPr>
                <w:i/>
                <w:noProof/>
              </w:rPr>
              <w:t>An account is opened in CFAF in a commercial bank for every DRSP, HD, referral maternity, and RHC that are management centers.</w:t>
            </w:r>
          </w:p>
          <w:p w:rsidR="00B32A2A" w:rsidRPr="00B32A2A" w:rsidRDefault="00B32A2A" w:rsidP="00B32A2A">
            <w:pPr>
              <w:pStyle w:val="Header"/>
              <w:tabs>
                <w:tab w:val="clear" w:pos="8306"/>
                <w:tab w:val="left" w:pos="360"/>
                <w:tab w:val="left" w:pos="927"/>
                <w:tab w:val="left" w:pos="1494"/>
                <w:tab w:val="left" w:pos="2061"/>
                <w:tab w:val="left" w:pos="2628"/>
                <w:tab w:val="left" w:pos="3195"/>
                <w:tab w:val="left" w:pos="3762"/>
                <w:tab w:val="left" w:pos="4329"/>
                <w:tab w:val="left" w:pos="4896"/>
                <w:tab w:val="left" w:pos="5463"/>
                <w:tab w:val="left" w:pos="6030"/>
                <w:tab w:val="left" w:pos="6597"/>
                <w:tab w:val="left" w:pos="7164"/>
                <w:tab w:val="left" w:pos="7731"/>
                <w:tab w:val="left" w:pos="8298"/>
              </w:tabs>
              <w:jc w:val="both"/>
              <w:rPr>
                <w:rFonts w:eastAsia="Arial" w:cs="Arial"/>
                <w:i/>
                <w:noProof/>
                <w:szCs w:val="22"/>
              </w:rPr>
            </w:pPr>
            <w:r>
              <w:rPr>
                <w:i/>
                <w:noProof/>
              </w:rPr>
              <w:t>The Special Account pays into it quarterly.  The amount transferred is determined in relation to the amount of quarterly AAP activities attributable to the CF – HDP, and the performance of the facilities' technical and financial management.</w:t>
            </w:r>
          </w:p>
        </w:tc>
      </w:tr>
      <w:tr w:rsidR="00B32A2A" w:rsidRPr="00B32A2A" w:rsidTr="00B32A2A">
        <w:trPr>
          <w:trHeight w:val="278"/>
        </w:trPr>
        <w:tc>
          <w:tcPr>
            <w:tcW w:w="10773" w:type="dxa"/>
            <w:gridSpan w:val="5"/>
            <w:shd w:val="clear" w:color="auto" w:fill="FFFFFF"/>
          </w:tcPr>
          <w:p w:rsidR="00B32A2A" w:rsidRPr="00B32A2A" w:rsidRDefault="00B32A2A" w:rsidP="00B32A2A">
            <w:pPr>
              <w:spacing w:before="120" w:after="120"/>
              <w:ind w:left="360"/>
              <w:jc w:val="both"/>
              <w:rPr>
                <w:rFonts w:cs="Arial"/>
                <w:b/>
                <w:noProof/>
              </w:rPr>
            </w:pPr>
            <w:r>
              <w:rPr>
                <w:b/>
                <w:noProof/>
              </w:rPr>
              <w:t>Procurement</w:t>
            </w:r>
          </w:p>
        </w:tc>
      </w:tr>
      <w:tr w:rsidR="00B32A2A" w:rsidRPr="00B32A2A" w:rsidTr="00B32A2A">
        <w:trPr>
          <w:trHeight w:val="278"/>
        </w:trPr>
        <w:tc>
          <w:tcPr>
            <w:tcW w:w="4536" w:type="dxa"/>
            <w:gridSpan w:val="4"/>
            <w:shd w:val="clear" w:color="auto" w:fill="FFFFFF"/>
          </w:tcPr>
          <w:p w:rsidR="00B32A2A" w:rsidRPr="00B32A2A" w:rsidRDefault="00B32A2A" w:rsidP="00B32A2A">
            <w:pPr>
              <w:pStyle w:val="ListParagraph"/>
              <w:widowControl/>
              <w:numPr>
                <w:ilvl w:val="0"/>
                <w:numId w:val="6"/>
              </w:numPr>
              <w:spacing w:line="240" w:lineRule="auto"/>
              <w:ind w:left="720" w:right="120"/>
              <w:rPr>
                <w:rFonts w:cs="Arial"/>
                <w:noProof/>
                <w:color w:val="auto"/>
                <w:sz w:val="22"/>
                <w:szCs w:val="22"/>
              </w:rPr>
            </w:pPr>
            <w:r>
              <w:rPr>
                <w:noProof/>
                <w:color w:val="auto"/>
                <w:sz w:val="22"/>
              </w:rPr>
              <w:lastRenderedPageBreak/>
              <w:t xml:space="preserve">What procurement system will be used for the GAVI-HSS Program? (e.g. National Procurement Code/Act or WB/UNICEF/WHO and other Development Partners’ procurement procedures)  </w:t>
            </w:r>
          </w:p>
        </w:tc>
        <w:tc>
          <w:tcPr>
            <w:tcW w:w="6237" w:type="dxa"/>
            <w:shd w:val="clear" w:color="auto" w:fill="FFFFFF"/>
          </w:tcPr>
          <w:p w:rsidR="00B32A2A" w:rsidRPr="00B32A2A" w:rsidRDefault="00B32A2A" w:rsidP="00B32A2A">
            <w:pPr>
              <w:spacing w:before="120" w:after="120"/>
              <w:rPr>
                <w:rFonts w:eastAsia="Arial" w:cs="Arial"/>
                <w:i/>
                <w:noProof/>
              </w:rPr>
            </w:pPr>
            <w:r>
              <w:rPr>
                <w:i/>
                <w:noProof/>
              </w:rPr>
              <w:t>The WHO's procurement procedures are used. The Niger's Procurement Code also applies. In the event of conflict, the WHO's procedures take precedence</w:t>
            </w:r>
          </w:p>
        </w:tc>
      </w:tr>
      <w:tr w:rsidR="00B32A2A" w:rsidRPr="00B32A2A" w:rsidTr="00B32A2A">
        <w:trPr>
          <w:trHeight w:val="278"/>
        </w:trPr>
        <w:tc>
          <w:tcPr>
            <w:tcW w:w="4536" w:type="dxa"/>
            <w:gridSpan w:val="4"/>
            <w:shd w:val="clear" w:color="auto" w:fill="FFFFFF"/>
          </w:tcPr>
          <w:p w:rsidR="00B32A2A" w:rsidRPr="00B32A2A" w:rsidRDefault="00B32A2A" w:rsidP="00B32A2A">
            <w:pPr>
              <w:pStyle w:val="ListParagraph"/>
              <w:widowControl/>
              <w:numPr>
                <w:ilvl w:val="0"/>
                <w:numId w:val="6"/>
              </w:numPr>
              <w:spacing w:line="240" w:lineRule="auto"/>
              <w:ind w:left="720" w:right="120"/>
              <w:rPr>
                <w:rFonts w:cs="Arial"/>
                <w:noProof/>
                <w:color w:val="auto"/>
                <w:sz w:val="22"/>
                <w:szCs w:val="22"/>
              </w:rPr>
            </w:pPr>
            <w:r>
              <w:rPr>
                <w:noProof/>
                <w:color w:val="auto"/>
                <w:sz w:val="22"/>
              </w:rPr>
              <w:t>Do you plan to procure certain items through GAVI's system in-country partners (UNICEF, WHO)?</w:t>
            </w:r>
          </w:p>
        </w:tc>
        <w:tc>
          <w:tcPr>
            <w:tcW w:w="6237" w:type="dxa"/>
            <w:shd w:val="clear" w:color="auto" w:fill="FFFFFF"/>
          </w:tcPr>
          <w:p w:rsidR="00B32A2A" w:rsidRPr="00B32A2A" w:rsidRDefault="00B32A2A" w:rsidP="00B32A2A">
            <w:pPr>
              <w:spacing w:before="120" w:after="120"/>
              <w:rPr>
                <w:rFonts w:eastAsia="Arial" w:cs="Arial"/>
                <w:i/>
                <w:noProof/>
              </w:rPr>
            </w:pPr>
            <w:r>
              <w:rPr>
                <w:b/>
                <w:i/>
                <w:noProof/>
              </w:rPr>
              <w:t>Yes</w:t>
            </w:r>
            <w:r>
              <w:rPr>
                <w:i/>
                <w:noProof/>
              </w:rPr>
              <w:t>: Certain acquisitions such as immunizations, contraceptives, medication, cold chain equipment, reagents and medical supplies can be acquired through partners like UNICEF and UNFPA</w:t>
            </w:r>
          </w:p>
        </w:tc>
      </w:tr>
      <w:tr w:rsidR="00B32A2A" w:rsidRPr="00B32A2A" w:rsidTr="00B32A2A">
        <w:trPr>
          <w:trHeight w:val="278"/>
        </w:trPr>
        <w:tc>
          <w:tcPr>
            <w:tcW w:w="4536" w:type="dxa"/>
            <w:gridSpan w:val="4"/>
            <w:shd w:val="clear" w:color="auto" w:fill="FFFFFF"/>
          </w:tcPr>
          <w:p w:rsidR="00B32A2A" w:rsidRPr="00B32A2A" w:rsidRDefault="00B32A2A" w:rsidP="00B32A2A">
            <w:pPr>
              <w:pStyle w:val="ListParagraph"/>
              <w:widowControl/>
              <w:numPr>
                <w:ilvl w:val="0"/>
                <w:numId w:val="6"/>
              </w:numPr>
              <w:spacing w:line="240" w:lineRule="auto"/>
              <w:ind w:left="720" w:right="120"/>
              <w:rPr>
                <w:rFonts w:cs="Arial"/>
                <w:noProof/>
                <w:color w:val="auto"/>
                <w:sz w:val="22"/>
                <w:szCs w:val="22"/>
              </w:rPr>
            </w:pPr>
            <w:r>
              <w:rPr>
                <w:noProof/>
                <w:color w:val="auto"/>
                <w:sz w:val="22"/>
              </w:rPr>
              <w:t xml:space="preserve">What is the staffing arrangement of the organization in procurement?  </w:t>
            </w:r>
          </w:p>
        </w:tc>
        <w:tc>
          <w:tcPr>
            <w:tcW w:w="6237" w:type="dxa"/>
            <w:shd w:val="clear" w:color="auto" w:fill="FFFFFF"/>
          </w:tcPr>
          <w:p w:rsidR="00B32A2A" w:rsidRPr="00B32A2A" w:rsidRDefault="00B32A2A" w:rsidP="00B32A2A">
            <w:pPr>
              <w:widowControl/>
              <w:spacing w:before="120" w:after="120" w:line="240" w:lineRule="auto"/>
              <w:rPr>
                <w:rFonts w:eastAsia="Arial" w:cs="Arial"/>
                <w:i/>
                <w:noProof/>
              </w:rPr>
            </w:pPr>
            <w:r>
              <w:rPr>
                <w:i/>
                <w:noProof/>
              </w:rPr>
              <w:t>The entity in charge of procurement has trained personnel. The Common Funds has recruited a procurement expert.</w:t>
            </w:r>
          </w:p>
        </w:tc>
      </w:tr>
      <w:tr w:rsidR="00B32A2A" w:rsidRPr="00B32A2A" w:rsidTr="00B32A2A">
        <w:trPr>
          <w:trHeight w:val="278"/>
        </w:trPr>
        <w:tc>
          <w:tcPr>
            <w:tcW w:w="4536" w:type="dxa"/>
            <w:gridSpan w:val="4"/>
            <w:shd w:val="clear" w:color="auto" w:fill="FFFFFF"/>
          </w:tcPr>
          <w:p w:rsidR="00B32A2A" w:rsidRPr="00B32A2A" w:rsidRDefault="00B32A2A" w:rsidP="00B32A2A">
            <w:pPr>
              <w:pStyle w:val="ListParagraph"/>
              <w:widowControl/>
              <w:numPr>
                <w:ilvl w:val="0"/>
                <w:numId w:val="6"/>
              </w:numPr>
              <w:spacing w:line="240" w:lineRule="auto"/>
              <w:ind w:left="720" w:right="120"/>
              <w:rPr>
                <w:rFonts w:cs="Arial"/>
                <w:noProof/>
                <w:color w:val="auto"/>
                <w:sz w:val="22"/>
                <w:szCs w:val="22"/>
              </w:rPr>
            </w:pPr>
            <w:r>
              <w:rPr>
                <w:noProof/>
                <w:color w:val="auto"/>
                <w:sz w:val="22"/>
              </w:rPr>
              <w:t>Are there procedures in place for the physical inspection and quality control of goods, works, or services delivered?</w:t>
            </w:r>
          </w:p>
        </w:tc>
        <w:tc>
          <w:tcPr>
            <w:tcW w:w="6237" w:type="dxa"/>
            <w:shd w:val="clear" w:color="auto" w:fill="FFFFFF"/>
          </w:tcPr>
          <w:p w:rsidR="00B32A2A" w:rsidRPr="00B32A2A" w:rsidRDefault="00B32A2A" w:rsidP="00B32A2A">
            <w:pPr>
              <w:spacing w:before="120" w:after="240"/>
              <w:rPr>
                <w:rFonts w:eastAsia="Arial" w:cs="Arial"/>
                <w:i/>
                <w:noProof/>
              </w:rPr>
            </w:pPr>
            <w:r>
              <w:rPr>
                <w:i/>
                <w:noProof/>
              </w:rPr>
              <w:t>YES: The procedures in place for the physical inspection and quality control of goods, works, or services delivered are those of the CF.</w:t>
            </w:r>
          </w:p>
        </w:tc>
      </w:tr>
      <w:tr w:rsidR="00B32A2A" w:rsidRPr="00B32A2A" w:rsidTr="00B32A2A">
        <w:trPr>
          <w:trHeight w:val="1938"/>
        </w:trPr>
        <w:tc>
          <w:tcPr>
            <w:tcW w:w="4536" w:type="dxa"/>
            <w:gridSpan w:val="4"/>
            <w:shd w:val="clear" w:color="auto" w:fill="FFFFFF"/>
          </w:tcPr>
          <w:p w:rsidR="00B32A2A" w:rsidRPr="00B32A2A" w:rsidRDefault="00B32A2A" w:rsidP="00B32A2A">
            <w:pPr>
              <w:pStyle w:val="ListParagraph"/>
              <w:widowControl/>
              <w:numPr>
                <w:ilvl w:val="0"/>
                <w:numId w:val="6"/>
              </w:numPr>
              <w:spacing w:line="240" w:lineRule="auto"/>
              <w:ind w:left="720" w:right="120"/>
              <w:rPr>
                <w:rFonts w:cs="Arial"/>
                <w:noProof/>
                <w:color w:val="auto"/>
                <w:sz w:val="22"/>
                <w:szCs w:val="22"/>
              </w:rPr>
            </w:pPr>
            <w:r>
              <w:rPr>
                <w:noProof/>
                <w:color w:val="auto"/>
                <w:sz w:val="22"/>
              </w:rPr>
              <w:t xml:space="preserve">Is there a functioning complaint mechanism? Please describe. </w:t>
            </w:r>
          </w:p>
        </w:tc>
        <w:tc>
          <w:tcPr>
            <w:tcW w:w="6237" w:type="dxa"/>
            <w:shd w:val="clear" w:color="auto" w:fill="FFFFFF"/>
          </w:tcPr>
          <w:p w:rsidR="00B32A2A" w:rsidRPr="00B32A2A" w:rsidRDefault="00B32A2A" w:rsidP="00B32A2A">
            <w:pPr>
              <w:widowControl/>
              <w:spacing w:before="120" w:after="240" w:line="240" w:lineRule="auto"/>
              <w:rPr>
                <w:rFonts w:eastAsia="Arial" w:cs="Arial"/>
                <w:i/>
                <w:noProof/>
              </w:rPr>
            </w:pPr>
            <w:r>
              <w:rPr>
                <w:b/>
                <w:i/>
                <w:noProof/>
              </w:rPr>
              <w:t xml:space="preserve">YES: </w:t>
            </w:r>
            <w:r>
              <w:rPr>
                <w:i/>
                <w:noProof/>
              </w:rPr>
              <w:t>Niger's Procurement Code has implemented a mechanism for receiving and managing complaints. The Agence de Régulation des Marchés Publics (The Agency for Procurement Regulation  - ARMP) has implemented a committee to regulate disputes (CRD), made up of representatives from the administration as well as the private sector and civil society. All those who file complaints related to procurement can file with this committee.</w:t>
            </w:r>
          </w:p>
        </w:tc>
      </w:tr>
      <w:tr w:rsidR="00B32A2A" w:rsidRPr="00B32A2A" w:rsidTr="00B32A2A">
        <w:trPr>
          <w:trHeight w:val="3330"/>
        </w:trPr>
        <w:tc>
          <w:tcPr>
            <w:tcW w:w="4536" w:type="dxa"/>
            <w:gridSpan w:val="4"/>
            <w:shd w:val="clear" w:color="auto" w:fill="FFFFFF"/>
          </w:tcPr>
          <w:p w:rsidR="00B32A2A" w:rsidRPr="00B32A2A" w:rsidRDefault="00B32A2A" w:rsidP="00B32A2A">
            <w:pPr>
              <w:pStyle w:val="ListParagraph"/>
              <w:widowControl/>
              <w:numPr>
                <w:ilvl w:val="0"/>
                <w:numId w:val="6"/>
              </w:numPr>
              <w:spacing w:line="240" w:lineRule="auto"/>
              <w:ind w:left="720" w:right="120"/>
              <w:jc w:val="left"/>
              <w:rPr>
                <w:rFonts w:cs="Arial"/>
                <w:noProof/>
                <w:color w:val="auto"/>
                <w:sz w:val="22"/>
                <w:szCs w:val="22"/>
              </w:rPr>
            </w:pPr>
            <w:r>
              <w:rPr>
                <w:noProof/>
                <w:color w:val="auto"/>
                <w:sz w:val="22"/>
              </w:rPr>
              <w:t xml:space="preserve">Are efficient contractual dispute resolution procedures in place? Please describe. </w:t>
            </w:r>
          </w:p>
        </w:tc>
        <w:tc>
          <w:tcPr>
            <w:tcW w:w="6237" w:type="dxa"/>
            <w:shd w:val="clear" w:color="auto" w:fill="FFFFFF"/>
          </w:tcPr>
          <w:p w:rsidR="00B32A2A" w:rsidRPr="00B32A2A" w:rsidRDefault="00B32A2A" w:rsidP="00B32A2A">
            <w:pPr>
              <w:spacing w:before="120" w:after="240"/>
              <w:rPr>
                <w:rFonts w:eastAsia="Arial" w:cs="Arial"/>
                <w:i/>
                <w:noProof/>
              </w:rPr>
            </w:pPr>
            <w:r>
              <w:rPr>
                <w:b/>
                <w:i/>
                <w:noProof/>
              </w:rPr>
              <w:t xml:space="preserve">YES: </w:t>
            </w:r>
            <w:r>
              <w:rPr>
                <w:i/>
                <w:noProof/>
              </w:rPr>
              <w:t>There are possible recourses with the Procurement Manager that mus</w:t>
            </w:r>
            <w:r w:rsidR="001F248A">
              <w:rPr>
                <w:i/>
                <w:noProof/>
              </w:rPr>
              <w:t>t be exhausted as a first step.</w:t>
            </w:r>
            <w:r>
              <w:rPr>
                <w:i/>
                <w:noProof/>
              </w:rPr>
              <w:t xml:space="preserve"> Once the first-pass recourse has been exhausted, the complaint is brought to the CRD.</w:t>
            </w:r>
          </w:p>
          <w:p w:rsidR="00B32A2A" w:rsidRPr="00B32A2A" w:rsidRDefault="00B32A2A" w:rsidP="00B32A2A">
            <w:pPr>
              <w:spacing w:before="120" w:after="240"/>
              <w:rPr>
                <w:rFonts w:eastAsia="Arial" w:cs="Arial"/>
                <w:i/>
                <w:noProof/>
              </w:rPr>
            </w:pPr>
            <w:r>
              <w:rPr>
                <w:i/>
                <w:noProof/>
              </w:rPr>
              <w:t>During the execution of public contracts, recourses are reviewed by the Arbitration Committee, an entity created within ARMP for mediation between the parties involved in the public contract. Minutes are drawn up if a consensus is reached. If an agreement is not reached, the parties may resort to the courts.</w:t>
            </w:r>
          </w:p>
        </w:tc>
      </w:tr>
      <w:tr w:rsidR="00B32A2A" w:rsidRPr="00B32A2A" w:rsidTr="00B32A2A">
        <w:trPr>
          <w:trHeight w:val="278"/>
        </w:trPr>
        <w:tc>
          <w:tcPr>
            <w:tcW w:w="10773" w:type="dxa"/>
            <w:gridSpan w:val="5"/>
            <w:shd w:val="clear" w:color="auto" w:fill="FFFFFF"/>
          </w:tcPr>
          <w:p w:rsidR="00B32A2A" w:rsidRPr="00B32A2A" w:rsidRDefault="00B32A2A" w:rsidP="00B32A2A">
            <w:pPr>
              <w:spacing w:before="120" w:after="120"/>
              <w:ind w:left="360"/>
              <w:jc w:val="both"/>
              <w:rPr>
                <w:rFonts w:cs="Arial"/>
                <w:b/>
                <w:noProof/>
              </w:rPr>
            </w:pPr>
            <w:r>
              <w:rPr>
                <w:b/>
                <w:noProof/>
              </w:rPr>
              <w:t>Accounting and financial reporting (incl. fixed asset management)</w:t>
            </w:r>
          </w:p>
        </w:tc>
      </w:tr>
      <w:tr w:rsidR="00B32A2A" w:rsidRPr="00B32A2A" w:rsidTr="00B32A2A">
        <w:trPr>
          <w:trHeight w:val="278"/>
        </w:trPr>
        <w:tc>
          <w:tcPr>
            <w:tcW w:w="4111" w:type="dxa"/>
            <w:gridSpan w:val="2"/>
            <w:shd w:val="clear" w:color="auto" w:fill="FFFFFF"/>
          </w:tcPr>
          <w:p w:rsidR="00B32A2A" w:rsidRPr="00B32A2A" w:rsidRDefault="00B32A2A" w:rsidP="00B32A2A">
            <w:pPr>
              <w:pStyle w:val="ListParagraph"/>
              <w:widowControl/>
              <w:numPr>
                <w:ilvl w:val="0"/>
                <w:numId w:val="6"/>
              </w:numPr>
              <w:spacing w:line="240" w:lineRule="auto"/>
              <w:ind w:left="720"/>
              <w:rPr>
                <w:rFonts w:cs="Arial"/>
                <w:noProof/>
                <w:color w:val="auto"/>
                <w:sz w:val="22"/>
                <w:szCs w:val="22"/>
              </w:rPr>
            </w:pPr>
            <w:r>
              <w:rPr>
                <w:noProof/>
                <w:color w:val="auto"/>
                <w:sz w:val="22"/>
              </w:rPr>
              <w:lastRenderedPageBreak/>
              <w:t>What personnel is in charge of accounting and financial reporting?</w:t>
            </w:r>
          </w:p>
        </w:tc>
        <w:tc>
          <w:tcPr>
            <w:tcW w:w="6662" w:type="dxa"/>
            <w:gridSpan w:val="3"/>
            <w:shd w:val="clear" w:color="auto" w:fill="FFFFFF"/>
          </w:tcPr>
          <w:p w:rsidR="00B32A2A" w:rsidRPr="00B32A2A" w:rsidRDefault="00B32A2A" w:rsidP="00B32A2A">
            <w:pPr>
              <w:spacing w:before="120" w:after="120"/>
              <w:jc w:val="both"/>
              <w:rPr>
                <w:rFonts w:eastAsia="Arial" w:cs="Arial"/>
                <w:i/>
                <w:noProof/>
              </w:rPr>
            </w:pPr>
            <w:r>
              <w:rPr>
                <w:i/>
                <w:noProof/>
              </w:rPr>
              <w:t>Those in charge of accounting are:</w:t>
            </w:r>
          </w:p>
          <w:p w:rsidR="00B32A2A" w:rsidRPr="00B32A2A" w:rsidRDefault="00B32A2A" w:rsidP="00B32A2A">
            <w:pPr>
              <w:numPr>
                <w:ilvl w:val="0"/>
                <w:numId w:val="20"/>
              </w:numPr>
              <w:spacing w:before="120" w:after="120"/>
              <w:jc w:val="both"/>
              <w:rPr>
                <w:rFonts w:eastAsia="Arial" w:cs="Arial"/>
                <w:i/>
                <w:noProof/>
              </w:rPr>
            </w:pPr>
            <w:r>
              <w:rPr>
                <w:i/>
                <w:noProof/>
              </w:rPr>
              <w:t>At the national level: the Financial and Accounting Division for the DRFM and the head accountant for the Common Funds,</w:t>
            </w:r>
          </w:p>
          <w:p w:rsidR="00B32A2A" w:rsidRPr="00B32A2A" w:rsidRDefault="00B32A2A" w:rsidP="00B32A2A">
            <w:pPr>
              <w:numPr>
                <w:ilvl w:val="0"/>
                <w:numId w:val="20"/>
              </w:numPr>
              <w:spacing w:before="120" w:after="120"/>
              <w:rPr>
                <w:rFonts w:eastAsia="Arial" w:cs="Arial"/>
                <w:i/>
                <w:noProof/>
              </w:rPr>
            </w:pPr>
            <w:r>
              <w:rPr>
                <w:i/>
                <w:noProof/>
              </w:rPr>
              <w:t>At the regional level: 8 Administrative directors and 8 regional CF accountants,</w:t>
            </w:r>
          </w:p>
          <w:p w:rsidR="00B32A2A" w:rsidRPr="00B32A2A" w:rsidRDefault="00B32A2A" w:rsidP="00B32A2A">
            <w:pPr>
              <w:spacing w:before="120" w:after="120"/>
              <w:rPr>
                <w:rFonts w:eastAsia="Arial" w:cs="Arial"/>
                <w:i/>
                <w:noProof/>
              </w:rPr>
            </w:pPr>
            <w:r>
              <w:rPr>
                <w:i/>
                <w:noProof/>
              </w:rPr>
              <w:t>For financial reports: In addition to the accounting staff, the following are also involved:</w:t>
            </w:r>
          </w:p>
          <w:p w:rsidR="00B32A2A" w:rsidRPr="00B32A2A" w:rsidRDefault="00B32A2A" w:rsidP="00B32A2A">
            <w:pPr>
              <w:numPr>
                <w:ilvl w:val="0"/>
                <w:numId w:val="20"/>
              </w:numPr>
              <w:spacing w:before="120" w:after="120"/>
              <w:jc w:val="both"/>
              <w:rPr>
                <w:rFonts w:eastAsia="Arial" w:cs="Arial"/>
                <w:i/>
                <w:noProof/>
              </w:rPr>
            </w:pPr>
            <w:r>
              <w:rPr>
                <w:i/>
                <w:noProof/>
              </w:rPr>
              <w:t>The coordinator, management advisor, comptroller, internal auditor, procurement expert for the Common Funds.</w:t>
            </w:r>
          </w:p>
        </w:tc>
      </w:tr>
      <w:tr w:rsidR="00B32A2A" w:rsidRPr="00B32A2A" w:rsidTr="00B32A2A">
        <w:trPr>
          <w:trHeight w:val="278"/>
        </w:trPr>
        <w:tc>
          <w:tcPr>
            <w:tcW w:w="4111" w:type="dxa"/>
            <w:gridSpan w:val="2"/>
            <w:shd w:val="clear" w:color="auto" w:fill="FFFFFF"/>
          </w:tcPr>
          <w:p w:rsidR="00B32A2A" w:rsidRPr="00B32A2A" w:rsidRDefault="00B32A2A" w:rsidP="00B32A2A">
            <w:pPr>
              <w:pStyle w:val="ListParagraph"/>
              <w:widowControl/>
              <w:numPr>
                <w:ilvl w:val="0"/>
                <w:numId w:val="6"/>
              </w:numPr>
              <w:spacing w:line="240" w:lineRule="auto"/>
              <w:ind w:left="720"/>
              <w:rPr>
                <w:rFonts w:cs="Arial"/>
                <w:noProof/>
                <w:color w:val="auto"/>
                <w:sz w:val="22"/>
                <w:szCs w:val="22"/>
              </w:rPr>
            </w:pPr>
            <w:r>
              <w:rPr>
                <w:noProof/>
                <w:color w:val="auto"/>
                <w:sz w:val="22"/>
              </w:rPr>
              <w:t>What accounting system will be used for the GAVI-HSS Program? (Is there a specific accounting software or a manual accounting system?)</w:t>
            </w:r>
          </w:p>
        </w:tc>
        <w:tc>
          <w:tcPr>
            <w:tcW w:w="6662" w:type="dxa"/>
            <w:gridSpan w:val="3"/>
            <w:shd w:val="clear" w:color="auto" w:fill="FFFFFF"/>
          </w:tcPr>
          <w:p w:rsidR="00B32A2A" w:rsidRPr="00B32A2A" w:rsidRDefault="00B32A2A" w:rsidP="00B32A2A">
            <w:pPr>
              <w:spacing w:before="120" w:after="120"/>
              <w:jc w:val="both"/>
              <w:rPr>
                <w:rFonts w:cs="Arial"/>
                <w:noProof/>
              </w:rPr>
            </w:pPr>
            <w:r>
              <w:t>The OHADA system and TOMPRO software are used for Common Funds accounting.</w:t>
            </w:r>
          </w:p>
          <w:p w:rsidR="00B32A2A" w:rsidRPr="00B32A2A" w:rsidRDefault="00B32A2A" w:rsidP="00B32A2A">
            <w:pPr>
              <w:spacing w:before="120" w:after="120"/>
              <w:jc w:val="both"/>
              <w:rPr>
                <w:rFonts w:eastAsia="Arial" w:cs="Arial"/>
                <w:i/>
                <w:noProof/>
              </w:rPr>
            </w:pPr>
          </w:p>
        </w:tc>
      </w:tr>
      <w:tr w:rsidR="00B32A2A" w:rsidRPr="00B32A2A" w:rsidTr="00B32A2A">
        <w:trPr>
          <w:trHeight w:val="278"/>
        </w:trPr>
        <w:tc>
          <w:tcPr>
            <w:tcW w:w="4111" w:type="dxa"/>
            <w:gridSpan w:val="2"/>
            <w:shd w:val="clear" w:color="auto" w:fill="FFFFFF"/>
          </w:tcPr>
          <w:p w:rsidR="00B32A2A" w:rsidRPr="00B32A2A" w:rsidRDefault="00B32A2A" w:rsidP="00B32A2A">
            <w:pPr>
              <w:pStyle w:val="ListParagraph"/>
              <w:widowControl/>
              <w:numPr>
                <w:ilvl w:val="0"/>
                <w:numId w:val="6"/>
              </w:numPr>
              <w:spacing w:line="240" w:lineRule="auto"/>
              <w:ind w:left="720"/>
              <w:rPr>
                <w:rFonts w:cs="Arial"/>
                <w:noProof/>
                <w:color w:val="auto"/>
                <w:sz w:val="22"/>
                <w:szCs w:val="22"/>
              </w:rPr>
            </w:pPr>
            <w:r>
              <w:rPr>
                <w:noProof/>
                <w:color w:val="auto"/>
                <w:sz w:val="22"/>
              </w:rPr>
              <w:t xml:space="preserve">How often does the implementing entity produce interim financial reports and to whom are those submitted?  </w:t>
            </w:r>
          </w:p>
        </w:tc>
        <w:tc>
          <w:tcPr>
            <w:tcW w:w="6662" w:type="dxa"/>
            <w:gridSpan w:val="3"/>
            <w:shd w:val="clear" w:color="auto" w:fill="FFFFFF"/>
          </w:tcPr>
          <w:p w:rsidR="00B32A2A" w:rsidRPr="00B32A2A" w:rsidRDefault="00B32A2A" w:rsidP="00B32A2A">
            <w:pPr>
              <w:spacing w:before="120" w:after="120"/>
              <w:jc w:val="both"/>
              <w:rPr>
                <w:rFonts w:cs="Arial"/>
                <w:noProof/>
              </w:rPr>
            </w:pPr>
            <w:r>
              <w:t>Financial reports are produced every six months and presented to the Common Funds' partners.</w:t>
            </w:r>
          </w:p>
        </w:tc>
      </w:tr>
      <w:tr w:rsidR="00B32A2A" w:rsidRPr="00B32A2A" w:rsidTr="00B32A2A">
        <w:trPr>
          <w:trHeight w:val="278"/>
        </w:trPr>
        <w:tc>
          <w:tcPr>
            <w:tcW w:w="10773" w:type="dxa"/>
            <w:gridSpan w:val="5"/>
            <w:shd w:val="clear" w:color="auto" w:fill="FFFFFF"/>
          </w:tcPr>
          <w:p w:rsidR="00B32A2A" w:rsidRPr="00B32A2A" w:rsidRDefault="00B32A2A" w:rsidP="00B32A2A">
            <w:pPr>
              <w:spacing w:before="120" w:after="120"/>
              <w:ind w:left="360"/>
              <w:jc w:val="both"/>
              <w:rPr>
                <w:rFonts w:cs="Arial"/>
                <w:b/>
                <w:noProof/>
              </w:rPr>
            </w:pPr>
            <w:r>
              <w:rPr>
                <w:b/>
                <w:noProof/>
              </w:rPr>
              <w:t>Internal control and internal audit</w:t>
            </w:r>
          </w:p>
        </w:tc>
      </w:tr>
      <w:tr w:rsidR="00B32A2A" w:rsidRPr="00B32A2A" w:rsidTr="00B32A2A">
        <w:trPr>
          <w:trHeight w:val="278"/>
        </w:trPr>
        <w:tc>
          <w:tcPr>
            <w:tcW w:w="3828" w:type="dxa"/>
            <w:shd w:val="clear" w:color="auto" w:fill="FFFFFF"/>
          </w:tcPr>
          <w:p w:rsidR="00B32A2A" w:rsidRPr="00B32A2A" w:rsidRDefault="00B32A2A" w:rsidP="00B32A2A">
            <w:pPr>
              <w:pStyle w:val="ListParagraph"/>
              <w:widowControl/>
              <w:numPr>
                <w:ilvl w:val="0"/>
                <w:numId w:val="6"/>
              </w:numPr>
              <w:spacing w:line="240" w:lineRule="auto"/>
              <w:ind w:left="720" w:right="120"/>
              <w:rPr>
                <w:rFonts w:cs="Arial"/>
                <w:noProof/>
                <w:color w:val="auto"/>
                <w:sz w:val="22"/>
                <w:szCs w:val="22"/>
              </w:rPr>
            </w:pPr>
            <w:r>
              <w:rPr>
                <w:noProof/>
                <w:color w:val="auto"/>
                <w:sz w:val="22"/>
              </w:rPr>
              <w:t>Does the recipient organization have a Financial Management or Operating Manual that describes the internal control system and Financial Management operational procedures?</w:t>
            </w:r>
          </w:p>
        </w:tc>
        <w:tc>
          <w:tcPr>
            <w:tcW w:w="6945" w:type="dxa"/>
            <w:gridSpan w:val="4"/>
            <w:shd w:val="clear" w:color="auto" w:fill="FFFFFF"/>
          </w:tcPr>
          <w:p w:rsidR="00B32A2A" w:rsidRPr="00B32A2A" w:rsidRDefault="00B32A2A" w:rsidP="00B32A2A">
            <w:pPr>
              <w:spacing w:before="120" w:after="240"/>
              <w:rPr>
                <w:rFonts w:cs="Arial"/>
                <w:noProof/>
              </w:rPr>
            </w:pPr>
            <w:r>
              <w:t>YES: The Common Funds has an administrative, financial and accounting manual that describes the internal audit system and the financial management operational procedures.</w:t>
            </w:r>
          </w:p>
        </w:tc>
      </w:tr>
      <w:tr w:rsidR="00B32A2A" w:rsidRPr="00B32A2A" w:rsidTr="00B32A2A">
        <w:trPr>
          <w:trHeight w:val="278"/>
        </w:trPr>
        <w:tc>
          <w:tcPr>
            <w:tcW w:w="3828" w:type="dxa"/>
            <w:shd w:val="clear" w:color="auto" w:fill="FFFFFF"/>
          </w:tcPr>
          <w:p w:rsidR="00B32A2A" w:rsidRPr="00B32A2A" w:rsidRDefault="00B32A2A" w:rsidP="00B32A2A">
            <w:pPr>
              <w:pStyle w:val="ListParagraph"/>
              <w:widowControl/>
              <w:numPr>
                <w:ilvl w:val="0"/>
                <w:numId w:val="6"/>
              </w:numPr>
              <w:spacing w:line="240" w:lineRule="auto"/>
              <w:ind w:left="720" w:right="120"/>
              <w:rPr>
                <w:rFonts w:cs="Arial"/>
                <w:noProof/>
                <w:color w:val="auto"/>
                <w:sz w:val="22"/>
                <w:szCs w:val="22"/>
              </w:rPr>
            </w:pPr>
            <w:r>
              <w:rPr>
                <w:noProof/>
                <w:color w:val="auto"/>
                <w:sz w:val="22"/>
              </w:rPr>
              <w:t>Does an internal audit department exist within recipient organization? If yes, please describe how this department will be involved in GAVI-HSS.</w:t>
            </w:r>
          </w:p>
        </w:tc>
        <w:tc>
          <w:tcPr>
            <w:tcW w:w="6945" w:type="dxa"/>
            <w:gridSpan w:val="4"/>
            <w:shd w:val="clear" w:color="auto" w:fill="FFFFFF"/>
          </w:tcPr>
          <w:p w:rsidR="00B32A2A" w:rsidRPr="00B32A2A" w:rsidRDefault="00B32A2A" w:rsidP="00B32A2A">
            <w:pPr>
              <w:spacing w:before="120" w:after="240"/>
              <w:rPr>
                <w:rFonts w:cs="Arial"/>
                <w:noProof/>
              </w:rPr>
            </w:pPr>
            <w:r>
              <w:t>YES. The inspector in charge of finances for the Inspection General is assigned the role of internal auditor. After the financial and accounting audit of the Common Funds for the books closed on 31 December 2011, a request was made to hire an internal aud</w:t>
            </w:r>
            <w:r w:rsidR="001F248A">
              <w:t xml:space="preserve">itor who was already involved. </w:t>
            </w:r>
            <w:r>
              <w:t>One of his GAVI-HSS-related responsibilities will be to ensure that procedures are followed and to verify all supporting documentation before it is validated [sic[ and to carry out internal audits at all national and decentralized facilities.</w:t>
            </w:r>
          </w:p>
        </w:tc>
      </w:tr>
      <w:tr w:rsidR="00B32A2A" w:rsidRPr="00B32A2A" w:rsidTr="00B32A2A">
        <w:trPr>
          <w:trHeight w:val="278"/>
        </w:trPr>
        <w:tc>
          <w:tcPr>
            <w:tcW w:w="3828" w:type="dxa"/>
            <w:shd w:val="clear" w:color="auto" w:fill="FFFFFF"/>
          </w:tcPr>
          <w:p w:rsidR="00B32A2A" w:rsidRPr="00B32A2A" w:rsidRDefault="00B32A2A" w:rsidP="00B32A2A">
            <w:pPr>
              <w:pStyle w:val="ListParagraph"/>
              <w:widowControl/>
              <w:numPr>
                <w:ilvl w:val="0"/>
                <w:numId w:val="6"/>
              </w:numPr>
              <w:spacing w:line="240" w:lineRule="auto"/>
              <w:ind w:left="720" w:right="120"/>
              <w:rPr>
                <w:rFonts w:cs="Arial"/>
                <w:noProof/>
                <w:color w:val="auto"/>
                <w:sz w:val="22"/>
                <w:szCs w:val="22"/>
              </w:rPr>
            </w:pPr>
            <w:r>
              <w:rPr>
                <w:noProof/>
                <w:color w:val="auto"/>
                <w:sz w:val="22"/>
              </w:rPr>
              <w:t xml:space="preserve">Is there a functioning Audit Committee to follow up on </w:t>
            </w:r>
            <w:r>
              <w:rPr>
                <w:noProof/>
                <w:color w:val="auto"/>
                <w:sz w:val="22"/>
              </w:rPr>
              <w:lastRenderedPageBreak/>
              <w:t>the implementation of internal audit recommendations?</w:t>
            </w:r>
          </w:p>
        </w:tc>
        <w:tc>
          <w:tcPr>
            <w:tcW w:w="6945" w:type="dxa"/>
            <w:gridSpan w:val="4"/>
            <w:shd w:val="clear" w:color="auto" w:fill="FFFFFF"/>
          </w:tcPr>
          <w:p w:rsidR="00B32A2A" w:rsidRPr="00B32A2A" w:rsidRDefault="00B32A2A" w:rsidP="00B32A2A">
            <w:pPr>
              <w:spacing w:before="120" w:after="240"/>
              <w:rPr>
                <w:rFonts w:cs="Arial"/>
                <w:noProof/>
              </w:rPr>
            </w:pPr>
            <w:r>
              <w:lastRenderedPageBreak/>
              <w:t xml:space="preserve">Common Funds coordination is responsible for implementing the </w:t>
            </w:r>
            <w:r>
              <w:lastRenderedPageBreak/>
              <w:t>internal audit recommendations </w:t>
            </w:r>
          </w:p>
        </w:tc>
      </w:tr>
      <w:tr w:rsidR="00B32A2A" w:rsidRPr="00B32A2A" w:rsidTr="00B32A2A">
        <w:trPr>
          <w:trHeight w:val="278"/>
        </w:trPr>
        <w:tc>
          <w:tcPr>
            <w:tcW w:w="10773" w:type="dxa"/>
            <w:gridSpan w:val="5"/>
            <w:shd w:val="clear" w:color="auto" w:fill="FFFFFF"/>
          </w:tcPr>
          <w:p w:rsidR="00B32A2A" w:rsidRPr="00B32A2A" w:rsidRDefault="00B32A2A" w:rsidP="00B32A2A">
            <w:pPr>
              <w:spacing w:before="120" w:after="120"/>
              <w:ind w:left="360"/>
              <w:jc w:val="both"/>
              <w:rPr>
                <w:rFonts w:cs="Arial"/>
                <w:noProof/>
              </w:rPr>
            </w:pPr>
            <w:r>
              <w:lastRenderedPageBreak/>
              <w:t>External audit of accounts</w:t>
            </w:r>
          </w:p>
        </w:tc>
      </w:tr>
      <w:tr w:rsidR="00B32A2A" w:rsidRPr="00B32A2A" w:rsidTr="00B32A2A">
        <w:trPr>
          <w:trHeight w:val="278"/>
        </w:trPr>
        <w:tc>
          <w:tcPr>
            <w:tcW w:w="4253" w:type="dxa"/>
            <w:gridSpan w:val="3"/>
            <w:shd w:val="clear" w:color="auto" w:fill="FFFFFF"/>
          </w:tcPr>
          <w:p w:rsidR="00B32A2A" w:rsidRPr="00B32A2A" w:rsidRDefault="00B32A2A" w:rsidP="00B32A2A">
            <w:pPr>
              <w:pStyle w:val="ListParagraph"/>
              <w:widowControl/>
              <w:numPr>
                <w:ilvl w:val="0"/>
                <w:numId w:val="6"/>
              </w:numPr>
              <w:spacing w:line="240" w:lineRule="auto"/>
              <w:ind w:left="720" w:right="120"/>
              <w:rPr>
                <w:rFonts w:cs="Arial"/>
                <w:noProof/>
                <w:color w:val="auto"/>
                <w:sz w:val="22"/>
                <w:szCs w:val="22"/>
              </w:rPr>
            </w:pPr>
            <w:r>
              <w:rPr>
                <w:noProof/>
                <w:color w:val="auto"/>
                <w:sz w:val="22"/>
              </w:rPr>
              <w:t xml:space="preserve"> account audit [sic] or by a government institution (for example, the National Auditing Office/Auditor General)</w:t>
            </w:r>
            <w:r>
              <w:rPr>
                <w:noProof/>
                <w:color w:val="auto"/>
                <w:sz w:val="22"/>
                <w:vertAlign w:val="superscript"/>
              </w:rPr>
              <w:footnoteReference w:id="3"/>
            </w:r>
            <w:r>
              <w:rPr>
                <w:noProof/>
                <w:color w:val="auto"/>
                <w:sz w:val="22"/>
              </w:rPr>
              <w:t xml:space="preserve"> ? </w:t>
            </w:r>
          </w:p>
        </w:tc>
        <w:tc>
          <w:tcPr>
            <w:tcW w:w="6520" w:type="dxa"/>
            <w:gridSpan w:val="2"/>
            <w:shd w:val="clear" w:color="auto" w:fill="FFFFFF"/>
          </w:tcPr>
          <w:p w:rsidR="00B32A2A" w:rsidRPr="00B32A2A" w:rsidRDefault="00B32A2A" w:rsidP="00B32A2A">
            <w:pPr>
              <w:spacing w:before="120" w:after="240"/>
              <w:rPr>
                <w:rFonts w:cs="Arial"/>
                <w:noProof/>
              </w:rPr>
            </w:pPr>
            <w:r>
              <w:t xml:space="preserve">YES: The Common Funds procedures plan for the recruitment of an international external auditing firm to audit the accounts  </w:t>
            </w:r>
          </w:p>
          <w:p w:rsidR="00B32A2A" w:rsidRPr="00B32A2A" w:rsidRDefault="00B32A2A" w:rsidP="00B32A2A">
            <w:pPr>
              <w:spacing w:before="120" w:after="240"/>
              <w:rPr>
                <w:rFonts w:cs="Arial"/>
                <w:noProof/>
              </w:rPr>
            </w:pPr>
            <w:r>
              <w:t>Currently, a private firm has been recruited for the audit of fiscal years 2011, 2012 and 2013 and another firm will be recruited for future PDS activities and for fiscal years 2014 and 2015.</w:t>
            </w:r>
          </w:p>
        </w:tc>
      </w:tr>
      <w:tr w:rsidR="00B32A2A" w:rsidRPr="00B32A2A" w:rsidTr="00B32A2A">
        <w:trPr>
          <w:trHeight w:val="278"/>
        </w:trPr>
        <w:tc>
          <w:tcPr>
            <w:tcW w:w="4253" w:type="dxa"/>
            <w:gridSpan w:val="3"/>
            <w:shd w:val="clear" w:color="auto" w:fill="FFFFFF"/>
          </w:tcPr>
          <w:p w:rsidR="00B32A2A" w:rsidRPr="00B32A2A" w:rsidRDefault="00B32A2A" w:rsidP="00B32A2A">
            <w:pPr>
              <w:pStyle w:val="ListParagraph"/>
              <w:widowControl/>
              <w:numPr>
                <w:ilvl w:val="0"/>
                <w:numId w:val="6"/>
              </w:numPr>
              <w:spacing w:line="240" w:lineRule="auto"/>
              <w:ind w:left="720" w:right="120"/>
              <w:rPr>
                <w:rFonts w:cs="Arial"/>
                <w:noProof/>
                <w:color w:val="auto"/>
                <w:sz w:val="22"/>
                <w:szCs w:val="22"/>
              </w:rPr>
            </w:pPr>
            <w:r>
              <w:rPr>
                <w:noProof/>
                <w:color w:val="auto"/>
                <w:sz w:val="22"/>
              </w:rPr>
              <w:t>Who is responsible for the implementation of audit recommendations?</w:t>
            </w:r>
          </w:p>
        </w:tc>
        <w:tc>
          <w:tcPr>
            <w:tcW w:w="6520" w:type="dxa"/>
            <w:gridSpan w:val="2"/>
            <w:shd w:val="clear" w:color="auto" w:fill="FFFFFF"/>
          </w:tcPr>
          <w:p w:rsidR="00B32A2A" w:rsidRPr="00B32A2A" w:rsidRDefault="00B32A2A" w:rsidP="00B32A2A">
            <w:pPr>
              <w:spacing w:before="120" w:after="240"/>
              <w:jc w:val="both"/>
              <w:rPr>
                <w:rFonts w:cs="Arial"/>
                <w:noProof/>
              </w:rPr>
            </w:pPr>
            <w:r>
              <w:t>Each year, the external audit results are reported in the presence of the entire management team from the national, regional and departmental levels. This report is performed by the auditing firm. A plan for implementation of recommendations is developed and monitored by the Common Funds coordination group.</w:t>
            </w:r>
          </w:p>
        </w:tc>
      </w:tr>
      <w:tr w:rsidR="00B32A2A" w:rsidRPr="00B32A2A" w:rsidTr="00B32A2A">
        <w:trPr>
          <w:trHeight w:val="278"/>
        </w:trPr>
        <w:tc>
          <w:tcPr>
            <w:tcW w:w="10773" w:type="dxa"/>
            <w:gridSpan w:val="5"/>
            <w:shd w:val="clear" w:color="auto" w:fill="FFFFFF"/>
          </w:tcPr>
          <w:p w:rsidR="00B32A2A" w:rsidRPr="00B32A2A" w:rsidRDefault="00B32A2A" w:rsidP="00B32A2A">
            <w:pPr>
              <w:spacing w:before="120" w:after="120"/>
              <w:jc w:val="both"/>
              <w:rPr>
                <w:rFonts w:eastAsia="Arial" w:cs="Arial"/>
                <w:i/>
                <w:noProof/>
              </w:rPr>
            </w:pPr>
            <w:r>
              <w:rPr>
                <w:i/>
                <w:noProof/>
              </w:rPr>
              <w:t>Question C: Please indicate the main constraints present within the (health sector’s) financial management system. Does the country plan to address these constraints/issues? If so, please describe the Technical Assistance (TA) needs in order to fulfill the above functions.</w:t>
            </w:r>
          </w:p>
        </w:tc>
      </w:tr>
      <w:tr w:rsidR="00B32A2A" w:rsidRPr="00B32A2A" w:rsidTr="00B32A2A">
        <w:trPr>
          <w:trHeight w:val="278"/>
        </w:trPr>
        <w:tc>
          <w:tcPr>
            <w:tcW w:w="10773" w:type="dxa"/>
            <w:gridSpan w:val="5"/>
            <w:shd w:val="clear" w:color="auto" w:fill="FFFFFF"/>
          </w:tcPr>
          <w:p w:rsidR="00B32A2A" w:rsidRPr="00B32A2A" w:rsidRDefault="00B32A2A" w:rsidP="00B32A2A">
            <w:pPr>
              <w:spacing w:before="120" w:after="120"/>
              <w:jc w:val="both"/>
              <w:rPr>
                <w:rFonts w:eastAsia="Arial" w:cs="Arial"/>
                <w:i/>
                <w:noProof/>
              </w:rPr>
            </w:pPr>
            <w:r>
              <w:rPr>
                <w:i/>
                <w:noProof/>
              </w:rPr>
              <w:t>The main constraint within the financial management system remains the extreme mobility of project managers, regarding the ability to capitalize on experience gained with regards to financial management. To meet the challenges of this situation, the common funds has implemented a mechanism by which to improve [staff] competence. In addition, regional accountants are recruited to bring the required support to the different peripheral facilities.</w:t>
            </w:r>
          </w:p>
        </w:tc>
      </w:tr>
    </w:tbl>
    <w:p w:rsidR="00B32A2A" w:rsidRPr="00B32A2A" w:rsidRDefault="00B32A2A" w:rsidP="00B32A2A">
      <w:pPr>
        <w:spacing w:before="60" w:after="60"/>
        <w:jc w:val="both"/>
        <w:rPr>
          <w:rFonts w:cs="Arial"/>
          <w:noProof/>
        </w:rPr>
      </w:pPr>
    </w:p>
    <w:p w:rsidR="00B32A2A" w:rsidRPr="00B32A2A" w:rsidRDefault="00B32A2A" w:rsidP="00B32A2A">
      <w:pPr>
        <w:pStyle w:val="Header"/>
        <w:widowControl/>
        <w:tabs>
          <w:tab w:val="clear" w:pos="4153"/>
          <w:tab w:val="clear" w:pos="8306"/>
          <w:tab w:val="left" w:pos="567"/>
          <w:tab w:val="left" w:pos="1134"/>
          <w:tab w:val="left" w:pos="1701"/>
          <w:tab w:val="left" w:pos="1854"/>
          <w:tab w:val="left" w:pos="2268"/>
          <w:tab w:val="left" w:pos="2421"/>
          <w:tab w:val="left" w:pos="2835"/>
          <w:tab w:val="left" w:pos="2988"/>
          <w:tab w:val="left" w:pos="3402"/>
          <w:tab w:val="left" w:pos="3555"/>
          <w:tab w:val="left" w:pos="3969"/>
          <w:tab w:val="left" w:pos="4122"/>
          <w:tab w:val="center" w:pos="4536"/>
          <w:tab w:val="left" w:pos="4689"/>
          <w:tab w:val="left" w:pos="5103"/>
          <w:tab w:val="left" w:pos="5256"/>
          <w:tab w:val="left" w:pos="5670"/>
          <w:tab w:val="left" w:pos="5823"/>
          <w:tab w:val="left" w:pos="6237"/>
          <w:tab w:val="left" w:pos="6390"/>
          <w:tab w:val="left" w:pos="6804"/>
          <w:tab w:val="left" w:pos="6957"/>
          <w:tab w:val="left" w:pos="7371"/>
          <w:tab w:val="left" w:pos="7524"/>
          <w:tab w:val="left" w:pos="7938"/>
          <w:tab w:val="left" w:pos="8091"/>
          <w:tab w:val="left" w:pos="8505"/>
          <w:tab w:val="left" w:pos="8658"/>
          <w:tab w:val="right" w:pos="9072"/>
        </w:tabs>
        <w:suppressAutoHyphens/>
        <w:spacing w:after="0" w:line="240" w:lineRule="auto"/>
        <w:ind w:left="720"/>
        <w:rPr>
          <w:rFonts w:eastAsia="Arial" w:cs="Arial"/>
          <w:i/>
          <w:noProof/>
          <w:szCs w:val="22"/>
        </w:rPr>
      </w:pPr>
      <w:r>
        <w:br w:type="page"/>
      </w:r>
      <w:r>
        <w:lastRenderedPageBreak/>
        <w:tab/>
      </w:r>
    </w:p>
    <w:p w:rsidR="00B32A2A" w:rsidRPr="00B32A2A" w:rsidRDefault="00B32A2A" w:rsidP="00B32A2A">
      <w:pPr>
        <w:widowControl/>
        <w:shd w:val="clear" w:color="auto" w:fill="006666"/>
        <w:spacing w:after="0" w:line="240" w:lineRule="auto"/>
        <w:outlineLvl w:val="0"/>
        <w:rPr>
          <w:rFonts w:eastAsia="Times New Roman" w:cs="Arial"/>
          <w:b/>
          <w:noProof/>
        </w:rPr>
      </w:pPr>
      <w:bookmarkStart w:id="99" w:name="_Toc381123283"/>
      <w:bookmarkStart w:id="100" w:name="_Toc381566373"/>
      <w:r>
        <w:rPr>
          <w:b/>
          <w:noProof/>
        </w:rPr>
        <w:t>SUMMARY OF A COMPLETE APPLICATION</w:t>
      </w:r>
      <w:bookmarkEnd w:id="99"/>
      <w:bookmarkEnd w:id="100"/>
      <w:r>
        <w:tab/>
      </w:r>
    </w:p>
    <w:p w:rsidR="00B32A2A" w:rsidRPr="00B32A2A" w:rsidRDefault="00B32A2A" w:rsidP="00B32A2A">
      <w:pPr>
        <w:pStyle w:val="Heading1"/>
        <w:spacing w:after="0" w:line="240" w:lineRule="auto"/>
        <w:rPr>
          <w:rFonts w:cs="Arial"/>
          <w:noProof/>
          <w:color w:val="auto"/>
          <w:spacing w:val="0"/>
          <w:sz w:val="22"/>
          <w:szCs w:val="22"/>
        </w:rPr>
      </w:pPr>
    </w:p>
    <w:tbl>
      <w:tblPr>
        <w:tblpPr w:leftFromText="180" w:rightFromText="180" w:vertAnchor="text" w:horzAnchor="margin" w:tblpX="108" w:tblpY="151"/>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59"/>
        <w:gridCol w:w="8363"/>
        <w:gridCol w:w="567"/>
      </w:tblGrid>
      <w:tr w:rsidR="00B32A2A" w:rsidRPr="00B32A2A" w:rsidTr="00B32A2A">
        <w:tc>
          <w:tcPr>
            <w:tcW w:w="9889" w:type="dxa"/>
            <w:gridSpan w:val="3"/>
            <w:shd w:val="clear" w:color="auto" w:fill="006460"/>
          </w:tcPr>
          <w:p w:rsidR="00B32A2A" w:rsidRPr="00B32A2A" w:rsidRDefault="00B32A2A" w:rsidP="00B32A2A">
            <w:pPr>
              <w:spacing w:before="120" w:after="120" w:line="240" w:lineRule="auto"/>
              <w:jc w:val="both"/>
              <w:rPr>
                <w:rFonts w:cs="Arial"/>
                <w:b/>
                <w:noProof/>
                <w:color w:val="FFFFFF"/>
              </w:rPr>
            </w:pPr>
            <w:r>
              <w:rPr>
                <w:b/>
                <w:noProof/>
                <w:color w:val="FFFFFF"/>
              </w:rPr>
              <w:t>HSS Proposal Forms and Mandatory GAVI attachments</w:t>
            </w:r>
          </w:p>
          <w:p w:rsidR="00B32A2A" w:rsidRPr="00B32A2A" w:rsidRDefault="00B32A2A" w:rsidP="00B32A2A">
            <w:pPr>
              <w:spacing w:before="120" w:after="120" w:line="240" w:lineRule="auto"/>
              <w:jc w:val="both"/>
              <w:rPr>
                <w:rFonts w:cs="Arial"/>
                <w:i/>
                <w:noProof/>
                <w:color w:val="FFFFFF"/>
              </w:rPr>
            </w:pPr>
            <w:r>
              <w:rPr>
                <w:i/>
                <w:noProof/>
                <w:color w:val="FFFFFF"/>
              </w:rPr>
              <w:t xml:space="preserve">→ Please place an ‘X’ in the box when the attachment is included </w:t>
            </w:r>
          </w:p>
        </w:tc>
      </w:tr>
      <w:tr w:rsidR="00B32A2A" w:rsidRPr="00B32A2A" w:rsidTr="00B32A2A">
        <w:tc>
          <w:tcPr>
            <w:tcW w:w="959" w:type="dxa"/>
            <w:shd w:val="clear" w:color="006460" w:fill="99CCCC"/>
          </w:tcPr>
          <w:p w:rsidR="00B32A2A" w:rsidRPr="00B32A2A" w:rsidRDefault="00B32A2A" w:rsidP="00B32A2A">
            <w:pPr>
              <w:spacing w:before="120" w:after="120" w:line="240" w:lineRule="auto"/>
              <w:jc w:val="both"/>
              <w:rPr>
                <w:rFonts w:cs="Arial"/>
                <w:i/>
                <w:noProof/>
              </w:rPr>
            </w:pPr>
            <w:r>
              <w:rPr>
                <w:i/>
                <w:noProof/>
              </w:rPr>
              <w:t>No.</w:t>
            </w:r>
          </w:p>
        </w:tc>
        <w:tc>
          <w:tcPr>
            <w:tcW w:w="8363" w:type="dxa"/>
            <w:shd w:val="clear" w:color="006460" w:fill="99CCCC"/>
          </w:tcPr>
          <w:p w:rsidR="00B32A2A" w:rsidRPr="00B32A2A" w:rsidRDefault="00B32A2A" w:rsidP="00B32A2A">
            <w:pPr>
              <w:spacing w:before="120" w:after="120" w:line="240" w:lineRule="auto"/>
              <w:jc w:val="both"/>
              <w:rPr>
                <w:rFonts w:cs="Arial"/>
                <w:i/>
                <w:noProof/>
              </w:rPr>
            </w:pPr>
            <w:r>
              <w:rPr>
                <w:i/>
                <w:noProof/>
              </w:rPr>
              <w:t>Attachment</w:t>
            </w:r>
          </w:p>
        </w:tc>
        <w:tc>
          <w:tcPr>
            <w:tcW w:w="567" w:type="dxa"/>
            <w:shd w:val="clear" w:color="006460" w:fill="99CCCC"/>
          </w:tcPr>
          <w:p w:rsidR="00B32A2A" w:rsidRPr="00B32A2A" w:rsidRDefault="00B32A2A" w:rsidP="00B32A2A">
            <w:pPr>
              <w:spacing w:before="120" w:after="120" w:line="240" w:lineRule="auto"/>
              <w:jc w:val="both"/>
              <w:rPr>
                <w:rFonts w:cs="Arial"/>
                <w:b/>
                <w:i/>
                <w:noProof/>
              </w:rPr>
            </w:pPr>
            <w:r>
              <w:rPr>
                <w:b/>
                <w:i/>
                <w:noProof/>
              </w:rPr>
              <w:t>X</w:t>
            </w:r>
          </w:p>
        </w:tc>
      </w:tr>
      <w:tr w:rsidR="00B32A2A" w:rsidRPr="00B32A2A" w:rsidTr="00B32A2A">
        <w:tc>
          <w:tcPr>
            <w:tcW w:w="959" w:type="dxa"/>
            <w:tcBorders>
              <w:top w:val="single" w:sz="4" w:space="0" w:color="auto"/>
            </w:tcBorders>
          </w:tcPr>
          <w:p w:rsidR="00B32A2A" w:rsidRPr="00B32A2A" w:rsidRDefault="00B32A2A" w:rsidP="00B32A2A">
            <w:pPr>
              <w:numPr>
                <w:ilvl w:val="0"/>
                <w:numId w:val="9"/>
              </w:numPr>
              <w:spacing w:before="120" w:after="120" w:line="240" w:lineRule="auto"/>
              <w:ind w:left="0"/>
              <w:contextualSpacing/>
              <w:jc w:val="both"/>
              <w:rPr>
                <w:rFonts w:cs="Arial"/>
                <w:noProof/>
              </w:rPr>
            </w:pPr>
          </w:p>
        </w:tc>
        <w:tc>
          <w:tcPr>
            <w:tcW w:w="8363" w:type="dxa"/>
            <w:tcBorders>
              <w:top w:val="nil"/>
            </w:tcBorders>
          </w:tcPr>
          <w:p w:rsidR="00B32A2A" w:rsidRPr="00B32A2A" w:rsidRDefault="00B32A2A" w:rsidP="00B32A2A">
            <w:pPr>
              <w:spacing w:before="120" w:after="120" w:line="240" w:lineRule="auto"/>
              <w:jc w:val="both"/>
              <w:rPr>
                <w:rFonts w:cs="Arial"/>
                <w:noProof/>
              </w:rPr>
            </w:pPr>
            <w:r>
              <w:t xml:space="preserve">HSS Proposal Form </w:t>
            </w:r>
          </w:p>
        </w:tc>
        <w:tc>
          <w:tcPr>
            <w:tcW w:w="567" w:type="dxa"/>
            <w:tcBorders>
              <w:top w:val="nil"/>
            </w:tcBorders>
            <w:vAlign w:val="center"/>
          </w:tcPr>
          <w:p w:rsidR="00B32A2A" w:rsidRPr="00B32A2A" w:rsidRDefault="00B32A2A" w:rsidP="00B32A2A">
            <w:pPr>
              <w:spacing w:before="120" w:after="120" w:line="240" w:lineRule="auto"/>
              <w:jc w:val="both"/>
              <w:rPr>
                <w:rFonts w:cs="Arial"/>
                <w:i/>
                <w:noProof/>
              </w:rPr>
            </w:pPr>
            <w:r>
              <w:rPr>
                <w:i/>
                <w:noProof/>
              </w:rPr>
              <w:t>X</w:t>
            </w:r>
          </w:p>
        </w:tc>
      </w:tr>
      <w:tr w:rsidR="00B32A2A" w:rsidRPr="00B32A2A" w:rsidTr="00B32A2A">
        <w:tc>
          <w:tcPr>
            <w:tcW w:w="959" w:type="dxa"/>
            <w:tcBorders>
              <w:top w:val="single" w:sz="4" w:space="0" w:color="auto"/>
            </w:tcBorders>
          </w:tcPr>
          <w:p w:rsidR="00B32A2A" w:rsidRPr="00B32A2A" w:rsidDel="00892BB6" w:rsidRDefault="00B32A2A" w:rsidP="00B32A2A">
            <w:pPr>
              <w:numPr>
                <w:ilvl w:val="0"/>
                <w:numId w:val="9"/>
              </w:numPr>
              <w:spacing w:before="120" w:after="120" w:line="240" w:lineRule="auto"/>
              <w:ind w:left="0"/>
              <w:contextualSpacing/>
              <w:jc w:val="both"/>
              <w:rPr>
                <w:rFonts w:cs="Arial"/>
                <w:noProof/>
              </w:rPr>
            </w:pPr>
          </w:p>
        </w:tc>
        <w:tc>
          <w:tcPr>
            <w:tcW w:w="8363" w:type="dxa"/>
            <w:tcBorders>
              <w:top w:val="nil"/>
            </w:tcBorders>
          </w:tcPr>
          <w:p w:rsidR="00B32A2A" w:rsidRPr="00B32A2A" w:rsidRDefault="00B32A2A" w:rsidP="00B32A2A">
            <w:pPr>
              <w:spacing w:before="120" w:after="120" w:line="240" w:lineRule="auto"/>
              <w:jc w:val="both"/>
              <w:rPr>
                <w:rFonts w:cs="Arial"/>
                <w:noProof/>
              </w:rPr>
            </w:pPr>
            <w:r>
              <w:t>Signature Sheet for Ministry of Health, Ministry of Finance and HSCC members</w:t>
            </w:r>
          </w:p>
        </w:tc>
        <w:tc>
          <w:tcPr>
            <w:tcW w:w="567" w:type="dxa"/>
            <w:tcBorders>
              <w:top w:val="nil"/>
            </w:tcBorders>
            <w:vAlign w:val="center"/>
          </w:tcPr>
          <w:p w:rsidR="00B32A2A" w:rsidRPr="00B32A2A" w:rsidRDefault="00B32A2A" w:rsidP="00B32A2A">
            <w:pPr>
              <w:spacing w:before="120" w:after="120" w:line="240" w:lineRule="auto"/>
              <w:jc w:val="both"/>
              <w:rPr>
                <w:rFonts w:cs="Arial"/>
                <w:i/>
                <w:noProof/>
              </w:rPr>
            </w:pPr>
            <w:r>
              <w:rPr>
                <w:i/>
                <w:noProof/>
              </w:rPr>
              <w:t>X</w:t>
            </w:r>
          </w:p>
        </w:tc>
      </w:tr>
      <w:tr w:rsidR="00B32A2A" w:rsidRPr="00B32A2A" w:rsidTr="00B32A2A">
        <w:tc>
          <w:tcPr>
            <w:tcW w:w="959" w:type="dxa"/>
            <w:tcBorders>
              <w:top w:val="single" w:sz="4" w:space="0" w:color="auto"/>
            </w:tcBorders>
          </w:tcPr>
          <w:p w:rsidR="00B32A2A" w:rsidRPr="00B32A2A" w:rsidRDefault="00B32A2A" w:rsidP="00B32A2A">
            <w:pPr>
              <w:numPr>
                <w:ilvl w:val="0"/>
                <w:numId w:val="9"/>
              </w:numPr>
              <w:spacing w:before="120" w:after="120" w:line="240" w:lineRule="auto"/>
              <w:ind w:left="0"/>
              <w:contextualSpacing/>
              <w:jc w:val="both"/>
              <w:rPr>
                <w:rFonts w:cs="Arial"/>
                <w:noProof/>
              </w:rPr>
            </w:pPr>
          </w:p>
        </w:tc>
        <w:tc>
          <w:tcPr>
            <w:tcW w:w="8363" w:type="dxa"/>
            <w:tcBorders>
              <w:top w:val="nil"/>
              <w:bottom w:val="single" w:sz="6" w:space="0" w:color="000000"/>
            </w:tcBorders>
          </w:tcPr>
          <w:p w:rsidR="00B32A2A" w:rsidRPr="00B32A2A" w:rsidRDefault="00B32A2A" w:rsidP="00B32A2A">
            <w:pPr>
              <w:spacing w:before="120" w:after="120" w:line="240" w:lineRule="auto"/>
              <w:jc w:val="both"/>
              <w:rPr>
                <w:rFonts w:cs="Arial"/>
                <w:noProof/>
              </w:rPr>
            </w:pPr>
            <w:r>
              <w:t xml:space="preserve">HSS Monitoring &amp; Evaluation Framework </w:t>
            </w:r>
          </w:p>
        </w:tc>
        <w:tc>
          <w:tcPr>
            <w:tcW w:w="567" w:type="dxa"/>
            <w:tcBorders>
              <w:top w:val="nil"/>
              <w:bottom w:val="single" w:sz="6" w:space="0" w:color="000000"/>
            </w:tcBorders>
            <w:vAlign w:val="center"/>
          </w:tcPr>
          <w:p w:rsidR="00B32A2A" w:rsidRPr="00B32A2A" w:rsidRDefault="00B32A2A" w:rsidP="00B32A2A">
            <w:pPr>
              <w:spacing w:before="120" w:after="120" w:line="240" w:lineRule="auto"/>
              <w:jc w:val="both"/>
              <w:rPr>
                <w:rFonts w:cs="Arial"/>
                <w:i/>
                <w:noProof/>
              </w:rPr>
            </w:pPr>
            <w:r>
              <w:rPr>
                <w:i/>
                <w:noProof/>
              </w:rPr>
              <w:t>X</w:t>
            </w:r>
          </w:p>
        </w:tc>
      </w:tr>
      <w:tr w:rsidR="00B32A2A" w:rsidRPr="00B32A2A" w:rsidTr="00B32A2A">
        <w:tc>
          <w:tcPr>
            <w:tcW w:w="959" w:type="dxa"/>
            <w:tcBorders>
              <w:top w:val="single" w:sz="4" w:space="0" w:color="auto"/>
              <w:bottom w:val="single" w:sz="4" w:space="0" w:color="auto"/>
            </w:tcBorders>
          </w:tcPr>
          <w:p w:rsidR="00B32A2A" w:rsidRPr="00B32A2A" w:rsidRDefault="00B32A2A" w:rsidP="00B32A2A">
            <w:pPr>
              <w:numPr>
                <w:ilvl w:val="0"/>
                <w:numId w:val="9"/>
              </w:numPr>
              <w:spacing w:before="120" w:after="120" w:line="240" w:lineRule="auto"/>
              <w:ind w:left="0"/>
              <w:contextualSpacing/>
              <w:jc w:val="both"/>
              <w:rPr>
                <w:rFonts w:cs="Arial"/>
                <w:noProof/>
              </w:rPr>
            </w:pPr>
          </w:p>
        </w:tc>
        <w:tc>
          <w:tcPr>
            <w:tcW w:w="8363" w:type="dxa"/>
            <w:tcBorders>
              <w:top w:val="single" w:sz="6" w:space="0" w:color="000000"/>
              <w:bottom w:val="single" w:sz="4" w:space="0" w:color="auto"/>
            </w:tcBorders>
          </w:tcPr>
          <w:p w:rsidR="00B32A2A" w:rsidRPr="00B32A2A" w:rsidRDefault="00B32A2A" w:rsidP="00B32A2A">
            <w:pPr>
              <w:spacing w:before="120" w:after="120" w:line="240" w:lineRule="auto"/>
              <w:jc w:val="both"/>
              <w:rPr>
                <w:rFonts w:cs="Arial"/>
                <w:noProof/>
              </w:rPr>
            </w:pPr>
            <w:r>
              <w:t xml:space="preserve">Detailed work plan and detailed budget </w:t>
            </w:r>
          </w:p>
        </w:tc>
        <w:tc>
          <w:tcPr>
            <w:tcW w:w="567" w:type="dxa"/>
            <w:tcBorders>
              <w:top w:val="single" w:sz="6" w:space="0" w:color="000000"/>
              <w:bottom w:val="single" w:sz="4" w:space="0" w:color="auto"/>
            </w:tcBorders>
            <w:vAlign w:val="center"/>
          </w:tcPr>
          <w:p w:rsidR="00B32A2A" w:rsidRPr="00B32A2A" w:rsidRDefault="00B32A2A" w:rsidP="00B32A2A">
            <w:pPr>
              <w:spacing w:before="120" w:after="120" w:line="240" w:lineRule="auto"/>
              <w:jc w:val="both"/>
              <w:rPr>
                <w:rFonts w:cs="Arial"/>
                <w:i/>
                <w:noProof/>
              </w:rPr>
            </w:pPr>
            <w:r>
              <w:rPr>
                <w:i/>
                <w:noProof/>
              </w:rPr>
              <w:t>X</w:t>
            </w:r>
          </w:p>
        </w:tc>
      </w:tr>
    </w:tbl>
    <w:p w:rsidR="00B32A2A" w:rsidRPr="00B32A2A" w:rsidRDefault="00B32A2A" w:rsidP="00B32A2A">
      <w:pPr>
        <w:spacing w:after="0" w:line="240" w:lineRule="auto"/>
        <w:jc w:val="both"/>
        <w:rPr>
          <w:rFonts w:cs="Arial"/>
          <w:noProof/>
        </w:rPr>
      </w:pPr>
    </w:p>
    <w:p w:rsidR="00B32A2A" w:rsidRPr="00B32A2A" w:rsidRDefault="00B32A2A" w:rsidP="00B32A2A">
      <w:pPr>
        <w:spacing w:after="0" w:line="240" w:lineRule="auto"/>
        <w:jc w:val="both"/>
        <w:rPr>
          <w:rFonts w:cs="Arial"/>
          <w:noProof/>
        </w:rPr>
      </w:pPr>
    </w:p>
    <w:tbl>
      <w:tblPr>
        <w:tblpPr w:leftFromText="180" w:rightFromText="180" w:vertAnchor="text" w:horzAnchor="margin" w:tblpX="108" w:tblpY="151"/>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59"/>
        <w:gridCol w:w="8363"/>
        <w:gridCol w:w="567"/>
      </w:tblGrid>
      <w:tr w:rsidR="00B32A2A" w:rsidRPr="00B32A2A" w:rsidTr="00B32A2A">
        <w:tc>
          <w:tcPr>
            <w:tcW w:w="9889" w:type="dxa"/>
            <w:gridSpan w:val="3"/>
            <w:shd w:val="clear" w:color="auto" w:fill="006460"/>
          </w:tcPr>
          <w:p w:rsidR="00B32A2A" w:rsidRPr="00B32A2A" w:rsidRDefault="00B32A2A" w:rsidP="00B32A2A">
            <w:pPr>
              <w:spacing w:before="120" w:after="120" w:line="240" w:lineRule="auto"/>
              <w:jc w:val="both"/>
              <w:rPr>
                <w:rFonts w:cs="Arial"/>
                <w:b/>
                <w:noProof/>
                <w:color w:val="FFFFFF"/>
              </w:rPr>
            </w:pPr>
            <w:r>
              <w:rPr>
                <w:b/>
                <w:noProof/>
                <w:color w:val="FFFFFF"/>
              </w:rPr>
              <w:t>Existing National Documents - Mandatory Attachments</w:t>
            </w:r>
          </w:p>
          <w:p w:rsidR="00B32A2A" w:rsidRPr="00B32A2A" w:rsidRDefault="00B32A2A" w:rsidP="00B32A2A">
            <w:pPr>
              <w:spacing w:before="120" w:after="120" w:line="240" w:lineRule="auto"/>
              <w:jc w:val="both"/>
              <w:rPr>
                <w:rFonts w:cs="Arial"/>
                <w:noProof/>
                <w:color w:val="FFFFFF"/>
              </w:rPr>
            </w:pPr>
            <w:r>
              <w:rPr>
                <w:noProof/>
                <w:color w:val="FFFFFF"/>
              </w:rPr>
              <w:t>Where possible, please attach approved national documents rather than drafts. For a highly decentralized country, provide relevant state/provincial level plan as well as any relevant national level documents.</w:t>
            </w:r>
          </w:p>
          <w:p w:rsidR="00B32A2A" w:rsidRPr="00B32A2A" w:rsidRDefault="00B32A2A" w:rsidP="00B32A2A">
            <w:pPr>
              <w:spacing w:before="120" w:after="120" w:line="240" w:lineRule="auto"/>
              <w:jc w:val="both"/>
              <w:rPr>
                <w:rFonts w:cs="Arial"/>
                <w:i/>
                <w:noProof/>
                <w:color w:val="FFFFFF"/>
              </w:rPr>
            </w:pPr>
            <w:r>
              <w:rPr>
                <w:i/>
                <w:noProof/>
                <w:color w:val="FFFFFF"/>
              </w:rPr>
              <w:t>→ Please place an ‘X’ in the box when the attachment is included</w:t>
            </w:r>
          </w:p>
        </w:tc>
      </w:tr>
      <w:tr w:rsidR="00B32A2A" w:rsidRPr="00B32A2A" w:rsidTr="00B32A2A">
        <w:tc>
          <w:tcPr>
            <w:tcW w:w="959" w:type="dxa"/>
            <w:shd w:val="clear" w:color="auto" w:fill="99CCCC"/>
          </w:tcPr>
          <w:p w:rsidR="00B32A2A" w:rsidRPr="00B32A2A" w:rsidRDefault="00B32A2A" w:rsidP="00B32A2A">
            <w:pPr>
              <w:spacing w:before="120" w:after="120" w:line="240" w:lineRule="auto"/>
              <w:jc w:val="both"/>
              <w:rPr>
                <w:rFonts w:cs="Arial"/>
                <w:i/>
                <w:noProof/>
              </w:rPr>
            </w:pPr>
            <w:r>
              <w:rPr>
                <w:i/>
                <w:noProof/>
              </w:rPr>
              <w:t>No.</w:t>
            </w:r>
          </w:p>
        </w:tc>
        <w:tc>
          <w:tcPr>
            <w:tcW w:w="8363" w:type="dxa"/>
            <w:shd w:val="clear" w:color="auto" w:fill="99CCCC"/>
          </w:tcPr>
          <w:p w:rsidR="00B32A2A" w:rsidRPr="00B32A2A" w:rsidRDefault="00B32A2A" w:rsidP="00B32A2A">
            <w:pPr>
              <w:spacing w:before="120" w:after="120" w:line="240" w:lineRule="auto"/>
              <w:jc w:val="both"/>
              <w:rPr>
                <w:rFonts w:cs="Arial"/>
                <w:i/>
                <w:noProof/>
              </w:rPr>
            </w:pPr>
            <w:r>
              <w:rPr>
                <w:i/>
                <w:noProof/>
              </w:rPr>
              <w:t>Attachment</w:t>
            </w:r>
          </w:p>
        </w:tc>
        <w:tc>
          <w:tcPr>
            <w:tcW w:w="567" w:type="dxa"/>
            <w:shd w:val="clear" w:color="auto" w:fill="99CCCC"/>
          </w:tcPr>
          <w:p w:rsidR="00B32A2A" w:rsidRPr="00B32A2A" w:rsidRDefault="00B32A2A" w:rsidP="00B32A2A">
            <w:pPr>
              <w:spacing w:before="120" w:after="120" w:line="240" w:lineRule="auto"/>
              <w:jc w:val="both"/>
              <w:rPr>
                <w:rFonts w:cs="Arial"/>
                <w:b/>
                <w:i/>
                <w:noProof/>
              </w:rPr>
            </w:pPr>
            <w:r>
              <w:rPr>
                <w:b/>
                <w:i/>
                <w:noProof/>
              </w:rPr>
              <w:t>X</w:t>
            </w:r>
          </w:p>
        </w:tc>
      </w:tr>
      <w:tr w:rsidR="00B32A2A" w:rsidRPr="00B32A2A" w:rsidTr="00B32A2A">
        <w:tc>
          <w:tcPr>
            <w:tcW w:w="959" w:type="dxa"/>
            <w:tcBorders>
              <w:top w:val="single" w:sz="4" w:space="0" w:color="auto"/>
            </w:tcBorders>
          </w:tcPr>
          <w:p w:rsidR="00B32A2A" w:rsidRPr="00B32A2A" w:rsidRDefault="00B32A2A" w:rsidP="00B32A2A">
            <w:pPr>
              <w:spacing w:before="120" w:after="120" w:line="240" w:lineRule="auto"/>
              <w:contextualSpacing/>
              <w:jc w:val="both"/>
              <w:rPr>
                <w:rFonts w:cs="Arial"/>
                <w:noProof/>
              </w:rPr>
            </w:pPr>
            <w:r>
              <w:t>5.</w:t>
            </w:r>
          </w:p>
        </w:tc>
        <w:tc>
          <w:tcPr>
            <w:tcW w:w="8363" w:type="dxa"/>
            <w:tcBorders>
              <w:top w:val="nil"/>
            </w:tcBorders>
          </w:tcPr>
          <w:p w:rsidR="00B32A2A" w:rsidRPr="00B32A2A" w:rsidRDefault="00B32A2A" w:rsidP="00B32A2A">
            <w:pPr>
              <w:spacing w:before="120" w:after="120" w:line="240" w:lineRule="auto"/>
              <w:jc w:val="both"/>
              <w:rPr>
                <w:rFonts w:cs="Arial"/>
                <w:noProof/>
              </w:rPr>
            </w:pPr>
            <w:r>
              <w:t>National health strategy, plan or national health policy, or other documents attached to the proposal, which highlight strategic HSS interventions</w:t>
            </w:r>
          </w:p>
        </w:tc>
        <w:tc>
          <w:tcPr>
            <w:tcW w:w="567" w:type="dxa"/>
            <w:tcBorders>
              <w:top w:val="nil"/>
            </w:tcBorders>
            <w:vAlign w:val="center"/>
          </w:tcPr>
          <w:p w:rsidR="00B32A2A" w:rsidRPr="00B32A2A" w:rsidRDefault="00B32A2A" w:rsidP="00B32A2A">
            <w:pPr>
              <w:spacing w:before="120" w:after="120" w:line="240" w:lineRule="auto"/>
              <w:jc w:val="both"/>
              <w:rPr>
                <w:rFonts w:cs="Arial"/>
                <w:i/>
                <w:noProof/>
              </w:rPr>
            </w:pPr>
            <w:r>
              <w:rPr>
                <w:i/>
                <w:noProof/>
              </w:rPr>
              <w:t>X</w:t>
            </w:r>
          </w:p>
        </w:tc>
      </w:tr>
      <w:tr w:rsidR="00B32A2A" w:rsidRPr="00B32A2A" w:rsidTr="00B32A2A">
        <w:tc>
          <w:tcPr>
            <w:tcW w:w="959" w:type="dxa"/>
            <w:tcBorders>
              <w:top w:val="single" w:sz="4" w:space="0" w:color="auto"/>
            </w:tcBorders>
          </w:tcPr>
          <w:p w:rsidR="00B32A2A" w:rsidRPr="00B32A2A" w:rsidRDefault="00B32A2A" w:rsidP="00B32A2A">
            <w:pPr>
              <w:spacing w:before="120" w:after="120" w:line="240" w:lineRule="auto"/>
              <w:contextualSpacing/>
              <w:jc w:val="both"/>
              <w:rPr>
                <w:rFonts w:cs="Arial"/>
                <w:noProof/>
              </w:rPr>
            </w:pPr>
            <w:r>
              <w:t>6.</w:t>
            </w:r>
          </w:p>
        </w:tc>
        <w:tc>
          <w:tcPr>
            <w:tcW w:w="8363" w:type="dxa"/>
            <w:tcBorders>
              <w:top w:val="nil"/>
            </w:tcBorders>
          </w:tcPr>
          <w:p w:rsidR="00B32A2A" w:rsidRPr="00B32A2A" w:rsidRDefault="00B32A2A" w:rsidP="00B32A2A">
            <w:pPr>
              <w:spacing w:before="120" w:after="120" w:line="240" w:lineRule="auto"/>
              <w:jc w:val="both"/>
              <w:rPr>
                <w:rFonts w:cs="Arial"/>
                <w:noProof/>
              </w:rPr>
            </w:pPr>
            <w:r>
              <w:t>National M&amp;E Plan (for the health sector/strategy)</w:t>
            </w:r>
          </w:p>
        </w:tc>
        <w:tc>
          <w:tcPr>
            <w:tcW w:w="567" w:type="dxa"/>
            <w:tcBorders>
              <w:top w:val="nil"/>
            </w:tcBorders>
            <w:vAlign w:val="center"/>
          </w:tcPr>
          <w:p w:rsidR="00B32A2A" w:rsidRPr="00B32A2A" w:rsidRDefault="00B32A2A" w:rsidP="00B32A2A">
            <w:pPr>
              <w:spacing w:before="120" w:after="120" w:line="240" w:lineRule="auto"/>
              <w:jc w:val="both"/>
              <w:rPr>
                <w:rFonts w:cs="Arial"/>
                <w:i/>
                <w:noProof/>
              </w:rPr>
            </w:pPr>
            <w:r>
              <w:rPr>
                <w:i/>
                <w:noProof/>
              </w:rPr>
              <w:t>X</w:t>
            </w:r>
          </w:p>
        </w:tc>
      </w:tr>
      <w:tr w:rsidR="00B32A2A" w:rsidRPr="00B32A2A" w:rsidDel="00892BB6" w:rsidTr="00B32A2A">
        <w:tc>
          <w:tcPr>
            <w:tcW w:w="959" w:type="dxa"/>
            <w:tcBorders>
              <w:top w:val="single" w:sz="4" w:space="0" w:color="auto"/>
              <w:right w:val="single" w:sz="4" w:space="0" w:color="auto"/>
            </w:tcBorders>
          </w:tcPr>
          <w:p w:rsidR="00B32A2A" w:rsidRPr="00B32A2A" w:rsidRDefault="00B32A2A" w:rsidP="00B32A2A">
            <w:pPr>
              <w:spacing w:before="120" w:after="120" w:line="240" w:lineRule="auto"/>
              <w:contextualSpacing/>
              <w:jc w:val="both"/>
              <w:rPr>
                <w:rFonts w:cs="Arial"/>
                <w:noProof/>
              </w:rPr>
            </w:pPr>
            <w:r>
              <w:t>7.</w:t>
            </w:r>
          </w:p>
        </w:tc>
        <w:tc>
          <w:tcPr>
            <w:tcW w:w="8363" w:type="dxa"/>
            <w:tcBorders>
              <w:top w:val="single" w:sz="4" w:space="0" w:color="auto"/>
              <w:left w:val="single" w:sz="4" w:space="0" w:color="auto"/>
              <w:bottom w:val="single" w:sz="4" w:space="0" w:color="auto"/>
              <w:right w:val="single" w:sz="4" w:space="0" w:color="auto"/>
            </w:tcBorders>
          </w:tcPr>
          <w:p w:rsidR="00B32A2A" w:rsidRPr="00B32A2A" w:rsidRDefault="00B32A2A" w:rsidP="00B32A2A">
            <w:pPr>
              <w:spacing w:before="120" w:after="120" w:line="240" w:lineRule="auto"/>
              <w:jc w:val="both"/>
              <w:rPr>
                <w:rFonts w:cs="Arial"/>
                <w:noProof/>
              </w:rPr>
            </w:pPr>
            <w:r>
              <w:t>National immunization plan</w:t>
            </w:r>
          </w:p>
        </w:tc>
        <w:tc>
          <w:tcPr>
            <w:tcW w:w="567" w:type="dxa"/>
            <w:tcBorders>
              <w:top w:val="single" w:sz="4" w:space="0" w:color="auto"/>
              <w:left w:val="single" w:sz="4" w:space="0" w:color="auto"/>
              <w:bottom w:val="single" w:sz="4" w:space="0" w:color="auto"/>
              <w:right w:val="single" w:sz="4" w:space="0" w:color="auto"/>
            </w:tcBorders>
            <w:vAlign w:val="center"/>
          </w:tcPr>
          <w:p w:rsidR="00B32A2A" w:rsidRPr="00B32A2A" w:rsidDel="00892BB6" w:rsidRDefault="00B32A2A" w:rsidP="00B32A2A">
            <w:pPr>
              <w:spacing w:before="120" w:after="120" w:line="240" w:lineRule="auto"/>
              <w:jc w:val="both"/>
              <w:rPr>
                <w:rFonts w:cs="Arial"/>
                <w:i/>
                <w:noProof/>
              </w:rPr>
            </w:pPr>
          </w:p>
        </w:tc>
      </w:tr>
      <w:tr w:rsidR="00B32A2A" w:rsidRPr="00B32A2A" w:rsidDel="00892BB6" w:rsidTr="00B32A2A">
        <w:tc>
          <w:tcPr>
            <w:tcW w:w="959" w:type="dxa"/>
            <w:tcBorders>
              <w:top w:val="single" w:sz="4" w:space="0" w:color="auto"/>
              <w:right w:val="single" w:sz="4" w:space="0" w:color="auto"/>
            </w:tcBorders>
          </w:tcPr>
          <w:p w:rsidR="00B32A2A" w:rsidRPr="00B32A2A" w:rsidDel="00892BB6" w:rsidRDefault="00B32A2A" w:rsidP="00B32A2A">
            <w:pPr>
              <w:spacing w:before="120" w:after="120" w:line="240" w:lineRule="auto"/>
              <w:contextualSpacing/>
              <w:jc w:val="both"/>
              <w:rPr>
                <w:rFonts w:cs="Arial"/>
                <w:noProof/>
              </w:rPr>
            </w:pPr>
            <w:r>
              <w:t>8.</w:t>
            </w:r>
          </w:p>
        </w:tc>
        <w:tc>
          <w:tcPr>
            <w:tcW w:w="8363" w:type="dxa"/>
            <w:tcBorders>
              <w:top w:val="single" w:sz="4" w:space="0" w:color="auto"/>
              <w:left w:val="single" w:sz="4" w:space="0" w:color="auto"/>
              <w:bottom w:val="single" w:sz="4" w:space="0" w:color="auto"/>
              <w:right w:val="single" w:sz="4" w:space="0" w:color="auto"/>
            </w:tcBorders>
          </w:tcPr>
          <w:p w:rsidR="00B32A2A" w:rsidRPr="00B32A2A" w:rsidDel="00892BB6" w:rsidRDefault="00B32A2A" w:rsidP="00B32A2A">
            <w:pPr>
              <w:spacing w:before="120" w:after="120" w:line="240" w:lineRule="auto"/>
              <w:jc w:val="both"/>
              <w:rPr>
                <w:rFonts w:cs="Arial"/>
                <w:noProof/>
              </w:rPr>
            </w:pPr>
            <w:r>
              <w:t>National cMYP</w:t>
            </w:r>
          </w:p>
        </w:tc>
        <w:tc>
          <w:tcPr>
            <w:tcW w:w="567" w:type="dxa"/>
            <w:tcBorders>
              <w:top w:val="single" w:sz="4" w:space="0" w:color="auto"/>
              <w:left w:val="single" w:sz="4" w:space="0" w:color="auto"/>
              <w:bottom w:val="single" w:sz="4" w:space="0" w:color="auto"/>
              <w:right w:val="single" w:sz="4" w:space="0" w:color="auto"/>
            </w:tcBorders>
            <w:vAlign w:val="center"/>
          </w:tcPr>
          <w:p w:rsidR="00B32A2A" w:rsidRPr="00B32A2A" w:rsidDel="00892BB6" w:rsidRDefault="00B32A2A" w:rsidP="00B32A2A">
            <w:pPr>
              <w:spacing w:before="120" w:after="120" w:line="240" w:lineRule="auto"/>
              <w:jc w:val="both"/>
              <w:rPr>
                <w:rFonts w:cs="Arial"/>
                <w:i/>
                <w:noProof/>
              </w:rPr>
            </w:pPr>
            <w:r>
              <w:rPr>
                <w:i/>
                <w:noProof/>
              </w:rPr>
              <w:t>X</w:t>
            </w:r>
          </w:p>
        </w:tc>
      </w:tr>
      <w:tr w:rsidR="00B32A2A" w:rsidRPr="00B32A2A" w:rsidDel="00892BB6" w:rsidTr="00B32A2A">
        <w:tc>
          <w:tcPr>
            <w:tcW w:w="959" w:type="dxa"/>
            <w:tcBorders>
              <w:top w:val="single" w:sz="4" w:space="0" w:color="auto"/>
              <w:bottom w:val="single" w:sz="4" w:space="0" w:color="auto"/>
              <w:right w:val="single" w:sz="4" w:space="0" w:color="auto"/>
            </w:tcBorders>
          </w:tcPr>
          <w:p w:rsidR="00B32A2A" w:rsidRPr="00B32A2A" w:rsidDel="00892BB6" w:rsidRDefault="00B32A2A" w:rsidP="00B32A2A">
            <w:pPr>
              <w:spacing w:before="120" w:after="120" w:line="240" w:lineRule="auto"/>
              <w:contextualSpacing/>
              <w:jc w:val="both"/>
              <w:rPr>
                <w:rFonts w:cs="Arial"/>
                <w:noProof/>
              </w:rPr>
            </w:pPr>
            <w:r>
              <w:t>9.</w:t>
            </w:r>
          </w:p>
        </w:tc>
        <w:tc>
          <w:tcPr>
            <w:tcW w:w="8363" w:type="dxa"/>
            <w:tcBorders>
              <w:top w:val="single" w:sz="4" w:space="0" w:color="auto"/>
              <w:left w:val="single" w:sz="4" w:space="0" w:color="auto"/>
              <w:bottom w:val="single" w:sz="4" w:space="0" w:color="auto"/>
              <w:right w:val="single" w:sz="4" w:space="0" w:color="auto"/>
            </w:tcBorders>
          </w:tcPr>
          <w:p w:rsidR="00B32A2A" w:rsidRPr="00B32A2A" w:rsidDel="00892BB6" w:rsidRDefault="00B32A2A" w:rsidP="00B32A2A">
            <w:pPr>
              <w:spacing w:before="120" w:after="120" w:line="240" w:lineRule="auto"/>
              <w:jc w:val="both"/>
              <w:rPr>
                <w:rFonts w:cs="Arial"/>
                <w:noProof/>
              </w:rPr>
            </w:pPr>
            <w:r>
              <w:t>Vaccine assessments (EVM, post-introduction assessment, [EPI] reviews), if available</w:t>
            </w:r>
          </w:p>
        </w:tc>
        <w:tc>
          <w:tcPr>
            <w:tcW w:w="567" w:type="dxa"/>
            <w:tcBorders>
              <w:top w:val="single" w:sz="4" w:space="0" w:color="auto"/>
              <w:left w:val="single" w:sz="4" w:space="0" w:color="auto"/>
              <w:bottom w:val="single" w:sz="4" w:space="0" w:color="auto"/>
              <w:right w:val="single" w:sz="4" w:space="0" w:color="auto"/>
            </w:tcBorders>
            <w:vAlign w:val="center"/>
          </w:tcPr>
          <w:p w:rsidR="00B32A2A" w:rsidRPr="00B32A2A" w:rsidDel="00892BB6" w:rsidRDefault="00B32A2A" w:rsidP="00B32A2A">
            <w:pPr>
              <w:spacing w:before="120" w:after="120" w:line="240" w:lineRule="auto"/>
              <w:jc w:val="both"/>
              <w:rPr>
                <w:rFonts w:cs="Arial"/>
                <w:i/>
                <w:noProof/>
              </w:rPr>
            </w:pPr>
            <w:r>
              <w:rPr>
                <w:i/>
                <w:noProof/>
              </w:rPr>
              <w:t>X</w:t>
            </w:r>
          </w:p>
        </w:tc>
      </w:tr>
      <w:tr w:rsidR="00B32A2A" w:rsidRPr="00B32A2A" w:rsidDel="00892BB6" w:rsidTr="00B32A2A">
        <w:tc>
          <w:tcPr>
            <w:tcW w:w="959" w:type="dxa"/>
            <w:tcBorders>
              <w:top w:val="single" w:sz="4" w:space="0" w:color="auto"/>
              <w:right w:val="single" w:sz="4" w:space="0" w:color="auto"/>
            </w:tcBorders>
          </w:tcPr>
          <w:p w:rsidR="00B32A2A" w:rsidRPr="00B32A2A" w:rsidRDefault="00B32A2A" w:rsidP="00B32A2A">
            <w:pPr>
              <w:spacing w:before="120" w:after="120"/>
              <w:contextualSpacing/>
              <w:jc w:val="both"/>
              <w:rPr>
                <w:rFonts w:cs="Arial"/>
                <w:noProof/>
              </w:rPr>
            </w:pPr>
            <w:r>
              <w:t>10.</w:t>
            </w:r>
          </w:p>
        </w:tc>
        <w:tc>
          <w:tcPr>
            <w:tcW w:w="8363" w:type="dxa"/>
            <w:tcBorders>
              <w:top w:val="single" w:sz="4" w:space="0" w:color="auto"/>
              <w:left w:val="single" w:sz="4" w:space="0" w:color="auto"/>
              <w:bottom w:val="single" w:sz="4" w:space="0" w:color="auto"/>
              <w:right w:val="single" w:sz="4" w:space="0" w:color="auto"/>
            </w:tcBorders>
          </w:tcPr>
          <w:p w:rsidR="00B32A2A" w:rsidRPr="00B32A2A" w:rsidRDefault="00B32A2A" w:rsidP="00B32A2A">
            <w:pPr>
              <w:spacing w:before="120" w:after="120"/>
              <w:jc w:val="both"/>
              <w:rPr>
                <w:rFonts w:cs="Arial"/>
                <w:noProof/>
              </w:rPr>
            </w:pPr>
            <w:r>
              <w:t>Health Sector Coordinating Committee Mandate (HSCC)</w:t>
            </w:r>
          </w:p>
        </w:tc>
        <w:tc>
          <w:tcPr>
            <w:tcW w:w="567" w:type="dxa"/>
            <w:tcBorders>
              <w:top w:val="single" w:sz="4" w:space="0" w:color="auto"/>
              <w:left w:val="single" w:sz="4" w:space="0" w:color="auto"/>
              <w:bottom w:val="single" w:sz="4" w:space="0" w:color="auto"/>
              <w:right w:val="single" w:sz="4" w:space="0" w:color="auto"/>
            </w:tcBorders>
            <w:vAlign w:val="center"/>
          </w:tcPr>
          <w:p w:rsidR="00B32A2A" w:rsidRPr="00B32A2A" w:rsidDel="00892BB6" w:rsidRDefault="00B32A2A" w:rsidP="00B32A2A">
            <w:pPr>
              <w:spacing w:before="120" w:after="120"/>
              <w:jc w:val="both"/>
              <w:rPr>
                <w:rFonts w:cs="Arial"/>
                <w:i/>
                <w:noProof/>
              </w:rPr>
            </w:pPr>
            <w:r>
              <w:rPr>
                <w:i/>
                <w:noProof/>
              </w:rPr>
              <w:t>X</w:t>
            </w:r>
          </w:p>
        </w:tc>
      </w:tr>
    </w:tbl>
    <w:p w:rsidR="00B32A2A" w:rsidRPr="00B32A2A" w:rsidRDefault="00B32A2A" w:rsidP="00B32A2A">
      <w:pPr>
        <w:jc w:val="both"/>
        <w:rPr>
          <w:rFonts w:cs="Arial"/>
          <w:noProof/>
        </w:rPr>
      </w:pPr>
    </w:p>
    <w:tbl>
      <w:tblPr>
        <w:tblpPr w:leftFromText="180" w:rightFromText="180" w:vertAnchor="text" w:horzAnchor="margin" w:tblpX="108" w:tblpY="151"/>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59"/>
        <w:gridCol w:w="8363"/>
        <w:gridCol w:w="567"/>
      </w:tblGrid>
      <w:tr w:rsidR="00B32A2A" w:rsidRPr="00B32A2A" w:rsidTr="00B32A2A">
        <w:tc>
          <w:tcPr>
            <w:tcW w:w="9889" w:type="dxa"/>
            <w:gridSpan w:val="3"/>
            <w:shd w:val="clear" w:color="auto" w:fill="006460"/>
          </w:tcPr>
          <w:p w:rsidR="00B32A2A" w:rsidRPr="00B32A2A" w:rsidRDefault="00B32A2A" w:rsidP="00B32A2A">
            <w:pPr>
              <w:jc w:val="both"/>
              <w:rPr>
                <w:rFonts w:cs="Arial"/>
                <w:b/>
                <w:noProof/>
              </w:rPr>
            </w:pPr>
            <w:r>
              <w:rPr>
                <w:b/>
                <w:noProof/>
              </w:rPr>
              <w:t>Existing National Documents - Additional Attachments</w:t>
            </w:r>
          </w:p>
          <w:p w:rsidR="00B32A2A" w:rsidRPr="00B32A2A" w:rsidRDefault="00B32A2A" w:rsidP="00B32A2A">
            <w:pPr>
              <w:jc w:val="both"/>
              <w:rPr>
                <w:rFonts w:cs="Arial"/>
                <w:noProof/>
              </w:rPr>
            </w:pPr>
            <w:r>
              <w:lastRenderedPageBreak/>
              <w:t>Where possible, please attach approved national documents rather than drafts. For a highly decentralized country, provide relevant state/provincial level plan as well as any relevant national level documents.</w:t>
            </w:r>
          </w:p>
          <w:p w:rsidR="00B32A2A" w:rsidRPr="00B32A2A" w:rsidRDefault="00B32A2A" w:rsidP="00B32A2A">
            <w:pPr>
              <w:jc w:val="both"/>
              <w:rPr>
                <w:rFonts w:cs="Arial"/>
                <w:i/>
                <w:noProof/>
              </w:rPr>
            </w:pPr>
            <w:r>
              <w:rPr>
                <w:i/>
                <w:noProof/>
              </w:rPr>
              <w:t>→ Please place an ‘X’ in the box when the attachment is included</w:t>
            </w:r>
          </w:p>
        </w:tc>
      </w:tr>
      <w:tr w:rsidR="00B32A2A" w:rsidRPr="00B32A2A" w:rsidTr="00B32A2A">
        <w:tc>
          <w:tcPr>
            <w:tcW w:w="959" w:type="dxa"/>
            <w:shd w:val="clear" w:color="auto" w:fill="99CCCC"/>
          </w:tcPr>
          <w:p w:rsidR="00B32A2A" w:rsidRPr="00B32A2A" w:rsidRDefault="00B32A2A" w:rsidP="00B32A2A">
            <w:pPr>
              <w:jc w:val="both"/>
              <w:rPr>
                <w:rFonts w:cs="Arial"/>
                <w:i/>
                <w:noProof/>
              </w:rPr>
            </w:pPr>
            <w:r>
              <w:rPr>
                <w:i/>
                <w:noProof/>
              </w:rPr>
              <w:lastRenderedPageBreak/>
              <w:t>No.</w:t>
            </w:r>
          </w:p>
        </w:tc>
        <w:tc>
          <w:tcPr>
            <w:tcW w:w="8363" w:type="dxa"/>
            <w:shd w:val="clear" w:color="auto" w:fill="99CCCC"/>
          </w:tcPr>
          <w:p w:rsidR="00B32A2A" w:rsidRPr="00B32A2A" w:rsidRDefault="00B32A2A" w:rsidP="00B32A2A">
            <w:pPr>
              <w:jc w:val="both"/>
              <w:rPr>
                <w:rFonts w:cs="Arial"/>
                <w:i/>
                <w:noProof/>
              </w:rPr>
            </w:pPr>
            <w:r>
              <w:rPr>
                <w:i/>
                <w:noProof/>
              </w:rPr>
              <w:t>Attachment</w:t>
            </w:r>
          </w:p>
        </w:tc>
        <w:tc>
          <w:tcPr>
            <w:tcW w:w="567" w:type="dxa"/>
            <w:shd w:val="clear" w:color="auto" w:fill="99CCCC"/>
          </w:tcPr>
          <w:p w:rsidR="00B32A2A" w:rsidRPr="00B32A2A" w:rsidRDefault="00B32A2A" w:rsidP="00B32A2A">
            <w:pPr>
              <w:jc w:val="both"/>
              <w:rPr>
                <w:rFonts w:cs="Arial"/>
                <w:b/>
                <w:i/>
                <w:noProof/>
              </w:rPr>
            </w:pPr>
            <w:r>
              <w:rPr>
                <w:b/>
                <w:i/>
                <w:noProof/>
              </w:rPr>
              <w:t>X</w:t>
            </w:r>
          </w:p>
        </w:tc>
      </w:tr>
      <w:tr w:rsidR="00B32A2A" w:rsidRPr="00B32A2A" w:rsidTr="00B32A2A">
        <w:tc>
          <w:tcPr>
            <w:tcW w:w="959" w:type="dxa"/>
            <w:tcBorders>
              <w:top w:val="single" w:sz="4" w:space="0" w:color="auto"/>
              <w:left w:val="single" w:sz="4" w:space="0" w:color="auto"/>
              <w:bottom w:val="single" w:sz="4" w:space="0" w:color="auto"/>
              <w:right w:val="single" w:sz="4" w:space="0" w:color="auto"/>
            </w:tcBorders>
          </w:tcPr>
          <w:p w:rsidR="00B32A2A" w:rsidRPr="00B32A2A" w:rsidRDefault="00B32A2A" w:rsidP="00B32A2A">
            <w:pPr>
              <w:numPr>
                <w:ilvl w:val="0"/>
                <w:numId w:val="10"/>
              </w:numPr>
              <w:contextualSpacing/>
              <w:jc w:val="both"/>
              <w:rPr>
                <w:rFonts w:cs="Arial"/>
                <w:noProof/>
              </w:rPr>
            </w:pPr>
          </w:p>
        </w:tc>
        <w:tc>
          <w:tcPr>
            <w:tcW w:w="8363" w:type="dxa"/>
            <w:tcBorders>
              <w:top w:val="single" w:sz="4" w:space="0" w:color="auto"/>
              <w:left w:val="single" w:sz="4" w:space="0" w:color="auto"/>
              <w:bottom w:val="single" w:sz="4" w:space="0" w:color="auto"/>
              <w:right w:val="single" w:sz="4" w:space="0" w:color="auto"/>
            </w:tcBorders>
          </w:tcPr>
          <w:p w:rsidR="00B32A2A" w:rsidRPr="00B32A2A" w:rsidRDefault="00B32A2A" w:rsidP="00B32A2A">
            <w:pPr>
              <w:jc w:val="both"/>
              <w:rPr>
                <w:rFonts w:cs="Arial"/>
                <w:noProof/>
              </w:rPr>
            </w:pPr>
            <w:r>
              <w:t>Joint Assessment of National Health Strategy (if available)</w:t>
            </w:r>
          </w:p>
        </w:tc>
        <w:tc>
          <w:tcPr>
            <w:tcW w:w="567" w:type="dxa"/>
            <w:tcBorders>
              <w:top w:val="single" w:sz="4" w:space="0" w:color="auto"/>
              <w:left w:val="single" w:sz="4" w:space="0" w:color="auto"/>
              <w:bottom w:val="single" w:sz="4" w:space="0" w:color="auto"/>
              <w:right w:val="single" w:sz="4" w:space="0" w:color="auto"/>
            </w:tcBorders>
            <w:vAlign w:val="center"/>
          </w:tcPr>
          <w:p w:rsidR="00B32A2A" w:rsidRPr="00B32A2A" w:rsidRDefault="00B32A2A" w:rsidP="00B32A2A">
            <w:pPr>
              <w:jc w:val="both"/>
              <w:rPr>
                <w:rFonts w:cs="Arial"/>
                <w:i/>
                <w:noProof/>
              </w:rPr>
            </w:pPr>
            <w:r>
              <w:rPr>
                <w:i/>
                <w:noProof/>
              </w:rPr>
              <w:t>X</w:t>
            </w:r>
          </w:p>
        </w:tc>
      </w:tr>
      <w:tr w:rsidR="00B32A2A" w:rsidRPr="00B32A2A" w:rsidTr="00B32A2A">
        <w:tc>
          <w:tcPr>
            <w:tcW w:w="959" w:type="dxa"/>
            <w:tcBorders>
              <w:top w:val="single" w:sz="4" w:space="0" w:color="auto"/>
              <w:left w:val="single" w:sz="4" w:space="0" w:color="auto"/>
              <w:bottom w:val="single" w:sz="4" w:space="0" w:color="auto"/>
              <w:right w:val="single" w:sz="4" w:space="0" w:color="auto"/>
            </w:tcBorders>
          </w:tcPr>
          <w:p w:rsidR="00B32A2A" w:rsidRPr="00B32A2A" w:rsidRDefault="00B32A2A" w:rsidP="00B32A2A">
            <w:pPr>
              <w:numPr>
                <w:ilvl w:val="0"/>
                <w:numId w:val="10"/>
              </w:numPr>
              <w:contextualSpacing/>
              <w:jc w:val="both"/>
              <w:rPr>
                <w:rFonts w:cs="Arial"/>
                <w:noProof/>
              </w:rPr>
            </w:pPr>
          </w:p>
        </w:tc>
        <w:tc>
          <w:tcPr>
            <w:tcW w:w="8363" w:type="dxa"/>
            <w:tcBorders>
              <w:top w:val="single" w:sz="4" w:space="0" w:color="auto"/>
              <w:left w:val="single" w:sz="4" w:space="0" w:color="auto"/>
              <w:bottom w:val="single" w:sz="4" w:space="0" w:color="auto"/>
              <w:right w:val="single" w:sz="4" w:space="0" w:color="auto"/>
            </w:tcBorders>
          </w:tcPr>
          <w:p w:rsidR="00B32A2A" w:rsidRPr="00B32A2A" w:rsidRDefault="00B32A2A" w:rsidP="00B32A2A">
            <w:pPr>
              <w:jc w:val="both"/>
              <w:rPr>
                <w:rFonts w:cs="Arial"/>
                <w:noProof/>
              </w:rPr>
            </w:pPr>
            <w:r>
              <w:t>Response to Joint Assessment of National Health Strategy (if available)</w:t>
            </w:r>
          </w:p>
        </w:tc>
        <w:tc>
          <w:tcPr>
            <w:tcW w:w="567" w:type="dxa"/>
            <w:tcBorders>
              <w:top w:val="single" w:sz="4" w:space="0" w:color="auto"/>
              <w:left w:val="single" w:sz="4" w:space="0" w:color="auto"/>
              <w:bottom w:val="single" w:sz="4" w:space="0" w:color="auto"/>
              <w:right w:val="single" w:sz="4" w:space="0" w:color="auto"/>
            </w:tcBorders>
            <w:vAlign w:val="center"/>
          </w:tcPr>
          <w:p w:rsidR="00B32A2A" w:rsidRPr="00B32A2A" w:rsidRDefault="00B32A2A" w:rsidP="00B32A2A">
            <w:pPr>
              <w:jc w:val="both"/>
              <w:rPr>
                <w:rFonts w:cs="Arial"/>
                <w:i/>
                <w:noProof/>
              </w:rPr>
            </w:pPr>
          </w:p>
        </w:tc>
      </w:tr>
      <w:tr w:rsidR="00B32A2A" w:rsidRPr="00B32A2A" w:rsidTr="00B32A2A">
        <w:trPr>
          <w:trHeight w:val="119"/>
        </w:trPr>
        <w:tc>
          <w:tcPr>
            <w:tcW w:w="959" w:type="dxa"/>
            <w:tcBorders>
              <w:top w:val="single" w:sz="4" w:space="0" w:color="auto"/>
              <w:left w:val="single" w:sz="4" w:space="0" w:color="auto"/>
              <w:bottom w:val="single" w:sz="4" w:space="0" w:color="auto"/>
              <w:right w:val="single" w:sz="4" w:space="0" w:color="auto"/>
            </w:tcBorders>
          </w:tcPr>
          <w:p w:rsidR="00B32A2A" w:rsidRPr="00B32A2A" w:rsidRDefault="00B32A2A" w:rsidP="00B32A2A">
            <w:pPr>
              <w:numPr>
                <w:ilvl w:val="0"/>
                <w:numId w:val="10"/>
              </w:numPr>
              <w:contextualSpacing/>
              <w:jc w:val="both"/>
              <w:rPr>
                <w:rFonts w:cs="Arial"/>
                <w:noProof/>
              </w:rPr>
            </w:pPr>
          </w:p>
        </w:tc>
        <w:tc>
          <w:tcPr>
            <w:tcW w:w="8363" w:type="dxa"/>
            <w:tcBorders>
              <w:top w:val="single" w:sz="4" w:space="0" w:color="auto"/>
              <w:left w:val="single" w:sz="4" w:space="0" w:color="auto"/>
              <w:bottom w:val="single" w:sz="4" w:space="0" w:color="auto"/>
              <w:right w:val="single" w:sz="4" w:space="0" w:color="auto"/>
            </w:tcBorders>
            <w:vAlign w:val="center"/>
          </w:tcPr>
          <w:p w:rsidR="00B32A2A" w:rsidRPr="00B32A2A" w:rsidRDefault="00B32A2A" w:rsidP="00B32A2A">
            <w:pPr>
              <w:jc w:val="both"/>
              <w:rPr>
                <w:rFonts w:cs="Arial"/>
                <w:noProof/>
              </w:rPr>
            </w:pPr>
            <w:r>
              <w:t>If funds transfers are to go directly to a CSO or CSO Network, please provide the 3 most recent years of published financial statements from the</w:t>
            </w:r>
          </w:p>
          <w:p w:rsidR="00B32A2A" w:rsidRPr="00B32A2A" w:rsidRDefault="00B32A2A" w:rsidP="00B32A2A">
            <w:pPr>
              <w:jc w:val="both"/>
              <w:rPr>
                <w:rFonts w:cs="Arial"/>
                <w:noProof/>
              </w:rPr>
            </w:pPr>
            <w:r>
              <w:t xml:space="preserve"> entity, audited by a qualified, independent external auditor.</w:t>
            </w:r>
          </w:p>
        </w:tc>
        <w:tc>
          <w:tcPr>
            <w:tcW w:w="567" w:type="dxa"/>
            <w:tcBorders>
              <w:top w:val="single" w:sz="4" w:space="0" w:color="auto"/>
              <w:left w:val="single" w:sz="4" w:space="0" w:color="auto"/>
              <w:bottom w:val="single" w:sz="4" w:space="0" w:color="auto"/>
              <w:right w:val="single" w:sz="4" w:space="0" w:color="auto"/>
            </w:tcBorders>
            <w:vAlign w:val="center"/>
          </w:tcPr>
          <w:p w:rsidR="00B32A2A" w:rsidRPr="00B32A2A" w:rsidRDefault="00B32A2A" w:rsidP="00B32A2A">
            <w:pPr>
              <w:jc w:val="both"/>
              <w:rPr>
                <w:rFonts w:cs="Arial"/>
                <w:i/>
                <w:noProof/>
              </w:rPr>
            </w:pPr>
          </w:p>
        </w:tc>
      </w:tr>
      <w:tr w:rsidR="00B32A2A" w:rsidRPr="00B32A2A" w:rsidTr="00B32A2A">
        <w:trPr>
          <w:trHeight w:val="295"/>
        </w:trPr>
        <w:tc>
          <w:tcPr>
            <w:tcW w:w="959" w:type="dxa"/>
            <w:tcBorders>
              <w:top w:val="single" w:sz="4" w:space="0" w:color="auto"/>
              <w:left w:val="single" w:sz="4" w:space="0" w:color="auto"/>
              <w:bottom w:val="single" w:sz="4" w:space="0" w:color="auto"/>
              <w:right w:val="single" w:sz="4" w:space="0" w:color="auto"/>
            </w:tcBorders>
          </w:tcPr>
          <w:p w:rsidR="00B32A2A" w:rsidRPr="00B32A2A" w:rsidRDefault="00B32A2A" w:rsidP="00B32A2A">
            <w:pPr>
              <w:jc w:val="both"/>
              <w:rPr>
                <w:rFonts w:cs="Arial"/>
                <w:noProof/>
              </w:rPr>
            </w:pPr>
            <w:r>
              <w:t>…</w:t>
            </w:r>
          </w:p>
        </w:tc>
        <w:tc>
          <w:tcPr>
            <w:tcW w:w="8363" w:type="dxa"/>
            <w:tcBorders>
              <w:top w:val="single" w:sz="4" w:space="0" w:color="auto"/>
              <w:left w:val="single" w:sz="4" w:space="0" w:color="auto"/>
              <w:bottom w:val="single" w:sz="4" w:space="0" w:color="auto"/>
              <w:right w:val="single" w:sz="4" w:space="0" w:color="auto"/>
            </w:tcBorders>
            <w:vAlign w:val="center"/>
          </w:tcPr>
          <w:p w:rsidR="00B32A2A" w:rsidRPr="00B32A2A" w:rsidRDefault="00B32A2A" w:rsidP="00B32A2A">
            <w:pPr>
              <w:jc w:val="both"/>
              <w:rPr>
                <w:rFonts w:cs="Arial"/>
                <w:noProof/>
              </w:rPr>
            </w:pPr>
          </w:p>
        </w:tc>
        <w:tc>
          <w:tcPr>
            <w:tcW w:w="567" w:type="dxa"/>
            <w:tcBorders>
              <w:top w:val="single" w:sz="4" w:space="0" w:color="auto"/>
              <w:left w:val="single" w:sz="4" w:space="0" w:color="auto"/>
              <w:bottom w:val="single" w:sz="4" w:space="0" w:color="auto"/>
              <w:right w:val="single" w:sz="4" w:space="0" w:color="auto"/>
            </w:tcBorders>
            <w:vAlign w:val="center"/>
          </w:tcPr>
          <w:p w:rsidR="00B32A2A" w:rsidRPr="00B32A2A" w:rsidRDefault="00B32A2A" w:rsidP="00B32A2A">
            <w:pPr>
              <w:jc w:val="both"/>
              <w:rPr>
                <w:rFonts w:cs="Arial"/>
                <w:i/>
                <w:noProof/>
              </w:rPr>
            </w:pPr>
          </w:p>
        </w:tc>
      </w:tr>
    </w:tbl>
    <w:p w:rsidR="00B32A2A" w:rsidRPr="00B32A2A" w:rsidRDefault="00B32A2A" w:rsidP="00B32A2A">
      <w:pPr>
        <w:ind w:left="113" w:right="-20"/>
        <w:jc w:val="both"/>
        <w:rPr>
          <w:rFonts w:eastAsia="Arial" w:cs="Arial"/>
          <w:noProof/>
          <w:u w:val="single"/>
        </w:rPr>
      </w:pPr>
    </w:p>
    <w:p w:rsidR="00B32A2A" w:rsidRPr="00B32A2A" w:rsidRDefault="00B32A2A" w:rsidP="00B32A2A">
      <w:pPr>
        <w:spacing w:after="120"/>
        <w:ind w:left="113" w:right="59"/>
        <w:jc w:val="both"/>
        <w:rPr>
          <w:rFonts w:eastAsia="Arial" w:cs="Arial"/>
          <w:b/>
          <w:bCs/>
          <w:noProof/>
        </w:rPr>
      </w:pPr>
      <w:r>
        <w:rPr>
          <w:b/>
          <w:noProof/>
        </w:rPr>
        <w:t>Applicants are strongly encouraged to carefully read the instructions provided within the relevant sections of the guidelines before completing the application form.</w:t>
      </w:r>
    </w:p>
    <w:sectPr w:rsidR="00B32A2A" w:rsidRPr="00B32A2A" w:rsidSect="00EB779B">
      <w:headerReference w:type="default" r:id="rId32"/>
      <w:footerReference w:type="even" r:id="rId33"/>
      <w:footerReference w:type="default" r:id="rId34"/>
      <w:pgSz w:w="11907" w:h="16839" w:code="9"/>
      <w:pgMar w:top="992" w:right="1134" w:bottom="992"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4D6" w:rsidRPr="00B32A2A" w:rsidRDefault="008374D6">
      <w:pPr>
        <w:rPr>
          <w:noProof/>
        </w:rPr>
      </w:pPr>
      <w:r w:rsidRPr="00B32A2A">
        <w:rPr>
          <w:noProof/>
        </w:rPr>
        <w:separator/>
      </w:r>
    </w:p>
  </w:endnote>
  <w:endnote w:type="continuationSeparator" w:id="0">
    <w:p w:rsidR="008374D6" w:rsidRPr="00B32A2A" w:rsidRDefault="008374D6">
      <w:pPr>
        <w:rPr>
          <w:noProof/>
        </w:rPr>
      </w:pPr>
      <w:r w:rsidRPr="00B32A2A">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sans-serif'">
    <w:altName w:val="Arial"/>
    <w:charset w:val="00"/>
    <w:family w:val="swiss"/>
    <w:pitch w:val="variable"/>
    <w:sig w:usb0="00000000"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ystem">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A" w:rsidRPr="00B32A2A" w:rsidRDefault="00B32A2A">
    <w:pPr>
      <w:pStyle w:val="Footer"/>
      <w:framePr w:wrap="around" w:vAnchor="text" w:hAnchor="margin" w:xAlign="right" w:y="1"/>
      <w:rPr>
        <w:rStyle w:val="PageNumber"/>
        <w:noProof/>
      </w:rPr>
    </w:pPr>
    <w:r w:rsidRPr="00B32A2A">
      <w:rPr>
        <w:rStyle w:val="PageNumber"/>
        <w:noProof/>
      </w:rPr>
      <w:fldChar w:fldCharType="begin"/>
    </w:r>
    <w:r w:rsidRPr="00B32A2A">
      <w:rPr>
        <w:rStyle w:val="PageNumber"/>
        <w:noProof/>
      </w:rPr>
      <w:instrText xml:space="preserve">PAGE  </w:instrText>
    </w:r>
    <w:r w:rsidRPr="00B32A2A">
      <w:rPr>
        <w:rStyle w:val="PageNumber"/>
        <w:noProof/>
      </w:rPr>
      <w:fldChar w:fldCharType="end"/>
    </w:r>
  </w:p>
  <w:p w:rsidR="00B32A2A" w:rsidRPr="00B32A2A" w:rsidRDefault="00B32A2A">
    <w:pPr>
      <w:pStyle w:val="Footer"/>
      <w:ind w:right="360"/>
      <w:rPr>
        <w:noProo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A" w:rsidRPr="00B32A2A" w:rsidRDefault="00B32A2A" w:rsidP="00A84585">
    <w:pPr>
      <w:pStyle w:val="Footer"/>
      <w:ind w:right="424"/>
      <w:jc w:val="right"/>
      <w:rPr>
        <w:noProof/>
        <w:sz w:val="18"/>
        <w:szCs w:val="18"/>
      </w:rPr>
    </w:pPr>
    <w:r w:rsidRPr="00B32A2A">
      <w:rPr>
        <w:noProof/>
        <w:sz w:val="18"/>
        <w:szCs w:val="18"/>
      </w:rPr>
      <w:fldChar w:fldCharType="begin"/>
    </w:r>
    <w:r w:rsidRPr="00B32A2A">
      <w:rPr>
        <w:noProof/>
        <w:sz w:val="18"/>
        <w:szCs w:val="18"/>
      </w:rPr>
      <w:instrText xml:space="preserve"> PAGE   \* MERGEFORMAT </w:instrText>
    </w:r>
    <w:r w:rsidRPr="00B32A2A">
      <w:rPr>
        <w:noProof/>
        <w:sz w:val="18"/>
        <w:szCs w:val="18"/>
      </w:rPr>
      <w:fldChar w:fldCharType="separate"/>
    </w:r>
    <w:r w:rsidR="00FF4FCF">
      <w:rPr>
        <w:noProof/>
        <w:sz w:val="18"/>
        <w:szCs w:val="18"/>
      </w:rPr>
      <w:t>13</w:t>
    </w:r>
    <w:r w:rsidRPr="00B32A2A">
      <w:rPr>
        <w:noProof/>
        <w:sz w:val="18"/>
        <w:szCs w:val="18"/>
      </w:rPr>
      <w:fldChar w:fldCharType="end"/>
    </w:r>
  </w:p>
  <w:p w:rsidR="00B32A2A" w:rsidRPr="00B32A2A" w:rsidRDefault="00B32A2A" w:rsidP="00A84585">
    <w:pPr>
      <w:pStyle w:val="Footer"/>
      <w:tabs>
        <w:tab w:val="clear" w:pos="8306"/>
        <w:tab w:val="right" w:pos="9639"/>
      </w:tabs>
      <w:rPr>
        <w:rFonts w:ascii="Calibri" w:hAnsi="Calibri" w:cs="Calibri"/>
        <w:noProof/>
        <w:sz w:val="18"/>
        <w:szCs w:val="18"/>
      </w:rPr>
    </w:pPr>
    <w:r>
      <w:rPr>
        <w:rFonts w:ascii="Calibri" w:hAnsi="Calibri"/>
        <w:noProof/>
        <w:sz w:val="18"/>
      </w:rPr>
      <w:t>HSS Application Materials DRAFT FOR REVIEW ONLY – 17/05/2013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A" w:rsidRDefault="00B32A2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A" w:rsidRPr="00B32A2A" w:rsidRDefault="00B32A2A">
    <w:pPr>
      <w:pStyle w:val="Footer"/>
      <w:framePr w:wrap="around" w:vAnchor="text" w:hAnchor="margin" w:xAlign="right" w:y="1"/>
      <w:rPr>
        <w:rStyle w:val="PageNumber"/>
        <w:noProof/>
      </w:rPr>
    </w:pPr>
    <w:r w:rsidRPr="00B32A2A">
      <w:rPr>
        <w:rStyle w:val="PageNumber"/>
        <w:noProof/>
      </w:rPr>
      <w:fldChar w:fldCharType="begin"/>
    </w:r>
    <w:r w:rsidRPr="00B32A2A">
      <w:rPr>
        <w:rStyle w:val="PageNumber"/>
        <w:noProof/>
      </w:rPr>
      <w:instrText xml:space="preserve">PAGE  </w:instrText>
    </w:r>
    <w:r w:rsidRPr="00B32A2A">
      <w:rPr>
        <w:rStyle w:val="PageNumber"/>
        <w:noProof/>
      </w:rPr>
      <w:fldChar w:fldCharType="end"/>
    </w:r>
  </w:p>
  <w:p w:rsidR="00B32A2A" w:rsidRPr="00B32A2A" w:rsidRDefault="00B32A2A">
    <w:pPr>
      <w:pStyle w:val="Footer"/>
      <w:ind w:right="360"/>
      <w:rPr>
        <w:noProof/>
      </w:rPr>
    </w:pPr>
  </w:p>
  <w:p w:rsidR="00B32A2A" w:rsidRPr="00B32A2A" w:rsidRDefault="00B32A2A">
    <w:pPr>
      <w:rPr>
        <w:noProof/>
      </w:rPr>
    </w:pPr>
  </w:p>
  <w:p w:rsidR="00B32A2A" w:rsidRPr="00B32A2A" w:rsidRDefault="00B32A2A">
    <w:pPr>
      <w:rPr>
        <w:noProof/>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A" w:rsidRPr="00B32A2A" w:rsidRDefault="00B32A2A" w:rsidP="00A84585">
    <w:pPr>
      <w:pStyle w:val="Footer"/>
      <w:ind w:right="424"/>
      <w:jc w:val="right"/>
      <w:rPr>
        <w:noProof/>
        <w:sz w:val="18"/>
        <w:szCs w:val="18"/>
      </w:rPr>
    </w:pPr>
    <w:r w:rsidRPr="00B32A2A">
      <w:rPr>
        <w:noProof/>
        <w:sz w:val="18"/>
        <w:szCs w:val="18"/>
      </w:rPr>
      <w:fldChar w:fldCharType="begin"/>
    </w:r>
    <w:r w:rsidRPr="00B32A2A">
      <w:rPr>
        <w:noProof/>
        <w:sz w:val="18"/>
        <w:szCs w:val="18"/>
      </w:rPr>
      <w:instrText xml:space="preserve"> PAGE   \* MERGEFORMAT </w:instrText>
    </w:r>
    <w:r w:rsidRPr="00B32A2A">
      <w:rPr>
        <w:noProof/>
        <w:sz w:val="18"/>
        <w:szCs w:val="18"/>
      </w:rPr>
      <w:fldChar w:fldCharType="separate"/>
    </w:r>
    <w:r w:rsidR="00FF4FCF">
      <w:rPr>
        <w:noProof/>
        <w:sz w:val="18"/>
        <w:szCs w:val="18"/>
      </w:rPr>
      <w:t>23</w:t>
    </w:r>
    <w:r w:rsidRPr="00B32A2A">
      <w:rPr>
        <w:noProof/>
        <w:sz w:val="18"/>
        <w:szCs w:val="18"/>
      </w:rPr>
      <w:fldChar w:fldCharType="end"/>
    </w:r>
  </w:p>
  <w:p w:rsidR="00B32A2A" w:rsidRPr="00B32A2A" w:rsidRDefault="00B32A2A" w:rsidP="00A84585">
    <w:pPr>
      <w:pStyle w:val="Footer"/>
      <w:tabs>
        <w:tab w:val="clear" w:pos="8306"/>
        <w:tab w:val="right" w:pos="9639"/>
      </w:tabs>
      <w:rPr>
        <w:rFonts w:ascii="Calibri" w:hAnsi="Calibri" w:cs="Calibri"/>
        <w:noProof/>
        <w:sz w:val="18"/>
        <w:szCs w:val="18"/>
      </w:rPr>
    </w:pPr>
    <w:r>
      <w:rPr>
        <w:rFonts w:ascii="Calibri" w:hAnsi="Calibri"/>
        <w:noProof/>
        <w:sz w:val="18"/>
      </w:rPr>
      <w:t>Application Package for HSS Support – 05/31/2013</w:t>
    </w:r>
  </w:p>
  <w:p w:rsidR="00B32A2A" w:rsidRPr="00B32A2A" w:rsidRDefault="00B32A2A">
    <w:pPr>
      <w:rPr>
        <w:noProof/>
      </w:rPr>
    </w:pPr>
  </w:p>
  <w:p w:rsidR="00B32A2A" w:rsidRPr="00B32A2A" w:rsidRDefault="00B32A2A">
    <w:pPr>
      <w:rPr>
        <w:noProof/>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A" w:rsidRPr="00B32A2A" w:rsidRDefault="00B32A2A">
    <w:pPr>
      <w:pStyle w:val="Footer"/>
      <w:framePr w:wrap="around" w:vAnchor="text" w:hAnchor="margin" w:xAlign="right" w:y="1"/>
      <w:rPr>
        <w:rStyle w:val="PageNumber"/>
        <w:noProof/>
      </w:rPr>
    </w:pPr>
    <w:r w:rsidRPr="00B32A2A">
      <w:rPr>
        <w:rStyle w:val="PageNumber"/>
        <w:noProof/>
      </w:rPr>
      <w:fldChar w:fldCharType="begin"/>
    </w:r>
    <w:r w:rsidRPr="00B32A2A">
      <w:rPr>
        <w:rStyle w:val="PageNumber"/>
        <w:noProof/>
      </w:rPr>
      <w:instrText xml:space="preserve">PAGE  </w:instrText>
    </w:r>
    <w:r w:rsidRPr="00B32A2A">
      <w:rPr>
        <w:rStyle w:val="PageNumber"/>
        <w:noProof/>
      </w:rPr>
      <w:fldChar w:fldCharType="end"/>
    </w:r>
  </w:p>
  <w:p w:rsidR="00B32A2A" w:rsidRPr="00B32A2A" w:rsidRDefault="00B32A2A">
    <w:pPr>
      <w:pStyle w:val="Footer"/>
      <w:ind w:right="360"/>
      <w:rPr>
        <w:noProof/>
      </w:rPr>
    </w:pPr>
  </w:p>
  <w:p w:rsidR="00B32A2A" w:rsidRPr="00B32A2A" w:rsidRDefault="00B32A2A">
    <w:pPr>
      <w:rPr>
        <w:noProof/>
      </w:rPr>
    </w:pPr>
  </w:p>
  <w:p w:rsidR="00B32A2A" w:rsidRPr="00B32A2A" w:rsidRDefault="00B32A2A">
    <w:pPr>
      <w:rPr>
        <w:noProof/>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A" w:rsidRPr="00B32A2A" w:rsidRDefault="00B32A2A" w:rsidP="00A84585">
    <w:pPr>
      <w:pStyle w:val="Footer"/>
      <w:ind w:right="424"/>
      <w:jc w:val="right"/>
      <w:rPr>
        <w:noProof/>
        <w:sz w:val="18"/>
        <w:szCs w:val="18"/>
      </w:rPr>
    </w:pPr>
    <w:r w:rsidRPr="00B32A2A">
      <w:rPr>
        <w:noProof/>
        <w:sz w:val="18"/>
        <w:szCs w:val="18"/>
      </w:rPr>
      <w:fldChar w:fldCharType="begin"/>
    </w:r>
    <w:r w:rsidRPr="00B32A2A">
      <w:rPr>
        <w:noProof/>
        <w:sz w:val="18"/>
        <w:szCs w:val="18"/>
      </w:rPr>
      <w:instrText xml:space="preserve"> PAGE   \* MERGEFORMAT </w:instrText>
    </w:r>
    <w:r w:rsidRPr="00B32A2A">
      <w:rPr>
        <w:noProof/>
        <w:sz w:val="18"/>
        <w:szCs w:val="18"/>
      </w:rPr>
      <w:fldChar w:fldCharType="separate"/>
    </w:r>
    <w:r w:rsidR="00FF4FCF">
      <w:rPr>
        <w:noProof/>
        <w:sz w:val="18"/>
        <w:szCs w:val="18"/>
      </w:rPr>
      <w:t>71</w:t>
    </w:r>
    <w:r w:rsidRPr="00B32A2A">
      <w:rPr>
        <w:noProof/>
        <w:sz w:val="18"/>
        <w:szCs w:val="18"/>
      </w:rPr>
      <w:fldChar w:fldCharType="end"/>
    </w:r>
  </w:p>
  <w:p w:rsidR="00B32A2A" w:rsidRPr="00B32A2A" w:rsidRDefault="00B32A2A" w:rsidP="00A84585">
    <w:pPr>
      <w:pStyle w:val="Footer"/>
      <w:tabs>
        <w:tab w:val="clear" w:pos="8306"/>
        <w:tab w:val="right" w:pos="9639"/>
      </w:tabs>
      <w:rPr>
        <w:rFonts w:ascii="Calibri" w:hAnsi="Calibri" w:cs="Calibri"/>
        <w:noProof/>
        <w:sz w:val="18"/>
        <w:szCs w:val="18"/>
      </w:rPr>
    </w:pPr>
    <w:r>
      <w:rPr>
        <w:rFonts w:ascii="Calibri" w:hAnsi="Calibri"/>
        <w:noProof/>
        <w:sz w:val="18"/>
      </w:rPr>
      <w:t>Application Package for HSS Support – 05/31/2013</w:t>
    </w:r>
  </w:p>
  <w:p w:rsidR="00B32A2A" w:rsidRPr="00B32A2A" w:rsidRDefault="00B32A2A">
    <w:pPr>
      <w:rPr>
        <w:noProof/>
      </w:rPr>
    </w:pPr>
  </w:p>
  <w:p w:rsidR="00B32A2A" w:rsidRPr="00B32A2A" w:rsidRDefault="00B32A2A">
    <w:pPr>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4D6" w:rsidRPr="00B32A2A" w:rsidRDefault="008374D6">
      <w:pPr>
        <w:rPr>
          <w:noProof/>
        </w:rPr>
      </w:pPr>
      <w:r w:rsidRPr="00B32A2A">
        <w:rPr>
          <w:noProof/>
        </w:rPr>
        <w:separator/>
      </w:r>
    </w:p>
  </w:footnote>
  <w:footnote w:type="continuationSeparator" w:id="0">
    <w:p w:rsidR="008374D6" w:rsidRPr="00B32A2A" w:rsidRDefault="008374D6">
      <w:pPr>
        <w:rPr>
          <w:noProof/>
        </w:rPr>
      </w:pPr>
      <w:r w:rsidRPr="00B32A2A">
        <w:rPr>
          <w:noProof/>
        </w:rPr>
        <w:continuationSeparator/>
      </w:r>
    </w:p>
  </w:footnote>
  <w:footnote w:id="1">
    <w:p w:rsidR="00B32A2A" w:rsidRPr="00B32A2A" w:rsidRDefault="00B32A2A" w:rsidP="00B32A2A">
      <w:pPr>
        <w:pStyle w:val="FootnoteText"/>
        <w:rPr>
          <w:noProof/>
          <w:color w:val="808080"/>
        </w:rPr>
      </w:pPr>
      <w:r>
        <w:rPr>
          <w:rStyle w:val="FootnoteReference"/>
          <w:noProof/>
        </w:rPr>
        <w:footnoteRef/>
      </w:r>
      <w:r>
        <w:t xml:space="preserve">For a definition of ‘systems readiness’ see: </w:t>
      </w:r>
      <w:hyperlink r:id="rId1">
        <w:r>
          <w:rPr>
            <w:rStyle w:val="Hyperlink"/>
            <w:noProof/>
            <w:color w:val="808080"/>
          </w:rPr>
          <w:t>http://www.who.int/healthinfo/systems/sara_indicators_questionnaire/en/</w:t>
        </w:r>
      </w:hyperlink>
      <w:r>
        <w:rPr>
          <w:noProof/>
          <w:color w:val="808080"/>
        </w:rPr>
        <w:t>.</w:t>
      </w:r>
    </w:p>
  </w:footnote>
  <w:footnote w:id="2">
    <w:p w:rsidR="00B32A2A" w:rsidRPr="00B32A2A" w:rsidRDefault="00B32A2A" w:rsidP="00B32A2A">
      <w:pPr>
        <w:pStyle w:val="FootnoteText"/>
        <w:rPr>
          <w:rFonts w:ascii="Calibri" w:hAnsi="Calibri" w:cs="Calibri"/>
          <w:noProof/>
          <w:sz w:val="18"/>
          <w:szCs w:val="18"/>
        </w:rPr>
      </w:pPr>
      <w:r>
        <w:rPr>
          <w:rStyle w:val="FootnoteReference"/>
          <w:rFonts w:ascii="Calibri" w:hAnsi="Calibri"/>
          <w:noProof/>
          <w:sz w:val="18"/>
        </w:rPr>
        <w:footnoteRef/>
      </w:r>
      <w:r>
        <w:rPr>
          <w:rFonts w:ascii="Calibri" w:hAnsi="Calibri"/>
          <w:noProof/>
          <w:sz w:val="18"/>
        </w:rPr>
        <w:t>In special circumstances, GAVI can transfer funds directly to a CSO. Please refer to the application Guidelines for further information.</w:t>
      </w:r>
    </w:p>
  </w:footnote>
  <w:footnote w:id="3">
    <w:p w:rsidR="00B32A2A" w:rsidRPr="00B32A2A" w:rsidRDefault="00B32A2A" w:rsidP="00B32A2A">
      <w:pPr>
        <w:pStyle w:val="FootnoteText"/>
        <w:rPr>
          <w:rFonts w:ascii="Calibri" w:hAnsi="Calibri" w:cs="Calibri"/>
          <w:b/>
          <w:noProof/>
          <w:sz w:val="18"/>
          <w:szCs w:val="18"/>
        </w:rPr>
      </w:pPr>
      <w:r>
        <w:rPr>
          <w:rStyle w:val="FootnoteReference"/>
          <w:rFonts w:ascii="Calibri" w:hAnsi="Calibri"/>
          <w:b/>
          <w:noProof/>
          <w:sz w:val="18"/>
        </w:rPr>
        <w:footnoteRef/>
      </w:r>
      <w:r>
        <w:rPr>
          <w:rFonts w:ascii="Calibri" w:hAnsi="Calibri"/>
          <w:b/>
          <w:noProof/>
          <w:sz w:val="18"/>
        </w:rPr>
        <w:t>If the annual external audit is to be performed by a private, outside auditor, please include an appropriate audit fee within the detailed budget.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A" w:rsidRDefault="00B32A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A" w:rsidRDefault="00B32A2A" w:rsidP="00D56A2B">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A" w:rsidRDefault="00B32A2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A" w:rsidRPr="00B32A2A" w:rsidRDefault="00B32A2A" w:rsidP="00D56A2B">
    <w:pPr>
      <w:pStyle w:val="Header"/>
      <w:jc w:val="right"/>
      <w:rPr>
        <w:noProof/>
      </w:rPr>
    </w:pPr>
  </w:p>
  <w:p w:rsidR="00B32A2A" w:rsidRPr="00B32A2A" w:rsidRDefault="00B32A2A">
    <w:pPr>
      <w:rPr>
        <w:noProof/>
      </w:rPr>
    </w:pPr>
  </w:p>
  <w:p w:rsidR="00B32A2A" w:rsidRPr="00B32A2A" w:rsidRDefault="00B32A2A">
    <w:pPr>
      <w:rPr>
        <w:noProof/>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2A" w:rsidRPr="00B32A2A" w:rsidRDefault="00B32A2A" w:rsidP="00D56A2B">
    <w:pPr>
      <w:pStyle w:val="Header"/>
      <w:jc w:val="right"/>
      <w:rPr>
        <w:noProof/>
      </w:rPr>
    </w:pPr>
  </w:p>
  <w:p w:rsidR="00B32A2A" w:rsidRPr="00B32A2A" w:rsidRDefault="00B32A2A">
    <w:pPr>
      <w:rPr>
        <w:noProof/>
      </w:rPr>
    </w:pPr>
  </w:p>
  <w:p w:rsidR="00B32A2A" w:rsidRPr="00B32A2A" w:rsidRDefault="00B32A2A">
    <w:pPr>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start w:val="1"/>
      <w:numFmt w:val="bullet"/>
      <w:lvlText w:val="·"/>
      <w:lvlJc w:val="left"/>
      <w:pPr>
        <w:tabs>
          <w:tab w:val="num" w:pos="360"/>
        </w:tabs>
        <w:ind w:left="360" w:hanging="360"/>
      </w:pPr>
      <w:rPr>
        <w:rFonts w:ascii="Symbol" w:hAnsi="Symbol"/>
      </w:rPr>
    </w:lvl>
    <w:lvl w:ilvl="1">
      <w:start w:val="7"/>
      <w:numFmt w:val="bullet"/>
      <w:lvlText w:val="-"/>
      <w:lvlJc w:val="left"/>
      <w:pPr>
        <w:tabs>
          <w:tab w:val="num" w:pos="1080"/>
        </w:tabs>
        <w:ind w:left="1080" w:hanging="360"/>
      </w:pPr>
      <w:rPr>
        <w:rFonts w:ascii="Times New Roman" w:hAnsi="Times New Roman" w:cs="Times New Roman"/>
      </w:rPr>
    </w:lvl>
    <w:lvl w:ilvl="2">
      <w:start w:val="1"/>
      <w:numFmt w:val="lowerRoman"/>
      <w:lvlText w:val="%3."/>
      <w:lvlJc w:val="right"/>
      <w:pPr>
        <w:tabs>
          <w:tab w:val="num" w:pos="1800"/>
        </w:tabs>
        <w:ind w:left="1800" w:hanging="180"/>
      </w:pPr>
    </w:lvl>
    <w:lvl w:ilvl="3">
      <w:start w:val="1"/>
      <w:numFmt w:val="decimal"/>
      <w:lvlText w:val="%4)"/>
      <w:lvlJc w:val="left"/>
      <w:pPr>
        <w:tabs>
          <w:tab w:val="num" w:pos="2865"/>
        </w:tabs>
        <w:ind w:left="2865" w:hanging="705"/>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nsid w:val="008F1131"/>
    <w:multiLevelType w:val="hybridMultilevel"/>
    <w:tmpl w:val="CE5AD9F2"/>
    <w:name w:val="WW8Num165"/>
    <w:lvl w:ilvl="0" w:tplc="FFFFFFFF">
      <w:start w:val="2"/>
      <w:numFmt w:val="bullet"/>
      <w:lvlText w:val=""/>
      <w:lvlJc w:val="left"/>
      <w:pPr>
        <w:tabs>
          <w:tab w:val="num" w:pos="720"/>
        </w:tabs>
        <w:ind w:left="720" w:hanging="360"/>
      </w:pPr>
      <w:rPr>
        <w:rFonts w:ascii="Wingdings" w:eastAsia="SimSun" w:hAnsi="Wingdings"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2"/>
      <w:numFmt w:val="bullet"/>
      <w:lvlText w:val=""/>
      <w:lvlJc w:val="left"/>
      <w:pPr>
        <w:tabs>
          <w:tab w:val="num" w:pos="2160"/>
        </w:tabs>
        <w:ind w:left="2160" w:hanging="360"/>
      </w:pPr>
      <w:rPr>
        <w:rFonts w:ascii="Wingdings" w:eastAsia="SimSu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42075E0"/>
    <w:multiLevelType w:val="hybridMultilevel"/>
    <w:tmpl w:val="7DF0EB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4916666"/>
    <w:multiLevelType w:val="multilevel"/>
    <w:tmpl w:val="A78E9760"/>
    <w:lvl w:ilvl="0">
      <w:start w:val="1"/>
      <w:numFmt w:val="decimal"/>
      <w:lvlText w:val="%1"/>
      <w:lvlJc w:val="left"/>
      <w:pPr>
        <w:ind w:left="360" w:hanging="360"/>
      </w:pPr>
      <w:rPr>
        <w:rFonts w:hint="default"/>
        <w:lang w:val="fr-FR"/>
      </w:rPr>
    </w:lvl>
    <w:lvl w:ilvl="1">
      <w:start w:val="1"/>
      <w:numFmt w:val="decimal"/>
      <w:lvlText w:val="%1.%2"/>
      <w:lvlJc w:val="left"/>
      <w:pPr>
        <w:ind w:left="720" w:hanging="7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4">
    <w:nsid w:val="05BC3013"/>
    <w:multiLevelType w:val="hybridMultilevel"/>
    <w:tmpl w:val="A72CD6B8"/>
    <w:lvl w:ilvl="0" w:tplc="D8FCBB8E">
      <w:start w:val="1"/>
      <w:numFmt w:val="bullet"/>
      <w:pStyle w:val="Heading3"/>
      <w:lvlText w:val=""/>
      <w:lvlJc w:val="left"/>
      <w:pPr>
        <w:ind w:left="720" w:hanging="360"/>
      </w:pPr>
      <w:rPr>
        <w:rFonts w:ascii="Symbol" w:hAnsi="Symbol"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5">
    <w:nsid w:val="06BF0B5B"/>
    <w:multiLevelType w:val="hybridMultilevel"/>
    <w:tmpl w:val="5218D23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0B3639B0"/>
    <w:multiLevelType w:val="hybridMultilevel"/>
    <w:tmpl w:val="8F9A98F4"/>
    <w:lvl w:ilvl="0" w:tplc="DACC7EE0">
      <w:start w:val="5"/>
      <w:numFmt w:val="bullet"/>
      <w:lvlText w:val="-"/>
      <w:lvlJc w:val="left"/>
      <w:pPr>
        <w:ind w:left="720" w:hanging="360"/>
      </w:pPr>
      <w:rPr>
        <w:rFonts w:ascii="'arial','sans-serif'" w:eastAsia="'arial','sans-serif'" w:hAnsi="'arial','sans-serif'" w:cs="'arial','sans-serif'"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BCD7856"/>
    <w:multiLevelType w:val="hybridMultilevel"/>
    <w:tmpl w:val="809EC08A"/>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EBE530E"/>
    <w:multiLevelType w:val="hybridMultilevel"/>
    <w:tmpl w:val="BD26D6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03749CC"/>
    <w:multiLevelType w:val="hybridMultilevel"/>
    <w:tmpl w:val="B378A6AC"/>
    <w:lvl w:ilvl="0" w:tplc="DACC7EE0">
      <w:start w:val="5"/>
      <w:numFmt w:val="bullet"/>
      <w:lvlText w:val="-"/>
      <w:lvlJc w:val="left"/>
      <w:pPr>
        <w:ind w:left="720" w:hanging="360"/>
      </w:pPr>
      <w:rPr>
        <w:rFonts w:ascii="'arial','sans-serif'" w:eastAsia="'arial','sans-serif'" w:hAnsi="'arial','sans-serif'" w:cs="'arial','sans-serif'"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205446"/>
    <w:multiLevelType w:val="hybridMultilevel"/>
    <w:tmpl w:val="889EBA7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nsid w:val="14442DBF"/>
    <w:multiLevelType w:val="hybridMultilevel"/>
    <w:tmpl w:val="EB26A0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5FF05BA"/>
    <w:multiLevelType w:val="hybridMultilevel"/>
    <w:tmpl w:val="A2CAAA0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1E6135EB"/>
    <w:multiLevelType w:val="hybridMultilevel"/>
    <w:tmpl w:val="80E66C96"/>
    <w:lvl w:ilvl="0" w:tplc="DACC7EE0">
      <w:start w:val="5"/>
      <w:numFmt w:val="bullet"/>
      <w:lvlText w:val="-"/>
      <w:lvlJc w:val="left"/>
      <w:pPr>
        <w:ind w:left="720" w:hanging="360"/>
      </w:pPr>
      <w:rPr>
        <w:rFonts w:ascii="'arial','sans-serif'" w:eastAsia="'arial','sans-serif'" w:hAnsi="'arial','sans-serif'" w:cs="'arial','sans-serif'"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11271A1"/>
    <w:multiLevelType w:val="hybridMultilevel"/>
    <w:tmpl w:val="00E23A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1E45AE5"/>
    <w:multiLevelType w:val="multilevel"/>
    <w:tmpl w:val="27A4458C"/>
    <w:lvl w:ilvl="0">
      <w:start w:val="5"/>
      <w:numFmt w:val="decimal"/>
      <w:lvlText w:val="%1"/>
      <w:lvlJc w:val="left"/>
      <w:pPr>
        <w:ind w:left="885" w:hanging="885"/>
      </w:pPr>
      <w:rPr>
        <w:rFonts w:hint="default"/>
      </w:rPr>
    </w:lvl>
    <w:lvl w:ilvl="1">
      <w:start w:val="3"/>
      <w:numFmt w:val="decimal"/>
      <w:lvlText w:val="%1.%2"/>
      <w:lvlJc w:val="left"/>
      <w:pPr>
        <w:ind w:left="1121" w:hanging="885"/>
      </w:pPr>
      <w:rPr>
        <w:rFonts w:hint="default"/>
      </w:rPr>
    </w:lvl>
    <w:lvl w:ilvl="2">
      <w:start w:val="2"/>
      <w:numFmt w:val="decimal"/>
      <w:lvlText w:val="%1.%2.%3"/>
      <w:lvlJc w:val="left"/>
      <w:pPr>
        <w:ind w:left="1357" w:hanging="885"/>
      </w:pPr>
      <w:rPr>
        <w:rFonts w:hint="default"/>
      </w:rPr>
    </w:lvl>
    <w:lvl w:ilvl="3">
      <w:start w:val="7"/>
      <w:numFmt w:val="decimal"/>
      <w:lvlText w:val="%1.%2.%3.%4"/>
      <w:lvlJc w:val="left"/>
      <w:pPr>
        <w:ind w:left="1788" w:hanging="1080"/>
      </w:pPr>
      <w:rPr>
        <w:rFonts w:hint="default"/>
      </w:rPr>
    </w:lvl>
    <w:lvl w:ilvl="4">
      <w:start w:val="1"/>
      <w:numFmt w:val="decimal"/>
      <w:pStyle w:val="Style1"/>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6">
    <w:nsid w:val="22461B21"/>
    <w:multiLevelType w:val="hybridMultilevel"/>
    <w:tmpl w:val="5D90EAF8"/>
    <w:lvl w:ilvl="0" w:tplc="F0E41468">
      <w:start w:val="1"/>
      <w:numFmt w:val="bullet"/>
      <w:lvlText w:val="-"/>
      <w:lvlJc w:val="left"/>
      <w:pPr>
        <w:tabs>
          <w:tab w:val="num" w:pos="360"/>
        </w:tabs>
        <w:ind w:left="36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227A5812"/>
    <w:multiLevelType w:val="hybridMultilevel"/>
    <w:tmpl w:val="E1DC535A"/>
    <w:lvl w:ilvl="0" w:tplc="DACC7EE0">
      <w:start w:val="5"/>
      <w:numFmt w:val="bullet"/>
      <w:lvlText w:val="-"/>
      <w:lvlJc w:val="left"/>
      <w:pPr>
        <w:ind w:left="720" w:hanging="360"/>
      </w:pPr>
      <w:rPr>
        <w:rFonts w:ascii="'arial','sans-serif'" w:eastAsia="'arial','sans-serif'" w:hAnsi="'arial','sans-serif'" w:cs="'arial','sans-serif'"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2F956C9"/>
    <w:multiLevelType w:val="hybridMultilevel"/>
    <w:tmpl w:val="67188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3EE2510"/>
    <w:multiLevelType w:val="hybridMultilevel"/>
    <w:tmpl w:val="7DF0EB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4BC7F24"/>
    <w:multiLevelType w:val="hybridMultilevel"/>
    <w:tmpl w:val="998E817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295F664D"/>
    <w:multiLevelType w:val="hybridMultilevel"/>
    <w:tmpl w:val="C6D8D04E"/>
    <w:lvl w:ilvl="0" w:tplc="F612CB96">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nsid w:val="2C4E7AD4"/>
    <w:multiLevelType w:val="hybridMultilevel"/>
    <w:tmpl w:val="B2A61D8E"/>
    <w:lvl w:ilvl="0" w:tplc="DACC7EE0">
      <w:start w:val="5"/>
      <w:numFmt w:val="bullet"/>
      <w:lvlText w:val="-"/>
      <w:lvlJc w:val="left"/>
      <w:pPr>
        <w:ind w:left="720" w:hanging="360"/>
      </w:pPr>
      <w:rPr>
        <w:rFonts w:ascii="'arial','sans-serif'" w:eastAsia="'arial','sans-serif'" w:hAnsi="'arial','sans-serif'" w:cs="'arial','sans-serif'"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D827D64"/>
    <w:multiLevelType w:val="hybridMultilevel"/>
    <w:tmpl w:val="5E184A84"/>
    <w:lvl w:ilvl="0" w:tplc="2A6A93F2">
      <w:start w:val="1"/>
      <w:numFmt w:val="bullet"/>
      <w:lvlText w:val=""/>
      <w:lvlJc w:val="left"/>
      <w:pPr>
        <w:tabs>
          <w:tab w:val="num" w:pos="720"/>
        </w:tabs>
        <w:ind w:left="720" w:hanging="360"/>
      </w:pPr>
      <w:rPr>
        <w:rFonts w:ascii="Wingdings" w:hAnsi="Wingdings" w:hint="default"/>
      </w:rPr>
    </w:lvl>
    <w:lvl w:ilvl="1" w:tplc="3B20978E" w:tentative="1">
      <w:start w:val="1"/>
      <w:numFmt w:val="bullet"/>
      <w:lvlText w:val=""/>
      <w:lvlJc w:val="left"/>
      <w:pPr>
        <w:tabs>
          <w:tab w:val="num" w:pos="1440"/>
        </w:tabs>
        <w:ind w:left="1440" w:hanging="360"/>
      </w:pPr>
      <w:rPr>
        <w:rFonts w:ascii="Wingdings" w:hAnsi="Wingdings" w:hint="default"/>
      </w:rPr>
    </w:lvl>
    <w:lvl w:ilvl="2" w:tplc="91060E3C" w:tentative="1">
      <w:start w:val="1"/>
      <w:numFmt w:val="bullet"/>
      <w:lvlText w:val=""/>
      <w:lvlJc w:val="left"/>
      <w:pPr>
        <w:tabs>
          <w:tab w:val="num" w:pos="2160"/>
        </w:tabs>
        <w:ind w:left="2160" w:hanging="360"/>
      </w:pPr>
      <w:rPr>
        <w:rFonts w:ascii="Wingdings" w:hAnsi="Wingdings" w:hint="default"/>
      </w:rPr>
    </w:lvl>
    <w:lvl w:ilvl="3" w:tplc="5FB897AE" w:tentative="1">
      <w:start w:val="1"/>
      <w:numFmt w:val="bullet"/>
      <w:lvlText w:val=""/>
      <w:lvlJc w:val="left"/>
      <w:pPr>
        <w:tabs>
          <w:tab w:val="num" w:pos="2880"/>
        </w:tabs>
        <w:ind w:left="2880" w:hanging="360"/>
      </w:pPr>
      <w:rPr>
        <w:rFonts w:ascii="Wingdings" w:hAnsi="Wingdings" w:hint="default"/>
      </w:rPr>
    </w:lvl>
    <w:lvl w:ilvl="4" w:tplc="8A485D5C" w:tentative="1">
      <w:start w:val="1"/>
      <w:numFmt w:val="bullet"/>
      <w:lvlText w:val=""/>
      <w:lvlJc w:val="left"/>
      <w:pPr>
        <w:tabs>
          <w:tab w:val="num" w:pos="3600"/>
        </w:tabs>
        <w:ind w:left="3600" w:hanging="360"/>
      </w:pPr>
      <w:rPr>
        <w:rFonts w:ascii="Wingdings" w:hAnsi="Wingdings" w:hint="default"/>
      </w:rPr>
    </w:lvl>
    <w:lvl w:ilvl="5" w:tplc="EC60D3AE" w:tentative="1">
      <w:start w:val="1"/>
      <w:numFmt w:val="bullet"/>
      <w:lvlText w:val=""/>
      <w:lvlJc w:val="left"/>
      <w:pPr>
        <w:tabs>
          <w:tab w:val="num" w:pos="4320"/>
        </w:tabs>
        <w:ind w:left="4320" w:hanging="360"/>
      </w:pPr>
      <w:rPr>
        <w:rFonts w:ascii="Wingdings" w:hAnsi="Wingdings" w:hint="default"/>
      </w:rPr>
    </w:lvl>
    <w:lvl w:ilvl="6" w:tplc="7A0473E6" w:tentative="1">
      <w:start w:val="1"/>
      <w:numFmt w:val="bullet"/>
      <w:lvlText w:val=""/>
      <w:lvlJc w:val="left"/>
      <w:pPr>
        <w:tabs>
          <w:tab w:val="num" w:pos="5040"/>
        </w:tabs>
        <w:ind w:left="5040" w:hanging="360"/>
      </w:pPr>
      <w:rPr>
        <w:rFonts w:ascii="Wingdings" w:hAnsi="Wingdings" w:hint="default"/>
      </w:rPr>
    </w:lvl>
    <w:lvl w:ilvl="7" w:tplc="A3FC9E8A" w:tentative="1">
      <w:start w:val="1"/>
      <w:numFmt w:val="bullet"/>
      <w:lvlText w:val=""/>
      <w:lvlJc w:val="left"/>
      <w:pPr>
        <w:tabs>
          <w:tab w:val="num" w:pos="5760"/>
        </w:tabs>
        <w:ind w:left="5760" w:hanging="360"/>
      </w:pPr>
      <w:rPr>
        <w:rFonts w:ascii="Wingdings" w:hAnsi="Wingdings" w:hint="default"/>
      </w:rPr>
    </w:lvl>
    <w:lvl w:ilvl="8" w:tplc="9BA2435E" w:tentative="1">
      <w:start w:val="1"/>
      <w:numFmt w:val="bullet"/>
      <w:lvlText w:val=""/>
      <w:lvlJc w:val="left"/>
      <w:pPr>
        <w:tabs>
          <w:tab w:val="num" w:pos="6480"/>
        </w:tabs>
        <w:ind w:left="6480" w:hanging="360"/>
      </w:pPr>
      <w:rPr>
        <w:rFonts w:ascii="Wingdings" w:hAnsi="Wingdings" w:hint="default"/>
      </w:rPr>
    </w:lvl>
  </w:abstractNum>
  <w:abstractNum w:abstractNumId="24">
    <w:nsid w:val="31DC0FFF"/>
    <w:multiLevelType w:val="hybridMultilevel"/>
    <w:tmpl w:val="E85CC68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nsid w:val="335E59B0"/>
    <w:multiLevelType w:val="hybridMultilevel"/>
    <w:tmpl w:val="C1F0B84A"/>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6">
    <w:nsid w:val="38BF34B9"/>
    <w:multiLevelType w:val="hybridMultilevel"/>
    <w:tmpl w:val="993CF9A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3A3240C5"/>
    <w:multiLevelType w:val="hybridMultilevel"/>
    <w:tmpl w:val="0032F9A2"/>
    <w:lvl w:ilvl="0" w:tplc="8BE42D1A">
      <w:start w:val="7"/>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ABB4740"/>
    <w:multiLevelType w:val="hybridMultilevel"/>
    <w:tmpl w:val="A8241E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00B2808"/>
    <w:multiLevelType w:val="hybridMultilevel"/>
    <w:tmpl w:val="6B18E5EA"/>
    <w:lvl w:ilvl="0" w:tplc="FDCACAD6">
      <w:start w:val="1"/>
      <w:numFmt w:val="bullet"/>
      <w:pStyle w:val="bullet"/>
      <w:lvlText w:val=""/>
      <w:lvlJc w:val="left"/>
      <w:pPr>
        <w:ind w:left="-917" w:hanging="360"/>
      </w:pPr>
      <w:rPr>
        <w:rFonts w:ascii="Wingdings" w:hAnsi="Wingdings" w:hint="default"/>
        <w:color w:val="005A63"/>
        <w:sz w:val="24"/>
      </w:rPr>
    </w:lvl>
    <w:lvl w:ilvl="1" w:tplc="08090019" w:tentative="1">
      <w:start w:val="1"/>
      <w:numFmt w:val="lowerLetter"/>
      <w:lvlText w:val="%2."/>
      <w:lvlJc w:val="left"/>
      <w:pPr>
        <w:ind w:left="-197" w:hanging="360"/>
      </w:pPr>
    </w:lvl>
    <w:lvl w:ilvl="2" w:tplc="0809001B" w:tentative="1">
      <w:start w:val="1"/>
      <w:numFmt w:val="lowerRoman"/>
      <w:lvlText w:val="%3."/>
      <w:lvlJc w:val="right"/>
      <w:pPr>
        <w:ind w:left="523" w:hanging="180"/>
      </w:pPr>
    </w:lvl>
    <w:lvl w:ilvl="3" w:tplc="0809000F" w:tentative="1">
      <w:start w:val="1"/>
      <w:numFmt w:val="decimal"/>
      <w:lvlText w:val="%4."/>
      <w:lvlJc w:val="left"/>
      <w:pPr>
        <w:ind w:left="1243" w:hanging="360"/>
      </w:pPr>
    </w:lvl>
    <w:lvl w:ilvl="4" w:tplc="08090019" w:tentative="1">
      <w:start w:val="1"/>
      <w:numFmt w:val="lowerLetter"/>
      <w:lvlText w:val="%5."/>
      <w:lvlJc w:val="left"/>
      <w:pPr>
        <w:ind w:left="1963" w:hanging="360"/>
      </w:pPr>
    </w:lvl>
    <w:lvl w:ilvl="5" w:tplc="0809001B" w:tentative="1">
      <w:start w:val="1"/>
      <w:numFmt w:val="lowerRoman"/>
      <w:lvlText w:val="%6."/>
      <w:lvlJc w:val="right"/>
      <w:pPr>
        <w:ind w:left="2683" w:hanging="180"/>
      </w:pPr>
    </w:lvl>
    <w:lvl w:ilvl="6" w:tplc="0809000F" w:tentative="1">
      <w:start w:val="1"/>
      <w:numFmt w:val="decimal"/>
      <w:lvlText w:val="%7."/>
      <w:lvlJc w:val="left"/>
      <w:pPr>
        <w:ind w:left="3403" w:hanging="360"/>
      </w:pPr>
    </w:lvl>
    <w:lvl w:ilvl="7" w:tplc="08090019" w:tentative="1">
      <w:start w:val="1"/>
      <w:numFmt w:val="lowerLetter"/>
      <w:lvlText w:val="%8."/>
      <w:lvlJc w:val="left"/>
      <w:pPr>
        <w:ind w:left="4123" w:hanging="360"/>
      </w:pPr>
    </w:lvl>
    <w:lvl w:ilvl="8" w:tplc="0809001B" w:tentative="1">
      <w:start w:val="1"/>
      <w:numFmt w:val="lowerRoman"/>
      <w:lvlText w:val="%9."/>
      <w:lvlJc w:val="right"/>
      <w:pPr>
        <w:ind w:left="4843" w:hanging="180"/>
      </w:pPr>
    </w:lvl>
  </w:abstractNum>
  <w:abstractNum w:abstractNumId="30">
    <w:nsid w:val="40CF0881"/>
    <w:multiLevelType w:val="hybridMultilevel"/>
    <w:tmpl w:val="F88460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18D109C"/>
    <w:multiLevelType w:val="hybridMultilevel"/>
    <w:tmpl w:val="D9D2F0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45B6093F"/>
    <w:multiLevelType w:val="hybridMultilevel"/>
    <w:tmpl w:val="1C6474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6417ACA"/>
    <w:multiLevelType w:val="hybridMultilevel"/>
    <w:tmpl w:val="DA6A9092"/>
    <w:lvl w:ilvl="0" w:tplc="776E51F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6A13F26"/>
    <w:multiLevelType w:val="hybridMultilevel"/>
    <w:tmpl w:val="216C8B5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9271412"/>
    <w:multiLevelType w:val="hybridMultilevel"/>
    <w:tmpl w:val="B9F21EB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nsid w:val="495F16AE"/>
    <w:multiLevelType w:val="hybridMultilevel"/>
    <w:tmpl w:val="9C701C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A7C2D5E"/>
    <w:multiLevelType w:val="hybridMultilevel"/>
    <w:tmpl w:val="57327A5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nsid w:val="4C843A43"/>
    <w:multiLevelType w:val="hybridMultilevel"/>
    <w:tmpl w:val="E1FAC6D2"/>
    <w:lvl w:ilvl="0" w:tplc="DACC7EE0">
      <w:start w:val="5"/>
      <w:numFmt w:val="bullet"/>
      <w:lvlText w:val="-"/>
      <w:lvlJc w:val="left"/>
      <w:pPr>
        <w:ind w:left="720" w:hanging="360"/>
      </w:pPr>
      <w:rPr>
        <w:rFonts w:ascii="'arial','sans-serif'" w:eastAsia="'arial','sans-serif'" w:hAnsi="'arial','sans-serif'" w:cs="'arial','sans-serif'"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8F57848"/>
    <w:multiLevelType w:val="hybridMultilevel"/>
    <w:tmpl w:val="716842F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5A0C3ABC"/>
    <w:multiLevelType w:val="hybridMultilevel"/>
    <w:tmpl w:val="0CFED1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A745A42"/>
    <w:multiLevelType w:val="hybridMultilevel"/>
    <w:tmpl w:val="AA446D14"/>
    <w:lvl w:ilvl="0" w:tplc="34307982">
      <w:start w:val="1"/>
      <w:numFmt w:val="bullet"/>
      <w:lvlText w:val=""/>
      <w:lvlJc w:val="left"/>
      <w:pPr>
        <w:tabs>
          <w:tab w:val="num" w:pos="720"/>
        </w:tabs>
        <w:ind w:left="720" w:hanging="360"/>
      </w:pPr>
      <w:rPr>
        <w:rFonts w:ascii="Wingdings" w:hAnsi="Wingdings" w:hint="default"/>
      </w:rPr>
    </w:lvl>
    <w:lvl w:ilvl="1" w:tplc="F7646304" w:tentative="1">
      <w:start w:val="1"/>
      <w:numFmt w:val="bullet"/>
      <w:lvlText w:val=""/>
      <w:lvlJc w:val="left"/>
      <w:pPr>
        <w:tabs>
          <w:tab w:val="num" w:pos="1440"/>
        </w:tabs>
        <w:ind w:left="1440" w:hanging="360"/>
      </w:pPr>
      <w:rPr>
        <w:rFonts w:ascii="Wingdings" w:hAnsi="Wingdings" w:hint="default"/>
      </w:rPr>
    </w:lvl>
    <w:lvl w:ilvl="2" w:tplc="1FF201CE" w:tentative="1">
      <w:start w:val="1"/>
      <w:numFmt w:val="bullet"/>
      <w:lvlText w:val=""/>
      <w:lvlJc w:val="left"/>
      <w:pPr>
        <w:tabs>
          <w:tab w:val="num" w:pos="2160"/>
        </w:tabs>
        <w:ind w:left="2160" w:hanging="360"/>
      </w:pPr>
      <w:rPr>
        <w:rFonts w:ascii="Wingdings" w:hAnsi="Wingdings" w:hint="default"/>
      </w:rPr>
    </w:lvl>
    <w:lvl w:ilvl="3" w:tplc="BCE2A640" w:tentative="1">
      <w:start w:val="1"/>
      <w:numFmt w:val="bullet"/>
      <w:lvlText w:val=""/>
      <w:lvlJc w:val="left"/>
      <w:pPr>
        <w:tabs>
          <w:tab w:val="num" w:pos="2880"/>
        </w:tabs>
        <w:ind w:left="2880" w:hanging="360"/>
      </w:pPr>
      <w:rPr>
        <w:rFonts w:ascii="Wingdings" w:hAnsi="Wingdings" w:hint="default"/>
      </w:rPr>
    </w:lvl>
    <w:lvl w:ilvl="4" w:tplc="6CFA1C82" w:tentative="1">
      <w:start w:val="1"/>
      <w:numFmt w:val="bullet"/>
      <w:lvlText w:val=""/>
      <w:lvlJc w:val="left"/>
      <w:pPr>
        <w:tabs>
          <w:tab w:val="num" w:pos="3600"/>
        </w:tabs>
        <w:ind w:left="3600" w:hanging="360"/>
      </w:pPr>
      <w:rPr>
        <w:rFonts w:ascii="Wingdings" w:hAnsi="Wingdings" w:hint="default"/>
      </w:rPr>
    </w:lvl>
    <w:lvl w:ilvl="5" w:tplc="FA58A84C" w:tentative="1">
      <w:start w:val="1"/>
      <w:numFmt w:val="bullet"/>
      <w:lvlText w:val=""/>
      <w:lvlJc w:val="left"/>
      <w:pPr>
        <w:tabs>
          <w:tab w:val="num" w:pos="4320"/>
        </w:tabs>
        <w:ind w:left="4320" w:hanging="360"/>
      </w:pPr>
      <w:rPr>
        <w:rFonts w:ascii="Wingdings" w:hAnsi="Wingdings" w:hint="default"/>
      </w:rPr>
    </w:lvl>
    <w:lvl w:ilvl="6" w:tplc="1DBAE3C2" w:tentative="1">
      <w:start w:val="1"/>
      <w:numFmt w:val="bullet"/>
      <w:lvlText w:val=""/>
      <w:lvlJc w:val="left"/>
      <w:pPr>
        <w:tabs>
          <w:tab w:val="num" w:pos="5040"/>
        </w:tabs>
        <w:ind w:left="5040" w:hanging="360"/>
      </w:pPr>
      <w:rPr>
        <w:rFonts w:ascii="Wingdings" w:hAnsi="Wingdings" w:hint="default"/>
      </w:rPr>
    </w:lvl>
    <w:lvl w:ilvl="7" w:tplc="14A8E822" w:tentative="1">
      <w:start w:val="1"/>
      <w:numFmt w:val="bullet"/>
      <w:lvlText w:val=""/>
      <w:lvlJc w:val="left"/>
      <w:pPr>
        <w:tabs>
          <w:tab w:val="num" w:pos="5760"/>
        </w:tabs>
        <w:ind w:left="5760" w:hanging="360"/>
      </w:pPr>
      <w:rPr>
        <w:rFonts w:ascii="Wingdings" w:hAnsi="Wingdings" w:hint="default"/>
      </w:rPr>
    </w:lvl>
    <w:lvl w:ilvl="8" w:tplc="FB163C90" w:tentative="1">
      <w:start w:val="1"/>
      <w:numFmt w:val="bullet"/>
      <w:lvlText w:val=""/>
      <w:lvlJc w:val="left"/>
      <w:pPr>
        <w:tabs>
          <w:tab w:val="num" w:pos="6480"/>
        </w:tabs>
        <w:ind w:left="6480" w:hanging="360"/>
      </w:pPr>
      <w:rPr>
        <w:rFonts w:ascii="Wingdings" w:hAnsi="Wingdings" w:hint="default"/>
      </w:rPr>
    </w:lvl>
  </w:abstractNum>
  <w:abstractNum w:abstractNumId="42">
    <w:nsid w:val="5DA30519"/>
    <w:multiLevelType w:val="hybridMultilevel"/>
    <w:tmpl w:val="6FE634C6"/>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43">
    <w:nsid w:val="5DBF2A22"/>
    <w:multiLevelType w:val="hybridMultilevel"/>
    <w:tmpl w:val="12A8FA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F0A52C9"/>
    <w:multiLevelType w:val="hybridMultilevel"/>
    <w:tmpl w:val="701C3B00"/>
    <w:lvl w:ilvl="0" w:tplc="FC46941E">
      <w:start w:val="1"/>
      <w:numFmt w:val="lowerLetter"/>
      <w:pStyle w:val="ListParagraph"/>
      <w:lvlText w:val="%1)"/>
      <w:lvlJc w:val="left"/>
      <w:pPr>
        <w:ind w:left="720" w:hanging="360"/>
      </w:pPr>
      <w:rPr>
        <w:rFonts w:ascii="Calibri" w:eastAsia="Times New Roman" w:hAnsi="Calibri" w:cs="Calibri"/>
        <w:color w:val="008080"/>
      </w:rPr>
    </w:lvl>
    <w:lvl w:ilvl="1" w:tplc="08090017">
      <w:start w:val="1"/>
      <w:numFmt w:val="lowerLetter"/>
      <w:lvlText w:val="%2)"/>
      <w:lvlJc w:val="left"/>
      <w:pPr>
        <w:ind w:left="2412" w:hanging="1332"/>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FDF356C"/>
    <w:multiLevelType w:val="hybridMultilevel"/>
    <w:tmpl w:val="E0EEA890"/>
    <w:lvl w:ilvl="0" w:tplc="C65E82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6627352E"/>
    <w:multiLevelType w:val="hybridMultilevel"/>
    <w:tmpl w:val="7DF0EB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B8C280F"/>
    <w:multiLevelType w:val="hybridMultilevel"/>
    <w:tmpl w:val="D9E828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D7C76C8"/>
    <w:multiLevelType w:val="multilevel"/>
    <w:tmpl w:val="40B6F186"/>
    <w:lvl w:ilvl="0">
      <w:start w:val="1"/>
      <w:numFmt w:val="decimal"/>
      <w:pStyle w:val="StyleTitre1ArialNarrow"/>
      <w:lvlText w:val="%1."/>
      <w:lvlJc w:val="left"/>
      <w:pPr>
        <w:tabs>
          <w:tab w:val="num" w:pos="360"/>
        </w:tabs>
        <w:ind w:left="360" w:hanging="360"/>
      </w:pPr>
    </w:lvl>
    <w:lvl w:ilvl="1">
      <w:numFmt w:val="none"/>
      <w:pStyle w:val="StyleTitre2ArialNarrow"/>
      <w:lvlText w:val=""/>
      <w:lvlJc w:val="left"/>
      <w:pPr>
        <w:tabs>
          <w:tab w:val="num" w:pos="360"/>
        </w:tabs>
      </w:pPr>
    </w:lvl>
    <w:lvl w:ilvl="2">
      <w:start w:val="1"/>
      <w:numFmt w:val="decimal"/>
      <w:pStyle w:val="StyleTitre3ArialNarrow"/>
      <w:lvlText w:val="%1.%2.%3."/>
      <w:lvlJc w:val="left"/>
      <w:pPr>
        <w:tabs>
          <w:tab w:val="num" w:pos="1440"/>
        </w:tabs>
        <w:ind w:left="1224" w:hanging="504"/>
      </w:pPr>
    </w:lvl>
    <w:lvl w:ilvl="3">
      <w:start w:val="1"/>
      <w:numFmt w:val="decimal"/>
      <w:pStyle w:val="StyleTitre4ArialNarrow"/>
      <w:lvlText w:val="%1.%2.%3.%4."/>
      <w:lvlJc w:val="left"/>
      <w:pPr>
        <w:tabs>
          <w:tab w:val="num" w:pos="1800"/>
        </w:tabs>
        <w:ind w:left="1728" w:hanging="648"/>
      </w:pPr>
    </w:lvl>
    <w:lvl w:ilvl="4">
      <w:start w:val="1"/>
      <w:numFmt w:val="decimal"/>
      <w:pStyle w:val="StyleTitre5ArialNarrow"/>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nsid w:val="7004144E"/>
    <w:multiLevelType w:val="hybridMultilevel"/>
    <w:tmpl w:val="5F722704"/>
    <w:lvl w:ilvl="0" w:tplc="DACC7EE0">
      <w:start w:val="5"/>
      <w:numFmt w:val="bullet"/>
      <w:lvlText w:val="-"/>
      <w:lvlJc w:val="left"/>
      <w:pPr>
        <w:ind w:left="720" w:hanging="360"/>
      </w:pPr>
      <w:rPr>
        <w:rFonts w:ascii="'arial','sans-serif'" w:eastAsia="'arial','sans-serif'" w:hAnsi="'arial','sans-serif'" w:cs="'arial','sans-serif'"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3DF7AE8"/>
    <w:multiLevelType w:val="hybridMultilevel"/>
    <w:tmpl w:val="1C5A1C2E"/>
    <w:lvl w:ilvl="0" w:tplc="08090005">
      <w:start w:val="1"/>
      <w:numFmt w:val="decimal"/>
      <w:lvlText w:val="%1."/>
      <w:lvlJc w:val="left"/>
      <w:pPr>
        <w:ind w:left="644" w:hanging="360"/>
      </w:pPr>
      <w:rPr>
        <w:rFonts w:hint="default"/>
      </w:rPr>
    </w:lvl>
    <w:lvl w:ilvl="1" w:tplc="08090019">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53543BD"/>
    <w:multiLevelType w:val="hybridMultilevel"/>
    <w:tmpl w:val="DBE46404"/>
    <w:lvl w:ilvl="0" w:tplc="776E51F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61720C8"/>
    <w:multiLevelType w:val="hybridMultilevel"/>
    <w:tmpl w:val="529CC3D2"/>
    <w:lvl w:ilvl="0" w:tplc="FF6C6DE8">
      <w:start w:val="1"/>
      <w:numFmt w:val="decimal"/>
      <w:lvlText w:val="%1."/>
      <w:lvlJc w:val="left"/>
      <w:pPr>
        <w:ind w:left="-1080" w:hanging="360"/>
      </w:pPr>
      <w:rPr>
        <w:rFonts w:ascii="Calibri" w:hAnsi="Calibri" w:hint="default"/>
        <w:b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53">
    <w:nsid w:val="78AC2F12"/>
    <w:multiLevelType w:val="hybridMultilevel"/>
    <w:tmpl w:val="26A4E998"/>
    <w:lvl w:ilvl="0" w:tplc="040C0015">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
    <w:nsid w:val="7B0F4806"/>
    <w:multiLevelType w:val="hybridMultilevel"/>
    <w:tmpl w:val="BCBE5C2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7BF542FB"/>
    <w:multiLevelType w:val="hybridMultilevel"/>
    <w:tmpl w:val="2E20CC8A"/>
    <w:lvl w:ilvl="0" w:tplc="448E4D76">
      <w:start w:val="1"/>
      <w:numFmt w:val="bullet"/>
      <w:lvlText w:val="-"/>
      <w:lvlJc w:val="left"/>
      <w:pPr>
        <w:ind w:left="720" w:hanging="360"/>
      </w:pPr>
      <w:rPr>
        <w:rFonts w:ascii="Arial Narrow" w:eastAsia="Calibri" w:hAnsi="Arial Narrow"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54"/>
  </w:num>
  <w:num w:numId="3">
    <w:abstractNumId w:val="2"/>
  </w:num>
  <w:num w:numId="4">
    <w:abstractNumId w:val="44"/>
  </w:num>
  <w:num w:numId="5">
    <w:abstractNumId w:val="14"/>
  </w:num>
  <w:num w:numId="6">
    <w:abstractNumId w:val="52"/>
  </w:num>
  <w:num w:numId="7">
    <w:abstractNumId w:val="42"/>
  </w:num>
  <w:num w:numId="8">
    <w:abstractNumId w:val="21"/>
  </w:num>
  <w:num w:numId="9">
    <w:abstractNumId w:val="46"/>
  </w:num>
  <w:num w:numId="10">
    <w:abstractNumId w:val="19"/>
  </w:num>
  <w:num w:numId="11">
    <w:abstractNumId w:val="29"/>
  </w:num>
  <w:num w:numId="12">
    <w:abstractNumId w:val="38"/>
  </w:num>
  <w:num w:numId="13">
    <w:abstractNumId w:val="10"/>
  </w:num>
  <w:num w:numId="14">
    <w:abstractNumId w:val="24"/>
  </w:num>
  <w:num w:numId="15">
    <w:abstractNumId w:val="37"/>
  </w:num>
  <w:num w:numId="16">
    <w:abstractNumId w:val="20"/>
  </w:num>
  <w:num w:numId="17">
    <w:abstractNumId w:val="0"/>
  </w:num>
  <w:num w:numId="18">
    <w:abstractNumId w:val="53"/>
  </w:num>
  <w:num w:numId="19">
    <w:abstractNumId w:val="12"/>
  </w:num>
  <w:num w:numId="20">
    <w:abstractNumId w:val="31"/>
  </w:num>
  <w:num w:numId="21">
    <w:abstractNumId w:val="50"/>
  </w:num>
  <w:num w:numId="22">
    <w:abstractNumId w:val="48"/>
  </w:num>
  <w:num w:numId="23">
    <w:abstractNumId w:val="45"/>
  </w:num>
  <w:num w:numId="24">
    <w:abstractNumId w:val="4"/>
  </w:num>
  <w:num w:numId="25">
    <w:abstractNumId w:val="39"/>
  </w:num>
  <w:num w:numId="26">
    <w:abstractNumId w:val="36"/>
  </w:num>
  <w:num w:numId="27">
    <w:abstractNumId w:val="32"/>
  </w:num>
  <w:num w:numId="28">
    <w:abstractNumId w:val="43"/>
  </w:num>
  <w:num w:numId="29">
    <w:abstractNumId w:val="8"/>
  </w:num>
  <w:num w:numId="30">
    <w:abstractNumId w:val="35"/>
  </w:num>
  <w:num w:numId="31">
    <w:abstractNumId w:val="3"/>
  </w:num>
  <w:num w:numId="32">
    <w:abstractNumId w:val="41"/>
  </w:num>
  <w:num w:numId="33">
    <w:abstractNumId w:val="16"/>
  </w:num>
  <w:num w:numId="34">
    <w:abstractNumId w:val="30"/>
  </w:num>
  <w:num w:numId="35">
    <w:abstractNumId w:val="23"/>
  </w:num>
  <w:num w:numId="36">
    <w:abstractNumId w:val="25"/>
  </w:num>
  <w:num w:numId="37">
    <w:abstractNumId w:val="49"/>
  </w:num>
  <w:num w:numId="38">
    <w:abstractNumId w:val="17"/>
  </w:num>
  <w:num w:numId="39">
    <w:abstractNumId w:val="13"/>
  </w:num>
  <w:num w:numId="40">
    <w:abstractNumId w:val="9"/>
  </w:num>
  <w:num w:numId="41">
    <w:abstractNumId w:val="22"/>
  </w:num>
  <w:num w:numId="42">
    <w:abstractNumId w:val="6"/>
  </w:num>
  <w:num w:numId="43">
    <w:abstractNumId w:val="28"/>
  </w:num>
  <w:num w:numId="44">
    <w:abstractNumId w:val="47"/>
  </w:num>
  <w:num w:numId="45">
    <w:abstractNumId w:val="51"/>
  </w:num>
  <w:num w:numId="46">
    <w:abstractNumId w:val="40"/>
  </w:num>
  <w:num w:numId="47">
    <w:abstractNumId w:val="33"/>
  </w:num>
  <w:num w:numId="48">
    <w:abstractNumId w:val="44"/>
    <w:lvlOverride w:ilvl="0">
      <w:startOverride w:val="1"/>
    </w:lvlOverride>
  </w:num>
  <w:num w:numId="49">
    <w:abstractNumId w:val="15"/>
  </w:num>
  <w:num w:numId="50">
    <w:abstractNumId w:val="11"/>
  </w:num>
  <w:num w:numId="51">
    <w:abstractNumId w:val="55"/>
  </w:num>
  <w:num w:numId="52">
    <w:abstractNumId w:val="27"/>
  </w:num>
  <w:num w:numId="53">
    <w:abstractNumId w:val="26"/>
  </w:num>
  <w:num w:numId="54">
    <w:abstractNumId w:val="7"/>
  </w:num>
  <w:num w:numId="55">
    <w:abstractNumId w:val="18"/>
  </w:num>
  <w:num w:numId="56">
    <w:abstractNumId w:val="5"/>
  </w:num>
  <w:num w:numId="57">
    <w:abstractNumId w:val="4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5"/>
  <w:hideSpellingErrors/>
  <w:hideGrammaticalErrors/>
  <w:proofState w:spelling="clean"/>
  <w:documentProtection w:edit="forms" w:enforcement="0"/>
  <w:defaultTabStop w:val="720"/>
  <w:hyphenationZone w:val="425"/>
  <w:doNotHyphenateCaps/>
  <w:drawingGridHorizontalSpacing w:val="181"/>
  <w:drawingGridVerticalSpacing w:val="181"/>
  <w:characterSpacingControl w:val="doNotCompress"/>
  <w:hdrShapeDefaults>
    <o:shapedefaults v:ext="edit" spidmax="2049" style="mso-width-relative:margin;mso-height-relative:margin" fillcolor="white" strokecolor="#c2d69b">
      <v:fill color="white" color2="#d6e3bc" focusposition="1" focussize="" focus="100%" type="gradient"/>
      <v:stroke color="#c2d69b" weight="1pt"/>
      <v:shadow on="t" type="perspective" color="#4e6128" opacity=".5" offset="1pt" offset2="-3pt"/>
      <o:colormru v:ext="edit" colors="#00646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8BF"/>
    <w:rsid w:val="00000393"/>
    <w:rsid w:val="00002153"/>
    <w:rsid w:val="0000299E"/>
    <w:rsid w:val="000029AA"/>
    <w:rsid w:val="00002D45"/>
    <w:rsid w:val="000045A4"/>
    <w:rsid w:val="000046AB"/>
    <w:rsid w:val="00005F66"/>
    <w:rsid w:val="00006807"/>
    <w:rsid w:val="000109E8"/>
    <w:rsid w:val="00012365"/>
    <w:rsid w:val="00012680"/>
    <w:rsid w:val="000130C3"/>
    <w:rsid w:val="0001318F"/>
    <w:rsid w:val="0001418F"/>
    <w:rsid w:val="00014A84"/>
    <w:rsid w:val="00014D86"/>
    <w:rsid w:val="00015865"/>
    <w:rsid w:val="00015E93"/>
    <w:rsid w:val="00016386"/>
    <w:rsid w:val="00016A6E"/>
    <w:rsid w:val="00016BD1"/>
    <w:rsid w:val="00016F42"/>
    <w:rsid w:val="00017118"/>
    <w:rsid w:val="000201DA"/>
    <w:rsid w:val="00020515"/>
    <w:rsid w:val="00020D8F"/>
    <w:rsid w:val="00023276"/>
    <w:rsid w:val="000239C0"/>
    <w:rsid w:val="00023BBF"/>
    <w:rsid w:val="000269D4"/>
    <w:rsid w:val="00026ADB"/>
    <w:rsid w:val="00027914"/>
    <w:rsid w:val="00030994"/>
    <w:rsid w:val="00031622"/>
    <w:rsid w:val="0003219D"/>
    <w:rsid w:val="00032C87"/>
    <w:rsid w:val="0003394A"/>
    <w:rsid w:val="00033D27"/>
    <w:rsid w:val="00035D0A"/>
    <w:rsid w:val="00035E61"/>
    <w:rsid w:val="000366C7"/>
    <w:rsid w:val="00037475"/>
    <w:rsid w:val="00040203"/>
    <w:rsid w:val="0004081F"/>
    <w:rsid w:val="00040BA2"/>
    <w:rsid w:val="00040E17"/>
    <w:rsid w:val="00040FA3"/>
    <w:rsid w:val="000413F9"/>
    <w:rsid w:val="0004286F"/>
    <w:rsid w:val="000442F9"/>
    <w:rsid w:val="000456E1"/>
    <w:rsid w:val="0004604B"/>
    <w:rsid w:val="00046420"/>
    <w:rsid w:val="00046446"/>
    <w:rsid w:val="00047A02"/>
    <w:rsid w:val="00047C3D"/>
    <w:rsid w:val="00047D62"/>
    <w:rsid w:val="00050A10"/>
    <w:rsid w:val="000511FC"/>
    <w:rsid w:val="00051CB6"/>
    <w:rsid w:val="00052673"/>
    <w:rsid w:val="00056B5C"/>
    <w:rsid w:val="000570DE"/>
    <w:rsid w:val="0005756B"/>
    <w:rsid w:val="000609CD"/>
    <w:rsid w:val="00060EFE"/>
    <w:rsid w:val="00061187"/>
    <w:rsid w:val="0006171B"/>
    <w:rsid w:val="00061885"/>
    <w:rsid w:val="000619CA"/>
    <w:rsid w:val="00062333"/>
    <w:rsid w:val="00062419"/>
    <w:rsid w:val="0006299C"/>
    <w:rsid w:val="00062BAE"/>
    <w:rsid w:val="00063C1F"/>
    <w:rsid w:val="00064510"/>
    <w:rsid w:val="000658E7"/>
    <w:rsid w:val="00066B44"/>
    <w:rsid w:val="00066BD4"/>
    <w:rsid w:val="00070A34"/>
    <w:rsid w:val="000710CD"/>
    <w:rsid w:val="00072283"/>
    <w:rsid w:val="0007342B"/>
    <w:rsid w:val="00073458"/>
    <w:rsid w:val="000740BB"/>
    <w:rsid w:val="000747FC"/>
    <w:rsid w:val="00074988"/>
    <w:rsid w:val="00075483"/>
    <w:rsid w:val="00075FB2"/>
    <w:rsid w:val="000806C8"/>
    <w:rsid w:val="00080A17"/>
    <w:rsid w:val="00081929"/>
    <w:rsid w:val="00083281"/>
    <w:rsid w:val="00084343"/>
    <w:rsid w:val="000848DD"/>
    <w:rsid w:val="000851F6"/>
    <w:rsid w:val="00086733"/>
    <w:rsid w:val="00086C75"/>
    <w:rsid w:val="00087698"/>
    <w:rsid w:val="000908CF"/>
    <w:rsid w:val="0009228D"/>
    <w:rsid w:val="00094117"/>
    <w:rsid w:val="00094F0B"/>
    <w:rsid w:val="00097433"/>
    <w:rsid w:val="00097BDE"/>
    <w:rsid w:val="000A0073"/>
    <w:rsid w:val="000A0349"/>
    <w:rsid w:val="000A061F"/>
    <w:rsid w:val="000A0ADC"/>
    <w:rsid w:val="000A0B18"/>
    <w:rsid w:val="000A0FF2"/>
    <w:rsid w:val="000A12CE"/>
    <w:rsid w:val="000A1686"/>
    <w:rsid w:val="000A1923"/>
    <w:rsid w:val="000A2F3E"/>
    <w:rsid w:val="000A3436"/>
    <w:rsid w:val="000A397B"/>
    <w:rsid w:val="000A5690"/>
    <w:rsid w:val="000A6274"/>
    <w:rsid w:val="000A6624"/>
    <w:rsid w:val="000A6A02"/>
    <w:rsid w:val="000A7808"/>
    <w:rsid w:val="000A799B"/>
    <w:rsid w:val="000B03C2"/>
    <w:rsid w:val="000B0530"/>
    <w:rsid w:val="000B0977"/>
    <w:rsid w:val="000B128F"/>
    <w:rsid w:val="000B13E0"/>
    <w:rsid w:val="000B1857"/>
    <w:rsid w:val="000B19C0"/>
    <w:rsid w:val="000B2E8F"/>
    <w:rsid w:val="000B2EE7"/>
    <w:rsid w:val="000B33FE"/>
    <w:rsid w:val="000B38B1"/>
    <w:rsid w:val="000B3FC5"/>
    <w:rsid w:val="000B4275"/>
    <w:rsid w:val="000B474D"/>
    <w:rsid w:val="000B4903"/>
    <w:rsid w:val="000B53D5"/>
    <w:rsid w:val="000B650F"/>
    <w:rsid w:val="000B6DA3"/>
    <w:rsid w:val="000C040A"/>
    <w:rsid w:val="000C0CDC"/>
    <w:rsid w:val="000C1277"/>
    <w:rsid w:val="000C14A6"/>
    <w:rsid w:val="000C1700"/>
    <w:rsid w:val="000C30B0"/>
    <w:rsid w:val="000C3FAB"/>
    <w:rsid w:val="000C428E"/>
    <w:rsid w:val="000C4588"/>
    <w:rsid w:val="000C614A"/>
    <w:rsid w:val="000C7B4D"/>
    <w:rsid w:val="000D01D9"/>
    <w:rsid w:val="000D1E9B"/>
    <w:rsid w:val="000D2C87"/>
    <w:rsid w:val="000D3505"/>
    <w:rsid w:val="000D4E3E"/>
    <w:rsid w:val="000D52D3"/>
    <w:rsid w:val="000D6501"/>
    <w:rsid w:val="000D75BB"/>
    <w:rsid w:val="000E23F0"/>
    <w:rsid w:val="000E26C6"/>
    <w:rsid w:val="000E4774"/>
    <w:rsid w:val="000E5330"/>
    <w:rsid w:val="000E5956"/>
    <w:rsid w:val="000E737F"/>
    <w:rsid w:val="000E748F"/>
    <w:rsid w:val="000E7D52"/>
    <w:rsid w:val="000F006D"/>
    <w:rsid w:val="000F0B8C"/>
    <w:rsid w:val="000F2324"/>
    <w:rsid w:val="000F2830"/>
    <w:rsid w:val="000F2D25"/>
    <w:rsid w:val="000F4846"/>
    <w:rsid w:val="000F4F79"/>
    <w:rsid w:val="000F540D"/>
    <w:rsid w:val="000F59A5"/>
    <w:rsid w:val="000F69D3"/>
    <w:rsid w:val="000F6EE8"/>
    <w:rsid w:val="000F710A"/>
    <w:rsid w:val="0010029C"/>
    <w:rsid w:val="0010044D"/>
    <w:rsid w:val="00101812"/>
    <w:rsid w:val="00102B91"/>
    <w:rsid w:val="00104D6E"/>
    <w:rsid w:val="00105222"/>
    <w:rsid w:val="001100B2"/>
    <w:rsid w:val="001109B1"/>
    <w:rsid w:val="00110C6E"/>
    <w:rsid w:val="001113DA"/>
    <w:rsid w:val="00112132"/>
    <w:rsid w:val="0011267D"/>
    <w:rsid w:val="00112B03"/>
    <w:rsid w:val="00116D59"/>
    <w:rsid w:val="001179AD"/>
    <w:rsid w:val="00117C6B"/>
    <w:rsid w:val="00117FA1"/>
    <w:rsid w:val="00121614"/>
    <w:rsid w:val="00121CB1"/>
    <w:rsid w:val="0012311A"/>
    <w:rsid w:val="00123890"/>
    <w:rsid w:val="00123AF3"/>
    <w:rsid w:val="00124175"/>
    <w:rsid w:val="0012426B"/>
    <w:rsid w:val="001245EE"/>
    <w:rsid w:val="00124602"/>
    <w:rsid w:val="00124A00"/>
    <w:rsid w:val="001253F9"/>
    <w:rsid w:val="001276CC"/>
    <w:rsid w:val="00130FAA"/>
    <w:rsid w:val="0013181F"/>
    <w:rsid w:val="00132842"/>
    <w:rsid w:val="001334C8"/>
    <w:rsid w:val="00134716"/>
    <w:rsid w:val="00135686"/>
    <w:rsid w:val="00135F7B"/>
    <w:rsid w:val="00136962"/>
    <w:rsid w:val="00136B21"/>
    <w:rsid w:val="001378B0"/>
    <w:rsid w:val="001379D2"/>
    <w:rsid w:val="00137AF3"/>
    <w:rsid w:val="0014270D"/>
    <w:rsid w:val="001428E0"/>
    <w:rsid w:val="00143857"/>
    <w:rsid w:val="00144121"/>
    <w:rsid w:val="001442DE"/>
    <w:rsid w:val="00145E1E"/>
    <w:rsid w:val="00146301"/>
    <w:rsid w:val="00147671"/>
    <w:rsid w:val="00147DF9"/>
    <w:rsid w:val="0015000A"/>
    <w:rsid w:val="00151898"/>
    <w:rsid w:val="00152CE1"/>
    <w:rsid w:val="0015411F"/>
    <w:rsid w:val="001554BD"/>
    <w:rsid w:val="00155B50"/>
    <w:rsid w:val="00157C00"/>
    <w:rsid w:val="00157CCC"/>
    <w:rsid w:val="00160473"/>
    <w:rsid w:val="00161256"/>
    <w:rsid w:val="0016134B"/>
    <w:rsid w:val="0016293F"/>
    <w:rsid w:val="00163F27"/>
    <w:rsid w:val="00165E02"/>
    <w:rsid w:val="00167417"/>
    <w:rsid w:val="001674CC"/>
    <w:rsid w:val="00167584"/>
    <w:rsid w:val="001678EA"/>
    <w:rsid w:val="001679EA"/>
    <w:rsid w:val="001705FE"/>
    <w:rsid w:val="001709A3"/>
    <w:rsid w:val="00170C79"/>
    <w:rsid w:val="00171430"/>
    <w:rsid w:val="00171524"/>
    <w:rsid w:val="00171E4F"/>
    <w:rsid w:val="00172A83"/>
    <w:rsid w:val="00175219"/>
    <w:rsid w:val="00180109"/>
    <w:rsid w:val="00181056"/>
    <w:rsid w:val="00181313"/>
    <w:rsid w:val="00181367"/>
    <w:rsid w:val="0018231D"/>
    <w:rsid w:val="00182E86"/>
    <w:rsid w:val="0018516F"/>
    <w:rsid w:val="00185587"/>
    <w:rsid w:val="00185C2E"/>
    <w:rsid w:val="00185D24"/>
    <w:rsid w:val="00186782"/>
    <w:rsid w:val="0018692C"/>
    <w:rsid w:val="00186C22"/>
    <w:rsid w:val="00187DAB"/>
    <w:rsid w:val="00190004"/>
    <w:rsid w:val="00190A75"/>
    <w:rsid w:val="00191488"/>
    <w:rsid w:val="00191CCA"/>
    <w:rsid w:val="00192F6B"/>
    <w:rsid w:val="001936D9"/>
    <w:rsid w:val="001945F0"/>
    <w:rsid w:val="001948DE"/>
    <w:rsid w:val="001958C6"/>
    <w:rsid w:val="00196145"/>
    <w:rsid w:val="001968D3"/>
    <w:rsid w:val="00196B1C"/>
    <w:rsid w:val="001973AB"/>
    <w:rsid w:val="001A00A7"/>
    <w:rsid w:val="001A0D3B"/>
    <w:rsid w:val="001A10CF"/>
    <w:rsid w:val="001A1260"/>
    <w:rsid w:val="001A1C3E"/>
    <w:rsid w:val="001A2958"/>
    <w:rsid w:val="001A3A11"/>
    <w:rsid w:val="001A51FD"/>
    <w:rsid w:val="001A56FD"/>
    <w:rsid w:val="001A660C"/>
    <w:rsid w:val="001A71B9"/>
    <w:rsid w:val="001A7579"/>
    <w:rsid w:val="001A7F45"/>
    <w:rsid w:val="001B2266"/>
    <w:rsid w:val="001B295F"/>
    <w:rsid w:val="001B4290"/>
    <w:rsid w:val="001B4984"/>
    <w:rsid w:val="001B5506"/>
    <w:rsid w:val="001B5B6C"/>
    <w:rsid w:val="001B7394"/>
    <w:rsid w:val="001B745E"/>
    <w:rsid w:val="001C1654"/>
    <w:rsid w:val="001C2245"/>
    <w:rsid w:val="001C27F0"/>
    <w:rsid w:val="001C3032"/>
    <w:rsid w:val="001C5AEE"/>
    <w:rsid w:val="001D1276"/>
    <w:rsid w:val="001D1686"/>
    <w:rsid w:val="001D2387"/>
    <w:rsid w:val="001D2A0A"/>
    <w:rsid w:val="001D350D"/>
    <w:rsid w:val="001D454E"/>
    <w:rsid w:val="001D48CD"/>
    <w:rsid w:val="001D4C0D"/>
    <w:rsid w:val="001D51BE"/>
    <w:rsid w:val="001D5B5D"/>
    <w:rsid w:val="001E00F5"/>
    <w:rsid w:val="001E12B6"/>
    <w:rsid w:val="001E143F"/>
    <w:rsid w:val="001E1BDF"/>
    <w:rsid w:val="001E21D9"/>
    <w:rsid w:val="001E26D5"/>
    <w:rsid w:val="001E280F"/>
    <w:rsid w:val="001E32EB"/>
    <w:rsid w:val="001E32F7"/>
    <w:rsid w:val="001E54A5"/>
    <w:rsid w:val="001F065E"/>
    <w:rsid w:val="001F1AB7"/>
    <w:rsid w:val="001F248A"/>
    <w:rsid w:val="001F3977"/>
    <w:rsid w:val="001F4261"/>
    <w:rsid w:val="001F43FD"/>
    <w:rsid w:val="001F4882"/>
    <w:rsid w:val="001F706C"/>
    <w:rsid w:val="001F71E9"/>
    <w:rsid w:val="001F7665"/>
    <w:rsid w:val="001F7D30"/>
    <w:rsid w:val="00200BF2"/>
    <w:rsid w:val="002010AE"/>
    <w:rsid w:val="00201A02"/>
    <w:rsid w:val="002021FE"/>
    <w:rsid w:val="0020295A"/>
    <w:rsid w:val="00203770"/>
    <w:rsid w:val="00203BD7"/>
    <w:rsid w:val="00203C4D"/>
    <w:rsid w:val="00204176"/>
    <w:rsid w:val="00204333"/>
    <w:rsid w:val="0020459E"/>
    <w:rsid w:val="00204BEC"/>
    <w:rsid w:val="00205B5B"/>
    <w:rsid w:val="002061EC"/>
    <w:rsid w:val="002078D0"/>
    <w:rsid w:val="00210075"/>
    <w:rsid w:val="00210980"/>
    <w:rsid w:val="00211226"/>
    <w:rsid w:val="002115FE"/>
    <w:rsid w:val="002117AB"/>
    <w:rsid w:val="0021247A"/>
    <w:rsid w:val="002131AD"/>
    <w:rsid w:val="00213834"/>
    <w:rsid w:val="00213998"/>
    <w:rsid w:val="00213EA1"/>
    <w:rsid w:val="00213EB8"/>
    <w:rsid w:val="00214918"/>
    <w:rsid w:val="002158B0"/>
    <w:rsid w:val="00215992"/>
    <w:rsid w:val="00215B10"/>
    <w:rsid w:val="00215B2A"/>
    <w:rsid w:val="00217BFE"/>
    <w:rsid w:val="00220445"/>
    <w:rsid w:val="00220D34"/>
    <w:rsid w:val="00221B30"/>
    <w:rsid w:val="00222B41"/>
    <w:rsid w:val="002263A5"/>
    <w:rsid w:val="00226515"/>
    <w:rsid w:val="0022688C"/>
    <w:rsid w:val="00231ECA"/>
    <w:rsid w:val="0023204C"/>
    <w:rsid w:val="002336C3"/>
    <w:rsid w:val="0023501A"/>
    <w:rsid w:val="00235085"/>
    <w:rsid w:val="00235750"/>
    <w:rsid w:val="00235F96"/>
    <w:rsid w:val="0023612F"/>
    <w:rsid w:val="0023679F"/>
    <w:rsid w:val="002379C4"/>
    <w:rsid w:val="00240377"/>
    <w:rsid w:val="00240953"/>
    <w:rsid w:val="00242E2A"/>
    <w:rsid w:val="0024317B"/>
    <w:rsid w:val="00243BE8"/>
    <w:rsid w:val="00244051"/>
    <w:rsid w:val="002441D3"/>
    <w:rsid w:val="00244DD6"/>
    <w:rsid w:val="00245538"/>
    <w:rsid w:val="00245E82"/>
    <w:rsid w:val="00245FE2"/>
    <w:rsid w:val="00247871"/>
    <w:rsid w:val="00247BC2"/>
    <w:rsid w:val="00250A22"/>
    <w:rsid w:val="00251F7E"/>
    <w:rsid w:val="00253368"/>
    <w:rsid w:val="0025354E"/>
    <w:rsid w:val="00253A91"/>
    <w:rsid w:val="002543D2"/>
    <w:rsid w:val="00254C56"/>
    <w:rsid w:val="00255126"/>
    <w:rsid w:val="002559F2"/>
    <w:rsid w:val="00260423"/>
    <w:rsid w:val="00260D57"/>
    <w:rsid w:val="00261A48"/>
    <w:rsid w:val="0026315F"/>
    <w:rsid w:val="002637FF"/>
    <w:rsid w:val="00263D83"/>
    <w:rsid w:val="002658EA"/>
    <w:rsid w:val="00265A36"/>
    <w:rsid w:val="00265B7C"/>
    <w:rsid w:val="00266514"/>
    <w:rsid w:val="002703F9"/>
    <w:rsid w:val="002707B3"/>
    <w:rsid w:val="00271210"/>
    <w:rsid w:val="0027129D"/>
    <w:rsid w:val="00271EEC"/>
    <w:rsid w:val="002722C0"/>
    <w:rsid w:val="002724DA"/>
    <w:rsid w:val="00272EF8"/>
    <w:rsid w:val="0027487B"/>
    <w:rsid w:val="00274B66"/>
    <w:rsid w:val="002753ED"/>
    <w:rsid w:val="00275641"/>
    <w:rsid w:val="00275C29"/>
    <w:rsid w:val="00276010"/>
    <w:rsid w:val="00276A58"/>
    <w:rsid w:val="00276E97"/>
    <w:rsid w:val="00280209"/>
    <w:rsid w:val="002804DE"/>
    <w:rsid w:val="00280DBE"/>
    <w:rsid w:val="002815AB"/>
    <w:rsid w:val="002827AC"/>
    <w:rsid w:val="00282DB2"/>
    <w:rsid w:val="0028441E"/>
    <w:rsid w:val="00287021"/>
    <w:rsid w:val="00290AD6"/>
    <w:rsid w:val="00290DC1"/>
    <w:rsid w:val="00293C5C"/>
    <w:rsid w:val="00295868"/>
    <w:rsid w:val="002A018A"/>
    <w:rsid w:val="002A0D07"/>
    <w:rsid w:val="002A1005"/>
    <w:rsid w:val="002A177A"/>
    <w:rsid w:val="002A375E"/>
    <w:rsid w:val="002A7792"/>
    <w:rsid w:val="002B0F02"/>
    <w:rsid w:val="002B0FED"/>
    <w:rsid w:val="002B2972"/>
    <w:rsid w:val="002B2FB0"/>
    <w:rsid w:val="002B3440"/>
    <w:rsid w:val="002B3525"/>
    <w:rsid w:val="002B382C"/>
    <w:rsid w:val="002B4708"/>
    <w:rsid w:val="002B474D"/>
    <w:rsid w:val="002B49CE"/>
    <w:rsid w:val="002B4DC4"/>
    <w:rsid w:val="002B4EBF"/>
    <w:rsid w:val="002B5C67"/>
    <w:rsid w:val="002B7BFA"/>
    <w:rsid w:val="002C0B42"/>
    <w:rsid w:val="002C124B"/>
    <w:rsid w:val="002C26A5"/>
    <w:rsid w:val="002C2BFE"/>
    <w:rsid w:val="002C2C80"/>
    <w:rsid w:val="002C436F"/>
    <w:rsid w:val="002C58A8"/>
    <w:rsid w:val="002C774A"/>
    <w:rsid w:val="002D0542"/>
    <w:rsid w:val="002D1542"/>
    <w:rsid w:val="002D1597"/>
    <w:rsid w:val="002D1D1A"/>
    <w:rsid w:val="002D222F"/>
    <w:rsid w:val="002D24C2"/>
    <w:rsid w:val="002D24E7"/>
    <w:rsid w:val="002D2A5A"/>
    <w:rsid w:val="002D336A"/>
    <w:rsid w:val="002D3C6A"/>
    <w:rsid w:val="002D6874"/>
    <w:rsid w:val="002D6FC5"/>
    <w:rsid w:val="002E06DF"/>
    <w:rsid w:val="002E0BCB"/>
    <w:rsid w:val="002E0BF8"/>
    <w:rsid w:val="002E202D"/>
    <w:rsid w:val="002E261A"/>
    <w:rsid w:val="002E2764"/>
    <w:rsid w:val="002E2F84"/>
    <w:rsid w:val="002E34D2"/>
    <w:rsid w:val="002E44FA"/>
    <w:rsid w:val="002E4647"/>
    <w:rsid w:val="002E47E9"/>
    <w:rsid w:val="002E63C1"/>
    <w:rsid w:val="002E6ADF"/>
    <w:rsid w:val="002E7BA6"/>
    <w:rsid w:val="002F10F1"/>
    <w:rsid w:val="002F291B"/>
    <w:rsid w:val="002F29BF"/>
    <w:rsid w:val="002F4655"/>
    <w:rsid w:val="002F56FD"/>
    <w:rsid w:val="002F6449"/>
    <w:rsid w:val="002F6996"/>
    <w:rsid w:val="00300034"/>
    <w:rsid w:val="003010DC"/>
    <w:rsid w:val="003016E2"/>
    <w:rsid w:val="00301ACA"/>
    <w:rsid w:val="003023DD"/>
    <w:rsid w:val="00302591"/>
    <w:rsid w:val="00302BB7"/>
    <w:rsid w:val="00303AB4"/>
    <w:rsid w:val="003041E6"/>
    <w:rsid w:val="0030469B"/>
    <w:rsid w:val="0030520B"/>
    <w:rsid w:val="00306D56"/>
    <w:rsid w:val="003077DB"/>
    <w:rsid w:val="00307C5D"/>
    <w:rsid w:val="003106DF"/>
    <w:rsid w:val="003128BC"/>
    <w:rsid w:val="00312ADD"/>
    <w:rsid w:val="0031328A"/>
    <w:rsid w:val="003141AA"/>
    <w:rsid w:val="00314607"/>
    <w:rsid w:val="00314883"/>
    <w:rsid w:val="00314F37"/>
    <w:rsid w:val="00320B59"/>
    <w:rsid w:val="00321326"/>
    <w:rsid w:val="00321B2E"/>
    <w:rsid w:val="00321C30"/>
    <w:rsid w:val="0032222E"/>
    <w:rsid w:val="00322449"/>
    <w:rsid w:val="003224F8"/>
    <w:rsid w:val="003250E3"/>
    <w:rsid w:val="00326A38"/>
    <w:rsid w:val="00327B27"/>
    <w:rsid w:val="00327C28"/>
    <w:rsid w:val="003300C5"/>
    <w:rsid w:val="003317FB"/>
    <w:rsid w:val="00331813"/>
    <w:rsid w:val="003344A6"/>
    <w:rsid w:val="00335914"/>
    <w:rsid w:val="0033677C"/>
    <w:rsid w:val="003370D7"/>
    <w:rsid w:val="00337FBD"/>
    <w:rsid w:val="003410C0"/>
    <w:rsid w:val="0034403B"/>
    <w:rsid w:val="00344639"/>
    <w:rsid w:val="00346785"/>
    <w:rsid w:val="00346BC1"/>
    <w:rsid w:val="0034765F"/>
    <w:rsid w:val="0035001F"/>
    <w:rsid w:val="00351361"/>
    <w:rsid w:val="003518A2"/>
    <w:rsid w:val="003531BB"/>
    <w:rsid w:val="003545EE"/>
    <w:rsid w:val="00354BD0"/>
    <w:rsid w:val="00355A73"/>
    <w:rsid w:val="00357AA3"/>
    <w:rsid w:val="00360915"/>
    <w:rsid w:val="00361C9D"/>
    <w:rsid w:val="00362346"/>
    <w:rsid w:val="00363F65"/>
    <w:rsid w:val="0036490D"/>
    <w:rsid w:val="00364E43"/>
    <w:rsid w:val="00365A88"/>
    <w:rsid w:val="00366674"/>
    <w:rsid w:val="0037050E"/>
    <w:rsid w:val="0037057B"/>
    <w:rsid w:val="0037146A"/>
    <w:rsid w:val="003731CF"/>
    <w:rsid w:val="00373553"/>
    <w:rsid w:val="00374BEC"/>
    <w:rsid w:val="003755EB"/>
    <w:rsid w:val="003760CC"/>
    <w:rsid w:val="003761E0"/>
    <w:rsid w:val="00376DD7"/>
    <w:rsid w:val="0037767B"/>
    <w:rsid w:val="0037784C"/>
    <w:rsid w:val="00377866"/>
    <w:rsid w:val="0038093F"/>
    <w:rsid w:val="00380DB7"/>
    <w:rsid w:val="0038157F"/>
    <w:rsid w:val="0038171A"/>
    <w:rsid w:val="00381EDE"/>
    <w:rsid w:val="00383468"/>
    <w:rsid w:val="00383938"/>
    <w:rsid w:val="00383944"/>
    <w:rsid w:val="00384BA7"/>
    <w:rsid w:val="00385181"/>
    <w:rsid w:val="003856D2"/>
    <w:rsid w:val="00385E19"/>
    <w:rsid w:val="003869E2"/>
    <w:rsid w:val="00386BDD"/>
    <w:rsid w:val="00387AD4"/>
    <w:rsid w:val="00391785"/>
    <w:rsid w:val="00391DB5"/>
    <w:rsid w:val="003926A8"/>
    <w:rsid w:val="00392C1B"/>
    <w:rsid w:val="00392C9C"/>
    <w:rsid w:val="00393265"/>
    <w:rsid w:val="003964DA"/>
    <w:rsid w:val="00396DD1"/>
    <w:rsid w:val="00397BCD"/>
    <w:rsid w:val="003A015C"/>
    <w:rsid w:val="003A0CCD"/>
    <w:rsid w:val="003A4908"/>
    <w:rsid w:val="003A4C7C"/>
    <w:rsid w:val="003A5963"/>
    <w:rsid w:val="003A5CF4"/>
    <w:rsid w:val="003A68DE"/>
    <w:rsid w:val="003A70D7"/>
    <w:rsid w:val="003A7FE3"/>
    <w:rsid w:val="003B05A2"/>
    <w:rsid w:val="003B0E87"/>
    <w:rsid w:val="003B11C7"/>
    <w:rsid w:val="003B2850"/>
    <w:rsid w:val="003B4A9B"/>
    <w:rsid w:val="003B599A"/>
    <w:rsid w:val="003B5ED3"/>
    <w:rsid w:val="003B6B30"/>
    <w:rsid w:val="003B75DD"/>
    <w:rsid w:val="003B7AF2"/>
    <w:rsid w:val="003C0117"/>
    <w:rsid w:val="003C12D5"/>
    <w:rsid w:val="003C1763"/>
    <w:rsid w:val="003C20C7"/>
    <w:rsid w:val="003C3D2E"/>
    <w:rsid w:val="003C4067"/>
    <w:rsid w:val="003C491C"/>
    <w:rsid w:val="003C494A"/>
    <w:rsid w:val="003C554B"/>
    <w:rsid w:val="003C5D94"/>
    <w:rsid w:val="003C5ED5"/>
    <w:rsid w:val="003C6572"/>
    <w:rsid w:val="003C7312"/>
    <w:rsid w:val="003C78CB"/>
    <w:rsid w:val="003D05DE"/>
    <w:rsid w:val="003D0FD5"/>
    <w:rsid w:val="003D1632"/>
    <w:rsid w:val="003D45C7"/>
    <w:rsid w:val="003D461B"/>
    <w:rsid w:val="003D7A44"/>
    <w:rsid w:val="003E0256"/>
    <w:rsid w:val="003E0714"/>
    <w:rsid w:val="003E18F2"/>
    <w:rsid w:val="003E1A23"/>
    <w:rsid w:val="003E1CFA"/>
    <w:rsid w:val="003E238C"/>
    <w:rsid w:val="003E3D07"/>
    <w:rsid w:val="003E4161"/>
    <w:rsid w:val="003E57C9"/>
    <w:rsid w:val="003E6524"/>
    <w:rsid w:val="003E7303"/>
    <w:rsid w:val="003E7C4E"/>
    <w:rsid w:val="003F0B96"/>
    <w:rsid w:val="003F2311"/>
    <w:rsid w:val="003F35EB"/>
    <w:rsid w:val="003F3AAC"/>
    <w:rsid w:val="003F474C"/>
    <w:rsid w:val="003F4D0D"/>
    <w:rsid w:val="003F4E3F"/>
    <w:rsid w:val="003F4F95"/>
    <w:rsid w:val="003F5A97"/>
    <w:rsid w:val="003F617F"/>
    <w:rsid w:val="003F6D8C"/>
    <w:rsid w:val="003F70BE"/>
    <w:rsid w:val="00400FC7"/>
    <w:rsid w:val="00401E46"/>
    <w:rsid w:val="00402887"/>
    <w:rsid w:val="0040354F"/>
    <w:rsid w:val="0040361B"/>
    <w:rsid w:val="0040363A"/>
    <w:rsid w:val="004038CD"/>
    <w:rsid w:val="00406716"/>
    <w:rsid w:val="00407482"/>
    <w:rsid w:val="00407B9A"/>
    <w:rsid w:val="004109DB"/>
    <w:rsid w:val="00410AE5"/>
    <w:rsid w:val="004117C8"/>
    <w:rsid w:val="004122B7"/>
    <w:rsid w:val="00412382"/>
    <w:rsid w:val="00414C8B"/>
    <w:rsid w:val="00414E02"/>
    <w:rsid w:val="0041522F"/>
    <w:rsid w:val="00416087"/>
    <w:rsid w:val="00420188"/>
    <w:rsid w:val="00421329"/>
    <w:rsid w:val="0042180F"/>
    <w:rsid w:val="004227BE"/>
    <w:rsid w:val="00424281"/>
    <w:rsid w:val="00424D0D"/>
    <w:rsid w:val="0042613C"/>
    <w:rsid w:val="00426882"/>
    <w:rsid w:val="004273F4"/>
    <w:rsid w:val="0042755A"/>
    <w:rsid w:val="00430331"/>
    <w:rsid w:val="00431A29"/>
    <w:rsid w:val="00432339"/>
    <w:rsid w:val="004332A4"/>
    <w:rsid w:val="0043339A"/>
    <w:rsid w:val="004337A4"/>
    <w:rsid w:val="004340A4"/>
    <w:rsid w:val="00435A7C"/>
    <w:rsid w:val="00435FE6"/>
    <w:rsid w:val="004379AB"/>
    <w:rsid w:val="004415D2"/>
    <w:rsid w:val="00443B32"/>
    <w:rsid w:val="00443BF0"/>
    <w:rsid w:val="004455FF"/>
    <w:rsid w:val="004467B4"/>
    <w:rsid w:val="004478A3"/>
    <w:rsid w:val="00447B13"/>
    <w:rsid w:val="0045032E"/>
    <w:rsid w:val="00450702"/>
    <w:rsid w:val="00451224"/>
    <w:rsid w:val="0045170E"/>
    <w:rsid w:val="00453A18"/>
    <w:rsid w:val="0045429F"/>
    <w:rsid w:val="004549C5"/>
    <w:rsid w:val="00455638"/>
    <w:rsid w:val="00456BA5"/>
    <w:rsid w:val="00460761"/>
    <w:rsid w:val="00461F95"/>
    <w:rsid w:val="00462E0F"/>
    <w:rsid w:val="00463DC3"/>
    <w:rsid w:val="00464006"/>
    <w:rsid w:val="004646E9"/>
    <w:rsid w:val="00466426"/>
    <w:rsid w:val="00466868"/>
    <w:rsid w:val="00467196"/>
    <w:rsid w:val="004677F3"/>
    <w:rsid w:val="00467826"/>
    <w:rsid w:val="0047004F"/>
    <w:rsid w:val="004703D0"/>
    <w:rsid w:val="00471482"/>
    <w:rsid w:val="00471506"/>
    <w:rsid w:val="00472F01"/>
    <w:rsid w:val="0047342E"/>
    <w:rsid w:val="00473491"/>
    <w:rsid w:val="00473661"/>
    <w:rsid w:val="00473963"/>
    <w:rsid w:val="0047419D"/>
    <w:rsid w:val="00474ACE"/>
    <w:rsid w:val="00475752"/>
    <w:rsid w:val="004769CA"/>
    <w:rsid w:val="00476E0F"/>
    <w:rsid w:val="004776C7"/>
    <w:rsid w:val="004807FD"/>
    <w:rsid w:val="00480C13"/>
    <w:rsid w:val="00481A74"/>
    <w:rsid w:val="00483022"/>
    <w:rsid w:val="004852FA"/>
    <w:rsid w:val="00485A3F"/>
    <w:rsid w:val="00485E9B"/>
    <w:rsid w:val="004866FF"/>
    <w:rsid w:val="00486D78"/>
    <w:rsid w:val="0048759B"/>
    <w:rsid w:val="0049092A"/>
    <w:rsid w:val="00490C5F"/>
    <w:rsid w:val="004919AE"/>
    <w:rsid w:val="00491CE4"/>
    <w:rsid w:val="00492675"/>
    <w:rsid w:val="004946F8"/>
    <w:rsid w:val="00494B22"/>
    <w:rsid w:val="004950AF"/>
    <w:rsid w:val="00496A68"/>
    <w:rsid w:val="00497A63"/>
    <w:rsid w:val="004A0011"/>
    <w:rsid w:val="004A0090"/>
    <w:rsid w:val="004A09D4"/>
    <w:rsid w:val="004A3595"/>
    <w:rsid w:val="004A5875"/>
    <w:rsid w:val="004A5D13"/>
    <w:rsid w:val="004A5DB3"/>
    <w:rsid w:val="004A5F14"/>
    <w:rsid w:val="004B0516"/>
    <w:rsid w:val="004B1A0E"/>
    <w:rsid w:val="004B21D1"/>
    <w:rsid w:val="004B3515"/>
    <w:rsid w:val="004B4429"/>
    <w:rsid w:val="004B4EDB"/>
    <w:rsid w:val="004B5DF0"/>
    <w:rsid w:val="004B6B18"/>
    <w:rsid w:val="004B6EE4"/>
    <w:rsid w:val="004B6F3B"/>
    <w:rsid w:val="004C03C5"/>
    <w:rsid w:val="004C09DA"/>
    <w:rsid w:val="004C16BF"/>
    <w:rsid w:val="004C1B2B"/>
    <w:rsid w:val="004C1B2C"/>
    <w:rsid w:val="004C41DC"/>
    <w:rsid w:val="004C4512"/>
    <w:rsid w:val="004C5E24"/>
    <w:rsid w:val="004C5E92"/>
    <w:rsid w:val="004C6C4B"/>
    <w:rsid w:val="004C6E91"/>
    <w:rsid w:val="004D03FF"/>
    <w:rsid w:val="004D1929"/>
    <w:rsid w:val="004D1ABA"/>
    <w:rsid w:val="004D3896"/>
    <w:rsid w:val="004D4740"/>
    <w:rsid w:val="004D4F9E"/>
    <w:rsid w:val="004D531E"/>
    <w:rsid w:val="004D6194"/>
    <w:rsid w:val="004D70B7"/>
    <w:rsid w:val="004D79FA"/>
    <w:rsid w:val="004D7F14"/>
    <w:rsid w:val="004E20FA"/>
    <w:rsid w:val="004E2B79"/>
    <w:rsid w:val="004E2ED0"/>
    <w:rsid w:val="004E3A92"/>
    <w:rsid w:val="004E452C"/>
    <w:rsid w:val="004E5943"/>
    <w:rsid w:val="004E5A5A"/>
    <w:rsid w:val="004E7707"/>
    <w:rsid w:val="004F0A44"/>
    <w:rsid w:val="004F1EF2"/>
    <w:rsid w:val="004F1F4F"/>
    <w:rsid w:val="004F2493"/>
    <w:rsid w:val="004F46A8"/>
    <w:rsid w:val="004F4D4E"/>
    <w:rsid w:val="004F6958"/>
    <w:rsid w:val="004F6B5E"/>
    <w:rsid w:val="004F6ED9"/>
    <w:rsid w:val="004F72E6"/>
    <w:rsid w:val="00500D24"/>
    <w:rsid w:val="00501BEE"/>
    <w:rsid w:val="00502C3C"/>
    <w:rsid w:val="0050668A"/>
    <w:rsid w:val="005066A1"/>
    <w:rsid w:val="00506B9B"/>
    <w:rsid w:val="0051011E"/>
    <w:rsid w:val="0051035D"/>
    <w:rsid w:val="00511078"/>
    <w:rsid w:val="0051116C"/>
    <w:rsid w:val="00511340"/>
    <w:rsid w:val="00511470"/>
    <w:rsid w:val="00511A26"/>
    <w:rsid w:val="005120B4"/>
    <w:rsid w:val="0051310D"/>
    <w:rsid w:val="00513242"/>
    <w:rsid w:val="00513F0B"/>
    <w:rsid w:val="005141C6"/>
    <w:rsid w:val="00515A77"/>
    <w:rsid w:val="00515F99"/>
    <w:rsid w:val="0051617B"/>
    <w:rsid w:val="00516443"/>
    <w:rsid w:val="00520FDF"/>
    <w:rsid w:val="005219D9"/>
    <w:rsid w:val="00521DA6"/>
    <w:rsid w:val="00522EDF"/>
    <w:rsid w:val="00523E9E"/>
    <w:rsid w:val="00524554"/>
    <w:rsid w:val="00525291"/>
    <w:rsid w:val="00527264"/>
    <w:rsid w:val="005277F6"/>
    <w:rsid w:val="00531026"/>
    <w:rsid w:val="00532217"/>
    <w:rsid w:val="005329FB"/>
    <w:rsid w:val="0053326D"/>
    <w:rsid w:val="00534D1C"/>
    <w:rsid w:val="00535089"/>
    <w:rsid w:val="005363CB"/>
    <w:rsid w:val="00537E56"/>
    <w:rsid w:val="005401FF"/>
    <w:rsid w:val="005402BE"/>
    <w:rsid w:val="00542270"/>
    <w:rsid w:val="00545CD3"/>
    <w:rsid w:val="0054681A"/>
    <w:rsid w:val="00547700"/>
    <w:rsid w:val="00550619"/>
    <w:rsid w:val="005517C5"/>
    <w:rsid w:val="005522DD"/>
    <w:rsid w:val="00552C81"/>
    <w:rsid w:val="0055407C"/>
    <w:rsid w:val="0055428A"/>
    <w:rsid w:val="0055440B"/>
    <w:rsid w:val="00554894"/>
    <w:rsid w:val="00554F9C"/>
    <w:rsid w:val="00555554"/>
    <w:rsid w:val="00556533"/>
    <w:rsid w:val="0055706A"/>
    <w:rsid w:val="00557352"/>
    <w:rsid w:val="005573B0"/>
    <w:rsid w:val="00557C08"/>
    <w:rsid w:val="00560B64"/>
    <w:rsid w:val="00561168"/>
    <w:rsid w:val="0056129F"/>
    <w:rsid w:val="005626F2"/>
    <w:rsid w:val="00562E74"/>
    <w:rsid w:val="00564CE6"/>
    <w:rsid w:val="0056565B"/>
    <w:rsid w:val="0056608F"/>
    <w:rsid w:val="005667D4"/>
    <w:rsid w:val="00567C16"/>
    <w:rsid w:val="00570064"/>
    <w:rsid w:val="00570228"/>
    <w:rsid w:val="00570324"/>
    <w:rsid w:val="00571849"/>
    <w:rsid w:val="00572D76"/>
    <w:rsid w:val="0057310D"/>
    <w:rsid w:val="005731D5"/>
    <w:rsid w:val="0057536D"/>
    <w:rsid w:val="005777AB"/>
    <w:rsid w:val="00580521"/>
    <w:rsid w:val="00580A4B"/>
    <w:rsid w:val="00583F8E"/>
    <w:rsid w:val="00584AE0"/>
    <w:rsid w:val="005851BC"/>
    <w:rsid w:val="005869D5"/>
    <w:rsid w:val="00586C91"/>
    <w:rsid w:val="00587278"/>
    <w:rsid w:val="005879C0"/>
    <w:rsid w:val="00591273"/>
    <w:rsid w:val="00593FB8"/>
    <w:rsid w:val="005943AC"/>
    <w:rsid w:val="00594F71"/>
    <w:rsid w:val="00595BE5"/>
    <w:rsid w:val="005965AF"/>
    <w:rsid w:val="0059707F"/>
    <w:rsid w:val="00597E7C"/>
    <w:rsid w:val="005A14C1"/>
    <w:rsid w:val="005A3CA2"/>
    <w:rsid w:val="005A3D58"/>
    <w:rsid w:val="005A3EA4"/>
    <w:rsid w:val="005A60C4"/>
    <w:rsid w:val="005A7560"/>
    <w:rsid w:val="005B008C"/>
    <w:rsid w:val="005B09A8"/>
    <w:rsid w:val="005B109D"/>
    <w:rsid w:val="005B20C5"/>
    <w:rsid w:val="005B22E9"/>
    <w:rsid w:val="005B273E"/>
    <w:rsid w:val="005B2BAB"/>
    <w:rsid w:val="005B34C9"/>
    <w:rsid w:val="005B4FAD"/>
    <w:rsid w:val="005B6000"/>
    <w:rsid w:val="005B6FB9"/>
    <w:rsid w:val="005B7041"/>
    <w:rsid w:val="005C07D8"/>
    <w:rsid w:val="005C2EBD"/>
    <w:rsid w:val="005C3141"/>
    <w:rsid w:val="005C4402"/>
    <w:rsid w:val="005C46B7"/>
    <w:rsid w:val="005C4DF8"/>
    <w:rsid w:val="005C6A5E"/>
    <w:rsid w:val="005D1AB0"/>
    <w:rsid w:val="005D1FC9"/>
    <w:rsid w:val="005D2648"/>
    <w:rsid w:val="005D4630"/>
    <w:rsid w:val="005D4715"/>
    <w:rsid w:val="005D56AA"/>
    <w:rsid w:val="005D5787"/>
    <w:rsid w:val="005D5D16"/>
    <w:rsid w:val="005D6094"/>
    <w:rsid w:val="005D6677"/>
    <w:rsid w:val="005D6B01"/>
    <w:rsid w:val="005D7F4A"/>
    <w:rsid w:val="005E111B"/>
    <w:rsid w:val="005E1C91"/>
    <w:rsid w:val="005E2170"/>
    <w:rsid w:val="005E373A"/>
    <w:rsid w:val="005E3C5F"/>
    <w:rsid w:val="005E44F7"/>
    <w:rsid w:val="005E6368"/>
    <w:rsid w:val="005F08BF"/>
    <w:rsid w:val="005F0FF2"/>
    <w:rsid w:val="005F1884"/>
    <w:rsid w:val="005F29F8"/>
    <w:rsid w:val="005F365B"/>
    <w:rsid w:val="005F46F8"/>
    <w:rsid w:val="005F49A2"/>
    <w:rsid w:val="005F51C5"/>
    <w:rsid w:val="005F5FF4"/>
    <w:rsid w:val="005F64C0"/>
    <w:rsid w:val="005F64EC"/>
    <w:rsid w:val="005F7B29"/>
    <w:rsid w:val="00600960"/>
    <w:rsid w:val="00601499"/>
    <w:rsid w:val="006023B0"/>
    <w:rsid w:val="00602ECB"/>
    <w:rsid w:val="00603B0D"/>
    <w:rsid w:val="00603CED"/>
    <w:rsid w:val="00603E42"/>
    <w:rsid w:val="006040E1"/>
    <w:rsid w:val="006042B7"/>
    <w:rsid w:val="0060446C"/>
    <w:rsid w:val="00605470"/>
    <w:rsid w:val="006059C7"/>
    <w:rsid w:val="00606A59"/>
    <w:rsid w:val="00606B15"/>
    <w:rsid w:val="00606C38"/>
    <w:rsid w:val="006079C8"/>
    <w:rsid w:val="006108C7"/>
    <w:rsid w:val="00610A4D"/>
    <w:rsid w:val="0061246F"/>
    <w:rsid w:val="0061316B"/>
    <w:rsid w:val="0061509F"/>
    <w:rsid w:val="00615432"/>
    <w:rsid w:val="006160C2"/>
    <w:rsid w:val="00616CC3"/>
    <w:rsid w:val="00617E89"/>
    <w:rsid w:val="00617EF2"/>
    <w:rsid w:val="00620A8E"/>
    <w:rsid w:val="00621D59"/>
    <w:rsid w:val="006233EC"/>
    <w:rsid w:val="00623722"/>
    <w:rsid w:val="00623886"/>
    <w:rsid w:val="00624B20"/>
    <w:rsid w:val="006252C6"/>
    <w:rsid w:val="00625A12"/>
    <w:rsid w:val="006265A9"/>
    <w:rsid w:val="00630B2E"/>
    <w:rsid w:val="006324EE"/>
    <w:rsid w:val="0063406D"/>
    <w:rsid w:val="00634B40"/>
    <w:rsid w:val="00635C04"/>
    <w:rsid w:val="00637F63"/>
    <w:rsid w:val="00640121"/>
    <w:rsid w:val="00641249"/>
    <w:rsid w:val="00641AE2"/>
    <w:rsid w:val="00643F36"/>
    <w:rsid w:val="0064411B"/>
    <w:rsid w:val="00644E84"/>
    <w:rsid w:val="006464EF"/>
    <w:rsid w:val="0064744C"/>
    <w:rsid w:val="00647C4B"/>
    <w:rsid w:val="00650976"/>
    <w:rsid w:val="00650E08"/>
    <w:rsid w:val="00652FB0"/>
    <w:rsid w:val="006539E9"/>
    <w:rsid w:val="00653B76"/>
    <w:rsid w:val="00653CD8"/>
    <w:rsid w:val="0065411F"/>
    <w:rsid w:val="0065429F"/>
    <w:rsid w:val="006542C6"/>
    <w:rsid w:val="00655E63"/>
    <w:rsid w:val="00656302"/>
    <w:rsid w:val="00656A2D"/>
    <w:rsid w:val="00656DDB"/>
    <w:rsid w:val="006576B8"/>
    <w:rsid w:val="00657818"/>
    <w:rsid w:val="00661A61"/>
    <w:rsid w:val="006620D5"/>
    <w:rsid w:val="00663D61"/>
    <w:rsid w:val="00663FBA"/>
    <w:rsid w:val="006654CA"/>
    <w:rsid w:val="00665BDF"/>
    <w:rsid w:val="006661F9"/>
    <w:rsid w:val="006665EB"/>
    <w:rsid w:val="0066707B"/>
    <w:rsid w:val="00667247"/>
    <w:rsid w:val="00667A08"/>
    <w:rsid w:val="00667CE0"/>
    <w:rsid w:val="0067049A"/>
    <w:rsid w:val="0067061C"/>
    <w:rsid w:val="00670A1A"/>
    <w:rsid w:val="00672F20"/>
    <w:rsid w:val="006749B1"/>
    <w:rsid w:val="006773B0"/>
    <w:rsid w:val="00680CD4"/>
    <w:rsid w:val="00681EAD"/>
    <w:rsid w:val="00682992"/>
    <w:rsid w:val="00682C12"/>
    <w:rsid w:val="00682C54"/>
    <w:rsid w:val="00682E04"/>
    <w:rsid w:val="0068458B"/>
    <w:rsid w:val="006845E5"/>
    <w:rsid w:val="00684AB2"/>
    <w:rsid w:val="00686BAC"/>
    <w:rsid w:val="006871EA"/>
    <w:rsid w:val="006935D8"/>
    <w:rsid w:val="0069470F"/>
    <w:rsid w:val="00696202"/>
    <w:rsid w:val="00696543"/>
    <w:rsid w:val="006A2AFA"/>
    <w:rsid w:val="006A5291"/>
    <w:rsid w:val="006A58FA"/>
    <w:rsid w:val="006A7630"/>
    <w:rsid w:val="006A7945"/>
    <w:rsid w:val="006B08C8"/>
    <w:rsid w:val="006B0FED"/>
    <w:rsid w:val="006B1601"/>
    <w:rsid w:val="006B43C3"/>
    <w:rsid w:val="006B4B2C"/>
    <w:rsid w:val="006B5F5F"/>
    <w:rsid w:val="006C038C"/>
    <w:rsid w:val="006C0998"/>
    <w:rsid w:val="006C0DE7"/>
    <w:rsid w:val="006C1015"/>
    <w:rsid w:val="006C1351"/>
    <w:rsid w:val="006C1668"/>
    <w:rsid w:val="006C21E1"/>
    <w:rsid w:val="006C2F2A"/>
    <w:rsid w:val="006C3661"/>
    <w:rsid w:val="006C38E3"/>
    <w:rsid w:val="006C3BF4"/>
    <w:rsid w:val="006C4764"/>
    <w:rsid w:val="006C51B1"/>
    <w:rsid w:val="006C7546"/>
    <w:rsid w:val="006C7CF6"/>
    <w:rsid w:val="006D0789"/>
    <w:rsid w:val="006D09C6"/>
    <w:rsid w:val="006D124F"/>
    <w:rsid w:val="006D2B31"/>
    <w:rsid w:val="006D3CB2"/>
    <w:rsid w:val="006D5AAD"/>
    <w:rsid w:val="006D5D62"/>
    <w:rsid w:val="006E082A"/>
    <w:rsid w:val="006E119E"/>
    <w:rsid w:val="006F1B14"/>
    <w:rsid w:val="006F1C99"/>
    <w:rsid w:val="006F207D"/>
    <w:rsid w:val="006F2A42"/>
    <w:rsid w:val="006F3092"/>
    <w:rsid w:val="006F30EC"/>
    <w:rsid w:val="006F4BE7"/>
    <w:rsid w:val="006F59AC"/>
    <w:rsid w:val="006F686C"/>
    <w:rsid w:val="006F70B1"/>
    <w:rsid w:val="006F70BF"/>
    <w:rsid w:val="00701DF0"/>
    <w:rsid w:val="007030B8"/>
    <w:rsid w:val="0070314D"/>
    <w:rsid w:val="00703483"/>
    <w:rsid w:val="0070406B"/>
    <w:rsid w:val="007049C7"/>
    <w:rsid w:val="0070526F"/>
    <w:rsid w:val="0071012D"/>
    <w:rsid w:val="0071072E"/>
    <w:rsid w:val="0071081F"/>
    <w:rsid w:val="007110FD"/>
    <w:rsid w:val="00711799"/>
    <w:rsid w:val="00711991"/>
    <w:rsid w:val="007124C8"/>
    <w:rsid w:val="00712542"/>
    <w:rsid w:val="007136C3"/>
    <w:rsid w:val="007151B2"/>
    <w:rsid w:val="00716331"/>
    <w:rsid w:val="007167C7"/>
    <w:rsid w:val="00716F3C"/>
    <w:rsid w:val="007174B1"/>
    <w:rsid w:val="00717557"/>
    <w:rsid w:val="00721799"/>
    <w:rsid w:val="00722CD1"/>
    <w:rsid w:val="00723432"/>
    <w:rsid w:val="0072398B"/>
    <w:rsid w:val="00723B3C"/>
    <w:rsid w:val="007253DF"/>
    <w:rsid w:val="00726639"/>
    <w:rsid w:val="00731C40"/>
    <w:rsid w:val="00733041"/>
    <w:rsid w:val="0073351C"/>
    <w:rsid w:val="00733AFD"/>
    <w:rsid w:val="00734265"/>
    <w:rsid w:val="00734348"/>
    <w:rsid w:val="0073516D"/>
    <w:rsid w:val="00735B90"/>
    <w:rsid w:val="00735CD4"/>
    <w:rsid w:val="00735EC7"/>
    <w:rsid w:val="00736A5F"/>
    <w:rsid w:val="00736F0A"/>
    <w:rsid w:val="00737877"/>
    <w:rsid w:val="007415C8"/>
    <w:rsid w:val="00741860"/>
    <w:rsid w:val="00741A7E"/>
    <w:rsid w:val="00742674"/>
    <w:rsid w:val="00743561"/>
    <w:rsid w:val="00743749"/>
    <w:rsid w:val="0074422E"/>
    <w:rsid w:val="007464FD"/>
    <w:rsid w:val="007467CD"/>
    <w:rsid w:val="00746FF3"/>
    <w:rsid w:val="007516A0"/>
    <w:rsid w:val="00751A7A"/>
    <w:rsid w:val="00751F38"/>
    <w:rsid w:val="00751F9C"/>
    <w:rsid w:val="00752885"/>
    <w:rsid w:val="00753111"/>
    <w:rsid w:val="00753474"/>
    <w:rsid w:val="00754CED"/>
    <w:rsid w:val="00756800"/>
    <w:rsid w:val="00756FBF"/>
    <w:rsid w:val="00757209"/>
    <w:rsid w:val="00757E03"/>
    <w:rsid w:val="007607DB"/>
    <w:rsid w:val="00760BF3"/>
    <w:rsid w:val="007614B3"/>
    <w:rsid w:val="00761B70"/>
    <w:rsid w:val="007625E0"/>
    <w:rsid w:val="007637D0"/>
    <w:rsid w:val="00763F3B"/>
    <w:rsid w:val="007640D8"/>
    <w:rsid w:val="007646FE"/>
    <w:rsid w:val="00765BE5"/>
    <w:rsid w:val="00766083"/>
    <w:rsid w:val="007665C3"/>
    <w:rsid w:val="00767CD0"/>
    <w:rsid w:val="00767EC0"/>
    <w:rsid w:val="00771EC0"/>
    <w:rsid w:val="00772CD8"/>
    <w:rsid w:val="007744CB"/>
    <w:rsid w:val="00775564"/>
    <w:rsid w:val="00775B3F"/>
    <w:rsid w:val="0077639F"/>
    <w:rsid w:val="007774A5"/>
    <w:rsid w:val="00780B04"/>
    <w:rsid w:val="00781C08"/>
    <w:rsid w:val="00781C43"/>
    <w:rsid w:val="00781FBB"/>
    <w:rsid w:val="00783533"/>
    <w:rsid w:val="00783DEE"/>
    <w:rsid w:val="00784E0C"/>
    <w:rsid w:val="0078590E"/>
    <w:rsid w:val="00787647"/>
    <w:rsid w:val="0079009A"/>
    <w:rsid w:val="00790852"/>
    <w:rsid w:val="00790BEF"/>
    <w:rsid w:val="00790C8F"/>
    <w:rsid w:val="0079151F"/>
    <w:rsid w:val="00792C79"/>
    <w:rsid w:val="00797E07"/>
    <w:rsid w:val="007A0030"/>
    <w:rsid w:val="007A0131"/>
    <w:rsid w:val="007A382A"/>
    <w:rsid w:val="007A4540"/>
    <w:rsid w:val="007A5A24"/>
    <w:rsid w:val="007A5D3B"/>
    <w:rsid w:val="007A7A8E"/>
    <w:rsid w:val="007B001C"/>
    <w:rsid w:val="007B0CA4"/>
    <w:rsid w:val="007B1BD6"/>
    <w:rsid w:val="007B1E88"/>
    <w:rsid w:val="007B1F75"/>
    <w:rsid w:val="007B22D6"/>
    <w:rsid w:val="007B33CF"/>
    <w:rsid w:val="007B472A"/>
    <w:rsid w:val="007B5808"/>
    <w:rsid w:val="007B7672"/>
    <w:rsid w:val="007B7907"/>
    <w:rsid w:val="007B7E5D"/>
    <w:rsid w:val="007B7EBE"/>
    <w:rsid w:val="007C0EE4"/>
    <w:rsid w:val="007C1DFC"/>
    <w:rsid w:val="007C1E13"/>
    <w:rsid w:val="007C4B31"/>
    <w:rsid w:val="007C67C5"/>
    <w:rsid w:val="007C68DE"/>
    <w:rsid w:val="007C759F"/>
    <w:rsid w:val="007C7C21"/>
    <w:rsid w:val="007C7F07"/>
    <w:rsid w:val="007D06D3"/>
    <w:rsid w:val="007D1B60"/>
    <w:rsid w:val="007D1EDE"/>
    <w:rsid w:val="007D2DF6"/>
    <w:rsid w:val="007D3329"/>
    <w:rsid w:val="007D4FF2"/>
    <w:rsid w:val="007D5B12"/>
    <w:rsid w:val="007D7135"/>
    <w:rsid w:val="007D71DC"/>
    <w:rsid w:val="007E036A"/>
    <w:rsid w:val="007E042B"/>
    <w:rsid w:val="007E20AE"/>
    <w:rsid w:val="007E2236"/>
    <w:rsid w:val="007E3D74"/>
    <w:rsid w:val="007E412A"/>
    <w:rsid w:val="007E4CE2"/>
    <w:rsid w:val="007E5639"/>
    <w:rsid w:val="007E5DF9"/>
    <w:rsid w:val="007E7692"/>
    <w:rsid w:val="007E7A80"/>
    <w:rsid w:val="007F094C"/>
    <w:rsid w:val="007F0E18"/>
    <w:rsid w:val="007F18E4"/>
    <w:rsid w:val="007F24BF"/>
    <w:rsid w:val="007F2BD6"/>
    <w:rsid w:val="007F3736"/>
    <w:rsid w:val="007F3B80"/>
    <w:rsid w:val="007F6533"/>
    <w:rsid w:val="007F68EE"/>
    <w:rsid w:val="007F69D9"/>
    <w:rsid w:val="007F6CA1"/>
    <w:rsid w:val="007F6E38"/>
    <w:rsid w:val="00800216"/>
    <w:rsid w:val="008020E3"/>
    <w:rsid w:val="008025E4"/>
    <w:rsid w:val="00802F20"/>
    <w:rsid w:val="00802F34"/>
    <w:rsid w:val="00803541"/>
    <w:rsid w:val="00805A99"/>
    <w:rsid w:val="0080646E"/>
    <w:rsid w:val="00806501"/>
    <w:rsid w:val="00806806"/>
    <w:rsid w:val="00807965"/>
    <w:rsid w:val="00810A95"/>
    <w:rsid w:val="00810B5B"/>
    <w:rsid w:val="00812E52"/>
    <w:rsid w:val="00814269"/>
    <w:rsid w:val="00815307"/>
    <w:rsid w:val="008157FE"/>
    <w:rsid w:val="00817665"/>
    <w:rsid w:val="00817B43"/>
    <w:rsid w:val="00820B26"/>
    <w:rsid w:val="00820E1C"/>
    <w:rsid w:val="00823A79"/>
    <w:rsid w:val="0082409D"/>
    <w:rsid w:val="00824A2B"/>
    <w:rsid w:val="00831523"/>
    <w:rsid w:val="00833111"/>
    <w:rsid w:val="008343AC"/>
    <w:rsid w:val="00834C20"/>
    <w:rsid w:val="00835D41"/>
    <w:rsid w:val="008369E1"/>
    <w:rsid w:val="008374D6"/>
    <w:rsid w:val="00837BDB"/>
    <w:rsid w:val="008410C1"/>
    <w:rsid w:val="008415FF"/>
    <w:rsid w:val="00842105"/>
    <w:rsid w:val="00842871"/>
    <w:rsid w:val="00845509"/>
    <w:rsid w:val="008467CE"/>
    <w:rsid w:val="00847EE9"/>
    <w:rsid w:val="00850223"/>
    <w:rsid w:val="00850FFD"/>
    <w:rsid w:val="0085380D"/>
    <w:rsid w:val="008552F2"/>
    <w:rsid w:val="008563AF"/>
    <w:rsid w:val="00856A45"/>
    <w:rsid w:val="00857AB7"/>
    <w:rsid w:val="008616D2"/>
    <w:rsid w:val="00861CB6"/>
    <w:rsid w:val="0086273B"/>
    <w:rsid w:val="00864F36"/>
    <w:rsid w:val="00865C1C"/>
    <w:rsid w:val="00865D87"/>
    <w:rsid w:val="00866FDF"/>
    <w:rsid w:val="008671F2"/>
    <w:rsid w:val="0086778B"/>
    <w:rsid w:val="00870135"/>
    <w:rsid w:val="00871154"/>
    <w:rsid w:val="0087258C"/>
    <w:rsid w:val="008730EC"/>
    <w:rsid w:val="008738DE"/>
    <w:rsid w:val="00873963"/>
    <w:rsid w:val="00873F42"/>
    <w:rsid w:val="00873F48"/>
    <w:rsid w:val="008763F9"/>
    <w:rsid w:val="008768C7"/>
    <w:rsid w:val="0087714C"/>
    <w:rsid w:val="00877775"/>
    <w:rsid w:val="00877A23"/>
    <w:rsid w:val="008806E3"/>
    <w:rsid w:val="00880F42"/>
    <w:rsid w:val="008813DF"/>
    <w:rsid w:val="00881789"/>
    <w:rsid w:val="00881FDC"/>
    <w:rsid w:val="00882700"/>
    <w:rsid w:val="00882958"/>
    <w:rsid w:val="00883C06"/>
    <w:rsid w:val="00883C53"/>
    <w:rsid w:val="00883FC4"/>
    <w:rsid w:val="00884260"/>
    <w:rsid w:val="008851EE"/>
    <w:rsid w:val="00885A39"/>
    <w:rsid w:val="00886044"/>
    <w:rsid w:val="00886AA9"/>
    <w:rsid w:val="00887319"/>
    <w:rsid w:val="00887C6A"/>
    <w:rsid w:val="008911F1"/>
    <w:rsid w:val="00891424"/>
    <w:rsid w:val="00891555"/>
    <w:rsid w:val="00892BB6"/>
    <w:rsid w:val="00894AE8"/>
    <w:rsid w:val="00896054"/>
    <w:rsid w:val="008971FC"/>
    <w:rsid w:val="00897383"/>
    <w:rsid w:val="008A26FE"/>
    <w:rsid w:val="008A32DF"/>
    <w:rsid w:val="008A5C8D"/>
    <w:rsid w:val="008A6AD2"/>
    <w:rsid w:val="008A7C54"/>
    <w:rsid w:val="008B334F"/>
    <w:rsid w:val="008B3D59"/>
    <w:rsid w:val="008B42E4"/>
    <w:rsid w:val="008B4F5B"/>
    <w:rsid w:val="008B5C8D"/>
    <w:rsid w:val="008B5FDB"/>
    <w:rsid w:val="008B69CA"/>
    <w:rsid w:val="008B6D2E"/>
    <w:rsid w:val="008B6F13"/>
    <w:rsid w:val="008B7397"/>
    <w:rsid w:val="008C1A36"/>
    <w:rsid w:val="008C2F60"/>
    <w:rsid w:val="008C420B"/>
    <w:rsid w:val="008C4466"/>
    <w:rsid w:val="008C4F66"/>
    <w:rsid w:val="008C5029"/>
    <w:rsid w:val="008C5D84"/>
    <w:rsid w:val="008C6AFB"/>
    <w:rsid w:val="008C6F32"/>
    <w:rsid w:val="008C7126"/>
    <w:rsid w:val="008C7368"/>
    <w:rsid w:val="008C7DCA"/>
    <w:rsid w:val="008D314F"/>
    <w:rsid w:val="008D49BF"/>
    <w:rsid w:val="008D5CEF"/>
    <w:rsid w:val="008D5F39"/>
    <w:rsid w:val="008D6EBF"/>
    <w:rsid w:val="008E010B"/>
    <w:rsid w:val="008E0746"/>
    <w:rsid w:val="008E11AC"/>
    <w:rsid w:val="008E3227"/>
    <w:rsid w:val="008E3525"/>
    <w:rsid w:val="008E365B"/>
    <w:rsid w:val="008E3E0F"/>
    <w:rsid w:val="008E43E6"/>
    <w:rsid w:val="008E4B29"/>
    <w:rsid w:val="008E5411"/>
    <w:rsid w:val="008E608F"/>
    <w:rsid w:val="008E7E22"/>
    <w:rsid w:val="008E7FA1"/>
    <w:rsid w:val="008F0299"/>
    <w:rsid w:val="008F22B0"/>
    <w:rsid w:val="008F26C0"/>
    <w:rsid w:val="008F458C"/>
    <w:rsid w:val="008F502D"/>
    <w:rsid w:val="008F5515"/>
    <w:rsid w:val="008F56A9"/>
    <w:rsid w:val="008F5DC7"/>
    <w:rsid w:val="008F6656"/>
    <w:rsid w:val="008F699E"/>
    <w:rsid w:val="00900EFD"/>
    <w:rsid w:val="0090125F"/>
    <w:rsid w:val="009047BE"/>
    <w:rsid w:val="00904DAA"/>
    <w:rsid w:val="009050A4"/>
    <w:rsid w:val="00905820"/>
    <w:rsid w:val="009063E8"/>
    <w:rsid w:val="009064CD"/>
    <w:rsid w:val="00906564"/>
    <w:rsid w:val="00906653"/>
    <w:rsid w:val="00906F7C"/>
    <w:rsid w:val="00907D0F"/>
    <w:rsid w:val="009102DC"/>
    <w:rsid w:val="0091151D"/>
    <w:rsid w:val="00911F74"/>
    <w:rsid w:val="00913C9E"/>
    <w:rsid w:val="00914CE0"/>
    <w:rsid w:val="00916F6B"/>
    <w:rsid w:val="0091702C"/>
    <w:rsid w:val="00920B71"/>
    <w:rsid w:val="00920DCA"/>
    <w:rsid w:val="00922475"/>
    <w:rsid w:val="00922E1D"/>
    <w:rsid w:val="009236FF"/>
    <w:rsid w:val="00923DAB"/>
    <w:rsid w:val="009242AC"/>
    <w:rsid w:val="00925285"/>
    <w:rsid w:val="0092630A"/>
    <w:rsid w:val="00926372"/>
    <w:rsid w:val="00927227"/>
    <w:rsid w:val="009274EF"/>
    <w:rsid w:val="00930184"/>
    <w:rsid w:val="00930F26"/>
    <w:rsid w:val="00931A30"/>
    <w:rsid w:val="009324A4"/>
    <w:rsid w:val="009324CF"/>
    <w:rsid w:val="00933265"/>
    <w:rsid w:val="00933D7D"/>
    <w:rsid w:val="009357D6"/>
    <w:rsid w:val="00940ECA"/>
    <w:rsid w:val="009418E2"/>
    <w:rsid w:val="0094201A"/>
    <w:rsid w:val="009423CF"/>
    <w:rsid w:val="00943722"/>
    <w:rsid w:val="00946505"/>
    <w:rsid w:val="009466AC"/>
    <w:rsid w:val="00946FD3"/>
    <w:rsid w:val="00950636"/>
    <w:rsid w:val="00950E8B"/>
    <w:rsid w:val="009512D0"/>
    <w:rsid w:val="00952C93"/>
    <w:rsid w:val="0095414E"/>
    <w:rsid w:val="00955676"/>
    <w:rsid w:val="009558D3"/>
    <w:rsid w:val="00956B3A"/>
    <w:rsid w:val="009570F3"/>
    <w:rsid w:val="0095723B"/>
    <w:rsid w:val="00957337"/>
    <w:rsid w:val="0096158F"/>
    <w:rsid w:val="009616CA"/>
    <w:rsid w:val="00961774"/>
    <w:rsid w:val="00962C04"/>
    <w:rsid w:val="00962F72"/>
    <w:rsid w:val="00963E17"/>
    <w:rsid w:val="00964EEE"/>
    <w:rsid w:val="009650AD"/>
    <w:rsid w:val="0096565C"/>
    <w:rsid w:val="00965E5D"/>
    <w:rsid w:val="009666BD"/>
    <w:rsid w:val="0096678A"/>
    <w:rsid w:val="00967B63"/>
    <w:rsid w:val="00970C43"/>
    <w:rsid w:val="00971F30"/>
    <w:rsid w:val="00972C3C"/>
    <w:rsid w:val="00974034"/>
    <w:rsid w:val="009746E0"/>
    <w:rsid w:val="00975BB1"/>
    <w:rsid w:val="0097608D"/>
    <w:rsid w:val="00977EB0"/>
    <w:rsid w:val="00980C43"/>
    <w:rsid w:val="00981A84"/>
    <w:rsid w:val="009825C8"/>
    <w:rsid w:val="0098285B"/>
    <w:rsid w:val="009837AB"/>
    <w:rsid w:val="00986038"/>
    <w:rsid w:val="00986811"/>
    <w:rsid w:val="009871C2"/>
    <w:rsid w:val="00987CAE"/>
    <w:rsid w:val="00987DEB"/>
    <w:rsid w:val="0099060A"/>
    <w:rsid w:val="00990A82"/>
    <w:rsid w:val="00991120"/>
    <w:rsid w:val="00993EFF"/>
    <w:rsid w:val="009944B3"/>
    <w:rsid w:val="0099453F"/>
    <w:rsid w:val="009945EA"/>
    <w:rsid w:val="009956DE"/>
    <w:rsid w:val="00995CF7"/>
    <w:rsid w:val="009A026A"/>
    <w:rsid w:val="009A1B06"/>
    <w:rsid w:val="009A1B51"/>
    <w:rsid w:val="009A241F"/>
    <w:rsid w:val="009A2D30"/>
    <w:rsid w:val="009A383A"/>
    <w:rsid w:val="009A3D19"/>
    <w:rsid w:val="009A5A1A"/>
    <w:rsid w:val="009B01C8"/>
    <w:rsid w:val="009B0DD9"/>
    <w:rsid w:val="009B1B1C"/>
    <w:rsid w:val="009B26EE"/>
    <w:rsid w:val="009B37D9"/>
    <w:rsid w:val="009B44C8"/>
    <w:rsid w:val="009B4D7B"/>
    <w:rsid w:val="009B6CEB"/>
    <w:rsid w:val="009C0283"/>
    <w:rsid w:val="009C0C0C"/>
    <w:rsid w:val="009C0EF8"/>
    <w:rsid w:val="009C16E0"/>
    <w:rsid w:val="009C183E"/>
    <w:rsid w:val="009C1D18"/>
    <w:rsid w:val="009C2251"/>
    <w:rsid w:val="009C28CD"/>
    <w:rsid w:val="009C35A1"/>
    <w:rsid w:val="009C35CE"/>
    <w:rsid w:val="009C3824"/>
    <w:rsid w:val="009C39E5"/>
    <w:rsid w:val="009C3EA2"/>
    <w:rsid w:val="009C4104"/>
    <w:rsid w:val="009C52B5"/>
    <w:rsid w:val="009C5535"/>
    <w:rsid w:val="009C7787"/>
    <w:rsid w:val="009D0016"/>
    <w:rsid w:val="009D0334"/>
    <w:rsid w:val="009D0B6C"/>
    <w:rsid w:val="009D11FF"/>
    <w:rsid w:val="009D4FD6"/>
    <w:rsid w:val="009D5E94"/>
    <w:rsid w:val="009D62A5"/>
    <w:rsid w:val="009D66C6"/>
    <w:rsid w:val="009D71F2"/>
    <w:rsid w:val="009D79A2"/>
    <w:rsid w:val="009D7B44"/>
    <w:rsid w:val="009E1B2C"/>
    <w:rsid w:val="009E2B09"/>
    <w:rsid w:val="009E2C96"/>
    <w:rsid w:val="009E2CC6"/>
    <w:rsid w:val="009E3177"/>
    <w:rsid w:val="009E39B8"/>
    <w:rsid w:val="009E5B1A"/>
    <w:rsid w:val="009E5F84"/>
    <w:rsid w:val="009E681E"/>
    <w:rsid w:val="009F2F3F"/>
    <w:rsid w:val="009F328E"/>
    <w:rsid w:val="009F47C3"/>
    <w:rsid w:val="009F5608"/>
    <w:rsid w:val="009F7C5D"/>
    <w:rsid w:val="009F7D13"/>
    <w:rsid w:val="009F7E59"/>
    <w:rsid w:val="00A00453"/>
    <w:rsid w:val="00A00E9F"/>
    <w:rsid w:val="00A017D3"/>
    <w:rsid w:val="00A01C79"/>
    <w:rsid w:val="00A01EDD"/>
    <w:rsid w:val="00A02A3C"/>
    <w:rsid w:val="00A030EB"/>
    <w:rsid w:val="00A03431"/>
    <w:rsid w:val="00A035FA"/>
    <w:rsid w:val="00A04023"/>
    <w:rsid w:val="00A04D4C"/>
    <w:rsid w:val="00A0588A"/>
    <w:rsid w:val="00A06561"/>
    <w:rsid w:val="00A07CCD"/>
    <w:rsid w:val="00A13609"/>
    <w:rsid w:val="00A15AFA"/>
    <w:rsid w:val="00A161AF"/>
    <w:rsid w:val="00A16F47"/>
    <w:rsid w:val="00A20096"/>
    <w:rsid w:val="00A209EE"/>
    <w:rsid w:val="00A236B6"/>
    <w:rsid w:val="00A23DFF"/>
    <w:rsid w:val="00A2455F"/>
    <w:rsid w:val="00A24A4C"/>
    <w:rsid w:val="00A24BB3"/>
    <w:rsid w:val="00A25006"/>
    <w:rsid w:val="00A25A84"/>
    <w:rsid w:val="00A2695F"/>
    <w:rsid w:val="00A27018"/>
    <w:rsid w:val="00A27094"/>
    <w:rsid w:val="00A27E5B"/>
    <w:rsid w:val="00A30CA8"/>
    <w:rsid w:val="00A326D0"/>
    <w:rsid w:val="00A32FDD"/>
    <w:rsid w:val="00A337B9"/>
    <w:rsid w:val="00A33CAF"/>
    <w:rsid w:val="00A340D8"/>
    <w:rsid w:val="00A34D98"/>
    <w:rsid w:val="00A36037"/>
    <w:rsid w:val="00A36CEE"/>
    <w:rsid w:val="00A372D6"/>
    <w:rsid w:val="00A375C5"/>
    <w:rsid w:val="00A37FC5"/>
    <w:rsid w:val="00A402E0"/>
    <w:rsid w:val="00A439FC"/>
    <w:rsid w:val="00A44D81"/>
    <w:rsid w:val="00A4546A"/>
    <w:rsid w:val="00A45606"/>
    <w:rsid w:val="00A466DA"/>
    <w:rsid w:val="00A46E72"/>
    <w:rsid w:val="00A47B6A"/>
    <w:rsid w:val="00A47DF2"/>
    <w:rsid w:val="00A50E30"/>
    <w:rsid w:val="00A515B4"/>
    <w:rsid w:val="00A51F86"/>
    <w:rsid w:val="00A53867"/>
    <w:rsid w:val="00A551C8"/>
    <w:rsid w:val="00A558AB"/>
    <w:rsid w:val="00A56D98"/>
    <w:rsid w:val="00A60772"/>
    <w:rsid w:val="00A60AC0"/>
    <w:rsid w:val="00A61A00"/>
    <w:rsid w:val="00A6269B"/>
    <w:rsid w:val="00A6270E"/>
    <w:rsid w:val="00A62912"/>
    <w:rsid w:val="00A62E11"/>
    <w:rsid w:val="00A636FB"/>
    <w:rsid w:val="00A641CD"/>
    <w:rsid w:val="00A6502D"/>
    <w:rsid w:val="00A66B14"/>
    <w:rsid w:val="00A66B4A"/>
    <w:rsid w:val="00A66CBC"/>
    <w:rsid w:val="00A67E48"/>
    <w:rsid w:val="00A707B4"/>
    <w:rsid w:val="00A71391"/>
    <w:rsid w:val="00A72942"/>
    <w:rsid w:val="00A74371"/>
    <w:rsid w:val="00A753BB"/>
    <w:rsid w:val="00A75C38"/>
    <w:rsid w:val="00A7678C"/>
    <w:rsid w:val="00A8062E"/>
    <w:rsid w:val="00A80ACC"/>
    <w:rsid w:val="00A80F32"/>
    <w:rsid w:val="00A820AC"/>
    <w:rsid w:val="00A82A24"/>
    <w:rsid w:val="00A82FE7"/>
    <w:rsid w:val="00A83781"/>
    <w:rsid w:val="00A8448D"/>
    <w:rsid w:val="00A84585"/>
    <w:rsid w:val="00A85841"/>
    <w:rsid w:val="00A86908"/>
    <w:rsid w:val="00A86A1E"/>
    <w:rsid w:val="00A877B2"/>
    <w:rsid w:val="00A87E8F"/>
    <w:rsid w:val="00A95D09"/>
    <w:rsid w:val="00A9666F"/>
    <w:rsid w:val="00A96855"/>
    <w:rsid w:val="00AA04E4"/>
    <w:rsid w:val="00AA090C"/>
    <w:rsid w:val="00AA0BAA"/>
    <w:rsid w:val="00AA26E2"/>
    <w:rsid w:val="00AA32F0"/>
    <w:rsid w:val="00AA3F42"/>
    <w:rsid w:val="00AA4C81"/>
    <w:rsid w:val="00AA7F06"/>
    <w:rsid w:val="00AB18D4"/>
    <w:rsid w:val="00AB1D67"/>
    <w:rsid w:val="00AB1D82"/>
    <w:rsid w:val="00AB22EA"/>
    <w:rsid w:val="00AB2A45"/>
    <w:rsid w:val="00AB2B41"/>
    <w:rsid w:val="00AB302F"/>
    <w:rsid w:val="00AB379D"/>
    <w:rsid w:val="00AB4194"/>
    <w:rsid w:val="00AB43D8"/>
    <w:rsid w:val="00AB53F1"/>
    <w:rsid w:val="00AB5FD4"/>
    <w:rsid w:val="00AB69D1"/>
    <w:rsid w:val="00AB6BDD"/>
    <w:rsid w:val="00AB71CD"/>
    <w:rsid w:val="00AB775A"/>
    <w:rsid w:val="00AB7BCC"/>
    <w:rsid w:val="00AC08FF"/>
    <w:rsid w:val="00AC18DF"/>
    <w:rsid w:val="00AC2204"/>
    <w:rsid w:val="00AC26FD"/>
    <w:rsid w:val="00AC2D9F"/>
    <w:rsid w:val="00AC302A"/>
    <w:rsid w:val="00AC416C"/>
    <w:rsid w:val="00AC487A"/>
    <w:rsid w:val="00AC55E6"/>
    <w:rsid w:val="00AC5A37"/>
    <w:rsid w:val="00AC5DBD"/>
    <w:rsid w:val="00AC61B7"/>
    <w:rsid w:val="00AC6979"/>
    <w:rsid w:val="00AC6E2A"/>
    <w:rsid w:val="00AD0BBD"/>
    <w:rsid w:val="00AD1E37"/>
    <w:rsid w:val="00AD1ED0"/>
    <w:rsid w:val="00AD231F"/>
    <w:rsid w:val="00AD23AB"/>
    <w:rsid w:val="00AD29C2"/>
    <w:rsid w:val="00AD3120"/>
    <w:rsid w:val="00AD35DF"/>
    <w:rsid w:val="00AD3A54"/>
    <w:rsid w:val="00AD3CD5"/>
    <w:rsid w:val="00AD4814"/>
    <w:rsid w:val="00AD7903"/>
    <w:rsid w:val="00AD7904"/>
    <w:rsid w:val="00AD7A4C"/>
    <w:rsid w:val="00AE00F2"/>
    <w:rsid w:val="00AE0BB8"/>
    <w:rsid w:val="00AE21B0"/>
    <w:rsid w:val="00AE23A3"/>
    <w:rsid w:val="00AE4DF5"/>
    <w:rsid w:val="00AE5238"/>
    <w:rsid w:val="00AE57C9"/>
    <w:rsid w:val="00AE628C"/>
    <w:rsid w:val="00AE680E"/>
    <w:rsid w:val="00AE7831"/>
    <w:rsid w:val="00AE7B9D"/>
    <w:rsid w:val="00AE7CD9"/>
    <w:rsid w:val="00AF0392"/>
    <w:rsid w:val="00AF1731"/>
    <w:rsid w:val="00AF1796"/>
    <w:rsid w:val="00AF1986"/>
    <w:rsid w:val="00AF2F9C"/>
    <w:rsid w:val="00AF4AD0"/>
    <w:rsid w:val="00AF4EF4"/>
    <w:rsid w:val="00AF51C6"/>
    <w:rsid w:val="00AF5231"/>
    <w:rsid w:val="00AF6E80"/>
    <w:rsid w:val="00AF783A"/>
    <w:rsid w:val="00B02996"/>
    <w:rsid w:val="00B02CDC"/>
    <w:rsid w:val="00B035C9"/>
    <w:rsid w:val="00B04E14"/>
    <w:rsid w:val="00B05A8B"/>
    <w:rsid w:val="00B065A4"/>
    <w:rsid w:val="00B06BF9"/>
    <w:rsid w:val="00B06ECD"/>
    <w:rsid w:val="00B07922"/>
    <w:rsid w:val="00B07E54"/>
    <w:rsid w:val="00B105D0"/>
    <w:rsid w:val="00B11B6C"/>
    <w:rsid w:val="00B12B70"/>
    <w:rsid w:val="00B137E3"/>
    <w:rsid w:val="00B139D0"/>
    <w:rsid w:val="00B140A6"/>
    <w:rsid w:val="00B144EE"/>
    <w:rsid w:val="00B15811"/>
    <w:rsid w:val="00B176AD"/>
    <w:rsid w:val="00B17BE7"/>
    <w:rsid w:val="00B17EFD"/>
    <w:rsid w:val="00B20304"/>
    <w:rsid w:val="00B231CB"/>
    <w:rsid w:val="00B24F21"/>
    <w:rsid w:val="00B2583E"/>
    <w:rsid w:val="00B26622"/>
    <w:rsid w:val="00B26E23"/>
    <w:rsid w:val="00B272BF"/>
    <w:rsid w:val="00B274EF"/>
    <w:rsid w:val="00B27BCC"/>
    <w:rsid w:val="00B309C4"/>
    <w:rsid w:val="00B31D40"/>
    <w:rsid w:val="00B32A2A"/>
    <w:rsid w:val="00B3353A"/>
    <w:rsid w:val="00B341F6"/>
    <w:rsid w:val="00B342B1"/>
    <w:rsid w:val="00B34E6A"/>
    <w:rsid w:val="00B36713"/>
    <w:rsid w:val="00B372BC"/>
    <w:rsid w:val="00B373A2"/>
    <w:rsid w:val="00B373B9"/>
    <w:rsid w:val="00B37960"/>
    <w:rsid w:val="00B4093D"/>
    <w:rsid w:val="00B438FA"/>
    <w:rsid w:val="00B4413C"/>
    <w:rsid w:val="00B449F2"/>
    <w:rsid w:val="00B452F9"/>
    <w:rsid w:val="00B46F35"/>
    <w:rsid w:val="00B46F36"/>
    <w:rsid w:val="00B4724A"/>
    <w:rsid w:val="00B515E2"/>
    <w:rsid w:val="00B51BF2"/>
    <w:rsid w:val="00B52010"/>
    <w:rsid w:val="00B5359E"/>
    <w:rsid w:val="00B54963"/>
    <w:rsid w:val="00B54F17"/>
    <w:rsid w:val="00B556F3"/>
    <w:rsid w:val="00B55D9E"/>
    <w:rsid w:val="00B560A2"/>
    <w:rsid w:val="00B5757F"/>
    <w:rsid w:val="00B57597"/>
    <w:rsid w:val="00B604B5"/>
    <w:rsid w:val="00B60A17"/>
    <w:rsid w:val="00B61BC9"/>
    <w:rsid w:val="00B62ADF"/>
    <w:rsid w:val="00B63374"/>
    <w:rsid w:val="00B636F4"/>
    <w:rsid w:val="00B642C3"/>
    <w:rsid w:val="00B6683A"/>
    <w:rsid w:val="00B67970"/>
    <w:rsid w:val="00B72C1F"/>
    <w:rsid w:val="00B72EDE"/>
    <w:rsid w:val="00B733E0"/>
    <w:rsid w:val="00B741C6"/>
    <w:rsid w:val="00B751CF"/>
    <w:rsid w:val="00B75D0C"/>
    <w:rsid w:val="00B75DE8"/>
    <w:rsid w:val="00B76B8E"/>
    <w:rsid w:val="00B76E0B"/>
    <w:rsid w:val="00B770C2"/>
    <w:rsid w:val="00B775C5"/>
    <w:rsid w:val="00B77DC2"/>
    <w:rsid w:val="00B8076B"/>
    <w:rsid w:val="00B813FC"/>
    <w:rsid w:val="00B81A84"/>
    <w:rsid w:val="00B81AD8"/>
    <w:rsid w:val="00B81CC1"/>
    <w:rsid w:val="00B8319E"/>
    <w:rsid w:val="00B8333C"/>
    <w:rsid w:val="00B83BA5"/>
    <w:rsid w:val="00B84D41"/>
    <w:rsid w:val="00B85220"/>
    <w:rsid w:val="00B85801"/>
    <w:rsid w:val="00B85A72"/>
    <w:rsid w:val="00B862C9"/>
    <w:rsid w:val="00B871A0"/>
    <w:rsid w:val="00B90172"/>
    <w:rsid w:val="00B90239"/>
    <w:rsid w:val="00B90D43"/>
    <w:rsid w:val="00B92079"/>
    <w:rsid w:val="00B92230"/>
    <w:rsid w:val="00B92B90"/>
    <w:rsid w:val="00B956F3"/>
    <w:rsid w:val="00B95E32"/>
    <w:rsid w:val="00BA0E4A"/>
    <w:rsid w:val="00BA1AFD"/>
    <w:rsid w:val="00BA35FD"/>
    <w:rsid w:val="00BA3C93"/>
    <w:rsid w:val="00BA4609"/>
    <w:rsid w:val="00BA52BF"/>
    <w:rsid w:val="00BA5605"/>
    <w:rsid w:val="00BA5B5F"/>
    <w:rsid w:val="00BA5F69"/>
    <w:rsid w:val="00BA61AC"/>
    <w:rsid w:val="00BA648A"/>
    <w:rsid w:val="00BA7923"/>
    <w:rsid w:val="00BA7A37"/>
    <w:rsid w:val="00BA7B94"/>
    <w:rsid w:val="00BA7F94"/>
    <w:rsid w:val="00BA7FD4"/>
    <w:rsid w:val="00BB0084"/>
    <w:rsid w:val="00BB06E1"/>
    <w:rsid w:val="00BB1952"/>
    <w:rsid w:val="00BB32D6"/>
    <w:rsid w:val="00BB35A4"/>
    <w:rsid w:val="00BB3ED6"/>
    <w:rsid w:val="00BB44DD"/>
    <w:rsid w:val="00BB5086"/>
    <w:rsid w:val="00BB5410"/>
    <w:rsid w:val="00BB65F8"/>
    <w:rsid w:val="00BB789E"/>
    <w:rsid w:val="00BC0807"/>
    <w:rsid w:val="00BC1ACF"/>
    <w:rsid w:val="00BC2749"/>
    <w:rsid w:val="00BC2F2C"/>
    <w:rsid w:val="00BC4592"/>
    <w:rsid w:val="00BC4BF1"/>
    <w:rsid w:val="00BC5096"/>
    <w:rsid w:val="00BC5469"/>
    <w:rsid w:val="00BC5555"/>
    <w:rsid w:val="00BC69E6"/>
    <w:rsid w:val="00BC7558"/>
    <w:rsid w:val="00BD04BB"/>
    <w:rsid w:val="00BD09AC"/>
    <w:rsid w:val="00BD0A41"/>
    <w:rsid w:val="00BD12A2"/>
    <w:rsid w:val="00BD13D6"/>
    <w:rsid w:val="00BD2197"/>
    <w:rsid w:val="00BD2D96"/>
    <w:rsid w:val="00BD32AC"/>
    <w:rsid w:val="00BD3A0A"/>
    <w:rsid w:val="00BD41E9"/>
    <w:rsid w:val="00BD429F"/>
    <w:rsid w:val="00BD4C58"/>
    <w:rsid w:val="00BD61EF"/>
    <w:rsid w:val="00BD65A6"/>
    <w:rsid w:val="00BD6F12"/>
    <w:rsid w:val="00BD6F4C"/>
    <w:rsid w:val="00BD7604"/>
    <w:rsid w:val="00BE085A"/>
    <w:rsid w:val="00BE0F4F"/>
    <w:rsid w:val="00BE2B86"/>
    <w:rsid w:val="00BE6022"/>
    <w:rsid w:val="00BE609A"/>
    <w:rsid w:val="00BE72DE"/>
    <w:rsid w:val="00BE7333"/>
    <w:rsid w:val="00BF0D53"/>
    <w:rsid w:val="00BF26AA"/>
    <w:rsid w:val="00BF26E5"/>
    <w:rsid w:val="00BF2EFA"/>
    <w:rsid w:val="00BF31AC"/>
    <w:rsid w:val="00BF3F27"/>
    <w:rsid w:val="00BF7E0B"/>
    <w:rsid w:val="00C005B3"/>
    <w:rsid w:val="00C023CC"/>
    <w:rsid w:val="00C029BA"/>
    <w:rsid w:val="00C02E5A"/>
    <w:rsid w:val="00C03B17"/>
    <w:rsid w:val="00C03C0A"/>
    <w:rsid w:val="00C04555"/>
    <w:rsid w:val="00C0480E"/>
    <w:rsid w:val="00C055DF"/>
    <w:rsid w:val="00C06CA0"/>
    <w:rsid w:val="00C06CD0"/>
    <w:rsid w:val="00C07FDB"/>
    <w:rsid w:val="00C10523"/>
    <w:rsid w:val="00C10E44"/>
    <w:rsid w:val="00C112C2"/>
    <w:rsid w:val="00C1291C"/>
    <w:rsid w:val="00C136D1"/>
    <w:rsid w:val="00C152F7"/>
    <w:rsid w:val="00C1533F"/>
    <w:rsid w:val="00C15474"/>
    <w:rsid w:val="00C15EAC"/>
    <w:rsid w:val="00C177FF"/>
    <w:rsid w:val="00C17D85"/>
    <w:rsid w:val="00C17FC3"/>
    <w:rsid w:val="00C20755"/>
    <w:rsid w:val="00C226A2"/>
    <w:rsid w:val="00C23572"/>
    <w:rsid w:val="00C23905"/>
    <w:rsid w:val="00C267DB"/>
    <w:rsid w:val="00C26A26"/>
    <w:rsid w:val="00C26BA6"/>
    <w:rsid w:val="00C26EC4"/>
    <w:rsid w:val="00C307A8"/>
    <w:rsid w:val="00C330C1"/>
    <w:rsid w:val="00C340DC"/>
    <w:rsid w:val="00C34D11"/>
    <w:rsid w:val="00C35B91"/>
    <w:rsid w:val="00C365B7"/>
    <w:rsid w:val="00C36C8D"/>
    <w:rsid w:val="00C3738F"/>
    <w:rsid w:val="00C37826"/>
    <w:rsid w:val="00C37856"/>
    <w:rsid w:val="00C4018C"/>
    <w:rsid w:val="00C4299F"/>
    <w:rsid w:val="00C42C4E"/>
    <w:rsid w:val="00C42D80"/>
    <w:rsid w:val="00C42ED3"/>
    <w:rsid w:val="00C44787"/>
    <w:rsid w:val="00C45545"/>
    <w:rsid w:val="00C46699"/>
    <w:rsid w:val="00C46B16"/>
    <w:rsid w:val="00C46D40"/>
    <w:rsid w:val="00C50339"/>
    <w:rsid w:val="00C5120D"/>
    <w:rsid w:val="00C5142A"/>
    <w:rsid w:val="00C51596"/>
    <w:rsid w:val="00C52288"/>
    <w:rsid w:val="00C52F14"/>
    <w:rsid w:val="00C531F7"/>
    <w:rsid w:val="00C532FF"/>
    <w:rsid w:val="00C53C7C"/>
    <w:rsid w:val="00C541C8"/>
    <w:rsid w:val="00C5432F"/>
    <w:rsid w:val="00C544C2"/>
    <w:rsid w:val="00C54C60"/>
    <w:rsid w:val="00C56255"/>
    <w:rsid w:val="00C60417"/>
    <w:rsid w:val="00C63B75"/>
    <w:rsid w:val="00C6687A"/>
    <w:rsid w:val="00C66BF5"/>
    <w:rsid w:val="00C674BC"/>
    <w:rsid w:val="00C6764E"/>
    <w:rsid w:val="00C67716"/>
    <w:rsid w:val="00C67781"/>
    <w:rsid w:val="00C7057F"/>
    <w:rsid w:val="00C70C5B"/>
    <w:rsid w:val="00C70EDF"/>
    <w:rsid w:val="00C72986"/>
    <w:rsid w:val="00C734F7"/>
    <w:rsid w:val="00C73E02"/>
    <w:rsid w:val="00C74519"/>
    <w:rsid w:val="00C7512F"/>
    <w:rsid w:val="00C751C5"/>
    <w:rsid w:val="00C75882"/>
    <w:rsid w:val="00C7594F"/>
    <w:rsid w:val="00C76492"/>
    <w:rsid w:val="00C769DA"/>
    <w:rsid w:val="00C771E5"/>
    <w:rsid w:val="00C804BE"/>
    <w:rsid w:val="00C80A1A"/>
    <w:rsid w:val="00C80D9C"/>
    <w:rsid w:val="00C80E0D"/>
    <w:rsid w:val="00C81776"/>
    <w:rsid w:val="00C82086"/>
    <w:rsid w:val="00C825EB"/>
    <w:rsid w:val="00C82B3A"/>
    <w:rsid w:val="00C82EB5"/>
    <w:rsid w:val="00C8316E"/>
    <w:rsid w:val="00C83301"/>
    <w:rsid w:val="00C862BA"/>
    <w:rsid w:val="00C86E8A"/>
    <w:rsid w:val="00C87699"/>
    <w:rsid w:val="00C9168A"/>
    <w:rsid w:val="00C91AB5"/>
    <w:rsid w:val="00C91EEC"/>
    <w:rsid w:val="00C92458"/>
    <w:rsid w:val="00C94E43"/>
    <w:rsid w:val="00C96672"/>
    <w:rsid w:val="00C9793A"/>
    <w:rsid w:val="00CA2709"/>
    <w:rsid w:val="00CA2744"/>
    <w:rsid w:val="00CA2C52"/>
    <w:rsid w:val="00CA5349"/>
    <w:rsid w:val="00CA56CC"/>
    <w:rsid w:val="00CA685C"/>
    <w:rsid w:val="00CA7498"/>
    <w:rsid w:val="00CB0289"/>
    <w:rsid w:val="00CB02CA"/>
    <w:rsid w:val="00CB2A81"/>
    <w:rsid w:val="00CB40DB"/>
    <w:rsid w:val="00CB4498"/>
    <w:rsid w:val="00CB4B35"/>
    <w:rsid w:val="00CB4EF1"/>
    <w:rsid w:val="00CB6A41"/>
    <w:rsid w:val="00CB6EA7"/>
    <w:rsid w:val="00CB745A"/>
    <w:rsid w:val="00CB7DAF"/>
    <w:rsid w:val="00CC1362"/>
    <w:rsid w:val="00CC13B5"/>
    <w:rsid w:val="00CC1C8B"/>
    <w:rsid w:val="00CC2D60"/>
    <w:rsid w:val="00CC37D7"/>
    <w:rsid w:val="00CC5CC4"/>
    <w:rsid w:val="00CC5CE9"/>
    <w:rsid w:val="00CD0D7C"/>
    <w:rsid w:val="00CD1AA0"/>
    <w:rsid w:val="00CD2231"/>
    <w:rsid w:val="00CD2A91"/>
    <w:rsid w:val="00CD365F"/>
    <w:rsid w:val="00CD3C2B"/>
    <w:rsid w:val="00CD4241"/>
    <w:rsid w:val="00CD6649"/>
    <w:rsid w:val="00CD6AD4"/>
    <w:rsid w:val="00CE0A3E"/>
    <w:rsid w:val="00CE1697"/>
    <w:rsid w:val="00CE2AB2"/>
    <w:rsid w:val="00CE3708"/>
    <w:rsid w:val="00CE69F3"/>
    <w:rsid w:val="00CE6E71"/>
    <w:rsid w:val="00CE7CFE"/>
    <w:rsid w:val="00CF00A1"/>
    <w:rsid w:val="00CF04A9"/>
    <w:rsid w:val="00CF0697"/>
    <w:rsid w:val="00CF151F"/>
    <w:rsid w:val="00CF2396"/>
    <w:rsid w:val="00CF3E5C"/>
    <w:rsid w:val="00CF4865"/>
    <w:rsid w:val="00CF4F4C"/>
    <w:rsid w:val="00CF5A4E"/>
    <w:rsid w:val="00CF6304"/>
    <w:rsid w:val="00CF6512"/>
    <w:rsid w:val="00D001FC"/>
    <w:rsid w:val="00D02721"/>
    <w:rsid w:val="00D0577C"/>
    <w:rsid w:val="00D05E19"/>
    <w:rsid w:val="00D064BA"/>
    <w:rsid w:val="00D10165"/>
    <w:rsid w:val="00D12282"/>
    <w:rsid w:val="00D124B1"/>
    <w:rsid w:val="00D12C99"/>
    <w:rsid w:val="00D12D60"/>
    <w:rsid w:val="00D13B86"/>
    <w:rsid w:val="00D15C48"/>
    <w:rsid w:val="00D16F82"/>
    <w:rsid w:val="00D216A5"/>
    <w:rsid w:val="00D22951"/>
    <w:rsid w:val="00D24085"/>
    <w:rsid w:val="00D24134"/>
    <w:rsid w:val="00D246A8"/>
    <w:rsid w:val="00D25ADB"/>
    <w:rsid w:val="00D2649F"/>
    <w:rsid w:val="00D307C3"/>
    <w:rsid w:val="00D30BC3"/>
    <w:rsid w:val="00D30C5B"/>
    <w:rsid w:val="00D30F8D"/>
    <w:rsid w:val="00D31546"/>
    <w:rsid w:val="00D31FA8"/>
    <w:rsid w:val="00D323B7"/>
    <w:rsid w:val="00D331D9"/>
    <w:rsid w:val="00D34BF7"/>
    <w:rsid w:val="00D35EF7"/>
    <w:rsid w:val="00D4101B"/>
    <w:rsid w:val="00D41C6C"/>
    <w:rsid w:val="00D42347"/>
    <w:rsid w:val="00D441C3"/>
    <w:rsid w:val="00D4420F"/>
    <w:rsid w:val="00D44A80"/>
    <w:rsid w:val="00D44B39"/>
    <w:rsid w:val="00D4766B"/>
    <w:rsid w:val="00D47D5A"/>
    <w:rsid w:val="00D5045E"/>
    <w:rsid w:val="00D50687"/>
    <w:rsid w:val="00D50C17"/>
    <w:rsid w:val="00D50D4C"/>
    <w:rsid w:val="00D510D1"/>
    <w:rsid w:val="00D516B0"/>
    <w:rsid w:val="00D529D4"/>
    <w:rsid w:val="00D52AB7"/>
    <w:rsid w:val="00D53E3C"/>
    <w:rsid w:val="00D5533D"/>
    <w:rsid w:val="00D55761"/>
    <w:rsid w:val="00D56252"/>
    <w:rsid w:val="00D5670A"/>
    <w:rsid w:val="00D56A2B"/>
    <w:rsid w:val="00D570BA"/>
    <w:rsid w:val="00D57B2D"/>
    <w:rsid w:val="00D60029"/>
    <w:rsid w:val="00D61FAF"/>
    <w:rsid w:val="00D62956"/>
    <w:rsid w:val="00D629D3"/>
    <w:rsid w:val="00D62EF1"/>
    <w:rsid w:val="00D634B5"/>
    <w:rsid w:val="00D63A50"/>
    <w:rsid w:val="00D63BE1"/>
    <w:rsid w:val="00D6407E"/>
    <w:rsid w:val="00D64377"/>
    <w:rsid w:val="00D6446E"/>
    <w:rsid w:val="00D649F9"/>
    <w:rsid w:val="00D64B14"/>
    <w:rsid w:val="00D64D46"/>
    <w:rsid w:val="00D6607B"/>
    <w:rsid w:val="00D67078"/>
    <w:rsid w:val="00D6732C"/>
    <w:rsid w:val="00D67956"/>
    <w:rsid w:val="00D7006E"/>
    <w:rsid w:val="00D70B2A"/>
    <w:rsid w:val="00D74540"/>
    <w:rsid w:val="00D74C46"/>
    <w:rsid w:val="00D760FA"/>
    <w:rsid w:val="00D8108C"/>
    <w:rsid w:val="00D815F8"/>
    <w:rsid w:val="00D81627"/>
    <w:rsid w:val="00D81EFF"/>
    <w:rsid w:val="00D81FAF"/>
    <w:rsid w:val="00D82CCF"/>
    <w:rsid w:val="00D82D12"/>
    <w:rsid w:val="00D82F89"/>
    <w:rsid w:val="00D84274"/>
    <w:rsid w:val="00D848C1"/>
    <w:rsid w:val="00D851EF"/>
    <w:rsid w:val="00D8606F"/>
    <w:rsid w:val="00D8683E"/>
    <w:rsid w:val="00D86894"/>
    <w:rsid w:val="00D90259"/>
    <w:rsid w:val="00D90873"/>
    <w:rsid w:val="00D90EA5"/>
    <w:rsid w:val="00D910D3"/>
    <w:rsid w:val="00D91596"/>
    <w:rsid w:val="00D91FFF"/>
    <w:rsid w:val="00D927F9"/>
    <w:rsid w:val="00D92C0E"/>
    <w:rsid w:val="00D94016"/>
    <w:rsid w:val="00D9443B"/>
    <w:rsid w:val="00D94EE1"/>
    <w:rsid w:val="00D95137"/>
    <w:rsid w:val="00D9579F"/>
    <w:rsid w:val="00D95C66"/>
    <w:rsid w:val="00D95D44"/>
    <w:rsid w:val="00D963A0"/>
    <w:rsid w:val="00DA1291"/>
    <w:rsid w:val="00DA2596"/>
    <w:rsid w:val="00DA4091"/>
    <w:rsid w:val="00DA6163"/>
    <w:rsid w:val="00DA6346"/>
    <w:rsid w:val="00DA6E3E"/>
    <w:rsid w:val="00DB0E7D"/>
    <w:rsid w:val="00DB3D3A"/>
    <w:rsid w:val="00DB43FD"/>
    <w:rsid w:val="00DB45FE"/>
    <w:rsid w:val="00DB4C19"/>
    <w:rsid w:val="00DB535C"/>
    <w:rsid w:val="00DB5367"/>
    <w:rsid w:val="00DB655D"/>
    <w:rsid w:val="00DB6905"/>
    <w:rsid w:val="00DB7553"/>
    <w:rsid w:val="00DB7AFC"/>
    <w:rsid w:val="00DB7BBB"/>
    <w:rsid w:val="00DB7F1F"/>
    <w:rsid w:val="00DB7FCC"/>
    <w:rsid w:val="00DC0112"/>
    <w:rsid w:val="00DC1B84"/>
    <w:rsid w:val="00DC2B89"/>
    <w:rsid w:val="00DC2DAA"/>
    <w:rsid w:val="00DC34A9"/>
    <w:rsid w:val="00DC5138"/>
    <w:rsid w:val="00DC6DE2"/>
    <w:rsid w:val="00DC7CF4"/>
    <w:rsid w:val="00DD0CD0"/>
    <w:rsid w:val="00DD1632"/>
    <w:rsid w:val="00DD28CA"/>
    <w:rsid w:val="00DD4065"/>
    <w:rsid w:val="00DD4618"/>
    <w:rsid w:val="00DD4CE7"/>
    <w:rsid w:val="00DD4EFC"/>
    <w:rsid w:val="00DD5FE9"/>
    <w:rsid w:val="00DD61A4"/>
    <w:rsid w:val="00DD7772"/>
    <w:rsid w:val="00DD7A5B"/>
    <w:rsid w:val="00DD7AB0"/>
    <w:rsid w:val="00DD7DD3"/>
    <w:rsid w:val="00DE2F21"/>
    <w:rsid w:val="00DE3835"/>
    <w:rsid w:val="00DE39C7"/>
    <w:rsid w:val="00DE3ED2"/>
    <w:rsid w:val="00DE4BD3"/>
    <w:rsid w:val="00DE4EDC"/>
    <w:rsid w:val="00DE5886"/>
    <w:rsid w:val="00DE722B"/>
    <w:rsid w:val="00DE7807"/>
    <w:rsid w:val="00DF084C"/>
    <w:rsid w:val="00DF1DAD"/>
    <w:rsid w:val="00DF20E0"/>
    <w:rsid w:val="00DF25FC"/>
    <w:rsid w:val="00DF2E56"/>
    <w:rsid w:val="00DF4034"/>
    <w:rsid w:val="00E0136A"/>
    <w:rsid w:val="00E01BF6"/>
    <w:rsid w:val="00E020FF"/>
    <w:rsid w:val="00E022C5"/>
    <w:rsid w:val="00E03F78"/>
    <w:rsid w:val="00E044D3"/>
    <w:rsid w:val="00E049C1"/>
    <w:rsid w:val="00E05932"/>
    <w:rsid w:val="00E074D7"/>
    <w:rsid w:val="00E115D5"/>
    <w:rsid w:val="00E13308"/>
    <w:rsid w:val="00E13C1D"/>
    <w:rsid w:val="00E13E16"/>
    <w:rsid w:val="00E144A7"/>
    <w:rsid w:val="00E152D2"/>
    <w:rsid w:val="00E16070"/>
    <w:rsid w:val="00E17868"/>
    <w:rsid w:val="00E21B04"/>
    <w:rsid w:val="00E21BE0"/>
    <w:rsid w:val="00E21FA9"/>
    <w:rsid w:val="00E23524"/>
    <w:rsid w:val="00E24036"/>
    <w:rsid w:val="00E243B2"/>
    <w:rsid w:val="00E248B8"/>
    <w:rsid w:val="00E249E9"/>
    <w:rsid w:val="00E255C0"/>
    <w:rsid w:val="00E25D19"/>
    <w:rsid w:val="00E25E77"/>
    <w:rsid w:val="00E25F06"/>
    <w:rsid w:val="00E264BE"/>
    <w:rsid w:val="00E265E3"/>
    <w:rsid w:val="00E26B59"/>
    <w:rsid w:val="00E3264D"/>
    <w:rsid w:val="00E3273D"/>
    <w:rsid w:val="00E32813"/>
    <w:rsid w:val="00E3347A"/>
    <w:rsid w:val="00E33C43"/>
    <w:rsid w:val="00E340B7"/>
    <w:rsid w:val="00E36E36"/>
    <w:rsid w:val="00E41180"/>
    <w:rsid w:val="00E421A8"/>
    <w:rsid w:val="00E432EC"/>
    <w:rsid w:val="00E439F9"/>
    <w:rsid w:val="00E4606A"/>
    <w:rsid w:val="00E46776"/>
    <w:rsid w:val="00E467D0"/>
    <w:rsid w:val="00E47061"/>
    <w:rsid w:val="00E50278"/>
    <w:rsid w:val="00E503A2"/>
    <w:rsid w:val="00E505EF"/>
    <w:rsid w:val="00E5247F"/>
    <w:rsid w:val="00E52869"/>
    <w:rsid w:val="00E53F35"/>
    <w:rsid w:val="00E540AF"/>
    <w:rsid w:val="00E54126"/>
    <w:rsid w:val="00E552E4"/>
    <w:rsid w:val="00E566CB"/>
    <w:rsid w:val="00E60BCC"/>
    <w:rsid w:val="00E6225D"/>
    <w:rsid w:val="00E6257A"/>
    <w:rsid w:val="00E6317D"/>
    <w:rsid w:val="00E64B3A"/>
    <w:rsid w:val="00E64B59"/>
    <w:rsid w:val="00E659E5"/>
    <w:rsid w:val="00E65AE9"/>
    <w:rsid w:val="00E67CA9"/>
    <w:rsid w:val="00E67D1F"/>
    <w:rsid w:val="00E7138C"/>
    <w:rsid w:val="00E728B2"/>
    <w:rsid w:val="00E72B56"/>
    <w:rsid w:val="00E734A7"/>
    <w:rsid w:val="00E735B1"/>
    <w:rsid w:val="00E74190"/>
    <w:rsid w:val="00E743FB"/>
    <w:rsid w:val="00E75487"/>
    <w:rsid w:val="00E75861"/>
    <w:rsid w:val="00E77F48"/>
    <w:rsid w:val="00E80F67"/>
    <w:rsid w:val="00E81D9D"/>
    <w:rsid w:val="00E8258C"/>
    <w:rsid w:val="00E83F81"/>
    <w:rsid w:val="00E856A4"/>
    <w:rsid w:val="00E86E97"/>
    <w:rsid w:val="00E9124A"/>
    <w:rsid w:val="00E9138A"/>
    <w:rsid w:val="00E9225A"/>
    <w:rsid w:val="00E924BF"/>
    <w:rsid w:val="00E93368"/>
    <w:rsid w:val="00E936B2"/>
    <w:rsid w:val="00E9502D"/>
    <w:rsid w:val="00E96B02"/>
    <w:rsid w:val="00E975FA"/>
    <w:rsid w:val="00EA0730"/>
    <w:rsid w:val="00EA2C16"/>
    <w:rsid w:val="00EA2C3F"/>
    <w:rsid w:val="00EA3090"/>
    <w:rsid w:val="00EA3F95"/>
    <w:rsid w:val="00EA4B69"/>
    <w:rsid w:val="00EA4EEC"/>
    <w:rsid w:val="00EA58A5"/>
    <w:rsid w:val="00EA5DA2"/>
    <w:rsid w:val="00EA62AA"/>
    <w:rsid w:val="00EA665B"/>
    <w:rsid w:val="00EA688C"/>
    <w:rsid w:val="00EA6AFB"/>
    <w:rsid w:val="00EA7402"/>
    <w:rsid w:val="00EA76C3"/>
    <w:rsid w:val="00EB03F5"/>
    <w:rsid w:val="00EB25CA"/>
    <w:rsid w:val="00EB2A59"/>
    <w:rsid w:val="00EB2EC1"/>
    <w:rsid w:val="00EB2F97"/>
    <w:rsid w:val="00EB3AE3"/>
    <w:rsid w:val="00EB3CAE"/>
    <w:rsid w:val="00EB5AC5"/>
    <w:rsid w:val="00EB69B4"/>
    <w:rsid w:val="00EB71A2"/>
    <w:rsid w:val="00EB779B"/>
    <w:rsid w:val="00EB7CFA"/>
    <w:rsid w:val="00EC394A"/>
    <w:rsid w:val="00EC43D2"/>
    <w:rsid w:val="00EC43ED"/>
    <w:rsid w:val="00EC5505"/>
    <w:rsid w:val="00EC5E77"/>
    <w:rsid w:val="00EC6024"/>
    <w:rsid w:val="00EC6D47"/>
    <w:rsid w:val="00EC749D"/>
    <w:rsid w:val="00EC7CD0"/>
    <w:rsid w:val="00ED0ADD"/>
    <w:rsid w:val="00ED144E"/>
    <w:rsid w:val="00ED2131"/>
    <w:rsid w:val="00ED2342"/>
    <w:rsid w:val="00ED24F2"/>
    <w:rsid w:val="00ED3151"/>
    <w:rsid w:val="00ED3BE4"/>
    <w:rsid w:val="00ED52E7"/>
    <w:rsid w:val="00ED5780"/>
    <w:rsid w:val="00ED5E60"/>
    <w:rsid w:val="00ED5EB2"/>
    <w:rsid w:val="00ED6463"/>
    <w:rsid w:val="00ED6902"/>
    <w:rsid w:val="00EE2552"/>
    <w:rsid w:val="00EE2D6B"/>
    <w:rsid w:val="00EE375C"/>
    <w:rsid w:val="00EE415E"/>
    <w:rsid w:val="00EE4277"/>
    <w:rsid w:val="00EE7778"/>
    <w:rsid w:val="00EE7FE3"/>
    <w:rsid w:val="00EF07FE"/>
    <w:rsid w:val="00EF1A34"/>
    <w:rsid w:val="00EF2F84"/>
    <w:rsid w:val="00EF356B"/>
    <w:rsid w:val="00EF54D5"/>
    <w:rsid w:val="00EF5CAF"/>
    <w:rsid w:val="00EF5E14"/>
    <w:rsid w:val="00EF5FDB"/>
    <w:rsid w:val="00EF6D63"/>
    <w:rsid w:val="00EF7720"/>
    <w:rsid w:val="00EF7A4A"/>
    <w:rsid w:val="00EF7D5D"/>
    <w:rsid w:val="00F0124A"/>
    <w:rsid w:val="00F017D2"/>
    <w:rsid w:val="00F01FCF"/>
    <w:rsid w:val="00F0290D"/>
    <w:rsid w:val="00F02B2F"/>
    <w:rsid w:val="00F030A3"/>
    <w:rsid w:val="00F060DB"/>
    <w:rsid w:val="00F065EA"/>
    <w:rsid w:val="00F069EE"/>
    <w:rsid w:val="00F06DFE"/>
    <w:rsid w:val="00F072BD"/>
    <w:rsid w:val="00F1187C"/>
    <w:rsid w:val="00F11967"/>
    <w:rsid w:val="00F1275E"/>
    <w:rsid w:val="00F12B00"/>
    <w:rsid w:val="00F1385D"/>
    <w:rsid w:val="00F16621"/>
    <w:rsid w:val="00F16EFA"/>
    <w:rsid w:val="00F17345"/>
    <w:rsid w:val="00F205D9"/>
    <w:rsid w:val="00F218D8"/>
    <w:rsid w:val="00F249C9"/>
    <w:rsid w:val="00F269BE"/>
    <w:rsid w:val="00F3317D"/>
    <w:rsid w:val="00F33347"/>
    <w:rsid w:val="00F33A32"/>
    <w:rsid w:val="00F33E9B"/>
    <w:rsid w:val="00F34566"/>
    <w:rsid w:val="00F3597B"/>
    <w:rsid w:val="00F359E5"/>
    <w:rsid w:val="00F35E3C"/>
    <w:rsid w:val="00F363BF"/>
    <w:rsid w:val="00F366D3"/>
    <w:rsid w:val="00F36771"/>
    <w:rsid w:val="00F37A61"/>
    <w:rsid w:val="00F40170"/>
    <w:rsid w:val="00F40DDE"/>
    <w:rsid w:val="00F4120B"/>
    <w:rsid w:val="00F413CF"/>
    <w:rsid w:val="00F4251A"/>
    <w:rsid w:val="00F42745"/>
    <w:rsid w:val="00F452F6"/>
    <w:rsid w:val="00F5205E"/>
    <w:rsid w:val="00F529D5"/>
    <w:rsid w:val="00F52DB9"/>
    <w:rsid w:val="00F53283"/>
    <w:rsid w:val="00F5336B"/>
    <w:rsid w:val="00F54787"/>
    <w:rsid w:val="00F565E6"/>
    <w:rsid w:val="00F56BF6"/>
    <w:rsid w:val="00F56ED7"/>
    <w:rsid w:val="00F570E8"/>
    <w:rsid w:val="00F576AA"/>
    <w:rsid w:val="00F57A75"/>
    <w:rsid w:val="00F60A6C"/>
    <w:rsid w:val="00F61643"/>
    <w:rsid w:val="00F61E84"/>
    <w:rsid w:val="00F626A9"/>
    <w:rsid w:val="00F63023"/>
    <w:rsid w:val="00F63279"/>
    <w:rsid w:val="00F636D7"/>
    <w:rsid w:val="00F64BFE"/>
    <w:rsid w:val="00F66569"/>
    <w:rsid w:val="00F666F7"/>
    <w:rsid w:val="00F668FD"/>
    <w:rsid w:val="00F672FE"/>
    <w:rsid w:val="00F67FD1"/>
    <w:rsid w:val="00F707E4"/>
    <w:rsid w:val="00F70EBF"/>
    <w:rsid w:val="00F73944"/>
    <w:rsid w:val="00F73F61"/>
    <w:rsid w:val="00F750FF"/>
    <w:rsid w:val="00F75DF8"/>
    <w:rsid w:val="00F77EF7"/>
    <w:rsid w:val="00F77F4D"/>
    <w:rsid w:val="00F80A7E"/>
    <w:rsid w:val="00F80C74"/>
    <w:rsid w:val="00F80D72"/>
    <w:rsid w:val="00F82991"/>
    <w:rsid w:val="00F82C83"/>
    <w:rsid w:val="00F8510A"/>
    <w:rsid w:val="00F867EF"/>
    <w:rsid w:val="00F86CCD"/>
    <w:rsid w:val="00F86E6B"/>
    <w:rsid w:val="00F87776"/>
    <w:rsid w:val="00F87A8D"/>
    <w:rsid w:val="00F92E80"/>
    <w:rsid w:val="00F93893"/>
    <w:rsid w:val="00F9414A"/>
    <w:rsid w:val="00F947C2"/>
    <w:rsid w:val="00F94B1E"/>
    <w:rsid w:val="00F95238"/>
    <w:rsid w:val="00F96F7F"/>
    <w:rsid w:val="00F97252"/>
    <w:rsid w:val="00F97D48"/>
    <w:rsid w:val="00F97F3F"/>
    <w:rsid w:val="00FA0725"/>
    <w:rsid w:val="00FA074E"/>
    <w:rsid w:val="00FA07F6"/>
    <w:rsid w:val="00FA0A86"/>
    <w:rsid w:val="00FA39AC"/>
    <w:rsid w:val="00FA3BDD"/>
    <w:rsid w:val="00FA41E2"/>
    <w:rsid w:val="00FA48A0"/>
    <w:rsid w:val="00FA5A98"/>
    <w:rsid w:val="00FA625C"/>
    <w:rsid w:val="00FA6802"/>
    <w:rsid w:val="00FB0AA2"/>
    <w:rsid w:val="00FB0C8A"/>
    <w:rsid w:val="00FB0CB2"/>
    <w:rsid w:val="00FB1F3A"/>
    <w:rsid w:val="00FB2281"/>
    <w:rsid w:val="00FB26A6"/>
    <w:rsid w:val="00FB289E"/>
    <w:rsid w:val="00FB3265"/>
    <w:rsid w:val="00FB3549"/>
    <w:rsid w:val="00FB3D6A"/>
    <w:rsid w:val="00FB3E13"/>
    <w:rsid w:val="00FB426D"/>
    <w:rsid w:val="00FB497E"/>
    <w:rsid w:val="00FB497F"/>
    <w:rsid w:val="00FB5B47"/>
    <w:rsid w:val="00FB6082"/>
    <w:rsid w:val="00FB7519"/>
    <w:rsid w:val="00FC2E2E"/>
    <w:rsid w:val="00FC3618"/>
    <w:rsid w:val="00FC38F2"/>
    <w:rsid w:val="00FC3C56"/>
    <w:rsid w:val="00FC4DBE"/>
    <w:rsid w:val="00FC6431"/>
    <w:rsid w:val="00FC6C31"/>
    <w:rsid w:val="00FC6C32"/>
    <w:rsid w:val="00FD000F"/>
    <w:rsid w:val="00FD074E"/>
    <w:rsid w:val="00FD10C2"/>
    <w:rsid w:val="00FD1142"/>
    <w:rsid w:val="00FD2C08"/>
    <w:rsid w:val="00FD44ED"/>
    <w:rsid w:val="00FD56EE"/>
    <w:rsid w:val="00FD6533"/>
    <w:rsid w:val="00FD6CBB"/>
    <w:rsid w:val="00FD6D67"/>
    <w:rsid w:val="00FD6D8F"/>
    <w:rsid w:val="00FD6FBA"/>
    <w:rsid w:val="00FE0820"/>
    <w:rsid w:val="00FE1B4E"/>
    <w:rsid w:val="00FE220A"/>
    <w:rsid w:val="00FE3BBE"/>
    <w:rsid w:val="00FE3C81"/>
    <w:rsid w:val="00FE41E1"/>
    <w:rsid w:val="00FE4B59"/>
    <w:rsid w:val="00FE5044"/>
    <w:rsid w:val="00FE566F"/>
    <w:rsid w:val="00FE5E1C"/>
    <w:rsid w:val="00FF08EA"/>
    <w:rsid w:val="00FF174E"/>
    <w:rsid w:val="00FF32C5"/>
    <w:rsid w:val="00FF4D9C"/>
    <w:rsid w:val="00FF4FCF"/>
    <w:rsid w:val="00FF52CF"/>
    <w:rsid w:val="00FF5356"/>
    <w:rsid w:val="00FF55DE"/>
    <w:rsid w:val="00FF5E40"/>
    <w:rsid w:val="00FF6B7C"/>
    <w:rsid w:val="00FF73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color="white" strokecolor="#c2d69b">
      <v:fill color="white" color2="#d6e3bc" focusposition="1" focussize="" focus="100%" type="gradient"/>
      <v:stroke color="#c2d69b" weight="1pt"/>
      <v:shadow on="t" type="perspective" color="#4e6128" opacity=".5" offset="1pt" offset2="-3pt"/>
      <o:colormru v:ext="edit" colors="#0064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en-US"/>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List 2"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0B2A"/>
    <w:pPr>
      <w:widowControl w:val="0"/>
      <w:spacing w:after="200" w:line="276" w:lineRule="auto"/>
    </w:pPr>
    <w:rPr>
      <w:rFonts w:ascii="Arial" w:hAnsi="Arial"/>
      <w:sz w:val="22"/>
      <w:szCs w:val="22"/>
    </w:rPr>
  </w:style>
  <w:style w:type="paragraph" w:styleId="Heading1">
    <w:name w:val="heading 1"/>
    <w:basedOn w:val="BOldTitle"/>
    <w:next w:val="Normal"/>
    <w:link w:val="Heading1Char1"/>
    <w:autoRedefine/>
    <w:uiPriority w:val="9"/>
    <w:qFormat/>
    <w:rsid w:val="00D70B2A"/>
    <w:pPr>
      <w:spacing w:after="120"/>
      <w:jc w:val="both"/>
      <w:outlineLvl w:val="0"/>
    </w:pPr>
    <w:rPr>
      <w:color w:val="FFFFFF"/>
      <w:spacing w:val="-1"/>
      <w:szCs w:val="20"/>
    </w:rPr>
  </w:style>
  <w:style w:type="paragraph" w:styleId="Heading2">
    <w:name w:val="heading 2"/>
    <w:basedOn w:val="Normal"/>
    <w:next w:val="Normal"/>
    <w:link w:val="Heading2Char"/>
    <w:uiPriority w:val="9"/>
    <w:unhideWhenUsed/>
    <w:qFormat/>
    <w:rsid w:val="00D70B2A"/>
    <w:pPr>
      <w:pBdr>
        <w:bottom w:val="single" w:sz="4" w:space="1" w:color="auto"/>
      </w:pBdr>
      <w:spacing w:after="120"/>
      <w:jc w:val="both"/>
      <w:outlineLvl w:val="1"/>
    </w:pPr>
    <w:rPr>
      <w:rFonts w:ascii="Calibri" w:hAnsi="Calibri"/>
      <w:b/>
      <w:color w:val="006460"/>
      <w:sz w:val="20"/>
      <w:szCs w:val="20"/>
    </w:rPr>
  </w:style>
  <w:style w:type="paragraph" w:styleId="Heading3">
    <w:name w:val="heading 3"/>
    <w:basedOn w:val="Normal"/>
    <w:next w:val="Normal"/>
    <w:link w:val="Heading3Char1"/>
    <w:autoRedefine/>
    <w:uiPriority w:val="9"/>
    <w:unhideWhenUsed/>
    <w:qFormat/>
    <w:rsid w:val="00A60772"/>
    <w:pPr>
      <w:keepNext/>
      <w:widowControl/>
      <w:numPr>
        <w:numId w:val="24"/>
      </w:numPr>
      <w:spacing w:before="240" w:after="60" w:line="240" w:lineRule="auto"/>
      <w:outlineLvl w:val="2"/>
    </w:pPr>
    <w:rPr>
      <w:rFonts w:ascii="Times New Roman" w:eastAsia="Arial" w:hAnsi="Times New Roman"/>
      <w:b/>
      <w:bCs/>
      <w:color w:val="333333"/>
      <w:sz w:val="24"/>
      <w:szCs w:val="24"/>
    </w:rPr>
  </w:style>
  <w:style w:type="paragraph" w:styleId="Heading4">
    <w:name w:val="heading 4"/>
    <w:basedOn w:val="Normal"/>
    <w:next w:val="Normal"/>
    <w:link w:val="Heading4Char"/>
    <w:autoRedefine/>
    <w:uiPriority w:val="9"/>
    <w:unhideWhenUsed/>
    <w:qFormat/>
    <w:rsid w:val="00D70B2A"/>
    <w:pPr>
      <w:spacing w:after="0"/>
      <w:ind w:right="51"/>
      <w:outlineLvl w:val="3"/>
    </w:pPr>
    <w:rPr>
      <w:b/>
      <w:color w:val="006460"/>
      <w:sz w:val="20"/>
      <w:szCs w:val="20"/>
    </w:rPr>
  </w:style>
  <w:style w:type="paragraph" w:styleId="Heading5">
    <w:name w:val="heading 5"/>
    <w:basedOn w:val="ListParagraph"/>
    <w:next w:val="Normal"/>
    <w:link w:val="Heading5Char"/>
    <w:autoRedefine/>
    <w:uiPriority w:val="9"/>
    <w:unhideWhenUsed/>
    <w:qFormat/>
    <w:rsid w:val="008E7E22"/>
    <w:pPr>
      <w:widowControl/>
      <w:numPr>
        <w:numId w:val="0"/>
      </w:numPr>
      <w:spacing w:before="240" w:after="60" w:line="240" w:lineRule="auto"/>
      <w:ind w:right="0"/>
      <w:contextualSpacing w:val="0"/>
      <w:jc w:val="left"/>
      <w:outlineLvl w:val="4"/>
    </w:pPr>
    <w:rPr>
      <w:b/>
      <w:i w:val="0"/>
    </w:rPr>
  </w:style>
  <w:style w:type="paragraph" w:styleId="Heading6">
    <w:name w:val="heading 6"/>
    <w:basedOn w:val="Normal"/>
    <w:next w:val="Normal"/>
    <w:link w:val="Heading6Char"/>
    <w:uiPriority w:val="9"/>
    <w:semiHidden/>
    <w:unhideWhenUsed/>
    <w:qFormat/>
    <w:rsid w:val="00C92973"/>
    <w:pPr>
      <w:keepNext/>
      <w:keepLines/>
      <w:spacing w:before="200" w:after="0"/>
      <w:outlineLvl w:val="5"/>
    </w:pPr>
    <w:rPr>
      <w:rFonts w:ascii="Cambria" w:eastAsia="Times New Roman" w:hAnsi="Cambria"/>
      <w:i/>
      <w:iCs/>
      <w:color w:val="243F60"/>
      <w:sz w:val="20"/>
      <w:szCs w:val="20"/>
    </w:rPr>
  </w:style>
  <w:style w:type="paragraph" w:styleId="Heading7">
    <w:name w:val="heading 7"/>
    <w:basedOn w:val="Normal"/>
    <w:next w:val="Normal"/>
    <w:link w:val="Heading7Char"/>
    <w:uiPriority w:val="9"/>
    <w:semiHidden/>
    <w:unhideWhenUsed/>
    <w:qFormat/>
    <w:rsid w:val="00234F72"/>
    <w:pPr>
      <w:keepNext/>
      <w:keepLines/>
      <w:spacing w:before="200" w:after="0"/>
      <w:outlineLvl w:val="6"/>
    </w:pPr>
    <w:rPr>
      <w:rFonts w:ascii="Cambria" w:eastAsia="Times New Roman" w:hAnsi="Cambria"/>
      <w:i/>
      <w:iCs/>
      <w:color w:val="404040"/>
      <w:sz w:val="20"/>
      <w:szCs w:val="20"/>
    </w:rPr>
  </w:style>
  <w:style w:type="paragraph" w:styleId="Heading8">
    <w:name w:val="heading 8"/>
    <w:basedOn w:val="Normal"/>
    <w:next w:val="Normal"/>
    <w:link w:val="Heading8Char"/>
    <w:uiPriority w:val="9"/>
    <w:unhideWhenUsed/>
    <w:qFormat/>
    <w:rsid w:val="00D70B2A"/>
    <w:pPr>
      <w:keepNext/>
      <w:keepLines/>
      <w:spacing w:before="200" w:after="0"/>
      <w:outlineLvl w:val="7"/>
    </w:pPr>
    <w:rPr>
      <w:rFonts w:ascii="Cambria" w:eastAsia="Times New Roman" w:hAnsi="Cambria"/>
      <w:color w:val="666666"/>
      <w:sz w:val="20"/>
      <w:szCs w:val="20"/>
    </w:rPr>
  </w:style>
  <w:style w:type="paragraph" w:styleId="Heading9">
    <w:name w:val="heading 9"/>
    <w:basedOn w:val="Normal"/>
    <w:next w:val="Normal"/>
    <w:link w:val="Heading9Char"/>
    <w:uiPriority w:val="9"/>
    <w:semiHidden/>
    <w:unhideWhenUsed/>
    <w:qFormat/>
    <w:rsid w:val="0083724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A5291"/>
    <w:pPr>
      <w:tabs>
        <w:tab w:val="center" w:pos="4153"/>
        <w:tab w:val="right" w:pos="8306"/>
      </w:tabs>
    </w:pPr>
    <w:rPr>
      <w:szCs w:val="20"/>
    </w:rPr>
  </w:style>
  <w:style w:type="character" w:styleId="PageNumber">
    <w:name w:val="page number"/>
    <w:basedOn w:val="DefaultParagraphFont"/>
    <w:rsid w:val="006A5291"/>
  </w:style>
  <w:style w:type="paragraph" w:styleId="NormalWeb">
    <w:name w:val="Normal (Web)"/>
    <w:basedOn w:val="Normal"/>
    <w:rsid w:val="006A5291"/>
    <w:pPr>
      <w:spacing w:before="100" w:beforeAutospacing="1" w:after="100" w:afterAutospacing="1"/>
    </w:pPr>
    <w:rPr>
      <w:rFonts w:ascii="Times New Roman" w:hAnsi="Times New Roman"/>
      <w:sz w:val="24"/>
      <w:szCs w:val="24"/>
    </w:rPr>
  </w:style>
  <w:style w:type="paragraph" w:styleId="BalloonText">
    <w:name w:val="Balloon Text"/>
    <w:basedOn w:val="Normal"/>
    <w:semiHidden/>
    <w:rsid w:val="006A5291"/>
    <w:rPr>
      <w:rFonts w:ascii="Tahoma" w:hAnsi="Tahoma" w:cs="Calibri"/>
      <w:sz w:val="16"/>
      <w:szCs w:val="16"/>
    </w:rPr>
  </w:style>
  <w:style w:type="character" w:styleId="Hyperlink">
    <w:name w:val="Hyperlink"/>
    <w:uiPriority w:val="99"/>
    <w:rsid w:val="006A5291"/>
    <w:rPr>
      <w:color w:val="0000FF"/>
      <w:u w:val="single"/>
    </w:rPr>
  </w:style>
  <w:style w:type="paragraph" w:styleId="BodyText">
    <w:name w:val="Body Text"/>
    <w:basedOn w:val="Normal"/>
    <w:link w:val="BodyTextChar"/>
    <w:semiHidden/>
    <w:rsid w:val="006A5291"/>
    <w:pPr>
      <w:jc w:val="both"/>
    </w:pPr>
    <w:rPr>
      <w:szCs w:val="20"/>
    </w:rPr>
  </w:style>
  <w:style w:type="paragraph" w:styleId="BodyTextIndent">
    <w:name w:val="Body Text Indent"/>
    <w:basedOn w:val="Normal"/>
    <w:semiHidden/>
    <w:rsid w:val="006A5291"/>
    <w:pPr>
      <w:ind w:left="360" w:hanging="360"/>
      <w:jc w:val="both"/>
    </w:pPr>
  </w:style>
  <w:style w:type="paragraph" w:styleId="BodyText2">
    <w:name w:val="Body Text 2"/>
    <w:basedOn w:val="Normal"/>
    <w:semiHidden/>
    <w:rsid w:val="006A5291"/>
    <w:pPr>
      <w:jc w:val="both"/>
    </w:pPr>
    <w:rPr>
      <w:i/>
    </w:rPr>
  </w:style>
  <w:style w:type="paragraph" w:styleId="BodyText3">
    <w:name w:val="Body Text 3"/>
    <w:basedOn w:val="Normal"/>
    <w:semiHidden/>
    <w:rsid w:val="006A5291"/>
    <w:pPr>
      <w:jc w:val="both"/>
    </w:pPr>
    <w:rPr>
      <w:i/>
      <w:color w:val="008080"/>
      <w:kern w:val="32"/>
    </w:rPr>
  </w:style>
  <w:style w:type="character" w:styleId="CommentReference">
    <w:name w:val="annotation reference"/>
    <w:uiPriority w:val="99"/>
    <w:semiHidden/>
    <w:rsid w:val="006A5291"/>
    <w:rPr>
      <w:sz w:val="16"/>
      <w:szCs w:val="16"/>
    </w:rPr>
  </w:style>
  <w:style w:type="paragraph" w:styleId="CommentText">
    <w:name w:val="annotation text"/>
    <w:basedOn w:val="Normal"/>
    <w:link w:val="CommentTextChar"/>
    <w:uiPriority w:val="99"/>
    <w:rsid w:val="006A5291"/>
    <w:rPr>
      <w:sz w:val="20"/>
      <w:szCs w:val="20"/>
    </w:rPr>
  </w:style>
  <w:style w:type="paragraph" w:styleId="CommentSubject">
    <w:name w:val="annotation subject"/>
    <w:basedOn w:val="CommentText"/>
    <w:next w:val="CommentText"/>
    <w:semiHidden/>
    <w:rsid w:val="006A5291"/>
    <w:rPr>
      <w:b/>
      <w:bCs/>
    </w:rPr>
  </w:style>
  <w:style w:type="paragraph" w:customStyle="1" w:styleId="ColorfulList-Accent11">
    <w:name w:val="Colorful List - Accent 11"/>
    <w:basedOn w:val="Normal"/>
    <w:rsid w:val="006A5291"/>
    <w:pPr>
      <w:ind w:left="720"/>
    </w:pPr>
    <w:rPr>
      <w:rFonts w:ascii="Calibri" w:hAnsi="Calibri"/>
    </w:rPr>
  </w:style>
  <w:style w:type="paragraph" w:styleId="FootnoteText">
    <w:name w:val="footnote text"/>
    <w:aliases w:val="FOOTNOTES,fn,single space,f,ALTS FOOTNOTE"/>
    <w:basedOn w:val="Normal"/>
    <w:link w:val="FootnoteTextChar"/>
    <w:rsid w:val="006A5291"/>
    <w:rPr>
      <w:sz w:val="20"/>
      <w:szCs w:val="20"/>
    </w:rPr>
  </w:style>
  <w:style w:type="character" w:styleId="FootnoteReference">
    <w:name w:val="footnote reference"/>
    <w:rsid w:val="006A5291"/>
    <w:rPr>
      <w:vertAlign w:val="superscript"/>
    </w:rPr>
  </w:style>
  <w:style w:type="table" w:styleId="TableGrid">
    <w:name w:val="Table Grid"/>
    <w:basedOn w:val="TableNormal"/>
    <w:uiPriority w:val="59"/>
    <w:rsid w:val="008358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rsid w:val="00D70B2A"/>
    <w:pPr>
      <w:tabs>
        <w:tab w:val="right" w:leader="dot" w:pos="10195"/>
      </w:tabs>
      <w:spacing w:after="0"/>
      <w:ind w:left="221"/>
    </w:pPr>
    <w:rPr>
      <w:rFonts w:ascii="Calibri" w:hAnsi="Calibri" w:cs="Calibri"/>
      <w:smallCaps/>
      <w:sz w:val="20"/>
    </w:rPr>
  </w:style>
  <w:style w:type="paragraph" w:styleId="TOC3">
    <w:name w:val="toc 3"/>
    <w:basedOn w:val="Normal"/>
    <w:next w:val="Normal"/>
    <w:autoRedefine/>
    <w:uiPriority w:val="39"/>
    <w:rsid w:val="002C2F24"/>
    <w:pPr>
      <w:ind w:left="440"/>
    </w:pPr>
    <w:rPr>
      <w:rFonts w:ascii="Calibri" w:hAnsi="Calibri" w:cs="Calibri"/>
      <w:i/>
      <w:iCs/>
      <w:sz w:val="20"/>
    </w:rPr>
  </w:style>
  <w:style w:type="paragraph" w:styleId="Header">
    <w:name w:val="header"/>
    <w:basedOn w:val="Normal"/>
    <w:link w:val="HeaderChar"/>
    <w:uiPriority w:val="99"/>
    <w:rsid w:val="003C4ACF"/>
    <w:pPr>
      <w:tabs>
        <w:tab w:val="center" w:pos="4153"/>
        <w:tab w:val="right" w:pos="8306"/>
      </w:tabs>
    </w:pPr>
    <w:rPr>
      <w:szCs w:val="20"/>
    </w:rPr>
  </w:style>
  <w:style w:type="character" w:customStyle="1" w:styleId="Heading2Char">
    <w:name w:val="Heading 2 Char"/>
    <w:link w:val="Heading2"/>
    <w:uiPriority w:val="9"/>
    <w:rsid w:val="00D70B2A"/>
    <w:rPr>
      <w:rFonts w:cs="Calibri"/>
      <w:b/>
      <w:color w:val="006460"/>
    </w:rPr>
  </w:style>
  <w:style w:type="paragraph" w:styleId="TOC1">
    <w:name w:val="toc 1"/>
    <w:basedOn w:val="Normal"/>
    <w:next w:val="Normal"/>
    <w:autoRedefine/>
    <w:uiPriority w:val="39"/>
    <w:rsid w:val="0022688C"/>
    <w:pPr>
      <w:tabs>
        <w:tab w:val="right" w:leader="dot" w:pos="10195"/>
      </w:tabs>
      <w:spacing w:before="120" w:after="120" w:line="240" w:lineRule="auto"/>
      <w:jc w:val="center"/>
    </w:pPr>
    <w:rPr>
      <w:rFonts w:ascii="Calibri" w:hAnsi="Calibri" w:cs="Calibri"/>
      <w:b/>
      <w:bCs/>
      <w:caps/>
      <w:sz w:val="20"/>
    </w:rPr>
  </w:style>
  <w:style w:type="paragraph" w:customStyle="1" w:styleId="Default">
    <w:name w:val="Default"/>
    <w:rsid w:val="007436A7"/>
    <w:pPr>
      <w:widowControl w:val="0"/>
      <w:autoSpaceDE w:val="0"/>
      <w:autoSpaceDN w:val="0"/>
      <w:adjustRightInd w:val="0"/>
      <w:spacing w:after="200" w:line="276" w:lineRule="auto"/>
    </w:pPr>
    <w:rPr>
      <w:rFonts w:ascii="Trebuchet MS" w:hAnsi="Trebuchet MS" w:cs="Trebuchet MS"/>
      <w:color w:val="000000"/>
      <w:sz w:val="24"/>
      <w:szCs w:val="24"/>
    </w:rPr>
  </w:style>
  <w:style w:type="character" w:styleId="FollowedHyperlink">
    <w:name w:val="FollowedHyperlink"/>
    <w:uiPriority w:val="99"/>
    <w:semiHidden/>
    <w:unhideWhenUsed/>
    <w:rsid w:val="00A4675B"/>
    <w:rPr>
      <w:color w:val="800080"/>
      <w:u w:val="single"/>
    </w:rPr>
  </w:style>
  <w:style w:type="character" w:customStyle="1" w:styleId="CommentTextChar">
    <w:name w:val="Comment Text Char"/>
    <w:link w:val="CommentText"/>
    <w:uiPriority w:val="99"/>
    <w:rsid w:val="005E687D"/>
    <w:rPr>
      <w:rFonts w:ascii="Arial" w:hAnsi="Arial"/>
      <w:lang w:val="en-US" w:eastAsia="en-US"/>
    </w:rPr>
  </w:style>
  <w:style w:type="character" w:customStyle="1" w:styleId="Heading6Char">
    <w:name w:val="Heading 6 Char"/>
    <w:link w:val="Heading6"/>
    <w:uiPriority w:val="9"/>
    <w:semiHidden/>
    <w:rsid w:val="00C92973"/>
    <w:rPr>
      <w:rFonts w:ascii="Cambria" w:eastAsia="Times New Roman" w:hAnsi="Cambria" w:cs="Times New Roman"/>
      <w:i/>
      <w:iCs/>
      <w:color w:val="243F60"/>
    </w:rPr>
  </w:style>
  <w:style w:type="character" w:customStyle="1" w:styleId="FooterChar">
    <w:name w:val="Footer Char"/>
    <w:link w:val="Footer"/>
    <w:uiPriority w:val="99"/>
    <w:rsid w:val="00C92973"/>
    <w:rPr>
      <w:rFonts w:ascii="Arial" w:hAnsi="Arial"/>
      <w:sz w:val="22"/>
      <w:lang w:val="en-US" w:eastAsia="en-US"/>
    </w:rPr>
  </w:style>
  <w:style w:type="character" w:customStyle="1" w:styleId="Heading7Char">
    <w:name w:val="Heading 7 Char"/>
    <w:link w:val="Heading7"/>
    <w:uiPriority w:val="9"/>
    <w:semiHidden/>
    <w:rsid w:val="00234F72"/>
    <w:rPr>
      <w:rFonts w:ascii="Cambria" w:eastAsia="Times New Roman" w:hAnsi="Cambria" w:cs="Times New Roman"/>
      <w:i/>
      <w:iCs/>
      <w:color w:val="404040"/>
    </w:rPr>
  </w:style>
  <w:style w:type="character" w:customStyle="1" w:styleId="Heading9Char">
    <w:name w:val="Heading 9 Char"/>
    <w:link w:val="Heading9"/>
    <w:uiPriority w:val="9"/>
    <w:semiHidden/>
    <w:rsid w:val="00837243"/>
    <w:rPr>
      <w:rFonts w:ascii="Cambria" w:eastAsia="Times New Roman" w:hAnsi="Cambria" w:cs="Times New Roman"/>
      <w:i/>
      <w:iCs/>
      <w:color w:val="404040"/>
      <w:sz w:val="20"/>
      <w:szCs w:val="20"/>
    </w:rPr>
  </w:style>
  <w:style w:type="character" w:customStyle="1" w:styleId="BodyTextChar">
    <w:name w:val="Body Text Char"/>
    <w:link w:val="BodyText"/>
    <w:semiHidden/>
    <w:rsid w:val="001153AD"/>
    <w:rPr>
      <w:rFonts w:ascii="Arial" w:hAnsi="Arial"/>
      <w:sz w:val="22"/>
    </w:rPr>
  </w:style>
  <w:style w:type="character" w:customStyle="1" w:styleId="CharChar8">
    <w:name w:val="Char Char8"/>
    <w:locked/>
    <w:rsid w:val="00D94453"/>
    <w:rPr>
      <w:rFonts w:ascii="Arial" w:hAnsi="Arial" w:cs="Times New Roman"/>
      <w:i/>
      <w:sz w:val="20"/>
      <w:szCs w:val="20"/>
      <w:lang w:eastAsia="en-US"/>
    </w:rPr>
  </w:style>
  <w:style w:type="character" w:customStyle="1" w:styleId="ContentsTitle">
    <w:name w:val="Contents Title"/>
    <w:rsid w:val="00D94453"/>
    <w:rPr>
      <w:rFonts w:ascii="Arial" w:hAnsi="Arial"/>
      <w:color w:val="005199"/>
      <w:sz w:val="36"/>
      <w:szCs w:val="36"/>
    </w:rPr>
  </w:style>
  <w:style w:type="character" w:customStyle="1" w:styleId="Heading1Char">
    <w:name w:val="Heading 1 Char"/>
    <w:rsid w:val="00D94453"/>
    <w:rPr>
      <w:rFonts w:ascii="Arial" w:hAnsi="Arial"/>
      <w:i/>
      <w:noProof w:val="0"/>
      <w:sz w:val="22"/>
      <w:lang w:val="en-US" w:eastAsia="en-US" w:bidi="en-US"/>
    </w:rPr>
  </w:style>
  <w:style w:type="paragraph" w:customStyle="1" w:styleId="ColorfulList-Accent12">
    <w:name w:val="Colorful List - Accent 12"/>
    <w:basedOn w:val="Normal"/>
    <w:rsid w:val="00D94453"/>
    <w:pPr>
      <w:ind w:left="720"/>
      <w:contextualSpacing/>
    </w:pPr>
    <w:rPr>
      <w:szCs w:val="24"/>
    </w:rPr>
  </w:style>
  <w:style w:type="paragraph" w:customStyle="1" w:styleId="ColorfulShading-Accent11">
    <w:name w:val="Colorful Shading - Accent 11"/>
    <w:hidden/>
    <w:rsid w:val="005C3141"/>
    <w:pPr>
      <w:widowControl w:val="0"/>
      <w:spacing w:after="200" w:line="276" w:lineRule="auto"/>
    </w:pPr>
    <w:rPr>
      <w:rFonts w:ascii="Arial" w:hAnsi="Arial"/>
      <w:sz w:val="22"/>
      <w:szCs w:val="22"/>
    </w:rPr>
  </w:style>
  <w:style w:type="character" w:customStyle="1" w:styleId="Heading3Char">
    <w:name w:val="Heading 3 Char"/>
    <w:rsid w:val="00157CCC"/>
    <w:rPr>
      <w:rFonts w:ascii="Arial" w:hAnsi="Arial"/>
      <w:b/>
      <w:i/>
      <w:color w:val="008080"/>
      <w:sz w:val="22"/>
    </w:rPr>
  </w:style>
  <w:style w:type="character" w:customStyle="1" w:styleId="FootnoteTextChar">
    <w:name w:val="Footnote Text Char"/>
    <w:aliases w:val="FOOTNOTES Char,fn Char,single space Char,f Char,ALTS FOOTNOTE Char"/>
    <w:link w:val="FootnoteText"/>
    <w:rsid w:val="00157CCC"/>
    <w:rPr>
      <w:rFonts w:ascii="Arial" w:hAnsi="Arial"/>
    </w:rPr>
  </w:style>
  <w:style w:type="paragraph" w:customStyle="1" w:styleId="ColorfulList-Accent13">
    <w:name w:val="Colorful List - Accent 13"/>
    <w:basedOn w:val="Normal"/>
    <w:uiPriority w:val="34"/>
    <w:qFormat/>
    <w:rsid w:val="00D70B2A"/>
    <w:pPr>
      <w:widowControl/>
      <w:spacing w:after="0" w:line="240" w:lineRule="auto"/>
      <w:ind w:left="720"/>
      <w:contextualSpacing/>
    </w:pPr>
    <w:rPr>
      <w:szCs w:val="20"/>
    </w:rPr>
  </w:style>
  <w:style w:type="character" w:customStyle="1" w:styleId="HeaderChar">
    <w:name w:val="Header Char"/>
    <w:link w:val="Header"/>
    <w:uiPriority w:val="99"/>
    <w:rsid w:val="000029AA"/>
    <w:rPr>
      <w:rFonts w:ascii="Arial" w:hAnsi="Arial"/>
      <w:sz w:val="22"/>
    </w:rPr>
  </w:style>
  <w:style w:type="paragraph" w:styleId="z-TopofForm">
    <w:name w:val="HTML Top of Form"/>
    <w:basedOn w:val="Normal"/>
    <w:next w:val="Normal"/>
    <w:link w:val="z-TopofFormChar"/>
    <w:hidden/>
    <w:rsid w:val="00B07E54"/>
    <w:pPr>
      <w:pBdr>
        <w:bottom w:val="single" w:sz="6" w:space="1" w:color="auto"/>
      </w:pBdr>
      <w:jc w:val="center"/>
    </w:pPr>
    <w:rPr>
      <w:vanish/>
      <w:sz w:val="16"/>
      <w:szCs w:val="16"/>
    </w:rPr>
  </w:style>
  <w:style w:type="character" w:customStyle="1" w:styleId="z-TopofFormChar">
    <w:name w:val="z-Top of Form Char"/>
    <w:link w:val="z-TopofForm"/>
    <w:rsid w:val="00B07E54"/>
    <w:rPr>
      <w:rFonts w:ascii="Arial" w:hAnsi="Arial" w:cs="Arial"/>
      <w:vanish/>
      <w:sz w:val="16"/>
      <w:szCs w:val="16"/>
    </w:rPr>
  </w:style>
  <w:style w:type="paragraph" w:styleId="z-BottomofForm">
    <w:name w:val="HTML Bottom of Form"/>
    <w:basedOn w:val="Normal"/>
    <w:next w:val="Normal"/>
    <w:link w:val="z-BottomofFormChar"/>
    <w:hidden/>
    <w:rsid w:val="00B07E54"/>
    <w:pPr>
      <w:pBdr>
        <w:top w:val="single" w:sz="6" w:space="1" w:color="auto"/>
      </w:pBdr>
      <w:jc w:val="center"/>
    </w:pPr>
    <w:rPr>
      <w:vanish/>
      <w:sz w:val="16"/>
      <w:szCs w:val="16"/>
    </w:rPr>
  </w:style>
  <w:style w:type="character" w:customStyle="1" w:styleId="z-BottomofFormChar">
    <w:name w:val="z-Bottom of Form Char"/>
    <w:link w:val="z-BottomofForm"/>
    <w:rsid w:val="00B07E54"/>
    <w:rPr>
      <w:rFonts w:ascii="Arial" w:hAnsi="Arial" w:cs="Arial"/>
      <w:vanish/>
      <w:sz w:val="16"/>
      <w:szCs w:val="16"/>
    </w:rPr>
  </w:style>
  <w:style w:type="table" w:customStyle="1" w:styleId="ColorfulList-Accent61">
    <w:name w:val="Colorful List - Accent 61"/>
    <w:basedOn w:val="TableNormal"/>
    <w:uiPriority w:val="72"/>
    <w:rsid w:val="003E57C9"/>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MediumShading2-Accent2">
    <w:name w:val="Medium Shading 2 Accent 2"/>
    <w:basedOn w:val="TableNormal"/>
    <w:uiPriority w:val="69"/>
    <w:rsid w:val="003E57C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Shading-Accent5">
    <w:name w:val="Colorful Shading Accent 5"/>
    <w:basedOn w:val="TableNormal"/>
    <w:uiPriority w:val="62"/>
    <w:rsid w:val="00062BAE"/>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ystem" w:eastAsia="Times New Roman" w:hAnsi="Syste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ystem" w:eastAsia="Times New Roman" w:hAnsi="Syste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EmptyLayoutCell">
    <w:name w:val="EmptyLayoutCell"/>
    <w:basedOn w:val="Normal"/>
    <w:rsid w:val="0038157F"/>
    <w:rPr>
      <w:rFonts w:ascii="Times New Roman" w:hAnsi="Times New Roman"/>
      <w:sz w:val="2"/>
    </w:rPr>
  </w:style>
  <w:style w:type="paragraph" w:styleId="TOC4">
    <w:name w:val="toc 4"/>
    <w:basedOn w:val="Normal"/>
    <w:next w:val="Normal"/>
    <w:autoRedefine/>
    <w:rsid w:val="00716F3C"/>
    <w:pPr>
      <w:ind w:left="660"/>
    </w:pPr>
    <w:rPr>
      <w:rFonts w:ascii="Calibri" w:hAnsi="Calibri" w:cs="Calibri"/>
      <w:sz w:val="18"/>
      <w:szCs w:val="18"/>
    </w:rPr>
  </w:style>
  <w:style w:type="paragraph" w:styleId="TOC5">
    <w:name w:val="toc 5"/>
    <w:basedOn w:val="Normal"/>
    <w:next w:val="Normal"/>
    <w:autoRedefine/>
    <w:rsid w:val="00716F3C"/>
    <w:pPr>
      <w:ind w:left="880"/>
    </w:pPr>
    <w:rPr>
      <w:rFonts w:ascii="Calibri" w:hAnsi="Calibri" w:cs="Calibri"/>
      <w:sz w:val="18"/>
      <w:szCs w:val="18"/>
    </w:rPr>
  </w:style>
  <w:style w:type="paragraph" w:styleId="TOC6">
    <w:name w:val="toc 6"/>
    <w:basedOn w:val="Normal"/>
    <w:next w:val="Normal"/>
    <w:autoRedefine/>
    <w:rsid w:val="00716F3C"/>
    <w:pPr>
      <w:ind w:left="1100"/>
    </w:pPr>
    <w:rPr>
      <w:rFonts w:ascii="Calibri" w:hAnsi="Calibri" w:cs="Calibri"/>
      <w:sz w:val="18"/>
      <w:szCs w:val="18"/>
    </w:rPr>
  </w:style>
  <w:style w:type="paragraph" w:styleId="TOC7">
    <w:name w:val="toc 7"/>
    <w:basedOn w:val="Normal"/>
    <w:next w:val="Normal"/>
    <w:autoRedefine/>
    <w:rsid w:val="00716F3C"/>
    <w:pPr>
      <w:ind w:left="1320"/>
    </w:pPr>
    <w:rPr>
      <w:rFonts w:ascii="Calibri" w:hAnsi="Calibri" w:cs="Calibri"/>
      <w:sz w:val="18"/>
      <w:szCs w:val="18"/>
    </w:rPr>
  </w:style>
  <w:style w:type="paragraph" w:styleId="TOC8">
    <w:name w:val="toc 8"/>
    <w:basedOn w:val="Normal"/>
    <w:next w:val="Normal"/>
    <w:autoRedefine/>
    <w:rsid w:val="00716F3C"/>
    <w:pPr>
      <w:ind w:left="1540"/>
    </w:pPr>
    <w:rPr>
      <w:rFonts w:ascii="Calibri" w:hAnsi="Calibri" w:cs="Calibri"/>
      <w:sz w:val="18"/>
      <w:szCs w:val="18"/>
    </w:rPr>
  </w:style>
  <w:style w:type="paragraph" w:styleId="TOC9">
    <w:name w:val="toc 9"/>
    <w:basedOn w:val="Normal"/>
    <w:next w:val="Normal"/>
    <w:autoRedefine/>
    <w:rsid w:val="00716F3C"/>
    <w:pPr>
      <w:ind w:left="1760"/>
    </w:pPr>
    <w:rPr>
      <w:rFonts w:ascii="Calibri" w:hAnsi="Calibri" w:cs="Calibri"/>
      <w:sz w:val="18"/>
      <w:szCs w:val="18"/>
    </w:rPr>
  </w:style>
  <w:style w:type="paragraph" w:styleId="ListParagraph">
    <w:name w:val="List Paragraph"/>
    <w:basedOn w:val="Normal"/>
    <w:link w:val="ListParagraphChar"/>
    <w:uiPriority w:val="34"/>
    <w:qFormat/>
    <w:rsid w:val="00D70B2A"/>
    <w:pPr>
      <w:numPr>
        <w:numId w:val="4"/>
      </w:numPr>
      <w:spacing w:after="120"/>
      <w:ind w:right="61"/>
      <w:contextualSpacing/>
      <w:jc w:val="both"/>
    </w:pPr>
    <w:rPr>
      <w:rFonts w:eastAsia="Arial"/>
      <w:i/>
      <w:color w:val="005A63"/>
      <w:sz w:val="20"/>
      <w:szCs w:val="20"/>
    </w:rPr>
  </w:style>
  <w:style w:type="character" w:customStyle="1" w:styleId="ListParagraphChar">
    <w:name w:val="List Paragraph Char"/>
    <w:link w:val="ListParagraph"/>
    <w:uiPriority w:val="34"/>
    <w:rsid w:val="00D70B2A"/>
    <w:rPr>
      <w:rFonts w:ascii="Arial" w:eastAsia="Arial" w:hAnsi="Arial"/>
      <w:i/>
      <w:color w:val="005A63"/>
      <w:lang w:val="en-US" w:eastAsia="en-US"/>
    </w:rPr>
  </w:style>
  <w:style w:type="paragraph" w:styleId="NoSpacing">
    <w:name w:val="No Spacing"/>
    <w:link w:val="NoSpacingChar"/>
    <w:uiPriority w:val="1"/>
    <w:qFormat/>
    <w:rsid w:val="00D70B2A"/>
    <w:pPr>
      <w:widowControl w:val="0"/>
    </w:pPr>
    <w:rPr>
      <w:sz w:val="22"/>
      <w:szCs w:val="22"/>
    </w:rPr>
  </w:style>
  <w:style w:type="paragraph" w:styleId="Revision">
    <w:name w:val="Revision"/>
    <w:hidden/>
    <w:uiPriority w:val="99"/>
    <w:semiHidden/>
    <w:rsid w:val="00AF2F9C"/>
    <w:pPr>
      <w:widowControl w:val="0"/>
      <w:spacing w:after="200" w:line="276" w:lineRule="auto"/>
    </w:pPr>
    <w:rPr>
      <w:rFonts w:ascii="Arial" w:hAnsi="Arial"/>
      <w:sz w:val="22"/>
      <w:szCs w:val="22"/>
    </w:rPr>
  </w:style>
  <w:style w:type="character" w:customStyle="1" w:styleId="Heading1Char1">
    <w:name w:val="Heading 1 Char1"/>
    <w:link w:val="Heading1"/>
    <w:uiPriority w:val="9"/>
    <w:rsid w:val="00D70B2A"/>
    <w:rPr>
      <w:rFonts w:ascii="Arial" w:hAnsi="Arial" w:cs="Arial"/>
      <w:b/>
      <w:color w:val="FFFFFF"/>
      <w:spacing w:val="-1"/>
      <w:lang w:val="en-US"/>
    </w:rPr>
  </w:style>
  <w:style w:type="paragraph" w:customStyle="1" w:styleId="Ljustrutnt-dekorfrg31">
    <w:name w:val="Ljust rutnät - dekorfärg 31"/>
    <w:basedOn w:val="Normal"/>
    <w:uiPriority w:val="34"/>
    <w:qFormat/>
    <w:rsid w:val="00D70B2A"/>
    <w:pPr>
      <w:widowControl/>
      <w:spacing w:line="240" w:lineRule="auto"/>
      <w:ind w:left="720"/>
      <w:contextualSpacing/>
    </w:pPr>
    <w:rPr>
      <w:rFonts w:ascii="Cambria" w:eastAsia="Cambria" w:hAnsi="Cambria"/>
      <w:sz w:val="24"/>
      <w:szCs w:val="24"/>
    </w:rPr>
  </w:style>
  <w:style w:type="paragraph" w:customStyle="1" w:styleId="BOldTitle">
    <w:name w:val="BOld Title"/>
    <w:basedOn w:val="Normal"/>
    <w:link w:val="BOldTitleChar"/>
    <w:qFormat/>
    <w:rsid w:val="00D70B2A"/>
    <w:rPr>
      <w:b/>
      <w:color w:val="000000"/>
      <w:sz w:val="20"/>
      <w:szCs w:val="24"/>
    </w:rPr>
  </w:style>
  <w:style w:type="character" w:customStyle="1" w:styleId="BOldTitleChar">
    <w:name w:val="BOld Title Char"/>
    <w:link w:val="BOldTitle"/>
    <w:rsid w:val="00D70B2A"/>
    <w:rPr>
      <w:rFonts w:ascii="Arial" w:hAnsi="Arial" w:cs="Arial"/>
      <w:b/>
      <w:color w:val="000000"/>
      <w:szCs w:val="24"/>
    </w:rPr>
  </w:style>
  <w:style w:type="paragraph" w:customStyle="1" w:styleId="TITLE3">
    <w:name w:val="TITLE 3"/>
    <w:basedOn w:val="Normal"/>
    <w:link w:val="TITLE3Char"/>
    <w:qFormat/>
    <w:rsid w:val="00D70B2A"/>
    <w:pPr>
      <w:spacing w:after="120"/>
    </w:pPr>
    <w:rPr>
      <w:b/>
      <w:color w:val="FFFFFF"/>
      <w:sz w:val="20"/>
      <w:szCs w:val="20"/>
    </w:rPr>
  </w:style>
  <w:style w:type="character" w:customStyle="1" w:styleId="TITLE3Char">
    <w:name w:val="TITLE 3 Char"/>
    <w:link w:val="TITLE3"/>
    <w:rsid w:val="00D70B2A"/>
    <w:rPr>
      <w:rFonts w:ascii="Arial" w:hAnsi="Arial" w:cs="Arial"/>
      <w:b/>
      <w:color w:val="FFFFFF"/>
    </w:rPr>
  </w:style>
  <w:style w:type="paragraph" w:customStyle="1" w:styleId="annexetitle">
    <w:name w:val="annexe title"/>
    <w:basedOn w:val="Normal"/>
    <w:link w:val="annexetitleChar"/>
    <w:autoRedefine/>
    <w:qFormat/>
    <w:rsid w:val="00D70B2A"/>
    <w:pPr>
      <w:pBdr>
        <w:bottom w:val="single" w:sz="8" w:space="1" w:color="auto"/>
      </w:pBdr>
      <w:tabs>
        <w:tab w:val="left" w:pos="8080"/>
      </w:tabs>
      <w:ind w:right="1522"/>
    </w:pPr>
    <w:rPr>
      <w:smallCaps/>
      <w:sz w:val="24"/>
      <w:szCs w:val="20"/>
    </w:rPr>
  </w:style>
  <w:style w:type="character" w:customStyle="1" w:styleId="annexetitleChar">
    <w:name w:val="annexe title Char"/>
    <w:link w:val="annexetitle"/>
    <w:rsid w:val="00D70B2A"/>
    <w:rPr>
      <w:rFonts w:ascii="Arial" w:hAnsi="Arial" w:cs="Arial"/>
      <w:smallCaps/>
      <w:sz w:val="24"/>
    </w:rPr>
  </w:style>
  <w:style w:type="paragraph" w:customStyle="1" w:styleId="figuretitle">
    <w:name w:val="figure title"/>
    <w:basedOn w:val="annexetitle"/>
    <w:link w:val="figuretitleChar"/>
    <w:autoRedefine/>
    <w:qFormat/>
    <w:rsid w:val="00D70B2A"/>
    <w:pPr>
      <w:pBdr>
        <w:bottom w:val="none" w:sz="0" w:space="0" w:color="auto"/>
      </w:pBdr>
      <w:spacing w:after="120"/>
      <w:ind w:right="624"/>
    </w:pPr>
    <w:rPr>
      <w:b/>
      <w:i/>
      <w:smallCaps w:val="0"/>
    </w:rPr>
  </w:style>
  <w:style w:type="character" w:customStyle="1" w:styleId="figuretitleChar">
    <w:name w:val="figure title Char"/>
    <w:link w:val="figuretitle"/>
    <w:rsid w:val="00D70B2A"/>
    <w:rPr>
      <w:rFonts w:ascii="Arial" w:hAnsi="Arial" w:cs="Arial"/>
      <w:b/>
      <w:i/>
      <w:sz w:val="24"/>
      <w:lang w:val="en-US"/>
    </w:rPr>
  </w:style>
  <w:style w:type="paragraph" w:customStyle="1" w:styleId="NORMALBULLET">
    <w:name w:val="NORMAL + BULLET"/>
    <w:basedOn w:val="Normal"/>
    <w:link w:val="NORMALBULLETChar"/>
    <w:qFormat/>
    <w:rsid w:val="00D70B2A"/>
    <w:pPr>
      <w:widowControl/>
      <w:spacing w:after="120"/>
      <w:ind w:left="426" w:hanging="360"/>
      <w:contextualSpacing/>
      <w:jc w:val="both"/>
    </w:pPr>
    <w:rPr>
      <w:sz w:val="20"/>
      <w:szCs w:val="20"/>
    </w:rPr>
  </w:style>
  <w:style w:type="character" w:customStyle="1" w:styleId="NORMALBULLETChar">
    <w:name w:val="NORMAL + BULLET Char"/>
    <w:link w:val="NORMALBULLET"/>
    <w:rsid w:val="00D70B2A"/>
    <w:rPr>
      <w:rFonts w:ascii="Arial" w:hAnsi="Arial"/>
    </w:rPr>
  </w:style>
  <w:style w:type="character" w:customStyle="1" w:styleId="Heading3Char1">
    <w:name w:val="Heading 3 Char1"/>
    <w:link w:val="Heading3"/>
    <w:uiPriority w:val="9"/>
    <w:rsid w:val="00A60772"/>
    <w:rPr>
      <w:rFonts w:ascii="Times New Roman" w:eastAsia="Arial" w:hAnsi="Times New Roman"/>
      <w:b/>
      <w:bCs/>
      <w:color w:val="333333"/>
      <w:sz w:val="24"/>
      <w:szCs w:val="24"/>
      <w:lang w:val="en-US" w:eastAsia="en-US"/>
    </w:rPr>
  </w:style>
  <w:style w:type="character" w:customStyle="1" w:styleId="Heading4Char">
    <w:name w:val="Heading 4 Char"/>
    <w:link w:val="Heading4"/>
    <w:uiPriority w:val="9"/>
    <w:rsid w:val="00D70B2A"/>
    <w:rPr>
      <w:rFonts w:ascii="Arial" w:hAnsi="Arial" w:cs="Arial"/>
      <w:b/>
      <w:color w:val="006460"/>
    </w:rPr>
  </w:style>
  <w:style w:type="character" w:customStyle="1" w:styleId="Heading5Char">
    <w:name w:val="Heading 5 Char"/>
    <w:link w:val="Heading5"/>
    <w:uiPriority w:val="9"/>
    <w:rsid w:val="008E7E22"/>
    <w:rPr>
      <w:rFonts w:ascii="Arial" w:eastAsia="Arial" w:hAnsi="Arial"/>
      <w:b/>
      <w:color w:val="005A63"/>
    </w:rPr>
  </w:style>
  <w:style w:type="character" w:customStyle="1" w:styleId="Heading8Char">
    <w:name w:val="Heading 8 Char"/>
    <w:link w:val="Heading8"/>
    <w:uiPriority w:val="9"/>
    <w:rsid w:val="00D70B2A"/>
    <w:rPr>
      <w:rFonts w:ascii="Cambria" w:eastAsia="Times New Roman" w:hAnsi="Cambria" w:cs="Times New Roman"/>
      <w:color w:val="666666"/>
      <w:sz w:val="20"/>
      <w:szCs w:val="20"/>
    </w:rPr>
  </w:style>
  <w:style w:type="paragraph" w:styleId="Title">
    <w:name w:val="Title"/>
    <w:basedOn w:val="Normal"/>
    <w:next w:val="Normal"/>
    <w:link w:val="TitleChar1"/>
    <w:uiPriority w:val="10"/>
    <w:qFormat/>
    <w:rsid w:val="00D70B2A"/>
    <w:pPr>
      <w:pBdr>
        <w:bottom w:val="single" w:sz="8" w:space="4" w:color="005A60"/>
      </w:pBdr>
      <w:spacing w:after="300" w:line="240" w:lineRule="auto"/>
      <w:contextualSpacing/>
    </w:pPr>
    <w:rPr>
      <w:rFonts w:ascii="Cambria" w:eastAsia="Times New Roman" w:hAnsi="Cambria"/>
      <w:color w:val="850513"/>
      <w:spacing w:val="5"/>
      <w:kern w:val="28"/>
      <w:sz w:val="52"/>
      <w:szCs w:val="52"/>
    </w:rPr>
  </w:style>
  <w:style w:type="character" w:customStyle="1" w:styleId="TitleChar">
    <w:name w:val="Title Char"/>
    <w:rsid w:val="00D70B2A"/>
    <w:rPr>
      <w:rFonts w:ascii="Cambria" w:eastAsia="Times New Roman" w:hAnsi="Cambria" w:cs="Times New Roman"/>
      <w:b/>
      <w:bCs/>
      <w:kern w:val="28"/>
      <w:sz w:val="32"/>
      <w:szCs w:val="32"/>
    </w:rPr>
  </w:style>
  <w:style w:type="character" w:customStyle="1" w:styleId="TitleChar1">
    <w:name w:val="Title Char1"/>
    <w:link w:val="Title"/>
    <w:uiPriority w:val="10"/>
    <w:rsid w:val="00D70B2A"/>
    <w:rPr>
      <w:rFonts w:ascii="Cambria" w:eastAsia="Times New Roman" w:hAnsi="Cambria" w:cs="Times New Roman"/>
      <w:color w:val="850513"/>
      <w:spacing w:val="5"/>
      <w:kern w:val="28"/>
      <w:sz w:val="52"/>
      <w:szCs w:val="52"/>
    </w:rPr>
  </w:style>
  <w:style w:type="character" w:styleId="Strong">
    <w:name w:val="Strong"/>
    <w:uiPriority w:val="22"/>
    <w:qFormat/>
    <w:rsid w:val="00D70B2A"/>
    <w:rPr>
      <w:b/>
      <w:bCs/>
      <w:color w:val="005A63"/>
    </w:rPr>
  </w:style>
  <w:style w:type="character" w:styleId="Emphasis">
    <w:name w:val="Emphasis"/>
    <w:uiPriority w:val="20"/>
    <w:qFormat/>
    <w:rsid w:val="00D70B2A"/>
    <w:rPr>
      <w:i/>
      <w:iCs/>
    </w:rPr>
  </w:style>
  <w:style w:type="paragraph" w:styleId="IntenseQuote">
    <w:name w:val="Intense Quote"/>
    <w:basedOn w:val="Normal"/>
    <w:next w:val="Normal"/>
    <w:link w:val="IntenseQuoteChar"/>
    <w:uiPriority w:val="30"/>
    <w:qFormat/>
    <w:rsid w:val="00D70B2A"/>
    <w:pPr>
      <w:pBdr>
        <w:bottom w:val="single" w:sz="4" w:space="4" w:color="005A60"/>
      </w:pBdr>
      <w:spacing w:before="200" w:after="280"/>
      <w:ind w:left="936" w:right="936"/>
    </w:pPr>
    <w:rPr>
      <w:rFonts w:ascii="Calibri" w:hAnsi="Calibri"/>
      <w:b/>
      <w:bCs/>
      <w:i/>
      <w:iCs/>
      <w:color w:val="005A60"/>
      <w:sz w:val="20"/>
      <w:szCs w:val="20"/>
    </w:rPr>
  </w:style>
  <w:style w:type="character" w:customStyle="1" w:styleId="IntenseQuoteChar">
    <w:name w:val="Intense Quote Char"/>
    <w:link w:val="IntenseQuote"/>
    <w:uiPriority w:val="30"/>
    <w:rsid w:val="00D70B2A"/>
    <w:rPr>
      <w:b/>
      <w:bCs/>
      <w:i/>
      <w:iCs/>
      <w:color w:val="005A60"/>
    </w:rPr>
  </w:style>
  <w:style w:type="character" w:styleId="SubtleEmphasis">
    <w:name w:val="Subtle Emphasis"/>
    <w:uiPriority w:val="19"/>
    <w:qFormat/>
    <w:rsid w:val="00D70B2A"/>
    <w:rPr>
      <w:i/>
      <w:iCs/>
      <w:color w:val="999999"/>
    </w:rPr>
  </w:style>
  <w:style w:type="character" w:styleId="BookTitle">
    <w:name w:val="Book Title"/>
    <w:uiPriority w:val="33"/>
    <w:qFormat/>
    <w:rsid w:val="00D70B2A"/>
    <w:rPr>
      <w:b/>
      <w:bCs/>
      <w:smallCaps/>
      <w:spacing w:val="5"/>
    </w:rPr>
  </w:style>
  <w:style w:type="paragraph" w:customStyle="1" w:styleId="bullet">
    <w:name w:val="bullet"/>
    <w:basedOn w:val="Normal"/>
    <w:link w:val="bulletChar"/>
    <w:qFormat/>
    <w:rsid w:val="00D70B2A"/>
    <w:pPr>
      <w:numPr>
        <w:numId w:val="11"/>
      </w:numPr>
      <w:ind w:left="426"/>
    </w:pPr>
    <w:rPr>
      <w:sz w:val="20"/>
      <w:szCs w:val="20"/>
    </w:rPr>
  </w:style>
  <w:style w:type="paragraph" w:customStyle="1" w:styleId="partTitile">
    <w:name w:val="part Titile"/>
    <w:basedOn w:val="Heading1"/>
    <w:link w:val="partTitileChar"/>
    <w:qFormat/>
    <w:rsid w:val="0050668A"/>
    <w:pPr>
      <w:widowControl/>
      <w:spacing w:before="60" w:after="60" w:line="240" w:lineRule="auto"/>
      <w:jc w:val="left"/>
    </w:pPr>
    <w:rPr>
      <w:rFonts w:eastAsia="Times New Roman"/>
      <w:spacing w:val="0"/>
      <w:sz w:val="24"/>
    </w:rPr>
  </w:style>
  <w:style w:type="character" w:customStyle="1" w:styleId="bulletChar">
    <w:name w:val="bullet Char"/>
    <w:link w:val="bullet"/>
    <w:rsid w:val="00D70B2A"/>
    <w:rPr>
      <w:rFonts w:ascii="Arial" w:hAnsi="Arial"/>
      <w:lang w:val="en-US" w:eastAsia="en-US"/>
    </w:rPr>
  </w:style>
  <w:style w:type="character" w:customStyle="1" w:styleId="partTitileChar">
    <w:name w:val="part Titile Char"/>
    <w:link w:val="partTitile"/>
    <w:rsid w:val="0050668A"/>
    <w:rPr>
      <w:rFonts w:ascii="Arial" w:eastAsia="Times New Roman" w:hAnsi="Arial" w:cs="Arial"/>
      <w:b/>
      <w:color w:val="FFFFFF"/>
      <w:sz w:val="24"/>
      <w:lang w:val="en-US" w:eastAsia="en-US"/>
    </w:rPr>
  </w:style>
  <w:style w:type="character" w:customStyle="1" w:styleId="NoSpacingChar">
    <w:name w:val="No Spacing Char"/>
    <w:link w:val="NoSpacing"/>
    <w:uiPriority w:val="1"/>
    <w:rsid w:val="00242E2A"/>
    <w:rPr>
      <w:sz w:val="22"/>
      <w:szCs w:val="22"/>
      <w:lang w:val="en-US" w:eastAsia="en-US" w:bidi="en-US"/>
    </w:rPr>
  </w:style>
  <w:style w:type="paragraph" w:customStyle="1" w:styleId="StyleTitre1ArialNarrow">
    <w:name w:val="Style Titre 1 + Arial Narrow"/>
    <w:basedOn w:val="Normal"/>
    <w:rsid w:val="00FC4DBE"/>
    <w:pPr>
      <w:widowControl/>
      <w:numPr>
        <w:numId w:val="22"/>
      </w:numPr>
      <w:spacing w:after="0" w:line="240" w:lineRule="auto"/>
    </w:pPr>
    <w:rPr>
      <w:rFonts w:ascii="Times New Roman" w:eastAsia="Times New Roman" w:hAnsi="Times New Roman"/>
      <w:sz w:val="24"/>
      <w:szCs w:val="24"/>
    </w:rPr>
  </w:style>
  <w:style w:type="paragraph" w:customStyle="1" w:styleId="StyleTitre2ArialNarrow">
    <w:name w:val="Style Titre 2 + Arial Narrow"/>
    <w:basedOn w:val="Normal"/>
    <w:rsid w:val="00FC4DBE"/>
    <w:pPr>
      <w:widowControl/>
      <w:numPr>
        <w:ilvl w:val="1"/>
        <w:numId w:val="22"/>
      </w:numPr>
      <w:spacing w:after="0" w:line="240" w:lineRule="auto"/>
    </w:pPr>
    <w:rPr>
      <w:rFonts w:ascii="Times New Roman" w:eastAsia="Times New Roman" w:hAnsi="Times New Roman"/>
      <w:sz w:val="24"/>
      <w:szCs w:val="24"/>
    </w:rPr>
  </w:style>
  <w:style w:type="paragraph" w:customStyle="1" w:styleId="StyleTitre3ArialNarrow">
    <w:name w:val="Style Titre 3 + Arial Narrow"/>
    <w:basedOn w:val="Normal"/>
    <w:rsid w:val="00FC4DBE"/>
    <w:pPr>
      <w:widowControl/>
      <w:numPr>
        <w:ilvl w:val="2"/>
        <w:numId w:val="22"/>
      </w:numPr>
      <w:spacing w:after="0" w:line="240" w:lineRule="auto"/>
    </w:pPr>
    <w:rPr>
      <w:rFonts w:ascii="Times New Roman" w:eastAsia="Times New Roman" w:hAnsi="Times New Roman"/>
      <w:sz w:val="24"/>
      <w:szCs w:val="24"/>
    </w:rPr>
  </w:style>
  <w:style w:type="paragraph" w:customStyle="1" w:styleId="StyleTitre4ArialNarrow">
    <w:name w:val="Style Titre 4 + Arial Narrow"/>
    <w:basedOn w:val="Normal"/>
    <w:rsid w:val="00FC4DBE"/>
    <w:pPr>
      <w:widowControl/>
      <w:numPr>
        <w:ilvl w:val="3"/>
        <w:numId w:val="22"/>
      </w:numPr>
      <w:spacing w:after="0" w:line="240" w:lineRule="auto"/>
    </w:pPr>
    <w:rPr>
      <w:rFonts w:ascii="Times New Roman" w:eastAsia="Times New Roman" w:hAnsi="Times New Roman"/>
      <w:sz w:val="24"/>
      <w:szCs w:val="24"/>
    </w:rPr>
  </w:style>
  <w:style w:type="paragraph" w:customStyle="1" w:styleId="StyleTitre5ArialNarrow">
    <w:name w:val="Style Titre 5 + Arial Narrow"/>
    <w:basedOn w:val="Normal"/>
    <w:rsid w:val="00FC4DBE"/>
    <w:pPr>
      <w:widowControl/>
      <w:numPr>
        <w:ilvl w:val="4"/>
        <w:numId w:val="22"/>
      </w:numPr>
      <w:spacing w:after="0" w:line="240" w:lineRule="auto"/>
    </w:pPr>
    <w:rPr>
      <w:rFonts w:ascii="Times New Roman" w:eastAsia="Times New Roman" w:hAnsi="Times New Roman"/>
      <w:sz w:val="24"/>
      <w:szCs w:val="24"/>
    </w:rPr>
  </w:style>
  <w:style w:type="paragraph" w:styleId="List2">
    <w:name w:val="List 2"/>
    <w:basedOn w:val="Normal"/>
    <w:uiPriority w:val="99"/>
    <w:unhideWhenUsed/>
    <w:rsid w:val="00FC4DBE"/>
    <w:pPr>
      <w:widowControl/>
      <w:ind w:left="566" w:hanging="283"/>
      <w:contextualSpacing/>
    </w:pPr>
    <w:rPr>
      <w:rFonts w:ascii="Calibri" w:hAnsi="Calibri"/>
    </w:rPr>
  </w:style>
  <w:style w:type="paragraph" w:styleId="TOCHeading">
    <w:name w:val="TOC Heading"/>
    <w:basedOn w:val="Heading1"/>
    <w:next w:val="Normal"/>
    <w:uiPriority w:val="39"/>
    <w:semiHidden/>
    <w:unhideWhenUsed/>
    <w:qFormat/>
    <w:rsid w:val="00962F72"/>
    <w:pPr>
      <w:keepNext/>
      <w:spacing w:before="240" w:after="60"/>
      <w:jc w:val="left"/>
      <w:outlineLvl w:val="9"/>
    </w:pPr>
    <w:rPr>
      <w:rFonts w:ascii="Cambria" w:eastAsia="Times New Roman" w:hAnsi="Cambria"/>
      <w:bCs/>
      <w:color w:val="auto"/>
      <w:spacing w:val="0"/>
      <w:kern w:val="32"/>
      <w:sz w:val="32"/>
      <w:szCs w:val="32"/>
    </w:rPr>
  </w:style>
  <w:style w:type="paragraph" w:customStyle="1" w:styleId="Style1">
    <w:name w:val="Style1"/>
    <w:basedOn w:val="Normal"/>
    <w:link w:val="Style1Car"/>
    <w:qFormat/>
    <w:rsid w:val="00F9414A"/>
    <w:pPr>
      <w:widowControl/>
      <w:numPr>
        <w:ilvl w:val="4"/>
        <w:numId w:val="49"/>
      </w:numPr>
      <w:spacing w:after="0" w:line="240" w:lineRule="auto"/>
    </w:pPr>
    <w:rPr>
      <w:rFonts w:ascii="Times New Roman" w:eastAsia="MS Mincho" w:hAnsi="Times New Roman"/>
      <w:b/>
      <w:sz w:val="24"/>
      <w:szCs w:val="24"/>
    </w:rPr>
  </w:style>
  <w:style w:type="character" w:customStyle="1" w:styleId="Style1Car">
    <w:name w:val="Style1 Car"/>
    <w:link w:val="Style1"/>
    <w:rsid w:val="00F9414A"/>
    <w:rPr>
      <w:rFonts w:ascii="Times New Roman" w:eastAsia="MS Mincho" w:hAnsi="Times New Roman"/>
      <w:b/>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en-US"/>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List 2"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0B2A"/>
    <w:pPr>
      <w:widowControl w:val="0"/>
      <w:spacing w:after="200" w:line="276" w:lineRule="auto"/>
    </w:pPr>
    <w:rPr>
      <w:rFonts w:ascii="Arial" w:hAnsi="Arial"/>
      <w:sz w:val="22"/>
      <w:szCs w:val="22"/>
    </w:rPr>
  </w:style>
  <w:style w:type="paragraph" w:styleId="Heading1">
    <w:name w:val="heading 1"/>
    <w:basedOn w:val="BOldTitle"/>
    <w:next w:val="Normal"/>
    <w:link w:val="Heading1Char1"/>
    <w:autoRedefine/>
    <w:uiPriority w:val="9"/>
    <w:qFormat/>
    <w:rsid w:val="00D70B2A"/>
    <w:pPr>
      <w:spacing w:after="120"/>
      <w:jc w:val="both"/>
      <w:outlineLvl w:val="0"/>
    </w:pPr>
    <w:rPr>
      <w:color w:val="FFFFFF"/>
      <w:spacing w:val="-1"/>
      <w:szCs w:val="20"/>
    </w:rPr>
  </w:style>
  <w:style w:type="paragraph" w:styleId="Heading2">
    <w:name w:val="heading 2"/>
    <w:basedOn w:val="Normal"/>
    <w:next w:val="Normal"/>
    <w:link w:val="Heading2Char"/>
    <w:uiPriority w:val="9"/>
    <w:unhideWhenUsed/>
    <w:qFormat/>
    <w:rsid w:val="00D70B2A"/>
    <w:pPr>
      <w:pBdr>
        <w:bottom w:val="single" w:sz="4" w:space="1" w:color="auto"/>
      </w:pBdr>
      <w:spacing w:after="120"/>
      <w:jc w:val="both"/>
      <w:outlineLvl w:val="1"/>
    </w:pPr>
    <w:rPr>
      <w:rFonts w:ascii="Calibri" w:hAnsi="Calibri"/>
      <w:b/>
      <w:color w:val="006460"/>
      <w:sz w:val="20"/>
      <w:szCs w:val="20"/>
    </w:rPr>
  </w:style>
  <w:style w:type="paragraph" w:styleId="Heading3">
    <w:name w:val="heading 3"/>
    <w:basedOn w:val="Normal"/>
    <w:next w:val="Normal"/>
    <w:link w:val="Heading3Char1"/>
    <w:autoRedefine/>
    <w:uiPriority w:val="9"/>
    <w:unhideWhenUsed/>
    <w:qFormat/>
    <w:rsid w:val="00A60772"/>
    <w:pPr>
      <w:keepNext/>
      <w:widowControl/>
      <w:numPr>
        <w:numId w:val="24"/>
      </w:numPr>
      <w:spacing w:before="240" w:after="60" w:line="240" w:lineRule="auto"/>
      <w:outlineLvl w:val="2"/>
    </w:pPr>
    <w:rPr>
      <w:rFonts w:ascii="Times New Roman" w:eastAsia="Arial" w:hAnsi="Times New Roman"/>
      <w:b/>
      <w:bCs/>
      <w:color w:val="333333"/>
      <w:sz w:val="24"/>
      <w:szCs w:val="24"/>
    </w:rPr>
  </w:style>
  <w:style w:type="paragraph" w:styleId="Heading4">
    <w:name w:val="heading 4"/>
    <w:basedOn w:val="Normal"/>
    <w:next w:val="Normal"/>
    <w:link w:val="Heading4Char"/>
    <w:autoRedefine/>
    <w:uiPriority w:val="9"/>
    <w:unhideWhenUsed/>
    <w:qFormat/>
    <w:rsid w:val="00D70B2A"/>
    <w:pPr>
      <w:spacing w:after="0"/>
      <w:ind w:right="51"/>
      <w:outlineLvl w:val="3"/>
    </w:pPr>
    <w:rPr>
      <w:b/>
      <w:color w:val="006460"/>
      <w:sz w:val="20"/>
      <w:szCs w:val="20"/>
    </w:rPr>
  </w:style>
  <w:style w:type="paragraph" w:styleId="Heading5">
    <w:name w:val="heading 5"/>
    <w:basedOn w:val="ListParagraph"/>
    <w:next w:val="Normal"/>
    <w:link w:val="Heading5Char"/>
    <w:autoRedefine/>
    <w:uiPriority w:val="9"/>
    <w:unhideWhenUsed/>
    <w:qFormat/>
    <w:rsid w:val="008E7E22"/>
    <w:pPr>
      <w:widowControl/>
      <w:numPr>
        <w:numId w:val="0"/>
      </w:numPr>
      <w:spacing w:before="240" w:after="60" w:line="240" w:lineRule="auto"/>
      <w:ind w:right="0"/>
      <w:contextualSpacing w:val="0"/>
      <w:jc w:val="left"/>
      <w:outlineLvl w:val="4"/>
    </w:pPr>
    <w:rPr>
      <w:b/>
      <w:i w:val="0"/>
    </w:rPr>
  </w:style>
  <w:style w:type="paragraph" w:styleId="Heading6">
    <w:name w:val="heading 6"/>
    <w:basedOn w:val="Normal"/>
    <w:next w:val="Normal"/>
    <w:link w:val="Heading6Char"/>
    <w:uiPriority w:val="9"/>
    <w:semiHidden/>
    <w:unhideWhenUsed/>
    <w:qFormat/>
    <w:rsid w:val="00C92973"/>
    <w:pPr>
      <w:keepNext/>
      <w:keepLines/>
      <w:spacing w:before="200" w:after="0"/>
      <w:outlineLvl w:val="5"/>
    </w:pPr>
    <w:rPr>
      <w:rFonts w:ascii="Cambria" w:eastAsia="Times New Roman" w:hAnsi="Cambria"/>
      <w:i/>
      <w:iCs/>
      <w:color w:val="243F60"/>
      <w:sz w:val="20"/>
      <w:szCs w:val="20"/>
    </w:rPr>
  </w:style>
  <w:style w:type="paragraph" w:styleId="Heading7">
    <w:name w:val="heading 7"/>
    <w:basedOn w:val="Normal"/>
    <w:next w:val="Normal"/>
    <w:link w:val="Heading7Char"/>
    <w:uiPriority w:val="9"/>
    <w:semiHidden/>
    <w:unhideWhenUsed/>
    <w:qFormat/>
    <w:rsid w:val="00234F72"/>
    <w:pPr>
      <w:keepNext/>
      <w:keepLines/>
      <w:spacing w:before="200" w:after="0"/>
      <w:outlineLvl w:val="6"/>
    </w:pPr>
    <w:rPr>
      <w:rFonts w:ascii="Cambria" w:eastAsia="Times New Roman" w:hAnsi="Cambria"/>
      <w:i/>
      <w:iCs/>
      <w:color w:val="404040"/>
      <w:sz w:val="20"/>
      <w:szCs w:val="20"/>
    </w:rPr>
  </w:style>
  <w:style w:type="paragraph" w:styleId="Heading8">
    <w:name w:val="heading 8"/>
    <w:basedOn w:val="Normal"/>
    <w:next w:val="Normal"/>
    <w:link w:val="Heading8Char"/>
    <w:uiPriority w:val="9"/>
    <w:unhideWhenUsed/>
    <w:qFormat/>
    <w:rsid w:val="00D70B2A"/>
    <w:pPr>
      <w:keepNext/>
      <w:keepLines/>
      <w:spacing w:before="200" w:after="0"/>
      <w:outlineLvl w:val="7"/>
    </w:pPr>
    <w:rPr>
      <w:rFonts w:ascii="Cambria" w:eastAsia="Times New Roman" w:hAnsi="Cambria"/>
      <w:color w:val="666666"/>
      <w:sz w:val="20"/>
      <w:szCs w:val="20"/>
    </w:rPr>
  </w:style>
  <w:style w:type="paragraph" w:styleId="Heading9">
    <w:name w:val="heading 9"/>
    <w:basedOn w:val="Normal"/>
    <w:next w:val="Normal"/>
    <w:link w:val="Heading9Char"/>
    <w:uiPriority w:val="9"/>
    <w:semiHidden/>
    <w:unhideWhenUsed/>
    <w:qFormat/>
    <w:rsid w:val="0083724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A5291"/>
    <w:pPr>
      <w:tabs>
        <w:tab w:val="center" w:pos="4153"/>
        <w:tab w:val="right" w:pos="8306"/>
      </w:tabs>
    </w:pPr>
    <w:rPr>
      <w:szCs w:val="20"/>
    </w:rPr>
  </w:style>
  <w:style w:type="character" w:styleId="PageNumber">
    <w:name w:val="page number"/>
    <w:basedOn w:val="DefaultParagraphFont"/>
    <w:rsid w:val="006A5291"/>
  </w:style>
  <w:style w:type="paragraph" w:styleId="NormalWeb">
    <w:name w:val="Normal (Web)"/>
    <w:basedOn w:val="Normal"/>
    <w:rsid w:val="006A5291"/>
    <w:pPr>
      <w:spacing w:before="100" w:beforeAutospacing="1" w:after="100" w:afterAutospacing="1"/>
    </w:pPr>
    <w:rPr>
      <w:rFonts w:ascii="Times New Roman" w:hAnsi="Times New Roman"/>
      <w:sz w:val="24"/>
      <w:szCs w:val="24"/>
    </w:rPr>
  </w:style>
  <w:style w:type="paragraph" w:styleId="BalloonText">
    <w:name w:val="Balloon Text"/>
    <w:basedOn w:val="Normal"/>
    <w:semiHidden/>
    <w:rsid w:val="006A5291"/>
    <w:rPr>
      <w:rFonts w:ascii="Tahoma" w:hAnsi="Tahoma" w:cs="Calibri"/>
      <w:sz w:val="16"/>
      <w:szCs w:val="16"/>
    </w:rPr>
  </w:style>
  <w:style w:type="character" w:styleId="Hyperlink">
    <w:name w:val="Hyperlink"/>
    <w:uiPriority w:val="99"/>
    <w:rsid w:val="006A5291"/>
    <w:rPr>
      <w:color w:val="0000FF"/>
      <w:u w:val="single"/>
    </w:rPr>
  </w:style>
  <w:style w:type="paragraph" w:styleId="BodyText">
    <w:name w:val="Body Text"/>
    <w:basedOn w:val="Normal"/>
    <w:link w:val="BodyTextChar"/>
    <w:semiHidden/>
    <w:rsid w:val="006A5291"/>
    <w:pPr>
      <w:jc w:val="both"/>
    </w:pPr>
    <w:rPr>
      <w:szCs w:val="20"/>
    </w:rPr>
  </w:style>
  <w:style w:type="paragraph" w:styleId="BodyTextIndent">
    <w:name w:val="Body Text Indent"/>
    <w:basedOn w:val="Normal"/>
    <w:semiHidden/>
    <w:rsid w:val="006A5291"/>
    <w:pPr>
      <w:ind w:left="360" w:hanging="360"/>
      <w:jc w:val="both"/>
    </w:pPr>
  </w:style>
  <w:style w:type="paragraph" w:styleId="BodyText2">
    <w:name w:val="Body Text 2"/>
    <w:basedOn w:val="Normal"/>
    <w:semiHidden/>
    <w:rsid w:val="006A5291"/>
    <w:pPr>
      <w:jc w:val="both"/>
    </w:pPr>
    <w:rPr>
      <w:i/>
    </w:rPr>
  </w:style>
  <w:style w:type="paragraph" w:styleId="BodyText3">
    <w:name w:val="Body Text 3"/>
    <w:basedOn w:val="Normal"/>
    <w:semiHidden/>
    <w:rsid w:val="006A5291"/>
    <w:pPr>
      <w:jc w:val="both"/>
    </w:pPr>
    <w:rPr>
      <w:i/>
      <w:color w:val="008080"/>
      <w:kern w:val="32"/>
    </w:rPr>
  </w:style>
  <w:style w:type="character" w:styleId="CommentReference">
    <w:name w:val="annotation reference"/>
    <w:uiPriority w:val="99"/>
    <w:semiHidden/>
    <w:rsid w:val="006A5291"/>
    <w:rPr>
      <w:sz w:val="16"/>
      <w:szCs w:val="16"/>
    </w:rPr>
  </w:style>
  <w:style w:type="paragraph" w:styleId="CommentText">
    <w:name w:val="annotation text"/>
    <w:basedOn w:val="Normal"/>
    <w:link w:val="CommentTextChar"/>
    <w:uiPriority w:val="99"/>
    <w:rsid w:val="006A5291"/>
    <w:rPr>
      <w:sz w:val="20"/>
      <w:szCs w:val="20"/>
    </w:rPr>
  </w:style>
  <w:style w:type="paragraph" w:styleId="CommentSubject">
    <w:name w:val="annotation subject"/>
    <w:basedOn w:val="CommentText"/>
    <w:next w:val="CommentText"/>
    <w:semiHidden/>
    <w:rsid w:val="006A5291"/>
    <w:rPr>
      <w:b/>
      <w:bCs/>
    </w:rPr>
  </w:style>
  <w:style w:type="paragraph" w:customStyle="1" w:styleId="ColorfulList-Accent11">
    <w:name w:val="Colorful List - Accent 11"/>
    <w:basedOn w:val="Normal"/>
    <w:rsid w:val="006A5291"/>
    <w:pPr>
      <w:ind w:left="720"/>
    </w:pPr>
    <w:rPr>
      <w:rFonts w:ascii="Calibri" w:hAnsi="Calibri"/>
    </w:rPr>
  </w:style>
  <w:style w:type="paragraph" w:styleId="FootnoteText">
    <w:name w:val="footnote text"/>
    <w:aliases w:val="FOOTNOTES,fn,single space,f,ALTS FOOTNOTE"/>
    <w:basedOn w:val="Normal"/>
    <w:link w:val="FootnoteTextChar"/>
    <w:rsid w:val="006A5291"/>
    <w:rPr>
      <w:sz w:val="20"/>
      <w:szCs w:val="20"/>
    </w:rPr>
  </w:style>
  <w:style w:type="character" w:styleId="FootnoteReference">
    <w:name w:val="footnote reference"/>
    <w:rsid w:val="006A5291"/>
    <w:rPr>
      <w:vertAlign w:val="superscript"/>
    </w:rPr>
  </w:style>
  <w:style w:type="table" w:styleId="TableGrid">
    <w:name w:val="Table Grid"/>
    <w:basedOn w:val="TableNormal"/>
    <w:uiPriority w:val="59"/>
    <w:rsid w:val="008358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rsid w:val="00D70B2A"/>
    <w:pPr>
      <w:tabs>
        <w:tab w:val="right" w:leader="dot" w:pos="10195"/>
      </w:tabs>
      <w:spacing w:after="0"/>
      <w:ind w:left="221"/>
    </w:pPr>
    <w:rPr>
      <w:rFonts w:ascii="Calibri" w:hAnsi="Calibri" w:cs="Calibri"/>
      <w:smallCaps/>
      <w:sz w:val="20"/>
    </w:rPr>
  </w:style>
  <w:style w:type="paragraph" w:styleId="TOC3">
    <w:name w:val="toc 3"/>
    <w:basedOn w:val="Normal"/>
    <w:next w:val="Normal"/>
    <w:autoRedefine/>
    <w:uiPriority w:val="39"/>
    <w:rsid w:val="002C2F24"/>
    <w:pPr>
      <w:ind w:left="440"/>
    </w:pPr>
    <w:rPr>
      <w:rFonts w:ascii="Calibri" w:hAnsi="Calibri" w:cs="Calibri"/>
      <w:i/>
      <w:iCs/>
      <w:sz w:val="20"/>
    </w:rPr>
  </w:style>
  <w:style w:type="paragraph" w:styleId="Header">
    <w:name w:val="header"/>
    <w:basedOn w:val="Normal"/>
    <w:link w:val="HeaderChar"/>
    <w:uiPriority w:val="99"/>
    <w:rsid w:val="003C4ACF"/>
    <w:pPr>
      <w:tabs>
        <w:tab w:val="center" w:pos="4153"/>
        <w:tab w:val="right" w:pos="8306"/>
      </w:tabs>
    </w:pPr>
    <w:rPr>
      <w:szCs w:val="20"/>
    </w:rPr>
  </w:style>
  <w:style w:type="character" w:customStyle="1" w:styleId="Heading2Char">
    <w:name w:val="Heading 2 Char"/>
    <w:link w:val="Heading2"/>
    <w:uiPriority w:val="9"/>
    <w:rsid w:val="00D70B2A"/>
    <w:rPr>
      <w:rFonts w:cs="Calibri"/>
      <w:b/>
      <w:color w:val="006460"/>
    </w:rPr>
  </w:style>
  <w:style w:type="paragraph" w:styleId="TOC1">
    <w:name w:val="toc 1"/>
    <w:basedOn w:val="Normal"/>
    <w:next w:val="Normal"/>
    <w:autoRedefine/>
    <w:uiPriority w:val="39"/>
    <w:rsid w:val="0022688C"/>
    <w:pPr>
      <w:tabs>
        <w:tab w:val="right" w:leader="dot" w:pos="10195"/>
      </w:tabs>
      <w:spacing w:before="120" w:after="120" w:line="240" w:lineRule="auto"/>
      <w:jc w:val="center"/>
    </w:pPr>
    <w:rPr>
      <w:rFonts w:ascii="Calibri" w:hAnsi="Calibri" w:cs="Calibri"/>
      <w:b/>
      <w:bCs/>
      <w:caps/>
      <w:sz w:val="20"/>
    </w:rPr>
  </w:style>
  <w:style w:type="paragraph" w:customStyle="1" w:styleId="Default">
    <w:name w:val="Default"/>
    <w:rsid w:val="007436A7"/>
    <w:pPr>
      <w:widowControl w:val="0"/>
      <w:autoSpaceDE w:val="0"/>
      <w:autoSpaceDN w:val="0"/>
      <w:adjustRightInd w:val="0"/>
      <w:spacing w:after="200" w:line="276" w:lineRule="auto"/>
    </w:pPr>
    <w:rPr>
      <w:rFonts w:ascii="Trebuchet MS" w:hAnsi="Trebuchet MS" w:cs="Trebuchet MS"/>
      <w:color w:val="000000"/>
      <w:sz w:val="24"/>
      <w:szCs w:val="24"/>
    </w:rPr>
  </w:style>
  <w:style w:type="character" w:styleId="FollowedHyperlink">
    <w:name w:val="FollowedHyperlink"/>
    <w:uiPriority w:val="99"/>
    <w:semiHidden/>
    <w:unhideWhenUsed/>
    <w:rsid w:val="00A4675B"/>
    <w:rPr>
      <w:color w:val="800080"/>
      <w:u w:val="single"/>
    </w:rPr>
  </w:style>
  <w:style w:type="character" w:customStyle="1" w:styleId="CommentTextChar">
    <w:name w:val="Comment Text Char"/>
    <w:link w:val="CommentText"/>
    <w:uiPriority w:val="99"/>
    <w:rsid w:val="005E687D"/>
    <w:rPr>
      <w:rFonts w:ascii="Arial" w:hAnsi="Arial"/>
      <w:lang w:val="en-US" w:eastAsia="en-US"/>
    </w:rPr>
  </w:style>
  <w:style w:type="character" w:customStyle="1" w:styleId="Heading6Char">
    <w:name w:val="Heading 6 Char"/>
    <w:link w:val="Heading6"/>
    <w:uiPriority w:val="9"/>
    <w:semiHidden/>
    <w:rsid w:val="00C92973"/>
    <w:rPr>
      <w:rFonts w:ascii="Cambria" w:eastAsia="Times New Roman" w:hAnsi="Cambria" w:cs="Times New Roman"/>
      <w:i/>
      <w:iCs/>
      <w:color w:val="243F60"/>
    </w:rPr>
  </w:style>
  <w:style w:type="character" w:customStyle="1" w:styleId="FooterChar">
    <w:name w:val="Footer Char"/>
    <w:link w:val="Footer"/>
    <w:uiPriority w:val="99"/>
    <w:rsid w:val="00C92973"/>
    <w:rPr>
      <w:rFonts w:ascii="Arial" w:hAnsi="Arial"/>
      <w:sz w:val="22"/>
      <w:lang w:val="en-US" w:eastAsia="en-US"/>
    </w:rPr>
  </w:style>
  <w:style w:type="character" w:customStyle="1" w:styleId="Heading7Char">
    <w:name w:val="Heading 7 Char"/>
    <w:link w:val="Heading7"/>
    <w:uiPriority w:val="9"/>
    <w:semiHidden/>
    <w:rsid w:val="00234F72"/>
    <w:rPr>
      <w:rFonts w:ascii="Cambria" w:eastAsia="Times New Roman" w:hAnsi="Cambria" w:cs="Times New Roman"/>
      <w:i/>
      <w:iCs/>
      <w:color w:val="404040"/>
    </w:rPr>
  </w:style>
  <w:style w:type="character" w:customStyle="1" w:styleId="Heading9Char">
    <w:name w:val="Heading 9 Char"/>
    <w:link w:val="Heading9"/>
    <w:uiPriority w:val="9"/>
    <w:semiHidden/>
    <w:rsid w:val="00837243"/>
    <w:rPr>
      <w:rFonts w:ascii="Cambria" w:eastAsia="Times New Roman" w:hAnsi="Cambria" w:cs="Times New Roman"/>
      <w:i/>
      <w:iCs/>
      <w:color w:val="404040"/>
      <w:sz w:val="20"/>
      <w:szCs w:val="20"/>
    </w:rPr>
  </w:style>
  <w:style w:type="character" w:customStyle="1" w:styleId="BodyTextChar">
    <w:name w:val="Body Text Char"/>
    <w:link w:val="BodyText"/>
    <w:semiHidden/>
    <w:rsid w:val="001153AD"/>
    <w:rPr>
      <w:rFonts w:ascii="Arial" w:hAnsi="Arial"/>
      <w:sz w:val="22"/>
    </w:rPr>
  </w:style>
  <w:style w:type="character" w:customStyle="1" w:styleId="CharChar8">
    <w:name w:val="Char Char8"/>
    <w:locked/>
    <w:rsid w:val="00D94453"/>
    <w:rPr>
      <w:rFonts w:ascii="Arial" w:hAnsi="Arial" w:cs="Times New Roman"/>
      <w:i/>
      <w:sz w:val="20"/>
      <w:szCs w:val="20"/>
      <w:lang w:eastAsia="en-US"/>
    </w:rPr>
  </w:style>
  <w:style w:type="character" w:customStyle="1" w:styleId="ContentsTitle">
    <w:name w:val="Contents Title"/>
    <w:rsid w:val="00D94453"/>
    <w:rPr>
      <w:rFonts w:ascii="Arial" w:hAnsi="Arial"/>
      <w:color w:val="005199"/>
      <w:sz w:val="36"/>
      <w:szCs w:val="36"/>
    </w:rPr>
  </w:style>
  <w:style w:type="character" w:customStyle="1" w:styleId="Heading1Char">
    <w:name w:val="Heading 1 Char"/>
    <w:rsid w:val="00D94453"/>
    <w:rPr>
      <w:rFonts w:ascii="Arial" w:hAnsi="Arial"/>
      <w:i/>
      <w:noProof w:val="0"/>
      <w:sz w:val="22"/>
      <w:lang w:val="en-US" w:eastAsia="en-US" w:bidi="en-US"/>
    </w:rPr>
  </w:style>
  <w:style w:type="paragraph" w:customStyle="1" w:styleId="ColorfulList-Accent12">
    <w:name w:val="Colorful List - Accent 12"/>
    <w:basedOn w:val="Normal"/>
    <w:rsid w:val="00D94453"/>
    <w:pPr>
      <w:ind w:left="720"/>
      <w:contextualSpacing/>
    </w:pPr>
    <w:rPr>
      <w:szCs w:val="24"/>
    </w:rPr>
  </w:style>
  <w:style w:type="paragraph" w:customStyle="1" w:styleId="ColorfulShading-Accent11">
    <w:name w:val="Colorful Shading - Accent 11"/>
    <w:hidden/>
    <w:rsid w:val="005C3141"/>
    <w:pPr>
      <w:widowControl w:val="0"/>
      <w:spacing w:after="200" w:line="276" w:lineRule="auto"/>
    </w:pPr>
    <w:rPr>
      <w:rFonts w:ascii="Arial" w:hAnsi="Arial"/>
      <w:sz w:val="22"/>
      <w:szCs w:val="22"/>
    </w:rPr>
  </w:style>
  <w:style w:type="character" w:customStyle="1" w:styleId="Heading3Char">
    <w:name w:val="Heading 3 Char"/>
    <w:rsid w:val="00157CCC"/>
    <w:rPr>
      <w:rFonts w:ascii="Arial" w:hAnsi="Arial"/>
      <w:b/>
      <w:i/>
      <w:color w:val="008080"/>
      <w:sz w:val="22"/>
    </w:rPr>
  </w:style>
  <w:style w:type="character" w:customStyle="1" w:styleId="FootnoteTextChar">
    <w:name w:val="Footnote Text Char"/>
    <w:aliases w:val="FOOTNOTES Char,fn Char,single space Char,f Char,ALTS FOOTNOTE Char"/>
    <w:link w:val="FootnoteText"/>
    <w:rsid w:val="00157CCC"/>
    <w:rPr>
      <w:rFonts w:ascii="Arial" w:hAnsi="Arial"/>
    </w:rPr>
  </w:style>
  <w:style w:type="paragraph" w:customStyle="1" w:styleId="ColorfulList-Accent13">
    <w:name w:val="Colorful List - Accent 13"/>
    <w:basedOn w:val="Normal"/>
    <w:uiPriority w:val="34"/>
    <w:qFormat/>
    <w:rsid w:val="00D70B2A"/>
    <w:pPr>
      <w:widowControl/>
      <w:spacing w:after="0" w:line="240" w:lineRule="auto"/>
      <w:ind w:left="720"/>
      <w:contextualSpacing/>
    </w:pPr>
    <w:rPr>
      <w:szCs w:val="20"/>
    </w:rPr>
  </w:style>
  <w:style w:type="character" w:customStyle="1" w:styleId="HeaderChar">
    <w:name w:val="Header Char"/>
    <w:link w:val="Header"/>
    <w:uiPriority w:val="99"/>
    <w:rsid w:val="000029AA"/>
    <w:rPr>
      <w:rFonts w:ascii="Arial" w:hAnsi="Arial"/>
      <w:sz w:val="22"/>
    </w:rPr>
  </w:style>
  <w:style w:type="paragraph" w:styleId="z-TopofForm">
    <w:name w:val="HTML Top of Form"/>
    <w:basedOn w:val="Normal"/>
    <w:next w:val="Normal"/>
    <w:link w:val="z-TopofFormChar"/>
    <w:hidden/>
    <w:rsid w:val="00B07E54"/>
    <w:pPr>
      <w:pBdr>
        <w:bottom w:val="single" w:sz="6" w:space="1" w:color="auto"/>
      </w:pBdr>
      <w:jc w:val="center"/>
    </w:pPr>
    <w:rPr>
      <w:vanish/>
      <w:sz w:val="16"/>
      <w:szCs w:val="16"/>
    </w:rPr>
  </w:style>
  <w:style w:type="character" w:customStyle="1" w:styleId="z-TopofFormChar">
    <w:name w:val="z-Top of Form Char"/>
    <w:link w:val="z-TopofForm"/>
    <w:rsid w:val="00B07E54"/>
    <w:rPr>
      <w:rFonts w:ascii="Arial" w:hAnsi="Arial" w:cs="Arial"/>
      <w:vanish/>
      <w:sz w:val="16"/>
      <w:szCs w:val="16"/>
    </w:rPr>
  </w:style>
  <w:style w:type="paragraph" w:styleId="z-BottomofForm">
    <w:name w:val="HTML Bottom of Form"/>
    <w:basedOn w:val="Normal"/>
    <w:next w:val="Normal"/>
    <w:link w:val="z-BottomofFormChar"/>
    <w:hidden/>
    <w:rsid w:val="00B07E54"/>
    <w:pPr>
      <w:pBdr>
        <w:top w:val="single" w:sz="6" w:space="1" w:color="auto"/>
      </w:pBdr>
      <w:jc w:val="center"/>
    </w:pPr>
    <w:rPr>
      <w:vanish/>
      <w:sz w:val="16"/>
      <w:szCs w:val="16"/>
    </w:rPr>
  </w:style>
  <w:style w:type="character" w:customStyle="1" w:styleId="z-BottomofFormChar">
    <w:name w:val="z-Bottom of Form Char"/>
    <w:link w:val="z-BottomofForm"/>
    <w:rsid w:val="00B07E54"/>
    <w:rPr>
      <w:rFonts w:ascii="Arial" w:hAnsi="Arial" w:cs="Arial"/>
      <w:vanish/>
      <w:sz w:val="16"/>
      <w:szCs w:val="16"/>
    </w:rPr>
  </w:style>
  <w:style w:type="table" w:customStyle="1" w:styleId="ColorfulList-Accent61">
    <w:name w:val="Colorful List - Accent 61"/>
    <w:basedOn w:val="TableNormal"/>
    <w:uiPriority w:val="72"/>
    <w:rsid w:val="003E57C9"/>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MediumShading2-Accent2">
    <w:name w:val="Medium Shading 2 Accent 2"/>
    <w:basedOn w:val="TableNormal"/>
    <w:uiPriority w:val="69"/>
    <w:rsid w:val="003E57C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Shading-Accent5">
    <w:name w:val="Colorful Shading Accent 5"/>
    <w:basedOn w:val="TableNormal"/>
    <w:uiPriority w:val="62"/>
    <w:rsid w:val="00062BAE"/>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ystem" w:eastAsia="Times New Roman" w:hAnsi="Syste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ystem" w:eastAsia="Times New Roman" w:hAnsi="Syste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EmptyLayoutCell">
    <w:name w:val="EmptyLayoutCell"/>
    <w:basedOn w:val="Normal"/>
    <w:rsid w:val="0038157F"/>
    <w:rPr>
      <w:rFonts w:ascii="Times New Roman" w:hAnsi="Times New Roman"/>
      <w:sz w:val="2"/>
    </w:rPr>
  </w:style>
  <w:style w:type="paragraph" w:styleId="TOC4">
    <w:name w:val="toc 4"/>
    <w:basedOn w:val="Normal"/>
    <w:next w:val="Normal"/>
    <w:autoRedefine/>
    <w:rsid w:val="00716F3C"/>
    <w:pPr>
      <w:ind w:left="660"/>
    </w:pPr>
    <w:rPr>
      <w:rFonts w:ascii="Calibri" w:hAnsi="Calibri" w:cs="Calibri"/>
      <w:sz w:val="18"/>
      <w:szCs w:val="18"/>
    </w:rPr>
  </w:style>
  <w:style w:type="paragraph" w:styleId="TOC5">
    <w:name w:val="toc 5"/>
    <w:basedOn w:val="Normal"/>
    <w:next w:val="Normal"/>
    <w:autoRedefine/>
    <w:rsid w:val="00716F3C"/>
    <w:pPr>
      <w:ind w:left="880"/>
    </w:pPr>
    <w:rPr>
      <w:rFonts w:ascii="Calibri" w:hAnsi="Calibri" w:cs="Calibri"/>
      <w:sz w:val="18"/>
      <w:szCs w:val="18"/>
    </w:rPr>
  </w:style>
  <w:style w:type="paragraph" w:styleId="TOC6">
    <w:name w:val="toc 6"/>
    <w:basedOn w:val="Normal"/>
    <w:next w:val="Normal"/>
    <w:autoRedefine/>
    <w:rsid w:val="00716F3C"/>
    <w:pPr>
      <w:ind w:left="1100"/>
    </w:pPr>
    <w:rPr>
      <w:rFonts w:ascii="Calibri" w:hAnsi="Calibri" w:cs="Calibri"/>
      <w:sz w:val="18"/>
      <w:szCs w:val="18"/>
    </w:rPr>
  </w:style>
  <w:style w:type="paragraph" w:styleId="TOC7">
    <w:name w:val="toc 7"/>
    <w:basedOn w:val="Normal"/>
    <w:next w:val="Normal"/>
    <w:autoRedefine/>
    <w:rsid w:val="00716F3C"/>
    <w:pPr>
      <w:ind w:left="1320"/>
    </w:pPr>
    <w:rPr>
      <w:rFonts w:ascii="Calibri" w:hAnsi="Calibri" w:cs="Calibri"/>
      <w:sz w:val="18"/>
      <w:szCs w:val="18"/>
    </w:rPr>
  </w:style>
  <w:style w:type="paragraph" w:styleId="TOC8">
    <w:name w:val="toc 8"/>
    <w:basedOn w:val="Normal"/>
    <w:next w:val="Normal"/>
    <w:autoRedefine/>
    <w:rsid w:val="00716F3C"/>
    <w:pPr>
      <w:ind w:left="1540"/>
    </w:pPr>
    <w:rPr>
      <w:rFonts w:ascii="Calibri" w:hAnsi="Calibri" w:cs="Calibri"/>
      <w:sz w:val="18"/>
      <w:szCs w:val="18"/>
    </w:rPr>
  </w:style>
  <w:style w:type="paragraph" w:styleId="TOC9">
    <w:name w:val="toc 9"/>
    <w:basedOn w:val="Normal"/>
    <w:next w:val="Normal"/>
    <w:autoRedefine/>
    <w:rsid w:val="00716F3C"/>
    <w:pPr>
      <w:ind w:left="1760"/>
    </w:pPr>
    <w:rPr>
      <w:rFonts w:ascii="Calibri" w:hAnsi="Calibri" w:cs="Calibri"/>
      <w:sz w:val="18"/>
      <w:szCs w:val="18"/>
    </w:rPr>
  </w:style>
  <w:style w:type="paragraph" w:styleId="ListParagraph">
    <w:name w:val="List Paragraph"/>
    <w:basedOn w:val="Normal"/>
    <w:link w:val="ListParagraphChar"/>
    <w:uiPriority w:val="34"/>
    <w:qFormat/>
    <w:rsid w:val="00D70B2A"/>
    <w:pPr>
      <w:numPr>
        <w:numId w:val="4"/>
      </w:numPr>
      <w:spacing w:after="120"/>
      <w:ind w:right="61"/>
      <w:contextualSpacing/>
      <w:jc w:val="both"/>
    </w:pPr>
    <w:rPr>
      <w:rFonts w:eastAsia="Arial"/>
      <w:i/>
      <w:color w:val="005A63"/>
      <w:sz w:val="20"/>
      <w:szCs w:val="20"/>
    </w:rPr>
  </w:style>
  <w:style w:type="character" w:customStyle="1" w:styleId="ListParagraphChar">
    <w:name w:val="List Paragraph Char"/>
    <w:link w:val="ListParagraph"/>
    <w:uiPriority w:val="34"/>
    <w:rsid w:val="00D70B2A"/>
    <w:rPr>
      <w:rFonts w:ascii="Arial" w:eastAsia="Arial" w:hAnsi="Arial"/>
      <w:i/>
      <w:color w:val="005A63"/>
      <w:lang w:val="en-US" w:eastAsia="en-US"/>
    </w:rPr>
  </w:style>
  <w:style w:type="paragraph" w:styleId="NoSpacing">
    <w:name w:val="No Spacing"/>
    <w:link w:val="NoSpacingChar"/>
    <w:uiPriority w:val="1"/>
    <w:qFormat/>
    <w:rsid w:val="00D70B2A"/>
    <w:pPr>
      <w:widowControl w:val="0"/>
    </w:pPr>
    <w:rPr>
      <w:sz w:val="22"/>
      <w:szCs w:val="22"/>
    </w:rPr>
  </w:style>
  <w:style w:type="paragraph" w:styleId="Revision">
    <w:name w:val="Revision"/>
    <w:hidden/>
    <w:uiPriority w:val="99"/>
    <w:semiHidden/>
    <w:rsid w:val="00AF2F9C"/>
    <w:pPr>
      <w:widowControl w:val="0"/>
      <w:spacing w:after="200" w:line="276" w:lineRule="auto"/>
    </w:pPr>
    <w:rPr>
      <w:rFonts w:ascii="Arial" w:hAnsi="Arial"/>
      <w:sz w:val="22"/>
      <w:szCs w:val="22"/>
    </w:rPr>
  </w:style>
  <w:style w:type="character" w:customStyle="1" w:styleId="Heading1Char1">
    <w:name w:val="Heading 1 Char1"/>
    <w:link w:val="Heading1"/>
    <w:uiPriority w:val="9"/>
    <w:rsid w:val="00D70B2A"/>
    <w:rPr>
      <w:rFonts w:ascii="Arial" w:hAnsi="Arial" w:cs="Arial"/>
      <w:b/>
      <w:color w:val="FFFFFF"/>
      <w:spacing w:val="-1"/>
      <w:lang w:val="en-US"/>
    </w:rPr>
  </w:style>
  <w:style w:type="paragraph" w:customStyle="1" w:styleId="Ljustrutnt-dekorfrg31">
    <w:name w:val="Ljust rutnät - dekorfärg 31"/>
    <w:basedOn w:val="Normal"/>
    <w:uiPriority w:val="34"/>
    <w:qFormat/>
    <w:rsid w:val="00D70B2A"/>
    <w:pPr>
      <w:widowControl/>
      <w:spacing w:line="240" w:lineRule="auto"/>
      <w:ind w:left="720"/>
      <w:contextualSpacing/>
    </w:pPr>
    <w:rPr>
      <w:rFonts w:ascii="Cambria" w:eastAsia="Cambria" w:hAnsi="Cambria"/>
      <w:sz w:val="24"/>
      <w:szCs w:val="24"/>
    </w:rPr>
  </w:style>
  <w:style w:type="paragraph" w:customStyle="1" w:styleId="BOldTitle">
    <w:name w:val="BOld Title"/>
    <w:basedOn w:val="Normal"/>
    <w:link w:val="BOldTitleChar"/>
    <w:qFormat/>
    <w:rsid w:val="00D70B2A"/>
    <w:rPr>
      <w:b/>
      <w:color w:val="000000"/>
      <w:sz w:val="20"/>
      <w:szCs w:val="24"/>
    </w:rPr>
  </w:style>
  <w:style w:type="character" w:customStyle="1" w:styleId="BOldTitleChar">
    <w:name w:val="BOld Title Char"/>
    <w:link w:val="BOldTitle"/>
    <w:rsid w:val="00D70B2A"/>
    <w:rPr>
      <w:rFonts w:ascii="Arial" w:hAnsi="Arial" w:cs="Arial"/>
      <w:b/>
      <w:color w:val="000000"/>
      <w:szCs w:val="24"/>
    </w:rPr>
  </w:style>
  <w:style w:type="paragraph" w:customStyle="1" w:styleId="TITLE3">
    <w:name w:val="TITLE 3"/>
    <w:basedOn w:val="Normal"/>
    <w:link w:val="TITLE3Char"/>
    <w:qFormat/>
    <w:rsid w:val="00D70B2A"/>
    <w:pPr>
      <w:spacing w:after="120"/>
    </w:pPr>
    <w:rPr>
      <w:b/>
      <w:color w:val="FFFFFF"/>
      <w:sz w:val="20"/>
      <w:szCs w:val="20"/>
    </w:rPr>
  </w:style>
  <w:style w:type="character" w:customStyle="1" w:styleId="TITLE3Char">
    <w:name w:val="TITLE 3 Char"/>
    <w:link w:val="TITLE3"/>
    <w:rsid w:val="00D70B2A"/>
    <w:rPr>
      <w:rFonts w:ascii="Arial" w:hAnsi="Arial" w:cs="Arial"/>
      <w:b/>
      <w:color w:val="FFFFFF"/>
    </w:rPr>
  </w:style>
  <w:style w:type="paragraph" w:customStyle="1" w:styleId="annexetitle">
    <w:name w:val="annexe title"/>
    <w:basedOn w:val="Normal"/>
    <w:link w:val="annexetitleChar"/>
    <w:autoRedefine/>
    <w:qFormat/>
    <w:rsid w:val="00D70B2A"/>
    <w:pPr>
      <w:pBdr>
        <w:bottom w:val="single" w:sz="8" w:space="1" w:color="auto"/>
      </w:pBdr>
      <w:tabs>
        <w:tab w:val="left" w:pos="8080"/>
      </w:tabs>
      <w:ind w:right="1522"/>
    </w:pPr>
    <w:rPr>
      <w:smallCaps/>
      <w:sz w:val="24"/>
      <w:szCs w:val="20"/>
    </w:rPr>
  </w:style>
  <w:style w:type="character" w:customStyle="1" w:styleId="annexetitleChar">
    <w:name w:val="annexe title Char"/>
    <w:link w:val="annexetitle"/>
    <w:rsid w:val="00D70B2A"/>
    <w:rPr>
      <w:rFonts w:ascii="Arial" w:hAnsi="Arial" w:cs="Arial"/>
      <w:smallCaps/>
      <w:sz w:val="24"/>
    </w:rPr>
  </w:style>
  <w:style w:type="paragraph" w:customStyle="1" w:styleId="figuretitle">
    <w:name w:val="figure title"/>
    <w:basedOn w:val="annexetitle"/>
    <w:link w:val="figuretitleChar"/>
    <w:autoRedefine/>
    <w:qFormat/>
    <w:rsid w:val="00D70B2A"/>
    <w:pPr>
      <w:pBdr>
        <w:bottom w:val="none" w:sz="0" w:space="0" w:color="auto"/>
      </w:pBdr>
      <w:spacing w:after="120"/>
      <w:ind w:right="624"/>
    </w:pPr>
    <w:rPr>
      <w:b/>
      <w:i/>
      <w:smallCaps w:val="0"/>
    </w:rPr>
  </w:style>
  <w:style w:type="character" w:customStyle="1" w:styleId="figuretitleChar">
    <w:name w:val="figure title Char"/>
    <w:link w:val="figuretitle"/>
    <w:rsid w:val="00D70B2A"/>
    <w:rPr>
      <w:rFonts w:ascii="Arial" w:hAnsi="Arial" w:cs="Arial"/>
      <w:b/>
      <w:i/>
      <w:sz w:val="24"/>
      <w:lang w:val="en-US"/>
    </w:rPr>
  </w:style>
  <w:style w:type="paragraph" w:customStyle="1" w:styleId="NORMALBULLET">
    <w:name w:val="NORMAL + BULLET"/>
    <w:basedOn w:val="Normal"/>
    <w:link w:val="NORMALBULLETChar"/>
    <w:qFormat/>
    <w:rsid w:val="00D70B2A"/>
    <w:pPr>
      <w:widowControl/>
      <w:spacing w:after="120"/>
      <w:ind w:left="426" w:hanging="360"/>
      <w:contextualSpacing/>
      <w:jc w:val="both"/>
    </w:pPr>
    <w:rPr>
      <w:sz w:val="20"/>
      <w:szCs w:val="20"/>
    </w:rPr>
  </w:style>
  <w:style w:type="character" w:customStyle="1" w:styleId="NORMALBULLETChar">
    <w:name w:val="NORMAL + BULLET Char"/>
    <w:link w:val="NORMALBULLET"/>
    <w:rsid w:val="00D70B2A"/>
    <w:rPr>
      <w:rFonts w:ascii="Arial" w:hAnsi="Arial"/>
    </w:rPr>
  </w:style>
  <w:style w:type="character" w:customStyle="1" w:styleId="Heading3Char1">
    <w:name w:val="Heading 3 Char1"/>
    <w:link w:val="Heading3"/>
    <w:uiPriority w:val="9"/>
    <w:rsid w:val="00A60772"/>
    <w:rPr>
      <w:rFonts w:ascii="Times New Roman" w:eastAsia="Arial" w:hAnsi="Times New Roman"/>
      <w:b/>
      <w:bCs/>
      <w:color w:val="333333"/>
      <w:sz w:val="24"/>
      <w:szCs w:val="24"/>
      <w:lang w:val="en-US" w:eastAsia="en-US"/>
    </w:rPr>
  </w:style>
  <w:style w:type="character" w:customStyle="1" w:styleId="Heading4Char">
    <w:name w:val="Heading 4 Char"/>
    <w:link w:val="Heading4"/>
    <w:uiPriority w:val="9"/>
    <w:rsid w:val="00D70B2A"/>
    <w:rPr>
      <w:rFonts w:ascii="Arial" w:hAnsi="Arial" w:cs="Arial"/>
      <w:b/>
      <w:color w:val="006460"/>
    </w:rPr>
  </w:style>
  <w:style w:type="character" w:customStyle="1" w:styleId="Heading5Char">
    <w:name w:val="Heading 5 Char"/>
    <w:link w:val="Heading5"/>
    <w:uiPriority w:val="9"/>
    <w:rsid w:val="008E7E22"/>
    <w:rPr>
      <w:rFonts w:ascii="Arial" w:eastAsia="Arial" w:hAnsi="Arial"/>
      <w:b/>
      <w:color w:val="005A63"/>
    </w:rPr>
  </w:style>
  <w:style w:type="character" w:customStyle="1" w:styleId="Heading8Char">
    <w:name w:val="Heading 8 Char"/>
    <w:link w:val="Heading8"/>
    <w:uiPriority w:val="9"/>
    <w:rsid w:val="00D70B2A"/>
    <w:rPr>
      <w:rFonts w:ascii="Cambria" w:eastAsia="Times New Roman" w:hAnsi="Cambria" w:cs="Times New Roman"/>
      <w:color w:val="666666"/>
      <w:sz w:val="20"/>
      <w:szCs w:val="20"/>
    </w:rPr>
  </w:style>
  <w:style w:type="paragraph" w:styleId="Title">
    <w:name w:val="Title"/>
    <w:basedOn w:val="Normal"/>
    <w:next w:val="Normal"/>
    <w:link w:val="TitleChar1"/>
    <w:uiPriority w:val="10"/>
    <w:qFormat/>
    <w:rsid w:val="00D70B2A"/>
    <w:pPr>
      <w:pBdr>
        <w:bottom w:val="single" w:sz="8" w:space="4" w:color="005A60"/>
      </w:pBdr>
      <w:spacing w:after="300" w:line="240" w:lineRule="auto"/>
      <w:contextualSpacing/>
    </w:pPr>
    <w:rPr>
      <w:rFonts w:ascii="Cambria" w:eastAsia="Times New Roman" w:hAnsi="Cambria"/>
      <w:color w:val="850513"/>
      <w:spacing w:val="5"/>
      <w:kern w:val="28"/>
      <w:sz w:val="52"/>
      <w:szCs w:val="52"/>
    </w:rPr>
  </w:style>
  <w:style w:type="character" w:customStyle="1" w:styleId="TitleChar">
    <w:name w:val="Title Char"/>
    <w:rsid w:val="00D70B2A"/>
    <w:rPr>
      <w:rFonts w:ascii="Cambria" w:eastAsia="Times New Roman" w:hAnsi="Cambria" w:cs="Times New Roman"/>
      <w:b/>
      <w:bCs/>
      <w:kern w:val="28"/>
      <w:sz w:val="32"/>
      <w:szCs w:val="32"/>
    </w:rPr>
  </w:style>
  <w:style w:type="character" w:customStyle="1" w:styleId="TitleChar1">
    <w:name w:val="Title Char1"/>
    <w:link w:val="Title"/>
    <w:uiPriority w:val="10"/>
    <w:rsid w:val="00D70B2A"/>
    <w:rPr>
      <w:rFonts w:ascii="Cambria" w:eastAsia="Times New Roman" w:hAnsi="Cambria" w:cs="Times New Roman"/>
      <w:color w:val="850513"/>
      <w:spacing w:val="5"/>
      <w:kern w:val="28"/>
      <w:sz w:val="52"/>
      <w:szCs w:val="52"/>
    </w:rPr>
  </w:style>
  <w:style w:type="character" w:styleId="Strong">
    <w:name w:val="Strong"/>
    <w:uiPriority w:val="22"/>
    <w:qFormat/>
    <w:rsid w:val="00D70B2A"/>
    <w:rPr>
      <w:b/>
      <w:bCs/>
      <w:color w:val="005A63"/>
    </w:rPr>
  </w:style>
  <w:style w:type="character" w:styleId="Emphasis">
    <w:name w:val="Emphasis"/>
    <w:uiPriority w:val="20"/>
    <w:qFormat/>
    <w:rsid w:val="00D70B2A"/>
    <w:rPr>
      <w:i/>
      <w:iCs/>
    </w:rPr>
  </w:style>
  <w:style w:type="paragraph" w:styleId="IntenseQuote">
    <w:name w:val="Intense Quote"/>
    <w:basedOn w:val="Normal"/>
    <w:next w:val="Normal"/>
    <w:link w:val="IntenseQuoteChar"/>
    <w:uiPriority w:val="30"/>
    <w:qFormat/>
    <w:rsid w:val="00D70B2A"/>
    <w:pPr>
      <w:pBdr>
        <w:bottom w:val="single" w:sz="4" w:space="4" w:color="005A60"/>
      </w:pBdr>
      <w:spacing w:before="200" w:after="280"/>
      <w:ind w:left="936" w:right="936"/>
    </w:pPr>
    <w:rPr>
      <w:rFonts w:ascii="Calibri" w:hAnsi="Calibri"/>
      <w:b/>
      <w:bCs/>
      <w:i/>
      <w:iCs/>
      <w:color w:val="005A60"/>
      <w:sz w:val="20"/>
      <w:szCs w:val="20"/>
    </w:rPr>
  </w:style>
  <w:style w:type="character" w:customStyle="1" w:styleId="IntenseQuoteChar">
    <w:name w:val="Intense Quote Char"/>
    <w:link w:val="IntenseQuote"/>
    <w:uiPriority w:val="30"/>
    <w:rsid w:val="00D70B2A"/>
    <w:rPr>
      <w:b/>
      <w:bCs/>
      <w:i/>
      <w:iCs/>
      <w:color w:val="005A60"/>
    </w:rPr>
  </w:style>
  <w:style w:type="character" w:styleId="SubtleEmphasis">
    <w:name w:val="Subtle Emphasis"/>
    <w:uiPriority w:val="19"/>
    <w:qFormat/>
    <w:rsid w:val="00D70B2A"/>
    <w:rPr>
      <w:i/>
      <w:iCs/>
      <w:color w:val="999999"/>
    </w:rPr>
  </w:style>
  <w:style w:type="character" w:styleId="BookTitle">
    <w:name w:val="Book Title"/>
    <w:uiPriority w:val="33"/>
    <w:qFormat/>
    <w:rsid w:val="00D70B2A"/>
    <w:rPr>
      <w:b/>
      <w:bCs/>
      <w:smallCaps/>
      <w:spacing w:val="5"/>
    </w:rPr>
  </w:style>
  <w:style w:type="paragraph" w:customStyle="1" w:styleId="bullet">
    <w:name w:val="bullet"/>
    <w:basedOn w:val="Normal"/>
    <w:link w:val="bulletChar"/>
    <w:qFormat/>
    <w:rsid w:val="00D70B2A"/>
    <w:pPr>
      <w:numPr>
        <w:numId w:val="11"/>
      </w:numPr>
      <w:ind w:left="426"/>
    </w:pPr>
    <w:rPr>
      <w:sz w:val="20"/>
      <w:szCs w:val="20"/>
    </w:rPr>
  </w:style>
  <w:style w:type="paragraph" w:customStyle="1" w:styleId="partTitile">
    <w:name w:val="part Titile"/>
    <w:basedOn w:val="Heading1"/>
    <w:link w:val="partTitileChar"/>
    <w:qFormat/>
    <w:rsid w:val="0050668A"/>
    <w:pPr>
      <w:widowControl/>
      <w:spacing w:before="60" w:after="60" w:line="240" w:lineRule="auto"/>
      <w:jc w:val="left"/>
    </w:pPr>
    <w:rPr>
      <w:rFonts w:eastAsia="Times New Roman"/>
      <w:spacing w:val="0"/>
      <w:sz w:val="24"/>
    </w:rPr>
  </w:style>
  <w:style w:type="character" w:customStyle="1" w:styleId="bulletChar">
    <w:name w:val="bullet Char"/>
    <w:link w:val="bullet"/>
    <w:rsid w:val="00D70B2A"/>
    <w:rPr>
      <w:rFonts w:ascii="Arial" w:hAnsi="Arial"/>
      <w:lang w:val="en-US" w:eastAsia="en-US"/>
    </w:rPr>
  </w:style>
  <w:style w:type="character" w:customStyle="1" w:styleId="partTitileChar">
    <w:name w:val="part Titile Char"/>
    <w:link w:val="partTitile"/>
    <w:rsid w:val="0050668A"/>
    <w:rPr>
      <w:rFonts w:ascii="Arial" w:eastAsia="Times New Roman" w:hAnsi="Arial" w:cs="Arial"/>
      <w:b/>
      <w:color w:val="FFFFFF"/>
      <w:sz w:val="24"/>
      <w:lang w:val="en-US" w:eastAsia="en-US"/>
    </w:rPr>
  </w:style>
  <w:style w:type="character" w:customStyle="1" w:styleId="NoSpacingChar">
    <w:name w:val="No Spacing Char"/>
    <w:link w:val="NoSpacing"/>
    <w:uiPriority w:val="1"/>
    <w:rsid w:val="00242E2A"/>
    <w:rPr>
      <w:sz w:val="22"/>
      <w:szCs w:val="22"/>
      <w:lang w:val="en-US" w:eastAsia="en-US" w:bidi="en-US"/>
    </w:rPr>
  </w:style>
  <w:style w:type="paragraph" w:customStyle="1" w:styleId="StyleTitre1ArialNarrow">
    <w:name w:val="Style Titre 1 + Arial Narrow"/>
    <w:basedOn w:val="Normal"/>
    <w:rsid w:val="00FC4DBE"/>
    <w:pPr>
      <w:widowControl/>
      <w:numPr>
        <w:numId w:val="22"/>
      </w:numPr>
      <w:spacing w:after="0" w:line="240" w:lineRule="auto"/>
    </w:pPr>
    <w:rPr>
      <w:rFonts w:ascii="Times New Roman" w:eastAsia="Times New Roman" w:hAnsi="Times New Roman"/>
      <w:sz w:val="24"/>
      <w:szCs w:val="24"/>
    </w:rPr>
  </w:style>
  <w:style w:type="paragraph" w:customStyle="1" w:styleId="StyleTitre2ArialNarrow">
    <w:name w:val="Style Titre 2 + Arial Narrow"/>
    <w:basedOn w:val="Normal"/>
    <w:rsid w:val="00FC4DBE"/>
    <w:pPr>
      <w:widowControl/>
      <w:numPr>
        <w:ilvl w:val="1"/>
        <w:numId w:val="22"/>
      </w:numPr>
      <w:spacing w:after="0" w:line="240" w:lineRule="auto"/>
    </w:pPr>
    <w:rPr>
      <w:rFonts w:ascii="Times New Roman" w:eastAsia="Times New Roman" w:hAnsi="Times New Roman"/>
      <w:sz w:val="24"/>
      <w:szCs w:val="24"/>
    </w:rPr>
  </w:style>
  <w:style w:type="paragraph" w:customStyle="1" w:styleId="StyleTitre3ArialNarrow">
    <w:name w:val="Style Titre 3 + Arial Narrow"/>
    <w:basedOn w:val="Normal"/>
    <w:rsid w:val="00FC4DBE"/>
    <w:pPr>
      <w:widowControl/>
      <w:numPr>
        <w:ilvl w:val="2"/>
        <w:numId w:val="22"/>
      </w:numPr>
      <w:spacing w:after="0" w:line="240" w:lineRule="auto"/>
    </w:pPr>
    <w:rPr>
      <w:rFonts w:ascii="Times New Roman" w:eastAsia="Times New Roman" w:hAnsi="Times New Roman"/>
      <w:sz w:val="24"/>
      <w:szCs w:val="24"/>
    </w:rPr>
  </w:style>
  <w:style w:type="paragraph" w:customStyle="1" w:styleId="StyleTitre4ArialNarrow">
    <w:name w:val="Style Titre 4 + Arial Narrow"/>
    <w:basedOn w:val="Normal"/>
    <w:rsid w:val="00FC4DBE"/>
    <w:pPr>
      <w:widowControl/>
      <w:numPr>
        <w:ilvl w:val="3"/>
        <w:numId w:val="22"/>
      </w:numPr>
      <w:spacing w:after="0" w:line="240" w:lineRule="auto"/>
    </w:pPr>
    <w:rPr>
      <w:rFonts w:ascii="Times New Roman" w:eastAsia="Times New Roman" w:hAnsi="Times New Roman"/>
      <w:sz w:val="24"/>
      <w:szCs w:val="24"/>
    </w:rPr>
  </w:style>
  <w:style w:type="paragraph" w:customStyle="1" w:styleId="StyleTitre5ArialNarrow">
    <w:name w:val="Style Titre 5 + Arial Narrow"/>
    <w:basedOn w:val="Normal"/>
    <w:rsid w:val="00FC4DBE"/>
    <w:pPr>
      <w:widowControl/>
      <w:numPr>
        <w:ilvl w:val="4"/>
        <w:numId w:val="22"/>
      </w:numPr>
      <w:spacing w:after="0" w:line="240" w:lineRule="auto"/>
    </w:pPr>
    <w:rPr>
      <w:rFonts w:ascii="Times New Roman" w:eastAsia="Times New Roman" w:hAnsi="Times New Roman"/>
      <w:sz w:val="24"/>
      <w:szCs w:val="24"/>
    </w:rPr>
  </w:style>
  <w:style w:type="paragraph" w:styleId="List2">
    <w:name w:val="List 2"/>
    <w:basedOn w:val="Normal"/>
    <w:uiPriority w:val="99"/>
    <w:unhideWhenUsed/>
    <w:rsid w:val="00FC4DBE"/>
    <w:pPr>
      <w:widowControl/>
      <w:ind w:left="566" w:hanging="283"/>
      <w:contextualSpacing/>
    </w:pPr>
    <w:rPr>
      <w:rFonts w:ascii="Calibri" w:hAnsi="Calibri"/>
    </w:rPr>
  </w:style>
  <w:style w:type="paragraph" w:styleId="TOCHeading">
    <w:name w:val="TOC Heading"/>
    <w:basedOn w:val="Heading1"/>
    <w:next w:val="Normal"/>
    <w:uiPriority w:val="39"/>
    <w:semiHidden/>
    <w:unhideWhenUsed/>
    <w:qFormat/>
    <w:rsid w:val="00962F72"/>
    <w:pPr>
      <w:keepNext/>
      <w:spacing w:before="240" w:after="60"/>
      <w:jc w:val="left"/>
      <w:outlineLvl w:val="9"/>
    </w:pPr>
    <w:rPr>
      <w:rFonts w:ascii="Cambria" w:eastAsia="Times New Roman" w:hAnsi="Cambria"/>
      <w:bCs/>
      <w:color w:val="auto"/>
      <w:spacing w:val="0"/>
      <w:kern w:val="32"/>
      <w:sz w:val="32"/>
      <w:szCs w:val="32"/>
    </w:rPr>
  </w:style>
  <w:style w:type="paragraph" w:customStyle="1" w:styleId="Style1">
    <w:name w:val="Style1"/>
    <w:basedOn w:val="Normal"/>
    <w:link w:val="Style1Car"/>
    <w:qFormat/>
    <w:rsid w:val="00F9414A"/>
    <w:pPr>
      <w:widowControl/>
      <w:numPr>
        <w:ilvl w:val="4"/>
        <w:numId w:val="49"/>
      </w:numPr>
      <w:spacing w:after="0" w:line="240" w:lineRule="auto"/>
    </w:pPr>
    <w:rPr>
      <w:rFonts w:ascii="Times New Roman" w:eastAsia="MS Mincho" w:hAnsi="Times New Roman"/>
      <w:b/>
      <w:sz w:val="24"/>
      <w:szCs w:val="24"/>
    </w:rPr>
  </w:style>
  <w:style w:type="character" w:customStyle="1" w:styleId="Style1Car">
    <w:name w:val="Style1 Car"/>
    <w:link w:val="Style1"/>
    <w:rsid w:val="00F9414A"/>
    <w:rPr>
      <w:rFonts w:ascii="Times New Roman" w:eastAsia="MS Mincho" w:hAnsi="Times New Roman"/>
      <w:b/>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13160">
      <w:bodyDiv w:val="1"/>
      <w:marLeft w:val="0"/>
      <w:marRight w:val="0"/>
      <w:marTop w:val="0"/>
      <w:marBottom w:val="0"/>
      <w:divBdr>
        <w:top w:val="none" w:sz="0" w:space="0" w:color="auto"/>
        <w:left w:val="none" w:sz="0" w:space="0" w:color="auto"/>
        <w:bottom w:val="none" w:sz="0" w:space="0" w:color="auto"/>
        <w:right w:val="none" w:sz="0" w:space="0" w:color="auto"/>
      </w:divBdr>
    </w:div>
    <w:div w:id="150954249">
      <w:bodyDiv w:val="1"/>
      <w:marLeft w:val="0"/>
      <w:marRight w:val="0"/>
      <w:marTop w:val="0"/>
      <w:marBottom w:val="0"/>
      <w:divBdr>
        <w:top w:val="none" w:sz="0" w:space="0" w:color="auto"/>
        <w:left w:val="none" w:sz="0" w:space="0" w:color="auto"/>
        <w:bottom w:val="none" w:sz="0" w:space="0" w:color="auto"/>
        <w:right w:val="none" w:sz="0" w:space="0" w:color="auto"/>
      </w:divBdr>
    </w:div>
    <w:div w:id="153424331">
      <w:bodyDiv w:val="1"/>
      <w:marLeft w:val="0"/>
      <w:marRight w:val="0"/>
      <w:marTop w:val="0"/>
      <w:marBottom w:val="0"/>
      <w:divBdr>
        <w:top w:val="none" w:sz="0" w:space="0" w:color="auto"/>
        <w:left w:val="none" w:sz="0" w:space="0" w:color="auto"/>
        <w:bottom w:val="none" w:sz="0" w:space="0" w:color="auto"/>
        <w:right w:val="none" w:sz="0" w:space="0" w:color="auto"/>
      </w:divBdr>
    </w:div>
    <w:div w:id="160588041">
      <w:bodyDiv w:val="1"/>
      <w:marLeft w:val="0"/>
      <w:marRight w:val="0"/>
      <w:marTop w:val="0"/>
      <w:marBottom w:val="0"/>
      <w:divBdr>
        <w:top w:val="none" w:sz="0" w:space="0" w:color="auto"/>
        <w:left w:val="none" w:sz="0" w:space="0" w:color="auto"/>
        <w:bottom w:val="none" w:sz="0" w:space="0" w:color="auto"/>
        <w:right w:val="none" w:sz="0" w:space="0" w:color="auto"/>
      </w:divBdr>
    </w:div>
    <w:div w:id="183398945">
      <w:bodyDiv w:val="1"/>
      <w:marLeft w:val="0"/>
      <w:marRight w:val="0"/>
      <w:marTop w:val="0"/>
      <w:marBottom w:val="0"/>
      <w:divBdr>
        <w:top w:val="none" w:sz="0" w:space="0" w:color="auto"/>
        <w:left w:val="none" w:sz="0" w:space="0" w:color="auto"/>
        <w:bottom w:val="none" w:sz="0" w:space="0" w:color="auto"/>
        <w:right w:val="none" w:sz="0" w:space="0" w:color="auto"/>
      </w:divBdr>
    </w:div>
    <w:div w:id="195512218">
      <w:bodyDiv w:val="1"/>
      <w:marLeft w:val="0"/>
      <w:marRight w:val="0"/>
      <w:marTop w:val="0"/>
      <w:marBottom w:val="0"/>
      <w:divBdr>
        <w:top w:val="none" w:sz="0" w:space="0" w:color="auto"/>
        <w:left w:val="none" w:sz="0" w:space="0" w:color="auto"/>
        <w:bottom w:val="none" w:sz="0" w:space="0" w:color="auto"/>
        <w:right w:val="none" w:sz="0" w:space="0" w:color="auto"/>
      </w:divBdr>
    </w:div>
    <w:div w:id="218832759">
      <w:bodyDiv w:val="1"/>
      <w:marLeft w:val="0"/>
      <w:marRight w:val="0"/>
      <w:marTop w:val="0"/>
      <w:marBottom w:val="0"/>
      <w:divBdr>
        <w:top w:val="none" w:sz="0" w:space="0" w:color="auto"/>
        <w:left w:val="none" w:sz="0" w:space="0" w:color="auto"/>
        <w:bottom w:val="none" w:sz="0" w:space="0" w:color="auto"/>
        <w:right w:val="none" w:sz="0" w:space="0" w:color="auto"/>
      </w:divBdr>
    </w:div>
    <w:div w:id="241913401">
      <w:bodyDiv w:val="1"/>
      <w:marLeft w:val="0"/>
      <w:marRight w:val="0"/>
      <w:marTop w:val="0"/>
      <w:marBottom w:val="0"/>
      <w:divBdr>
        <w:top w:val="none" w:sz="0" w:space="0" w:color="auto"/>
        <w:left w:val="none" w:sz="0" w:space="0" w:color="auto"/>
        <w:bottom w:val="none" w:sz="0" w:space="0" w:color="auto"/>
        <w:right w:val="none" w:sz="0" w:space="0" w:color="auto"/>
      </w:divBdr>
    </w:div>
    <w:div w:id="312179414">
      <w:bodyDiv w:val="1"/>
      <w:marLeft w:val="0"/>
      <w:marRight w:val="0"/>
      <w:marTop w:val="0"/>
      <w:marBottom w:val="0"/>
      <w:divBdr>
        <w:top w:val="none" w:sz="0" w:space="0" w:color="auto"/>
        <w:left w:val="none" w:sz="0" w:space="0" w:color="auto"/>
        <w:bottom w:val="none" w:sz="0" w:space="0" w:color="auto"/>
        <w:right w:val="none" w:sz="0" w:space="0" w:color="auto"/>
      </w:divBdr>
    </w:div>
    <w:div w:id="323820206">
      <w:bodyDiv w:val="1"/>
      <w:marLeft w:val="0"/>
      <w:marRight w:val="0"/>
      <w:marTop w:val="0"/>
      <w:marBottom w:val="0"/>
      <w:divBdr>
        <w:top w:val="none" w:sz="0" w:space="0" w:color="auto"/>
        <w:left w:val="none" w:sz="0" w:space="0" w:color="auto"/>
        <w:bottom w:val="none" w:sz="0" w:space="0" w:color="auto"/>
        <w:right w:val="none" w:sz="0" w:space="0" w:color="auto"/>
      </w:divBdr>
    </w:div>
    <w:div w:id="347605475">
      <w:bodyDiv w:val="1"/>
      <w:marLeft w:val="0"/>
      <w:marRight w:val="0"/>
      <w:marTop w:val="0"/>
      <w:marBottom w:val="0"/>
      <w:divBdr>
        <w:top w:val="none" w:sz="0" w:space="0" w:color="auto"/>
        <w:left w:val="none" w:sz="0" w:space="0" w:color="auto"/>
        <w:bottom w:val="none" w:sz="0" w:space="0" w:color="auto"/>
        <w:right w:val="none" w:sz="0" w:space="0" w:color="auto"/>
      </w:divBdr>
    </w:div>
    <w:div w:id="379288614">
      <w:bodyDiv w:val="1"/>
      <w:marLeft w:val="0"/>
      <w:marRight w:val="0"/>
      <w:marTop w:val="0"/>
      <w:marBottom w:val="0"/>
      <w:divBdr>
        <w:top w:val="none" w:sz="0" w:space="0" w:color="auto"/>
        <w:left w:val="none" w:sz="0" w:space="0" w:color="auto"/>
        <w:bottom w:val="none" w:sz="0" w:space="0" w:color="auto"/>
        <w:right w:val="none" w:sz="0" w:space="0" w:color="auto"/>
      </w:divBdr>
      <w:divsChild>
        <w:div w:id="910700938">
          <w:marLeft w:val="547"/>
          <w:marRight w:val="0"/>
          <w:marTop w:val="120"/>
          <w:marBottom w:val="120"/>
          <w:divBdr>
            <w:top w:val="none" w:sz="0" w:space="0" w:color="auto"/>
            <w:left w:val="none" w:sz="0" w:space="0" w:color="auto"/>
            <w:bottom w:val="none" w:sz="0" w:space="0" w:color="auto"/>
            <w:right w:val="none" w:sz="0" w:space="0" w:color="auto"/>
          </w:divBdr>
        </w:div>
      </w:divsChild>
    </w:div>
    <w:div w:id="466244005">
      <w:bodyDiv w:val="1"/>
      <w:marLeft w:val="0"/>
      <w:marRight w:val="0"/>
      <w:marTop w:val="0"/>
      <w:marBottom w:val="0"/>
      <w:divBdr>
        <w:top w:val="none" w:sz="0" w:space="0" w:color="auto"/>
        <w:left w:val="none" w:sz="0" w:space="0" w:color="auto"/>
        <w:bottom w:val="none" w:sz="0" w:space="0" w:color="auto"/>
        <w:right w:val="none" w:sz="0" w:space="0" w:color="auto"/>
      </w:divBdr>
    </w:div>
    <w:div w:id="473984113">
      <w:bodyDiv w:val="1"/>
      <w:marLeft w:val="0"/>
      <w:marRight w:val="0"/>
      <w:marTop w:val="0"/>
      <w:marBottom w:val="0"/>
      <w:divBdr>
        <w:top w:val="none" w:sz="0" w:space="0" w:color="auto"/>
        <w:left w:val="none" w:sz="0" w:space="0" w:color="auto"/>
        <w:bottom w:val="none" w:sz="0" w:space="0" w:color="auto"/>
        <w:right w:val="none" w:sz="0" w:space="0" w:color="auto"/>
      </w:divBdr>
    </w:div>
    <w:div w:id="577061943">
      <w:bodyDiv w:val="1"/>
      <w:marLeft w:val="0"/>
      <w:marRight w:val="0"/>
      <w:marTop w:val="0"/>
      <w:marBottom w:val="0"/>
      <w:divBdr>
        <w:top w:val="none" w:sz="0" w:space="0" w:color="auto"/>
        <w:left w:val="none" w:sz="0" w:space="0" w:color="auto"/>
        <w:bottom w:val="none" w:sz="0" w:space="0" w:color="auto"/>
        <w:right w:val="none" w:sz="0" w:space="0" w:color="auto"/>
      </w:divBdr>
      <w:divsChild>
        <w:div w:id="1418751822">
          <w:marLeft w:val="547"/>
          <w:marRight w:val="0"/>
          <w:marTop w:val="120"/>
          <w:marBottom w:val="120"/>
          <w:divBdr>
            <w:top w:val="none" w:sz="0" w:space="0" w:color="auto"/>
            <w:left w:val="none" w:sz="0" w:space="0" w:color="auto"/>
            <w:bottom w:val="none" w:sz="0" w:space="0" w:color="auto"/>
            <w:right w:val="none" w:sz="0" w:space="0" w:color="auto"/>
          </w:divBdr>
        </w:div>
      </w:divsChild>
    </w:div>
    <w:div w:id="696586390">
      <w:bodyDiv w:val="1"/>
      <w:marLeft w:val="0"/>
      <w:marRight w:val="0"/>
      <w:marTop w:val="0"/>
      <w:marBottom w:val="0"/>
      <w:divBdr>
        <w:top w:val="none" w:sz="0" w:space="0" w:color="auto"/>
        <w:left w:val="none" w:sz="0" w:space="0" w:color="auto"/>
        <w:bottom w:val="none" w:sz="0" w:space="0" w:color="auto"/>
        <w:right w:val="none" w:sz="0" w:space="0" w:color="auto"/>
      </w:divBdr>
    </w:div>
    <w:div w:id="776604888">
      <w:bodyDiv w:val="1"/>
      <w:marLeft w:val="0"/>
      <w:marRight w:val="0"/>
      <w:marTop w:val="0"/>
      <w:marBottom w:val="0"/>
      <w:divBdr>
        <w:top w:val="none" w:sz="0" w:space="0" w:color="auto"/>
        <w:left w:val="none" w:sz="0" w:space="0" w:color="auto"/>
        <w:bottom w:val="none" w:sz="0" w:space="0" w:color="auto"/>
        <w:right w:val="none" w:sz="0" w:space="0" w:color="auto"/>
      </w:divBdr>
    </w:div>
    <w:div w:id="833380316">
      <w:bodyDiv w:val="1"/>
      <w:marLeft w:val="0"/>
      <w:marRight w:val="0"/>
      <w:marTop w:val="0"/>
      <w:marBottom w:val="0"/>
      <w:divBdr>
        <w:top w:val="none" w:sz="0" w:space="0" w:color="auto"/>
        <w:left w:val="none" w:sz="0" w:space="0" w:color="auto"/>
        <w:bottom w:val="none" w:sz="0" w:space="0" w:color="auto"/>
        <w:right w:val="none" w:sz="0" w:space="0" w:color="auto"/>
      </w:divBdr>
      <w:divsChild>
        <w:div w:id="492914310">
          <w:marLeft w:val="547"/>
          <w:marRight w:val="0"/>
          <w:marTop w:val="120"/>
          <w:marBottom w:val="120"/>
          <w:divBdr>
            <w:top w:val="none" w:sz="0" w:space="0" w:color="auto"/>
            <w:left w:val="none" w:sz="0" w:space="0" w:color="auto"/>
            <w:bottom w:val="none" w:sz="0" w:space="0" w:color="auto"/>
            <w:right w:val="none" w:sz="0" w:space="0" w:color="auto"/>
          </w:divBdr>
        </w:div>
      </w:divsChild>
    </w:div>
    <w:div w:id="867259456">
      <w:bodyDiv w:val="1"/>
      <w:marLeft w:val="0"/>
      <w:marRight w:val="0"/>
      <w:marTop w:val="0"/>
      <w:marBottom w:val="0"/>
      <w:divBdr>
        <w:top w:val="none" w:sz="0" w:space="0" w:color="auto"/>
        <w:left w:val="none" w:sz="0" w:space="0" w:color="auto"/>
        <w:bottom w:val="none" w:sz="0" w:space="0" w:color="auto"/>
        <w:right w:val="none" w:sz="0" w:space="0" w:color="auto"/>
      </w:divBdr>
    </w:div>
    <w:div w:id="868838356">
      <w:bodyDiv w:val="1"/>
      <w:marLeft w:val="0"/>
      <w:marRight w:val="0"/>
      <w:marTop w:val="0"/>
      <w:marBottom w:val="0"/>
      <w:divBdr>
        <w:top w:val="none" w:sz="0" w:space="0" w:color="auto"/>
        <w:left w:val="none" w:sz="0" w:space="0" w:color="auto"/>
        <w:bottom w:val="none" w:sz="0" w:space="0" w:color="auto"/>
        <w:right w:val="none" w:sz="0" w:space="0" w:color="auto"/>
      </w:divBdr>
      <w:divsChild>
        <w:div w:id="1966277744">
          <w:marLeft w:val="547"/>
          <w:marRight w:val="0"/>
          <w:marTop w:val="120"/>
          <w:marBottom w:val="120"/>
          <w:divBdr>
            <w:top w:val="none" w:sz="0" w:space="0" w:color="auto"/>
            <w:left w:val="none" w:sz="0" w:space="0" w:color="auto"/>
            <w:bottom w:val="none" w:sz="0" w:space="0" w:color="auto"/>
            <w:right w:val="none" w:sz="0" w:space="0" w:color="auto"/>
          </w:divBdr>
        </w:div>
      </w:divsChild>
    </w:div>
    <w:div w:id="874346837">
      <w:bodyDiv w:val="1"/>
      <w:marLeft w:val="0"/>
      <w:marRight w:val="0"/>
      <w:marTop w:val="0"/>
      <w:marBottom w:val="0"/>
      <w:divBdr>
        <w:top w:val="none" w:sz="0" w:space="0" w:color="auto"/>
        <w:left w:val="none" w:sz="0" w:space="0" w:color="auto"/>
        <w:bottom w:val="none" w:sz="0" w:space="0" w:color="auto"/>
        <w:right w:val="none" w:sz="0" w:space="0" w:color="auto"/>
      </w:divBdr>
      <w:divsChild>
        <w:div w:id="691227221">
          <w:marLeft w:val="547"/>
          <w:marRight w:val="0"/>
          <w:marTop w:val="120"/>
          <w:marBottom w:val="120"/>
          <w:divBdr>
            <w:top w:val="none" w:sz="0" w:space="0" w:color="auto"/>
            <w:left w:val="none" w:sz="0" w:space="0" w:color="auto"/>
            <w:bottom w:val="none" w:sz="0" w:space="0" w:color="auto"/>
            <w:right w:val="none" w:sz="0" w:space="0" w:color="auto"/>
          </w:divBdr>
        </w:div>
      </w:divsChild>
    </w:div>
    <w:div w:id="951084550">
      <w:bodyDiv w:val="1"/>
      <w:marLeft w:val="0"/>
      <w:marRight w:val="0"/>
      <w:marTop w:val="0"/>
      <w:marBottom w:val="0"/>
      <w:divBdr>
        <w:top w:val="none" w:sz="0" w:space="0" w:color="auto"/>
        <w:left w:val="none" w:sz="0" w:space="0" w:color="auto"/>
        <w:bottom w:val="none" w:sz="0" w:space="0" w:color="auto"/>
        <w:right w:val="none" w:sz="0" w:space="0" w:color="auto"/>
      </w:divBdr>
      <w:divsChild>
        <w:div w:id="1738473550">
          <w:marLeft w:val="547"/>
          <w:marRight w:val="0"/>
          <w:marTop w:val="120"/>
          <w:marBottom w:val="120"/>
          <w:divBdr>
            <w:top w:val="none" w:sz="0" w:space="0" w:color="auto"/>
            <w:left w:val="none" w:sz="0" w:space="0" w:color="auto"/>
            <w:bottom w:val="none" w:sz="0" w:space="0" w:color="auto"/>
            <w:right w:val="none" w:sz="0" w:space="0" w:color="auto"/>
          </w:divBdr>
        </w:div>
      </w:divsChild>
    </w:div>
    <w:div w:id="958074165">
      <w:bodyDiv w:val="1"/>
      <w:marLeft w:val="0"/>
      <w:marRight w:val="0"/>
      <w:marTop w:val="0"/>
      <w:marBottom w:val="0"/>
      <w:divBdr>
        <w:top w:val="none" w:sz="0" w:space="0" w:color="auto"/>
        <w:left w:val="none" w:sz="0" w:space="0" w:color="auto"/>
        <w:bottom w:val="none" w:sz="0" w:space="0" w:color="auto"/>
        <w:right w:val="none" w:sz="0" w:space="0" w:color="auto"/>
      </w:divBdr>
    </w:div>
    <w:div w:id="1197812406">
      <w:bodyDiv w:val="1"/>
      <w:marLeft w:val="0"/>
      <w:marRight w:val="0"/>
      <w:marTop w:val="0"/>
      <w:marBottom w:val="0"/>
      <w:divBdr>
        <w:top w:val="none" w:sz="0" w:space="0" w:color="auto"/>
        <w:left w:val="none" w:sz="0" w:space="0" w:color="auto"/>
        <w:bottom w:val="none" w:sz="0" w:space="0" w:color="auto"/>
        <w:right w:val="none" w:sz="0" w:space="0" w:color="auto"/>
      </w:divBdr>
    </w:div>
    <w:div w:id="1236429513">
      <w:bodyDiv w:val="1"/>
      <w:marLeft w:val="0"/>
      <w:marRight w:val="0"/>
      <w:marTop w:val="0"/>
      <w:marBottom w:val="0"/>
      <w:divBdr>
        <w:top w:val="none" w:sz="0" w:space="0" w:color="auto"/>
        <w:left w:val="none" w:sz="0" w:space="0" w:color="auto"/>
        <w:bottom w:val="none" w:sz="0" w:space="0" w:color="auto"/>
        <w:right w:val="none" w:sz="0" w:space="0" w:color="auto"/>
      </w:divBdr>
    </w:div>
    <w:div w:id="1279332864">
      <w:bodyDiv w:val="1"/>
      <w:marLeft w:val="0"/>
      <w:marRight w:val="0"/>
      <w:marTop w:val="0"/>
      <w:marBottom w:val="0"/>
      <w:divBdr>
        <w:top w:val="none" w:sz="0" w:space="0" w:color="auto"/>
        <w:left w:val="none" w:sz="0" w:space="0" w:color="auto"/>
        <w:bottom w:val="none" w:sz="0" w:space="0" w:color="auto"/>
        <w:right w:val="none" w:sz="0" w:space="0" w:color="auto"/>
      </w:divBdr>
    </w:div>
    <w:div w:id="1349600422">
      <w:bodyDiv w:val="1"/>
      <w:marLeft w:val="0"/>
      <w:marRight w:val="0"/>
      <w:marTop w:val="0"/>
      <w:marBottom w:val="0"/>
      <w:divBdr>
        <w:top w:val="none" w:sz="0" w:space="0" w:color="auto"/>
        <w:left w:val="none" w:sz="0" w:space="0" w:color="auto"/>
        <w:bottom w:val="none" w:sz="0" w:space="0" w:color="auto"/>
        <w:right w:val="none" w:sz="0" w:space="0" w:color="auto"/>
      </w:divBdr>
    </w:div>
    <w:div w:id="1363745740">
      <w:bodyDiv w:val="1"/>
      <w:marLeft w:val="0"/>
      <w:marRight w:val="0"/>
      <w:marTop w:val="0"/>
      <w:marBottom w:val="0"/>
      <w:divBdr>
        <w:top w:val="none" w:sz="0" w:space="0" w:color="auto"/>
        <w:left w:val="none" w:sz="0" w:space="0" w:color="auto"/>
        <w:bottom w:val="none" w:sz="0" w:space="0" w:color="auto"/>
        <w:right w:val="none" w:sz="0" w:space="0" w:color="auto"/>
      </w:divBdr>
      <w:divsChild>
        <w:div w:id="354188462">
          <w:marLeft w:val="547"/>
          <w:marRight w:val="0"/>
          <w:marTop w:val="120"/>
          <w:marBottom w:val="120"/>
          <w:divBdr>
            <w:top w:val="none" w:sz="0" w:space="0" w:color="auto"/>
            <w:left w:val="none" w:sz="0" w:space="0" w:color="auto"/>
            <w:bottom w:val="none" w:sz="0" w:space="0" w:color="auto"/>
            <w:right w:val="none" w:sz="0" w:space="0" w:color="auto"/>
          </w:divBdr>
        </w:div>
      </w:divsChild>
    </w:div>
    <w:div w:id="1512723640">
      <w:bodyDiv w:val="1"/>
      <w:marLeft w:val="0"/>
      <w:marRight w:val="0"/>
      <w:marTop w:val="0"/>
      <w:marBottom w:val="0"/>
      <w:divBdr>
        <w:top w:val="none" w:sz="0" w:space="0" w:color="auto"/>
        <w:left w:val="none" w:sz="0" w:space="0" w:color="auto"/>
        <w:bottom w:val="none" w:sz="0" w:space="0" w:color="auto"/>
        <w:right w:val="none" w:sz="0" w:space="0" w:color="auto"/>
      </w:divBdr>
    </w:div>
    <w:div w:id="1571500680">
      <w:bodyDiv w:val="1"/>
      <w:marLeft w:val="0"/>
      <w:marRight w:val="0"/>
      <w:marTop w:val="0"/>
      <w:marBottom w:val="0"/>
      <w:divBdr>
        <w:top w:val="none" w:sz="0" w:space="0" w:color="auto"/>
        <w:left w:val="none" w:sz="0" w:space="0" w:color="auto"/>
        <w:bottom w:val="none" w:sz="0" w:space="0" w:color="auto"/>
        <w:right w:val="none" w:sz="0" w:space="0" w:color="auto"/>
      </w:divBdr>
    </w:div>
    <w:div w:id="1810197690">
      <w:bodyDiv w:val="1"/>
      <w:marLeft w:val="0"/>
      <w:marRight w:val="0"/>
      <w:marTop w:val="0"/>
      <w:marBottom w:val="0"/>
      <w:divBdr>
        <w:top w:val="none" w:sz="0" w:space="0" w:color="auto"/>
        <w:left w:val="none" w:sz="0" w:space="0" w:color="auto"/>
        <w:bottom w:val="none" w:sz="0" w:space="0" w:color="auto"/>
        <w:right w:val="none" w:sz="0" w:space="0" w:color="auto"/>
      </w:divBdr>
      <w:divsChild>
        <w:div w:id="1744983516">
          <w:marLeft w:val="547"/>
          <w:marRight w:val="0"/>
          <w:marTop w:val="120"/>
          <w:marBottom w:val="120"/>
          <w:divBdr>
            <w:top w:val="none" w:sz="0" w:space="0" w:color="auto"/>
            <w:left w:val="none" w:sz="0" w:space="0" w:color="auto"/>
            <w:bottom w:val="none" w:sz="0" w:space="0" w:color="auto"/>
            <w:right w:val="none" w:sz="0" w:space="0" w:color="auto"/>
          </w:divBdr>
        </w:div>
      </w:divsChild>
    </w:div>
    <w:div w:id="1878197894">
      <w:bodyDiv w:val="1"/>
      <w:marLeft w:val="0"/>
      <w:marRight w:val="0"/>
      <w:marTop w:val="0"/>
      <w:marBottom w:val="0"/>
      <w:divBdr>
        <w:top w:val="none" w:sz="0" w:space="0" w:color="auto"/>
        <w:left w:val="none" w:sz="0" w:space="0" w:color="auto"/>
        <w:bottom w:val="none" w:sz="0" w:space="0" w:color="auto"/>
        <w:right w:val="none" w:sz="0" w:space="0" w:color="auto"/>
      </w:divBdr>
      <w:divsChild>
        <w:div w:id="2036687425">
          <w:marLeft w:val="547"/>
          <w:marRight w:val="0"/>
          <w:marTop w:val="120"/>
          <w:marBottom w:val="120"/>
          <w:divBdr>
            <w:top w:val="none" w:sz="0" w:space="0" w:color="auto"/>
            <w:left w:val="none" w:sz="0" w:space="0" w:color="auto"/>
            <w:bottom w:val="none" w:sz="0" w:space="0" w:color="auto"/>
            <w:right w:val="none" w:sz="0" w:space="0" w:color="auto"/>
          </w:divBdr>
        </w:div>
      </w:divsChild>
    </w:div>
    <w:div w:id="1924146623">
      <w:bodyDiv w:val="1"/>
      <w:marLeft w:val="0"/>
      <w:marRight w:val="0"/>
      <w:marTop w:val="0"/>
      <w:marBottom w:val="0"/>
      <w:divBdr>
        <w:top w:val="none" w:sz="0" w:space="0" w:color="auto"/>
        <w:left w:val="none" w:sz="0" w:space="0" w:color="auto"/>
        <w:bottom w:val="none" w:sz="0" w:space="0" w:color="auto"/>
        <w:right w:val="none" w:sz="0" w:space="0" w:color="auto"/>
      </w:divBdr>
    </w:div>
    <w:div w:id="1924875871">
      <w:bodyDiv w:val="1"/>
      <w:marLeft w:val="0"/>
      <w:marRight w:val="0"/>
      <w:marTop w:val="0"/>
      <w:marBottom w:val="0"/>
      <w:divBdr>
        <w:top w:val="none" w:sz="0" w:space="0" w:color="auto"/>
        <w:left w:val="none" w:sz="0" w:space="0" w:color="auto"/>
        <w:bottom w:val="none" w:sz="0" w:space="0" w:color="auto"/>
        <w:right w:val="none" w:sz="0" w:space="0" w:color="auto"/>
      </w:divBdr>
    </w:div>
    <w:div w:id="2014797231">
      <w:bodyDiv w:val="1"/>
      <w:marLeft w:val="0"/>
      <w:marRight w:val="0"/>
      <w:marTop w:val="0"/>
      <w:marBottom w:val="0"/>
      <w:divBdr>
        <w:top w:val="none" w:sz="0" w:space="0" w:color="auto"/>
        <w:left w:val="none" w:sz="0" w:space="0" w:color="auto"/>
        <w:bottom w:val="none" w:sz="0" w:space="0" w:color="auto"/>
        <w:right w:val="none" w:sz="0" w:space="0" w:color="auto"/>
      </w:divBdr>
    </w:div>
    <w:div w:id="2071690073">
      <w:bodyDiv w:val="1"/>
      <w:marLeft w:val="0"/>
      <w:marRight w:val="0"/>
      <w:marTop w:val="0"/>
      <w:marBottom w:val="0"/>
      <w:divBdr>
        <w:top w:val="none" w:sz="0" w:space="0" w:color="auto"/>
        <w:left w:val="none" w:sz="0" w:space="0" w:color="auto"/>
        <w:bottom w:val="none" w:sz="0" w:space="0" w:color="auto"/>
        <w:right w:val="none" w:sz="0" w:space="0" w:color="auto"/>
      </w:divBdr>
    </w:div>
    <w:div w:id="2116288952">
      <w:bodyDiv w:val="1"/>
      <w:marLeft w:val="0"/>
      <w:marRight w:val="0"/>
      <w:marTop w:val="0"/>
      <w:marBottom w:val="0"/>
      <w:divBdr>
        <w:top w:val="none" w:sz="0" w:space="0" w:color="auto"/>
        <w:left w:val="none" w:sz="0" w:space="0" w:color="auto"/>
        <w:bottom w:val="none" w:sz="0" w:space="0" w:color="auto"/>
        <w:right w:val="none" w:sz="0" w:space="0" w:color="auto"/>
      </w:divBdr>
      <w:divsChild>
        <w:div w:id="827553183">
          <w:marLeft w:val="432"/>
          <w:marRight w:val="0"/>
          <w:marTop w:val="115"/>
          <w:marBottom w:val="0"/>
          <w:divBdr>
            <w:top w:val="none" w:sz="0" w:space="0" w:color="auto"/>
            <w:left w:val="none" w:sz="0" w:space="0" w:color="auto"/>
            <w:bottom w:val="none" w:sz="0" w:space="0" w:color="auto"/>
            <w:right w:val="none" w:sz="0" w:space="0" w:color="auto"/>
          </w:divBdr>
        </w:div>
        <w:div w:id="1672024569">
          <w:marLeft w:val="432"/>
          <w:marRight w:val="0"/>
          <w:marTop w:val="115"/>
          <w:marBottom w:val="0"/>
          <w:divBdr>
            <w:top w:val="none" w:sz="0" w:space="0" w:color="auto"/>
            <w:left w:val="none" w:sz="0" w:space="0" w:color="auto"/>
            <w:bottom w:val="none" w:sz="0" w:space="0" w:color="auto"/>
            <w:right w:val="none" w:sz="0" w:space="0" w:color="auto"/>
          </w:divBdr>
        </w:div>
        <w:div w:id="2125340260">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microsoft.com/office/2007/relationships/diagramDrawing" Target="diagrams/drawing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footer" Target="footer7.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diagramColors" Target="diagrams/colors1.xml"/><Relationship Id="rId25" Type="http://schemas.openxmlformats.org/officeDocument/2006/relationships/footer" Target="footer1.xm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3.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Oumarou1961@yahoo.fr"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5.emf"/><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who.int/healthinfo/systems/sara_indicators_questionnaire/e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8342C3-3ED1-4215-A5ED-9DA93DDF90F1}"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fr-FR"/>
        </a:p>
      </dgm:t>
    </dgm:pt>
    <dgm:pt modelId="{9D247C03-AF83-475F-A3A8-21B29DD29FF6}">
      <dgm:prSet phldrT="[Texte]"/>
      <dgm:spPr>
        <a:xfrm>
          <a:off x="0" y="649815"/>
          <a:ext cx="1104033" cy="4416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Text" lastClr="000000"/>
              </a:solidFill>
              <a:latin typeface="Calibri"/>
              <a:ea typeface="+mn-ea"/>
            </a:rPr>
            <a:t>Step 1</a:t>
          </a:r>
        </a:p>
      </dgm:t>
    </dgm:pt>
    <dgm:pt modelId="{577294E6-2AEE-4071-BA4D-382E56965E84}" type="parTrans" cxnId="{70D47A8F-171D-43DD-8025-7E4C192E56E4}">
      <dgm:prSet/>
      <dgm:spPr/>
      <dgm:t>
        <a:bodyPr/>
        <a:lstStyle/>
        <a:p>
          <a:endParaRPr lang="fr-FR"/>
        </a:p>
      </dgm:t>
    </dgm:pt>
    <dgm:pt modelId="{67D099A8-5EE1-4310-A2A8-EDB86553004B}" type="sibTrans" cxnId="{70D47A8F-171D-43DD-8025-7E4C192E56E4}">
      <dgm:prSet/>
      <dgm:spPr/>
      <dgm:t>
        <a:bodyPr/>
        <a:lstStyle/>
        <a:p>
          <a:endParaRPr lang="fr-FR"/>
        </a:p>
      </dgm:t>
    </dgm:pt>
    <dgm:pt modelId="{BBCEA23F-A424-4D69-884E-A607F668BC78}">
      <dgm:prSet phldrT="[Texte]"/>
      <dgm:spPr>
        <a:xfrm>
          <a:off x="888218" y="641866"/>
          <a:ext cx="1104033" cy="4416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Text" lastClr="000000"/>
              </a:solidFill>
              <a:latin typeface="Calibri"/>
              <a:ea typeface="+mn-ea"/>
            </a:rPr>
            <a:t>Step 2</a:t>
          </a:r>
        </a:p>
      </dgm:t>
    </dgm:pt>
    <dgm:pt modelId="{FA08226F-F294-4DA6-AD9B-6BD962223287}" type="parTrans" cxnId="{2B9E5376-5C36-4009-9D00-0111756F49FF}">
      <dgm:prSet/>
      <dgm:spPr/>
      <dgm:t>
        <a:bodyPr/>
        <a:lstStyle/>
        <a:p>
          <a:endParaRPr lang="fr-FR"/>
        </a:p>
      </dgm:t>
    </dgm:pt>
    <dgm:pt modelId="{DD1F3C58-E527-4933-BB29-BAF23CCB133A}" type="sibTrans" cxnId="{2B9E5376-5C36-4009-9D00-0111756F49FF}">
      <dgm:prSet/>
      <dgm:spPr/>
      <dgm:t>
        <a:bodyPr/>
        <a:lstStyle/>
        <a:p>
          <a:endParaRPr lang="fr-FR"/>
        </a:p>
      </dgm:t>
    </dgm:pt>
    <dgm:pt modelId="{F2AC4335-469F-467C-A99A-F47E66E65078}">
      <dgm:prSet phldrT="[Texte]"/>
      <dgm:spPr>
        <a:xfrm>
          <a:off x="2664285" y="641866"/>
          <a:ext cx="1104033" cy="4416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Text" lastClr="000000"/>
              </a:solidFill>
              <a:latin typeface="Calibri"/>
              <a:ea typeface="+mn-ea"/>
            </a:rPr>
            <a:t>Step 4</a:t>
          </a:r>
        </a:p>
      </dgm:t>
    </dgm:pt>
    <dgm:pt modelId="{3E46313D-05C4-44F7-98DE-354D1514CBC3}" type="parTrans" cxnId="{C4D43B47-9367-4AEB-9B7D-C84359C3814A}">
      <dgm:prSet/>
      <dgm:spPr/>
      <dgm:t>
        <a:bodyPr/>
        <a:lstStyle/>
        <a:p>
          <a:endParaRPr lang="fr-FR"/>
        </a:p>
      </dgm:t>
    </dgm:pt>
    <dgm:pt modelId="{58FB5D71-E957-4522-9C50-DD5198718A09}" type="sibTrans" cxnId="{C4D43B47-9367-4AEB-9B7D-C84359C3814A}">
      <dgm:prSet/>
      <dgm:spPr/>
      <dgm:t>
        <a:bodyPr/>
        <a:lstStyle/>
        <a:p>
          <a:endParaRPr lang="fr-FR"/>
        </a:p>
      </dgm:t>
    </dgm:pt>
    <dgm:pt modelId="{C2F35243-456B-40BF-969D-8942604AE503}">
      <dgm:prSet/>
      <dgm:spPr>
        <a:xfrm>
          <a:off x="185" y="1138681"/>
          <a:ext cx="883226" cy="1423828"/>
        </a:xfrm>
        <a:noFill/>
        <a:ln>
          <a:noFill/>
        </a:ln>
        <a:effectLst/>
      </dgm:spPr>
      <dgm:t>
        <a:bodyPr/>
        <a:lstStyle/>
        <a:p>
          <a:r>
            <a:rPr lang="en-US"/>
            <a:t>Notify the GAVI Secretariat and development partners of the intention to submit an application</a:t>
          </a:r>
        </a:p>
      </dgm:t>
    </dgm:pt>
    <dgm:pt modelId="{A14EA3EF-C9FC-4344-A68F-0C517D73A08C}" type="parTrans" cxnId="{18DB202E-68E9-46B1-B51C-A4F6C814957D}">
      <dgm:prSet/>
      <dgm:spPr/>
      <dgm:t>
        <a:bodyPr/>
        <a:lstStyle/>
        <a:p>
          <a:endParaRPr lang="fr-FR"/>
        </a:p>
      </dgm:t>
    </dgm:pt>
    <dgm:pt modelId="{3E2A66C6-60E6-40AF-A9C7-F3BC9A540618}" type="sibTrans" cxnId="{18DB202E-68E9-46B1-B51C-A4F6C814957D}">
      <dgm:prSet/>
      <dgm:spPr/>
      <dgm:t>
        <a:bodyPr/>
        <a:lstStyle/>
        <a:p>
          <a:endParaRPr lang="fr-FR"/>
        </a:p>
      </dgm:t>
    </dgm:pt>
    <dgm:pt modelId="{5F2811AC-74B8-4475-90E5-42B0CE301329}">
      <dgm:prSet/>
      <dgm:spPr>
        <a:xfrm>
          <a:off x="2664285" y="1138681"/>
          <a:ext cx="883226" cy="1423828"/>
        </a:xfrm>
        <a:noFill/>
        <a:ln>
          <a:noFill/>
        </a:ln>
        <a:effectLst/>
      </dgm:spPr>
      <dgm:t>
        <a:bodyPr/>
        <a:lstStyle/>
        <a:p>
          <a:r>
            <a:rPr lang="en-US"/>
            <a:t>Review of the application by independent experts. Independent Review Committee (IRC) and GAVI Secretariat</a:t>
          </a:r>
          <a:r>
            <a:rPr lang="fr-FR">
              <a:solidFill>
                <a:sysClr val="windowText" lastClr="000000">
                  <a:hueOff val="0"/>
                  <a:satOff val="0"/>
                  <a:lumOff val="0"/>
                  <a:alphaOff val="0"/>
                </a:sysClr>
              </a:solidFill>
              <a:latin typeface="Calibri"/>
              <a:ea typeface="+mn-ea"/>
              <a:cs typeface="+mn-cs"/>
            </a:rPr>
            <a:t/>
          </a:r>
          <a:br>
            <a:rPr lang="fr-FR">
              <a:solidFill>
                <a:sysClr val="windowText" lastClr="000000">
                  <a:hueOff val="0"/>
                  <a:satOff val="0"/>
                  <a:lumOff val="0"/>
                  <a:alphaOff val="0"/>
                </a:sysClr>
              </a:solidFill>
              <a:latin typeface="Calibri"/>
              <a:ea typeface="+mn-ea"/>
              <a:cs typeface="+mn-cs"/>
            </a:rPr>
          </a:br>
          <a:endParaRPr lang="fr-FR">
            <a:solidFill>
              <a:sysClr val="windowText" lastClr="000000">
                <a:hueOff val="0"/>
                <a:satOff val="0"/>
                <a:lumOff val="0"/>
                <a:alphaOff val="0"/>
              </a:sysClr>
            </a:solidFill>
            <a:latin typeface="Calibri"/>
            <a:ea typeface="+mn-ea"/>
            <a:cs typeface="+mn-cs"/>
          </a:endParaRPr>
        </a:p>
      </dgm:t>
    </dgm:pt>
    <dgm:pt modelId="{6A0D7666-DB7B-4E75-B150-25EDE73BA5E2}" type="parTrans" cxnId="{37F47990-E4D1-47A8-A192-303F90E78772}">
      <dgm:prSet/>
      <dgm:spPr/>
      <dgm:t>
        <a:bodyPr/>
        <a:lstStyle/>
        <a:p>
          <a:endParaRPr lang="fr-FR"/>
        </a:p>
      </dgm:t>
    </dgm:pt>
    <dgm:pt modelId="{56BFD847-B343-4725-BC04-38B12D35BCB3}" type="sibTrans" cxnId="{37F47990-E4D1-47A8-A192-303F90E78772}">
      <dgm:prSet/>
      <dgm:spPr/>
      <dgm:t>
        <a:bodyPr/>
        <a:lstStyle/>
        <a:p>
          <a:endParaRPr lang="fr-FR"/>
        </a:p>
      </dgm:t>
    </dgm:pt>
    <dgm:pt modelId="{59B3D146-EA5D-4BB1-A8BF-5903BD751CF0}">
      <dgm:prSet/>
      <dgm:spPr>
        <a:xfrm>
          <a:off x="3552319" y="641866"/>
          <a:ext cx="1104033" cy="4416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Text" lastClr="000000"/>
              </a:solidFill>
              <a:latin typeface="Calibri"/>
              <a:ea typeface="+mn-ea"/>
            </a:rPr>
            <a:t>Step 5</a:t>
          </a:r>
        </a:p>
      </dgm:t>
    </dgm:pt>
    <dgm:pt modelId="{E170EBFA-948D-4CDC-9AB6-DCA089F19F85}" type="parTrans" cxnId="{E58FB240-1753-429E-86B6-2FAC29F59B56}">
      <dgm:prSet/>
      <dgm:spPr/>
      <dgm:t>
        <a:bodyPr/>
        <a:lstStyle/>
        <a:p>
          <a:endParaRPr lang="fr-FR"/>
        </a:p>
      </dgm:t>
    </dgm:pt>
    <dgm:pt modelId="{31285946-1E0D-4DEE-883C-0C22036663F4}" type="sibTrans" cxnId="{E58FB240-1753-429E-86B6-2FAC29F59B56}">
      <dgm:prSet/>
      <dgm:spPr/>
      <dgm:t>
        <a:bodyPr/>
        <a:lstStyle/>
        <a:p>
          <a:endParaRPr lang="fr-FR"/>
        </a:p>
      </dgm:t>
    </dgm:pt>
    <dgm:pt modelId="{16873DB1-3330-4D61-A65F-EC733C684F47}">
      <dgm:prSet phldrT="[Texte]"/>
      <dgm:spPr>
        <a:xfrm>
          <a:off x="1792161" y="641866"/>
          <a:ext cx="1104033" cy="4416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Text" lastClr="000000"/>
              </a:solidFill>
              <a:latin typeface="Calibri"/>
              <a:ea typeface="+mn-ea"/>
            </a:rPr>
            <a:t>Step 3</a:t>
          </a:r>
        </a:p>
      </dgm:t>
    </dgm:pt>
    <dgm:pt modelId="{479191EE-6439-45CB-882E-125C57F34FAE}" type="parTrans" cxnId="{DDDDABCE-F9C7-454D-944B-CA4BFCBEA195}">
      <dgm:prSet/>
      <dgm:spPr/>
      <dgm:t>
        <a:bodyPr/>
        <a:lstStyle/>
        <a:p>
          <a:endParaRPr lang="fr-FR"/>
        </a:p>
      </dgm:t>
    </dgm:pt>
    <dgm:pt modelId="{9B68CA54-A17D-4211-92A8-3C215AACF23D}" type="sibTrans" cxnId="{DDDDABCE-F9C7-454D-944B-CA4BFCBEA195}">
      <dgm:prSet/>
      <dgm:spPr/>
      <dgm:t>
        <a:bodyPr/>
        <a:lstStyle/>
        <a:p>
          <a:endParaRPr lang="fr-FR"/>
        </a:p>
      </dgm:t>
    </dgm:pt>
    <dgm:pt modelId="{D9CEA577-B3A1-47EE-BB04-8FCC53CE3CDA}">
      <dgm:prSet phldrT="[Texte]"/>
      <dgm:spPr>
        <a:xfrm>
          <a:off x="888218" y="1138681"/>
          <a:ext cx="883226" cy="1423828"/>
        </a:xfrm>
        <a:noFill/>
        <a:ln>
          <a:noFill/>
        </a:ln>
        <a:effectLst/>
      </dgm:spPr>
      <dgm:t>
        <a:bodyPr/>
        <a:lstStyle/>
        <a:p>
          <a:r>
            <a:rPr lang="en-US"/>
            <a:t>Draft the application file using a participative approach in cooperation with the GAVI Alliance partners</a:t>
          </a:r>
        </a:p>
      </dgm:t>
    </dgm:pt>
    <dgm:pt modelId="{42927627-1B34-43DA-8B99-08F6BCDBA324}" type="parTrans" cxnId="{156A8D32-8D64-458E-9A94-2DB3C0B7AA42}">
      <dgm:prSet/>
      <dgm:spPr/>
      <dgm:t>
        <a:bodyPr/>
        <a:lstStyle/>
        <a:p>
          <a:endParaRPr lang="fr-FR"/>
        </a:p>
      </dgm:t>
    </dgm:pt>
    <dgm:pt modelId="{48B1F210-4CB8-4B49-8E6D-EFBEE62BCCDB}" type="sibTrans" cxnId="{156A8D32-8D64-458E-9A94-2DB3C0B7AA42}">
      <dgm:prSet/>
      <dgm:spPr/>
      <dgm:t>
        <a:bodyPr/>
        <a:lstStyle/>
        <a:p>
          <a:endParaRPr lang="fr-FR"/>
        </a:p>
      </dgm:t>
    </dgm:pt>
    <dgm:pt modelId="{5FD493F0-B296-4FF0-908C-EF39C8546641}">
      <dgm:prSet phldrT="[Texte]"/>
      <dgm:spPr>
        <a:xfrm>
          <a:off x="1776252" y="1138681"/>
          <a:ext cx="883226" cy="1423828"/>
        </a:xfrm>
        <a:noFill/>
        <a:ln>
          <a:noFill/>
        </a:ln>
        <a:effectLst/>
      </dgm:spPr>
      <dgm:t>
        <a:bodyPr/>
        <a:lstStyle/>
        <a:p>
          <a:r>
            <a:rPr lang="en-US"/>
            <a:t>Submit the signed, properly filled out application to the GAVI Secretariat</a:t>
          </a:r>
          <a:r>
            <a:rPr lang="fr-FR">
              <a:solidFill>
                <a:sysClr val="windowText" lastClr="000000">
                  <a:hueOff val="0"/>
                  <a:satOff val="0"/>
                  <a:lumOff val="0"/>
                  <a:alphaOff val="0"/>
                </a:sysClr>
              </a:solidFill>
              <a:latin typeface="Calibri"/>
              <a:ea typeface="+mn-ea"/>
              <a:cs typeface="+mn-cs"/>
            </a:rPr>
            <a:t/>
          </a:r>
          <a:br>
            <a:rPr lang="fr-FR">
              <a:solidFill>
                <a:sysClr val="windowText" lastClr="000000">
                  <a:hueOff val="0"/>
                  <a:satOff val="0"/>
                  <a:lumOff val="0"/>
                  <a:alphaOff val="0"/>
                </a:sysClr>
              </a:solidFill>
              <a:latin typeface="Calibri"/>
              <a:ea typeface="+mn-ea"/>
              <a:cs typeface="+mn-cs"/>
            </a:rPr>
          </a:br>
          <a:r>
            <a:rPr lang="fr-FR">
              <a:solidFill>
                <a:sysClr val="windowText" lastClr="000000">
                  <a:hueOff val="0"/>
                  <a:satOff val="0"/>
                  <a:lumOff val="0"/>
                  <a:alphaOff val="0"/>
                </a:sysClr>
              </a:solidFill>
              <a:latin typeface="Calibri"/>
              <a:ea typeface="+mn-ea"/>
              <a:cs typeface="+mn-cs"/>
            </a:rPr>
            <a:t/>
          </a:r>
          <a:br>
            <a:rPr lang="fr-FR">
              <a:solidFill>
                <a:sysClr val="windowText" lastClr="000000">
                  <a:hueOff val="0"/>
                  <a:satOff val="0"/>
                  <a:lumOff val="0"/>
                  <a:alphaOff val="0"/>
                </a:sysClr>
              </a:solidFill>
              <a:latin typeface="Calibri"/>
              <a:ea typeface="+mn-ea"/>
              <a:cs typeface="+mn-cs"/>
            </a:rPr>
          </a:br>
          <a:endParaRPr lang="fr-FR">
            <a:solidFill>
              <a:sysClr val="windowText" lastClr="000000">
                <a:hueOff val="0"/>
                <a:satOff val="0"/>
                <a:lumOff val="0"/>
                <a:alphaOff val="0"/>
              </a:sysClr>
            </a:solidFill>
            <a:latin typeface="Calibri"/>
            <a:ea typeface="+mn-ea"/>
            <a:cs typeface="+mn-cs"/>
          </a:endParaRPr>
        </a:p>
      </dgm:t>
    </dgm:pt>
    <dgm:pt modelId="{A2EF900B-AE89-43E0-9F27-15DDA2AA7247}" type="parTrans" cxnId="{9D07DB62-44DF-4C85-BC8C-5242319D564B}">
      <dgm:prSet/>
      <dgm:spPr/>
      <dgm:t>
        <a:bodyPr/>
        <a:lstStyle/>
        <a:p>
          <a:endParaRPr lang="fr-FR"/>
        </a:p>
      </dgm:t>
    </dgm:pt>
    <dgm:pt modelId="{B537426B-ABAE-4592-9A74-C2C32ECD84C1}" type="sibTrans" cxnId="{9D07DB62-44DF-4C85-BC8C-5242319D564B}">
      <dgm:prSet/>
      <dgm:spPr/>
      <dgm:t>
        <a:bodyPr/>
        <a:lstStyle/>
        <a:p>
          <a:endParaRPr lang="fr-FR"/>
        </a:p>
      </dgm:t>
    </dgm:pt>
    <dgm:pt modelId="{C0701BD7-CBC1-41F7-B0EA-2AAF47102726}">
      <dgm:prSet/>
      <dgm:spPr>
        <a:xfrm>
          <a:off x="3552319" y="1138681"/>
          <a:ext cx="883226" cy="1423828"/>
        </a:xfrm>
        <a:noFill/>
        <a:ln>
          <a:noFill/>
        </a:ln>
        <a:effectLst/>
      </dgm:spPr>
      <dgm:t>
        <a:bodyPr/>
        <a:lstStyle/>
        <a:p>
          <a:r>
            <a:rPr lang="en-US"/>
            <a:t>Approval by GAVI Secretariat</a:t>
          </a:r>
        </a:p>
      </dgm:t>
    </dgm:pt>
    <dgm:pt modelId="{AF05B6D2-A63E-4B02-A8FC-184D9A4F1E17}" type="parTrans" cxnId="{17E63C2D-DAAF-47CC-83DF-4A796CB3D503}">
      <dgm:prSet/>
      <dgm:spPr/>
      <dgm:t>
        <a:bodyPr/>
        <a:lstStyle/>
        <a:p>
          <a:endParaRPr lang="fr-FR"/>
        </a:p>
      </dgm:t>
    </dgm:pt>
    <dgm:pt modelId="{C62D6A07-BAB6-4F4B-AC6B-B35B9E666FB0}" type="sibTrans" cxnId="{17E63C2D-DAAF-47CC-83DF-4A796CB3D503}">
      <dgm:prSet/>
      <dgm:spPr/>
      <dgm:t>
        <a:bodyPr/>
        <a:lstStyle/>
        <a:p>
          <a:endParaRPr lang="fr-FR"/>
        </a:p>
      </dgm:t>
    </dgm:pt>
    <dgm:pt modelId="{6637103F-9EC5-4823-B031-4C34DC93FD69}">
      <dgm:prSet/>
      <dgm:spPr>
        <a:xfrm>
          <a:off x="4440352" y="641866"/>
          <a:ext cx="1104033" cy="4416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Text" lastClr="000000"/>
              </a:solidFill>
              <a:latin typeface="Calibri"/>
              <a:ea typeface="+mn-ea"/>
            </a:rPr>
            <a:t>Step 6</a:t>
          </a:r>
        </a:p>
      </dgm:t>
    </dgm:pt>
    <dgm:pt modelId="{22FB17A5-72D0-4689-968B-1BC2056CC3AF}" type="parTrans" cxnId="{A0D0D98C-F44B-4549-9F63-BB18ABF98371}">
      <dgm:prSet/>
      <dgm:spPr/>
      <dgm:t>
        <a:bodyPr/>
        <a:lstStyle/>
        <a:p>
          <a:endParaRPr lang="fr-FR"/>
        </a:p>
      </dgm:t>
    </dgm:pt>
    <dgm:pt modelId="{F186FB97-1A9B-4205-A50A-B3DB583E62D7}" type="sibTrans" cxnId="{A0D0D98C-F44B-4549-9F63-BB18ABF98371}">
      <dgm:prSet/>
      <dgm:spPr/>
      <dgm:t>
        <a:bodyPr/>
        <a:lstStyle/>
        <a:p>
          <a:endParaRPr lang="fr-FR"/>
        </a:p>
      </dgm:t>
    </dgm:pt>
    <dgm:pt modelId="{74C2D392-7E88-41EF-A65B-942AB3D0C02A}">
      <dgm:prSet/>
      <dgm:spPr>
        <a:xfrm>
          <a:off x="4440352" y="1138681"/>
          <a:ext cx="883226" cy="1423828"/>
        </a:xfrm>
        <a:noFill/>
        <a:ln>
          <a:noFill/>
        </a:ln>
        <a:effectLst/>
      </dgm:spPr>
      <dgm:t>
        <a:bodyPr/>
        <a:lstStyle/>
        <a:p>
          <a:r>
            <a:rPr lang="en-US"/>
            <a:t>Financial evaluation led by the GAVI Secretariat</a:t>
          </a:r>
          <a:r>
            <a:rPr lang="fr-FR">
              <a:solidFill>
                <a:sysClr val="windowText" lastClr="000000">
                  <a:hueOff val="0"/>
                  <a:satOff val="0"/>
                  <a:lumOff val="0"/>
                  <a:alphaOff val="0"/>
                </a:sysClr>
              </a:solidFill>
              <a:latin typeface="Calibri"/>
              <a:ea typeface="+mn-ea"/>
              <a:cs typeface="+mn-cs"/>
            </a:rPr>
            <a:t/>
          </a:r>
          <a:br>
            <a:rPr lang="fr-FR">
              <a:solidFill>
                <a:sysClr val="windowText" lastClr="000000">
                  <a:hueOff val="0"/>
                  <a:satOff val="0"/>
                  <a:lumOff val="0"/>
                  <a:alphaOff val="0"/>
                </a:sysClr>
              </a:solidFill>
              <a:latin typeface="Calibri"/>
              <a:ea typeface="+mn-ea"/>
              <a:cs typeface="+mn-cs"/>
            </a:rPr>
          </a:br>
          <a:endParaRPr lang="fr-FR">
            <a:solidFill>
              <a:sysClr val="windowText" lastClr="000000">
                <a:hueOff val="0"/>
                <a:satOff val="0"/>
                <a:lumOff val="0"/>
                <a:alphaOff val="0"/>
              </a:sysClr>
            </a:solidFill>
            <a:latin typeface="Calibri"/>
            <a:ea typeface="+mn-ea"/>
            <a:cs typeface="+mn-cs"/>
          </a:endParaRPr>
        </a:p>
      </dgm:t>
    </dgm:pt>
    <dgm:pt modelId="{71339145-7367-4549-8183-8009689DB72C}" type="parTrans" cxnId="{2753ACD9-AD20-42ED-918F-42BE18A2CA1A}">
      <dgm:prSet/>
      <dgm:spPr/>
      <dgm:t>
        <a:bodyPr/>
        <a:lstStyle/>
        <a:p>
          <a:endParaRPr lang="fr-FR"/>
        </a:p>
      </dgm:t>
    </dgm:pt>
    <dgm:pt modelId="{AE83D1BC-37F1-4244-84EA-15CBA788E1E7}" type="sibTrans" cxnId="{2753ACD9-AD20-42ED-918F-42BE18A2CA1A}">
      <dgm:prSet/>
      <dgm:spPr/>
      <dgm:t>
        <a:bodyPr/>
        <a:lstStyle/>
        <a:p>
          <a:endParaRPr lang="fr-FR"/>
        </a:p>
      </dgm:t>
    </dgm:pt>
    <dgm:pt modelId="{4AA8AA48-A5B4-4E04-AE71-7EC747FB352C}">
      <dgm:prSet/>
      <dgm:spPr>
        <a:xfrm>
          <a:off x="5328386" y="641866"/>
          <a:ext cx="1104033" cy="44161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1">
              <a:solidFill>
                <a:sysClr val="windowText" lastClr="000000"/>
              </a:solidFill>
              <a:latin typeface="Calibri"/>
              <a:ea typeface="+mn-ea"/>
            </a:rPr>
            <a:t>Step 7</a:t>
          </a:r>
        </a:p>
      </dgm:t>
    </dgm:pt>
    <dgm:pt modelId="{D3A4613E-136E-4805-AF8E-D6FB63FBDD21}" type="parTrans" cxnId="{0C04ADE5-2059-4851-888F-9F151875C4C4}">
      <dgm:prSet/>
      <dgm:spPr/>
      <dgm:t>
        <a:bodyPr/>
        <a:lstStyle/>
        <a:p>
          <a:endParaRPr lang="fr-FR"/>
        </a:p>
      </dgm:t>
    </dgm:pt>
    <dgm:pt modelId="{3D0B325C-49AC-4158-9CFD-97F16C27EB07}" type="sibTrans" cxnId="{0C04ADE5-2059-4851-888F-9F151875C4C4}">
      <dgm:prSet/>
      <dgm:spPr/>
      <dgm:t>
        <a:bodyPr/>
        <a:lstStyle/>
        <a:p>
          <a:endParaRPr lang="fr-FR"/>
        </a:p>
      </dgm:t>
    </dgm:pt>
    <dgm:pt modelId="{7477BA5D-D790-4E68-BF49-A93B200E502E}">
      <dgm:prSet/>
      <dgm:spPr>
        <a:xfrm>
          <a:off x="5328386" y="1138681"/>
          <a:ext cx="883226" cy="1423828"/>
        </a:xfrm>
        <a:noFill/>
        <a:ln>
          <a:noFill/>
        </a:ln>
        <a:effectLst/>
      </dgm:spPr>
      <dgm:t>
        <a:bodyPr/>
        <a:lstStyle/>
        <a:p>
          <a:r>
            <a:rPr lang="en-US"/>
            <a:t>Implementation and monitoring</a:t>
          </a:r>
        </a:p>
      </dgm:t>
    </dgm:pt>
    <dgm:pt modelId="{C17248AD-8BD2-40C4-9E28-4C73562E2C01}" type="parTrans" cxnId="{1500B028-26B4-4BFD-BF13-F98BC21DAD56}">
      <dgm:prSet/>
      <dgm:spPr/>
      <dgm:t>
        <a:bodyPr/>
        <a:lstStyle/>
        <a:p>
          <a:endParaRPr lang="fr-FR"/>
        </a:p>
      </dgm:t>
    </dgm:pt>
    <dgm:pt modelId="{DDA975D7-B86E-4109-8E7F-70B160994141}" type="sibTrans" cxnId="{1500B028-26B4-4BFD-BF13-F98BC21DAD56}">
      <dgm:prSet/>
      <dgm:spPr/>
      <dgm:t>
        <a:bodyPr/>
        <a:lstStyle/>
        <a:p>
          <a:endParaRPr lang="fr-FR"/>
        </a:p>
      </dgm:t>
    </dgm:pt>
    <dgm:pt modelId="{2BDC40D3-0FE6-4C35-BDD3-F0D95D2B57F1}" type="pres">
      <dgm:prSet presAssocID="{AC8342C3-3ED1-4215-A5ED-9DA93DDF90F1}" presName="Name0" presStyleCnt="0">
        <dgm:presLayoutVars>
          <dgm:dir/>
          <dgm:animLvl val="lvl"/>
          <dgm:resizeHandles val="exact"/>
        </dgm:presLayoutVars>
      </dgm:prSet>
      <dgm:spPr/>
      <dgm:t>
        <a:bodyPr/>
        <a:lstStyle/>
        <a:p>
          <a:endParaRPr lang="fr-FR"/>
        </a:p>
      </dgm:t>
    </dgm:pt>
    <dgm:pt modelId="{16149336-F0D7-4ADB-8A8E-06BF37320036}" type="pres">
      <dgm:prSet presAssocID="{9D247C03-AF83-475F-A3A8-21B29DD29FF6}" presName="composite" presStyleCnt="0"/>
      <dgm:spPr/>
    </dgm:pt>
    <dgm:pt modelId="{90006846-FD06-467E-B2E2-FC0083381949}" type="pres">
      <dgm:prSet presAssocID="{9D247C03-AF83-475F-A3A8-21B29DD29FF6}" presName="parTx" presStyleLbl="node1" presStyleIdx="0" presStyleCnt="7" custLinFactNeighborX="-14404" custLinFactNeighborY="1800">
        <dgm:presLayoutVars>
          <dgm:chMax val="0"/>
          <dgm:chPref val="0"/>
          <dgm:bulletEnabled val="1"/>
        </dgm:presLayoutVars>
      </dgm:prSet>
      <dgm:spPr>
        <a:prstGeom prst="chevron">
          <a:avLst/>
        </a:prstGeom>
      </dgm:spPr>
      <dgm:t>
        <a:bodyPr/>
        <a:lstStyle/>
        <a:p>
          <a:endParaRPr lang="fr-FR"/>
        </a:p>
      </dgm:t>
    </dgm:pt>
    <dgm:pt modelId="{63E2BF13-BF9F-4EF5-AE27-664C1FD5DB21}" type="pres">
      <dgm:prSet presAssocID="{9D247C03-AF83-475F-A3A8-21B29DD29FF6}" presName="desTx" presStyleLbl="revTx" presStyleIdx="0" presStyleCnt="7">
        <dgm:presLayoutVars>
          <dgm:bulletEnabled val="1"/>
        </dgm:presLayoutVars>
      </dgm:prSet>
      <dgm:spPr>
        <a:prstGeom prst="rect">
          <a:avLst/>
        </a:prstGeom>
      </dgm:spPr>
      <dgm:t>
        <a:bodyPr/>
        <a:lstStyle/>
        <a:p>
          <a:endParaRPr lang="fr-FR"/>
        </a:p>
      </dgm:t>
    </dgm:pt>
    <dgm:pt modelId="{10BDC878-F086-4213-AA62-0A78788FB238}" type="pres">
      <dgm:prSet presAssocID="{67D099A8-5EE1-4310-A2A8-EDB86553004B}" presName="space" presStyleCnt="0"/>
      <dgm:spPr/>
    </dgm:pt>
    <dgm:pt modelId="{54647076-3C90-4836-81FB-612912FD9683}" type="pres">
      <dgm:prSet presAssocID="{BBCEA23F-A424-4D69-884E-A607F668BC78}" presName="composite" presStyleCnt="0"/>
      <dgm:spPr/>
    </dgm:pt>
    <dgm:pt modelId="{A371424C-47F3-41E9-9778-36DDA11126BA}" type="pres">
      <dgm:prSet presAssocID="{BBCEA23F-A424-4D69-884E-A607F668BC78}" presName="parTx" presStyleLbl="node1" presStyleIdx="1" presStyleCnt="7">
        <dgm:presLayoutVars>
          <dgm:chMax val="0"/>
          <dgm:chPref val="0"/>
          <dgm:bulletEnabled val="1"/>
        </dgm:presLayoutVars>
      </dgm:prSet>
      <dgm:spPr>
        <a:prstGeom prst="chevron">
          <a:avLst/>
        </a:prstGeom>
      </dgm:spPr>
      <dgm:t>
        <a:bodyPr/>
        <a:lstStyle/>
        <a:p>
          <a:endParaRPr lang="fr-FR"/>
        </a:p>
      </dgm:t>
    </dgm:pt>
    <dgm:pt modelId="{ED45D295-E2ED-408F-85DE-619A41C50F1C}" type="pres">
      <dgm:prSet presAssocID="{BBCEA23F-A424-4D69-884E-A607F668BC78}" presName="desTx" presStyleLbl="revTx" presStyleIdx="1" presStyleCnt="7">
        <dgm:presLayoutVars>
          <dgm:bulletEnabled val="1"/>
        </dgm:presLayoutVars>
      </dgm:prSet>
      <dgm:spPr>
        <a:prstGeom prst="rect">
          <a:avLst/>
        </a:prstGeom>
      </dgm:spPr>
      <dgm:t>
        <a:bodyPr/>
        <a:lstStyle/>
        <a:p>
          <a:endParaRPr lang="fr-FR"/>
        </a:p>
      </dgm:t>
    </dgm:pt>
    <dgm:pt modelId="{DDD58D07-7911-4523-9046-994BA89BDFA9}" type="pres">
      <dgm:prSet presAssocID="{DD1F3C58-E527-4933-BB29-BAF23CCB133A}" presName="space" presStyleCnt="0"/>
      <dgm:spPr/>
    </dgm:pt>
    <dgm:pt modelId="{B8956A60-6D44-4675-BC89-01B0AA78CA40}" type="pres">
      <dgm:prSet presAssocID="{16873DB1-3330-4D61-A65F-EC733C684F47}" presName="composite" presStyleCnt="0"/>
      <dgm:spPr/>
    </dgm:pt>
    <dgm:pt modelId="{C4345118-8C91-438F-B8D6-24A0927A5528}" type="pres">
      <dgm:prSet presAssocID="{16873DB1-3330-4D61-A65F-EC733C684F47}" presName="parTx" presStyleLbl="node1" presStyleIdx="2" presStyleCnt="7" custLinFactNeighborX="1441">
        <dgm:presLayoutVars>
          <dgm:chMax val="0"/>
          <dgm:chPref val="0"/>
          <dgm:bulletEnabled val="1"/>
        </dgm:presLayoutVars>
      </dgm:prSet>
      <dgm:spPr>
        <a:prstGeom prst="chevron">
          <a:avLst/>
        </a:prstGeom>
      </dgm:spPr>
      <dgm:t>
        <a:bodyPr/>
        <a:lstStyle/>
        <a:p>
          <a:endParaRPr lang="fr-FR"/>
        </a:p>
      </dgm:t>
    </dgm:pt>
    <dgm:pt modelId="{2B298C53-F9D3-47A8-BA86-BDAA5D9E01AE}" type="pres">
      <dgm:prSet presAssocID="{16873DB1-3330-4D61-A65F-EC733C684F47}" presName="desTx" presStyleLbl="revTx" presStyleIdx="2" presStyleCnt="7">
        <dgm:presLayoutVars>
          <dgm:bulletEnabled val="1"/>
        </dgm:presLayoutVars>
      </dgm:prSet>
      <dgm:spPr>
        <a:prstGeom prst="rect">
          <a:avLst/>
        </a:prstGeom>
      </dgm:spPr>
      <dgm:t>
        <a:bodyPr/>
        <a:lstStyle/>
        <a:p>
          <a:endParaRPr lang="fr-FR"/>
        </a:p>
      </dgm:t>
    </dgm:pt>
    <dgm:pt modelId="{7DDFD947-D0BA-4834-9FE6-10EF1DC3E55C}" type="pres">
      <dgm:prSet presAssocID="{9B68CA54-A17D-4211-92A8-3C215AACF23D}" presName="space" presStyleCnt="0"/>
      <dgm:spPr/>
    </dgm:pt>
    <dgm:pt modelId="{1A00E482-467C-4666-B186-844007453CD6}" type="pres">
      <dgm:prSet presAssocID="{F2AC4335-469F-467C-A99A-F47E66E65078}" presName="composite" presStyleCnt="0"/>
      <dgm:spPr/>
    </dgm:pt>
    <dgm:pt modelId="{69AE895F-EECE-47EE-9592-13B64B0C66DE}" type="pres">
      <dgm:prSet presAssocID="{F2AC4335-469F-467C-A99A-F47E66E65078}" presName="parTx" presStyleLbl="node1" presStyleIdx="3" presStyleCnt="7">
        <dgm:presLayoutVars>
          <dgm:chMax val="0"/>
          <dgm:chPref val="0"/>
          <dgm:bulletEnabled val="1"/>
        </dgm:presLayoutVars>
      </dgm:prSet>
      <dgm:spPr>
        <a:prstGeom prst="chevron">
          <a:avLst/>
        </a:prstGeom>
      </dgm:spPr>
      <dgm:t>
        <a:bodyPr/>
        <a:lstStyle/>
        <a:p>
          <a:endParaRPr lang="fr-FR"/>
        </a:p>
      </dgm:t>
    </dgm:pt>
    <dgm:pt modelId="{F5F0F287-0976-442E-8408-8F5B948E916C}" type="pres">
      <dgm:prSet presAssocID="{F2AC4335-469F-467C-A99A-F47E66E65078}" presName="desTx" presStyleLbl="revTx" presStyleIdx="3" presStyleCnt="7">
        <dgm:presLayoutVars>
          <dgm:bulletEnabled val="1"/>
        </dgm:presLayoutVars>
      </dgm:prSet>
      <dgm:spPr>
        <a:prstGeom prst="rect">
          <a:avLst/>
        </a:prstGeom>
      </dgm:spPr>
      <dgm:t>
        <a:bodyPr/>
        <a:lstStyle/>
        <a:p>
          <a:endParaRPr lang="fr-FR"/>
        </a:p>
      </dgm:t>
    </dgm:pt>
    <dgm:pt modelId="{D244D4A3-DC36-441D-97BC-16D35A188C5C}" type="pres">
      <dgm:prSet presAssocID="{58FB5D71-E957-4522-9C50-DD5198718A09}" presName="space" presStyleCnt="0"/>
      <dgm:spPr/>
    </dgm:pt>
    <dgm:pt modelId="{B79A9F48-DA0F-458A-BE54-80A3B4125800}" type="pres">
      <dgm:prSet presAssocID="{59B3D146-EA5D-4BB1-A8BF-5903BD751CF0}" presName="composite" presStyleCnt="0"/>
      <dgm:spPr/>
    </dgm:pt>
    <dgm:pt modelId="{AC7BCFA7-E74B-46B1-A94F-C4E49BCE537F}" type="pres">
      <dgm:prSet presAssocID="{59B3D146-EA5D-4BB1-A8BF-5903BD751CF0}" presName="parTx" presStyleLbl="node1" presStyleIdx="4" presStyleCnt="7">
        <dgm:presLayoutVars>
          <dgm:chMax val="0"/>
          <dgm:chPref val="0"/>
          <dgm:bulletEnabled val="1"/>
        </dgm:presLayoutVars>
      </dgm:prSet>
      <dgm:spPr>
        <a:prstGeom prst="chevron">
          <a:avLst/>
        </a:prstGeom>
      </dgm:spPr>
      <dgm:t>
        <a:bodyPr/>
        <a:lstStyle/>
        <a:p>
          <a:endParaRPr lang="fr-FR"/>
        </a:p>
      </dgm:t>
    </dgm:pt>
    <dgm:pt modelId="{B9ACD586-6AA5-4E42-B7F6-799EC4AFE12A}" type="pres">
      <dgm:prSet presAssocID="{59B3D146-EA5D-4BB1-A8BF-5903BD751CF0}" presName="desTx" presStyleLbl="revTx" presStyleIdx="4" presStyleCnt="7">
        <dgm:presLayoutVars>
          <dgm:bulletEnabled val="1"/>
        </dgm:presLayoutVars>
      </dgm:prSet>
      <dgm:spPr>
        <a:prstGeom prst="rect">
          <a:avLst/>
        </a:prstGeom>
      </dgm:spPr>
      <dgm:t>
        <a:bodyPr/>
        <a:lstStyle/>
        <a:p>
          <a:endParaRPr lang="fr-FR"/>
        </a:p>
      </dgm:t>
    </dgm:pt>
    <dgm:pt modelId="{752FA421-353A-4574-833A-682324BB0462}" type="pres">
      <dgm:prSet presAssocID="{31285946-1E0D-4DEE-883C-0C22036663F4}" presName="space" presStyleCnt="0"/>
      <dgm:spPr/>
    </dgm:pt>
    <dgm:pt modelId="{A3629682-A8A0-4D34-892B-0690DA498ABC}" type="pres">
      <dgm:prSet presAssocID="{6637103F-9EC5-4823-B031-4C34DC93FD69}" presName="composite" presStyleCnt="0"/>
      <dgm:spPr/>
    </dgm:pt>
    <dgm:pt modelId="{4FFFDB76-E704-4FCD-AD05-742CD721152F}" type="pres">
      <dgm:prSet presAssocID="{6637103F-9EC5-4823-B031-4C34DC93FD69}" presName="parTx" presStyleLbl="node1" presStyleIdx="5" presStyleCnt="7">
        <dgm:presLayoutVars>
          <dgm:chMax val="0"/>
          <dgm:chPref val="0"/>
          <dgm:bulletEnabled val="1"/>
        </dgm:presLayoutVars>
      </dgm:prSet>
      <dgm:spPr>
        <a:prstGeom prst="chevron">
          <a:avLst/>
        </a:prstGeom>
      </dgm:spPr>
      <dgm:t>
        <a:bodyPr/>
        <a:lstStyle/>
        <a:p>
          <a:endParaRPr lang="fr-FR"/>
        </a:p>
      </dgm:t>
    </dgm:pt>
    <dgm:pt modelId="{CC5234B4-E82A-4375-AA60-727783D908FF}" type="pres">
      <dgm:prSet presAssocID="{6637103F-9EC5-4823-B031-4C34DC93FD69}" presName="desTx" presStyleLbl="revTx" presStyleIdx="5" presStyleCnt="7">
        <dgm:presLayoutVars>
          <dgm:bulletEnabled val="1"/>
        </dgm:presLayoutVars>
      </dgm:prSet>
      <dgm:spPr>
        <a:prstGeom prst="rect">
          <a:avLst/>
        </a:prstGeom>
      </dgm:spPr>
      <dgm:t>
        <a:bodyPr/>
        <a:lstStyle/>
        <a:p>
          <a:endParaRPr lang="fr-FR"/>
        </a:p>
      </dgm:t>
    </dgm:pt>
    <dgm:pt modelId="{1494DD34-E8F3-49C6-91C0-7C00F84BC973}" type="pres">
      <dgm:prSet presAssocID="{F186FB97-1A9B-4205-A50A-B3DB583E62D7}" presName="space" presStyleCnt="0"/>
      <dgm:spPr/>
    </dgm:pt>
    <dgm:pt modelId="{F54BDA65-7B27-4A27-9FA1-7EDA2070DB35}" type="pres">
      <dgm:prSet presAssocID="{4AA8AA48-A5B4-4E04-AE71-7EC747FB352C}" presName="composite" presStyleCnt="0"/>
      <dgm:spPr/>
    </dgm:pt>
    <dgm:pt modelId="{5085A929-C3A3-4998-9766-74E1C18A8DB1}" type="pres">
      <dgm:prSet presAssocID="{4AA8AA48-A5B4-4E04-AE71-7EC747FB352C}" presName="parTx" presStyleLbl="node1" presStyleIdx="6" presStyleCnt="7">
        <dgm:presLayoutVars>
          <dgm:chMax val="0"/>
          <dgm:chPref val="0"/>
          <dgm:bulletEnabled val="1"/>
        </dgm:presLayoutVars>
      </dgm:prSet>
      <dgm:spPr>
        <a:prstGeom prst="chevron">
          <a:avLst/>
        </a:prstGeom>
      </dgm:spPr>
      <dgm:t>
        <a:bodyPr/>
        <a:lstStyle/>
        <a:p>
          <a:endParaRPr lang="fr-FR"/>
        </a:p>
      </dgm:t>
    </dgm:pt>
    <dgm:pt modelId="{B981B7D1-FF2D-4989-BE9B-80EF2D431BA3}" type="pres">
      <dgm:prSet presAssocID="{4AA8AA48-A5B4-4E04-AE71-7EC747FB352C}" presName="desTx" presStyleLbl="revTx" presStyleIdx="6" presStyleCnt="7">
        <dgm:presLayoutVars>
          <dgm:bulletEnabled val="1"/>
        </dgm:presLayoutVars>
      </dgm:prSet>
      <dgm:spPr>
        <a:prstGeom prst="rect">
          <a:avLst/>
        </a:prstGeom>
      </dgm:spPr>
      <dgm:t>
        <a:bodyPr/>
        <a:lstStyle/>
        <a:p>
          <a:endParaRPr lang="fr-FR"/>
        </a:p>
      </dgm:t>
    </dgm:pt>
  </dgm:ptLst>
  <dgm:cxnLst>
    <dgm:cxn modelId="{9C870D46-5F2A-4765-AED6-02B9BC4DF1D8}" type="presOf" srcId="{F2AC4335-469F-467C-A99A-F47E66E65078}" destId="{69AE895F-EECE-47EE-9592-13B64B0C66DE}" srcOrd="0" destOrd="0" presId="urn:microsoft.com/office/officeart/2005/8/layout/chevron1"/>
    <dgm:cxn modelId="{52DF11F3-FA3F-426C-BE87-FC33D93CC900}" type="presOf" srcId="{16873DB1-3330-4D61-A65F-EC733C684F47}" destId="{C4345118-8C91-438F-B8D6-24A0927A5528}" srcOrd="0" destOrd="0" presId="urn:microsoft.com/office/officeart/2005/8/layout/chevron1"/>
    <dgm:cxn modelId="{A7ABBD92-C224-47EC-8576-38E09F7616BC}" type="presOf" srcId="{D9CEA577-B3A1-47EE-BB04-8FCC53CE3CDA}" destId="{ED45D295-E2ED-408F-85DE-619A41C50F1C}" srcOrd="0" destOrd="0" presId="urn:microsoft.com/office/officeart/2005/8/layout/chevron1"/>
    <dgm:cxn modelId="{243EDA57-79D3-4BE5-869F-A1CA083513E5}" type="presOf" srcId="{AC8342C3-3ED1-4215-A5ED-9DA93DDF90F1}" destId="{2BDC40D3-0FE6-4C35-BDD3-F0D95D2B57F1}" srcOrd="0" destOrd="0" presId="urn:microsoft.com/office/officeart/2005/8/layout/chevron1"/>
    <dgm:cxn modelId="{1500B028-26B4-4BFD-BF13-F98BC21DAD56}" srcId="{4AA8AA48-A5B4-4E04-AE71-7EC747FB352C}" destId="{7477BA5D-D790-4E68-BF49-A93B200E502E}" srcOrd="0" destOrd="0" parTransId="{C17248AD-8BD2-40C4-9E28-4C73562E2C01}" sibTransId="{DDA975D7-B86E-4109-8E7F-70B160994141}"/>
    <dgm:cxn modelId="{DDDDABCE-F9C7-454D-944B-CA4BFCBEA195}" srcId="{AC8342C3-3ED1-4215-A5ED-9DA93DDF90F1}" destId="{16873DB1-3330-4D61-A65F-EC733C684F47}" srcOrd="2" destOrd="0" parTransId="{479191EE-6439-45CB-882E-125C57F34FAE}" sibTransId="{9B68CA54-A17D-4211-92A8-3C215AACF23D}"/>
    <dgm:cxn modelId="{70D47A8F-171D-43DD-8025-7E4C192E56E4}" srcId="{AC8342C3-3ED1-4215-A5ED-9DA93DDF90F1}" destId="{9D247C03-AF83-475F-A3A8-21B29DD29FF6}" srcOrd="0" destOrd="0" parTransId="{577294E6-2AEE-4071-BA4D-382E56965E84}" sibTransId="{67D099A8-5EE1-4310-A2A8-EDB86553004B}"/>
    <dgm:cxn modelId="{8BC3394E-D1F3-47F4-85D2-2BC5BA7F375C}" type="presOf" srcId="{7477BA5D-D790-4E68-BF49-A93B200E502E}" destId="{B981B7D1-FF2D-4989-BE9B-80EF2D431BA3}" srcOrd="0" destOrd="0" presId="urn:microsoft.com/office/officeart/2005/8/layout/chevron1"/>
    <dgm:cxn modelId="{860CA716-BBC3-4B61-A502-0EE0175AE0C6}" type="presOf" srcId="{9D247C03-AF83-475F-A3A8-21B29DD29FF6}" destId="{90006846-FD06-467E-B2E2-FC0083381949}" srcOrd="0" destOrd="0" presId="urn:microsoft.com/office/officeart/2005/8/layout/chevron1"/>
    <dgm:cxn modelId="{17E63C2D-DAAF-47CC-83DF-4A796CB3D503}" srcId="{59B3D146-EA5D-4BB1-A8BF-5903BD751CF0}" destId="{C0701BD7-CBC1-41F7-B0EA-2AAF47102726}" srcOrd="0" destOrd="0" parTransId="{AF05B6D2-A63E-4B02-A8FC-184D9A4F1E17}" sibTransId="{C62D6A07-BAB6-4F4B-AC6B-B35B9E666FB0}"/>
    <dgm:cxn modelId="{EBAA92D2-0C08-431F-BB4E-FE7DEE53293D}" type="presOf" srcId="{59B3D146-EA5D-4BB1-A8BF-5903BD751CF0}" destId="{AC7BCFA7-E74B-46B1-A94F-C4E49BCE537F}" srcOrd="0" destOrd="0" presId="urn:microsoft.com/office/officeart/2005/8/layout/chevron1"/>
    <dgm:cxn modelId="{37F47990-E4D1-47A8-A192-303F90E78772}" srcId="{F2AC4335-469F-467C-A99A-F47E66E65078}" destId="{5F2811AC-74B8-4475-90E5-42B0CE301329}" srcOrd="0" destOrd="0" parTransId="{6A0D7666-DB7B-4E75-B150-25EDE73BA5E2}" sibTransId="{56BFD847-B343-4725-BC04-38B12D35BCB3}"/>
    <dgm:cxn modelId="{9D07DB62-44DF-4C85-BC8C-5242319D564B}" srcId="{16873DB1-3330-4D61-A65F-EC733C684F47}" destId="{5FD493F0-B296-4FF0-908C-EF39C8546641}" srcOrd="0" destOrd="0" parTransId="{A2EF900B-AE89-43E0-9F27-15DDA2AA7247}" sibTransId="{B537426B-ABAE-4592-9A74-C2C32ECD84C1}"/>
    <dgm:cxn modelId="{CF631EDF-83ED-4511-B5E0-0E926F9B8BDC}" type="presOf" srcId="{6637103F-9EC5-4823-B031-4C34DC93FD69}" destId="{4FFFDB76-E704-4FCD-AD05-742CD721152F}" srcOrd="0" destOrd="0" presId="urn:microsoft.com/office/officeart/2005/8/layout/chevron1"/>
    <dgm:cxn modelId="{2753ACD9-AD20-42ED-918F-42BE18A2CA1A}" srcId="{6637103F-9EC5-4823-B031-4C34DC93FD69}" destId="{74C2D392-7E88-41EF-A65B-942AB3D0C02A}" srcOrd="0" destOrd="0" parTransId="{71339145-7367-4549-8183-8009689DB72C}" sibTransId="{AE83D1BC-37F1-4244-84EA-15CBA788E1E7}"/>
    <dgm:cxn modelId="{156A8D32-8D64-458E-9A94-2DB3C0B7AA42}" srcId="{BBCEA23F-A424-4D69-884E-A607F668BC78}" destId="{D9CEA577-B3A1-47EE-BB04-8FCC53CE3CDA}" srcOrd="0" destOrd="0" parTransId="{42927627-1B34-43DA-8B99-08F6BCDBA324}" sibTransId="{48B1F210-4CB8-4B49-8E6D-EFBEE62BCCDB}"/>
    <dgm:cxn modelId="{2B9E5376-5C36-4009-9D00-0111756F49FF}" srcId="{AC8342C3-3ED1-4215-A5ED-9DA93DDF90F1}" destId="{BBCEA23F-A424-4D69-884E-A607F668BC78}" srcOrd="1" destOrd="0" parTransId="{FA08226F-F294-4DA6-AD9B-6BD962223287}" sibTransId="{DD1F3C58-E527-4933-BB29-BAF23CCB133A}"/>
    <dgm:cxn modelId="{F432AB7E-2A03-413E-BAE5-A2410A8AD092}" type="presOf" srcId="{74C2D392-7E88-41EF-A65B-942AB3D0C02A}" destId="{CC5234B4-E82A-4375-AA60-727783D908FF}" srcOrd="0" destOrd="0" presId="urn:microsoft.com/office/officeart/2005/8/layout/chevron1"/>
    <dgm:cxn modelId="{C4D43B47-9367-4AEB-9B7D-C84359C3814A}" srcId="{AC8342C3-3ED1-4215-A5ED-9DA93DDF90F1}" destId="{F2AC4335-469F-467C-A99A-F47E66E65078}" srcOrd="3" destOrd="0" parTransId="{3E46313D-05C4-44F7-98DE-354D1514CBC3}" sibTransId="{58FB5D71-E957-4522-9C50-DD5198718A09}"/>
    <dgm:cxn modelId="{E58FB240-1753-429E-86B6-2FAC29F59B56}" srcId="{AC8342C3-3ED1-4215-A5ED-9DA93DDF90F1}" destId="{59B3D146-EA5D-4BB1-A8BF-5903BD751CF0}" srcOrd="4" destOrd="0" parTransId="{E170EBFA-948D-4CDC-9AB6-DCA089F19F85}" sibTransId="{31285946-1E0D-4DEE-883C-0C22036663F4}"/>
    <dgm:cxn modelId="{03D95537-CBBF-45B3-9A52-04B122964460}" type="presOf" srcId="{4AA8AA48-A5B4-4E04-AE71-7EC747FB352C}" destId="{5085A929-C3A3-4998-9766-74E1C18A8DB1}" srcOrd="0" destOrd="0" presId="urn:microsoft.com/office/officeart/2005/8/layout/chevron1"/>
    <dgm:cxn modelId="{18DB202E-68E9-46B1-B51C-A4F6C814957D}" srcId="{9D247C03-AF83-475F-A3A8-21B29DD29FF6}" destId="{C2F35243-456B-40BF-969D-8942604AE503}" srcOrd="0" destOrd="0" parTransId="{A14EA3EF-C9FC-4344-A68F-0C517D73A08C}" sibTransId="{3E2A66C6-60E6-40AF-A9C7-F3BC9A540618}"/>
    <dgm:cxn modelId="{A0D0D98C-F44B-4549-9F63-BB18ABF98371}" srcId="{AC8342C3-3ED1-4215-A5ED-9DA93DDF90F1}" destId="{6637103F-9EC5-4823-B031-4C34DC93FD69}" srcOrd="5" destOrd="0" parTransId="{22FB17A5-72D0-4689-968B-1BC2056CC3AF}" sibTransId="{F186FB97-1A9B-4205-A50A-B3DB583E62D7}"/>
    <dgm:cxn modelId="{97B33806-13C7-4498-9607-B24843304644}" type="presOf" srcId="{5FD493F0-B296-4FF0-908C-EF39C8546641}" destId="{2B298C53-F9D3-47A8-BA86-BDAA5D9E01AE}" srcOrd="0" destOrd="0" presId="urn:microsoft.com/office/officeart/2005/8/layout/chevron1"/>
    <dgm:cxn modelId="{9FB91B85-4DAC-43AF-AC7D-32CF333B276D}" type="presOf" srcId="{5F2811AC-74B8-4475-90E5-42B0CE301329}" destId="{F5F0F287-0976-442E-8408-8F5B948E916C}" srcOrd="0" destOrd="0" presId="urn:microsoft.com/office/officeart/2005/8/layout/chevron1"/>
    <dgm:cxn modelId="{151D858E-80AA-4F72-A406-DA0BCA499FE2}" type="presOf" srcId="{C2F35243-456B-40BF-969D-8942604AE503}" destId="{63E2BF13-BF9F-4EF5-AE27-664C1FD5DB21}" srcOrd="0" destOrd="0" presId="urn:microsoft.com/office/officeart/2005/8/layout/chevron1"/>
    <dgm:cxn modelId="{83714799-C202-4360-8A1B-6B7186D15069}" type="presOf" srcId="{BBCEA23F-A424-4D69-884E-A607F668BC78}" destId="{A371424C-47F3-41E9-9778-36DDA11126BA}" srcOrd="0" destOrd="0" presId="urn:microsoft.com/office/officeart/2005/8/layout/chevron1"/>
    <dgm:cxn modelId="{094DC1AF-329A-4005-A3D5-1DEFF0CD1B3C}" type="presOf" srcId="{C0701BD7-CBC1-41F7-B0EA-2AAF47102726}" destId="{B9ACD586-6AA5-4E42-B7F6-799EC4AFE12A}" srcOrd="0" destOrd="0" presId="urn:microsoft.com/office/officeart/2005/8/layout/chevron1"/>
    <dgm:cxn modelId="{0C04ADE5-2059-4851-888F-9F151875C4C4}" srcId="{AC8342C3-3ED1-4215-A5ED-9DA93DDF90F1}" destId="{4AA8AA48-A5B4-4E04-AE71-7EC747FB352C}" srcOrd="6" destOrd="0" parTransId="{D3A4613E-136E-4805-AF8E-D6FB63FBDD21}" sibTransId="{3D0B325C-49AC-4158-9CFD-97F16C27EB07}"/>
    <dgm:cxn modelId="{7A46EBA5-C244-4A89-8105-FA918081DF8C}" type="presParOf" srcId="{2BDC40D3-0FE6-4C35-BDD3-F0D95D2B57F1}" destId="{16149336-F0D7-4ADB-8A8E-06BF37320036}" srcOrd="0" destOrd="0" presId="urn:microsoft.com/office/officeart/2005/8/layout/chevron1"/>
    <dgm:cxn modelId="{2E543B56-79E1-47A7-A608-0636E1FB575C}" type="presParOf" srcId="{16149336-F0D7-4ADB-8A8E-06BF37320036}" destId="{90006846-FD06-467E-B2E2-FC0083381949}" srcOrd="0" destOrd="0" presId="urn:microsoft.com/office/officeart/2005/8/layout/chevron1"/>
    <dgm:cxn modelId="{D962F04E-5F66-48BE-9B79-453912B6DD39}" type="presParOf" srcId="{16149336-F0D7-4ADB-8A8E-06BF37320036}" destId="{63E2BF13-BF9F-4EF5-AE27-664C1FD5DB21}" srcOrd="1" destOrd="0" presId="urn:microsoft.com/office/officeart/2005/8/layout/chevron1"/>
    <dgm:cxn modelId="{A9CBA9C4-C07C-48C4-AE3E-79D2D672BB9C}" type="presParOf" srcId="{2BDC40D3-0FE6-4C35-BDD3-F0D95D2B57F1}" destId="{10BDC878-F086-4213-AA62-0A78788FB238}" srcOrd="1" destOrd="0" presId="urn:microsoft.com/office/officeart/2005/8/layout/chevron1"/>
    <dgm:cxn modelId="{80CB6F3A-CF0C-475B-993F-9FEEF962C4ED}" type="presParOf" srcId="{2BDC40D3-0FE6-4C35-BDD3-F0D95D2B57F1}" destId="{54647076-3C90-4836-81FB-612912FD9683}" srcOrd="2" destOrd="0" presId="urn:microsoft.com/office/officeart/2005/8/layout/chevron1"/>
    <dgm:cxn modelId="{885B61F8-18B7-48E3-BEC6-3329D3FEC49E}" type="presParOf" srcId="{54647076-3C90-4836-81FB-612912FD9683}" destId="{A371424C-47F3-41E9-9778-36DDA11126BA}" srcOrd="0" destOrd="0" presId="urn:microsoft.com/office/officeart/2005/8/layout/chevron1"/>
    <dgm:cxn modelId="{2B768777-E167-4AA6-AC77-B4154F7960BE}" type="presParOf" srcId="{54647076-3C90-4836-81FB-612912FD9683}" destId="{ED45D295-E2ED-408F-85DE-619A41C50F1C}" srcOrd="1" destOrd="0" presId="urn:microsoft.com/office/officeart/2005/8/layout/chevron1"/>
    <dgm:cxn modelId="{13B3056F-FD4E-4F12-9C97-D05B22F2CAB9}" type="presParOf" srcId="{2BDC40D3-0FE6-4C35-BDD3-F0D95D2B57F1}" destId="{DDD58D07-7911-4523-9046-994BA89BDFA9}" srcOrd="3" destOrd="0" presId="urn:microsoft.com/office/officeart/2005/8/layout/chevron1"/>
    <dgm:cxn modelId="{93B9149B-3979-4EE3-8F6A-30EC4BCFC12C}" type="presParOf" srcId="{2BDC40D3-0FE6-4C35-BDD3-F0D95D2B57F1}" destId="{B8956A60-6D44-4675-BC89-01B0AA78CA40}" srcOrd="4" destOrd="0" presId="urn:microsoft.com/office/officeart/2005/8/layout/chevron1"/>
    <dgm:cxn modelId="{18424F3F-B04B-4050-ACF8-110B8750A173}" type="presParOf" srcId="{B8956A60-6D44-4675-BC89-01B0AA78CA40}" destId="{C4345118-8C91-438F-B8D6-24A0927A5528}" srcOrd="0" destOrd="0" presId="urn:microsoft.com/office/officeart/2005/8/layout/chevron1"/>
    <dgm:cxn modelId="{9F253EF5-D315-4F21-B38D-AAD34F8B845A}" type="presParOf" srcId="{B8956A60-6D44-4675-BC89-01B0AA78CA40}" destId="{2B298C53-F9D3-47A8-BA86-BDAA5D9E01AE}" srcOrd="1" destOrd="0" presId="urn:microsoft.com/office/officeart/2005/8/layout/chevron1"/>
    <dgm:cxn modelId="{AE8EE80C-8298-4D78-B6DB-DF01F498C4D0}" type="presParOf" srcId="{2BDC40D3-0FE6-4C35-BDD3-F0D95D2B57F1}" destId="{7DDFD947-D0BA-4834-9FE6-10EF1DC3E55C}" srcOrd="5" destOrd="0" presId="urn:microsoft.com/office/officeart/2005/8/layout/chevron1"/>
    <dgm:cxn modelId="{2BC511EF-A573-429C-8737-5D81AD693298}" type="presParOf" srcId="{2BDC40D3-0FE6-4C35-BDD3-F0D95D2B57F1}" destId="{1A00E482-467C-4666-B186-844007453CD6}" srcOrd="6" destOrd="0" presId="urn:microsoft.com/office/officeart/2005/8/layout/chevron1"/>
    <dgm:cxn modelId="{09CE929F-9321-4C4D-A4D8-13B870C363E6}" type="presParOf" srcId="{1A00E482-467C-4666-B186-844007453CD6}" destId="{69AE895F-EECE-47EE-9592-13B64B0C66DE}" srcOrd="0" destOrd="0" presId="urn:microsoft.com/office/officeart/2005/8/layout/chevron1"/>
    <dgm:cxn modelId="{8A4A778B-6702-46A5-8C12-7B5E36BE7DE9}" type="presParOf" srcId="{1A00E482-467C-4666-B186-844007453CD6}" destId="{F5F0F287-0976-442E-8408-8F5B948E916C}" srcOrd="1" destOrd="0" presId="urn:microsoft.com/office/officeart/2005/8/layout/chevron1"/>
    <dgm:cxn modelId="{B0303F9A-528E-4DCD-A318-A3E8A363251C}" type="presParOf" srcId="{2BDC40D3-0FE6-4C35-BDD3-F0D95D2B57F1}" destId="{D244D4A3-DC36-441D-97BC-16D35A188C5C}" srcOrd="7" destOrd="0" presId="urn:microsoft.com/office/officeart/2005/8/layout/chevron1"/>
    <dgm:cxn modelId="{5E169FB7-AC99-4E46-9165-089444DC1C7D}" type="presParOf" srcId="{2BDC40D3-0FE6-4C35-BDD3-F0D95D2B57F1}" destId="{B79A9F48-DA0F-458A-BE54-80A3B4125800}" srcOrd="8" destOrd="0" presId="urn:microsoft.com/office/officeart/2005/8/layout/chevron1"/>
    <dgm:cxn modelId="{2A83A262-D415-49B1-AD24-E71166880E68}" type="presParOf" srcId="{B79A9F48-DA0F-458A-BE54-80A3B4125800}" destId="{AC7BCFA7-E74B-46B1-A94F-C4E49BCE537F}" srcOrd="0" destOrd="0" presId="urn:microsoft.com/office/officeart/2005/8/layout/chevron1"/>
    <dgm:cxn modelId="{749F7DFB-A8BA-472B-8CF9-1E690F5C4584}" type="presParOf" srcId="{B79A9F48-DA0F-458A-BE54-80A3B4125800}" destId="{B9ACD586-6AA5-4E42-B7F6-799EC4AFE12A}" srcOrd="1" destOrd="0" presId="urn:microsoft.com/office/officeart/2005/8/layout/chevron1"/>
    <dgm:cxn modelId="{9DFA46F5-D92D-4646-B995-4C02C3DCFC65}" type="presParOf" srcId="{2BDC40D3-0FE6-4C35-BDD3-F0D95D2B57F1}" destId="{752FA421-353A-4574-833A-682324BB0462}" srcOrd="9" destOrd="0" presId="urn:microsoft.com/office/officeart/2005/8/layout/chevron1"/>
    <dgm:cxn modelId="{383DA133-8C56-46B6-BEC7-DF6F4F99C753}" type="presParOf" srcId="{2BDC40D3-0FE6-4C35-BDD3-F0D95D2B57F1}" destId="{A3629682-A8A0-4D34-892B-0690DA498ABC}" srcOrd="10" destOrd="0" presId="urn:microsoft.com/office/officeart/2005/8/layout/chevron1"/>
    <dgm:cxn modelId="{302F3E24-FBE3-4F56-89A7-B5B5A5436C45}" type="presParOf" srcId="{A3629682-A8A0-4D34-892B-0690DA498ABC}" destId="{4FFFDB76-E704-4FCD-AD05-742CD721152F}" srcOrd="0" destOrd="0" presId="urn:microsoft.com/office/officeart/2005/8/layout/chevron1"/>
    <dgm:cxn modelId="{43E58878-B13C-4484-858F-1FE3E6FA3188}" type="presParOf" srcId="{A3629682-A8A0-4D34-892B-0690DA498ABC}" destId="{CC5234B4-E82A-4375-AA60-727783D908FF}" srcOrd="1" destOrd="0" presId="urn:microsoft.com/office/officeart/2005/8/layout/chevron1"/>
    <dgm:cxn modelId="{48E60FA3-1231-4913-ADF2-5C28D02E6C1A}" type="presParOf" srcId="{2BDC40D3-0FE6-4C35-BDD3-F0D95D2B57F1}" destId="{1494DD34-E8F3-49C6-91C0-7C00F84BC973}" srcOrd="11" destOrd="0" presId="urn:microsoft.com/office/officeart/2005/8/layout/chevron1"/>
    <dgm:cxn modelId="{1E8A71CB-A058-4C8D-BD03-682FF443224D}" type="presParOf" srcId="{2BDC40D3-0FE6-4C35-BDD3-F0D95D2B57F1}" destId="{F54BDA65-7B27-4A27-9FA1-7EDA2070DB35}" srcOrd="12" destOrd="0" presId="urn:microsoft.com/office/officeart/2005/8/layout/chevron1"/>
    <dgm:cxn modelId="{156D8A55-5278-4681-AA80-5E13E8A99D4E}" type="presParOf" srcId="{F54BDA65-7B27-4A27-9FA1-7EDA2070DB35}" destId="{5085A929-C3A3-4998-9766-74E1C18A8DB1}" srcOrd="0" destOrd="0" presId="urn:microsoft.com/office/officeart/2005/8/layout/chevron1"/>
    <dgm:cxn modelId="{3058844A-ACDB-4078-A908-FD7B73FE1A5F}" type="presParOf" srcId="{F54BDA65-7B27-4A27-9FA1-7EDA2070DB35}" destId="{B981B7D1-FF2D-4989-BE9B-80EF2D431BA3}" srcOrd="1" destOrd="0" presId="urn:microsoft.com/office/officeart/2005/8/layout/chevron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006846-FD06-467E-B2E2-FC0083381949}">
      <dsp:nvSpPr>
        <dsp:cNvPr id="0" name=""/>
        <dsp:cNvSpPr/>
      </dsp:nvSpPr>
      <dsp:spPr>
        <a:xfrm>
          <a:off x="0" y="530152"/>
          <a:ext cx="1103433" cy="441373"/>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latin typeface="Calibri"/>
              <a:ea typeface="+mn-ea"/>
            </a:rPr>
            <a:t>Step 1</a:t>
          </a:r>
        </a:p>
      </dsp:txBody>
      <dsp:txXfrm>
        <a:off x="220687" y="530152"/>
        <a:ext cx="662060" cy="441373"/>
      </dsp:txXfrm>
    </dsp:sp>
    <dsp:sp modelId="{63E2BF13-BF9F-4EF5-AE27-664C1FD5DB21}">
      <dsp:nvSpPr>
        <dsp:cNvPr id="0" name=""/>
        <dsp:cNvSpPr/>
      </dsp:nvSpPr>
      <dsp:spPr>
        <a:xfrm>
          <a:off x="5116" y="1018752"/>
          <a:ext cx="882746" cy="12555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US" sz="900" kern="1200"/>
            <a:t>Notify the GAVI Secretariat and development partners of the intention to submit an application</a:t>
          </a:r>
        </a:p>
      </dsp:txBody>
      <dsp:txXfrm>
        <a:off x="5116" y="1018752"/>
        <a:ext cx="882746" cy="1255579"/>
      </dsp:txXfrm>
    </dsp:sp>
    <dsp:sp modelId="{A371424C-47F3-41E9-9778-36DDA11126BA}">
      <dsp:nvSpPr>
        <dsp:cNvPr id="0" name=""/>
        <dsp:cNvSpPr/>
      </dsp:nvSpPr>
      <dsp:spPr>
        <a:xfrm>
          <a:off x="892549" y="522207"/>
          <a:ext cx="1103433" cy="441373"/>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latin typeface="Calibri"/>
              <a:ea typeface="+mn-ea"/>
            </a:rPr>
            <a:t>Step 2</a:t>
          </a:r>
        </a:p>
      </dsp:txBody>
      <dsp:txXfrm>
        <a:off x="1113236" y="522207"/>
        <a:ext cx="662060" cy="441373"/>
      </dsp:txXfrm>
    </dsp:sp>
    <dsp:sp modelId="{ED45D295-E2ED-408F-85DE-619A41C50F1C}">
      <dsp:nvSpPr>
        <dsp:cNvPr id="0" name=""/>
        <dsp:cNvSpPr/>
      </dsp:nvSpPr>
      <dsp:spPr>
        <a:xfrm>
          <a:off x="892549" y="1018752"/>
          <a:ext cx="882746" cy="12555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US" sz="900" kern="1200"/>
            <a:t>Draft the application file using a participative approach in cooperation with the GAVI Alliance partners</a:t>
          </a:r>
        </a:p>
      </dsp:txBody>
      <dsp:txXfrm>
        <a:off x="892549" y="1018752"/>
        <a:ext cx="882746" cy="1255579"/>
      </dsp:txXfrm>
    </dsp:sp>
    <dsp:sp modelId="{C4345118-8C91-438F-B8D6-24A0927A5528}">
      <dsp:nvSpPr>
        <dsp:cNvPr id="0" name=""/>
        <dsp:cNvSpPr/>
      </dsp:nvSpPr>
      <dsp:spPr>
        <a:xfrm>
          <a:off x="1795883" y="522207"/>
          <a:ext cx="1103433" cy="441373"/>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latin typeface="Calibri"/>
              <a:ea typeface="+mn-ea"/>
            </a:rPr>
            <a:t>Step 3</a:t>
          </a:r>
        </a:p>
      </dsp:txBody>
      <dsp:txXfrm>
        <a:off x="2016570" y="522207"/>
        <a:ext cx="662060" cy="441373"/>
      </dsp:txXfrm>
    </dsp:sp>
    <dsp:sp modelId="{2B298C53-F9D3-47A8-BA86-BDAA5D9E01AE}">
      <dsp:nvSpPr>
        <dsp:cNvPr id="0" name=""/>
        <dsp:cNvSpPr/>
      </dsp:nvSpPr>
      <dsp:spPr>
        <a:xfrm>
          <a:off x="1779982" y="1018752"/>
          <a:ext cx="882746" cy="12555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US" sz="900" kern="1200"/>
            <a:t>Submit the signed, properly filled out application to the GAVI Secretariat</a:t>
          </a:r>
          <a:r>
            <a:rPr lang="fr-FR" sz="900" kern="1200">
              <a:solidFill>
                <a:sysClr val="windowText" lastClr="000000">
                  <a:hueOff val="0"/>
                  <a:satOff val="0"/>
                  <a:lumOff val="0"/>
                  <a:alphaOff val="0"/>
                </a:sysClr>
              </a:solidFill>
              <a:latin typeface="Calibri"/>
              <a:ea typeface="+mn-ea"/>
              <a:cs typeface="+mn-cs"/>
            </a:rPr>
            <a:t/>
          </a:r>
          <a:br>
            <a:rPr lang="fr-FR" sz="900" kern="1200">
              <a:solidFill>
                <a:sysClr val="windowText" lastClr="000000">
                  <a:hueOff val="0"/>
                  <a:satOff val="0"/>
                  <a:lumOff val="0"/>
                  <a:alphaOff val="0"/>
                </a:sysClr>
              </a:solidFill>
              <a:latin typeface="Calibri"/>
              <a:ea typeface="+mn-ea"/>
              <a:cs typeface="+mn-cs"/>
            </a:rPr>
          </a:br>
          <a:r>
            <a:rPr lang="fr-FR" sz="900" kern="1200">
              <a:solidFill>
                <a:sysClr val="windowText" lastClr="000000">
                  <a:hueOff val="0"/>
                  <a:satOff val="0"/>
                  <a:lumOff val="0"/>
                  <a:alphaOff val="0"/>
                </a:sysClr>
              </a:solidFill>
              <a:latin typeface="Calibri"/>
              <a:ea typeface="+mn-ea"/>
              <a:cs typeface="+mn-cs"/>
            </a:rPr>
            <a:t/>
          </a:r>
          <a:br>
            <a:rPr lang="fr-FR" sz="900" kern="1200">
              <a:solidFill>
                <a:sysClr val="windowText" lastClr="000000">
                  <a:hueOff val="0"/>
                  <a:satOff val="0"/>
                  <a:lumOff val="0"/>
                  <a:alphaOff val="0"/>
                </a:sysClr>
              </a:solidFill>
              <a:latin typeface="Calibri"/>
              <a:ea typeface="+mn-ea"/>
              <a:cs typeface="+mn-cs"/>
            </a:rPr>
          </a:br>
          <a:endParaRPr lang="fr-FR" sz="900" kern="1200">
            <a:solidFill>
              <a:sysClr val="windowText" lastClr="000000">
                <a:hueOff val="0"/>
                <a:satOff val="0"/>
                <a:lumOff val="0"/>
                <a:alphaOff val="0"/>
              </a:sysClr>
            </a:solidFill>
            <a:latin typeface="Calibri"/>
            <a:ea typeface="+mn-ea"/>
            <a:cs typeface="+mn-cs"/>
          </a:endParaRPr>
        </a:p>
      </dsp:txBody>
      <dsp:txXfrm>
        <a:off x="1779982" y="1018752"/>
        <a:ext cx="882746" cy="1255579"/>
      </dsp:txXfrm>
    </dsp:sp>
    <dsp:sp modelId="{69AE895F-EECE-47EE-9592-13B64B0C66DE}">
      <dsp:nvSpPr>
        <dsp:cNvPr id="0" name=""/>
        <dsp:cNvSpPr/>
      </dsp:nvSpPr>
      <dsp:spPr>
        <a:xfrm>
          <a:off x="2667415" y="522207"/>
          <a:ext cx="1103433" cy="441373"/>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latin typeface="Calibri"/>
              <a:ea typeface="+mn-ea"/>
            </a:rPr>
            <a:t>Step 4</a:t>
          </a:r>
        </a:p>
      </dsp:txBody>
      <dsp:txXfrm>
        <a:off x="2888102" y="522207"/>
        <a:ext cx="662060" cy="441373"/>
      </dsp:txXfrm>
    </dsp:sp>
    <dsp:sp modelId="{F5F0F287-0976-442E-8408-8F5B948E916C}">
      <dsp:nvSpPr>
        <dsp:cNvPr id="0" name=""/>
        <dsp:cNvSpPr/>
      </dsp:nvSpPr>
      <dsp:spPr>
        <a:xfrm>
          <a:off x="2667415" y="1018752"/>
          <a:ext cx="882746" cy="12555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US" sz="900" kern="1200"/>
            <a:t>Review of the application by independent experts. Independent Review Committee (IRC) and GAVI Secretariat</a:t>
          </a:r>
          <a:r>
            <a:rPr lang="fr-FR" sz="900" kern="1200">
              <a:solidFill>
                <a:sysClr val="windowText" lastClr="000000">
                  <a:hueOff val="0"/>
                  <a:satOff val="0"/>
                  <a:lumOff val="0"/>
                  <a:alphaOff val="0"/>
                </a:sysClr>
              </a:solidFill>
              <a:latin typeface="Calibri"/>
              <a:ea typeface="+mn-ea"/>
              <a:cs typeface="+mn-cs"/>
            </a:rPr>
            <a:t/>
          </a:r>
          <a:br>
            <a:rPr lang="fr-FR" sz="900" kern="1200">
              <a:solidFill>
                <a:sysClr val="windowText" lastClr="000000">
                  <a:hueOff val="0"/>
                  <a:satOff val="0"/>
                  <a:lumOff val="0"/>
                  <a:alphaOff val="0"/>
                </a:sysClr>
              </a:solidFill>
              <a:latin typeface="Calibri"/>
              <a:ea typeface="+mn-ea"/>
              <a:cs typeface="+mn-cs"/>
            </a:rPr>
          </a:br>
          <a:endParaRPr lang="fr-FR" sz="900" kern="1200">
            <a:solidFill>
              <a:sysClr val="windowText" lastClr="000000">
                <a:hueOff val="0"/>
                <a:satOff val="0"/>
                <a:lumOff val="0"/>
                <a:alphaOff val="0"/>
              </a:sysClr>
            </a:solidFill>
            <a:latin typeface="Calibri"/>
            <a:ea typeface="+mn-ea"/>
            <a:cs typeface="+mn-cs"/>
          </a:endParaRPr>
        </a:p>
      </dsp:txBody>
      <dsp:txXfrm>
        <a:off x="2667415" y="1018752"/>
        <a:ext cx="882746" cy="1255579"/>
      </dsp:txXfrm>
    </dsp:sp>
    <dsp:sp modelId="{AC7BCFA7-E74B-46B1-A94F-C4E49BCE537F}">
      <dsp:nvSpPr>
        <dsp:cNvPr id="0" name=""/>
        <dsp:cNvSpPr/>
      </dsp:nvSpPr>
      <dsp:spPr>
        <a:xfrm>
          <a:off x="3554849" y="522207"/>
          <a:ext cx="1103433" cy="441373"/>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latin typeface="Calibri"/>
              <a:ea typeface="+mn-ea"/>
            </a:rPr>
            <a:t>Step 5</a:t>
          </a:r>
        </a:p>
      </dsp:txBody>
      <dsp:txXfrm>
        <a:off x="3775536" y="522207"/>
        <a:ext cx="662060" cy="441373"/>
      </dsp:txXfrm>
    </dsp:sp>
    <dsp:sp modelId="{B9ACD586-6AA5-4E42-B7F6-799EC4AFE12A}">
      <dsp:nvSpPr>
        <dsp:cNvPr id="0" name=""/>
        <dsp:cNvSpPr/>
      </dsp:nvSpPr>
      <dsp:spPr>
        <a:xfrm>
          <a:off x="3554849" y="1018752"/>
          <a:ext cx="882746" cy="12555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US" sz="900" kern="1200"/>
            <a:t>Approval by GAVI Secretariat</a:t>
          </a:r>
        </a:p>
      </dsp:txBody>
      <dsp:txXfrm>
        <a:off x="3554849" y="1018752"/>
        <a:ext cx="882746" cy="1255579"/>
      </dsp:txXfrm>
    </dsp:sp>
    <dsp:sp modelId="{4FFFDB76-E704-4FCD-AD05-742CD721152F}">
      <dsp:nvSpPr>
        <dsp:cNvPr id="0" name=""/>
        <dsp:cNvSpPr/>
      </dsp:nvSpPr>
      <dsp:spPr>
        <a:xfrm>
          <a:off x="4442282" y="522207"/>
          <a:ext cx="1103433" cy="441373"/>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latin typeface="Calibri"/>
              <a:ea typeface="+mn-ea"/>
            </a:rPr>
            <a:t>Step 6</a:t>
          </a:r>
        </a:p>
      </dsp:txBody>
      <dsp:txXfrm>
        <a:off x="4662969" y="522207"/>
        <a:ext cx="662060" cy="441373"/>
      </dsp:txXfrm>
    </dsp:sp>
    <dsp:sp modelId="{CC5234B4-E82A-4375-AA60-727783D908FF}">
      <dsp:nvSpPr>
        <dsp:cNvPr id="0" name=""/>
        <dsp:cNvSpPr/>
      </dsp:nvSpPr>
      <dsp:spPr>
        <a:xfrm>
          <a:off x="4442282" y="1018752"/>
          <a:ext cx="882746" cy="12555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US" sz="900" kern="1200"/>
            <a:t>Financial evaluation led by the GAVI Secretariat</a:t>
          </a:r>
          <a:r>
            <a:rPr lang="fr-FR" sz="900" kern="1200">
              <a:solidFill>
                <a:sysClr val="windowText" lastClr="000000">
                  <a:hueOff val="0"/>
                  <a:satOff val="0"/>
                  <a:lumOff val="0"/>
                  <a:alphaOff val="0"/>
                </a:sysClr>
              </a:solidFill>
              <a:latin typeface="Calibri"/>
              <a:ea typeface="+mn-ea"/>
              <a:cs typeface="+mn-cs"/>
            </a:rPr>
            <a:t/>
          </a:r>
          <a:br>
            <a:rPr lang="fr-FR" sz="900" kern="1200">
              <a:solidFill>
                <a:sysClr val="windowText" lastClr="000000">
                  <a:hueOff val="0"/>
                  <a:satOff val="0"/>
                  <a:lumOff val="0"/>
                  <a:alphaOff val="0"/>
                </a:sysClr>
              </a:solidFill>
              <a:latin typeface="Calibri"/>
              <a:ea typeface="+mn-ea"/>
              <a:cs typeface="+mn-cs"/>
            </a:rPr>
          </a:br>
          <a:endParaRPr lang="fr-FR" sz="900" kern="1200">
            <a:solidFill>
              <a:sysClr val="windowText" lastClr="000000">
                <a:hueOff val="0"/>
                <a:satOff val="0"/>
                <a:lumOff val="0"/>
                <a:alphaOff val="0"/>
              </a:sysClr>
            </a:solidFill>
            <a:latin typeface="Calibri"/>
            <a:ea typeface="+mn-ea"/>
            <a:cs typeface="+mn-cs"/>
          </a:endParaRPr>
        </a:p>
      </dsp:txBody>
      <dsp:txXfrm>
        <a:off x="4442282" y="1018752"/>
        <a:ext cx="882746" cy="1255579"/>
      </dsp:txXfrm>
    </dsp:sp>
    <dsp:sp modelId="{5085A929-C3A3-4998-9766-74E1C18A8DB1}">
      <dsp:nvSpPr>
        <dsp:cNvPr id="0" name=""/>
        <dsp:cNvSpPr/>
      </dsp:nvSpPr>
      <dsp:spPr>
        <a:xfrm>
          <a:off x="5329715" y="522207"/>
          <a:ext cx="1103433" cy="441373"/>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latin typeface="Calibri"/>
              <a:ea typeface="+mn-ea"/>
            </a:rPr>
            <a:t>Step 7</a:t>
          </a:r>
        </a:p>
      </dsp:txBody>
      <dsp:txXfrm>
        <a:off x="5550402" y="522207"/>
        <a:ext cx="662060" cy="441373"/>
      </dsp:txXfrm>
    </dsp:sp>
    <dsp:sp modelId="{B981B7D1-FF2D-4989-BE9B-80EF2D431BA3}">
      <dsp:nvSpPr>
        <dsp:cNvPr id="0" name=""/>
        <dsp:cNvSpPr/>
      </dsp:nvSpPr>
      <dsp:spPr>
        <a:xfrm>
          <a:off x="5329715" y="1018752"/>
          <a:ext cx="882746" cy="12555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US" sz="900" kern="1200"/>
            <a:t>Implementation and monitoring</a:t>
          </a:r>
        </a:p>
      </dsp:txBody>
      <dsp:txXfrm>
        <a:off x="5329715" y="1018752"/>
        <a:ext cx="882746" cy="125557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7326E40CB31F45B21EB8ECE521E9C0" ma:contentTypeVersion="0" ma:contentTypeDescription="Create a new document." ma:contentTypeScope="" ma:versionID="22398753f02057eced975e9ed76ecde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2DABA-2F91-44AC-B970-60FFF59BD2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DDFD65-3AC7-4E92-A5E6-2BA940017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CF59674-4680-49F6-9CAD-A7D65D6B5905}">
  <ds:schemaRefs>
    <ds:schemaRef ds:uri="http://schemas.microsoft.com/sharepoint/v3/contenttype/forms"/>
  </ds:schemaRefs>
</ds:datastoreItem>
</file>

<file path=customXml/itemProps4.xml><?xml version="1.0" encoding="utf-8"?>
<ds:datastoreItem xmlns:ds="http://schemas.openxmlformats.org/officeDocument/2006/customXml" ds:itemID="{3789E4CE-BCDE-463E-AC57-CCF210485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71</Pages>
  <Words>19194</Words>
  <Characters>109406</Characters>
  <Application>Microsoft Office Word</Application>
  <DocSecurity>0</DocSecurity>
  <Lines>911</Lines>
  <Paragraphs>256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Health Systems Funding Platform</vt:lpstr>
      <vt:lpstr>Health Systems Funding Platform</vt:lpstr>
    </vt:vector>
  </TitlesOfParts>
  <Company>Microsoft</Company>
  <LinksUpToDate>false</LinksUpToDate>
  <CharactersWithSpaces>128344</CharactersWithSpaces>
  <SharedDoc>false</SharedDoc>
  <HLinks>
    <vt:vector size="180" baseType="variant">
      <vt:variant>
        <vt:i4>7798870</vt:i4>
      </vt:variant>
      <vt:variant>
        <vt:i4>171</vt:i4>
      </vt:variant>
      <vt:variant>
        <vt:i4>0</vt:i4>
      </vt:variant>
      <vt:variant>
        <vt:i4>5</vt:i4>
      </vt:variant>
      <vt:variant>
        <vt:lpwstr>mailto:Oumarou1961@yahoo.fr</vt:lpwstr>
      </vt:variant>
      <vt:variant>
        <vt:lpwstr/>
      </vt:variant>
      <vt:variant>
        <vt:i4>1966140</vt:i4>
      </vt:variant>
      <vt:variant>
        <vt:i4>164</vt:i4>
      </vt:variant>
      <vt:variant>
        <vt:i4>0</vt:i4>
      </vt:variant>
      <vt:variant>
        <vt:i4>5</vt:i4>
      </vt:variant>
      <vt:variant>
        <vt:lpwstr/>
      </vt:variant>
      <vt:variant>
        <vt:lpwstr>_Toc378264182</vt:lpwstr>
      </vt:variant>
      <vt:variant>
        <vt:i4>1966140</vt:i4>
      </vt:variant>
      <vt:variant>
        <vt:i4>158</vt:i4>
      </vt:variant>
      <vt:variant>
        <vt:i4>0</vt:i4>
      </vt:variant>
      <vt:variant>
        <vt:i4>5</vt:i4>
      </vt:variant>
      <vt:variant>
        <vt:lpwstr/>
      </vt:variant>
      <vt:variant>
        <vt:lpwstr>_Toc378264181</vt:lpwstr>
      </vt:variant>
      <vt:variant>
        <vt:i4>1966140</vt:i4>
      </vt:variant>
      <vt:variant>
        <vt:i4>152</vt:i4>
      </vt:variant>
      <vt:variant>
        <vt:i4>0</vt:i4>
      </vt:variant>
      <vt:variant>
        <vt:i4>5</vt:i4>
      </vt:variant>
      <vt:variant>
        <vt:lpwstr/>
      </vt:variant>
      <vt:variant>
        <vt:lpwstr>_Toc378264180</vt:lpwstr>
      </vt:variant>
      <vt:variant>
        <vt:i4>1114172</vt:i4>
      </vt:variant>
      <vt:variant>
        <vt:i4>146</vt:i4>
      </vt:variant>
      <vt:variant>
        <vt:i4>0</vt:i4>
      </vt:variant>
      <vt:variant>
        <vt:i4>5</vt:i4>
      </vt:variant>
      <vt:variant>
        <vt:lpwstr/>
      </vt:variant>
      <vt:variant>
        <vt:lpwstr>_Toc378264179</vt:lpwstr>
      </vt:variant>
      <vt:variant>
        <vt:i4>1114172</vt:i4>
      </vt:variant>
      <vt:variant>
        <vt:i4>140</vt:i4>
      </vt:variant>
      <vt:variant>
        <vt:i4>0</vt:i4>
      </vt:variant>
      <vt:variant>
        <vt:i4>5</vt:i4>
      </vt:variant>
      <vt:variant>
        <vt:lpwstr/>
      </vt:variant>
      <vt:variant>
        <vt:lpwstr>_Toc378264178</vt:lpwstr>
      </vt:variant>
      <vt:variant>
        <vt:i4>1114172</vt:i4>
      </vt:variant>
      <vt:variant>
        <vt:i4>134</vt:i4>
      </vt:variant>
      <vt:variant>
        <vt:i4>0</vt:i4>
      </vt:variant>
      <vt:variant>
        <vt:i4>5</vt:i4>
      </vt:variant>
      <vt:variant>
        <vt:lpwstr/>
      </vt:variant>
      <vt:variant>
        <vt:lpwstr>_Toc378264177</vt:lpwstr>
      </vt:variant>
      <vt:variant>
        <vt:i4>1114172</vt:i4>
      </vt:variant>
      <vt:variant>
        <vt:i4>128</vt:i4>
      </vt:variant>
      <vt:variant>
        <vt:i4>0</vt:i4>
      </vt:variant>
      <vt:variant>
        <vt:i4>5</vt:i4>
      </vt:variant>
      <vt:variant>
        <vt:lpwstr/>
      </vt:variant>
      <vt:variant>
        <vt:lpwstr>_Toc378264176</vt:lpwstr>
      </vt:variant>
      <vt:variant>
        <vt:i4>1114172</vt:i4>
      </vt:variant>
      <vt:variant>
        <vt:i4>122</vt:i4>
      </vt:variant>
      <vt:variant>
        <vt:i4>0</vt:i4>
      </vt:variant>
      <vt:variant>
        <vt:i4>5</vt:i4>
      </vt:variant>
      <vt:variant>
        <vt:lpwstr/>
      </vt:variant>
      <vt:variant>
        <vt:lpwstr>_Toc378264175</vt:lpwstr>
      </vt:variant>
      <vt:variant>
        <vt:i4>1114172</vt:i4>
      </vt:variant>
      <vt:variant>
        <vt:i4>116</vt:i4>
      </vt:variant>
      <vt:variant>
        <vt:i4>0</vt:i4>
      </vt:variant>
      <vt:variant>
        <vt:i4>5</vt:i4>
      </vt:variant>
      <vt:variant>
        <vt:lpwstr/>
      </vt:variant>
      <vt:variant>
        <vt:lpwstr>_Toc378264174</vt:lpwstr>
      </vt:variant>
      <vt:variant>
        <vt:i4>1114172</vt:i4>
      </vt:variant>
      <vt:variant>
        <vt:i4>110</vt:i4>
      </vt:variant>
      <vt:variant>
        <vt:i4>0</vt:i4>
      </vt:variant>
      <vt:variant>
        <vt:i4>5</vt:i4>
      </vt:variant>
      <vt:variant>
        <vt:lpwstr/>
      </vt:variant>
      <vt:variant>
        <vt:lpwstr>_Toc378264173</vt:lpwstr>
      </vt:variant>
      <vt:variant>
        <vt:i4>1114172</vt:i4>
      </vt:variant>
      <vt:variant>
        <vt:i4>104</vt:i4>
      </vt:variant>
      <vt:variant>
        <vt:i4>0</vt:i4>
      </vt:variant>
      <vt:variant>
        <vt:i4>5</vt:i4>
      </vt:variant>
      <vt:variant>
        <vt:lpwstr/>
      </vt:variant>
      <vt:variant>
        <vt:lpwstr>_Toc378264172</vt:lpwstr>
      </vt:variant>
      <vt:variant>
        <vt:i4>1114172</vt:i4>
      </vt:variant>
      <vt:variant>
        <vt:i4>98</vt:i4>
      </vt:variant>
      <vt:variant>
        <vt:i4>0</vt:i4>
      </vt:variant>
      <vt:variant>
        <vt:i4>5</vt:i4>
      </vt:variant>
      <vt:variant>
        <vt:lpwstr/>
      </vt:variant>
      <vt:variant>
        <vt:lpwstr>_Toc378264171</vt:lpwstr>
      </vt:variant>
      <vt:variant>
        <vt:i4>1114172</vt:i4>
      </vt:variant>
      <vt:variant>
        <vt:i4>92</vt:i4>
      </vt:variant>
      <vt:variant>
        <vt:i4>0</vt:i4>
      </vt:variant>
      <vt:variant>
        <vt:i4>5</vt:i4>
      </vt:variant>
      <vt:variant>
        <vt:lpwstr/>
      </vt:variant>
      <vt:variant>
        <vt:lpwstr>_Toc378264170</vt:lpwstr>
      </vt:variant>
      <vt:variant>
        <vt:i4>1048636</vt:i4>
      </vt:variant>
      <vt:variant>
        <vt:i4>86</vt:i4>
      </vt:variant>
      <vt:variant>
        <vt:i4>0</vt:i4>
      </vt:variant>
      <vt:variant>
        <vt:i4>5</vt:i4>
      </vt:variant>
      <vt:variant>
        <vt:lpwstr/>
      </vt:variant>
      <vt:variant>
        <vt:lpwstr>_Toc378264169</vt:lpwstr>
      </vt:variant>
      <vt:variant>
        <vt:i4>1048636</vt:i4>
      </vt:variant>
      <vt:variant>
        <vt:i4>80</vt:i4>
      </vt:variant>
      <vt:variant>
        <vt:i4>0</vt:i4>
      </vt:variant>
      <vt:variant>
        <vt:i4>5</vt:i4>
      </vt:variant>
      <vt:variant>
        <vt:lpwstr/>
      </vt:variant>
      <vt:variant>
        <vt:lpwstr>_Toc378264168</vt:lpwstr>
      </vt:variant>
      <vt:variant>
        <vt:i4>1048636</vt:i4>
      </vt:variant>
      <vt:variant>
        <vt:i4>74</vt:i4>
      </vt:variant>
      <vt:variant>
        <vt:i4>0</vt:i4>
      </vt:variant>
      <vt:variant>
        <vt:i4>5</vt:i4>
      </vt:variant>
      <vt:variant>
        <vt:lpwstr/>
      </vt:variant>
      <vt:variant>
        <vt:lpwstr>_Toc378264167</vt:lpwstr>
      </vt:variant>
      <vt:variant>
        <vt:i4>1048636</vt:i4>
      </vt:variant>
      <vt:variant>
        <vt:i4>68</vt:i4>
      </vt:variant>
      <vt:variant>
        <vt:i4>0</vt:i4>
      </vt:variant>
      <vt:variant>
        <vt:i4>5</vt:i4>
      </vt:variant>
      <vt:variant>
        <vt:lpwstr/>
      </vt:variant>
      <vt:variant>
        <vt:lpwstr>_Toc378264166</vt:lpwstr>
      </vt:variant>
      <vt:variant>
        <vt:i4>1048636</vt:i4>
      </vt:variant>
      <vt:variant>
        <vt:i4>62</vt:i4>
      </vt:variant>
      <vt:variant>
        <vt:i4>0</vt:i4>
      </vt:variant>
      <vt:variant>
        <vt:i4>5</vt:i4>
      </vt:variant>
      <vt:variant>
        <vt:lpwstr/>
      </vt:variant>
      <vt:variant>
        <vt:lpwstr>_Toc378264165</vt:lpwstr>
      </vt:variant>
      <vt:variant>
        <vt:i4>1048636</vt:i4>
      </vt:variant>
      <vt:variant>
        <vt:i4>56</vt:i4>
      </vt:variant>
      <vt:variant>
        <vt:i4>0</vt:i4>
      </vt:variant>
      <vt:variant>
        <vt:i4>5</vt:i4>
      </vt:variant>
      <vt:variant>
        <vt:lpwstr/>
      </vt:variant>
      <vt:variant>
        <vt:lpwstr>_Toc378264164</vt:lpwstr>
      </vt:variant>
      <vt:variant>
        <vt:i4>1048636</vt:i4>
      </vt:variant>
      <vt:variant>
        <vt:i4>50</vt:i4>
      </vt:variant>
      <vt:variant>
        <vt:i4>0</vt:i4>
      </vt:variant>
      <vt:variant>
        <vt:i4>5</vt:i4>
      </vt:variant>
      <vt:variant>
        <vt:lpwstr/>
      </vt:variant>
      <vt:variant>
        <vt:lpwstr>_Toc378264163</vt:lpwstr>
      </vt:variant>
      <vt:variant>
        <vt:i4>1048636</vt:i4>
      </vt:variant>
      <vt:variant>
        <vt:i4>44</vt:i4>
      </vt:variant>
      <vt:variant>
        <vt:i4>0</vt:i4>
      </vt:variant>
      <vt:variant>
        <vt:i4>5</vt:i4>
      </vt:variant>
      <vt:variant>
        <vt:lpwstr/>
      </vt:variant>
      <vt:variant>
        <vt:lpwstr>_Toc378264162</vt:lpwstr>
      </vt:variant>
      <vt:variant>
        <vt:i4>1048636</vt:i4>
      </vt:variant>
      <vt:variant>
        <vt:i4>38</vt:i4>
      </vt:variant>
      <vt:variant>
        <vt:i4>0</vt:i4>
      </vt:variant>
      <vt:variant>
        <vt:i4>5</vt:i4>
      </vt:variant>
      <vt:variant>
        <vt:lpwstr/>
      </vt:variant>
      <vt:variant>
        <vt:lpwstr>_Toc378264161</vt:lpwstr>
      </vt:variant>
      <vt:variant>
        <vt:i4>1048636</vt:i4>
      </vt:variant>
      <vt:variant>
        <vt:i4>32</vt:i4>
      </vt:variant>
      <vt:variant>
        <vt:i4>0</vt:i4>
      </vt:variant>
      <vt:variant>
        <vt:i4>5</vt:i4>
      </vt:variant>
      <vt:variant>
        <vt:lpwstr/>
      </vt:variant>
      <vt:variant>
        <vt:lpwstr>_Toc378264160</vt:lpwstr>
      </vt:variant>
      <vt:variant>
        <vt:i4>1245244</vt:i4>
      </vt:variant>
      <vt:variant>
        <vt:i4>26</vt:i4>
      </vt:variant>
      <vt:variant>
        <vt:i4>0</vt:i4>
      </vt:variant>
      <vt:variant>
        <vt:i4>5</vt:i4>
      </vt:variant>
      <vt:variant>
        <vt:lpwstr/>
      </vt:variant>
      <vt:variant>
        <vt:lpwstr>_Toc378264159</vt:lpwstr>
      </vt:variant>
      <vt:variant>
        <vt:i4>1245244</vt:i4>
      </vt:variant>
      <vt:variant>
        <vt:i4>20</vt:i4>
      </vt:variant>
      <vt:variant>
        <vt:i4>0</vt:i4>
      </vt:variant>
      <vt:variant>
        <vt:i4>5</vt:i4>
      </vt:variant>
      <vt:variant>
        <vt:lpwstr/>
      </vt:variant>
      <vt:variant>
        <vt:lpwstr>_Toc378264158</vt:lpwstr>
      </vt:variant>
      <vt:variant>
        <vt:i4>1245244</vt:i4>
      </vt:variant>
      <vt:variant>
        <vt:i4>14</vt:i4>
      </vt:variant>
      <vt:variant>
        <vt:i4>0</vt:i4>
      </vt:variant>
      <vt:variant>
        <vt:i4>5</vt:i4>
      </vt:variant>
      <vt:variant>
        <vt:lpwstr/>
      </vt:variant>
      <vt:variant>
        <vt:lpwstr>_Toc378264157</vt:lpwstr>
      </vt:variant>
      <vt:variant>
        <vt:i4>1245244</vt:i4>
      </vt:variant>
      <vt:variant>
        <vt:i4>8</vt:i4>
      </vt:variant>
      <vt:variant>
        <vt:i4>0</vt:i4>
      </vt:variant>
      <vt:variant>
        <vt:i4>5</vt:i4>
      </vt:variant>
      <vt:variant>
        <vt:lpwstr/>
      </vt:variant>
      <vt:variant>
        <vt:lpwstr>_Toc378264156</vt:lpwstr>
      </vt:variant>
      <vt:variant>
        <vt:i4>1245244</vt:i4>
      </vt:variant>
      <vt:variant>
        <vt:i4>2</vt:i4>
      </vt:variant>
      <vt:variant>
        <vt:i4>0</vt:i4>
      </vt:variant>
      <vt:variant>
        <vt:i4>5</vt:i4>
      </vt:variant>
      <vt:variant>
        <vt:lpwstr/>
      </vt:variant>
      <vt:variant>
        <vt:lpwstr>_Toc378264155</vt:lpwstr>
      </vt:variant>
      <vt:variant>
        <vt:i4>5767181</vt:i4>
      </vt:variant>
      <vt:variant>
        <vt:i4>0</vt:i4>
      </vt:variant>
      <vt:variant>
        <vt:i4>0</vt:i4>
      </vt:variant>
      <vt:variant>
        <vt:i4>5</vt:i4>
      </vt:variant>
      <vt:variant>
        <vt:lpwstr>http://www.who.int/healthinfo/systems/sara_indicators_questionnaire/en/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Systems Funding Platform</dc:title>
  <dc:creator>den30068</dc:creator>
  <cp:lastModifiedBy>Eve</cp:lastModifiedBy>
  <cp:revision>10</cp:revision>
  <cp:lastPrinted>2013-04-11T20:13:00Z</cp:lastPrinted>
  <dcterms:created xsi:type="dcterms:W3CDTF">2014-02-26T03:23:00Z</dcterms:created>
  <dcterms:modified xsi:type="dcterms:W3CDTF">2014-03-03T06:36:00Z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