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13AF2" w14:textId="77777777" w:rsidR="00867FFD" w:rsidRPr="004B5884" w:rsidRDefault="00F208AD" w:rsidP="00226DF1">
      <w:pPr>
        <w:widowControl w:val="0"/>
        <w:spacing w:before="120" w:after="120"/>
        <w:jc w:val="both"/>
        <w:rPr>
          <w:rFonts w:ascii="Times New Roman" w:eastAsia="Calibri" w:hAnsi="Times New Roman"/>
          <w:sz w:val="24"/>
          <w:szCs w:val="24"/>
        </w:rPr>
      </w:pPr>
      <w:r>
        <w:rPr>
          <w:rFonts w:ascii="Times New Roman" w:hAnsi="Times New Roman"/>
          <w:noProof/>
          <w:sz w:val="24"/>
          <w:szCs w:val="24"/>
          <w:lang w:bidi="ar-SA"/>
        </w:rPr>
        <w:drawing>
          <wp:anchor distT="0" distB="0" distL="114300" distR="114300" simplePos="0" relativeHeight="251679744" behindDoc="1" locked="0" layoutInCell="1" allowOverlap="1" wp14:anchorId="605E2764" wp14:editId="171A0105">
            <wp:simplePos x="0" y="0"/>
            <wp:positionH relativeFrom="column">
              <wp:posOffset>-170815</wp:posOffset>
            </wp:positionH>
            <wp:positionV relativeFrom="paragraph">
              <wp:posOffset>-320675</wp:posOffset>
            </wp:positionV>
            <wp:extent cx="2002155" cy="854710"/>
            <wp:effectExtent l="0" t="0" r="0" b="2540"/>
            <wp:wrapNone/>
            <wp:docPr id="6" name="Picture 11" descr="GAV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VI Whi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2155" cy="854710"/>
                    </a:xfrm>
                    <a:prstGeom prst="rect">
                      <a:avLst/>
                    </a:prstGeom>
                    <a:noFill/>
                  </pic:spPr>
                </pic:pic>
              </a:graphicData>
            </a:graphic>
          </wp:anchor>
        </w:drawing>
      </w:r>
      <w:r>
        <w:rPr>
          <w:rFonts w:ascii="Times New Roman" w:hAnsi="Times New Roman"/>
          <w:noProof/>
          <w:sz w:val="24"/>
          <w:szCs w:val="24"/>
          <w:lang w:bidi="ar-SA"/>
        </w:rPr>
        <mc:AlternateContent>
          <mc:Choice Requires="wps">
            <w:drawing>
              <wp:anchor distT="0" distB="0" distL="114300" distR="114300" simplePos="0" relativeHeight="251675648" behindDoc="1" locked="0" layoutInCell="1" allowOverlap="1" wp14:anchorId="05A462DC" wp14:editId="0E71390A">
                <wp:simplePos x="0" y="0"/>
                <wp:positionH relativeFrom="column">
                  <wp:posOffset>-624840</wp:posOffset>
                </wp:positionH>
                <wp:positionV relativeFrom="paragraph">
                  <wp:posOffset>-808990</wp:posOffset>
                </wp:positionV>
                <wp:extent cx="7642860" cy="2372360"/>
                <wp:effectExtent l="0" t="0" r="0" b="889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860" cy="2372360"/>
                        </a:xfrm>
                        <a:prstGeom prst="rect">
                          <a:avLst/>
                        </a:prstGeom>
                        <a:solidFill>
                          <a:srgbClr val="006460">
                            <a:alpha val="49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o="urn:schemas-microsoft-com:office:office" xmlns:v="urn:schemas-microsoft-com:vml" id="Rectangle 2" o:spid="_x0000_s1026" style="position:absolute;margin-left:-49.2pt;margin-top:-63.7pt;width:601.8pt;height:18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" fillcolor="#006460" stroked="f">
                <v:fill opacity="32125f"/>
              </v:rect>
            </w:pict>
          </mc:Fallback>
        </mc:AlternateContent>
      </w:r>
      <w:r>
        <w:tab/>
      </w:r>
      <w:r>
        <w:tab/>
      </w:r>
      <w:r>
        <w:tab/>
      </w:r>
      <w:r>
        <w:tab/>
      </w:r>
    </w:p>
    <w:p w14:paraId="546F13A7" w14:textId="77777777" w:rsidR="00867FFD" w:rsidRPr="004B5884" w:rsidRDefault="00E32BC9" w:rsidP="00226DF1">
      <w:pPr>
        <w:widowControl w:val="0"/>
        <w:spacing w:before="120" w:after="120"/>
        <w:jc w:val="both"/>
        <w:rPr>
          <w:rFonts w:ascii="Times New Roman" w:eastAsia="Calibri"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76672" behindDoc="0" locked="0" layoutInCell="1" allowOverlap="1" wp14:anchorId="2B18C700" wp14:editId="709710AE">
                <wp:simplePos x="0" y="0"/>
                <wp:positionH relativeFrom="column">
                  <wp:posOffset>-516255</wp:posOffset>
                </wp:positionH>
                <wp:positionV relativeFrom="paragraph">
                  <wp:posOffset>55880</wp:posOffset>
                </wp:positionV>
                <wp:extent cx="7510780" cy="797560"/>
                <wp:effectExtent l="0" t="0" r="0" b="254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078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FE46D" w14:textId="77777777" w:rsidR="00BA23D4" w:rsidRPr="00D70B2A" w:rsidRDefault="00BA23D4" w:rsidP="00867FFD">
                            <w:pPr>
                              <w:jc w:val="center"/>
                              <w:rPr>
                                <w:rFonts w:cs="Arial"/>
                                <w:color w:val="173E49"/>
                                <w:sz w:val="36"/>
                                <w:szCs w:val="34"/>
                              </w:rPr>
                            </w:pPr>
                          </w:p>
                          <w:p w14:paraId="56CAD894" w14:textId="77777777" w:rsidR="00BA23D4" w:rsidRPr="002859EA" w:rsidRDefault="00BA23D4" w:rsidP="00867FFD">
                            <w:pPr>
                              <w:jc w:val="center"/>
                              <w:rPr>
                                <w:rFonts w:cs="Arial"/>
                                <w:b/>
                                <w:color w:val="173E49"/>
                                <w:sz w:val="36"/>
                                <w:szCs w:val="34"/>
                              </w:rPr>
                            </w:pPr>
                            <w:r>
                              <w:rPr>
                                <w:b/>
                                <w:color w:val="173E49"/>
                                <w:sz w:val="36"/>
                              </w:rPr>
                              <w:t>Health System Strengthening (HSS) Cash Support Application Package</w:t>
                            </w:r>
                          </w:p>
                          <w:p w14:paraId="3EE37B56" w14:textId="77777777" w:rsidR="00BA23D4" w:rsidRPr="002859EA" w:rsidRDefault="00BA23D4" w:rsidP="00867FFD">
                            <w:pPr>
                              <w:rPr>
                                <w:rFonts w:cs="Arial"/>
                                <w:b/>
                                <w:color w:val="215868"/>
                                <w:sz w:val="36"/>
                                <w:szCs w:val="34"/>
                              </w:rPr>
                            </w:pPr>
                          </w:p>
                          <w:p w14:paraId="37FF61D1" w14:textId="77777777" w:rsidR="00BA23D4" w:rsidRPr="00867FFD" w:rsidRDefault="00BA23D4" w:rsidP="00867FFD">
                            <w:pPr>
                              <w:rPr>
                                <w:rFonts w:cs="Arial"/>
                                <w:color w:val="215868"/>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40.6pt;margin-top:4.4pt;width:591.4pt;height:6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" filled="f" stroked="f">
                <v:textbox>
                  <w:txbxContent>
                    <w:p w14:paraId="015FE46D" w14:textId="77777777" w:rsidR="00BA23D4" w:rsidRPr="00D70B2A" w:rsidRDefault="00BA23D4" w:rsidP="00867FFD">
                      <w:pPr>
                        <w:jc w:val="center"/>
                        <w:rPr>
                          <w:rFonts w:cs="Arial"/>
                          <w:color w:val="173E49"/>
                          <w:sz w:val="36"/>
                          <w:szCs w:val="34"/>
                        </w:rPr>
                      </w:pPr>
                    </w:p>
                    <w:p w14:paraId="56CAD894" w14:textId="77777777" w:rsidR="00BA23D4" w:rsidRPr="002859EA" w:rsidRDefault="00BA23D4" w:rsidP="00867FFD">
                      <w:pPr>
                        <w:jc w:val="center"/>
                        <w:rPr>
                          <w:rFonts w:cs="Arial"/>
                          <w:b/>
                          <w:color w:val="173E49"/>
                          <w:sz w:val="36"/>
                          <w:szCs w:val="34"/>
                        </w:rPr>
                      </w:pPr>
                      <w:r>
                        <w:rPr>
                          <w:b/>
                          <w:color w:val="173E49"/>
                          <w:sz w:val="36"/>
                        </w:rPr>
                        <w:t>Health System Strengthening (HSS) Cash Support Application Package</w:t>
                      </w:r>
                    </w:p>
                    <w:p w14:paraId="3EE37B56" w14:textId="77777777" w:rsidR="00BA23D4" w:rsidRPr="002859EA" w:rsidRDefault="00BA23D4" w:rsidP="00867FFD">
                      <w:pPr>
                        <w:rPr>
                          <w:rFonts w:cs="Arial"/>
                          <w:b/>
                          <w:color w:val="215868"/>
                          <w:sz w:val="36"/>
                          <w:szCs w:val="34"/>
                        </w:rPr>
                      </w:pPr>
                    </w:p>
                    <w:p w14:paraId="37FF61D1" w14:textId="77777777" w:rsidR="00BA23D4" w:rsidRPr="00867FFD" w:rsidRDefault="00BA23D4" w:rsidP="00867FFD">
                      <w:pPr>
                        <w:rPr>
                          <w:rFonts w:cs="Arial"/>
                          <w:color w:val="215868"/>
                          <w:sz w:val="32"/>
                        </w:rPr>
                      </w:pPr>
                    </w:p>
                  </w:txbxContent>
                </v:textbox>
              </v:shape>
            </w:pict>
          </mc:Fallback>
        </mc:AlternateContent>
      </w:r>
    </w:p>
    <w:p w14:paraId="4451E148" w14:textId="77777777" w:rsidR="00867FFD" w:rsidRPr="004B5884" w:rsidRDefault="00867FFD" w:rsidP="00226DF1">
      <w:pPr>
        <w:widowControl w:val="0"/>
        <w:spacing w:before="120" w:after="120"/>
        <w:jc w:val="both"/>
        <w:rPr>
          <w:rFonts w:ascii="Times New Roman" w:eastAsia="Calibri" w:hAnsi="Times New Roman"/>
          <w:sz w:val="24"/>
          <w:szCs w:val="24"/>
        </w:rPr>
      </w:pPr>
    </w:p>
    <w:p w14:paraId="143C6B6A" w14:textId="77777777" w:rsidR="00867FFD" w:rsidRPr="004B5884" w:rsidRDefault="00E32BC9" w:rsidP="00226DF1">
      <w:pPr>
        <w:widowControl w:val="0"/>
        <w:spacing w:before="120" w:after="120"/>
        <w:jc w:val="both"/>
        <w:rPr>
          <w:rFonts w:ascii="Times New Roman" w:eastAsia="Calibri"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78720" behindDoc="0" locked="0" layoutInCell="1" allowOverlap="1" wp14:anchorId="6E67E090" wp14:editId="221EF02C">
                <wp:simplePos x="0" y="0"/>
                <wp:positionH relativeFrom="column">
                  <wp:posOffset>-513715</wp:posOffset>
                </wp:positionH>
                <wp:positionV relativeFrom="paragraph">
                  <wp:posOffset>376555</wp:posOffset>
                </wp:positionV>
                <wp:extent cx="7305675" cy="30670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83F57" w14:textId="77777777" w:rsidR="00BA23D4" w:rsidRPr="002859EA" w:rsidRDefault="00BA23D4" w:rsidP="00867FFD">
                            <w:pPr>
                              <w:jc w:val="center"/>
                              <w:rPr>
                                <w:rFonts w:cs="Arial"/>
                                <w:b/>
                                <w:color w:val="FFFFFF"/>
                                <w:sz w:val="32"/>
                                <w:szCs w:val="34"/>
                              </w:rPr>
                            </w:pPr>
                            <w:r>
                              <w:rPr>
                                <w:b/>
                                <w:color w:val="FFFFFF"/>
                                <w:sz w:val="32"/>
                              </w:rPr>
                              <w:t xml:space="preserve">Application Package – Proposal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0.4pt;margin-top:29.65pt;width:575.25pt;height:2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" filled="f" stroked="f">
                <v:textbox>
                  <w:txbxContent>
                    <w:p w14:paraId="69283F57" w14:textId="77777777" w:rsidR="00BA23D4" w:rsidRPr="002859EA" w:rsidRDefault="00BA23D4" w:rsidP="00867FFD">
                      <w:pPr>
                        <w:jc w:val="center"/>
                        <w:rPr>
                          <w:rFonts w:cs="Arial"/>
                          <w:b/>
                          <w:color w:val="FFFFFF"/>
                          <w:sz w:val="32"/>
                          <w:szCs w:val="34"/>
                        </w:rPr>
                      </w:pPr>
                      <w:r>
                        <w:rPr>
                          <w:b/>
                          <w:color w:val="FFFFFF"/>
                          <w:sz w:val="32"/>
                        </w:rPr>
                        <w:t xml:space="preserve">Application Package – Proposal Form </w:t>
                      </w:r>
                    </w:p>
                  </w:txbxContent>
                </v:textbox>
              </v:shape>
            </w:pict>
          </mc:Fallback>
        </mc:AlternateContent>
      </w:r>
    </w:p>
    <w:p w14:paraId="6CF17654" w14:textId="77777777" w:rsidR="00867FFD" w:rsidRPr="004B5884" w:rsidRDefault="00E32BC9" w:rsidP="00226DF1">
      <w:pPr>
        <w:widowControl w:val="0"/>
        <w:spacing w:before="120" w:after="120"/>
        <w:jc w:val="both"/>
        <w:rPr>
          <w:rFonts w:ascii="Times New Roman" w:eastAsia="Calibri"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77696" behindDoc="0" locked="0" layoutInCell="1" allowOverlap="1" wp14:anchorId="17F08534" wp14:editId="0132DEBB">
                <wp:simplePos x="0" y="0"/>
                <wp:positionH relativeFrom="column">
                  <wp:posOffset>-624840</wp:posOffset>
                </wp:positionH>
                <wp:positionV relativeFrom="paragraph">
                  <wp:posOffset>80010</wp:posOffset>
                </wp:positionV>
                <wp:extent cx="7642860" cy="29337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860" cy="293370"/>
                        </a:xfrm>
                        <a:prstGeom prst="rect">
                          <a:avLst/>
                        </a:prstGeom>
                        <a:solidFill>
                          <a:srgbClr val="0064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o="urn:schemas-microsoft-com:office:office" xmlns:v="urn:schemas-microsoft-com:vml" id="Rectangle 6" o:spid="_x0000_s1026" style="position:absolute;margin-left:-49.2pt;margin-top:6.3pt;width:601.8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" fillcolor="#006460" stroked="f"/>
            </w:pict>
          </mc:Fallback>
        </mc:AlternateContent>
      </w:r>
    </w:p>
    <w:p w14:paraId="065576E5" w14:textId="77777777" w:rsidR="00867FFD" w:rsidRPr="004B5884" w:rsidRDefault="00867FFD" w:rsidP="00226DF1">
      <w:pPr>
        <w:widowControl w:val="0"/>
        <w:spacing w:before="120" w:after="120"/>
        <w:jc w:val="both"/>
        <w:rPr>
          <w:rFonts w:ascii="Times New Roman" w:eastAsia="Calibri" w:hAnsi="Times New Roman"/>
          <w:sz w:val="24"/>
          <w:szCs w:val="24"/>
        </w:rPr>
      </w:pPr>
    </w:p>
    <w:p w14:paraId="17BEE4C5" w14:textId="77777777" w:rsidR="00867FFD" w:rsidRPr="004B5884" w:rsidRDefault="00867FFD" w:rsidP="00226DF1">
      <w:pPr>
        <w:widowControl w:val="0"/>
        <w:spacing w:before="120" w:after="120"/>
        <w:jc w:val="both"/>
        <w:rPr>
          <w:rFonts w:ascii="Times New Roman" w:eastAsia="Calibri" w:hAnsi="Times New Roman"/>
          <w:sz w:val="24"/>
          <w:szCs w:val="24"/>
        </w:rPr>
      </w:pPr>
      <w:bookmarkStart w:id="0" w:name="_Toc278640069"/>
      <w:r>
        <w:rPr>
          <w:rFonts w:ascii="Times New Roman" w:hAnsi="Times New Roman"/>
          <w:sz w:val="24"/>
        </w:rPr>
        <w:t>COUNTRY NAME: __MALI__APPLICATION DATE:: __15 SEPTEMBER 2014__________</w:t>
      </w:r>
    </w:p>
    <w:p w14:paraId="115B082D" w14:textId="77777777"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This proposal form is for use by applicants seeking to request Health System Strengthening (HSS) cash support from the GAVI Alliance. Countries are encouraged to participate in an iterative process with GAVI Alliance partners, including civil society organisations (CSOs), in the development of HSS proposals prior to submission of this application for funding.</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4"/>
      </w:tblGrid>
      <w:tr w:rsidR="00867FFD" w:rsidRPr="009316FF" w14:paraId="2147069F" w14:textId="77777777" w:rsidTr="005D447F">
        <w:trPr>
          <w:trHeight w:val="437"/>
        </w:trPr>
        <w:tc>
          <w:tcPr>
            <w:tcW w:w="5000" w:type="pct"/>
            <w:shd w:val="clear" w:color="auto" w:fill="006460"/>
            <w:vAlign w:val="center"/>
          </w:tcPr>
          <w:p w14:paraId="6C555912" w14:textId="77777777" w:rsidR="00867FFD" w:rsidRPr="004B5884" w:rsidRDefault="00867FFD" w:rsidP="00226DF1">
            <w:pPr>
              <w:pStyle w:val="Heading1"/>
              <w:spacing w:before="120" w:after="120"/>
              <w:jc w:val="both"/>
              <w:rPr>
                <w:rFonts w:ascii="Times New Roman" w:hAnsi="Times New Roman"/>
                <w:szCs w:val="24"/>
              </w:rPr>
            </w:pPr>
            <w:bookmarkStart w:id="1" w:name="_Toc372016090"/>
            <w:bookmarkStart w:id="2" w:name="_Toc380147506"/>
            <w:bookmarkStart w:id="3" w:name="_Toc398181077"/>
            <w:bookmarkStart w:id="4" w:name="_Toc276342206"/>
            <w:r>
              <w:rPr>
                <w:rFonts w:ascii="Times New Roman" w:hAnsi="Times New Roman"/>
              </w:rPr>
              <w:t xml:space="preserve">TABLE OF </w:t>
            </w:r>
            <w:bookmarkEnd w:id="1"/>
            <w:bookmarkEnd w:id="2"/>
            <w:r>
              <w:rPr>
                <w:rFonts w:ascii="Times New Roman" w:hAnsi="Times New Roman"/>
              </w:rPr>
              <w:t>CONTENTS</w:t>
            </w:r>
            <w:bookmarkEnd w:id="3"/>
            <w:bookmarkEnd w:id="4"/>
          </w:p>
        </w:tc>
      </w:tr>
    </w:tbl>
    <w:bookmarkEnd w:id="0"/>
    <w:p w14:paraId="284C1F0D"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Pr>
          <w:rFonts w:ascii="Times New Roman" w:eastAsia="Calibri" w:hAnsi="Times New Roman"/>
          <w:sz w:val="24"/>
          <w:szCs w:val="24"/>
        </w:rPr>
        <w:fldChar w:fldCharType="begin"/>
      </w:r>
      <w:r>
        <w:rPr>
          <w:rFonts w:ascii="Times New Roman" w:eastAsia="Calibri" w:hAnsi="Times New Roman"/>
          <w:sz w:val="24"/>
          <w:szCs w:val="24"/>
        </w:rPr>
        <w:instrText xml:space="preserve"> TOC \o "1-3" </w:instrText>
      </w:r>
      <w:r>
        <w:rPr>
          <w:rFonts w:ascii="Times New Roman" w:eastAsia="Calibri" w:hAnsi="Times New Roman"/>
          <w:sz w:val="24"/>
          <w:szCs w:val="24"/>
        </w:rPr>
        <w:fldChar w:fldCharType="separate"/>
      </w:r>
      <w:r w:rsidRPr="00213CD9">
        <w:rPr>
          <w:rFonts w:ascii="Times New Roman" w:hAnsi="Times New Roman"/>
          <w:noProof/>
        </w:rPr>
        <w:t>TABLE OF CONTENTS</w:t>
      </w:r>
      <w:r>
        <w:rPr>
          <w:noProof/>
        </w:rPr>
        <w:tab/>
      </w:r>
      <w:r>
        <w:rPr>
          <w:noProof/>
        </w:rPr>
        <w:fldChar w:fldCharType="begin"/>
      </w:r>
      <w:r>
        <w:rPr>
          <w:noProof/>
        </w:rPr>
        <w:instrText xml:space="preserve"> PAGEREF _Toc276342206 \h </w:instrText>
      </w:r>
      <w:r>
        <w:rPr>
          <w:noProof/>
        </w:rPr>
      </w:r>
      <w:r>
        <w:rPr>
          <w:noProof/>
        </w:rPr>
        <w:fldChar w:fldCharType="separate"/>
      </w:r>
      <w:r>
        <w:rPr>
          <w:noProof/>
        </w:rPr>
        <w:t>1</w:t>
      </w:r>
      <w:r>
        <w:rPr>
          <w:noProof/>
        </w:rPr>
        <w:fldChar w:fldCharType="end"/>
      </w:r>
    </w:p>
    <w:p w14:paraId="0B4FEB00"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GAVI’s Key Elements for Health System Strengthening Grants</w:t>
      </w:r>
      <w:r>
        <w:rPr>
          <w:noProof/>
        </w:rPr>
        <w:tab/>
      </w:r>
      <w:r>
        <w:rPr>
          <w:noProof/>
        </w:rPr>
        <w:fldChar w:fldCharType="begin"/>
      </w:r>
      <w:r>
        <w:rPr>
          <w:noProof/>
        </w:rPr>
        <w:instrText xml:space="preserve"> PAGEREF _Toc276342207 \h </w:instrText>
      </w:r>
      <w:r>
        <w:rPr>
          <w:noProof/>
        </w:rPr>
      </w:r>
      <w:r>
        <w:rPr>
          <w:noProof/>
        </w:rPr>
        <w:fldChar w:fldCharType="separate"/>
      </w:r>
      <w:r>
        <w:rPr>
          <w:noProof/>
        </w:rPr>
        <w:t>4</w:t>
      </w:r>
      <w:r>
        <w:rPr>
          <w:noProof/>
        </w:rPr>
        <w:fldChar w:fldCharType="end"/>
      </w:r>
    </w:p>
    <w:p w14:paraId="13F71819"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PART A - SUMMARY OF SUPPORT REQUESTED AND APPLICANT INFORMATION</w:t>
      </w:r>
      <w:r>
        <w:rPr>
          <w:noProof/>
        </w:rPr>
        <w:tab/>
      </w:r>
      <w:r>
        <w:rPr>
          <w:noProof/>
        </w:rPr>
        <w:fldChar w:fldCharType="begin"/>
      </w:r>
      <w:r>
        <w:rPr>
          <w:noProof/>
        </w:rPr>
        <w:instrText xml:space="preserve"> PAGEREF _Toc276342208 \h </w:instrText>
      </w:r>
      <w:r>
        <w:rPr>
          <w:noProof/>
        </w:rPr>
      </w:r>
      <w:r>
        <w:rPr>
          <w:noProof/>
        </w:rPr>
        <w:fldChar w:fldCharType="separate"/>
      </w:r>
      <w:r>
        <w:rPr>
          <w:noProof/>
        </w:rPr>
        <w:t>5</w:t>
      </w:r>
      <w:r>
        <w:rPr>
          <w:noProof/>
        </w:rPr>
        <w:fldChar w:fldCharType="end"/>
      </w:r>
    </w:p>
    <w:p w14:paraId="09643A4C"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Summary of a completed support application</w:t>
      </w:r>
      <w:r>
        <w:rPr>
          <w:noProof/>
        </w:rPr>
        <w:tab/>
      </w:r>
      <w:r>
        <w:rPr>
          <w:noProof/>
        </w:rPr>
        <w:fldChar w:fldCharType="begin"/>
      </w:r>
      <w:r>
        <w:rPr>
          <w:noProof/>
        </w:rPr>
        <w:instrText xml:space="preserve"> PAGEREF _Toc276342209 \h </w:instrText>
      </w:r>
      <w:r>
        <w:rPr>
          <w:noProof/>
        </w:rPr>
      </w:r>
      <w:r>
        <w:rPr>
          <w:noProof/>
        </w:rPr>
        <w:fldChar w:fldCharType="separate"/>
      </w:r>
      <w:r>
        <w:rPr>
          <w:noProof/>
        </w:rPr>
        <w:t>5</w:t>
      </w:r>
      <w:r>
        <w:rPr>
          <w:noProof/>
        </w:rPr>
        <w:fldChar w:fldCharType="end"/>
      </w:r>
    </w:p>
    <w:p w14:paraId="651D2676"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 Applicant Information</w:t>
      </w:r>
      <w:r>
        <w:rPr>
          <w:noProof/>
        </w:rPr>
        <w:tab/>
      </w:r>
      <w:r>
        <w:rPr>
          <w:noProof/>
        </w:rPr>
        <w:fldChar w:fldCharType="begin"/>
      </w:r>
      <w:r>
        <w:rPr>
          <w:noProof/>
        </w:rPr>
        <w:instrText xml:space="preserve"> PAGEREF _Toc276342210 \h </w:instrText>
      </w:r>
      <w:r>
        <w:rPr>
          <w:noProof/>
        </w:rPr>
      </w:r>
      <w:r>
        <w:rPr>
          <w:noProof/>
        </w:rPr>
        <w:fldChar w:fldCharType="separate"/>
      </w:r>
      <w:r>
        <w:rPr>
          <w:noProof/>
        </w:rPr>
        <w:t>9</w:t>
      </w:r>
      <w:r>
        <w:rPr>
          <w:noProof/>
        </w:rPr>
        <w:fldChar w:fldCharType="end"/>
      </w:r>
    </w:p>
    <w:p w14:paraId="2A596731"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2. Detailed Budget and Workplan</w:t>
      </w:r>
      <w:r>
        <w:rPr>
          <w:noProof/>
        </w:rPr>
        <w:tab/>
      </w:r>
      <w:r>
        <w:rPr>
          <w:noProof/>
        </w:rPr>
        <w:fldChar w:fldCharType="begin"/>
      </w:r>
      <w:r>
        <w:rPr>
          <w:noProof/>
        </w:rPr>
        <w:instrText xml:space="preserve"> PAGEREF _Toc276342211 \h </w:instrText>
      </w:r>
      <w:r>
        <w:rPr>
          <w:noProof/>
        </w:rPr>
      </w:r>
      <w:r>
        <w:rPr>
          <w:noProof/>
        </w:rPr>
        <w:fldChar w:fldCharType="separate"/>
      </w:r>
      <w:r>
        <w:rPr>
          <w:noProof/>
        </w:rPr>
        <w:t>9</w:t>
      </w:r>
      <w:r>
        <w:rPr>
          <w:noProof/>
        </w:rPr>
        <w:fldChar w:fldCharType="end"/>
      </w:r>
    </w:p>
    <w:p w14:paraId="42D892F9"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PART B – EXECUTIVE SUMMARY</w:t>
      </w:r>
      <w:r>
        <w:rPr>
          <w:noProof/>
        </w:rPr>
        <w:tab/>
      </w:r>
      <w:r>
        <w:rPr>
          <w:noProof/>
        </w:rPr>
        <w:fldChar w:fldCharType="begin"/>
      </w:r>
      <w:r>
        <w:rPr>
          <w:noProof/>
        </w:rPr>
        <w:instrText xml:space="preserve"> PAGEREF _Toc276342212 \h </w:instrText>
      </w:r>
      <w:r>
        <w:rPr>
          <w:noProof/>
        </w:rPr>
      </w:r>
      <w:r>
        <w:rPr>
          <w:noProof/>
        </w:rPr>
        <w:fldChar w:fldCharType="separate"/>
      </w:r>
      <w:r>
        <w:rPr>
          <w:noProof/>
        </w:rPr>
        <w:t>15</w:t>
      </w:r>
      <w:r>
        <w:rPr>
          <w:noProof/>
        </w:rPr>
        <w:fldChar w:fldCharType="end"/>
      </w:r>
    </w:p>
    <w:p w14:paraId="098B41F0"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3. Executive Summary</w:t>
      </w:r>
      <w:r>
        <w:rPr>
          <w:noProof/>
        </w:rPr>
        <w:tab/>
      </w:r>
      <w:r>
        <w:rPr>
          <w:noProof/>
        </w:rPr>
        <w:fldChar w:fldCharType="begin"/>
      </w:r>
      <w:r>
        <w:rPr>
          <w:noProof/>
        </w:rPr>
        <w:instrText xml:space="preserve"> PAGEREF _Toc276342213 \h </w:instrText>
      </w:r>
      <w:r>
        <w:rPr>
          <w:noProof/>
        </w:rPr>
      </w:r>
      <w:r>
        <w:rPr>
          <w:noProof/>
        </w:rPr>
        <w:fldChar w:fldCharType="separate"/>
      </w:r>
      <w:r>
        <w:rPr>
          <w:noProof/>
        </w:rPr>
        <w:t>15</w:t>
      </w:r>
      <w:r>
        <w:rPr>
          <w:noProof/>
        </w:rPr>
        <w:fldChar w:fldCharType="end"/>
      </w:r>
    </w:p>
    <w:p w14:paraId="3E6D41BF"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4. Acronyms</w:t>
      </w:r>
      <w:r>
        <w:rPr>
          <w:noProof/>
        </w:rPr>
        <w:tab/>
      </w:r>
      <w:r>
        <w:rPr>
          <w:noProof/>
        </w:rPr>
        <w:fldChar w:fldCharType="begin"/>
      </w:r>
      <w:r>
        <w:rPr>
          <w:noProof/>
        </w:rPr>
        <w:instrText xml:space="preserve"> PAGEREF _Toc276342214 \h </w:instrText>
      </w:r>
      <w:r>
        <w:rPr>
          <w:noProof/>
        </w:rPr>
      </w:r>
      <w:r>
        <w:rPr>
          <w:noProof/>
        </w:rPr>
        <w:fldChar w:fldCharType="separate"/>
      </w:r>
      <w:r>
        <w:rPr>
          <w:noProof/>
        </w:rPr>
        <w:t>17</w:t>
      </w:r>
      <w:r>
        <w:rPr>
          <w:noProof/>
        </w:rPr>
        <w:fldChar w:fldCharType="end"/>
      </w:r>
    </w:p>
    <w:p w14:paraId="008000A7"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PART C– SITUATION ANALYSIS</w:t>
      </w:r>
      <w:r>
        <w:rPr>
          <w:noProof/>
        </w:rPr>
        <w:tab/>
      </w:r>
      <w:r>
        <w:rPr>
          <w:noProof/>
        </w:rPr>
        <w:fldChar w:fldCharType="begin"/>
      </w:r>
      <w:r>
        <w:rPr>
          <w:noProof/>
        </w:rPr>
        <w:instrText xml:space="preserve"> PAGEREF _Toc276342215 \h </w:instrText>
      </w:r>
      <w:r>
        <w:rPr>
          <w:noProof/>
        </w:rPr>
      </w:r>
      <w:r>
        <w:rPr>
          <w:noProof/>
        </w:rPr>
        <w:fldChar w:fldCharType="separate"/>
      </w:r>
      <w:r>
        <w:rPr>
          <w:noProof/>
        </w:rPr>
        <w:t>19</w:t>
      </w:r>
      <w:r>
        <w:rPr>
          <w:noProof/>
        </w:rPr>
        <w:fldChar w:fldCharType="end"/>
      </w:r>
    </w:p>
    <w:p w14:paraId="49A5A5FD"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5. Key Relevant Health and Health System Statistics</w:t>
      </w:r>
      <w:r>
        <w:rPr>
          <w:noProof/>
        </w:rPr>
        <w:tab/>
      </w:r>
      <w:r>
        <w:rPr>
          <w:noProof/>
        </w:rPr>
        <w:fldChar w:fldCharType="begin"/>
      </w:r>
      <w:r>
        <w:rPr>
          <w:noProof/>
        </w:rPr>
        <w:instrText xml:space="preserve"> PAGEREF _Toc276342216 \h </w:instrText>
      </w:r>
      <w:r>
        <w:rPr>
          <w:noProof/>
        </w:rPr>
      </w:r>
      <w:r>
        <w:rPr>
          <w:noProof/>
        </w:rPr>
        <w:fldChar w:fldCharType="separate"/>
      </w:r>
      <w:r>
        <w:rPr>
          <w:noProof/>
        </w:rPr>
        <w:t>19</w:t>
      </w:r>
      <w:r>
        <w:rPr>
          <w:noProof/>
        </w:rPr>
        <w:fldChar w:fldCharType="end"/>
      </w:r>
    </w:p>
    <w:p w14:paraId="72DDB1E6"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6. Description of the National Health Sector</w:t>
      </w:r>
      <w:r>
        <w:rPr>
          <w:noProof/>
        </w:rPr>
        <w:tab/>
      </w:r>
      <w:r>
        <w:rPr>
          <w:noProof/>
        </w:rPr>
        <w:fldChar w:fldCharType="begin"/>
      </w:r>
      <w:r>
        <w:rPr>
          <w:noProof/>
        </w:rPr>
        <w:instrText xml:space="preserve"> PAGEREF _Toc276342217 \h </w:instrText>
      </w:r>
      <w:r>
        <w:rPr>
          <w:noProof/>
        </w:rPr>
      </w:r>
      <w:r>
        <w:rPr>
          <w:noProof/>
        </w:rPr>
        <w:fldChar w:fldCharType="separate"/>
      </w:r>
      <w:r>
        <w:rPr>
          <w:noProof/>
        </w:rPr>
        <w:t>24</w:t>
      </w:r>
      <w:r>
        <w:rPr>
          <w:noProof/>
        </w:rPr>
        <w:fldChar w:fldCharType="end"/>
      </w:r>
    </w:p>
    <w:p w14:paraId="3DFECBCD"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7. National Health Strategy and Joint Assessment of National Health Strategy (JANS)</w:t>
      </w:r>
      <w:r>
        <w:rPr>
          <w:noProof/>
        </w:rPr>
        <w:tab/>
      </w:r>
      <w:r>
        <w:rPr>
          <w:noProof/>
        </w:rPr>
        <w:fldChar w:fldCharType="begin"/>
      </w:r>
      <w:r>
        <w:rPr>
          <w:noProof/>
        </w:rPr>
        <w:instrText xml:space="preserve"> PAGEREF _Toc276342218 \h </w:instrText>
      </w:r>
      <w:r>
        <w:rPr>
          <w:noProof/>
        </w:rPr>
      </w:r>
      <w:r>
        <w:rPr>
          <w:noProof/>
        </w:rPr>
        <w:fldChar w:fldCharType="separate"/>
      </w:r>
      <w:r>
        <w:rPr>
          <w:noProof/>
        </w:rPr>
        <w:t>27</w:t>
      </w:r>
      <w:r>
        <w:rPr>
          <w:noProof/>
        </w:rPr>
        <w:fldChar w:fldCharType="end"/>
      </w:r>
    </w:p>
    <w:p w14:paraId="72DD4C10"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8. Monitoring and Evaluation Plan for the National Health Plan</w:t>
      </w:r>
      <w:r>
        <w:rPr>
          <w:noProof/>
        </w:rPr>
        <w:tab/>
      </w:r>
      <w:r>
        <w:rPr>
          <w:noProof/>
        </w:rPr>
        <w:fldChar w:fldCharType="begin"/>
      </w:r>
      <w:r>
        <w:rPr>
          <w:noProof/>
        </w:rPr>
        <w:instrText xml:space="preserve"> PAGEREF _Toc276342219 \h </w:instrText>
      </w:r>
      <w:r>
        <w:rPr>
          <w:noProof/>
        </w:rPr>
      </w:r>
      <w:r>
        <w:rPr>
          <w:noProof/>
        </w:rPr>
        <w:fldChar w:fldCharType="separate"/>
      </w:r>
      <w:r>
        <w:rPr>
          <w:noProof/>
        </w:rPr>
        <w:t>28</w:t>
      </w:r>
      <w:r>
        <w:rPr>
          <w:noProof/>
        </w:rPr>
        <w:fldChar w:fldCharType="end"/>
      </w:r>
    </w:p>
    <w:p w14:paraId="2EBC04CA"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9. Health Systems Bottlenecks to Achieving Immunization Outcomes</w:t>
      </w:r>
      <w:r>
        <w:rPr>
          <w:noProof/>
        </w:rPr>
        <w:tab/>
      </w:r>
      <w:r>
        <w:rPr>
          <w:noProof/>
        </w:rPr>
        <w:fldChar w:fldCharType="begin"/>
      </w:r>
      <w:r>
        <w:rPr>
          <w:noProof/>
        </w:rPr>
        <w:instrText xml:space="preserve"> PAGEREF _Toc276342220 \h </w:instrText>
      </w:r>
      <w:r>
        <w:rPr>
          <w:noProof/>
        </w:rPr>
      </w:r>
      <w:r>
        <w:rPr>
          <w:noProof/>
        </w:rPr>
        <w:fldChar w:fldCharType="separate"/>
      </w:r>
      <w:r>
        <w:rPr>
          <w:noProof/>
        </w:rPr>
        <w:t>30</w:t>
      </w:r>
      <w:r>
        <w:rPr>
          <w:noProof/>
        </w:rPr>
        <w:fldChar w:fldCharType="end"/>
      </w:r>
    </w:p>
    <w:p w14:paraId="7E108056"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10. Lessons Learned and Past Experience</w:t>
      </w:r>
      <w:r>
        <w:rPr>
          <w:noProof/>
        </w:rPr>
        <w:tab/>
      </w:r>
      <w:r>
        <w:rPr>
          <w:noProof/>
        </w:rPr>
        <w:fldChar w:fldCharType="begin"/>
      </w:r>
      <w:r>
        <w:rPr>
          <w:noProof/>
        </w:rPr>
        <w:instrText xml:space="preserve"> PAGEREF _Toc276342221 \h </w:instrText>
      </w:r>
      <w:r>
        <w:rPr>
          <w:noProof/>
        </w:rPr>
      </w:r>
      <w:r>
        <w:rPr>
          <w:noProof/>
        </w:rPr>
        <w:fldChar w:fldCharType="separate"/>
      </w:r>
      <w:r>
        <w:rPr>
          <w:noProof/>
        </w:rPr>
        <w:t>34</w:t>
      </w:r>
      <w:r>
        <w:rPr>
          <w:noProof/>
        </w:rPr>
        <w:fldChar w:fldCharType="end"/>
      </w:r>
    </w:p>
    <w:p w14:paraId="5A1863F8"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PART D - PROPOSAL DETAILS</w:t>
      </w:r>
      <w:r>
        <w:rPr>
          <w:noProof/>
        </w:rPr>
        <w:tab/>
      </w:r>
      <w:r>
        <w:rPr>
          <w:noProof/>
        </w:rPr>
        <w:fldChar w:fldCharType="begin"/>
      </w:r>
      <w:r>
        <w:rPr>
          <w:noProof/>
        </w:rPr>
        <w:instrText xml:space="preserve"> PAGEREF _Toc276342222 \h </w:instrText>
      </w:r>
      <w:r>
        <w:rPr>
          <w:noProof/>
        </w:rPr>
      </w:r>
      <w:r>
        <w:rPr>
          <w:noProof/>
        </w:rPr>
        <w:fldChar w:fldCharType="separate"/>
      </w:r>
      <w:r>
        <w:rPr>
          <w:noProof/>
        </w:rPr>
        <w:t>36</w:t>
      </w:r>
      <w:r>
        <w:rPr>
          <w:noProof/>
        </w:rPr>
        <w:fldChar w:fldCharType="end"/>
      </w:r>
    </w:p>
    <w:p w14:paraId="74BFFD54"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11. Proposal Objectives</w:t>
      </w:r>
      <w:r>
        <w:rPr>
          <w:noProof/>
        </w:rPr>
        <w:tab/>
      </w:r>
      <w:r>
        <w:rPr>
          <w:noProof/>
        </w:rPr>
        <w:fldChar w:fldCharType="begin"/>
      </w:r>
      <w:r>
        <w:rPr>
          <w:noProof/>
        </w:rPr>
        <w:instrText xml:space="preserve"> PAGEREF _Toc276342223 \h </w:instrText>
      </w:r>
      <w:r>
        <w:rPr>
          <w:noProof/>
        </w:rPr>
      </w:r>
      <w:r>
        <w:rPr>
          <w:noProof/>
        </w:rPr>
        <w:fldChar w:fldCharType="separate"/>
      </w:r>
      <w:r>
        <w:rPr>
          <w:noProof/>
        </w:rPr>
        <w:t>36</w:t>
      </w:r>
      <w:r>
        <w:rPr>
          <w:noProof/>
        </w:rPr>
        <w:fldChar w:fldCharType="end"/>
      </w:r>
    </w:p>
    <w:p w14:paraId="0466705D"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12. Description of Activities</w:t>
      </w:r>
      <w:r>
        <w:rPr>
          <w:noProof/>
        </w:rPr>
        <w:tab/>
      </w:r>
      <w:r>
        <w:rPr>
          <w:noProof/>
        </w:rPr>
        <w:fldChar w:fldCharType="begin"/>
      </w:r>
      <w:r>
        <w:rPr>
          <w:noProof/>
        </w:rPr>
        <w:instrText xml:space="preserve"> PAGEREF _Toc276342224 \h </w:instrText>
      </w:r>
      <w:r>
        <w:rPr>
          <w:noProof/>
        </w:rPr>
      </w:r>
      <w:r>
        <w:rPr>
          <w:noProof/>
        </w:rPr>
        <w:fldChar w:fldCharType="separate"/>
      </w:r>
      <w:r>
        <w:rPr>
          <w:noProof/>
        </w:rPr>
        <w:t>38</w:t>
      </w:r>
      <w:r>
        <w:rPr>
          <w:noProof/>
        </w:rPr>
        <w:fldChar w:fldCharType="end"/>
      </w:r>
    </w:p>
    <w:p w14:paraId="68F1422D"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13. Results Chain</w:t>
      </w:r>
      <w:r>
        <w:rPr>
          <w:noProof/>
        </w:rPr>
        <w:tab/>
      </w:r>
      <w:r>
        <w:rPr>
          <w:noProof/>
        </w:rPr>
        <w:fldChar w:fldCharType="begin"/>
      </w:r>
      <w:r>
        <w:rPr>
          <w:noProof/>
        </w:rPr>
        <w:instrText xml:space="preserve"> PAGEREF _Toc276342225 \h </w:instrText>
      </w:r>
      <w:r>
        <w:rPr>
          <w:noProof/>
        </w:rPr>
      </w:r>
      <w:r>
        <w:rPr>
          <w:noProof/>
        </w:rPr>
        <w:fldChar w:fldCharType="separate"/>
      </w:r>
      <w:r>
        <w:rPr>
          <w:noProof/>
        </w:rPr>
        <w:t>43</w:t>
      </w:r>
      <w:r>
        <w:rPr>
          <w:noProof/>
        </w:rPr>
        <w:fldChar w:fldCharType="end"/>
      </w:r>
    </w:p>
    <w:p w14:paraId="0A84A080"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14. Monitoring and Evaluation</w:t>
      </w:r>
      <w:r>
        <w:rPr>
          <w:noProof/>
        </w:rPr>
        <w:tab/>
      </w:r>
      <w:r>
        <w:rPr>
          <w:noProof/>
        </w:rPr>
        <w:fldChar w:fldCharType="begin"/>
      </w:r>
      <w:r>
        <w:rPr>
          <w:noProof/>
        </w:rPr>
        <w:instrText xml:space="preserve"> PAGEREF _Toc276342226 \h </w:instrText>
      </w:r>
      <w:r>
        <w:rPr>
          <w:noProof/>
        </w:rPr>
      </w:r>
      <w:r>
        <w:rPr>
          <w:noProof/>
        </w:rPr>
        <w:fldChar w:fldCharType="separate"/>
      </w:r>
      <w:r>
        <w:rPr>
          <w:noProof/>
        </w:rPr>
        <w:t>50</w:t>
      </w:r>
      <w:r>
        <w:rPr>
          <w:noProof/>
        </w:rPr>
        <w:fldChar w:fldCharType="end"/>
      </w:r>
    </w:p>
    <w:p w14:paraId="1D0E1469"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PART E – BUDGET, GAP ANALYSIS AND WORKPLAN</w:t>
      </w:r>
      <w:r>
        <w:rPr>
          <w:noProof/>
        </w:rPr>
        <w:tab/>
      </w:r>
      <w:r>
        <w:rPr>
          <w:noProof/>
        </w:rPr>
        <w:fldChar w:fldCharType="begin"/>
      </w:r>
      <w:r>
        <w:rPr>
          <w:noProof/>
        </w:rPr>
        <w:instrText xml:space="preserve"> PAGEREF _Toc276342227 \h </w:instrText>
      </w:r>
      <w:r>
        <w:rPr>
          <w:noProof/>
        </w:rPr>
      </w:r>
      <w:r>
        <w:rPr>
          <w:noProof/>
        </w:rPr>
        <w:fldChar w:fldCharType="separate"/>
      </w:r>
      <w:r>
        <w:rPr>
          <w:noProof/>
        </w:rPr>
        <w:t>53</w:t>
      </w:r>
      <w:r>
        <w:rPr>
          <w:noProof/>
        </w:rPr>
        <w:fldChar w:fldCharType="end"/>
      </w:r>
    </w:p>
    <w:p w14:paraId="4031C5AE"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15. Detailed Budget and Workplan Narrative</w:t>
      </w:r>
      <w:r>
        <w:rPr>
          <w:noProof/>
        </w:rPr>
        <w:tab/>
      </w:r>
      <w:r>
        <w:rPr>
          <w:noProof/>
        </w:rPr>
        <w:fldChar w:fldCharType="begin"/>
      </w:r>
      <w:r>
        <w:rPr>
          <w:noProof/>
        </w:rPr>
        <w:instrText xml:space="preserve"> PAGEREF _Toc276342228 \h </w:instrText>
      </w:r>
      <w:r>
        <w:rPr>
          <w:noProof/>
        </w:rPr>
      </w:r>
      <w:r>
        <w:rPr>
          <w:noProof/>
        </w:rPr>
        <w:fldChar w:fldCharType="separate"/>
      </w:r>
      <w:r>
        <w:rPr>
          <w:noProof/>
        </w:rPr>
        <w:t>53</w:t>
      </w:r>
      <w:r>
        <w:rPr>
          <w:noProof/>
        </w:rPr>
        <w:fldChar w:fldCharType="end"/>
      </w:r>
    </w:p>
    <w:p w14:paraId="50796D44"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16. Gap Analysis and Complementarity</w:t>
      </w:r>
      <w:r>
        <w:rPr>
          <w:noProof/>
        </w:rPr>
        <w:tab/>
      </w:r>
      <w:r>
        <w:rPr>
          <w:noProof/>
        </w:rPr>
        <w:fldChar w:fldCharType="begin"/>
      </w:r>
      <w:r>
        <w:rPr>
          <w:noProof/>
        </w:rPr>
        <w:instrText xml:space="preserve"> PAGEREF _Toc276342229 \h </w:instrText>
      </w:r>
      <w:r>
        <w:rPr>
          <w:noProof/>
        </w:rPr>
      </w:r>
      <w:r>
        <w:rPr>
          <w:noProof/>
        </w:rPr>
        <w:fldChar w:fldCharType="separate"/>
      </w:r>
      <w:r>
        <w:rPr>
          <w:noProof/>
        </w:rPr>
        <w:t>54</w:t>
      </w:r>
      <w:r>
        <w:rPr>
          <w:noProof/>
        </w:rPr>
        <w:fldChar w:fldCharType="end"/>
      </w:r>
    </w:p>
    <w:p w14:paraId="5D61A75D"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17. Viability</w:t>
      </w:r>
      <w:r>
        <w:rPr>
          <w:noProof/>
        </w:rPr>
        <w:tab/>
      </w:r>
      <w:r>
        <w:rPr>
          <w:noProof/>
        </w:rPr>
        <w:fldChar w:fldCharType="begin"/>
      </w:r>
      <w:r>
        <w:rPr>
          <w:noProof/>
        </w:rPr>
        <w:instrText xml:space="preserve"> PAGEREF _Toc276342230 \h </w:instrText>
      </w:r>
      <w:r>
        <w:rPr>
          <w:noProof/>
        </w:rPr>
      </w:r>
      <w:r>
        <w:rPr>
          <w:noProof/>
        </w:rPr>
        <w:fldChar w:fldCharType="separate"/>
      </w:r>
      <w:r>
        <w:rPr>
          <w:noProof/>
        </w:rPr>
        <w:t>59</w:t>
      </w:r>
      <w:r>
        <w:rPr>
          <w:noProof/>
        </w:rPr>
        <w:fldChar w:fldCharType="end"/>
      </w:r>
    </w:p>
    <w:p w14:paraId="065E7693" w14:textId="77777777" w:rsidR="008F0EDC" w:rsidRDefault="008F0EDC">
      <w:pPr>
        <w:pStyle w:val="TOC1"/>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PART F – IMPLEMENTATION ARRANGEMENTS AND RISK MITIGATION</w:t>
      </w:r>
      <w:r>
        <w:rPr>
          <w:noProof/>
        </w:rPr>
        <w:tab/>
      </w:r>
      <w:r>
        <w:rPr>
          <w:noProof/>
        </w:rPr>
        <w:fldChar w:fldCharType="begin"/>
      </w:r>
      <w:r>
        <w:rPr>
          <w:noProof/>
        </w:rPr>
        <w:instrText xml:space="preserve"> PAGEREF _Toc276342231 \h </w:instrText>
      </w:r>
      <w:r>
        <w:rPr>
          <w:noProof/>
        </w:rPr>
      </w:r>
      <w:r>
        <w:rPr>
          <w:noProof/>
        </w:rPr>
        <w:fldChar w:fldCharType="separate"/>
      </w:r>
      <w:r>
        <w:rPr>
          <w:noProof/>
        </w:rPr>
        <w:t>59</w:t>
      </w:r>
      <w:r>
        <w:rPr>
          <w:noProof/>
        </w:rPr>
        <w:fldChar w:fldCharType="end"/>
      </w:r>
    </w:p>
    <w:p w14:paraId="70F7AC6F"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18. Implementation Arrangements</w:t>
      </w:r>
      <w:r>
        <w:rPr>
          <w:noProof/>
        </w:rPr>
        <w:tab/>
      </w:r>
      <w:r>
        <w:rPr>
          <w:noProof/>
        </w:rPr>
        <w:fldChar w:fldCharType="begin"/>
      </w:r>
      <w:r>
        <w:rPr>
          <w:noProof/>
        </w:rPr>
        <w:instrText xml:space="preserve"> PAGEREF _Toc276342232 \h </w:instrText>
      </w:r>
      <w:r>
        <w:rPr>
          <w:noProof/>
        </w:rPr>
      </w:r>
      <w:r>
        <w:rPr>
          <w:noProof/>
        </w:rPr>
        <w:fldChar w:fldCharType="separate"/>
      </w:r>
      <w:r>
        <w:rPr>
          <w:noProof/>
        </w:rPr>
        <w:t>60</w:t>
      </w:r>
      <w:r>
        <w:rPr>
          <w:noProof/>
        </w:rPr>
        <w:fldChar w:fldCharType="end"/>
      </w:r>
    </w:p>
    <w:p w14:paraId="689EFFA7"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19. Involvement of CSOs</w:t>
      </w:r>
      <w:r>
        <w:rPr>
          <w:noProof/>
        </w:rPr>
        <w:tab/>
      </w:r>
      <w:r>
        <w:rPr>
          <w:noProof/>
        </w:rPr>
        <w:fldChar w:fldCharType="begin"/>
      </w:r>
      <w:r>
        <w:rPr>
          <w:noProof/>
        </w:rPr>
        <w:instrText xml:space="preserve"> PAGEREF _Toc276342233 \h </w:instrText>
      </w:r>
      <w:r>
        <w:rPr>
          <w:noProof/>
        </w:rPr>
      </w:r>
      <w:r>
        <w:rPr>
          <w:noProof/>
        </w:rPr>
        <w:fldChar w:fldCharType="separate"/>
      </w:r>
      <w:r>
        <w:rPr>
          <w:noProof/>
        </w:rPr>
        <w:t>61</w:t>
      </w:r>
      <w:r>
        <w:rPr>
          <w:noProof/>
        </w:rPr>
        <w:fldChar w:fldCharType="end"/>
      </w:r>
    </w:p>
    <w:p w14:paraId="36C2A813"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lastRenderedPageBreak/>
        <w:t>20. Technical Assistance</w:t>
      </w:r>
      <w:r>
        <w:rPr>
          <w:noProof/>
        </w:rPr>
        <w:tab/>
      </w:r>
      <w:r>
        <w:rPr>
          <w:noProof/>
        </w:rPr>
        <w:fldChar w:fldCharType="begin"/>
      </w:r>
      <w:r>
        <w:rPr>
          <w:noProof/>
        </w:rPr>
        <w:instrText xml:space="preserve"> PAGEREF _Toc276342234 \h </w:instrText>
      </w:r>
      <w:r>
        <w:rPr>
          <w:noProof/>
        </w:rPr>
      </w:r>
      <w:r>
        <w:rPr>
          <w:noProof/>
        </w:rPr>
        <w:fldChar w:fldCharType="separate"/>
      </w:r>
      <w:r>
        <w:rPr>
          <w:noProof/>
        </w:rPr>
        <w:t>62</w:t>
      </w:r>
      <w:r>
        <w:rPr>
          <w:noProof/>
        </w:rPr>
        <w:fldChar w:fldCharType="end"/>
      </w:r>
    </w:p>
    <w:p w14:paraId="64B6A4C9"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21. Risks and Mitigating Factors</w:t>
      </w:r>
      <w:r>
        <w:rPr>
          <w:noProof/>
        </w:rPr>
        <w:tab/>
      </w:r>
      <w:r>
        <w:rPr>
          <w:noProof/>
        </w:rPr>
        <w:fldChar w:fldCharType="begin"/>
      </w:r>
      <w:r>
        <w:rPr>
          <w:noProof/>
        </w:rPr>
        <w:instrText xml:space="preserve"> PAGEREF _Toc276342235 \h </w:instrText>
      </w:r>
      <w:r>
        <w:rPr>
          <w:noProof/>
        </w:rPr>
      </w:r>
      <w:r>
        <w:rPr>
          <w:noProof/>
        </w:rPr>
        <w:fldChar w:fldCharType="separate"/>
      </w:r>
      <w:r>
        <w:rPr>
          <w:noProof/>
        </w:rPr>
        <w:t>65</w:t>
      </w:r>
      <w:r>
        <w:rPr>
          <w:noProof/>
        </w:rPr>
        <w:fldChar w:fldCharType="end"/>
      </w:r>
    </w:p>
    <w:p w14:paraId="4DDCA296" w14:textId="77777777" w:rsidR="008F0EDC" w:rsidRDefault="008F0EDC">
      <w:pPr>
        <w:pStyle w:val="TOC2"/>
        <w:tabs>
          <w:tab w:val="right" w:leader="dot" w:pos="10195"/>
        </w:tabs>
        <w:rPr>
          <w:rFonts w:asciiTheme="minorHAnsi" w:eastAsiaTheme="minorEastAsia" w:hAnsiTheme="minorHAnsi" w:cstheme="minorBidi"/>
          <w:noProof/>
          <w:sz w:val="24"/>
          <w:szCs w:val="24"/>
          <w:lang w:eastAsia="ja-JP" w:bidi="ar-SA"/>
        </w:rPr>
      </w:pPr>
      <w:r w:rsidRPr="00213CD9">
        <w:rPr>
          <w:rFonts w:ascii="Times New Roman" w:hAnsi="Times New Roman"/>
          <w:noProof/>
        </w:rPr>
        <w:t>22. Financial Management and Procurement Arrangements</w:t>
      </w:r>
      <w:r>
        <w:rPr>
          <w:noProof/>
        </w:rPr>
        <w:tab/>
      </w:r>
      <w:r>
        <w:rPr>
          <w:noProof/>
        </w:rPr>
        <w:fldChar w:fldCharType="begin"/>
      </w:r>
      <w:r>
        <w:rPr>
          <w:noProof/>
        </w:rPr>
        <w:instrText xml:space="preserve"> PAGEREF _Toc276342236 \h </w:instrText>
      </w:r>
      <w:r>
        <w:rPr>
          <w:noProof/>
        </w:rPr>
      </w:r>
      <w:r>
        <w:rPr>
          <w:noProof/>
        </w:rPr>
        <w:fldChar w:fldCharType="separate"/>
      </w:r>
      <w:r>
        <w:rPr>
          <w:noProof/>
        </w:rPr>
        <w:t>71</w:t>
      </w:r>
      <w:r>
        <w:rPr>
          <w:noProof/>
        </w:rPr>
        <w:fldChar w:fldCharType="end"/>
      </w:r>
    </w:p>
    <w:p w14:paraId="659C7163" w14:textId="602B9F51" w:rsidR="008F0EDC" w:rsidRDefault="008F0EDC">
      <w:pPr>
        <w:pStyle w:val="TOC1"/>
        <w:tabs>
          <w:tab w:val="right" w:leader="dot" w:pos="10195"/>
        </w:tabs>
        <w:rPr>
          <w:rFonts w:ascii="Times New Roman" w:eastAsia="Calibri" w:hAnsi="Times New Roman"/>
          <w:sz w:val="24"/>
          <w:szCs w:val="24"/>
        </w:rPr>
      </w:pPr>
      <w:r>
        <w:rPr>
          <w:rFonts w:ascii="Times New Roman" w:eastAsia="Calibri" w:hAnsi="Times New Roman"/>
          <w:sz w:val="24"/>
          <w:szCs w:val="24"/>
        </w:rPr>
        <w:fldChar w:fldCharType="end"/>
      </w:r>
    </w:p>
    <w:p w14:paraId="1B581780" w14:textId="3DB6DB9A" w:rsidR="003862FA" w:rsidRDefault="008A5DBD">
      <w:pPr>
        <w:pStyle w:val="TOC1"/>
        <w:tabs>
          <w:tab w:val="right" w:leader="dot" w:pos="10195"/>
        </w:tabs>
        <w:rPr>
          <w:rFonts w:asciiTheme="minorHAnsi" w:eastAsiaTheme="minorEastAsia" w:hAnsiTheme="minorHAnsi" w:cstheme="minorBidi"/>
          <w:noProof/>
          <w:szCs w:val="22"/>
        </w:rPr>
      </w:pPr>
      <w:r>
        <w:br w:type="page"/>
      </w:r>
    </w:p>
    <w:p w14:paraId="0798763A" w14:textId="77777777" w:rsidR="00867FFD" w:rsidRPr="004B5884" w:rsidRDefault="00867FFD" w:rsidP="00226DF1">
      <w:pPr>
        <w:widowControl w:val="0"/>
        <w:spacing w:before="120" w:after="120"/>
        <w:jc w:val="both"/>
        <w:rPr>
          <w:rFonts w:ascii="Times New Roman" w:eastAsia="Calibri" w:hAnsi="Times New Roman"/>
          <w:sz w:val="24"/>
          <w:szCs w:val="24"/>
        </w:rPr>
      </w:pPr>
    </w:p>
    <w:p w14:paraId="7EFC3954" w14:textId="77777777" w:rsidR="00867FFD" w:rsidRPr="004B5884" w:rsidRDefault="00E32BC9" w:rsidP="00226DF1">
      <w:pPr>
        <w:widowControl w:val="0"/>
        <w:spacing w:before="120" w:after="120"/>
        <w:jc w:val="both"/>
        <w:rPr>
          <w:rFonts w:ascii="Times New Roman" w:eastAsia="Calibri" w:hAnsi="Times New Roman"/>
          <w:sz w:val="24"/>
          <w:szCs w:val="24"/>
        </w:rPr>
      </w:pPr>
      <w:r>
        <w:rPr>
          <w:rFonts w:ascii="Times New Roman" w:eastAsia="Calibri" w:hAnsi="Times New Roman"/>
          <w:noProof/>
          <w:sz w:val="24"/>
          <w:szCs w:val="24"/>
          <w:lang w:bidi="ar-SA"/>
        </w:rPr>
        <mc:AlternateContent>
          <mc:Choice Requires="wps">
            <w:drawing>
              <wp:anchor distT="0" distB="0" distL="114300" distR="114300" simplePos="0" relativeHeight="251681792" behindDoc="0" locked="0" layoutInCell="1" allowOverlap="1" wp14:anchorId="7AB819A6" wp14:editId="03BCEE9E">
                <wp:simplePos x="0" y="0"/>
                <wp:positionH relativeFrom="column">
                  <wp:align>center</wp:align>
                </wp:positionH>
                <wp:positionV relativeFrom="paragraph">
                  <wp:posOffset>0</wp:posOffset>
                </wp:positionV>
                <wp:extent cx="6477000" cy="1905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905000"/>
                        </a:xfrm>
                        <a:prstGeom prst="rect">
                          <a:avLst/>
                        </a:prstGeom>
                        <a:solidFill>
                          <a:srgbClr val="FFFFFF"/>
                        </a:solidFill>
                        <a:ln w="9525">
                          <a:solidFill>
                            <a:srgbClr val="000000"/>
                          </a:solidFill>
                          <a:miter lim="800000"/>
                          <a:headEnd/>
                          <a:tailEnd/>
                        </a:ln>
                      </wps:spPr>
                      <wps:txbx>
                        <w:txbxContent>
                          <w:p w14:paraId="1564BD4B" w14:textId="77777777" w:rsidR="00BA23D4" w:rsidRPr="00867FFD" w:rsidRDefault="00BA23D4" w:rsidP="005D447F">
                            <w:pPr>
                              <w:widowControl w:val="0"/>
                              <w:spacing w:after="200" w:line="276" w:lineRule="auto"/>
                              <w:jc w:val="center"/>
                              <w:rPr>
                                <w:rFonts w:eastAsia="Calibri"/>
                                <w:szCs w:val="22"/>
                              </w:rPr>
                            </w:pPr>
                            <w:r>
                              <w:t xml:space="preserve">Please also see the ‘General Guidelines for Expressions of Interest and Applications for All Types of GAVI Support in 2014’ included in the supplemental information. The General Guidelines serve as an introduction to the principles, policies and processes that are applicable to all types of GAVI support, both Health Systems Strengthening (HSS) and New and Underused Vaccines Support (NVS). </w:t>
                            </w:r>
                            <w:r>
                              <w:br/>
                              <w:t>The General Guidelines are available on the GAVI web site:</w:t>
                            </w:r>
                          </w:p>
                          <w:p w14:paraId="54BEA243" w14:textId="77777777" w:rsidR="00BA23D4" w:rsidRDefault="00BA23D4" w:rsidP="005D447F">
                            <w:pPr>
                              <w:widowControl w:val="0"/>
                              <w:spacing w:after="200" w:line="276" w:lineRule="auto"/>
                              <w:jc w:val="center"/>
                              <w:rPr>
                                <w:rFonts w:eastAsia="Calibri"/>
                                <w:color w:val="0000FF"/>
                                <w:szCs w:val="22"/>
                                <w:u w:val="single"/>
                              </w:rPr>
                            </w:pPr>
                            <w:hyperlink r:id="rId16">
                              <w:r>
                                <w:rPr>
                                  <w:color w:val="0000FF"/>
                                  <w:u w:val="single"/>
                                </w:rPr>
                                <w:t>http://www.gavialliance.org/support/apply/</w:t>
                              </w:r>
                            </w:hyperlink>
                          </w:p>
                          <w:p w14:paraId="3063D123" w14:textId="77777777" w:rsidR="00BA23D4" w:rsidRDefault="00BA23D4" w:rsidP="005D447F">
                            <w:pPr>
                              <w:widowControl w:val="0"/>
                              <w:spacing w:after="200" w:line="276" w:lineRule="auto"/>
                              <w:jc w:val="center"/>
                              <w:rPr>
                                <w:rFonts w:eastAsia="Calibri"/>
                                <w:color w:val="0000FF"/>
                                <w:szCs w:val="22"/>
                                <w:u w:val="single"/>
                              </w:rPr>
                            </w:pPr>
                          </w:p>
                          <w:p w14:paraId="005AFBAB" w14:textId="77777777" w:rsidR="00BA23D4" w:rsidRPr="00867FFD" w:rsidRDefault="00BA23D4" w:rsidP="005D447F">
                            <w:pPr>
                              <w:widowControl w:val="0"/>
                              <w:spacing w:after="200" w:line="276" w:lineRule="auto"/>
                              <w:jc w:val="center"/>
                              <w:rPr>
                                <w:rFonts w:eastAsia="Calibri"/>
                                <w:szCs w:val="22"/>
                              </w:rPr>
                            </w:pPr>
                          </w:p>
                          <w:p w14:paraId="3D757B54" w14:textId="77777777" w:rsidR="00BA23D4" w:rsidRPr="005D447F" w:rsidRDefault="00BA23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0;margin-top:0;width:510pt;height:150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">
                <v:textbox>
                  <w:txbxContent>
                    <w:p w14:paraId="1564BD4B" w14:textId="77777777" w:rsidR="00BA23D4" w:rsidRPr="00867FFD" w:rsidRDefault="00BA23D4" w:rsidP="005D447F">
                      <w:pPr>
                        <w:widowControl w:val="0"/>
                        <w:spacing w:after="200" w:line="276" w:lineRule="auto"/>
                        <w:jc w:val="center"/>
                        <w:rPr>
                          <w:rFonts w:eastAsia="Calibri"/>
                          <w:szCs w:val="22"/>
                        </w:rPr>
                      </w:pPr>
                      <w:r>
                        <w:t xml:space="preserve">Please also see the ‘General Guidelines for Expressions of Interest and Applications for All Types of GAVI Support in 2014’ included in the supplemental information. The General Guidelines serve as an introduction to the principles, policies and processes that are applicable to all types of GAVI support, both Health Systems Strengthening (HSS) and New and Underused Vaccines Support (NVS). </w:t>
                      </w:r>
                      <w:r>
                        <w:br/>
                        <w:t>The General Guidelines are available on the GAVI web site:</w:t>
                      </w:r>
                    </w:p>
                    <w:p w14:paraId="54BEA243" w14:textId="77777777" w:rsidR="00BA23D4" w:rsidRDefault="00BA23D4" w:rsidP="005D447F">
                      <w:pPr>
                        <w:widowControl w:val="0"/>
                        <w:spacing w:after="200" w:line="276" w:lineRule="auto"/>
                        <w:jc w:val="center"/>
                        <w:rPr>
                          <w:rFonts w:eastAsia="Calibri"/>
                          <w:color w:val="0000FF"/>
                          <w:szCs w:val="22"/>
                          <w:u w:val="single"/>
                        </w:rPr>
                      </w:pPr>
                      <w:hyperlink r:id="rId17">
                        <w:r>
                          <w:rPr>
                            <w:color w:val="0000FF"/>
                            <w:u w:val="single"/>
                          </w:rPr>
                          <w:t>http://www.gavialliance.org/support/apply/</w:t>
                        </w:r>
                      </w:hyperlink>
                    </w:p>
                    <w:p w14:paraId="3063D123" w14:textId="77777777" w:rsidR="00BA23D4" w:rsidRDefault="00BA23D4" w:rsidP="005D447F">
                      <w:pPr>
                        <w:widowControl w:val="0"/>
                        <w:spacing w:after="200" w:line="276" w:lineRule="auto"/>
                        <w:jc w:val="center"/>
                        <w:rPr>
                          <w:rFonts w:eastAsia="Calibri"/>
                          <w:color w:val="0000FF"/>
                          <w:szCs w:val="22"/>
                          <w:u w:val="single"/>
                        </w:rPr>
                      </w:pPr>
                    </w:p>
                    <w:p w14:paraId="005AFBAB" w14:textId="77777777" w:rsidR="00BA23D4" w:rsidRPr="00867FFD" w:rsidRDefault="00BA23D4" w:rsidP="005D447F">
                      <w:pPr>
                        <w:widowControl w:val="0"/>
                        <w:spacing w:after="200" w:line="276" w:lineRule="auto"/>
                        <w:jc w:val="center"/>
                        <w:rPr>
                          <w:rFonts w:eastAsia="Calibri"/>
                          <w:szCs w:val="22"/>
                        </w:rPr>
                      </w:pPr>
                    </w:p>
                    <w:p w14:paraId="3D757B54" w14:textId="77777777" w:rsidR="00BA23D4" w:rsidRPr="005D447F" w:rsidRDefault="00BA23D4"/>
                  </w:txbxContent>
                </v:textbox>
              </v:shape>
            </w:pict>
          </mc:Fallback>
        </mc:AlternateContent>
      </w:r>
    </w:p>
    <w:p w14:paraId="2D303671" w14:textId="77777777" w:rsidR="005D447F" w:rsidRPr="004B5884" w:rsidRDefault="005D447F" w:rsidP="00226DF1">
      <w:pPr>
        <w:widowControl w:val="0"/>
        <w:spacing w:before="120" w:after="120"/>
        <w:jc w:val="both"/>
        <w:rPr>
          <w:rFonts w:ascii="Times New Roman" w:eastAsia="Calibri" w:hAnsi="Times New Roman"/>
          <w:sz w:val="24"/>
          <w:szCs w:val="24"/>
        </w:rPr>
      </w:pPr>
    </w:p>
    <w:p w14:paraId="2DA54852" w14:textId="77777777" w:rsidR="005D447F" w:rsidRPr="004B5884" w:rsidRDefault="005D447F" w:rsidP="00226DF1">
      <w:pPr>
        <w:widowControl w:val="0"/>
        <w:spacing w:before="120" w:after="120"/>
        <w:jc w:val="both"/>
        <w:rPr>
          <w:rFonts w:ascii="Times New Roman" w:eastAsia="Calibri" w:hAnsi="Times New Roman"/>
          <w:sz w:val="24"/>
          <w:szCs w:val="24"/>
        </w:rPr>
      </w:pPr>
    </w:p>
    <w:p w14:paraId="38D43F44" w14:textId="77777777" w:rsidR="005D447F" w:rsidRPr="004B5884" w:rsidRDefault="005D447F" w:rsidP="00226DF1">
      <w:pPr>
        <w:widowControl w:val="0"/>
        <w:spacing w:before="120" w:after="120"/>
        <w:jc w:val="both"/>
        <w:rPr>
          <w:rFonts w:ascii="Times New Roman" w:eastAsia="Calibri" w:hAnsi="Times New Roman"/>
          <w:sz w:val="24"/>
          <w:szCs w:val="24"/>
        </w:rPr>
      </w:pPr>
    </w:p>
    <w:p w14:paraId="418BE680" w14:textId="77777777" w:rsidR="005D447F" w:rsidRPr="004B5884" w:rsidRDefault="005D447F" w:rsidP="00226DF1">
      <w:pPr>
        <w:widowControl w:val="0"/>
        <w:spacing w:before="120" w:after="120"/>
        <w:jc w:val="both"/>
        <w:rPr>
          <w:rFonts w:ascii="Times New Roman" w:eastAsia="Calibri" w:hAnsi="Times New Roman"/>
          <w:sz w:val="24"/>
          <w:szCs w:val="24"/>
        </w:rPr>
      </w:pPr>
    </w:p>
    <w:p w14:paraId="2F168B53" w14:textId="77777777" w:rsidR="005D447F" w:rsidRPr="004B5884" w:rsidRDefault="005D447F" w:rsidP="00226DF1">
      <w:pPr>
        <w:widowControl w:val="0"/>
        <w:spacing w:before="120" w:after="120"/>
        <w:jc w:val="both"/>
        <w:rPr>
          <w:rFonts w:ascii="Times New Roman" w:eastAsia="Calibri" w:hAnsi="Times New Roman"/>
          <w:sz w:val="24"/>
          <w:szCs w:val="24"/>
        </w:rPr>
      </w:pPr>
    </w:p>
    <w:p w14:paraId="0EEBCC4B" w14:textId="77777777" w:rsidR="005D447F" w:rsidRPr="004B5884" w:rsidRDefault="00E32BC9" w:rsidP="00226DF1">
      <w:pPr>
        <w:widowControl w:val="0"/>
        <w:spacing w:before="120" w:after="120"/>
        <w:jc w:val="both"/>
        <w:rPr>
          <w:rFonts w:ascii="Times New Roman" w:eastAsia="Calibri" w:hAnsi="Times New Roman"/>
          <w:sz w:val="24"/>
          <w:szCs w:val="24"/>
        </w:rPr>
      </w:pPr>
      <w:r>
        <w:rPr>
          <w:rFonts w:ascii="Times New Roman" w:eastAsia="Calibri" w:hAnsi="Times New Roman"/>
          <w:noProof/>
          <w:sz w:val="24"/>
          <w:szCs w:val="24"/>
          <w:lang w:bidi="ar-SA"/>
        </w:rPr>
        <mc:AlternateContent>
          <mc:Choice Requires="wps">
            <w:drawing>
              <wp:anchor distT="0" distB="0" distL="114300" distR="114300" simplePos="0" relativeHeight="251682816" behindDoc="0" locked="0" layoutInCell="1" allowOverlap="1" wp14:anchorId="021AD9E0" wp14:editId="5B251BDF">
                <wp:simplePos x="0" y="0"/>
                <wp:positionH relativeFrom="column">
                  <wp:posOffset>-6985</wp:posOffset>
                </wp:positionH>
                <wp:positionV relativeFrom="paragraph">
                  <wp:posOffset>191135</wp:posOffset>
                </wp:positionV>
                <wp:extent cx="6477000" cy="1247775"/>
                <wp:effectExtent l="0" t="0" r="1905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47775"/>
                        </a:xfrm>
                        <a:prstGeom prst="rect">
                          <a:avLst/>
                        </a:prstGeom>
                        <a:solidFill>
                          <a:srgbClr val="FFFFFF"/>
                        </a:solidFill>
                        <a:ln w="9525">
                          <a:solidFill>
                            <a:srgbClr val="000000"/>
                          </a:solidFill>
                          <a:miter lim="800000"/>
                          <a:headEnd/>
                          <a:tailEnd/>
                        </a:ln>
                      </wps:spPr>
                      <wps:txbx>
                        <w:txbxContent>
                          <w:p w14:paraId="7CFBFAFE" w14:textId="77777777" w:rsidR="00BA23D4" w:rsidRDefault="00BA23D4" w:rsidP="005D447F">
                            <w:pPr>
                              <w:widowControl w:val="0"/>
                              <w:spacing w:after="200" w:line="276" w:lineRule="auto"/>
                              <w:jc w:val="center"/>
                              <w:rPr>
                                <w:rFonts w:eastAsia="Calibri"/>
                                <w:szCs w:val="22"/>
                              </w:rPr>
                            </w:pPr>
                          </w:p>
                          <w:p w14:paraId="69D8D416" w14:textId="77777777" w:rsidR="00BA23D4" w:rsidRPr="00867FFD" w:rsidRDefault="00BA23D4" w:rsidP="005D447F">
                            <w:pPr>
                              <w:widowControl w:val="0"/>
                              <w:spacing w:after="200" w:line="276" w:lineRule="auto"/>
                              <w:jc w:val="center"/>
                              <w:rPr>
                                <w:rFonts w:eastAsia="Calibri"/>
                                <w:szCs w:val="22"/>
                              </w:rPr>
                            </w:pPr>
                            <w:r>
                              <w:t>All applicants are invited to read and follow the supplemental guidelines for support applications for Health System Strengthening in order to correctly fill out this form. GAVI’s Key Elements for Health System Strengthening Grants</w:t>
                            </w:r>
                          </w:p>
                          <w:p w14:paraId="3E4D4CE6" w14:textId="77777777" w:rsidR="00BA23D4" w:rsidRPr="005D447F" w:rsidRDefault="00BA23D4" w:rsidP="005D44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pt;margin-top:15.05pt;width:510pt;height:9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">
                <v:textbox>
                  <w:txbxContent>
                    <w:p w14:paraId="7CFBFAFE" w14:textId="77777777" w:rsidR="00BA23D4" w:rsidRDefault="00BA23D4" w:rsidP="005D447F">
                      <w:pPr>
                        <w:widowControl w:val="0"/>
                        <w:spacing w:after="200" w:line="276" w:lineRule="auto"/>
                        <w:jc w:val="center"/>
                        <w:rPr>
                          <w:rFonts w:eastAsia="Calibri"/>
                          <w:szCs w:val="22"/>
                        </w:rPr>
                      </w:pPr>
                    </w:p>
                    <w:p w14:paraId="69D8D416" w14:textId="77777777" w:rsidR="00BA23D4" w:rsidRPr="00867FFD" w:rsidRDefault="00BA23D4" w:rsidP="005D447F">
                      <w:pPr>
                        <w:widowControl w:val="0"/>
                        <w:spacing w:after="200" w:line="276" w:lineRule="auto"/>
                        <w:jc w:val="center"/>
                        <w:rPr>
                          <w:rFonts w:eastAsia="Calibri"/>
                          <w:szCs w:val="22"/>
                        </w:rPr>
                      </w:pPr>
                      <w:r>
                        <w:t>All applicants are invited to read and follow the supplemental guidelines for support applications for Health System Strengthening in order to correctly fill out this form. GAVI’s Key Elements for Health System Strengthening Grants</w:t>
                      </w:r>
                    </w:p>
                    <w:p w14:paraId="3E4D4CE6" w14:textId="77777777" w:rsidR="00BA23D4" w:rsidRPr="005D447F" w:rsidRDefault="00BA23D4" w:rsidP="005D447F"/>
                  </w:txbxContent>
                </v:textbox>
              </v:shape>
            </w:pict>
          </mc:Fallback>
        </mc:AlternateContent>
      </w:r>
    </w:p>
    <w:p w14:paraId="07090442" w14:textId="77777777" w:rsidR="005D447F" w:rsidRPr="004B5884" w:rsidRDefault="005D447F" w:rsidP="00226DF1">
      <w:pPr>
        <w:widowControl w:val="0"/>
        <w:spacing w:before="120" w:after="120"/>
        <w:jc w:val="both"/>
        <w:rPr>
          <w:rFonts w:ascii="Times New Roman" w:eastAsia="Calibri" w:hAnsi="Times New Roman"/>
          <w:sz w:val="24"/>
          <w:szCs w:val="24"/>
        </w:rPr>
      </w:pPr>
    </w:p>
    <w:p w14:paraId="7FF5157D" w14:textId="77777777" w:rsidR="005D447F" w:rsidRPr="004B5884" w:rsidRDefault="005D447F" w:rsidP="00226DF1">
      <w:pPr>
        <w:widowControl w:val="0"/>
        <w:spacing w:before="120" w:after="120"/>
        <w:jc w:val="both"/>
        <w:rPr>
          <w:rFonts w:ascii="Times New Roman" w:eastAsia="Calibri" w:hAnsi="Times New Roman"/>
          <w:sz w:val="24"/>
          <w:szCs w:val="24"/>
        </w:rPr>
      </w:pPr>
    </w:p>
    <w:p w14:paraId="7846617B" w14:textId="77777777" w:rsidR="005D447F" w:rsidRPr="004B5884" w:rsidRDefault="005D447F" w:rsidP="00226DF1">
      <w:pPr>
        <w:widowControl w:val="0"/>
        <w:spacing w:before="120" w:after="120"/>
        <w:jc w:val="both"/>
        <w:rPr>
          <w:rFonts w:ascii="Times New Roman" w:eastAsia="Calibri" w:hAnsi="Times New Roman"/>
          <w:sz w:val="24"/>
          <w:szCs w:val="24"/>
        </w:rPr>
      </w:pPr>
    </w:p>
    <w:p w14:paraId="3F169C4D" w14:textId="77777777" w:rsidR="005D447F" w:rsidRPr="004B5884" w:rsidRDefault="005D447F" w:rsidP="00226DF1">
      <w:pPr>
        <w:widowControl w:val="0"/>
        <w:spacing w:before="120" w:after="120"/>
        <w:jc w:val="both"/>
        <w:rPr>
          <w:rFonts w:ascii="Times New Roman" w:eastAsia="Calibri" w:hAnsi="Times New Roman"/>
          <w:sz w:val="24"/>
          <w:szCs w:val="24"/>
        </w:rPr>
      </w:pPr>
    </w:p>
    <w:p w14:paraId="6177101C" w14:textId="77777777" w:rsidR="00867FFD" w:rsidRPr="004B5884" w:rsidRDefault="00867FFD" w:rsidP="00226DF1">
      <w:pPr>
        <w:widowControl w:val="0"/>
        <w:spacing w:before="120" w:after="120"/>
        <w:jc w:val="both"/>
        <w:rPr>
          <w:rFonts w:ascii="Times New Roman" w:eastAsia="Calibri" w:hAnsi="Times New Roman"/>
          <w:sz w:val="24"/>
          <w:szCs w:val="24"/>
        </w:rPr>
      </w:pPr>
    </w:p>
    <w:p w14:paraId="2FB1EFB8" w14:textId="45CA8E27" w:rsidR="005D447F" w:rsidRPr="004B5884" w:rsidRDefault="006858A3" w:rsidP="00226DF1">
      <w:pPr>
        <w:widowControl w:val="0"/>
        <w:spacing w:before="120" w:after="120"/>
        <w:jc w:val="both"/>
        <w:rPr>
          <w:rFonts w:ascii="Times New Roman" w:eastAsia="Calibri" w:hAnsi="Times New Roman"/>
          <w:sz w:val="24"/>
          <w:szCs w:val="24"/>
        </w:rPr>
      </w:pPr>
      <w:r>
        <w:rPr>
          <w:rFonts w:ascii="Times New Roman" w:hAnsi="Times New Roman"/>
          <w:i/>
          <w:sz w:val="24"/>
        </w:rPr>
        <w:t>The following key elements outline GAVI’s approach to health system strengthening and should be shared in working groups or in trainings: Support applications may also be shared with partners of the GAVI Alliance, and the members of the Civil Society group, for post-submission assessments, reviews and other assessments.</w:t>
      </w:r>
    </w:p>
    <w:p w14:paraId="58462EBF" w14:textId="77777777" w:rsidR="00867FFD" w:rsidRPr="004B5884" w:rsidRDefault="00867FFD" w:rsidP="00226DF1">
      <w:pPr>
        <w:pStyle w:val="Heading2"/>
        <w:rPr>
          <w:rFonts w:ascii="Times New Roman" w:eastAsia="Calibri" w:hAnsi="Times New Roman"/>
          <w:sz w:val="24"/>
          <w:szCs w:val="24"/>
        </w:rPr>
      </w:pPr>
      <w:r>
        <w:br w:type="page"/>
      </w:r>
      <w:bookmarkStart w:id="5" w:name="_Toc398181078"/>
      <w:bookmarkStart w:id="6" w:name="_Toc276342207"/>
      <w:r>
        <w:rPr>
          <w:rFonts w:ascii="Times New Roman" w:hAnsi="Times New Roman"/>
          <w:color w:val="auto"/>
          <w:sz w:val="24"/>
        </w:rPr>
        <w:t>GAVI’s Key Elements for Health System Strengthening Grants</w:t>
      </w:r>
      <w:bookmarkEnd w:id="5"/>
      <w:bookmarkEnd w:id="6"/>
    </w:p>
    <w:p w14:paraId="177C4B7A" w14:textId="77777777"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The following key elements outline GAVI’s approach to health system strengthening and should be reflected in an HSS grant. </w:t>
      </w:r>
    </w:p>
    <w:p w14:paraId="166844FD" w14:textId="4ADD159E"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One of GAVI’s strategic goals is to “contribute to strengthening the capacity of integrated health systems to deliver immunisation”. The objective of GAVI HSS support is to address system bottlenecks to achieve better immunisation outcomes, including increased vaccination coverage and more equitable access to immunisation. As such, it is necessary for the application to be based on a strong analysis of the bottlenecks and gaps. present a clear results chain demonstrating the link between proposed activities and improved immunization outcomes.</w:t>
      </w:r>
    </w:p>
    <w:p w14:paraId="392B6432"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Performance based funding (PBF) is at the heart of GAVI's support for HSS. All applications must align with the GAVI performance based funding approach introduced in 2012. Countries’ performance will be measured based on a predefined set of PBF indicators against which additional payments will be made to reward good performance in improving immunisation outcomes. Under the PBF approach for HSS, the programmed portion of HSS grants must be used solely to fund HSS activities. Countries have more flexibility on how they wish to spend their reward payments, as long as they are still spent within the health sector. Neither programmed nor performance payments may be used to purchase vaccines or meet GAVI’s requirements to co-finance vaccine purchases, and shall not be used to pay any taxes, customs, duties, toll or other charges imposed on the importation of vaccines and related supplies. </w:t>
      </w:r>
    </w:p>
    <w:p w14:paraId="50AF942D" w14:textId="3410C136"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GAVI’s HSS application requires a strong M&amp;E framework, measurement and documentation of results, and an end of grant evaluation. The performance of the HSS grant will be measured through intermediate results as well as immunisation outcomes including diphtheria-tetanus-pertussis (DTP3) coverage, measles-containing vaccine first dose (MCV1) coverage, fully immunised child coverage, difference in DTP3 coverage between top and bottom wealth quintiles, and percent of districts reporting at least 80% PENTA3 coverage. Additionally, so as to systematically measure and document immunization data quality and data system improvement efforts, independent and recurrent data quality assessments and surveys will be a condition for all HSS applications. </w:t>
      </w:r>
    </w:p>
    <w:p w14:paraId="7AD45D28"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GAVI’s approach to HSS includes support for strengthening information systems and improving data quality. Strong information systems are of fundamental importance both to countries and to GAVI. GAVI requires that countries have in place routine mechanisms to independently assess the quality of administrative data and track changes in data quality over time. Countries are strongly encouraged to include in their proposals actions to strengthen data systems, and to demonstrate how their grant will be used to help implement recommendations or agreed action items coming from previous data quality assessments. The process of conducting periodic data quality assessments and monitoring trends should be credible and nationally agreed. For example, incorporating an independent element to the assessments could involve national institutions that are external to the programme that collects or oversees the data collection. </w:t>
      </w:r>
    </w:p>
    <w:p w14:paraId="4006CD6E"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GAVI supports the principles of alignment and harmonisation (in keeping with Paris, Accra and Busan declarations and the International Health Partnership, IHP+). The application must demonstrate how GAVI support is aligned with country health plans and processes, complementary to other donor funding, and uses existing country systems, such as for financial management and M&amp;E. The IHP+ Common Monitoring and Evaluation Framework is used as a reference framework in the Supplementary Guidelines for HSS Applications. </w:t>
      </w:r>
    </w:p>
    <w:p w14:paraId="6003BF37"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GAVI supports the use of Joint Assessment of National Strategies (JANS). If a country has conducted a JANS assessment the findings can be included in the HSS application. The Independent Review Committee (IRC) will use the findings of a JANS assessment to gain an understanding of the policy and health sector context that will inform their assessment of the credibility and feasibility of the HSS proposal. </w:t>
      </w:r>
    </w:p>
    <w:p w14:paraId="0ACB7B0C"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GAVI requests countries to identify and build linkages between HSS support and new vaccines implementation (GAVI New Vaccines Support - NVS) – linkages to routine immunisation strengthening, new vaccine introduction, and campaign planning and implementation must be demonstrated in the application.</w:t>
      </w:r>
    </w:p>
    <w:p w14:paraId="3B3C3B93"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Countries should demonstrate alignment between HSS grant activities and activities funded through other GAVI cash support, including vaccine introduction grants and operational support for campaigns. Support ties to the HSS with improvement in systematic immunization, the introduction of new vaccines as well as the scheduling and implementation of immunization campaigns must be demonstrated in the proposal. Countries should demonstrate alignment between HSS grant activities and activities funded through other GAVI cash support, including vaccine introduction grants and operational support for campaigns.</w:t>
      </w:r>
    </w:p>
    <w:p w14:paraId="10C6436F"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GAVI’s approach to HSS includes support for community mobilisation, demand generation, and communication, including Communication for Immunisation (C4I) approach.</w:t>
      </w:r>
    </w:p>
    <w:p w14:paraId="2115A250" w14:textId="0C989390"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GAVI supports innovation. Countries are encouraged to think of innovative and catalytic activities for inclusion in their grants to address HSS bottlenecks to improving immunisation outcomes.</w:t>
      </w:r>
    </w:p>
    <w:p w14:paraId="56009840"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GAVI strongly encourages countries to include funding for Civil Society Organisations (CSOs) in implementation of GAVI HSS support to improve immunisation outcomes. CSOs can receive GAVI funding through two channels: (i) GAVI sends funds to the Ministry of Health which then transfers them to the CSO, or (ii) GAVI sends funds directly to the CSO. Please refer to Table 1 for potential categories of activities to include in budget for CSOs and Annex 4 for further details of GAVI support to CSOs. </w:t>
      </w:r>
    </w:p>
    <w:p w14:paraId="6FDDAA23" w14:textId="77777777" w:rsidR="00867FFD" w:rsidRPr="00191D1E"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 xml:space="preserve">Applications must include details on lessons learned from previous HSS grants from GAVI or support from other sources such as previous New Vaccine Support, the Effective Vaccine Management (EVM) assessment or Post Introduction Evaluation (PIE) tools, EPI reviews etc. </w:t>
      </w:r>
    </w:p>
    <w:p w14:paraId="25D4E738"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Applications must include information on how sustainability of activities and results will be addressed from a financial and programmatic perspective beyond the period of support from GAVI.</w:t>
      </w:r>
    </w:p>
    <w:p w14:paraId="73B71566"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Applications must include information on how equity (including geographic, socio-economic, and gender equity) will be addressed.</w:t>
      </w:r>
    </w:p>
    <w:p w14:paraId="51BCE3E3" w14:textId="42AF0ABA"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Applications will need to show the complementarity and added value of GAVI support to reducing bottlenecks and strengthening the health system, relative to support from other partners and funding sources and relative to other funding from GAVI specific to new vaccines and/or campaigns.</w:t>
      </w:r>
    </w:p>
    <w:p w14:paraId="567F62A4" w14:textId="77777777" w:rsidR="00867FFD" w:rsidRPr="004B5884" w:rsidRDefault="00867FFD" w:rsidP="00226DF1">
      <w:pPr>
        <w:numPr>
          <w:ilvl w:val="0"/>
          <w:numId w:val="1"/>
        </w:numPr>
        <w:spacing w:before="120" w:after="120"/>
        <w:ind w:left="714" w:hanging="357"/>
        <w:jc w:val="both"/>
        <w:rPr>
          <w:rFonts w:ascii="Times New Roman" w:hAnsi="Times New Roman"/>
          <w:sz w:val="24"/>
          <w:szCs w:val="24"/>
        </w:rPr>
      </w:pPr>
      <w:r>
        <w:rPr>
          <w:rFonts w:ascii="Times New Roman" w:hAnsi="Times New Roman"/>
          <w:sz w:val="24"/>
        </w:rPr>
        <w:t>Applicants are encouraged to identify technical assistance (TA) and capacity building needs for implementation and monitoring of the HSS grants. Applicants are required to include details of short term and long term TA if they are requesting TA as part of the HSS application to ensure strong implementation and effectiveness of GAVI HSS support.</w:t>
      </w:r>
    </w:p>
    <w:p w14:paraId="6FF80BFC"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4"/>
      </w:tblGrid>
      <w:tr w:rsidR="00867FFD" w:rsidRPr="009316FF" w14:paraId="43A89A4B" w14:textId="77777777" w:rsidTr="005D447F">
        <w:tc>
          <w:tcPr>
            <w:tcW w:w="5000" w:type="pct"/>
            <w:shd w:val="clear" w:color="auto" w:fill="006460"/>
            <w:vAlign w:val="center"/>
          </w:tcPr>
          <w:p w14:paraId="19F0BDA8" w14:textId="77777777" w:rsidR="00867FFD" w:rsidRPr="004B5884" w:rsidRDefault="00867FFD" w:rsidP="00226DF1">
            <w:pPr>
              <w:pStyle w:val="Heading1"/>
              <w:spacing w:before="120" w:after="120"/>
              <w:jc w:val="both"/>
              <w:rPr>
                <w:rFonts w:ascii="Times New Roman" w:eastAsia="Calibri" w:hAnsi="Times New Roman"/>
                <w:szCs w:val="24"/>
              </w:rPr>
            </w:pPr>
            <w:bookmarkStart w:id="7" w:name="_Toc398181079"/>
            <w:bookmarkStart w:id="8" w:name="_Toc276342208"/>
            <w:r>
              <w:rPr>
                <w:rFonts w:ascii="Times New Roman" w:hAnsi="Times New Roman"/>
              </w:rPr>
              <w:t>PART A - SUMMARY OF SUPPORT REQUESTED AND APPLICANT INFORMATION</w:t>
            </w:r>
            <w:bookmarkEnd w:id="7"/>
            <w:bookmarkEnd w:id="8"/>
          </w:p>
        </w:tc>
      </w:tr>
      <w:tr w:rsidR="00867FFD" w:rsidRPr="009316FF" w14:paraId="02482575" w14:textId="77777777" w:rsidTr="005D447F">
        <w:tc>
          <w:tcPr>
            <w:tcW w:w="5000" w:type="pct"/>
            <w:shd w:val="clear" w:color="auto" w:fill="FFFFFF"/>
            <w:vAlign w:val="center"/>
          </w:tcPr>
          <w:p w14:paraId="3633F4EE"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For further instructions, please refer to the Supplementary Guidelines for HSS Applications</w:t>
            </w:r>
          </w:p>
        </w:tc>
      </w:tr>
    </w:tbl>
    <w:p w14:paraId="24D1A890" w14:textId="77777777" w:rsidR="00867FFD" w:rsidRPr="004B5884" w:rsidRDefault="00867FFD" w:rsidP="00226DF1">
      <w:pPr>
        <w:widowControl w:val="0"/>
        <w:spacing w:before="120" w:after="120"/>
        <w:jc w:val="both"/>
        <w:rPr>
          <w:rFonts w:ascii="Times New Roman" w:eastAsia="Calibri" w:hAnsi="Times New Roman"/>
          <w:sz w:val="24"/>
          <w:szCs w:val="24"/>
        </w:rPr>
      </w:pPr>
    </w:p>
    <w:p w14:paraId="1A3C527E" w14:textId="77777777" w:rsidR="00867FFD" w:rsidRPr="004B5884" w:rsidRDefault="00867FFD" w:rsidP="00226DF1">
      <w:pPr>
        <w:pStyle w:val="Heading2"/>
        <w:rPr>
          <w:rFonts w:ascii="Times New Roman" w:hAnsi="Times New Roman"/>
          <w:color w:val="auto"/>
          <w:sz w:val="24"/>
          <w:szCs w:val="24"/>
        </w:rPr>
      </w:pPr>
      <w:bookmarkStart w:id="9" w:name="_Toc398181080"/>
      <w:bookmarkStart w:id="10" w:name="_Toc276342209"/>
      <w:r>
        <w:rPr>
          <w:rFonts w:ascii="Times New Roman" w:hAnsi="Times New Roman"/>
          <w:color w:val="auto"/>
          <w:sz w:val="24"/>
        </w:rPr>
        <w:t>Summary of a completed support application</w:t>
      </w:r>
      <w:bookmarkEnd w:id="9"/>
      <w:bookmarkEnd w:id="10"/>
    </w:p>
    <w:p w14:paraId="17355C68" w14:textId="2E59F18F" w:rsidR="005D37B7" w:rsidRDefault="005D37B7" w:rsidP="005D37B7">
      <w:pPr>
        <w:rPr>
          <w:rFonts w:ascii="Times New Roman" w:hAnsi="Times New Roman"/>
          <w:sz w:val="24"/>
          <w:szCs w:val="24"/>
        </w:rPr>
      </w:pPr>
      <w:r>
        <w:rPr>
          <w:rFonts w:ascii="Times New Roman" w:hAnsi="Times New Roman"/>
          <w:sz w:val="24"/>
        </w:rPr>
        <w:t>This HSS support application follows the preparation and adoption of the 2014-2013 HSDP and its first implementation plan (PRODESS, III) and is part of the 2012-2016 cMYP.  Its goals and strategies have been fully aligned with these health policy documents.</w:t>
      </w:r>
    </w:p>
    <w:p w14:paraId="7526B0D5" w14:textId="76B2D0D8" w:rsidR="005D37B7" w:rsidRPr="00913BBF" w:rsidRDefault="005D37B7" w:rsidP="005D37B7">
      <w:pPr>
        <w:spacing w:before="120"/>
        <w:jc w:val="both"/>
        <w:rPr>
          <w:rFonts w:ascii="Times New Roman" w:hAnsi="Times New Roman"/>
          <w:sz w:val="24"/>
          <w:szCs w:val="24"/>
        </w:rPr>
      </w:pPr>
      <w:r>
        <w:rPr>
          <w:rFonts w:ascii="Times New Roman" w:hAnsi="Times New Roman"/>
          <w:sz w:val="24"/>
        </w:rPr>
        <w:t>The Mali health system has experienced the effects of the socio-political and security crisis also affecting northern health structures as well as those in the southern portion of the country. Efforts have been taken by the government and its partners in order to preserve accomplishments, particularly with regard to vaccine coverage. Thus the alternative strategies for reaching the population have been developed, such as support for advanced strategies and multidisciplinary mobile teams, through services contracts with national and international NGOs.</w:t>
      </w:r>
    </w:p>
    <w:p w14:paraId="685ADE47" w14:textId="77777777" w:rsidR="005D37B7" w:rsidRPr="00913BBF" w:rsidRDefault="005D37B7" w:rsidP="005D37B7">
      <w:pPr>
        <w:spacing w:before="120" w:after="120"/>
        <w:jc w:val="both"/>
        <w:rPr>
          <w:rFonts w:ascii="Times New Roman" w:hAnsi="Times New Roman"/>
          <w:sz w:val="24"/>
          <w:szCs w:val="24"/>
        </w:rPr>
      </w:pPr>
      <w:r>
        <w:rPr>
          <w:rFonts w:ascii="Times New Roman" w:hAnsi="Times New Roman"/>
          <w:sz w:val="24"/>
        </w:rPr>
        <w:t>With regard to the issues of geographic accessibility to reach the population with immunization, difficulties related to the following must be noted:</w:t>
      </w:r>
    </w:p>
    <w:p w14:paraId="010E3039" w14:textId="2AC89B6B" w:rsidR="005D37B7" w:rsidRPr="00913BBF" w:rsidRDefault="005D37B7" w:rsidP="005D37B7">
      <w:pPr>
        <w:numPr>
          <w:ilvl w:val="0"/>
          <w:numId w:val="7"/>
        </w:numPr>
        <w:spacing w:before="120" w:after="120"/>
        <w:jc w:val="both"/>
        <w:rPr>
          <w:rFonts w:ascii="Times New Roman" w:hAnsi="Times New Roman"/>
          <w:sz w:val="24"/>
          <w:szCs w:val="24"/>
        </w:rPr>
      </w:pPr>
      <w:r>
        <w:rPr>
          <w:rFonts w:ascii="Times New Roman" w:hAnsi="Times New Roman"/>
          <w:sz w:val="24"/>
        </w:rPr>
        <w:t>The availability of qualified personnel having a certain understanding of the management of the Expanded Program on Immunization (EPI). Therefore, a great deal of vaccine wastage due to expiration, wasted doses or shortcomings in cold chain management and immunization data were observed;</w:t>
      </w:r>
    </w:p>
    <w:p w14:paraId="185CB9CD" w14:textId="10FE3483" w:rsidR="005D37B7" w:rsidRPr="00913BBF" w:rsidRDefault="005D37B7" w:rsidP="005D37B7">
      <w:pPr>
        <w:numPr>
          <w:ilvl w:val="0"/>
          <w:numId w:val="7"/>
        </w:numPr>
        <w:spacing w:before="120" w:after="120"/>
        <w:jc w:val="both"/>
        <w:rPr>
          <w:rFonts w:ascii="Times New Roman" w:hAnsi="Times New Roman"/>
          <w:sz w:val="24"/>
          <w:szCs w:val="24"/>
        </w:rPr>
      </w:pPr>
      <w:r>
        <w:rPr>
          <w:rFonts w:ascii="Times New Roman" w:hAnsi="Times New Roman"/>
          <w:sz w:val="24"/>
        </w:rPr>
        <w:t>The deteriorated condition of the cold chain and operating difficulties, as well as the deteriorated condition of logistic vaccine transport resources in certain areas. These situations affect vaccine quality;</w:t>
      </w:r>
    </w:p>
    <w:p w14:paraId="38509EB4" w14:textId="77777777" w:rsidR="005D37B7" w:rsidRPr="00913BBF" w:rsidRDefault="005D37B7" w:rsidP="005D37B7">
      <w:pPr>
        <w:numPr>
          <w:ilvl w:val="0"/>
          <w:numId w:val="7"/>
        </w:numPr>
        <w:spacing w:before="120" w:after="120"/>
        <w:jc w:val="both"/>
        <w:rPr>
          <w:rFonts w:ascii="Times New Roman" w:hAnsi="Times New Roman"/>
          <w:sz w:val="24"/>
          <w:szCs w:val="24"/>
        </w:rPr>
      </w:pPr>
      <w:r>
        <w:rPr>
          <w:rFonts w:ascii="Times New Roman" w:hAnsi="Times New Roman"/>
          <w:sz w:val="24"/>
        </w:rPr>
        <w:t>The frequent interruption of vaccine inventories;</w:t>
      </w:r>
    </w:p>
    <w:p w14:paraId="07E52B56" w14:textId="19FDDEDA" w:rsidR="005D37B7" w:rsidRPr="00913BBF" w:rsidRDefault="005D37B7" w:rsidP="005D37B7">
      <w:pPr>
        <w:numPr>
          <w:ilvl w:val="0"/>
          <w:numId w:val="7"/>
        </w:numPr>
        <w:spacing w:before="120" w:after="120"/>
        <w:jc w:val="both"/>
        <w:rPr>
          <w:rFonts w:ascii="Times New Roman" w:hAnsi="Times New Roman"/>
          <w:sz w:val="24"/>
          <w:szCs w:val="24"/>
        </w:rPr>
      </w:pPr>
      <w:r>
        <w:rPr>
          <w:rFonts w:ascii="Times New Roman" w:hAnsi="Times New Roman"/>
          <w:sz w:val="24"/>
        </w:rPr>
        <w:t>Difficulty in reaching zones frequented by armed groups.</w:t>
      </w:r>
    </w:p>
    <w:p w14:paraId="7DBC2621" w14:textId="77777777" w:rsidR="005D37B7" w:rsidRDefault="005D37B7" w:rsidP="005D37B7">
      <w:pPr>
        <w:spacing w:before="120" w:after="120"/>
        <w:jc w:val="both"/>
        <w:rPr>
          <w:rFonts w:ascii="Times New Roman" w:hAnsi="Times New Roman"/>
          <w:sz w:val="24"/>
          <w:szCs w:val="24"/>
        </w:rPr>
      </w:pPr>
      <w:r>
        <w:rPr>
          <w:rFonts w:ascii="Times New Roman" w:hAnsi="Times New Roman"/>
          <w:sz w:val="24"/>
        </w:rPr>
        <w:t>The use of its health services, particularly attendance at immunization centers, is still a problem in Mali. That is why efforts must be made for social mobilization, advocacy and promoting awareness of communities with regard to immunization. Civil society organizations and certain national and international NGOs will be mobilized to contribute to the implementation of this proposal through performance-based contracts.</w:t>
      </w:r>
    </w:p>
    <w:p w14:paraId="360FC06B" w14:textId="1E7EDA57" w:rsidR="005D37B7" w:rsidRDefault="00446B84" w:rsidP="005D37B7">
      <w:pPr>
        <w:spacing w:before="120" w:after="120"/>
        <w:jc w:val="both"/>
        <w:rPr>
          <w:rFonts w:ascii="Times New Roman" w:hAnsi="Times New Roman"/>
          <w:sz w:val="24"/>
          <w:szCs w:val="24"/>
        </w:rPr>
      </w:pPr>
      <w:r>
        <w:rPr>
          <w:rFonts w:ascii="Times New Roman" w:hAnsi="Times New Roman"/>
          <w:sz w:val="24"/>
        </w:rPr>
        <w:t>Following the security and socio-political crisis, the management of HSS and ISS is provided by WHO, in accordance with the memorandum of understanding signed between the Ministry of Health and Public Hygiene and WHO. Upon the expiration of this memorandum, HSS and ISS funds will be managed according to national procedures, as before the political-security crisis. The preliminary steps for the return to national management procedures are: improvement of administrative capacities and the implementation of a strict mechanism for monitoring the use of GAVI funds.</w:t>
      </w:r>
    </w:p>
    <w:p w14:paraId="15558916" w14:textId="77777777" w:rsidR="005D37B7" w:rsidRDefault="005D37B7" w:rsidP="005D37B7">
      <w:pPr>
        <w:spacing w:before="120" w:after="120"/>
        <w:jc w:val="both"/>
        <w:rPr>
          <w:rFonts w:ascii="Times New Roman" w:hAnsi="Times New Roman"/>
          <w:sz w:val="24"/>
          <w:szCs w:val="24"/>
        </w:rPr>
      </w:pPr>
      <w:r>
        <w:rPr>
          <w:rFonts w:ascii="Times New Roman" w:hAnsi="Times New Roman"/>
          <w:sz w:val="24"/>
        </w:rPr>
        <w:t>To consolidate the accomplishments from the implementation of this support request for HSS, sustainment measures have been proposed and must be the subject of an agreement between the Government of Mali and GAVI and the search for new partners.</w:t>
      </w:r>
    </w:p>
    <w:p w14:paraId="0D78DE06" w14:textId="0929758D" w:rsidR="0000091F" w:rsidRDefault="005D37B7" w:rsidP="00226DF1">
      <w:pPr>
        <w:spacing w:before="120" w:after="120"/>
        <w:jc w:val="both"/>
        <w:rPr>
          <w:rFonts w:ascii="Times New Roman" w:hAnsi="Times New Roman"/>
          <w:sz w:val="24"/>
          <w:szCs w:val="24"/>
        </w:rPr>
      </w:pPr>
      <w:r>
        <w:rPr>
          <w:rFonts w:ascii="Times New Roman" w:hAnsi="Times New Roman"/>
          <w:sz w:val="24"/>
        </w:rPr>
        <w:t>The total amount of the HSS support request for this proposal is 24,000,000 US Dollars ($US), however GAVI has made available 20,160,000 $US, and the remainder will be disbursed upon attainment of the objectives. This amount is divided among the four objectives of the support request.</w:t>
      </w:r>
    </w:p>
    <w:p w14:paraId="6B258724" w14:textId="77777777" w:rsidR="000D2494" w:rsidRDefault="000D2494" w:rsidP="00226DF1">
      <w:pPr>
        <w:spacing w:before="120" w:after="120"/>
        <w:jc w:val="both"/>
        <w:rPr>
          <w:rFonts w:ascii="Times New Roman" w:hAnsi="Times New Roman"/>
          <w:sz w:val="24"/>
          <w:szCs w:val="24"/>
        </w:rPr>
      </w:pPr>
    </w:p>
    <w:p w14:paraId="19BE6040" w14:textId="77777777" w:rsidR="000D2494" w:rsidRPr="004B5884" w:rsidRDefault="000D2494" w:rsidP="00226DF1">
      <w:pPr>
        <w:spacing w:before="120" w:after="120"/>
        <w:jc w:val="both"/>
        <w:rPr>
          <w:rFonts w:ascii="Times New Roman" w:hAnsi="Times New Roman"/>
          <w:sz w:val="24"/>
          <w:szCs w:val="24"/>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9316FF" w14:paraId="6695A716" w14:textId="77777777" w:rsidTr="005D447F">
        <w:tc>
          <w:tcPr>
            <w:tcW w:w="9889" w:type="dxa"/>
            <w:gridSpan w:val="3"/>
            <w:shd w:val="clear" w:color="auto" w:fill="006460"/>
          </w:tcPr>
          <w:p w14:paraId="70EA352A" w14:textId="77777777" w:rsidR="00867FFD" w:rsidRPr="004B5884" w:rsidRDefault="00867FFD" w:rsidP="00226DF1">
            <w:pPr>
              <w:spacing w:before="120" w:after="120"/>
              <w:jc w:val="both"/>
              <w:rPr>
                <w:rFonts w:ascii="Times New Roman" w:hAnsi="Times New Roman"/>
                <w:b/>
                <w:color w:val="FFFFFF" w:themeColor="background1"/>
                <w:sz w:val="24"/>
                <w:szCs w:val="24"/>
              </w:rPr>
            </w:pPr>
            <w:r>
              <w:rPr>
                <w:rFonts w:ascii="Times New Roman" w:hAnsi="Times New Roman"/>
                <w:b/>
                <w:color w:val="FFFFFF" w:themeColor="background1"/>
                <w:sz w:val="24"/>
              </w:rPr>
              <w:t>Countries may wish to attach additional national documents as necessary.</w:t>
            </w:r>
          </w:p>
          <w:p w14:paraId="640673CF" w14:textId="77777777" w:rsidR="00867FFD" w:rsidRPr="004B5884" w:rsidRDefault="00867FFD" w:rsidP="00226DF1">
            <w:pPr>
              <w:spacing w:before="120" w:after="120"/>
              <w:jc w:val="both"/>
              <w:rPr>
                <w:rFonts w:ascii="Times New Roman" w:hAnsi="Times New Roman"/>
                <w:b/>
                <w:sz w:val="24"/>
                <w:szCs w:val="24"/>
              </w:rPr>
            </w:pPr>
            <w:r>
              <w:rPr>
                <w:rFonts w:ascii="Times New Roman" w:hAnsi="Times New Roman"/>
                <w:b/>
                <w:color w:val="FFFFFF" w:themeColor="background1"/>
                <w:sz w:val="24"/>
              </w:rPr>
              <w:t xml:space="preserve">→ Please place an ‘X’ in the box when the attachment is included </w:t>
            </w:r>
          </w:p>
        </w:tc>
      </w:tr>
      <w:tr w:rsidR="00867FFD" w:rsidRPr="009316FF" w14:paraId="295AAA08" w14:textId="77777777" w:rsidTr="005D447F">
        <w:tc>
          <w:tcPr>
            <w:tcW w:w="959" w:type="dxa"/>
            <w:shd w:val="clear" w:color="006460" w:fill="99CCCC"/>
          </w:tcPr>
          <w:p w14:paraId="1637DD7F"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No.</w:t>
            </w:r>
          </w:p>
        </w:tc>
        <w:tc>
          <w:tcPr>
            <w:tcW w:w="8363" w:type="dxa"/>
            <w:shd w:val="clear" w:color="006460" w:fill="99CCCC"/>
          </w:tcPr>
          <w:p w14:paraId="78391731"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Attachment</w:t>
            </w:r>
          </w:p>
        </w:tc>
        <w:tc>
          <w:tcPr>
            <w:tcW w:w="567" w:type="dxa"/>
            <w:shd w:val="clear" w:color="006460" w:fill="99CCCC"/>
          </w:tcPr>
          <w:p w14:paraId="413BACA2"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7ACF31E1" w14:textId="77777777" w:rsidTr="00847AF1">
        <w:trPr>
          <w:trHeight w:val="226"/>
        </w:trPr>
        <w:tc>
          <w:tcPr>
            <w:tcW w:w="959" w:type="dxa"/>
            <w:tcBorders>
              <w:top w:val="single" w:sz="4" w:space="0" w:color="auto"/>
            </w:tcBorders>
          </w:tcPr>
          <w:p w14:paraId="1639ACF5"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 1.</w:t>
            </w:r>
          </w:p>
        </w:tc>
        <w:tc>
          <w:tcPr>
            <w:tcW w:w="8363" w:type="dxa"/>
            <w:tcBorders>
              <w:top w:val="nil"/>
            </w:tcBorders>
          </w:tcPr>
          <w:p w14:paraId="3DACE163"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HSS Proposal Form </w:t>
            </w:r>
          </w:p>
        </w:tc>
        <w:tc>
          <w:tcPr>
            <w:tcW w:w="567" w:type="dxa"/>
            <w:tcBorders>
              <w:top w:val="nil"/>
            </w:tcBorders>
            <w:vAlign w:val="center"/>
          </w:tcPr>
          <w:p w14:paraId="2C4F5727" w14:textId="3A63629D" w:rsidR="00847AF1" w:rsidRPr="00147EE4" w:rsidRDefault="009E5444"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3D604FA0" w14:textId="77777777" w:rsidTr="005D447F">
        <w:tc>
          <w:tcPr>
            <w:tcW w:w="959" w:type="dxa"/>
            <w:tcBorders>
              <w:top w:val="single" w:sz="4" w:space="0" w:color="auto"/>
            </w:tcBorders>
          </w:tcPr>
          <w:p w14:paraId="79B98636" w14:textId="77777777" w:rsidR="00847AF1" w:rsidRPr="004B5884" w:rsidDel="00892BB6" w:rsidRDefault="00847AF1" w:rsidP="00226DF1">
            <w:pPr>
              <w:spacing w:before="120" w:after="120"/>
              <w:jc w:val="both"/>
              <w:rPr>
                <w:rFonts w:ascii="Times New Roman" w:hAnsi="Times New Roman"/>
                <w:sz w:val="24"/>
                <w:szCs w:val="24"/>
              </w:rPr>
            </w:pPr>
            <w:r>
              <w:rPr>
                <w:rFonts w:ascii="Times New Roman" w:hAnsi="Times New Roman"/>
                <w:sz w:val="24"/>
              </w:rPr>
              <w:t xml:space="preserve"> 2.</w:t>
            </w:r>
          </w:p>
        </w:tc>
        <w:tc>
          <w:tcPr>
            <w:tcW w:w="8363" w:type="dxa"/>
            <w:tcBorders>
              <w:top w:val="nil"/>
            </w:tcBorders>
          </w:tcPr>
          <w:p w14:paraId="5D5EC106" w14:textId="62AB6E96"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Signature Sheet for Ministry of Health and Public Hygiene, Ministry of Finance and HSCC members.</w:t>
            </w:r>
          </w:p>
        </w:tc>
        <w:tc>
          <w:tcPr>
            <w:tcW w:w="567" w:type="dxa"/>
            <w:tcBorders>
              <w:top w:val="nil"/>
            </w:tcBorders>
            <w:vAlign w:val="center"/>
          </w:tcPr>
          <w:p w14:paraId="171FE351" w14:textId="11CAF927" w:rsidR="00847AF1" w:rsidRPr="00147EE4" w:rsidRDefault="009E5444"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6C1F32C6" w14:textId="77777777" w:rsidTr="005D447F">
        <w:tc>
          <w:tcPr>
            <w:tcW w:w="959" w:type="dxa"/>
            <w:tcBorders>
              <w:top w:val="single" w:sz="4" w:space="0" w:color="auto"/>
            </w:tcBorders>
          </w:tcPr>
          <w:p w14:paraId="32DB859E"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 3.</w:t>
            </w:r>
          </w:p>
        </w:tc>
        <w:tc>
          <w:tcPr>
            <w:tcW w:w="8363" w:type="dxa"/>
            <w:tcBorders>
              <w:top w:val="nil"/>
            </w:tcBorders>
          </w:tcPr>
          <w:p w14:paraId="2AA1C5BB"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Minutes of HSCC meeting evaluating the proposal</w:t>
            </w:r>
          </w:p>
        </w:tc>
        <w:tc>
          <w:tcPr>
            <w:tcW w:w="567" w:type="dxa"/>
            <w:tcBorders>
              <w:top w:val="nil"/>
            </w:tcBorders>
            <w:vAlign w:val="center"/>
          </w:tcPr>
          <w:p w14:paraId="1B2B6DC7" w14:textId="6A00C3C6" w:rsidR="00847AF1" w:rsidRPr="00147EE4" w:rsidRDefault="009E5444"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7644B9F0" w14:textId="77777777" w:rsidTr="005D447F">
        <w:tc>
          <w:tcPr>
            <w:tcW w:w="959" w:type="dxa"/>
            <w:tcBorders>
              <w:top w:val="single" w:sz="4" w:space="0" w:color="auto"/>
            </w:tcBorders>
          </w:tcPr>
          <w:p w14:paraId="03EBBAB6"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 4.</w:t>
            </w:r>
          </w:p>
        </w:tc>
        <w:tc>
          <w:tcPr>
            <w:tcW w:w="8363" w:type="dxa"/>
            <w:tcBorders>
              <w:top w:val="nil"/>
            </w:tcBorders>
          </w:tcPr>
          <w:p w14:paraId="0566976F"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Minutes of three most recent HSCC meetings or equivalent</w:t>
            </w:r>
          </w:p>
        </w:tc>
        <w:tc>
          <w:tcPr>
            <w:tcW w:w="567" w:type="dxa"/>
            <w:tcBorders>
              <w:top w:val="nil"/>
            </w:tcBorders>
            <w:vAlign w:val="center"/>
          </w:tcPr>
          <w:p w14:paraId="4BCC4375" w14:textId="32C51806" w:rsidR="00847AF1" w:rsidRPr="00147EE4" w:rsidRDefault="009E5444"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2108C27F" w14:textId="77777777" w:rsidTr="005D447F">
        <w:tc>
          <w:tcPr>
            <w:tcW w:w="959" w:type="dxa"/>
            <w:tcBorders>
              <w:top w:val="single" w:sz="4" w:space="0" w:color="auto"/>
            </w:tcBorders>
          </w:tcPr>
          <w:p w14:paraId="459E359B"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 5.</w:t>
            </w:r>
          </w:p>
        </w:tc>
        <w:tc>
          <w:tcPr>
            <w:tcW w:w="8363" w:type="dxa"/>
            <w:tcBorders>
              <w:top w:val="nil"/>
              <w:bottom w:val="single" w:sz="6" w:space="0" w:color="000000"/>
            </w:tcBorders>
          </w:tcPr>
          <w:p w14:paraId="617B5A17"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HSS Monitoring &amp; Evaluation Framework </w:t>
            </w:r>
          </w:p>
        </w:tc>
        <w:tc>
          <w:tcPr>
            <w:tcW w:w="567" w:type="dxa"/>
            <w:tcBorders>
              <w:top w:val="nil"/>
              <w:bottom w:val="single" w:sz="6" w:space="0" w:color="000000"/>
            </w:tcBorders>
            <w:vAlign w:val="center"/>
          </w:tcPr>
          <w:p w14:paraId="543C1BF1" w14:textId="5B79BB53" w:rsidR="00847AF1" w:rsidRPr="00147EE4" w:rsidRDefault="009E5444"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2624C327" w14:textId="77777777" w:rsidTr="005D447F">
        <w:tc>
          <w:tcPr>
            <w:tcW w:w="959" w:type="dxa"/>
            <w:tcBorders>
              <w:top w:val="single" w:sz="4" w:space="0" w:color="auto"/>
              <w:bottom w:val="single" w:sz="4" w:space="0" w:color="auto"/>
            </w:tcBorders>
          </w:tcPr>
          <w:p w14:paraId="681A42B9"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 6.</w:t>
            </w:r>
          </w:p>
        </w:tc>
        <w:tc>
          <w:tcPr>
            <w:tcW w:w="8363" w:type="dxa"/>
            <w:tcBorders>
              <w:top w:val="single" w:sz="6" w:space="0" w:color="000000"/>
              <w:bottom w:val="single" w:sz="6" w:space="0" w:color="000000"/>
            </w:tcBorders>
          </w:tcPr>
          <w:p w14:paraId="527EA313"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Detailed work plan and detailed budget </w:t>
            </w:r>
          </w:p>
        </w:tc>
        <w:tc>
          <w:tcPr>
            <w:tcW w:w="567" w:type="dxa"/>
            <w:tcBorders>
              <w:top w:val="single" w:sz="6" w:space="0" w:color="000000"/>
              <w:bottom w:val="single" w:sz="6" w:space="0" w:color="000000"/>
            </w:tcBorders>
            <w:vAlign w:val="center"/>
          </w:tcPr>
          <w:p w14:paraId="5F42F102" w14:textId="6814334B" w:rsidR="00847AF1" w:rsidRPr="00147EE4" w:rsidRDefault="009E5444" w:rsidP="00226DF1">
            <w:pPr>
              <w:spacing w:before="120" w:after="120"/>
              <w:jc w:val="both"/>
              <w:rPr>
                <w:rFonts w:ascii="Times New Roman" w:hAnsi="Times New Roman"/>
                <w:sz w:val="24"/>
                <w:szCs w:val="24"/>
              </w:rPr>
            </w:pPr>
            <w:r>
              <w:rPr>
                <w:rFonts w:ascii="Times New Roman" w:hAnsi="Times New Roman"/>
                <w:sz w:val="24"/>
              </w:rPr>
              <w:t>X</w:t>
            </w:r>
          </w:p>
        </w:tc>
      </w:tr>
      <w:tr w:rsidR="00847AF1" w:rsidRPr="009316FF" w14:paraId="3DDC1BB3" w14:textId="77777777" w:rsidTr="00847AF1">
        <w:trPr>
          <w:trHeight w:val="155"/>
        </w:trPr>
        <w:tc>
          <w:tcPr>
            <w:tcW w:w="959" w:type="dxa"/>
            <w:tcBorders>
              <w:top w:val="single" w:sz="4" w:space="0" w:color="auto"/>
              <w:bottom w:val="single" w:sz="4" w:space="0" w:color="auto"/>
            </w:tcBorders>
          </w:tcPr>
          <w:p w14:paraId="6B5F7872"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 xml:space="preserve"> 7.</w:t>
            </w:r>
          </w:p>
        </w:tc>
        <w:tc>
          <w:tcPr>
            <w:tcW w:w="8363" w:type="dxa"/>
            <w:tcBorders>
              <w:top w:val="single" w:sz="6" w:space="0" w:color="000000"/>
              <w:bottom w:val="single" w:sz="4" w:space="0" w:color="auto"/>
            </w:tcBorders>
          </w:tcPr>
          <w:p w14:paraId="489C9FFB" w14:textId="77777777" w:rsidR="00847AF1" w:rsidRPr="004B5884" w:rsidRDefault="00847AF1" w:rsidP="00226DF1">
            <w:pPr>
              <w:spacing w:before="120" w:after="120"/>
              <w:jc w:val="both"/>
              <w:rPr>
                <w:rFonts w:ascii="Times New Roman" w:hAnsi="Times New Roman"/>
                <w:sz w:val="24"/>
                <w:szCs w:val="24"/>
              </w:rPr>
            </w:pPr>
            <w:r>
              <w:rPr>
                <w:rFonts w:ascii="Times New Roman" w:hAnsi="Times New Roman"/>
                <w:sz w:val="24"/>
              </w:rPr>
              <w:t>Detailed Procurement Plan (18-month)</w:t>
            </w:r>
          </w:p>
        </w:tc>
        <w:tc>
          <w:tcPr>
            <w:tcW w:w="567" w:type="dxa"/>
            <w:tcBorders>
              <w:top w:val="single" w:sz="6" w:space="0" w:color="000000"/>
              <w:bottom w:val="single" w:sz="4" w:space="0" w:color="auto"/>
            </w:tcBorders>
            <w:vAlign w:val="center"/>
          </w:tcPr>
          <w:p w14:paraId="3BB22FAF" w14:textId="77777777" w:rsidR="00847AF1" w:rsidRPr="004B5884" w:rsidRDefault="00847AF1" w:rsidP="00226DF1">
            <w:pPr>
              <w:spacing w:before="120" w:after="120"/>
              <w:jc w:val="both"/>
              <w:rPr>
                <w:rFonts w:ascii="Times New Roman" w:hAnsi="Times New Roman"/>
                <w:sz w:val="24"/>
                <w:szCs w:val="24"/>
              </w:rPr>
            </w:pPr>
          </w:p>
        </w:tc>
      </w:tr>
    </w:tbl>
    <w:p w14:paraId="401F74AC"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9316FF" w14:paraId="634DFD84" w14:textId="77777777" w:rsidTr="005D447F">
        <w:tc>
          <w:tcPr>
            <w:tcW w:w="9889" w:type="dxa"/>
            <w:gridSpan w:val="3"/>
            <w:shd w:val="clear" w:color="auto" w:fill="006460"/>
          </w:tcPr>
          <w:p w14:paraId="11CBD1BD" w14:textId="77777777" w:rsidR="00867FFD" w:rsidRPr="004B5884" w:rsidRDefault="00867FFD" w:rsidP="00226DF1">
            <w:pPr>
              <w:spacing w:before="120" w:after="120"/>
              <w:jc w:val="both"/>
              <w:rPr>
                <w:rFonts w:ascii="Times New Roman" w:hAnsi="Times New Roman"/>
                <w:b/>
                <w:color w:val="FFFFFF" w:themeColor="background1"/>
                <w:sz w:val="24"/>
                <w:szCs w:val="24"/>
              </w:rPr>
            </w:pPr>
            <w:r>
              <w:rPr>
                <w:rFonts w:ascii="Times New Roman" w:hAnsi="Times New Roman"/>
                <w:b/>
                <w:color w:val="FFFFFF" w:themeColor="background1"/>
                <w:sz w:val="24"/>
              </w:rPr>
              <w:t>Existing National Documents - Mandatory Attachments</w:t>
            </w:r>
          </w:p>
          <w:p w14:paraId="5339FEAD" w14:textId="77777777" w:rsidR="00867FFD" w:rsidRPr="004B5884" w:rsidRDefault="00867FFD" w:rsidP="00226DF1">
            <w:pPr>
              <w:spacing w:before="120" w:after="120"/>
              <w:jc w:val="both"/>
              <w:rPr>
                <w:rFonts w:ascii="Times New Roman" w:hAnsi="Times New Roman"/>
                <w:b/>
                <w:color w:val="FFFFFF" w:themeColor="background1"/>
                <w:sz w:val="24"/>
                <w:szCs w:val="24"/>
              </w:rPr>
            </w:pPr>
            <w:r>
              <w:rPr>
                <w:rFonts w:ascii="Times New Roman" w:hAnsi="Times New Roman"/>
                <w:b/>
                <w:color w:val="FFFFFF" w:themeColor="background1"/>
                <w:sz w:val="24"/>
              </w:rPr>
              <w:t>Where possible, please attach approved national documents rather than drafts. For a decentralised country, provide relevant state/provincial level plan as well as any relevant national level documents.</w:t>
            </w:r>
          </w:p>
          <w:p w14:paraId="72EC0378" w14:textId="77777777" w:rsidR="00867FFD" w:rsidRPr="004B5884" w:rsidRDefault="00867FFD" w:rsidP="00226DF1">
            <w:pPr>
              <w:spacing w:before="120" w:after="120"/>
              <w:jc w:val="both"/>
              <w:rPr>
                <w:rFonts w:ascii="Times New Roman" w:hAnsi="Times New Roman"/>
                <w:b/>
                <w:color w:val="FFFFFF" w:themeColor="background1"/>
                <w:sz w:val="24"/>
                <w:szCs w:val="24"/>
              </w:rPr>
            </w:pPr>
            <w:r>
              <w:rPr>
                <w:rFonts w:ascii="Times New Roman" w:hAnsi="Times New Roman"/>
                <w:b/>
                <w:color w:val="FFFFFF" w:themeColor="background1"/>
                <w:sz w:val="24"/>
              </w:rPr>
              <w:t>→ Please place an ‘X’ in the box when the attachment is included</w:t>
            </w:r>
          </w:p>
        </w:tc>
      </w:tr>
      <w:tr w:rsidR="00867FFD" w:rsidRPr="009316FF" w14:paraId="24FF1EA8" w14:textId="77777777" w:rsidTr="005D447F">
        <w:tc>
          <w:tcPr>
            <w:tcW w:w="959" w:type="dxa"/>
            <w:shd w:val="clear" w:color="auto" w:fill="99CCCC"/>
          </w:tcPr>
          <w:p w14:paraId="42039296"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No.</w:t>
            </w:r>
          </w:p>
        </w:tc>
        <w:tc>
          <w:tcPr>
            <w:tcW w:w="8363" w:type="dxa"/>
            <w:shd w:val="clear" w:color="auto" w:fill="99CCCC"/>
          </w:tcPr>
          <w:p w14:paraId="1E1B51F8"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Attachment</w:t>
            </w:r>
          </w:p>
        </w:tc>
        <w:tc>
          <w:tcPr>
            <w:tcW w:w="567" w:type="dxa"/>
            <w:shd w:val="clear" w:color="auto" w:fill="99CCCC"/>
          </w:tcPr>
          <w:p w14:paraId="192469E4"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sz w:val="24"/>
              </w:rPr>
              <w:t>X</w:t>
            </w:r>
          </w:p>
        </w:tc>
      </w:tr>
      <w:tr w:rsidR="00867FFD" w:rsidRPr="00147EE4" w14:paraId="42ED7510" w14:textId="77777777" w:rsidTr="005D447F">
        <w:tc>
          <w:tcPr>
            <w:tcW w:w="959" w:type="dxa"/>
            <w:tcBorders>
              <w:top w:val="single" w:sz="4" w:space="0" w:color="auto"/>
            </w:tcBorders>
          </w:tcPr>
          <w:p w14:paraId="6A47C9CD"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 xml:space="preserve">8. </w:t>
            </w:r>
          </w:p>
        </w:tc>
        <w:tc>
          <w:tcPr>
            <w:tcW w:w="8363" w:type="dxa"/>
            <w:tcBorders>
              <w:top w:val="nil"/>
            </w:tcBorders>
          </w:tcPr>
          <w:p w14:paraId="5F15B535"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National health strategy, plan or national health policy, or other documents attached to the proposal, which highlight strategic HSS interventions</w:t>
            </w:r>
          </w:p>
        </w:tc>
        <w:tc>
          <w:tcPr>
            <w:tcW w:w="567" w:type="dxa"/>
            <w:tcBorders>
              <w:top w:val="nil"/>
            </w:tcBorders>
            <w:vAlign w:val="center"/>
          </w:tcPr>
          <w:p w14:paraId="5ED59622" w14:textId="307709F0" w:rsidR="00867FFD" w:rsidRPr="00147EE4" w:rsidRDefault="006647E7" w:rsidP="00226DF1">
            <w:pPr>
              <w:spacing w:before="120" w:after="120"/>
              <w:jc w:val="both"/>
              <w:rPr>
                <w:rFonts w:ascii="Times New Roman" w:hAnsi="Times New Roman"/>
                <w:sz w:val="24"/>
                <w:szCs w:val="24"/>
              </w:rPr>
            </w:pPr>
            <w:r>
              <w:rPr>
                <w:rFonts w:ascii="Times New Roman" w:hAnsi="Times New Roman"/>
                <w:sz w:val="24"/>
              </w:rPr>
              <w:t>X</w:t>
            </w:r>
          </w:p>
        </w:tc>
      </w:tr>
      <w:tr w:rsidR="00554FD8" w:rsidRPr="00147EE4" w14:paraId="31C74CB0" w14:textId="77777777" w:rsidTr="00DE64FB">
        <w:tc>
          <w:tcPr>
            <w:tcW w:w="959" w:type="dxa"/>
            <w:tcBorders>
              <w:top w:val="single" w:sz="4" w:space="0" w:color="auto"/>
            </w:tcBorders>
          </w:tcPr>
          <w:p w14:paraId="2AB0B111" w14:textId="77777777" w:rsidR="00554FD8" w:rsidRPr="004B5884" w:rsidRDefault="00554FD8" w:rsidP="00226DF1">
            <w:pPr>
              <w:spacing w:before="120" w:after="120"/>
              <w:jc w:val="both"/>
              <w:rPr>
                <w:rFonts w:ascii="Times New Roman" w:hAnsi="Times New Roman"/>
                <w:sz w:val="24"/>
                <w:szCs w:val="24"/>
              </w:rPr>
            </w:pPr>
            <w:r>
              <w:rPr>
                <w:rFonts w:ascii="Times New Roman" w:hAnsi="Times New Roman"/>
                <w:sz w:val="24"/>
              </w:rPr>
              <w:t>9.</w:t>
            </w:r>
          </w:p>
        </w:tc>
        <w:tc>
          <w:tcPr>
            <w:tcW w:w="8363" w:type="dxa"/>
            <w:tcBorders>
              <w:top w:val="nil"/>
            </w:tcBorders>
          </w:tcPr>
          <w:p w14:paraId="5785B33D" w14:textId="77777777" w:rsidR="00554FD8" w:rsidRPr="004B5884" w:rsidRDefault="00554FD8" w:rsidP="00226DF1">
            <w:pPr>
              <w:spacing w:before="120" w:after="120"/>
              <w:jc w:val="both"/>
              <w:rPr>
                <w:rFonts w:ascii="Times New Roman" w:hAnsi="Times New Roman"/>
                <w:sz w:val="24"/>
                <w:szCs w:val="24"/>
              </w:rPr>
            </w:pPr>
            <w:r>
              <w:rPr>
                <w:rFonts w:ascii="Times New Roman" w:hAnsi="Times New Roman"/>
                <w:sz w:val="24"/>
              </w:rPr>
              <w:t>National M&amp;E Plan (for the health sector/strategy)</w:t>
            </w:r>
          </w:p>
        </w:tc>
        <w:tc>
          <w:tcPr>
            <w:tcW w:w="567" w:type="dxa"/>
            <w:tcBorders>
              <w:top w:val="nil"/>
            </w:tcBorders>
          </w:tcPr>
          <w:p w14:paraId="3F3A11BD" w14:textId="31334AA9" w:rsidR="00554FD8" w:rsidRPr="00147EE4" w:rsidRDefault="00554FD8" w:rsidP="00226DF1">
            <w:pPr>
              <w:spacing w:before="120" w:after="120"/>
              <w:jc w:val="both"/>
              <w:rPr>
                <w:rFonts w:ascii="Times New Roman" w:hAnsi="Times New Roman"/>
                <w:sz w:val="24"/>
                <w:szCs w:val="24"/>
              </w:rPr>
            </w:pPr>
          </w:p>
        </w:tc>
      </w:tr>
      <w:tr w:rsidR="00554FD8" w:rsidRPr="00147EE4" w:rsidDel="00892BB6" w14:paraId="7BA70419" w14:textId="77777777" w:rsidTr="00DE64FB">
        <w:tc>
          <w:tcPr>
            <w:tcW w:w="959" w:type="dxa"/>
            <w:tcBorders>
              <w:top w:val="single" w:sz="4" w:space="0" w:color="auto"/>
              <w:right w:val="single" w:sz="4" w:space="0" w:color="auto"/>
            </w:tcBorders>
          </w:tcPr>
          <w:p w14:paraId="45D5CB49" w14:textId="77777777" w:rsidR="00554FD8" w:rsidRPr="004B5884" w:rsidRDefault="00554FD8" w:rsidP="00226DF1">
            <w:pPr>
              <w:spacing w:before="120" w:after="120"/>
              <w:jc w:val="both"/>
              <w:rPr>
                <w:rFonts w:ascii="Times New Roman" w:hAnsi="Times New Roman"/>
                <w:sz w:val="24"/>
                <w:szCs w:val="24"/>
              </w:rPr>
            </w:pPr>
            <w:r>
              <w:rPr>
                <w:rFonts w:ascii="Times New Roman" w:hAnsi="Times New Roman"/>
                <w:sz w:val="24"/>
              </w:rPr>
              <w:t>10.</w:t>
            </w:r>
          </w:p>
        </w:tc>
        <w:tc>
          <w:tcPr>
            <w:tcW w:w="8363" w:type="dxa"/>
            <w:tcBorders>
              <w:top w:val="single" w:sz="4" w:space="0" w:color="auto"/>
              <w:left w:val="single" w:sz="4" w:space="0" w:color="auto"/>
              <w:bottom w:val="single" w:sz="4" w:space="0" w:color="auto"/>
              <w:right w:val="single" w:sz="4" w:space="0" w:color="auto"/>
            </w:tcBorders>
          </w:tcPr>
          <w:p w14:paraId="35E49712" w14:textId="77777777" w:rsidR="00554FD8" w:rsidRPr="004B5884" w:rsidRDefault="00554FD8" w:rsidP="00226DF1">
            <w:pPr>
              <w:spacing w:before="120" w:after="120"/>
              <w:jc w:val="both"/>
              <w:rPr>
                <w:rFonts w:ascii="Times New Roman" w:hAnsi="Times New Roman"/>
                <w:sz w:val="24"/>
                <w:szCs w:val="24"/>
              </w:rPr>
            </w:pPr>
            <w:r>
              <w:rPr>
                <w:rFonts w:ascii="Times New Roman" w:hAnsi="Times New Roman"/>
                <w:sz w:val="24"/>
              </w:rPr>
              <w:t>National Immunisation Plan</w:t>
            </w:r>
          </w:p>
        </w:tc>
        <w:tc>
          <w:tcPr>
            <w:tcW w:w="567" w:type="dxa"/>
            <w:tcBorders>
              <w:top w:val="single" w:sz="4" w:space="0" w:color="auto"/>
              <w:left w:val="single" w:sz="4" w:space="0" w:color="auto"/>
              <w:bottom w:val="single" w:sz="4" w:space="0" w:color="auto"/>
              <w:right w:val="single" w:sz="4" w:space="0" w:color="auto"/>
            </w:tcBorders>
          </w:tcPr>
          <w:p w14:paraId="1D84686E" w14:textId="77777777" w:rsidR="00554FD8" w:rsidRPr="00147EE4" w:rsidRDefault="000114E9" w:rsidP="00226DF1">
            <w:pPr>
              <w:spacing w:before="120" w:after="120"/>
              <w:jc w:val="both"/>
              <w:rPr>
                <w:rFonts w:ascii="Times New Roman" w:hAnsi="Times New Roman"/>
                <w:sz w:val="24"/>
                <w:szCs w:val="24"/>
              </w:rPr>
            </w:pPr>
            <w:r>
              <w:rPr>
                <w:rFonts w:ascii="Times New Roman" w:hAnsi="Times New Roman"/>
                <w:sz w:val="24"/>
              </w:rPr>
              <w:t>X</w:t>
            </w:r>
          </w:p>
        </w:tc>
      </w:tr>
      <w:tr w:rsidR="00867FFD" w:rsidRPr="00147EE4" w:rsidDel="00892BB6" w14:paraId="35A6F863" w14:textId="77777777" w:rsidTr="005D447F">
        <w:tc>
          <w:tcPr>
            <w:tcW w:w="959" w:type="dxa"/>
            <w:tcBorders>
              <w:top w:val="single" w:sz="4" w:space="0" w:color="auto"/>
              <w:right w:val="single" w:sz="4" w:space="0" w:color="auto"/>
            </w:tcBorders>
          </w:tcPr>
          <w:p w14:paraId="51551F81" w14:textId="77777777" w:rsidR="00867FFD" w:rsidRPr="004B5884" w:rsidDel="00892BB6" w:rsidRDefault="00867FFD" w:rsidP="00226DF1">
            <w:pPr>
              <w:spacing w:before="120" w:after="120"/>
              <w:jc w:val="both"/>
              <w:rPr>
                <w:rFonts w:ascii="Times New Roman" w:hAnsi="Times New Roman"/>
                <w:sz w:val="24"/>
                <w:szCs w:val="24"/>
              </w:rPr>
            </w:pPr>
            <w:r>
              <w:rPr>
                <w:rFonts w:ascii="Times New Roman" w:hAnsi="Times New Roman"/>
                <w:sz w:val="24"/>
              </w:rPr>
              <w:t xml:space="preserve">11. </w:t>
            </w:r>
          </w:p>
        </w:tc>
        <w:tc>
          <w:tcPr>
            <w:tcW w:w="8363" w:type="dxa"/>
            <w:tcBorders>
              <w:top w:val="single" w:sz="4" w:space="0" w:color="auto"/>
              <w:left w:val="single" w:sz="4" w:space="0" w:color="auto"/>
              <w:bottom w:val="single" w:sz="4" w:space="0" w:color="auto"/>
              <w:right w:val="single" w:sz="4" w:space="0" w:color="auto"/>
            </w:tcBorders>
          </w:tcPr>
          <w:p w14:paraId="49A66B68" w14:textId="285233F2" w:rsidR="00867FFD" w:rsidRPr="004B5884" w:rsidDel="00892BB6" w:rsidRDefault="00C8024D" w:rsidP="00226DF1">
            <w:pPr>
              <w:spacing w:before="120" w:after="120"/>
              <w:jc w:val="both"/>
              <w:rPr>
                <w:rFonts w:ascii="Times New Roman" w:hAnsi="Times New Roman"/>
                <w:sz w:val="24"/>
                <w:szCs w:val="24"/>
              </w:rPr>
            </w:pPr>
            <w:r>
              <w:rPr>
                <w:rFonts w:ascii="Times New Roman" w:hAnsi="Times New Roman"/>
                <w:sz w:val="24"/>
              </w:rPr>
              <w:t>National cMYP</w:t>
            </w:r>
          </w:p>
        </w:tc>
        <w:tc>
          <w:tcPr>
            <w:tcW w:w="567" w:type="dxa"/>
            <w:tcBorders>
              <w:top w:val="single" w:sz="4" w:space="0" w:color="auto"/>
              <w:left w:val="single" w:sz="4" w:space="0" w:color="auto"/>
              <w:bottom w:val="single" w:sz="4" w:space="0" w:color="auto"/>
              <w:right w:val="single" w:sz="4" w:space="0" w:color="auto"/>
            </w:tcBorders>
            <w:vAlign w:val="center"/>
          </w:tcPr>
          <w:p w14:paraId="107362EE" w14:textId="77777777" w:rsidR="00867FFD" w:rsidRPr="00147EE4" w:rsidDel="00892BB6" w:rsidRDefault="00512001" w:rsidP="00226DF1">
            <w:pPr>
              <w:spacing w:before="120" w:after="120"/>
              <w:jc w:val="both"/>
              <w:rPr>
                <w:rFonts w:ascii="Times New Roman" w:hAnsi="Times New Roman"/>
                <w:sz w:val="24"/>
                <w:szCs w:val="24"/>
              </w:rPr>
            </w:pPr>
            <w:r>
              <w:rPr>
                <w:rFonts w:ascii="Times New Roman" w:hAnsi="Times New Roman"/>
                <w:sz w:val="24"/>
              </w:rPr>
              <w:t>X</w:t>
            </w:r>
          </w:p>
        </w:tc>
      </w:tr>
      <w:tr w:rsidR="00867FFD" w:rsidRPr="00147EE4" w:rsidDel="00892BB6" w14:paraId="392B55DA" w14:textId="77777777" w:rsidTr="005D447F">
        <w:tc>
          <w:tcPr>
            <w:tcW w:w="959" w:type="dxa"/>
            <w:tcBorders>
              <w:top w:val="single" w:sz="4" w:space="0" w:color="auto"/>
              <w:bottom w:val="single" w:sz="4" w:space="0" w:color="auto"/>
              <w:right w:val="single" w:sz="4" w:space="0" w:color="auto"/>
            </w:tcBorders>
          </w:tcPr>
          <w:p w14:paraId="6193C315" w14:textId="77777777" w:rsidR="00867FFD" w:rsidRPr="004B5884" w:rsidDel="00892BB6" w:rsidRDefault="00867FFD" w:rsidP="00226DF1">
            <w:pPr>
              <w:spacing w:before="120" w:after="120"/>
              <w:jc w:val="both"/>
              <w:rPr>
                <w:rFonts w:ascii="Times New Roman" w:hAnsi="Times New Roman"/>
                <w:sz w:val="24"/>
                <w:szCs w:val="24"/>
              </w:rPr>
            </w:pPr>
            <w:r>
              <w:rPr>
                <w:rFonts w:ascii="Times New Roman" w:hAnsi="Times New Roman"/>
                <w:sz w:val="24"/>
              </w:rPr>
              <w:t xml:space="preserve">12. </w:t>
            </w:r>
          </w:p>
        </w:tc>
        <w:tc>
          <w:tcPr>
            <w:tcW w:w="8363" w:type="dxa"/>
            <w:tcBorders>
              <w:top w:val="single" w:sz="4" w:space="0" w:color="auto"/>
              <w:left w:val="single" w:sz="4" w:space="0" w:color="auto"/>
              <w:bottom w:val="single" w:sz="4" w:space="0" w:color="auto"/>
              <w:right w:val="single" w:sz="4" w:space="0" w:color="auto"/>
            </w:tcBorders>
          </w:tcPr>
          <w:p w14:paraId="7CAFE3A7" w14:textId="77777777" w:rsidR="00867FFD" w:rsidRPr="004B5884" w:rsidDel="00892BB6" w:rsidRDefault="00867FFD" w:rsidP="00226DF1">
            <w:pPr>
              <w:spacing w:before="120" w:after="120"/>
              <w:jc w:val="both"/>
              <w:rPr>
                <w:rFonts w:ascii="Times New Roman" w:hAnsi="Times New Roman"/>
                <w:sz w:val="24"/>
                <w:szCs w:val="24"/>
              </w:rPr>
            </w:pPr>
            <w:r>
              <w:rPr>
                <w:rFonts w:ascii="Times New Roman" w:hAnsi="Times New Roman"/>
                <w:sz w:val="24"/>
              </w:rPr>
              <w:t>Vaccine assessments (EVM, post-introduction assessment, EPI reviews), if available</w:t>
            </w:r>
          </w:p>
        </w:tc>
        <w:tc>
          <w:tcPr>
            <w:tcW w:w="567" w:type="dxa"/>
            <w:tcBorders>
              <w:top w:val="single" w:sz="4" w:space="0" w:color="auto"/>
              <w:left w:val="single" w:sz="4" w:space="0" w:color="auto"/>
              <w:bottom w:val="single" w:sz="4" w:space="0" w:color="auto"/>
              <w:right w:val="single" w:sz="4" w:space="0" w:color="auto"/>
            </w:tcBorders>
            <w:vAlign w:val="center"/>
          </w:tcPr>
          <w:p w14:paraId="02BD7482" w14:textId="77777777" w:rsidR="00867FFD" w:rsidRPr="00147EE4" w:rsidDel="00892BB6" w:rsidRDefault="00512001" w:rsidP="00226DF1">
            <w:pPr>
              <w:spacing w:before="120" w:after="120"/>
              <w:jc w:val="both"/>
              <w:rPr>
                <w:rFonts w:ascii="Times New Roman" w:hAnsi="Times New Roman"/>
                <w:sz w:val="24"/>
                <w:szCs w:val="24"/>
              </w:rPr>
            </w:pPr>
            <w:r>
              <w:rPr>
                <w:rFonts w:ascii="Times New Roman" w:hAnsi="Times New Roman"/>
                <w:sz w:val="24"/>
              </w:rPr>
              <w:t>X</w:t>
            </w:r>
          </w:p>
        </w:tc>
      </w:tr>
      <w:tr w:rsidR="00867FFD" w:rsidRPr="00147EE4" w:rsidDel="00892BB6" w14:paraId="204D9196" w14:textId="77777777" w:rsidTr="005D447F">
        <w:tc>
          <w:tcPr>
            <w:tcW w:w="959" w:type="dxa"/>
            <w:tcBorders>
              <w:top w:val="single" w:sz="4" w:space="0" w:color="auto"/>
              <w:right w:val="single" w:sz="4" w:space="0" w:color="auto"/>
            </w:tcBorders>
          </w:tcPr>
          <w:p w14:paraId="4E894FA2"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13.</w:t>
            </w:r>
          </w:p>
        </w:tc>
        <w:tc>
          <w:tcPr>
            <w:tcW w:w="8363" w:type="dxa"/>
            <w:tcBorders>
              <w:top w:val="single" w:sz="4" w:space="0" w:color="auto"/>
              <w:left w:val="single" w:sz="4" w:space="0" w:color="auto"/>
              <w:bottom w:val="single" w:sz="4" w:space="0" w:color="auto"/>
              <w:right w:val="single" w:sz="4" w:space="0" w:color="auto"/>
            </w:tcBorders>
          </w:tcPr>
          <w:p w14:paraId="04C0D69E"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Health Sector Coordinating Committee Mandate (HSCC)</w:t>
            </w:r>
          </w:p>
        </w:tc>
        <w:tc>
          <w:tcPr>
            <w:tcW w:w="567" w:type="dxa"/>
            <w:tcBorders>
              <w:top w:val="single" w:sz="4" w:space="0" w:color="auto"/>
              <w:left w:val="single" w:sz="4" w:space="0" w:color="auto"/>
              <w:bottom w:val="single" w:sz="4" w:space="0" w:color="auto"/>
              <w:right w:val="single" w:sz="4" w:space="0" w:color="auto"/>
            </w:tcBorders>
            <w:vAlign w:val="center"/>
          </w:tcPr>
          <w:p w14:paraId="74F619ED" w14:textId="77777777" w:rsidR="00867FFD" w:rsidRPr="00147EE4" w:rsidDel="00892BB6" w:rsidRDefault="000114E9" w:rsidP="00226DF1">
            <w:pPr>
              <w:spacing w:before="120" w:after="120"/>
              <w:jc w:val="both"/>
              <w:rPr>
                <w:rFonts w:ascii="Times New Roman" w:hAnsi="Times New Roman"/>
                <w:sz w:val="24"/>
                <w:szCs w:val="24"/>
              </w:rPr>
            </w:pPr>
            <w:r>
              <w:rPr>
                <w:rFonts w:ascii="Times New Roman" w:hAnsi="Times New Roman"/>
                <w:sz w:val="24"/>
              </w:rPr>
              <w:t>X</w:t>
            </w:r>
          </w:p>
        </w:tc>
      </w:tr>
    </w:tbl>
    <w:p w14:paraId="63857AAA" w14:textId="77777777" w:rsidR="00147EE4" w:rsidRDefault="00147EE4" w:rsidP="00226DF1">
      <w:pPr>
        <w:widowControl w:val="0"/>
        <w:spacing w:before="120" w:after="120"/>
        <w:jc w:val="both"/>
        <w:rPr>
          <w:rFonts w:ascii="Times New Roman" w:eastAsia="Calibri" w:hAnsi="Times New Roman"/>
          <w:sz w:val="24"/>
          <w:szCs w:val="24"/>
        </w:rPr>
      </w:pPr>
    </w:p>
    <w:p w14:paraId="56F9435F" w14:textId="77777777" w:rsidR="00B44E4E" w:rsidRDefault="00B44E4E" w:rsidP="00226DF1">
      <w:pPr>
        <w:widowControl w:val="0"/>
        <w:spacing w:before="120" w:after="120"/>
        <w:jc w:val="both"/>
        <w:rPr>
          <w:rFonts w:ascii="Times New Roman" w:eastAsia="Calibri" w:hAnsi="Times New Roman"/>
          <w:sz w:val="24"/>
          <w:szCs w:val="24"/>
        </w:rPr>
      </w:pPr>
    </w:p>
    <w:p w14:paraId="339A7478" w14:textId="77777777" w:rsidR="00B44E4E" w:rsidRPr="004B5884" w:rsidRDefault="00B44E4E" w:rsidP="00226DF1">
      <w:pPr>
        <w:widowControl w:val="0"/>
        <w:spacing w:before="120" w:after="120"/>
        <w:jc w:val="both"/>
        <w:rPr>
          <w:rFonts w:ascii="Times New Roman" w:eastAsia="Calibri" w:hAnsi="Times New Roman"/>
          <w:sz w:val="24"/>
          <w:szCs w:val="24"/>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9316FF" w14:paraId="5FF88F90" w14:textId="77777777" w:rsidTr="005D447F">
        <w:tc>
          <w:tcPr>
            <w:tcW w:w="9889" w:type="dxa"/>
            <w:gridSpan w:val="3"/>
            <w:shd w:val="clear" w:color="auto" w:fill="006460"/>
          </w:tcPr>
          <w:p w14:paraId="000E2899" w14:textId="77777777" w:rsidR="00867FFD" w:rsidRPr="004B5884" w:rsidRDefault="00867FFD" w:rsidP="00226DF1">
            <w:pPr>
              <w:spacing w:before="120" w:after="120"/>
              <w:jc w:val="both"/>
              <w:rPr>
                <w:rFonts w:ascii="Times New Roman" w:hAnsi="Times New Roman"/>
                <w:b/>
                <w:color w:val="FFFFFF"/>
                <w:sz w:val="24"/>
                <w:szCs w:val="24"/>
              </w:rPr>
            </w:pPr>
            <w:r>
              <w:rPr>
                <w:rFonts w:ascii="Times New Roman" w:hAnsi="Times New Roman"/>
                <w:b/>
                <w:color w:val="FFFFFF"/>
                <w:sz w:val="24"/>
              </w:rPr>
              <w:t>Existing National Documents - Additional Attachments</w:t>
            </w:r>
          </w:p>
          <w:p w14:paraId="3A381D38" w14:textId="77777777" w:rsidR="00867FFD" w:rsidRPr="004B5884" w:rsidRDefault="00867FFD" w:rsidP="00226DF1">
            <w:pPr>
              <w:spacing w:before="120" w:after="120"/>
              <w:jc w:val="both"/>
              <w:rPr>
                <w:rFonts w:ascii="Times New Roman" w:hAnsi="Times New Roman"/>
                <w:b/>
                <w:color w:val="FFFFFF"/>
                <w:sz w:val="24"/>
                <w:szCs w:val="24"/>
              </w:rPr>
            </w:pPr>
            <w:r>
              <w:rPr>
                <w:rFonts w:ascii="Times New Roman" w:hAnsi="Times New Roman"/>
                <w:b/>
                <w:color w:val="FFFFFF"/>
                <w:sz w:val="24"/>
              </w:rPr>
              <w:t>Where possible, please attach approved national documents rather than drafts. For a decentralised country, provide relevant state/provincial level plan as well as any relevant national level documents.</w:t>
            </w:r>
          </w:p>
          <w:p w14:paraId="15C5CA8F"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b/>
                <w:color w:val="FFFFFF"/>
                <w:sz w:val="24"/>
              </w:rPr>
              <w:t>→ Please place an ‘X’ in the box when the attachment is included</w:t>
            </w:r>
          </w:p>
        </w:tc>
      </w:tr>
      <w:tr w:rsidR="00867FFD" w:rsidRPr="009316FF" w14:paraId="0500BF78" w14:textId="77777777" w:rsidTr="005D447F">
        <w:tc>
          <w:tcPr>
            <w:tcW w:w="959" w:type="dxa"/>
            <w:shd w:val="clear" w:color="auto" w:fill="99CCCC"/>
          </w:tcPr>
          <w:p w14:paraId="5DA86951"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No.</w:t>
            </w:r>
          </w:p>
        </w:tc>
        <w:tc>
          <w:tcPr>
            <w:tcW w:w="8363" w:type="dxa"/>
            <w:shd w:val="clear" w:color="auto" w:fill="99CCCC"/>
          </w:tcPr>
          <w:p w14:paraId="20DD38BF"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Attachment</w:t>
            </w:r>
          </w:p>
        </w:tc>
        <w:tc>
          <w:tcPr>
            <w:tcW w:w="567" w:type="dxa"/>
            <w:shd w:val="clear" w:color="auto" w:fill="99CCCC"/>
          </w:tcPr>
          <w:p w14:paraId="61D6B593"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X</w:t>
            </w:r>
          </w:p>
        </w:tc>
      </w:tr>
      <w:tr w:rsidR="00867FFD" w:rsidRPr="009316FF" w14:paraId="46E7CF39" w14:textId="77777777" w:rsidTr="005D447F">
        <w:tc>
          <w:tcPr>
            <w:tcW w:w="959" w:type="dxa"/>
            <w:tcBorders>
              <w:top w:val="single" w:sz="4" w:space="0" w:color="auto"/>
              <w:left w:val="single" w:sz="4" w:space="0" w:color="auto"/>
              <w:bottom w:val="single" w:sz="4" w:space="0" w:color="auto"/>
              <w:right w:val="single" w:sz="4" w:space="0" w:color="auto"/>
            </w:tcBorders>
          </w:tcPr>
          <w:p w14:paraId="08BE03C3"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14.</w:t>
            </w:r>
          </w:p>
        </w:tc>
        <w:tc>
          <w:tcPr>
            <w:tcW w:w="8363" w:type="dxa"/>
            <w:tcBorders>
              <w:top w:val="single" w:sz="4" w:space="0" w:color="auto"/>
              <w:left w:val="single" w:sz="4" w:space="0" w:color="auto"/>
              <w:bottom w:val="single" w:sz="4" w:space="0" w:color="auto"/>
              <w:right w:val="single" w:sz="4" w:space="0" w:color="auto"/>
            </w:tcBorders>
          </w:tcPr>
          <w:p w14:paraId="7CA306E9"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Joint Assessment of National Health Strategy (if available)</w:t>
            </w:r>
          </w:p>
        </w:tc>
        <w:tc>
          <w:tcPr>
            <w:tcW w:w="567" w:type="dxa"/>
            <w:tcBorders>
              <w:top w:val="single" w:sz="4" w:space="0" w:color="auto"/>
              <w:left w:val="single" w:sz="4" w:space="0" w:color="auto"/>
              <w:bottom w:val="single" w:sz="4" w:space="0" w:color="auto"/>
              <w:right w:val="single" w:sz="4" w:space="0" w:color="auto"/>
            </w:tcBorders>
            <w:vAlign w:val="center"/>
          </w:tcPr>
          <w:p w14:paraId="154D05E5" w14:textId="645BAB2D" w:rsidR="00867FFD" w:rsidRPr="004B5884" w:rsidRDefault="0071609C" w:rsidP="00226DF1">
            <w:pPr>
              <w:spacing w:before="120" w:after="120"/>
              <w:jc w:val="both"/>
              <w:rPr>
                <w:rFonts w:ascii="Times New Roman" w:hAnsi="Times New Roman"/>
                <w:sz w:val="24"/>
                <w:szCs w:val="24"/>
              </w:rPr>
            </w:pPr>
            <w:r>
              <w:rPr>
                <w:rFonts w:ascii="Times New Roman" w:hAnsi="Times New Roman"/>
                <w:sz w:val="24"/>
              </w:rPr>
              <w:t>X</w:t>
            </w:r>
          </w:p>
        </w:tc>
      </w:tr>
      <w:tr w:rsidR="00867FFD" w:rsidRPr="009316FF" w14:paraId="23693292" w14:textId="77777777" w:rsidTr="005D447F">
        <w:tc>
          <w:tcPr>
            <w:tcW w:w="959" w:type="dxa"/>
            <w:tcBorders>
              <w:top w:val="single" w:sz="4" w:space="0" w:color="auto"/>
              <w:left w:val="single" w:sz="4" w:space="0" w:color="auto"/>
              <w:bottom w:val="single" w:sz="4" w:space="0" w:color="auto"/>
              <w:right w:val="single" w:sz="4" w:space="0" w:color="auto"/>
            </w:tcBorders>
          </w:tcPr>
          <w:p w14:paraId="46059DEA"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15.</w:t>
            </w:r>
          </w:p>
        </w:tc>
        <w:tc>
          <w:tcPr>
            <w:tcW w:w="8363" w:type="dxa"/>
            <w:tcBorders>
              <w:top w:val="single" w:sz="4" w:space="0" w:color="auto"/>
              <w:left w:val="single" w:sz="4" w:space="0" w:color="auto"/>
              <w:bottom w:val="single" w:sz="4" w:space="0" w:color="auto"/>
              <w:right w:val="single" w:sz="4" w:space="0" w:color="auto"/>
            </w:tcBorders>
          </w:tcPr>
          <w:p w14:paraId="6087FC89"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Response to Joint Assessment of National Health Strategy (if available)</w:t>
            </w:r>
          </w:p>
        </w:tc>
        <w:tc>
          <w:tcPr>
            <w:tcW w:w="567" w:type="dxa"/>
            <w:tcBorders>
              <w:top w:val="single" w:sz="4" w:space="0" w:color="auto"/>
              <w:left w:val="single" w:sz="4" w:space="0" w:color="auto"/>
              <w:bottom w:val="single" w:sz="4" w:space="0" w:color="auto"/>
              <w:right w:val="single" w:sz="4" w:space="0" w:color="auto"/>
            </w:tcBorders>
            <w:vAlign w:val="center"/>
          </w:tcPr>
          <w:p w14:paraId="5BF00E80" w14:textId="77777777" w:rsidR="00867FFD" w:rsidRPr="004B5884" w:rsidRDefault="00867FFD" w:rsidP="00226DF1">
            <w:pPr>
              <w:spacing w:before="120" w:after="120"/>
              <w:jc w:val="both"/>
              <w:rPr>
                <w:rFonts w:ascii="Times New Roman" w:hAnsi="Times New Roman"/>
                <w:sz w:val="24"/>
                <w:szCs w:val="24"/>
              </w:rPr>
            </w:pPr>
          </w:p>
        </w:tc>
      </w:tr>
      <w:tr w:rsidR="00867FFD" w:rsidRPr="009316FF" w14:paraId="705E3A5A" w14:textId="77777777" w:rsidTr="005D447F">
        <w:trPr>
          <w:trHeight w:val="119"/>
        </w:trPr>
        <w:tc>
          <w:tcPr>
            <w:tcW w:w="959" w:type="dxa"/>
            <w:tcBorders>
              <w:top w:val="single" w:sz="4" w:space="0" w:color="auto"/>
              <w:left w:val="single" w:sz="4" w:space="0" w:color="auto"/>
              <w:bottom w:val="single" w:sz="4" w:space="0" w:color="auto"/>
              <w:right w:val="single" w:sz="4" w:space="0" w:color="auto"/>
            </w:tcBorders>
          </w:tcPr>
          <w:p w14:paraId="15C5DE5D" w14:textId="77777777"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16.</w:t>
            </w:r>
          </w:p>
        </w:tc>
        <w:tc>
          <w:tcPr>
            <w:tcW w:w="8363" w:type="dxa"/>
            <w:tcBorders>
              <w:top w:val="single" w:sz="4" w:space="0" w:color="auto"/>
              <w:left w:val="single" w:sz="4" w:space="0" w:color="auto"/>
              <w:bottom w:val="single" w:sz="4" w:space="0" w:color="auto"/>
              <w:right w:val="single" w:sz="4" w:space="0" w:color="auto"/>
            </w:tcBorders>
            <w:vAlign w:val="center"/>
          </w:tcPr>
          <w:p w14:paraId="62F048A9" w14:textId="77777777" w:rsidR="00867FFD" w:rsidRPr="004B5884" w:rsidRDefault="00867FFD" w:rsidP="00226DF1">
            <w:pPr>
              <w:spacing w:before="120" w:after="120"/>
              <w:jc w:val="both"/>
              <w:rPr>
                <w:rFonts w:ascii="Times New Roman" w:hAnsi="Times New Roman"/>
                <w:sz w:val="24"/>
                <w:szCs w:val="24"/>
              </w:rPr>
            </w:pPr>
            <w:r>
              <w:rPr>
                <w:rFonts w:ascii="Times New Roman" w:hAnsi="Times New Roman"/>
                <w:sz w:val="24"/>
              </w:rPr>
              <w:t>If funds transfers are to go directly to a CSO or CSO Network, please provide the 3 most recent years of published financial statements of the lead CSO, audited by a qualified independent outside auditor</w:t>
            </w:r>
          </w:p>
        </w:tc>
        <w:tc>
          <w:tcPr>
            <w:tcW w:w="567" w:type="dxa"/>
            <w:tcBorders>
              <w:top w:val="single" w:sz="4" w:space="0" w:color="auto"/>
              <w:left w:val="single" w:sz="4" w:space="0" w:color="auto"/>
              <w:bottom w:val="single" w:sz="4" w:space="0" w:color="auto"/>
              <w:right w:val="single" w:sz="4" w:space="0" w:color="auto"/>
            </w:tcBorders>
            <w:vAlign w:val="center"/>
          </w:tcPr>
          <w:p w14:paraId="3720620C" w14:textId="77777777" w:rsidR="00867FFD" w:rsidRPr="004B5884" w:rsidRDefault="00867FFD" w:rsidP="00226DF1">
            <w:pPr>
              <w:widowControl w:val="0"/>
              <w:spacing w:before="120" w:after="120"/>
              <w:jc w:val="both"/>
              <w:rPr>
                <w:rFonts w:ascii="Times New Roman" w:eastAsia="Calibri" w:hAnsi="Times New Roman"/>
                <w:sz w:val="24"/>
                <w:szCs w:val="24"/>
              </w:rPr>
            </w:pPr>
          </w:p>
        </w:tc>
      </w:tr>
    </w:tbl>
    <w:p w14:paraId="69F18049" w14:textId="77777777" w:rsidR="00867FFD" w:rsidRPr="004B5884" w:rsidRDefault="00867FFD" w:rsidP="00226DF1">
      <w:pPr>
        <w:widowControl w:val="0"/>
        <w:spacing w:before="120" w:after="120"/>
        <w:jc w:val="both"/>
        <w:rPr>
          <w:rFonts w:ascii="Times New Roman" w:eastAsia="Calibri" w:hAnsi="Times New Roman"/>
          <w:sz w:val="24"/>
          <w:szCs w:val="24"/>
        </w:rPr>
      </w:pPr>
    </w:p>
    <w:p w14:paraId="70D35871" w14:textId="77777777" w:rsidR="00867FFD" w:rsidRPr="004B5884" w:rsidRDefault="00867FFD" w:rsidP="00226DF1">
      <w:pPr>
        <w:widowControl w:val="0"/>
        <w:spacing w:before="120" w:after="120"/>
        <w:jc w:val="both"/>
        <w:rPr>
          <w:rFonts w:ascii="Times New Roman" w:eastAsia="Calibri" w:hAnsi="Times New Roman"/>
          <w:sz w:val="24"/>
          <w:szCs w:val="24"/>
        </w:rPr>
      </w:pPr>
      <w:r>
        <w:br w:type="page"/>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6887"/>
      </w:tblGrid>
      <w:tr w:rsidR="00867FFD" w:rsidRPr="009316FF" w14:paraId="2BF99E8E" w14:textId="77777777" w:rsidTr="005D447F">
        <w:tc>
          <w:tcPr>
            <w:tcW w:w="5000" w:type="pct"/>
            <w:gridSpan w:val="2"/>
            <w:shd w:val="clear" w:color="auto" w:fill="006460"/>
            <w:vAlign w:val="center"/>
          </w:tcPr>
          <w:p w14:paraId="76F4E4C7" w14:textId="77777777" w:rsidR="00867FFD" w:rsidRPr="004B5884" w:rsidRDefault="00867FFD" w:rsidP="00226DF1">
            <w:pPr>
              <w:pStyle w:val="Heading2"/>
              <w:rPr>
                <w:rFonts w:ascii="Times New Roman" w:eastAsia="Calibri" w:hAnsi="Times New Roman"/>
                <w:sz w:val="24"/>
                <w:szCs w:val="24"/>
              </w:rPr>
            </w:pPr>
            <w:bookmarkStart w:id="11" w:name="_Toc398181081"/>
            <w:bookmarkStart w:id="12" w:name="_Toc276342210"/>
            <w:r>
              <w:rPr>
                <w:rFonts w:ascii="Times New Roman" w:hAnsi="Times New Roman"/>
                <w:sz w:val="24"/>
              </w:rPr>
              <w:t>1. Applicant Information</w:t>
            </w:r>
            <w:bookmarkEnd w:id="11"/>
            <w:bookmarkEnd w:id="12"/>
          </w:p>
        </w:tc>
      </w:tr>
      <w:tr w:rsidR="00867FFD" w:rsidRPr="009316FF" w14:paraId="7B7AE87A" w14:textId="77777777" w:rsidTr="005D447F">
        <w:tc>
          <w:tcPr>
            <w:tcW w:w="1671" w:type="pct"/>
            <w:shd w:val="clear" w:color="auto" w:fill="006460"/>
            <w:vAlign w:val="center"/>
          </w:tcPr>
          <w:p w14:paraId="22447598"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Applicant:</w:t>
            </w:r>
          </w:p>
        </w:tc>
        <w:tc>
          <w:tcPr>
            <w:tcW w:w="3329" w:type="pct"/>
            <w:shd w:val="clear" w:color="auto" w:fill="FFFFFF"/>
          </w:tcPr>
          <w:p w14:paraId="3760110D" w14:textId="77777777" w:rsidR="00867FFD" w:rsidRPr="004B5884" w:rsidRDefault="00867FFD" w:rsidP="00226DF1">
            <w:pPr>
              <w:spacing w:before="120" w:after="120"/>
              <w:jc w:val="both"/>
              <w:rPr>
                <w:rFonts w:ascii="Times New Roman" w:hAnsi="Times New Roman"/>
                <w:sz w:val="24"/>
                <w:szCs w:val="24"/>
              </w:rPr>
            </w:pPr>
          </w:p>
        </w:tc>
      </w:tr>
      <w:tr w:rsidR="00867FFD" w:rsidRPr="009316FF" w14:paraId="54452D2E" w14:textId="77777777" w:rsidTr="005D447F">
        <w:tc>
          <w:tcPr>
            <w:tcW w:w="1671" w:type="pct"/>
            <w:shd w:val="clear" w:color="auto" w:fill="006460"/>
            <w:vAlign w:val="center"/>
          </w:tcPr>
          <w:p w14:paraId="35357879"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Country:</w:t>
            </w:r>
          </w:p>
        </w:tc>
        <w:tc>
          <w:tcPr>
            <w:tcW w:w="3329" w:type="pct"/>
            <w:shd w:val="clear" w:color="auto" w:fill="FFFFFF"/>
          </w:tcPr>
          <w:p w14:paraId="5F5B7FDD" w14:textId="77777777" w:rsidR="00867FFD" w:rsidRPr="004B5884" w:rsidRDefault="000114E9" w:rsidP="00226DF1">
            <w:pPr>
              <w:spacing w:before="120" w:after="120"/>
              <w:jc w:val="both"/>
              <w:rPr>
                <w:rFonts w:ascii="Times New Roman" w:hAnsi="Times New Roman"/>
                <w:sz w:val="24"/>
                <w:szCs w:val="24"/>
              </w:rPr>
            </w:pPr>
            <w:r>
              <w:rPr>
                <w:rFonts w:ascii="Times New Roman" w:hAnsi="Times New Roman"/>
                <w:sz w:val="24"/>
              </w:rPr>
              <w:t>MALI</w:t>
            </w:r>
          </w:p>
        </w:tc>
      </w:tr>
      <w:tr w:rsidR="00867FFD" w:rsidRPr="009316FF" w14:paraId="6EEF4417" w14:textId="77777777" w:rsidTr="005D447F">
        <w:tc>
          <w:tcPr>
            <w:tcW w:w="1671" w:type="pct"/>
            <w:shd w:val="clear" w:color="auto" w:fill="006460"/>
            <w:vAlign w:val="center"/>
          </w:tcPr>
          <w:p w14:paraId="7CE32D20"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Proposal title:</w:t>
            </w:r>
          </w:p>
        </w:tc>
        <w:tc>
          <w:tcPr>
            <w:tcW w:w="3329" w:type="pct"/>
            <w:shd w:val="clear" w:color="auto" w:fill="FFFFFF"/>
          </w:tcPr>
          <w:p w14:paraId="324728A6" w14:textId="77777777" w:rsidR="00867FFD" w:rsidRPr="004B5884" w:rsidRDefault="000114E9" w:rsidP="00226DF1">
            <w:pPr>
              <w:spacing w:before="120" w:after="120"/>
              <w:jc w:val="both"/>
              <w:rPr>
                <w:rFonts w:ascii="Times New Roman" w:hAnsi="Times New Roman"/>
                <w:sz w:val="24"/>
                <w:szCs w:val="24"/>
              </w:rPr>
            </w:pPr>
            <w:r>
              <w:rPr>
                <w:rFonts w:ascii="Times New Roman" w:hAnsi="Times New Roman"/>
                <w:sz w:val="24"/>
              </w:rPr>
              <w:t xml:space="preserve"> Health Systems Strengthening</w:t>
            </w:r>
          </w:p>
        </w:tc>
      </w:tr>
      <w:tr w:rsidR="00867FFD" w:rsidRPr="009316FF" w14:paraId="02C593AC" w14:textId="77777777" w:rsidTr="005D447F">
        <w:tc>
          <w:tcPr>
            <w:tcW w:w="1671" w:type="pct"/>
            <w:shd w:val="clear" w:color="auto" w:fill="006460"/>
            <w:vAlign w:val="center"/>
          </w:tcPr>
          <w:p w14:paraId="6C1413C0"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Proposed start date:</w:t>
            </w:r>
          </w:p>
        </w:tc>
        <w:tc>
          <w:tcPr>
            <w:tcW w:w="3329" w:type="pct"/>
            <w:shd w:val="clear" w:color="auto" w:fill="FFFFFF"/>
          </w:tcPr>
          <w:p w14:paraId="59468E15" w14:textId="77777777" w:rsidR="00867FFD" w:rsidRPr="004B5884" w:rsidRDefault="000114E9" w:rsidP="00226DF1">
            <w:pPr>
              <w:spacing w:before="120" w:after="120"/>
              <w:jc w:val="both"/>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rPr>
              <w:t>JANUARY 2015</w:t>
            </w:r>
          </w:p>
        </w:tc>
      </w:tr>
      <w:tr w:rsidR="00867FFD" w:rsidRPr="009316FF" w14:paraId="438F7915" w14:textId="77777777" w:rsidTr="005D447F">
        <w:tc>
          <w:tcPr>
            <w:tcW w:w="1671" w:type="pct"/>
            <w:shd w:val="clear" w:color="auto" w:fill="006460"/>
            <w:vAlign w:val="center"/>
          </w:tcPr>
          <w:p w14:paraId="70BEF15E"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Duration of support requested:</w:t>
            </w:r>
          </w:p>
        </w:tc>
        <w:tc>
          <w:tcPr>
            <w:tcW w:w="3329" w:type="pct"/>
            <w:shd w:val="clear" w:color="auto" w:fill="FFFFFF"/>
          </w:tcPr>
          <w:p w14:paraId="683E92B8" w14:textId="77777777" w:rsidR="00867FFD" w:rsidRPr="004B5884" w:rsidRDefault="000114E9" w:rsidP="00226DF1">
            <w:pPr>
              <w:spacing w:before="120" w:after="120"/>
              <w:jc w:val="both"/>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rPr>
              <w:t>5 years</w:t>
            </w:r>
          </w:p>
        </w:tc>
      </w:tr>
      <w:tr w:rsidR="00867FFD" w:rsidRPr="009316FF" w14:paraId="2C7A4B95" w14:textId="77777777" w:rsidTr="005D447F">
        <w:trPr>
          <w:trHeight w:val="513"/>
        </w:trPr>
        <w:tc>
          <w:tcPr>
            <w:tcW w:w="1671" w:type="pct"/>
            <w:shd w:val="clear" w:color="auto" w:fill="006460"/>
            <w:vAlign w:val="center"/>
          </w:tcPr>
          <w:p w14:paraId="7224E51B"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Total funding requested from GAVI:</w:t>
            </w:r>
          </w:p>
        </w:tc>
        <w:tc>
          <w:tcPr>
            <w:tcW w:w="3329" w:type="pct"/>
            <w:shd w:val="clear" w:color="auto" w:fill="auto"/>
          </w:tcPr>
          <w:p w14:paraId="0C762BC8" w14:textId="77777777" w:rsidR="00867FFD" w:rsidRPr="004B5884" w:rsidRDefault="003C2651" w:rsidP="00226DF1">
            <w:pPr>
              <w:spacing w:before="120" w:after="120"/>
              <w:jc w:val="both"/>
              <w:rPr>
                <w:rFonts w:ascii="Times New Roman" w:hAnsi="Times New Roman"/>
                <w:color w:val="808080" w:themeColor="background1" w:themeShade="80"/>
                <w:sz w:val="24"/>
                <w:szCs w:val="24"/>
              </w:rPr>
            </w:pPr>
            <w:r>
              <w:rPr>
                <w:rFonts w:ascii="Times New Roman" w:hAnsi="Times New Roman"/>
                <w:color w:val="808080" w:themeColor="background1" w:themeShade="80"/>
                <w:sz w:val="24"/>
              </w:rPr>
              <w:t>USD 24,000,000</w:t>
            </w:r>
          </w:p>
        </w:tc>
      </w:tr>
      <w:tr w:rsidR="00867FFD" w:rsidRPr="009316FF" w14:paraId="59561FE9" w14:textId="77777777" w:rsidTr="005D447F">
        <w:trPr>
          <w:trHeight w:val="513"/>
        </w:trPr>
        <w:tc>
          <w:tcPr>
            <w:tcW w:w="5000" w:type="pct"/>
            <w:gridSpan w:val="2"/>
            <w:shd w:val="clear" w:color="auto" w:fill="006460"/>
            <w:vAlign w:val="center"/>
          </w:tcPr>
          <w:p w14:paraId="6AB2683F"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 xml:space="preserve">Contact details </w:t>
            </w:r>
          </w:p>
        </w:tc>
      </w:tr>
      <w:tr w:rsidR="00867FFD" w:rsidRPr="009316FF" w14:paraId="3F420CEC" w14:textId="77777777" w:rsidTr="005D447F">
        <w:trPr>
          <w:trHeight w:val="513"/>
        </w:trPr>
        <w:tc>
          <w:tcPr>
            <w:tcW w:w="1671" w:type="pct"/>
            <w:shd w:val="clear" w:color="auto" w:fill="006460"/>
            <w:vAlign w:val="center"/>
          </w:tcPr>
          <w:p w14:paraId="5813247B"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Name</w:t>
            </w:r>
          </w:p>
        </w:tc>
        <w:tc>
          <w:tcPr>
            <w:tcW w:w="3329" w:type="pct"/>
            <w:shd w:val="clear" w:color="auto" w:fill="auto"/>
          </w:tcPr>
          <w:p w14:paraId="716B5FAB" w14:textId="27741D8E" w:rsidR="00867FFD" w:rsidRPr="004B5884" w:rsidRDefault="000114E9" w:rsidP="004B23D8">
            <w:pPr>
              <w:spacing w:before="120" w:after="120"/>
              <w:jc w:val="both"/>
              <w:rPr>
                <w:rFonts w:ascii="Times New Roman" w:hAnsi="Times New Roman"/>
                <w:sz w:val="24"/>
                <w:szCs w:val="24"/>
              </w:rPr>
            </w:pPr>
            <w:r>
              <w:rPr>
                <w:rFonts w:ascii="Times New Roman" w:hAnsi="Times New Roman"/>
                <w:sz w:val="24"/>
              </w:rPr>
              <w:t>ABOUBACRINE A. MAIGA</w:t>
            </w:r>
          </w:p>
        </w:tc>
      </w:tr>
      <w:tr w:rsidR="00867FFD" w:rsidRPr="009316FF" w14:paraId="65581798" w14:textId="77777777" w:rsidTr="005D447F">
        <w:trPr>
          <w:trHeight w:val="513"/>
        </w:trPr>
        <w:tc>
          <w:tcPr>
            <w:tcW w:w="1671" w:type="pct"/>
            <w:shd w:val="clear" w:color="auto" w:fill="006460"/>
            <w:vAlign w:val="center"/>
          </w:tcPr>
          <w:p w14:paraId="63F67F7E"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Organisation and title</w:t>
            </w:r>
          </w:p>
        </w:tc>
        <w:tc>
          <w:tcPr>
            <w:tcW w:w="3329" w:type="pct"/>
            <w:shd w:val="clear" w:color="auto" w:fill="auto"/>
          </w:tcPr>
          <w:p w14:paraId="0285E2BD" w14:textId="6D3FA780" w:rsidR="00867FFD" w:rsidRPr="004B5884" w:rsidRDefault="000114E9" w:rsidP="00BF1E93">
            <w:pPr>
              <w:spacing w:before="120" w:after="120"/>
              <w:jc w:val="both"/>
              <w:rPr>
                <w:rFonts w:ascii="Times New Roman" w:hAnsi="Times New Roman"/>
                <w:sz w:val="24"/>
                <w:szCs w:val="24"/>
              </w:rPr>
            </w:pPr>
            <w:r>
              <w:rPr>
                <w:rFonts w:ascii="Times New Roman" w:hAnsi="Times New Roman"/>
                <w:sz w:val="24"/>
              </w:rPr>
              <w:t xml:space="preserve">HEALTH SECTOR PLANNING AND STATISTICS CELL, SOCIAL DEVELOPMENT AND FAMILY PROMOTION / DIRECTOR </w:t>
            </w:r>
          </w:p>
        </w:tc>
      </w:tr>
      <w:tr w:rsidR="00867FFD" w:rsidRPr="009316FF" w14:paraId="7AE5B4A3" w14:textId="77777777" w:rsidTr="005D447F">
        <w:trPr>
          <w:trHeight w:val="513"/>
        </w:trPr>
        <w:tc>
          <w:tcPr>
            <w:tcW w:w="1671" w:type="pct"/>
            <w:shd w:val="clear" w:color="auto" w:fill="006460"/>
            <w:vAlign w:val="center"/>
          </w:tcPr>
          <w:p w14:paraId="7F8DFF21"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Mailing address</w:t>
            </w:r>
          </w:p>
        </w:tc>
        <w:tc>
          <w:tcPr>
            <w:tcW w:w="3329" w:type="pct"/>
            <w:shd w:val="clear" w:color="auto" w:fill="auto"/>
          </w:tcPr>
          <w:p w14:paraId="05818ED3" w14:textId="77777777" w:rsidR="00867FFD" w:rsidRPr="004B5884" w:rsidRDefault="00956205" w:rsidP="00226DF1">
            <w:pPr>
              <w:spacing w:before="120" w:after="120"/>
              <w:jc w:val="both"/>
              <w:rPr>
                <w:rFonts w:ascii="Times New Roman" w:hAnsi="Times New Roman"/>
                <w:sz w:val="24"/>
                <w:szCs w:val="24"/>
              </w:rPr>
            </w:pPr>
            <w:r>
              <w:rPr>
                <w:rFonts w:ascii="Times New Roman" w:hAnsi="Times New Roman"/>
                <w:sz w:val="24"/>
              </w:rPr>
              <w:t>CPS/SS DS PF -KALANBAN COURA - RUE : 277 - DOOR: 275.</w:t>
            </w:r>
          </w:p>
          <w:p w14:paraId="5650F577" w14:textId="77777777" w:rsidR="00956205" w:rsidRPr="004B5884" w:rsidRDefault="00956205" w:rsidP="00226DF1">
            <w:pPr>
              <w:spacing w:before="120" w:after="120"/>
              <w:jc w:val="both"/>
              <w:rPr>
                <w:rFonts w:ascii="Times New Roman" w:hAnsi="Times New Roman"/>
                <w:sz w:val="24"/>
                <w:szCs w:val="24"/>
              </w:rPr>
            </w:pPr>
            <w:r>
              <w:rPr>
                <w:rFonts w:ascii="Times New Roman" w:hAnsi="Times New Roman"/>
                <w:sz w:val="24"/>
              </w:rPr>
              <w:t>-BP: 232-BAMAKO-REPUBLIC OF MALI</w:t>
            </w:r>
          </w:p>
        </w:tc>
      </w:tr>
      <w:tr w:rsidR="00867FFD" w:rsidRPr="009316FF" w14:paraId="6E3FB830" w14:textId="77777777" w:rsidTr="005D447F">
        <w:trPr>
          <w:trHeight w:val="513"/>
        </w:trPr>
        <w:tc>
          <w:tcPr>
            <w:tcW w:w="1671" w:type="pct"/>
            <w:shd w:val="clear" w:color="auto" w:fill="006460"/>
            <w:vAlign w:val="center"/>
          </w:tcPr>
          <w:p w14:paraId="594FCC52"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Telephone</w:t>
            </w:r>
          </w:p>
        </w:tc>
        <w:tc>
          <w:tcPr>
            <w:tcW w:w="3329" w:type="pct"/>
            <w:shd w:val="clear" w:color="auto" w:fill="auto"/>
          </w:tcPr>
          <w:p w14:paraId="655E5069" w14:textId="3C22F702" w:rsidR="00867FFD" w:rsidRPr="004B5884" w:rsidRDefault="00956205" w:rsidP="00E7794B">
            <w:pPr>
              <w:spacing w:before="120" w:after="120"/>
              <w:jc w:val="both"/>
              <w:rPr>
                <w:rFonts w:ascii="Times New Roman" w:hAnsi="Times New Roman"/>
                <w:sz w:val="24"/>
                <w:szCs w:val="24"/>
              </w:rPr>
            </w:pPr>
            <w:r>
              <w:rPr>
                <w:rFonts w:ascii="Times New Roman" w:hAnsi="Times New Roman"/>
                <w:sz w:val="24"/>
              </w:rPr>
              <w:t xml:space="preserve">(00223) 75 49 72 78 OU 69 62 11 78 </w:t>
            </w:r>
          </w:p>
        </w:tc>
      </w:tr>
      <w:tr w:rsidR="00867FFD" w:rsidRPr="009316FF" w14:paraId="773F5AA9" w14:textId="77777777" w:rsidTr="005D447F">
        <w:trPr>
          <w:trHeight w:val="513"/>
        </w:trPr>
        <w:tc>
          <w:tcPr>
            <w:tcW w:w="1671" w:type="pct"/>
            <w:shd w:val="clear" w:color="auto" w:fill="006460"/>
            <w:vAlign w:val="center"/>
          </w:tcPr>
          <w:p w14:paraId="1D8A06CC"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Fax</w:t>
            </w:r>
          </w:p>
        </w:tc>
        <w:tc>
          <w:tcPr>
            <w:tcW w:w="3329" w:type="pct"/>
            <w:shd w:val="clear" w:color="auto" w:fill="auto"/>
          </w:tcPr>
          <w:p w14:paraId="53336F3D" w14:textId="77777777" w:rsidR="00867FFD" w:rsidRPr="004B5884" w:rsidRDefault="00867FFD" w:rsidP="00226DF1">
            <w:pPr>
              <w:spacing w:before="120" w:after="120"/>
              <w:jc w:val="both"/>
              <w:rPr>
                <w:rFonts w:ascii="Times New Roman" w:hAnsi="Times New Roman"/>
                <w:sz w:val="24"/>
                <w:szCs w:val="24"/>
              </w:rPr>
            </w:pPr>
          </w:p>
        </w:tc>
      </w:tr>
      <w:tr w:rsidR="00867FFD" w:rsidRPr="009316FF" w14:paraId="0E291AA2" w14:textId="77777777" w:rsidTr="005D447F">
        <w:trPr>
          <w:trHeight w:val="513"/>
        </w:trPr>
        <w:tc>
          <w:tcPr>
            <w:tcW w:w="1671" w:type="pct"/>
            <w:shd w:val="clear" w:color="auto" w:fill="006460"/>
            <w:vAlign w:val="center"/>
          </w:tcPr>
          <w:p w14:paraId="54860DFD" w14:textId="77777777" w:rsidR="00867FFD" w:rsidRPr="004B5884" w:rsidRDefault="00867FFD" w:rsidP="00226DF1">
            <w:pPr>
              <w:spacing w:before="120" w:after="120"/>
              <w:jc w:val="both"/>
              <w:rPr>
                <w:rFonts w:ascii="Times New Roman" w:hAnsi="Times New Roman"/>
                <w:color w:val="FFFFFF" w:themeColor="background1"/>
                <w:sz w:val="24"/>
                <w:szCs w:val="24"/>
              </w:rPr>
            </w:pPr>
            <w:r>
              <w:rPr>
                <w:rFonts w:ascii="Times New Roman" w:hAnsi="Times New Roman"/>
                <w:color w:val="FFFFFF" w:themeColor="background1"/>
                <w:sz w:val="24"/>
              </w:rPr>
              <w:t>E-mail addresses</w:t>
            </w:r>
          </w:p>
        </w:tc>
        <w:tc>
          <w:tcPr>
            <w:tcW w:w="3329" w:type="pct"/>
            <w:shd w:val="clear" w:color="auto" w:fill="auto"/>
          </w:tcPr>
          <w:p w14:paraId="35D381D8" w14:textId="15D9BB9F" w:rsidR="00867FFD" w:rsidRPr="004B5884" w:rsidRDefault="00BA23D4" w:rsidP="00226DF1">
            <w:pPr>
              <w:spacing w:before="120" w:after="120"/>
              <w:jc w:val="both"/>
              <w:rPr>
                <w:rFonts w:ascii="Times New Roman" w:hAnsi="Times New Roman"/>
                <w:sz w:val="24"/>
                <w:szCs w:val="24"/>
              </w:rPr>
            </w:pPr>
            <w:hyperlink r:id="rId18">
              <w:r w:rsidR="00037285">
                <w:rPr>
                  <w:rStyle w:val="Hyperlink"/>
                </w:rPr>
                <w:t>abouba30@yahoo.fr</w:t>
              </w:r>
            </w:hyperlink>
            <w:r w:rsidR="00037285">
              <w:t xml:space="preserve"> </w:t>
            </w:r>
          </w:p>
        </w:tc>
      </w:tr>
    </w:tbl>
    <w:p w14:paraId="59EF6030" w14:textId="77777777" w:rsidR="00867FFD" w:rsidRPr="004B5884" w:rsidRDefault="00867FFD" w:rsidP="00226DF1">
      <w:pPr>
        <w:widowControl w:val="0"/>
        <w:spacing w:before="120" w:after="120"/>
        <w:jc w:val="both"/>
        <w:rPr>
          <w:rFonts w:ascii="Times New Roman" w:eastAsia="Calibri" w:hAnsi="Times New Roman"/>
          <w:sz w:val="24"/>
          <w:szCs w:val="24"/>
        </w:rPr>
      </w:pPr>
      <w:bookmarkStart w:id="13" w:name="_Toc278640074"/>
      <w:bookmarkStart w:id="14" w:name="_Toc283042942"/>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63E79C8A" w14:textId="77777777" w:rsidTr="005D447F">
        <w:tc>
          <w:tcPr>
            <w:tcW w:w="10348" w:type="dxa"/>
            <w:tcBorders>
              <w:bottom w:val="single" w:sz="6" w:space="0" w:color="215868"/>
            </w:tcBorders>
            <w:shd w:val="clear" w:color="auto" w:fill="006460"/>
          </w:tcPr>
          <w:p w14:paraId="4F49F923" w14:textId="77777777" w:rsidR="00867FFD" w:rsidRPr="004B5884" w:rsidRDefault="00867FFD" w:rsidP="00226DF1">
            <w:pPr>
              <w:pStyle w:val="Heading2"/>
              <w:rPr>
                <w:rFonts w:ascii="Times New Roman" w:eastAsia="Calibri" w:hAnsi="Times New Roman"/>
                <w:sz w:val="24"/>
                <w:szCs w:val="24"/>
              </w:rPr>
            </w:pPr>
            <w:bookmarkStart w:id="15" w:name="_Toc398181082"/>
            <w:bookmarkStart w:id="16" w:name="_Toc276342211"/>
            <w:r>
              <w:rPr>
                <w:rFonts w:ascii="Times New Roman" w:hAnsi="Times New Roman"/>
                <w:sz w:val="24"/>
              </w:rPr>
              <w:t xml:space="preserve">2. </w:t>
            </w:r>
            <w:bookmarkStart w:id="17" w:name="_Toc349297137"/>
            <w:bookmarkStart w:id="18" w:name="_Toc357197361"/>
            <w:bookmarkStart w:id="19" w:name="_Toc353539125"/>
            <w:bookmarkStart w:id="20" w:name="_Toc358399424"/>
            <w:r>
              <w:rPr>
                <w:rFonts w:ascii="Times New Roman" w:hAnsi="Times New Roman"/>
                <w:sz w:val="24"/>
              </w:rPr>
              <w:t>Detailed Budget and Workplan</w:t>
            </w:r>
            <w:bookmarkEnd w:id="15"/>
            <w:bookmarkEnd w:id="17"/>
            <w:bookmarkEnd w:id="18"/>
            <w:bookmarkEnd w:id="19"/>
            <w:bookmarkEnd w:id="20"/>
            <w:bookmarkEnd w:id="16"/>
          </w:p>
        </w:tc>
      </w:tr>
      <w:tr w:rsidR="00867FFD" w:rsidRPr="009316FF" w14:paraId="75DB746B" w14:textId="77777777" w:rsidTr="005D447F">
        <w:tc>
          <w:tcPr>
            <w:tcW w:w="10348" w:type="dxa"/>
            <w:shd w:val="clear" w:color="auto" w:fill="FFFFFF"/>
          </w:tcPr>
          <w:p w14:paraId="476D3864" w14:textId="77777777" w:rsidR="00867FFD" w:rsidRPr="004B5884" w:rsidRDefault="00867FFD" w:rsidP="00226DF1">
            <w:pPr>
              <w:spacing w:before="120" w:after="120"/>
              <w:ind w:left="360" w:hanging="360"/>
              <w:jc w:val="both"/>
              <w:rPr>
                <w:rFonts w:ascii="Times New Roman" w:hAnsi="Times New Roman"/>
                <w:i/>
                <w:color w:val="173E49"/>
                <w:sz w:val="24"/>
                <w:szCs w:val="24"/>
              </w:rPr>
            </w:pPr>
            <w:r>
              <w:rPr>
                <w:rFonts w:ascii="Times New Roman" w:hAnsi="Times New Roman"/>
                <w:i/>
                <w:color w:val="173E49"/>
                <w:sz w:val="24"/>
              </w:rPr>
              <w:t xml:space="preserve">This section will give an overview of the process of proposal development, outlining contributions from key stakeholders.  </w:t>
            </w:r>
          </w:p>
          <w:p w14:paraId="44194180" w14:textId="77777777" w:rsidR="00867FFD" w:rsidRPr="004B5884" w:rsidRDefault="00867FFD" w:rsidP="00226DF1">
            <w:pPr>
              <w:spacing w:before="120" w:after="120"/>
              <w:ind w:left="360" w:hanging="360"/>
              <w:jc w:val="both"/>
              <w:rPr>
                <w:rFonts w:ascii="Times New Roman" w:hAnsi="Times New Roman"/>
                <w:i/>
                <w:color w:val="173E49"/>
                <w:sz w:val="24"/>
                <w:szCs w:val="24"/>
              </w:rPr>
            </w:pPr>
            <w:r>
              <w:rPr>
                <w:rFonts w:ascii="Times New Roman" w:hAnsi="Times New Roman"/>
                <w:i/>
                <w:color w:val="173E49"/>
                <w:sz w:val="24"/>
              </w:rPr>
              <w:t>→ Address all the items listed below. If any of these are not applicable, please indicate this and explain why:</w:t>
            </w:r>
          </w:p>
          <w:p w14:paraId="17F297EE"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the main entity that led proposal development and coordinated contributions; it is possible to have several main implementation entities, nevertheless, the country must decide which department will lead the process of proposal development;</w:t>
            </w:r>
          </w:p>
          <w:p w14:paraId="50BB436D"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the role played by the HSCC and the ICC;</w:t>
            </w:r>
          </w:p>
          <w:p w14:paraId="3B168EC1"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Cooperation between EPI programme and the other departments of MOH involved in the proposal development (including Departments of Planning, Child Health, HMIS, etc.).</w:t>
            </w:r>
          </w:p>
          <w:p w14:paraId="6B6F5A00"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Participation of entities below the national level (provincial, district, etc.);</w:t>
            </w:r>
          </w:p>
          <w:p w14:paraId="29DCB4AD"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 xml:space="preserve">The role of CSOs in the proposal development. Applicants must note if the HSCC/ICC has worked with a CSO platform/coalition, or only with individual organizations; please provide the name of the relevant CSOs or CSO platforms; </w:t>
            </w:r>
          </w:p>
          <w:p w14:paraId="130C224C"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the names and roles of other development partners or donors;</w:t>
            </w:r>
          </w:p>
          <w:p w14:paraId="538C8218"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The role of the private sector, if applicable;</w:t>
            </w:r>
          </w:p>
          <w:p w14:paraId="5067AD4E"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a description of technical assistance received during the drafting of this proposal; include the source of technical assistance and feedback on the quality and usefulness of this technical assistance;</w:t>
            </w:r>
          </w:p>
          <w:p w14:paraId="34707A54" w14:textId="77777777" w:rsidR="00867FFD" w:rsidRPr="004B5884" w:rsidRDefault="00867FFD" w:rsidP="00226DF1">
            <w:pPr>
              <w:numPr>
                <w:ilvl w:val="0"/>
                <w:numId w:val="6"/>
              </w:numPr>
              <w:spacing w:before="120" w:after="120"/>
              <w:jc w:val="both"/>
              <w:rPr>
                <w:rFonts w:ascii="Times New Roman" w:hAnsi="Times New Roman"/>
                <w:i/>
                <w:color w:val="173E49"/>
                <w:sz w:val="24"/>
                <w:szCs w:val="24"/>
              </w:rPr>
            </w:pPr>
            <w:r>
              <w:rPr>
                <w:rFonts w:ascii="Times New Roman" w:hAnsi="Times New Roman"/>
                <w:i/>
                <w:color w:val="173E49"/>
                <w:sz w:val="24"/>
              </w:rPr>
              <w:t>a description of the global development process of the proposal: duration, main stages, analytical work performed, links between preparing the proposal and the planning/budgeting for the national health sector, links between preparing the proposal and the JANS evaluation, if applicable;</w:t>
            </w:r>
          </w:p>
          <w:p w14:paraId="5A11BF0E" w14:textId="77777777" w:rsidR="00867FFD" w:rsidRPr="004B5884" w:rsidRDefault="00867FFD" w:rsidP="00226DF1">
            <w:pPr>
              <w:numPr>
                <w:ilvl w:val="0"/>
                <w:numId w:val="6"/>
              </w:numPr>
              <w:spacing w:before="120" w:after="120"/>
              <w:jc w:val="both"/>
              <w:rPr>
                <w:rFonts w:ascii="Times New Roman" w:eastAsia="Calibri" w:hAnsi="Times New Roman"/>
                <w:sz w:val="24"/>
                <w:szCs w:val="24"/>
              </w:rPr>
            </w:pPr>
            <w:r>
              <w:rPr>
                <w:rFonts w:ascii="Times New Roman" w:hAnsi="Times New Roman"/>
                <w:i/>
                <w:color w:val="173E49"/>
                <w:sz w:val="24"/>
              </w:rPr>
              <w:t>Description of the most challenging elements during the proposal development and how they were resolved.</w:t>
            </w:r>
          </w:p>
        </w:tc>
      </w:tr>
      <w:tr w:rsidR="00867FFD" w:rsidRPr="009316FF" w14:paraId="0659CE52" w14:textId="77777777" w:rsidTr="005D447F">
        <w:trPr>
          <w:trHeight w:val="278"/>
        </w:trPr>
        <w:tc>
          <w:tcPr>
            <w:tcW w:w="10348" w:type="dxa"/>
            <w:shd w:val="clear" w:color="auto" w:fill="FFFFFF"/>
          </w:tcPr>
          <w:p w14:paraId="7F0E2221" w14:textId="4DFF04F4" w:rsidR="00867FFD" w:rsidRPr="00BE00FF" w:rsidRDefault="00867FFD" w:rsidP="00226DF1">
            <w:pPr>
              <w:spacing w:before="120" w:after="120"/>
              <w:jc w:val="both"/>
              <w:rPr>
                <w:rFonts w:ascii="Times New Roman" w:hAnsi="Times New Roman"/>
                <w:b/>
                <w:sz w:val="24"/>
                <w:szCs w:val="24"/>
              </w:rPr>
            </w:pPr>
            <w:r>
              <w:rPr>
                <w:rFonts w:ascii="Times New Roman" w:hAnsi="Times New Roman"/>
                <w:b/>
                <w:sz w:val="24"/>
              </w:rPr>
              <w:t>TWO PAGES MAXIMUM</w:t>
            </w:r>
          </w:p>
          <w:p w14:paraId="5C405687" w14:textId="5DFDBD2C" w:rsidR="00956205" w:rsidRPr="00BE00FF" w:rsidRDefault="007C2DC2" w:rsidP="00226DF1">
            <w:pPr>
              <w:spacing w:before="120" w:after="120"/>
              <w:jc w:val="both"/>
              <w:rPr>
                <w:rFonts w:ascii="Times New Roman" w:hAnsi="Times New Roman"/>
                <w:sz w:val="24"/>
                <w:szCs w:val="24"/>
              </w:rPr>
            </w:pPr>
            <w:r>
              <w:rPr>
                <w:rFonts w:ascii="Times New Roman" w:hAnsi="Times New Roman"/>
                <w:sz w:val="24"/>
              </w:rPr>
              <w:t xml:space="preserve">The technical committee of the PRODESS steering committee, which represents the HSCC in Mali, is the decision-making entity responsible for coordination and monitoring of the proposal preparation process, as well as the various validation stages.  It also approved the statement of interest by Mali regarding this proposal. This entity is chaired by the three general secretaries of the ministries responsible for the PRODESS (Health, Social Development and Family Promotion), and it brings together the representatives of the Ministries, the Technical and Financial Partners (WHO, UNICEF, UNPF, USAID, Dutch, Canadian and Spanish Cooperation, etc.) and Civil Society representatives (FENASCOM, private sector coalition, the population health/Pivot Group, the Technical Health Insurance Union, etc.).  </w:t>
            </w:r>
          </w:p>
          <w:p w14:paraId="55E105E8" w14:textId="08491706" w:rsidR="0099148C" w:rsidRPr="00BE00FF" w:rsidRDefault="0099148C" w:rsidP="0099148C">
            <w:pPr>
              <w:spacing w:before="120" w:after="120"/>
              <w:jc w:val="both"/>
              <w:rPr>
                <w:rFonts w:ascii="Times New Roman" w:hAnsi="Times New Roman"/>
                <w:sz w:val="24"/>
                <w:szCs w:val="24"/>
              </w:rPr>
            </w:pPr>
            <w:r>
              <w:rPr>
                <w:rFonts w:ascii="Times New Roman" w:hAnsi="Times New Roman"/>
                <w:sz w:val="24"/>
              </w:rPr>
              <w:t xml:space="preserve">Civil society organizations were associated with the validation of the proposal in their capacity as members of the steering committee of the PRODESS technical committee, and they participate in the meetings of said committee. These include: </w:t>
            </w:r>
          </w:p>
          <w:p w14:paraId="34AC6A07" w14:textId="77777777" w:rsidR="0099148C" w:rsidRPr="0078702F" w:rsidRDefault="0099148C" w:rsidP="0099148C">
            <w:pPr>
              <w:numPr>
                <w:ilvl w:val="0"/>
                <w:numId w:val="7"/>
              </w:numPr>
              <w:spacing w:before="120" w:after="120"/>
              <w:jc w:val="both"/>
              <w:rPr>
                <w:rFonts w:ascii="Times New Roman" w:hAnsi="Times New Roman"/>
                <w:sz w:val="24"/>
                <w:szCs w:val="24"/>
              </w:rPr>
            </w:pPr>
            <w:r>
              <w:rPr>
                <w:rFonts w:ascii="Times New Roman" w:hAnsi="Times New Roman"/>
                <w:sz w:val="24"/>
              </w:rPr>
              <w:t xml:space="preserve">FENASCOM:  Phone: (00223) 20 28 59 32         - Fax: (00223) 20 28 59 31 - Email: </w:t>
            </w:r>
            <w:hyperlink r:id="rId19">
              <w:r>
                <w:rPr>
                  <w:rStyle w:val="Hyperlink"/>
                  <w:rFonts w:ascii="Times New Roman" w:hAnsi="Times New Roman"/>
                  <w:sz w:val="24"/>
                </w:rPr>
                <w:t>fenascom@yahoo.fr</w:t>
              </w:r>
            </w:hyperlink>
            <w:r>
              <w:rPr>
                <w:rFonts w:ascii="Times New Roman" w:hAnsi="Times New Roman"/>
                <w:sz w:val="24"/>
              </w:rPr>
              <w:t xml:space="preserve"> </w:t>
            </w:r>
          </w:p>
          <w:p w14:paraId="556C52BA" w14:textId="77777777" w:rsidR="0099148C" w:rsidRPr="0078702F" w:rsidRDefault="0099148C" w:rsidP="0099148C">
            <w:pPr>
              <w:numPr>
                <w:ilvl w:val="0"/>
                <w:numId w:val="7"/>
              </w:numPr>
              <w:spacing w:before="120" w:after="120"/>
              <w:jc w:val="both"/>
              <w:rPr>
                <w:rFonts w:ascii="Times New Roman" w:hAnsi="Times New Roman"/>
                <w:sz w:val="24"/>
                <w:szCs w:val="24"/>
              </w:rPr>
            </w:pPr>
            <w:r>
              <w:rPr>
                <w:rFonts w:ascii="Times New Roman" w:hAnsi="Times New Roman"/>
                <w:sz w:val="24"/>
              </w:rPr>
              <w:t xml:space="preserve">Technical Health Insurance Union (UTM) Phone: (00223) 20 21 33 49/20 21 53 62    - Fax: (00223) 20 21 32 79   - Email: </w:t>
            </w:r>
            <w:hyperlink r:id="rId20">
              <w:r>
                <w:rPr>
                  <w:rStyle w:val="Hyperlink"/>
                  <w:rFonts w:ascii="Times New Roman" w:hAnsi="Times New Roman"/>
                  <w:sz w:val="24"/>
                </w:rPr>
                <w:t>utm@datatech.toolnet.org</w:t>
              </w:r>
            </w:hyperlink>
            <w:r>
              <w:rPr>
                <w:rFonts w:ascii="Times New Roman" w:hAnsi="Times New Roman"/>
                <w:sz w:val="24"/>
              </w:rPr>
              <w:t xml:space="preserve"> </w:t>
            </w:r>
          </w:p>
          <w:p w14:paraId="37AE8EA6" w14:textId="77777777" w:rsidR="0099148C" w:rsidRDefault="0099148C" w:rsidP="0099148C">
            <w:pPr>
              <w:numPr>
                <w:ilvl w:val="0"/>
                <w:numId w:val="7"/>
              </w:numPr>
              <w:spacing w:before="120" w:after="120"/>
              <w:jc w:val="both"/>
              <w:rPr>
                <w:rFonts w:ascii="Times New Roman" w:hAnsi="Times New Roman"/>
                <w:sz w:val="24"/>
                <w:szCs w:val="24"/>
              </w:rPr>
            </w:pPr>
            <w:r>
              <w:rPr>
                <w:rFonts w:ascii="Times New Roman" w:hAnsi="Times New Roman"/>
                <w:sz w:val="24"/>
              </w:rPr>
              <w:t xml:space="preserve">The population health/pivot group Phone: (00223) 20 21 47 81/20 21 21 45    - Fax: (00223) 20 21 47 81 - Email: </w:t>
            </w:r>
            <w:hyperlink r:id="rId21">
              <w:r>
                <w:rPr>
                  <w:rStyle w:val="Hyperlink"/>
                  <w:rFonts w:ascii="Times New Roman" w:hAnsi="Times New Roman"/>
                  <w:sz w:val="24"/>
                </w:rPr>
                <w:t>secretariat@gpsmali.org</w:t>
              </w:r>
            </w:hyperlink>
            <w:r>
              <w:rPr>
                <w:rFonts w:ascii="Times New Roman" w:hAnsi="Times New Roman"/>
                <w:sz w:val="24"/>
              </w:rPr>
              <w:t>.</w:t>
            </w:r>
          </w:p>
          <w:p w14:paraId="3EA3516B" w14:textId="77777777" w:rsidR="0099148C" w:rsidRPr="0078702F" w:rsidRDefault="0099148C" w:rsidP="0099148C">
            <w:pPr>
              <w:spacing w:before="120" w:after="120"/>
              <w:jc w:val="both"/>
              <w:rPr>
                <w:rFonts w:ascii="Times New Roman" w:hAnsi="Times New Roman"/>
                <w:sz w:val="24"/>
                <w:szCs w:val="24"/>
              </w:rPr>
            </w:pPr>
            <w:r>
              <w:rPr>
                <w:rFonts w:ascii="Times New Roman" w:hAnsi="Times New Roman"/>
                <w:sz w:val="24"/>
              </w:rPr>
              <w:t xml:space="preserve">The civil society organizations as well as the development partners are represented at all levels of the management entities and they co-chair the PRODESS sessions. Thus they participate in the planning, monitoring/evaluation and coordination process for activities in the social-health domain. </w:t>
            </w:r>
          </w:p>
          <w:p w14:paraId="2B4473B4" w14:textId="58B7ACCD" w:rsidR="005F3A97" w:rsidRPr="00BE00FF" w:rsidRDefault="007C2DC2" w:rsidP="00226DF1">
            <w:pPr>
              <w:spacing w:before="120" w:after="120"/>
              <w:jc w:val="both"/>
              <w:rPr>
                <w:rFonts w:ascii="Times New Roman" w:hAnsi="Times New Roman"/>
                <w:sz w:val="24"/>
                <w:szCs w:val="24"/>
              </w:rPr>
            </w:pPr>
            <w:r>
              <w:rPr>
                <w:rFonts w:ascii="Times New Roman" w:hAnsi="Times New Roman"/>
                <w:sz w:val="24"/>
              </w:rPr>
              <w:t>The technical process for preparation of this proposal was conducted under the direction of the Health Sector, Social Development and Family Promotion Statistics and Planning Cell (HS, SD, FP SPC), which is part of the PRODESS permanent secretariat.</w:t>
            </w:r>
          </w:p>
          <w:p w14:paraId="7C178120" w14:textId="38FC6C20" w:rsidR="00014DC8" w:rsidRPr="00BE00FF" w:rsidRDefault="00216DE9" w:rsidP="00226DF1">
            <w:pPr>
              <w:spacing w:before="120" w:after="120"/>
              <w:jc w:val="both"/>
              <w:rPr>
                <w:rFonts w:ascii="Times New Roman" w:hAnsi="Times New Roman"/>
                <w:sz w:val="24"/>
                <w:szCs w:val="24"/>
              </w:rPr>
            </w:pPr>
            <w:r>
              <w:rPr>
                <w:rFonts w:ascii="Times New Roman" w:hAnsi="Times New Roman"/>
                <w:sz w:val="24"/>
              </w:rPr>
              <w:t xml:space="preserve">Preparation of the proposal was participatory through the establishment of a drafting team comprised of executives from the social-health administration and CSOs/NGOs. The various structures include the following: </w:t>
            </w:r>
          </w:p>
          <w:p w14:paraId="2CC1A66E" w14:textId="6A4F3678" w:rsidR="00014DC8" w:rsidRPr="00BE00FF" w:rsidRDefault="00141C80" w:rsidP="00226DF1">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 xml:space="preserve">i) the planning and statistics unit of the Ministry of Health and Public Hygiene; </w:t>
            </w:r>
          </w:p>
          <w:p w14:paraId="1C1AA2E7" w14:textId="7BE99299" w:rsidR="00014DC8" w:rsidRPr="00BE00FF" w:rsidRDefault="00141C80" w:rsidP="00226DF1">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 xml:space="preserve">ii) the national directorate of health (immunization section, health information section, health facility and regulation division); </w:t>
            </w:r>
          </w:p>
          <w:p w14:paraId="44E842B2" w14:textId="4AAA0532" w:rsidR="00014DC8" w:rsidRPr="00BE00FF" w:rsidRDefault="00141C80" w:rsidP="00226DF1">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 xml:space="preserve">iii) the Health Human Resources Department (DRH/Santé); </w:t>
            </w:r>
          </w:p>
          <w:p w14:paraId="1D538B25" w14:textId="586A891E" w:rsidR="00014DC8" w:rsidRPr="00BE00FF" w:rsidRDefault="000C1961" w:rsidP="00226DF1">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 xml:space="preserve">iv) the :National Centre for Information, Education and Communication for Health (CNIECS); </w:t>
            </w:r>
          </w:p>
          <w:p w14:paraId="7092F714" w14:textId="0A1B2ED3" w:rsidR="00617C15" w:rsidRDefault="000C1961" w:rsidP="00582673">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v) the National Center for Support in the Fight against Disease (CNAM);</w:t>
            </w:r>
          </w:p>
          <w:p w14:paraId="1E773F14" w14:textId="4FE00FD8" w:rsidR="00617C15" w:rsidRDefault="00617C15" w:rsidP="00582673">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vi) FENASCOM:</w:t>
            </w:r>
          </w:p>
          <w:p w14:paraId="2559F7FE" w14:textId="61CCBE56" w:rsidR="00617C15" w:rsidRDefault="006C458B" w:rsidP="00582673">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vii) Technical Health Insurance Union (UTM) </w:t>
            </w:r>
          </w:p>
          <w:p w14:paraId="2810DEA2" w14:textId="7ECE7120" w:rsidR="00617C15" w:rsidRDefault="006C458B" w:rsidP="00582673">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viii) the population health/pivot group</w:t>
            </w:r>
          </w:p>
          <w:p w14:paraId="290DD42C" w14:textId="50D6DFA5" w:rsidR="00CC4F4D" w:rsidRPr="00A16DE0" w:rsidRDefault="00312681" w:rsidP="00A16DE0">
            <w:pPr>
              <w:pStyle w:val="ListParagraph"/>
              <w:numPr>
                <w:ilvl w:val="0"/>
                <w:numId w:val="7"/>
              </w:numPr>
              <w:spacing w:before="120" w:after="120"/>
              <w:jc w:val="both"/>
              <w:rPr>
                <w:rFonts w:ascii="Times New Roman" w:hAnsi="Times New Roman"/>
                <w:sz w:val="24"/>
                <w:szCs w:val="24"/>
              </w:rPr>
            </w:pPr>
            <w:r>
              <w:rPr>
                <w:rFonts w:ascii="Times New Roman" w:hAnsi="Times New Roman"/>
                <w:sz w:val="24"/>
              </w:rPr>
              <w:t>ix) health professionals associations,</w:t>
            </w:r>
          </w:p>
          <w:p w14:paraId="3DD44C1C" w14:textId="03E26EF3" w:rsidR="00C42100" w:rsidRDefault="00E942B8" w:rsidP="00E942B8">
            <w:pPr>
              <w:spacing w:before="120" w:after="120"/>
              <w:jc w:val="both"/>
              <w:rPr>
                <w:rFonts w:ascii="Times New Roman" w:hAnsi="Times New Roman"/>
                <w:sz w:val="24"/>
                <w:szCs w:val="24"/>
              </w:rPr>
            </w:pPr>
            <w:r>
              <w:rPr>
                <w:rFonts w:ascii="Times New Roman" w:hAnsi="Times New Roman"/>
                <w:sz w:val="24"/>
              </w:rPr>
              <w:t xml:space="preserve">It must be noted that the regions and districts did not physically contribute to the development of this proposal due to budget shortfalls in the post-crisis environment. Health officials at these levels were brought together and contacted by telephone if necessary to collect the required information. </w:t>
            </w:r>
          </w:p>
          <w:p w14:paraId="08B30CFC" w14:textId="4DF147D0" w:rsidR="00E942B8" w:rsidRPr="00E942B8" w:rsidRDefault="00804D76" w:rsidP="00E942B8">
            <w:pPr>
              <w:spacing w:before="120" w:after="120"/>
              <w:jc w:val="both"/>
              <w:rPr>
                <w:rFonts w:ascii="Times New Roman" w:hAnsi="Times New Roman"/>
                <w:sz w:val="24"/>
                <w:szCs w:val="24"/>
              </w:rPr>
            </w:pPr>
            <w:r>
              <w:rPr>
                <w:rFonts w:ascii="Times New Roman" w:hAnsi="Times New Roman"/>
                <w:sz w:val="24"/>
              </w:rPr>
              <w:t>During the steering committee meeting held to establish the proposal preparation committee, a call was made to all partners for their participation in the process, only UNICEF and WHO expressed interest in providing financial and/or technical support. So, of four workshops planned for the preparation of the proposal, only two were financed.</w:t>
            </w:r>
          </w:p>
          <w:p w14:paraId="12916BA3" w14:textId="6E53ECD5" w:rsidR="00141C80" w:rsidRPr="00BE00FF" w:rsidRDefault="00440167" w:rsidP="00226DF1">
            <w:pPr>
              <w:spacing w:before="120" w:after="120"/>
              <w:jc w:val="both"/>
              <w:rPr>
                <w:rFonts w:ascii="Times New Roman" w:hAnsi="Times New Roman"/>
                <w:sz w:val="24"/>
                <w:szCs w:val="24"/>
              </w:rPr>
            </w:pPr>
            <w:r>
              <w:rPr>
                <w:rFonts w:ascii="Times New Roman" w:hAnsi="Times New Roman"/>
                <w:sz w:val="24"/>
              </w:rPr>
              <w:t>WHO and UNICEF actively monitored the process through technical and/or financial support.</w:t>
            </w:r>
          </w:p>
          <w:p w14:paraId="6FDB02E9" w14:textId="7A398059" w:rsidR="00141C80" w:rsidRPr="00BE00FF" w:rsidRDefault="00440167" w:rsidP="00226DF1">
            <w:pPr>
              <w:spacing w:before="120" w:after="120"/>
              <w:jc w:val="both"/>
              <w:rPr>
                <w:rFonts w:ascii="Times New Roman" w:hAnsi="Times New Roman"/>
                <w:sz w:val="24"/>
                <w:szCs w:val="24"/>
              </w:rPr>
            </w:pPr>
            <w:r>
              <w:rPr>
                <w:rFonts w:ascii="Times New Roman" w:hAnsi="Times New Roman"/>
                <w:sz w:val="24"/>
              </w:rPr>
              <w:t>No sub-national entity participated directly in the preparation of the proposal for reasons of budget constraints.</w:t>
            </w:r>
          </w:p>
          <w:p w14:paraId="263B5A2C" w14:textId="77777777" w:rsidR="00837B3F" w:rsidRDefault="00AF1DA1" w:rsidP="00226DF1">
            <w:pPr>
              <w:spacing w:before="120" w:after="120"/>
              <w:jc w:val="both"/>
              <w:rPr>
                <w:rFonts w:ascii="Times New Roman" w:hAnsi="Times New Roman"/>
                <w:sz w:val="24"/>
                <w:szCs w:val="24"/>
              </w:rPr>
            </w:pPr>
            <w:r>
              <w:rPr>
                <w:rFonts w:ascii="Times New Roman" w:hAnsi="Times New Roman"/>
                <w:sz w:val="24"/>
              </w:rPr>
              <w:t xml:space="preserve">Technical assistance by an export in the preparation of health system strengthening support applications was requested by the committee. To this end, the Ministry of Health and Public Hygiene submitted a request for technical assistance to WHO. This expert allowed the team to appropriately reply to certain questions and to be built on those that were poorly received. </w:t>
            </w:r>
          </w:p>
          <w:p w14:paraId="7B23E65C" w14:textId="135B077F" w:rsidR="007C2DC2" w:rsidRPr="00BE00FF" w:rsidRDefault="007C2DC2" w:rsidP="00226DF1">
            <w:pPr>
              <w:spacing w:before="120" w:after="120"/>
              <w:jc w:val="both"/>
              <w:rPr>
                <w:rFonts w:ascii="Times New Roman" w:hAnsi="Times New Roman"/>
                <w:sz w:val="24"/>
                <w:szCs w:val="24"/>
              </w:rPr>
            </w:pPr>
            <w:r>
              <w:rPr>
                <w:rFonts w:ascii="Times New Roman" w:hAnsi="Times New Roman"/>
                <w:sz w:val="24"/>
              </w:rPr>
              <w:t>The primary stages for preparation of the proposal are summarized as follows:</w:t>
            </w:r>
          </w:p>
          <w:p w14:paraId="2B49409F" w14:textId="5AE03E71" w:rsidR="00D32527" w:rsidRPr="00BE00FF" w:rsidRDefault="00D32527" w:rsidP="00D26154">
            <w:pPr>
              <w:pStyle w:val="ListParagraph"/>
              <w:numPr>
                <w:ilvl w:val="0"/>
                <w:numId w:val="36"/>
              </w:numPr>
              <w:spacing w:before="120" w:after="120"/>
              <w:jc w:val="both"/>
              <w:rPr>
                <w:rFonts w:ascii="Times New Roman" w:hAnsi="Times New Roman"/>
                <w:sz w:val="24"/>
                <w:szCs w:val="24"/>
              </w:rPr>
            </w:pPr>
            <w:r>
              <w:rPr>
                <w:rFonts w:ascii="Times New Roman" w:hAnsi="Times New Roman"/>
                <w:sz w:val="24"/>
              </w:rPr>
              <w:t>Approval of the statement of interest by the PRODESS Steering Committee on 23 April 2014.</w:t>
            </w:r>
          </w:p>
          <w:p w14:paraId="3440EE80" w14:textId="5766B07E" w:rsidR="00D32527" w:rsidRPr="00BE00FF" w:rsidRDefault="001062C7" w:rsidP="00D26154">
            <w:pPr>
              <w:pStyle w:val="ListParagraph"/>
              <w:numPr>
                <w:ilvl w:val="0"/>
                <w:numId w:val="36"/>
              </w:numPr>
              <w:spacing w:before="120" w:after="120"/>
              <w:jc w:val="both"/>
              <w:rPr>
                <w:rFonts w:ascii="Times New Roman" w:hAnsi="Times New Roman"/>
                <w:sz w:val="24"/>
                <w:szCs w:val="24"/>
              </w:rPr>
            </w:pPr>
            <w:r>
              <w:rPr>
                <w:rFonts w:ascii="Times New Roman" w:hAnsi="Times New Roman"/>
                <w:sz w:val="24"/>
              </w:rPr>
              <w:t>Creation of an application commission by ministerial decision and creation of a restricted drafting committee within this commission on 28 May 2014;</w:t>
            </w:r>
          </w:p>
          <w:p w14:paraId="3A0A7D11" w14:textId="2EFB5970" w:rsidR="00D32527" w:rsidRPr="00BE00FF" w:rsidRDefault="00D32527" w:rsidP="00D26154">
            <w:pPr>
              <w:pStyle w:val="ListParagraph"/>
              <w:numPr>
                <w:ilvl w:val="0"/>
                <w:numId w:val="36"/>
              </w:numPr>
              <w:spacing w:before="120" w:after="120"/>
              <w:jc w:val="both"/>
              <w:rPr>
                <w:rFonts w:ascii="Times New Roman" w:hAnsi="Times New Roman"/>
                <w:sz w:val="24"/>
                <w:szCs w:val="24"/>
              </w:rPr>
            </w:pPr>
            <w:r>
              <w:rPr>
                <w:rFonts w:ascii="Times New Roman" w:hAnsi="Times New Roman"/>
                <w:sz w:val="24"/>
              </w:rPr>
              <w:t>Drafting workshop from 23 June through 03 July</w:t>
            </w:r>
          </w:p>
          <w:p w14:paraId="3F6CC37A" w14:textId="09CCF362" w:rsidR="00D32527" w:rsidRPr="00BE00FF" w:rsidRDefault="00E02171" w:rsidP="00D26154">
            <w:pPr>
              <w:pStyle w:val="ListParagraph"/>
              <w:numPr>
                <w:ilvl w:val="0"/>
                <w:numId w:val="36"/>
              </w:numPr>
              <w:spacing w:before="120" w:after="120"/>
              <w:jc w:val="both"/>
              <w:rPr>
                <w:rFonts w:ascii="Times New Roman" w:hAnsi="Times New Roman"/>
                <w:sz w:val="24"/>
                <w:szCs w:val="24"/>
              </w:rPr>
            </w:pPr>
            <w:r>
              <w:rPr>
                <w:rFonts w:ascii="Times New Roman" w:hAnsi="Times New Roman"/>
                <w:sz w:val="24"/>
              </w:rPr>
              <w:t>Working meeting of a smaller group with the consultant to refine the document from the first workshop on 4-8 August 2014;</w:t>
            </w:r>
          </w:p>
          <w:p w14:paraId="4A93F20A" w14:textId="16A19A32" w:rsidR="00D32527" w:rsidRPr="00BE00FF" w:rsidRDefault="00D32527" w:rsidP="00D26154">
            <w:pPr>
              <w:pStyle w:val="ListParagraph"/>
              <w:numPr>
                <w:ilvl w:val="0"/>
                <w:numId w:val="36"/>
              </w:numPr>
              <w:spacing w:before="120" w:after="120"/>
              <w:jc w:val="both"/>
              <w:rPr>
                <w:rFonts w:ascii="Times New Roman" w:hAnsi="Times New Roman"/>
                <w:sz w:val="24"/>
                <w:szCs w:val="24"/>
              </w:rPr>
            </w:pPr>
            <w:r>
              <w:rPr>
                <w:rFonts w:ascii="Times New Roman" w:hAnsi="Times New Roman"/>
                <w:sz w:val="24"/>
              </w:rPr>
              <w:t>Document review workshop 25-29 July 2014;</w:t>
            </w:r>
          </w:p>
          <w:p w14:paraId="28B957DB" w14:textId="50A52E5B" w:rsidR="00D32527" w:rsidRPr="00BE00FF" w:rsidRDefault="00D32527" w:rsidP="00D26154">
            <w:pPr>
              <w:pStyle w:val="ListParagraph"/>
              <w:numPr>
                <w:ilvl w:val="0"/>
                <w:numId w:val="36"/>
              </w:numPr>
              <w:spacing w:before="120" w:after="120"/>
              <w:jc w:val="both"/>
              <w:rPr>
                <w:rFonts w:ascii="Times New Roman" w:hAnsi="Times New Roman"/>
                <w:sz w:val="24"/>
                <w:szCs w:val="24"/>
              </w:rPr>
            </w:pPr>
            <w:r>
              <w:rPr>
                <w:rFonts w:ascii="Times New Roman" w:hAnsi="Times New Roman"/>
                <w:sz w:val="24"/>
              </w:rPr>
              <w:t>Validation of the proposal by the Steering Committee for the PRODESS Technical Committee on 8 September 2014.</w:t>
            </w:r>
          </w:p>
          <w:p w14:paraId="2CDB7592" w14:textId="4C725577" w:rsidR="0099148C" w:rsidRDefault="0099148C" w:rsidP="00226DF1">
            <w:pPr>
              <w:spacing w:before="120" w:after="120"/>
              <w:jc w:val="both"/>
              <w:rPr>
                <w:rFonts w:ascii="Times New Roman" w:hAnsi="Times New Roman"/>
                <w:sz w:val="24"/>
                <w:szCs w:val="24"/>
              </w:rPr>
            </w:pPr>
            <w:r>
              <w:rPr>
                <w:rFonts w:ascii="Times New Roman" w:hAnsi="Times New Roman"/>
                <w:sz w:val="24"/>
              </w:rPr>
              <w:t xml:space="preserve">The CSO/NGOs actively participated in the process for preparation of the application through the aforementioned drafting workshops (Cf. list of participants and workshop reports, attached). </w:t>
            </w:r>
          </w:p>
          <w:p w14:paraId="40B8A334" w14:textId="26366EB3" w:rsidR="00A231D8" w:rsidRPr="00BE00FF" w:rsidRDefault="00955BCF" w:rsidP="00226DF1">
            <w:pPr>
              <w:spacing w:before="120" w:after="120"/>
              <w:jc w:val="both"/>
              <w:rPr>
                <w:rFonts w:ascii="Times New Roman" w:eastAsia="Calibri" w:hAnsi="Times New Roman"/>
                <w:sz w:val="24"/>
                <w:szCs w:val="24"/>
              </w:rPr>
            </w:pPr>
            <w:r>
              <w:rPr>
                <w:rFonts w:ascii="Times New Roman" w:hAnsi="Times New Roman"/>
                <w:sz w:val="24"/>
              </w:rPr>
              <w:t xml:space="preserve">This proposal was aligned with the objectives of the HSDP (2014-2018) and the cMYP (2014-2016). The various difficulties encountered during its preparation primarily involve filling out the offered budget framework. Furthermore, difficulties in handling all the stages described in the road map established for preparation of the proposal cut short the development process. The support of the WHO expert allowed the various objectives of the proposal to be better revised.  </w:t>
            </w:r>
          </w:p>
        </w:tc>
      </w:tr>
    </w:tbl>
    <w:p w14:paraId="3E4CDDC1"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80" w:rightFromText="180" w:vertAnchor="text" w:horzAnchor="page" w:tblpX="977" w:tblpY="-61"/>
        <w:tblW w:w="0" w:type="auto"/>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firstRow="1" w:lastRow="1" w:firstColumn="1" w:lastColumn="1" w:noHBand="0" w:noVBand="0"/>
      </w:tblPr>
      <w:tblGrid>
        <w:gridCol w:w="10314"/>
      </w:tblGrid>
      <w:tr w:rsidR="00867FFD" w:rsidRPr="009137A2" w14:paraId="3A5D89F5" w14:textId="77777777" w:rsidTr="005D447F">
        <w:tc>
          <w:tcPr>
            <w:tcW w:w="10314" w:type="dxa"/>
            <w:shd w:val="clear" w:color="auto" w:fill="006460"/>
          </w:tcPr>
          <w:p w14:paraId="25E41745" w14:textId="6ED806EE" w:rsidR="00867FFD" w:rsidRPr="009137A2"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color w:val="FFFFFF" w:themeColor="background1"/>
                <w:sz w:val="24"/>
              </w:rPr>
              <w:t xml:space="preserve">Signatures: government endorsement </w:t>
            </w:r>
          </w:p>
        </w:tc>
      </w:tr>
      <w:tr w:rsidR="00867FFD" w:rsidRPr="009316FF" w14:paraId="2D82A0AC" w14:textId="77777777" w:rsidTr="005D447F">
        <w:trPr>
          <w:trHeight w:val="2996"/>
        </w:trPr>
        <w:tc>
          <w:tcPr>
            <w:tcW w:w="10314" w:type="dxa"/>
            <w:shd w:val="clear" w:color="auto" w:fill="FFFFFF"/>
          </w:tcPr>
          <w:p w14:paraId="31825851" w14:textId="77777777" w:rsidR="00867FFD" w:rsidRPr="009137A2"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Please note that this application will not be reviewed or approved by GAVI without the signatures of both the Ministers of Health &amp; Finance and their delegated authority.</w:t>
            </w:r>
          </w:p>
          <w:p w14:paraId="7082ECDF" w14:textId="77777777" w:rsidR="00867FFD" w:rsidRPr="009137A2" w:rsidRDefault="00867FFD" w:rsidP="00226DF1">
            <w:pPr>
              <w:widowControl w:val="0"/>
              <w:spacing w:before="120" w:after="120"/>
              <w:jc w:val="both"/>
              <w:rPr>
                <w:rFonts w:ascii="Times New Roman" w:eastAsia="Calibri" w:hAnsi="Times New Roman"/>
                <w:sz w:val="24"/>
                <w:szCs w:val="24"/>
              </w:rPr>
            </w:pPr>
          </w:p>
          <w:p w14:paraId="69C611DB" w14:textId="510451E4" w:rsidR="00867FFD" w:rsidRPr="009137A2"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Minister of Health and Public Hygiene                              Minister of the Economy and Finance</w:t>
            </w:r>
          </w:p>
          <w:p w14:paraId="6EA7FF82" w14:textId="21F1667D" w:rsidR="00867FFD" w:rsidRPr="009137A2"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Name: Mr. Ousmane KONE                                                              Name: Mrs. Bouaré Fily SISSOKO</w:t>
            </w:r>
          </w:p>
          <w:p w14:paraId="3E020F38" w14:textId="44F59B15" w:rsidR="00867FFD" w:rsidRPr="009137A2"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Signature:                                                                                         Signature: </w:t>
            </w:r>
          </w:p>
          <w:p w14:paraId="700EADE2" w14:textId="77777777" w:rsidR="00867FFD" w:rsidRDefault="00867FFD" w:rsidP="00226DF1">
            <w:pPr>
              <w:widowControl w:val="0"/>
              <w:spacing w:before="120" w:after="120"/>
              <w:jc w:val="both"/>
              <w:rPr>
                <w:rFonts w:ascii="Times New Roman" w:eastAsia="Calibri" w:hAnsi="Times New Roman"/>
                <w:sz w:val="24"/>
                <w:szCs w:val="24"/>
              </w:rPr>
            </w:pPr>
          </w:p>
          <w:p w14:paraId="5A56BB39" w14:textId="77777777" w:rsidR="00963C6B" w:rsidRDefault="00963C6B" w:rsidP="00226DF1">
            <w:pPr>
              <w:widowControl w:val="0"/>
              <w:spacing w:before="120" w:after="120"/>
              <w:jc w:val="both"/>
              <w:rPr>
                <w:rFonts w:ascii="Times New Roman" w:eastAsia="Calibri" w:hAnsi="Times New Roman"/>
                <w:sz w:val="24"/>
                <w:szCs w:val="24"/>
              </w:rPr>
            </w:pPr>
          </w:p>
          <w:p w14:paraId="4C594DED" w14:textId="77777777" w:rsidR="00963C6B" w:rsidRDefault="00963C6B" w:rsidP="00226DF1">
            <w:pPr>
              <w:widowControl w:val="0"/>
              <w:spacing w:before="120" w:after="120"/>
              <w:jc w:val="both"/>
              <w:rPr>
                <w:rFonts w:ascii="Times New Roman" w:eastAsia="Calibri" w:hAnsi="Times New Roman"/>
                <w:sz w:val="24"/>
                <w:szCs w:val="24"/>
              </w:rPr>
            </w:pPr>
          </w:p>
          <w:p w14:paraId="190F5D3C" w14:textId="77777777" w:rsidR="00963C6B" w:rsidRDefault="00963C6B" w:rsidP="00226DF1">
            <w:pPr>
              <w:widowControl w:val="0"/>
              <w:spacing w:before="120" w:after="120"/>
              <w:jc w:val="both"/>
              <w:rPr>
                <w:rFonts w:ascii="Times New Roman" w:eastAsia="Calibri" w:hAnsi="Times New Roman"/>
                <w:sz w:val="24"/>
                <w:szCs w:val="24"/>
              </w:rPr>
            </w:pPr>
          </w:p>
          <w:p w14:paraId="24447B87" w14:textId="77777777" w:rsidR="009827C3" w:rsidRDefault="009827C3" w:rsidP="00226DF1">
            <w:pPr>
              <w:widowControl w:val="0"/>
              <w:spacing w:before="120" w:after="120"/>
              <w:jc w:val="both"/>
              <w:rPr>
                <w:rFonts w:ascii="Times New Roman" w:eastAsia="Calibri" w:hAnsi="Times New Roman"/>
                <w:sz w:val="24"/>
                <w:szCs w:val="24"/>
              </w:rPr>
            </w:pPr>
          </w:p>
          <w:p w14:paraId="7D787BFE" w14:textId="77777777" w:rsidR="00963C6B" w:rsidRDefault="00963C6B" w:rsidP="00226DF1">
            <w:pPr>
              <w:widowControl w:val="0"/>
              <w:spacing w:before="120" w:after="120"/>
              <w:jc w:val="both"/>
              <w:rPr>
                <w:rFonts w:ascii="Times New Roman" w:eastAsia="Calibri" w:hAnsi="Times New Roman"/>
                <w:sz w:val="24"/>
                <w:szCs w:val="24"/>
              </w:rPr>
            </w:pPr>
          </w:p>
          <w:p w14:paraId="1239BE21" w14:textId="77777777" w:rsidR="00963C6B" w:rsidRDefault="00963C6B" w:rsidP="00226DF1">
            <w:pPr>
              <w:widowControl w:val="0"/>
              <w:spacing w:before="120" w:after="120"/>
              <w:jc w:val="both"/>
              <w:rPr>
                <w:rFonts w:ascii="Times New Roman" w:eastAsia="Calibri" w:hAnsi="Times New Roman"/>
                <w:sz w:val="24"/>
                <w:szCs w:val="24"/>
              </w:rPr>
            </w:pPr>
          </w:p>
          <w:p w14:paraId="4C3FBF65" w14:textId="77777777" w:rsidR="00963C6B" w:rsidRPr="009137A2" w:rsidRDefault="00963C6B" w:rsidP="00226DF1">
            <w:pPr>
              <w:widowControl w:val="0"/>
              <w:spacing w:before="120" w:after="120"/>
              <w:jc w:val="both"/>
              <w:rPr>
                <w:rFonts w:ascii="Times New Roman" w:eastAsia="Calibri" w:hAnsi="Times New Roman"/>
                <w:sz w:val="24"/>
                <w:szCs w:val="24"/>
              </w:rPr>
            </w:pPr>
          </w:p>
          <w:p w14:paraId="7E31AF6F" w14:textId="6CFCE40A"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Date:                                                                                                Date:</w:t>
            </w:r>
          </w:p>
          <w:p w14:paraId="53242A96" w14:textId="77777777" w:rsidR="00867FFD" w:rsidRPr="004B5884" w:rsidRDefault="00867FFD" w:rsidP="00226DF1">
            <w:pPr>
              <w:widowControl w:val="0"/>
              <w:spacing w:before="120" w:after="120"/>
              <w:jc w:val="both"/>
              <w:rPr>
                <w:rFonts w:ascii="Times New Roman" w:eastAsia="Calibri" w:hAnsi="Times New Roman"/>
                <w:sz w:val="24"/>
                <w:szCs w:val="24"/>
              </w:rPr>
            </w:pPr>
          </w:p>
        </w:tc>
      </w:tr>
    </w:tbl>
    <w:p w14:paraId="075ABAB5"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80" w:rightFromText="180" w:vertAnchor="text" w:horzAnchor="page" w:tblpX="625" w:tblpY="-61"/>
        <w:tblW w:w="10666"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firstRow="1" w:lastRow="1" w:firstColumn="1" w:lastColumn="1" w:noHBand="0" w:noVBand="0"/>
      </w:tblPr>
      <w:tblGrid>
        <w:gridCol w:w="1736"/>
        <w:gridCol w:w="2835"/>
        <w:gridCol w:w="2200"/>
        <w:gridCol w:w="1832"/>
        <w:gridCol w:w="2063"/>
      </w:tblGrid>
      <w:tr w:rsidR="00867FFD" w:rsidRPr="009316FF" w14:paraId="2F8D9EC9" w14:textId="77777777" w:rsidTr="005019F9">
        <w:tc>
          <w:tcPr>
            <w:tcW w:w="10666" w:type="dxa"/>
            <w:gridSpan w:val="5"/>
            <w:shd w:val="clear" w:color="auto" w:fill="006460"/>
          </w:tcPr>
          <w:p w14:paraId="52415603" w14:textId="77777777" w:rsidR="00867FFD" w:rsidRPr="004B5884" w:rsidRDefault="00867FFD" w:rsidP="005019F9">
            <w:pPr>
              <w:widowControl w:val="0"/>
              <w:spacing w:before="120" w:after="120"/>
              <w:jc w:val="both"/>
              <w:rPr>
                <w:rFonts w:ascii="Times New Roman" w:eastAsia="Calibri" w:hAnsi="Times New Roman"/>
                <w:b/>
                <w:sz w:val="24"/>
                <w:szCs w:val="24"/>
              </w:rPr>
            </w:pPr>
            <w:r>
              <w:rPr>
                <w:rFonts w:ascii="Times New Roman" w:hAnsi="Times New Roman"/>
                <w:b/>
                <w:color w:val="FFFFFF" w:themeColor="background1"/>
                <w:sz w:val="24"/>
              </w:rPr>
              <w:t xml:space="preserve">Signatures: Health Sector Coordinating Committee endorsement </w:t>
            </w:r>
          </w:p>
        </w:tc>
      </w:tr>
      <w:tr w:rsidR="00867FFD" w:rsidRPr="009316FF" w14:paraId="1FFDF4C5" w14:textId="77777777" w:rsidTr="005019F9">
        <w:trPr>
          <w:trHeight w:val="761"/>
        </w:trPr>
        <w:tc>
          <w:tcPr>
            <w:tcW w:w="10666" w:type="dxa"/>
            <w:gridSpan w:val="5"/>
            <w:shd w:val="clear" w:color="auto" w:fill="FFFFFF"/>
          </w:tcPr>
          <w:p w14:paraId="67115BDC" w14:textId="79A28E35" w:rsidR="00867FFD" w:rsidRPr="004B5884" w:rsidRDefault="00867FFD" w:rsidP="00430D64">
            <w:pPr>
              <w:widowControl w:val="0"/>
              <w:spacing w:before="120" w:after="120"/>
              <w:jc w:val="both"/>
              <w:rPr>
                <w:rFonts w:ascii="Times New Roman" w:eastAsia="Calibri" w:hAnsi="Times New Roman"/>
                <w:sz w:val="24"/>
                <w:szCs w:val="24"/>
              </w:rPr>
            </w:pPr>
            <w:r>
              <w:rPr>
                <w:rFonts w:ascii="Times New Roman" w:hAnsi="Times New Roman"/>
                <w:sz w:val="24"/>
              </w:rPr>
              <w:t>We, the undersigned members of the HSCC, or equivalent committee met on 8 September 2014 (date) to review this proposal. At that meeting we endorsed this proposal on the basis of the supporting documentation which is attached. The minutes of the meeting endorsing this proposal are attached to this application.</w:t>
            </w:r>
          </w:p>
        </w:tc>
      </w:tr>
      <w:tr w:rsidR="00867FFD" w:rsidRPr="009316FF" w14:paraId="6C085314" w14:textId="77777777" w:rsidTr="005A61F9">
        <w:trPr>
          <w:trHeight w:val="761"/>
        </w:trPr>
        <w:tc>
          <w:tcPr>
            <w:tcW w:w="1736" w:type="dxa"/>
            <w:shd w:val="clear" w:color="auto" w:fill="FFFFFF"/>
          </w:tcPr>
          <w:p w14:paraId="6CA3E7FB" w14:textId="77777777" w:rsidR="00867FFD" w:rsidRPr="004B5884" w:rsidRDefault="00867FFD" w:rsidP="005019F9">
            <w:pPr>
              <w:widowControl w:val="0"/>
              <w:spacing w:before="120" w:after="120"/>
              <w:jc w:val="both"/>
              <w:rPr>
                <w:rFonts w:ascii="Times New Roman" w:eastAsia="Calibri" w:hAnsi="Times New Roman"/>
                <w:sz w:val="24"/>
                <w:szCs w:val="24"/>
              </w:rPr>
            </w:pPr>
            <w:r>
              <w:rPr>
                <w:rFonts w:ascii="Times New Roman" w:hAnsi="Times New Roman"/>
                <w:sz w:val="24"/>
              </w:rPr>
              <w:t>Please list all HSCC members</w:t>
            </w:r>
          </w:p>
        </w:tc>
        <w:tc>
          <w:tcPr>
            <w:tcW w:w="2835" w:type="dxa"/>
            <w:shd w:val="clear" w:color="auto" w:fill="FFFFFF"/>
          </w:tcPr>
          <w:p w14:paraId="67076DC9" w14:textId="77777777" w:rsidR="00867FFD" w:rsidRPr="004B5884" w:rsidRDefault="00867FFD" w:rsidP="005019F9">
            <w:pPr>
              <w:widowControl w:val="0"/>
              <w:spacing w:before="120" w:after="120"/>
              <w:jc w:val="both"/>
              <w:rPr>
                <w:rFonts w:ascii="Times New Roman" w:eastAsia="Calibri" w:hAnsi="Times New Roman"/>
                <w:sz w:val="24"/>
                <w:szCs w:val="24"/>
              </w:rPr>
            </w:pPr>
          </w:p>
          <w:p w14:paraId="230B9D8D" w14:textId="77777777" w:rsidR="00867FFD" w:rsidRPr="004B5884" w:rsidRDefault="00867FFD" w:rsidP="005019F9">
            <w:pPr>
              <w:widowControl w:val="0"/>
              <w:spacing w:before="120" w:after="120"/>
              <w:jc w:val="both"/>
              <w:rPr>
                <w:rFonts w:ascii="Times New Roman" w:eastAsia="Calibri" w:hAnsi="Times New Roman"/>
                <w:sz w:val="24"/>
                <w:szCs w:val="24"/>
              </w:rPr>
            </w:pPr>
            <w:r>
              <w:rPr>
                <w:rFonts w:ascii="Times New Roman" w:hAnsi="Times New Roman"/>
                <w:sz w:val="24"/>
              </w:rPr>
              <w:t>Title / Organisation</w:t>
            </w:r>
          </w:p>
        </w:tc>
        <w:tc>
          <w:tcPr>
            <w:tcW w:w="2200" w:type="dxa"/>
            <w:shd w:val="clear" w:color="auto" w:fill="FFFFFF"/>
          </w:tcPr>
          <w:p w14:paraId="0FA7E26C" w14:textId="77777777" w:rsidR="00867FFD" w:rsidRPr="004B5884" w:rsidRDefault="00867FFD" w:rsidP="005019F9">
            <w:pPr>
              <w:widowControl w:val="0"/>
              <w:spacing w:before="120" w:after="120"/>
              <w:jc w:val="both"/>
              <w:rPr>
                <w:rFonts w:ascii="Times New Roman" w:eastAsia="Calibri" w:hAnsi="Times New Roman"/>
                <w:sz w:val="24"/>
                <w:szCs w:val="24"/>
              </w:rPr>
            </w:pPr>
          </w:p>
          <w:p w14:paraId="36A6058D" w14:textId="77777777" w:rsidR="00867FFD" w:rsidRPr="004B5884" w:rsidRDefault="00867FFD" w:rsidP="005019F9">
            <w:pPr>
              <w:widowControl w:val="0"/>
              <w:spacing w:before="120" w:after="120"/>
              <w:jc w:val="both"/>
              <w:rPr>
                <w:rFonts w:ascii="Times New Roman" w:eastAsia="Calibri" w:hAnsi="Times New Roman"/>
                <w:sz w:val="24"/>
                <w:szCs w:val="24"/>
              </w:rPr>
            </w:pPr>
            <w:r>
              <w:rPr>
                <w:rFonts w:ascii="Times New Roman" w:hAnsi="Times New Roman"/>
                <w:sz w:val="24"/>
              </w:rPr>
              <w:t>Name</w:t>
            </w:r>
          </w:p>
        </w:tc>
        <w:tc>
          <w:tcPr>
            <w:tcW w:w="1832" w:type="dxa"/>
            <w:shd w:val="clear" w:color="auto" w:fill="FFFFFF"/>
          </w:tcPr>
          <w:p w14:paraId="1A2FD488" w14:textId="77777777" w:rsidR="00867FFD" w:rsidRPr="004B5884" w:rsidRDefault="00867FFD" w:rsidP="005019F9">
            <w:pPr>
              <w:widowControl w:val="0"/>
              <w:spacing w:before="120" w:after="120"/>
              <w:jc w:val="both"/>
              <w:rPr>
                <w:rFonts w:ascii="Times New Roman" w:eastAsia="Calibri" w:hAnsi="Times New Roman"/>
                <w:sz w:val="24"/>
                <w:szCs w:val="24"/>
              </w:rPr>
            </w:pPr>
            <w:r>
              <w:rPr>
                <w:rFonts w:ascii="Times New Roman" w:hAnsi="Times New Roman"/>
                <w:sz w:val="24"/>
              </w:rPr>
              <w:t>Please sign below to indicate the attendance at the meeting where the proposal was endorsed</w:t>
            </w:r>
          </w:p>
        </w:tc>
        <w:tc>
          <w:tcPr>
            <w:tcW w:w="2063" w:type="dxa"/>
            <w:shd w:val="clear" w:color="auto" w:fill="FFFFFF"/>
          </w:tcPr>
          <w:p w14:paraId="37F924DF" w14:textId="77777777" w:rsidR="00867FFD" w:rsidRPr="004B5884" w:rsidRDefault="00867FFD" w:rsidP="005019F9">
            <w:pPr>
              <w:widowControl w:val="0"/>
              <w:spacing w:before="120" w:after="120"/>
              <w:jc w:val="both"/>
              <w:rPr>
                <w:rFonts w:ascii="Times New Roman" w:eastAsia="Calibri" w:hAnsi="Times New Roman"/>
                <w:sz w:val="24"/>
                <w:szCs w:val="24"/>
              </w:rPr>
            </w:pPr>
            <w:r>
              <w:rPr>
                <w:rFonts w:ascii="Times New Roman" w:hAnsi="Times New Roman"/>
                <w:sz w:val="24"/>
              </w:rPr>
              <w:t>Please sign below to indicate the endorsement of the minutes where the proposal was discussed</w:t>
            </w:r>
          </w:p>
        </w:tc>
      </w:tr>
      <w:tr w:rsidR="002C753F" w:rsidRPr="009316FF" w14:paraId="60A6BAA1" w14:textId="77777777" w:rsidTr="005A61F9">
        <w:trPr>
          <w:trHeight w:val="497"/>
        </w:trPr>
        <w:tc>
          <w:tcPr>
            <w:tcW w:w="1736" w:type="dxa"/>
            <w:shd w:val="clear" w:color="auto" w:fill="auto"/>
          </w:tcPr>
          <w:p w14:paraId="16681ED4" w14:textId="406126D2"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Chairs</w:t>
            </w:r>
          </w:p>
        </w:tc>
        <w:tc>
          <w:tcPr>
            <w:tcW w:w="2835" w:type="dxa"/>
            <w:shd w:val="clear" w:color="auto" w:fill="auto"/>
          </w:tcPr>
          <w:p w14:paraId="2EC3371E" w14:textId="77777777" w:rsidR="002C753F" w:rsidRPr="002C753F" w:rsidRDefault="002C753F" w:rsidP="002C753F">
            <w:pPr>
              <w:pStyle w:val="ListParagraph"/>
              <w:widowControl w:val="0"/>
              <w:numPr>
                <w:ilvl w:val="0"/>
                <w:numId w:val="7"/>
              </w:numPr>
              <w:spacing w:before="120" w:after="120"/>
              <w:ind w:left="34" w:hanging="142"/>
              <w:jc w:val="both"/>
              <w:rPr>
                <w:rFonts w:ascii="Times New Roman" w:eastAsia="Calibri" w:hAnsi="Times New Roman"/>
                <w:sz w:val="24"/>
                <w:szCs w:val="24"/>
              </w:rPr>
            </w:pPr>
            <w:r>
              <w:rPr>
                <w:rFonts w:ascii="Times New Roman" w:hAnsi="Times New Roman"/>
                <w:sz w:val="24"/>
              </w:rPr>
              <w:t>For the Secretary General of the Ministry of Health and Public Hygiene/Technical Consultant</w:t>
            </w:r>
          </w:p>
          <w:p w14:paraId="1226432E" w14:textId="77777777" w:rsidR="002C753F" w:rsidRPr="002C753F" w:rsidRDefault="002C753F" w:rsidP="002C753F">
            <w:pPr>
              <w:pStyle w:val="ListParagraph"/>
              <w:widowControl w:val="0"/>
              <w:spacing w:before="120" w:after="120"/>
              <w:ind w:left="34"/>
              <w:jc w:val="both"/>
              <w:rPr>
                <w:rFonts w:ascii="Times New Roman" w:eastAsia="Calibri" w:hAnsi="Times New Roman"/>
                <w:sz w:val="24"/>
                <w:szCs w:val="24"/>
              </w:rPr>
            </w:pPr>
          </w:p>
          <w:p w14:paraId="170A3128" w14:textId="60EC07E9" w:rsidR="002C753F" w:rsidRPr="002C753F" w:rsidRDefault="002C753F" w:rsidP="002C753F">
            <w:pPr>
              <w:pStyle w:val="ListParagraph"/>
              <w:widowControl w:val="0"/>
              <w:numPr>
                <w:ilvl w:val="0"/>
                <w:numId w:val="7"/>
              </w:numPr>
              <w:spacing w:before="120" w:after="120"/>
              <w:ind w:left="34" w:hanging="142"/>
              <w:jc w:val="both"/>
              <w:rPr>
                <w:rFonts w:ascii="Times New Roman" w:eastAsia="Calibri" w:hAnsi="Times New Roman"/>
                <w:sz w:val="24"/>
                <w:szCs w:val="24"/>
              </w:rPr>
            </w:pPr>
            <w:r>
              <w:rPr>
                <w:rFonts w:ascii="Times New Roman" w:hAnsi="Times New Roman"/>
                <w:sz w:val="24"/>
              </w:rPr>
              <w:t>For the Secretary General of the Ministry of Solidarity, Humanitarian Action and Northern Reconstruction/Technical Consultant</w:t>
            </w:r>
          </w:p>
        </w:tc>
        <w:tc>
          <w:tcPr>
            <w:tcW w:w="2200" w:type="dxa"/>
            <w:shd w:val="clear" w:color="auto" w:fill="auto"/>
          </w:tcPr>
          <w:p w14:paraId="2A3E497B" w14:textId="77777777" w:rsidR="002C753F" w:rsidRPr="002C753F" w:rsidRDefault="002C753F" w:rsidP="002C753F">
            <w:pPr>
              <w:pStyle w:val="ListParagraph"/>
              <w:widowControl w:val="0"/>
              <w:numPr>
                <w:ilvl w:val="0"/>
                <w:numId w:val="7"/>
              </w:numPr>
              <w:tabs>
                <w:tab w:val="left" w:pos="391"/>
              </w:tabs>
              <w:spacing w:before="120" w:after="120"/>
              <w:ind w:left="128" w:hanging="219"/>
              <w:jc w:val="both"/>
              <w:rPr>
                <w:rFonts w:ascii="Times New Roman" w:eastAsia="Calibri" w:hAnsi="Times New Roman"/>
                <w:sz w:val="24"/>
                <w:szCs w:val="24"/>
              </w:rPr>
            </w:pPr>
            <w:r>
              <w:rPr>
                <w:rFonts w:ascii="Times New Roman" w:hAnsi="Times New Roman"/>
                <w:sz w:val="24"/>
              </w:rPr>
              <w:t>Dr Ibrahima COULIBALY</w:t>
            </w:r>
          </w:p>
          <w:p w14:paraId="3295CA74" w14:textId="77777777" w:rsidR="002C753F" w:rsidRPr="002C753F" w:rsidRDefault="002C753F" w:rsidP="002C753F">
            <w:pPr>
              <w:widowControl w:val="0"/>
              <w:spacing w:before="120" w:after="120"/>
              <w:ind w:left="128"/>
              <w:jc w:val="both"/>
              <w:rPr>
                <w:rFonts w:ascii="Times New Roman" w:eastAsia="Calibri" w:hAnsi="Times New Roman"/>
                <w:sz w:val="24"/>
                <w:szCs w:val="24"/>
              </w:rPr>
            </w:pPr>
          </w:p>
          <w:p w14:paraId="378484A8" w14:textId="77777777" w:rsidR="002C753F" w:rsidRPr="002C753F" w:rsidRDefault="002C753F" w:rsidP="002C753F">
            <w:pPr>
              <w:widowControl w:val="0"/>
              <w:spacing w:before="120" w:after="120"/>
              <w:ind w:left="128"/>
              <w:jc w:val="both"/>
              <w:rPr>
                <w:rFonts w:ascii="Times New Roman" w:eastAsia="Calibri" w:hAnsi="Times New Roman"/>
                <w:sz w:val="24"/>
                <w:szCs w:val="24"/>
              </w:rPr>
            </w:pPr>
          </w:p>
          <w:p w14:paraId="71E1E391" w14:textId="77777777" w:rsidR="002C753F" w:rsidRPr="002C753F" w:rsidRDefault="002C753F" w:rsidP="002C753F">
            <w:pPr>
              <w:widowControl w:val="0"/>
              <w:spacing w:before="120" w:after="120"/>
              <w:jc w:val="both"/>
              <w:rPr>
                <w:rFonts w:ascii="Times New Roman" w:eastAsia="Calibri" w:hAnsi="Times New Roman"/>
                <w:sz w:val="24"/>
                <w:szCs w:val="24"/>
              </w:rPr>
            </w:pPr>
          </w:p>
          <w:p w14:paraId="01E416E8" w14:textId="77777777" w:rsidR="002C753F" w:rsidRPr="002C753F" w:rsidRDefault="002C753F" w:rsidP="002C753F">
            <w:pPr>
              <w:pStyle w:val="ListParagraph"/>
              <w:widowControl w:val="0"/>
              <w:numPr>
                <w:ilvl w:val="0"/>
                <w:numId w:val="7"/>
              </w:numPr>
              <w:spacing w:before="120" w:after="120"/>
              <w:ind w:left="128" w:hanging="219"/>
              <w:jc w:val="both"/>
              <w:rPr>
                <w:rFonts w:ascii="Times New Roman" w:eastAsia="Calibri" w:hAnsi="Times New Roman"/>
                <w:sz w:val="24"/>
                <w:szCs w:val="24"/>
              </w:rPr>
            </w:pPr>
            <w:r>
              <w:rPr>
                <w:rFonts w:ascii="Times New Roman" w:hAnsi="Times New Roman"/>
                <w:sz w:val="24"/>
              </w:rPr>
              <w:t>Mr. Almoukoutar HAIDARA</w:t>
            </w:r>
          </w:p>
          <w:p w14:paraId="264F850B" w14:textId="77777777" w:rsidR="002C753F" w:rsidRPr="002C753F" w:rsidRDefault="002C753F" w:rsidP="002C753F">
            <w:pPr>
              <w:ind w:left="128"/>
              <w:jc w:val="both"/>
              <w:rPr>
                <w:rFonts w:eastAsia="Calibri"/>
              </w:rPr>
            </w:pPr>
          </w:p>
          <w:p w14:paraId="099A1010" w14:textId="59F86B6E" w:rsidR="002C753F" w:rsidRPr="002C753F" w:rsidRDefault="002C753F" w:rsidP="002C753F">
            <w:pPr>
              <w:pStyle w:val="ListParagraph"/>
              <w:numPr>
                <w:ilvl w:val="0"/>
                <w:numId w:val="7"/>
              </w:numPr>
              <w:ind w:left="128" w:hanging="219"/>
              <w:jc w:val="both"/>
              <w:rPr>
                <w:rFonts w:ascii="Times New Roman" w:eastAsia="Calibri" w:hAnsi="Times New Roman"/>
              </w:rPr>
            </w:pPr>
          </w:p>
        </w:tc>
        <w:tc>
          <w:tcPr>
            <w:tcW w:w="1832" w:type="dxa"/>
            <w:shd w:val="clear" w:color="auto" w:fill="FFFFFF"/>
          </w:tcPr>
          <w:p w14:paraId="7666EA42" w14:textId="77777777"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6535EBDF"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2C753F" w:rsidRPr="009316FF" w14:paraId="056CA7B2" w14:textId="77777777" w:rsidTr="005A61F9">
        <w:trPr>
          <w:trHeight w:val="497"/>
        </w:trPr>
        <w:tc>
          <w:tcPr>
            <w:tcW w:w="1736" w:type="dxa"/>
            <w:shd w:val="clear" w:color="auto" w:fill="auto"/>
          </w:tcPr>
          <w:p w14:paraId="77528C8D" w14:textId="664EF2B5"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Secretaries</w:t>
            </w:r>
          </w:p>
        </w:tc>
        <w:tc>
          <w:tcPr>
            <w:tcW w:w="2835" w:type="dxa"/>
            <w:shd w:val="clear" w:color="auto" w:fill="auto"/>
          </w:tcPr>
          <w:p w14:paraId="34E6E3CD" w14:textId="2F711BCA"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xml:space="preserve">HS, SD, FP SPC </w:t>
            </w:r>
          </w:p>
        </w:tc>
        <w:tc>
          <w:tcPr>
            <w:tcW w:w="2200" w:type="dxa"/>
            <w:shd w:val="clear" w:color="auto" w:fill="auto"/>
          </w:tcPr>
          <w:p w14:paraId="46788DFB" w14:textId="77777777"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Aboubacrine A. MAIGA</w:t>
            </w:r>
          </w:p>
          <w:p w14:paraId="19EBBCEA" w14:textId="77777777"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Alpha Mahamoud TOURÉ</w:t>
            </w:r>
          </w:p>
          <w:p w14:paraId="03BB119D" w14:textId="77777777"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Mrs. Diallo Djaba Aminata TRAORÉ</w:t>
            </w:r>
          </w:p>
          <w:p w14:paraId="3A9F54C8" w14:textId="77777777"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Samba MS KEITA</w:t>
            </w:r>
          </w:p>
          <w:p w14:paraId="0D843E99" w14:textId="77777777"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Mrs. Keita Goundo KEITA</w:t>
            </w:r>
          </w:p>
          <w:p w14:paraId="18BDFC94" w14:textId="25622111"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 Mrs. Sissoko Mariam DOUMBIA</w:t>
            </w:r>
          </w:p>
        </w:tc>
        <w:tc>
          <w:tcPr>
            <w:tcW w:w="1832" w:type="dxa"/>
            <w:shd w:val="clear" w:color="auto" w:fill="FFFFFF"/>
          </w:tcPr>
          <w:p w14:paraId="4B8F69B8" w14:textId="23855EE5"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57D79B46"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2C753F" w:rsidRPr="009316FF" w14:paraId="7AEA97EA" w14:textId="77777777" w:rsidTr="005A61F9">
        <w:trPr>
          <w:trHeight w:val="497"/>
        </w:trPr>
        <w:tc>
          <w:tcPr>
            <w:tcW w:w="1736" w:type="dxa"/>
            <w:shd w:val="clear" w:color="auto" w:fill="auto"/>
          </w:tcPr>
          <w:p w14:paraId="346A1448" w14:textId="1FEB3367"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WHO Members</w:t>
            </w:r>
          </w:p>
        </w:tc>
        <w:tc>
          <w:tcPr>
            <w:tcW w:w="2835" w:type="dxa"/>
            <w:shd w:val="clear" w:color="auto" w:fill="auto"/>
          </w:tcPr>
          <w:p w14:paraId="6498E5F8" w14:textId="6249ED6C"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WHO</w:t>
            </w:r>
          </w:p>
        </w:tc>
        <w:tc>
          <w:tcPr>
            <w:tcW w:w="2200" w:type="dxa"/>
            <w:shd w:val="clear" w:color="auto" w:fill="auto"/>
          </w:tcPr>
          <w:p w14:paraId="58BB56CD" w14:textId="5A73FC5A"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Fr. Adama DIAWARA</w:t>
            </w:r>
          </w:p>
        </w:tc>
        <w:tc>
          <w:tcPr>
            <w:tcW w:w="1832" w:type="dxa"/>
            <w:shd w:val="clear" w:color="auto" w:fill="FFFFFF"/>
          </w:tcPr>
          <w:p w14:paraId="25FDCC0B" w14:textId="160853E9"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1489861C"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2C753F" w:rsidRPr="009316FF" w14:paraId="302FF3A1" w14:textId="77777777" w:rsidTr="005A61F9">
        <w:trPr>
          <w:trHeight w:val="497"/>
        </w:trPr>
        <w:tc>
          <w:tcPr>
            <w:tcW w:w="1736" w:type="dxa"/>
            <w:shd w:val="clear" w:color="auto" w:fill="auto"/>
          </w:tcPr>
          <w:p w14:paraId="14D2F19C" w14:textId="09E92D09"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Development partners</w:t>
            </w:r>
          </w:p>
        </w:tc>
        <w:tc>
          <w:tcPr>
            <w:tcW w:w="2835" w:type="dxa"/>
            <w:shd w:val="clear" w:color="auto" w:fill="auto"/>
          </w:tcPr>
          <w:p w14:paraId="7B8B9C0D" w14:textId="45860CB3" w:rsidR="002C753F" w:rsidRPr="002C753F" w:rsidRDefault="002C753F" w:rsidP="002C753F">
            <w:pPr>
              <w:widowControl w:val="0"/>
              <w:spacing w:before="120" w:after="120"/>
              <w:jc w:val="both"/>
              <w:rPr>
                <w:rFonts w:ascii="Times New Roman" w:eastAsia="Calibri" w:hAnsi="Times New Roman"/>
                <w:sz w:val="24"/>
                <w:szCs w:val="24"/>
              </w:rPr>
            </w:pPr>
          </w:p>
        </w:tc>
        <w:tc>
          <w:tcPr>
            <w:tcW w:w="2200" w:type="dxa"/>
            <w:shd w:val="clear" w:color="auto" w:fill="auto"/>
          </w:tcPr>
          <w:p w14:paraId="35EE8946" w14:textId="77777777" w:rsidR="002C753F" w:rsidRPr="002C753F" w:rsidRDefault="002C753F" w:rsidP="002C753F">
            <w:pPr>
              <w:widowControl w:val="0"/>
              <w:spacing w:before="120" w:after="120"/>
              <w:jc w:val="both"/>
              <w:rPr>
                <w:rFonts w:ascii="Times New Roman" w:eastAsia="Calibri" w:hAnsi="Times New Roman"/>
                <w:sz w:val="24"/>
                <w:szCs w:val="24"/>
              </w:rPr>
            </w:pPr>
          </w:p>
        </w:tc>
        <w:tc>
          <w:tcPr>
            <w:tcW w:w="1832" w:type="dxa"/>
            <w:shd w:val="clear" w:color="auto" w:fill="FFFFFF"/>
          </w:tcPr>
          <w:p w14:paraId="1B150126" w14:textId="77777777"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0FD9C38F"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2C753F" w:rsidRPr="009316FF" w14:paraId="3044B9A4" w14:textId="77777777" w:rsidTr="005A61F9">
        <w:trPr>
          <w:trHeight w:val="497"/>
        </w:trPr>
        <w:tc>
          <w:tcPr>
            <w:tcW w:w="1736" w:type="dxa"/>
            <w:shd w:val="clear" w:color="auto" w:fill="auto"/>
          </w:tcPr>
          <w:p w14:paraId="3AA2478C" w14:textId="06D4BC80"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CSO members</w:t>
            </w:r>
          </w:p>
        </w:tc>
        <w:tc>
          <w:tcPr>
            <w:tcW w:w="2835" w:type="dxa"/>
            <w:shd w:val="clear" w:color="auto" w:fill="auto"/>
          </w:tcPr>
          <w:p w14:paraId="031DF646" w14:textId="2A503C24"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UTM</w:t>
            </w:r>
          </w:p>
        </w:tc>
        <w:tc>
          <w:tcPr>
            <w:tcW w:w="2200" w:type="dxa"/>
            <w:shd w:val="clear" w:color="auto" w:fill="auto"/>
          </w:tcPr>
          <w:p w14:paraId="4D696DC6" w14:textId="5A3C657F" w:rsidR="002C753F" w:rsidRPr="002C753F" w:rsidRDefault="002C753F" w:rsidP="002C753F">
            <w:pPr>
              <w:rPr>
                <w:rFonts w:ascii="Times New Roman" w:eastAsia="Calibri" w:hAnsi="Times New Roman"/>
                <w:sz w:val="24"/>
                <w:szCs w:val="24"/>
              </w:rPr>
            </w:pPr>
            <w:r>
              <w:rPr>
                <w:rFonts w:ascii="Times New Roman" w:hAnsi="Times New Roman"/>
                <w:sz w:val="24"/>
              </w:rPr>
              <w:t>Mrs. Maiga Aiché DIARRA</w:t>
            </w:r>
          </w:p>
        </w:tc>
        <w:tc>
          <w:tcPr>
            <w:tcW w:w="1832" w:type="dxa"/>
            <w:shd w:val="clear" w:color="auto" w:fill="FFFFFF"/>
          </w:tcPr>
          <w:p w14:paraId="7D875278" w14:textId="77777777"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4B73B071"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2C753F" w:rsidRPr="009316FF" w14:paraId="4605D80E" w14:textId="77777777" w:rsidTr="005A61F9">
        <w:trPr>
          <w:trHeight w:val="497"/>
        </w:trPr>
        <w:tc>
          <w:tcPr>
            <w:tcW w:w="1736" w:type="dxa"/>
            <w:shd w:val="clear" w:color="auto" w:fill="auto"/>
          </w:tcPr>
          <w:p w14:paraId="57929335" w14:textId="7F486E89"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UNICEF</w:t>
            </w:r>
          </w:p>
        </w:tc>
        <w:tc>
          <w:tcPr>
            <w:tcW w:w="2835" w:type="dxa"/>
            <w:shd w:val="clear" w:color="auto" w:fill="auto"/>
          </w:tcPr>
          <w:p w14:paraId="2D262ECC" w14:textId="77777777" w:rsidR="002C753F" w:rsidRPr="002C753F" w:rsidRDefault="002C753F" w:rsidP="002C753F">
            <w:pPr>
              <w:widowControl w:val="0"/>
              <w:spacing w:before="120" w:after="120"/>
              <w:jc w:val="both"/>
              <w:rPr>
                <w:rFonts w:ascii="Times New Roman" w:eastAsia="Calibri" w:hAnsi="Times New Roman"/>
                <w:sz w:val="24"/>
                <w:szCs w:val="24"/>
              </w:rPr>
            </w:pPr>
          </w:p>
        </w:tc>
        <w:tc>
          <w:tcPr>
            <w:tcW w:w="2200" w:type="dxa"/>
            <w:shd w:val="clear" w:color="auto" w:fill="auto"/>
          </w:tcPr>
          <w:p w14:paraId="18C582C5" w14:textId="77777777" w:rsidR="002C753F" w:rsidRPr="002C753F" w:rsidRDefault="002C753F" w:rsidP="002C753F">
            <w:pPr>
              <w:pStyle w:val="ListParagraph"/>
              <w:widowControl w:val="0"/>
              <w:numPr>
                <w:ilvl w:val="0"/>
                <w:numId w:val="7"/>
              </w:numPr>
              <w:spacing w:before="120" w:after="120"/>
              <w:ind w:left="107" w:hanging="218"/>
              <w:jc w:val="both"/>
              <w:rPr>
                <w:rFonts w:ascii="Times New Roman" w:eastAsia="Calibri" w:hAnsi="Times New Roman"/>
                <w:sz w:val="24"/>
                <w:szCs w:val="24"/>
              </w:rPr>
            </w:pPr>
            <w:r>
              <w:rPr>
                <w:rFonts w:ascii="Times New Roman" w:hAnsi="Times New Roman"/>
                <w:sz w:val="24"/>
              </w:rPr>
              <w:t>Aboudou Karimou ANDELE</w:t>
            </w:r>
          </w:p>
          <w:p w14:paraId="6C3682ED" w14:textId="77777777" w:rsidR="002C753F" w:rsidRPr="002C753F" w:rsidRDefault="002C753F" w:rsidP="002C753F">
            <w:pPr>
              <w:pStyle w:val="ListParagraph"/>
              <w:widowControl w:val="0"/>
              <w:spacing w:before="120" w:after="120"/>
              <w:ind w:left="107"/>
              <w:jc w:val="both"/>
              <w:rPr>
                <w:rFonts w:ascii="Times New Roman" w:eastAsia="Calibri" w:hAnsi="Times New Roman"/>
                <w:sz w:val="24"/>
                <w:szCs w:val="24"/>
              </w:rPr>
            </w:pPr>
          </w:p>
          <w:p w14:paraId="2CDE1A15" w14:textId="0249A341" w:rsidR="002C753F" w:rsidRPr="002C753F" w:rsidRDefault="002C753F" w:rsidP="002C753F">
            <w:pPr>
              <w:widowControl w:val="0"/>
              <w:spacing w:before="120" w:after="120"/>
              <w:jc w:val="both"/>
              <w:rPr>
                <w:rFonts w:ascii="Times New Roman" w:eastAsia="Calibri" w:hAnsi="Times New Roman"/>
                <w:sz w:val="24"/>
                <w:szCs w:val="24"/>
              </w:rPr>
            </w:pPr>
            <w:r>
              <w:rPr>
                <w:rFonts w:ascii="Times New Roman" w:hAnsi="Times New Roman"/>
                <w:sz w:val="24"/>
              </w:rPr>
              <w:t>Dr Mariam SIDIBE</w:t>
            </w:r>
          </w:p>
        </w:tc>
        <w:tc>
          <w:tcPr>
            <w:tcW w:w="1832" w:type="dxa"/>
            <w:shd w:val="clear" w:color="auto" w:fill="FFFFFF"/>
          </w:tcPr>
          <w:p w14:paraId="5F9B6687" w14:textId="77777777"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67B92D25"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2C753F" w:rsidRPr="009316FF" w14:paraId="4C475269" w14:textId="77777777" w:rsidTr="005A61F9">
        <w:trPr>
          <w:trHeight w:val="497"/>
        </w:trPr>
        <w:tc>
          <w:tcPr>
            <w:tcW w:w="1736" w:type="dxa"/>
            <w:shd w:val="clear" w:color="auto" w:fill="auto"/>
          </w:tcPr>
          <w:p w14:paraId="693E7556" w14:textId="79222E1A" w:rsidR="002C753F" w:rsidRPr="002C753F" w:rsidRDefault="002C753F" w:rsidP="002C753F">
            <w:pPr>
              <w:widowControl w:val="0"/>
              <w:spacing w:before="120" w:after="120"/>
              <w:jc w:val="both"/>
              <w:rPr>
                <w:rFonts w:ascii="Times New Roman" w:eastAsia="Calibri" w:hAnsi="Times New Roman"/>
                <w:sz w:val="24"/>
                <w:szCs w:val="24"/>
              </w:rPr>
            </w:pPr>
          </w:p>
        </w:tc>
        <w:tc>
          <w:tcPr>
            <w:tcW w:w="2835" w:type="dxa"/>
            <w:shd w:val="clear" w:color="auto" w:fill="auto"/>
          </w:tcPr>
          <w:p w14:paraId="1C2865CC" w14:textId="0BACA427" w:rsidR="002C753F" w:rsidRPr="002C753F" w:rsidRDefault="002C753F" w:rsidP="002C753F">
            <w:pPr>
              <w:widowControl w:val="0"/>
              <w:spacing w:before="120" w:after="120"/>
              <w:jc w:val="both"/>
              <w:rPr>
                <w:rFonts w:ascii="Times New Roman" w:eastAsia="Calibri" w:hAnsi="Times New Roman"/>
                <w:sz w:val="24"/>
                <w:szCs w:val="24"/>
              </w:rPr>
            </w:pPr>
          </w:p>
        </w:tc>
        <w:tc>
          <w:tcPr>
            <w:tcW w:w="2200" w:type="dxa"/>
            <w:shd w:val="clear" w:color="auto" w:fill="auto"/>
          </w:tcPr>
          <w:p w14:paraId="54D5F8C2" w14:textId="6DE76441" w:rsidR="002C753F" w:rsidRPr="002C753F" w:rsidRDefault="002C753F" w:rsidP="002C753F">
            <w:pPr>
              <w:widowControl w:val="0"/>
              <w:spacing w:before="120" w:after="120"/>
              <w:jc w:val="both"/>
              <w:rPr>
                <w:rFonts w:ascii="Times New Roman" w:eastAsia="Calibri" w:hAnsi="Times New Roman"/>
                <w:sz w:val="24"/>
                <w:szCs w:val="24"/>
              </w:rPr>
            </w:pPr>
          </w:p>
        </w:tc>
        <w:tc>
          <w:tcPr>
            <w:tcW w:w="1832" w:type="dxa"/>
            <w:shd w:val="clear" w:color="auto" w:fill="FFFFFF"/>
          </w:tcPr>
          <w:p w14:paraId="2FB5066A" w14:textId="77777777" w:rsidR="002C753F" w:rsidRPr="004B5884" w:rsidRDefault="002C753F" w:rsidP="002C753F">
            <w:pPr>
              <w:widowControl w:val="0"/>
              <w:spacing w:before="120" w:after="120"/>
              <w:jc w:val="both"/>
              <w:rPr>
                <w:rFonts w:ascii="Times New Roman" w:eastAsia="Calibri" w:hAnsi="Times New Roman"/>
                <w:sz w:val="24"/>
                <w:szCs w:val="24"/>
              </w:rPr>
            </w:pPr>
          </w:p>
        </w:tc>
        <w:tc>
          <w:tcPr>
            <w:tcW w:w="2063" w:type="dxa"/>
            <w:shd w:val="clear" w:color="auto" w:fill="FFFFFF"/>
          </w:tcPr>
          <w:p w14:paraId="4EC3E57A" w14:textId="77777777" w:rsidR="002C753F" w:rsidRPr="004B5884" w:rsidRDefault="002C753F" w:rsidP="002C753F">
            <w:pPr>
              <w:widowControl w:val="0"/>
              <w:spacing w:before="120" w:after="120"/>
              <w:jc w:val="both"/>
              <w:rPr>
                <w:rFonts w:ascii="Times New Roman" w:eastAsia="Calibri" w:hAnsi="Times New Roman"/>
                <w:sz w:val="24"/>
                <w:szCs w:val="24"/>
              </w:rPr>
            </w:pPr>
          </w:p>
        </w:tc>
      </w:tr>
      <w:tr w:rsidR="00867FFD" w:rsidRPr="009316FF" w14:paraId="23D8F5B5" w14:textId="77777777" w:rsidTr="005A61F9">
        <w:trPr>
          <w:trHeight w:val="497"/>
        </w:trPr>
        <w:tc>
          <w:tcPr>
            <w:tcW w:w="1736" w:type="dxa"/>
            <w:shd w:val="clear" w:color="auto" w:fill="FFFFFF"/>
          </w:tcPr>
          <w:p w14:paraId="67315EDC" w14:textId="77777777" w:rsidR="00867FFD" w:rsidRPr="004B5884" w:rsidRDefault="00867FFD" w:rsidP="005019F9">
            <w:pPr>
              <w:widowControl w:val="0"/>
              <w:spacing w:before="120" w:after="120"/>
              <w:jc w:val="both"/>
              <w:rPr>
                <w:rFonts w:ascii="Times New Roman" w:eastAsia="Calibri" w:hAnsi="Times New Roman"/>
                <w:sz w:val="24"/>
                <w:szCs w:val="24"/>
              </w:rPr>
            </w:pPr>
            <w:r>
              <w:rPr>
                <w:rFonts w:ascii="Times New Roman" w:hAnsi="Times New Roman"/>
                <w:sz w:val="24"/>
              </w:rPr>
              <w:t>Other</w:t>
            </w:r>
          </w:p>
        </w:tc>
        <w:tc>
          <w:tcPr>
            <w:tcW w:w="2835" w:type="dxa"/>
            <w:shd w:val="clear" w:color="auto" w:fill="FFFFFF"/>
          </w:tcPr>
          <w:p w14:paraId="6C10FA28" w14:textId="77777777" w:rsidR="00867FFD" w:rsidRPr="004B5884" w:rsidRDefault="00867FFD" w:rsidP="005019F9">
            <w:pPr>
              <w:widowControl w:val="0"/>
              <w:spacing w:before="120" w:after="120"/>
              <w:jc w:val="both"/>
              <w:rPr>
                <w:rFonts w:ascii="Times New Roman" w:eastAsia="Calibri" w:hAnsi="Times New Roman"/>
                <w:sz w:val="24"/>
                <w:szCs w:val="24"/>
              </w:rPr>
            </w:pPr>
          </w:p>
        </w:tc>
        <w:tc>
          <w:tcPr>
            <w:tcW w:w="2200" w:type="dxa"/>
            <w:shd w:val="clear" w:color="auto" w:fill="FFFFFF"/>
          </w:tcPr>
          <w:p w14:paraId="6259C15F" w14:textId="77777777" w:rsidR="00867FFD" w:rsidRPr="004B5884" w:rsidRDefault="00867FFD" w:rsidP="005019F9">
            <w:pPr>
              <w:widowControl w:val="0"/>
              <w:spacing w:before="120" w:after="120"/>
              <w:jc w:val="both"/>
              <w:rPr>
                <w:rFonts w:ascii="Times New Roman" w:eastAsia="Calibri" w:hAnsi="Times New Roman"/>
                <w:sz w:val="24"/>
                <w:szCs w:val="24"/>
              </w:rPr>
            </w:pPr>
          </w:p>
        </w:tc>
        <w:tc>
          <w:tcPr>
            <w:tcW w:w="1832" w:type="dxa"/>
            <w:shd w:val="clear" w:color="auto" w:fill="FFFFFF"/>
          </w:tcPr>
          <w:p w14:paraId="285C487B" w14:textId="77777777" w:rsidR="00867FFD" w:rsidRPr="004B5884" w:rsidRDefault="00867FFD" w:rsidP="005019F9">
            <w:pPr>
              <w:widowControl w:val="0"/>
              <w:spacing w:before="120" w:after="120"/>
              <w:jc w:val="both"/>
              <w:rPr>
                <w:rFonts w:ascii="Times New Roman" w:eastAsia="Calibri" w:hAnsi="Times New Roman"/>
                <w:sz w:val="24"/>
                <w:szCs w:val="24"/>
              </w:rPr>
            </w:pPr>
          </w:p>
        </w:tc>
        <w:tc>
          <w:tcPr>
            <w:tcW w:w="2063" w:type="dxa"/>
            <w:shd w:val="clear" w:color="auto" w:fill="FFFFFF"/>
          </w:tcPr>
          <w:p w14:paraId="775570E5" w14:textId="77777777" w:rsidR="00867FFD" w:rsidRPr="004B5884" w:rsidRDefault="00867FFD" w:rsidP="005019F9">
            <w:pPr>
              <w:widowControl w:val="0"/>
              <w:spacing w:before="120" w:after="120"/>
              <w:jc w:val="both"/>
              <w:rPr>
                <w:rFonts w:ascii="Times New Roman" w:eastAsia="Calibri" w:hAnsi="Times New Roman"/>
                <w:sz w:val="24"/>
                <w:szCs w:val="24"/>
              </w:rPr>
            </w:pPr>
          </w:p>
        </w:tc>
      </w:tr>
    </w:tbl>
    <w:p w14:paraId="5556E59D" w14:textId="77777777" w:rsidR="00220C62" w:rsidRDefault="00220C62" w:rsidP="00226DF1">
      <w:pPr>
        <w:widowControl w:val="0"/>
        <w:spacing w:before="120" w:after="120"/>
        <w:jc w:val="both"/>
        <w:rPr>
          <w:rFonts w:ascii="Times New Roman" w:eastAsia="Calibri" w:hAnsi="Times New Roman"/>
          <w:sz w:val="24"/>
          <w:szCs w:val="24"/>
        </w:rPr>
      </w:pPr>
    </w:p>
    <w:tbl>
      <w:tblPr>
        <w:tblpPr w:leftFromText="141" w:rightFromText="141" w:vertAnchor="text" w:horzAnchor="margin" w:tblpY="554"/>
        <w:tblW w:w="5000" w:type="pct"/>
        <w:tblCellMar>
          <w:left w:w="0" w:type="dxa"/>
          <w:right w:w="0" w:type="dxa"/>
        </w:tblCellMar>
        <w:tblLook w:val="0000" w:firstRow="0" w:lastRow="0" w:firstColumn="0" w:lastColumn="0" w:noHBand="0" w:noVBand="0"/>
      </w:tblPr>
      <w:tblGrid>
        <w:gridCol w:w="10205"/>
      </w:tblGrid>
      <w:tr w:rsidR="00220C62" w:rsidRPr="009316FF" w14:paraId="1DA3D247" w14:textId="77777777" w:rsidTr="00220C62">
        <w:tc>
          <w:tcPr>
            <w:tcW w:w="5000" w:type="pct"/>
          </w:tcPr>
          <w:p w14:paraId="01B38F1B" w14:textId="77777777" w:rsidR="00220C62" w:rsidRPr="004B5884" w:rsidRDefault="00220C62"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Date Please tick the relevant box to indicate whether the signatories above include representation from a broader CSO platform: </w:t>
            </w:r>
          </w:p>
          <w:p w14:paraId="6085B4D5" w14:textId="77777777" w:rsidR="00220C62" w:rsidRPr="004B5884" w:rsidRDefault="00220C62" w:rsidP="00226DF1">
            <w:pPr>
              <w:widowControl w:val="0"/>
              <w:spacing w:before="120" w:after="120"/>
              <w:jc w:val="both"/>
              <w:rPr>
                <w:rFonts w:ascii="Times New Roman" w:eastAsia="Calibri" w:hAnsi="Times New Roman"/>
                <w:sz w:val="24"/>
                <w:szCs w:val="24"/>
              </w:rPr>
            </w:pPr>
            <w:r>
              <w:rPr>
                <w:rFonts w:ascii="Times New Roman" w:hAnsi="Times New Roman"/>
                <w:sz w:val="24"/>
              </w:rPr>
              <w:t>Yes * No *                     Yes X</w:t>
            </w:r>
            <w:r w:rsidRPr="004B5884">
              <w:rPr>
                <w:rFonts w:ascii="Times New Roman" w:eastAsia="Calibri" w:hAnsi="Times New Roman"/>
                <w:sz w:val="24"/>
                <w:szCs w:val="24"/>
              </w:rPr>
              <w:sym w:font="Wingdings" w:char="F0A8"/>
            </w:r>
            <w:r>
              <w:rPr>
                <w:rFonts w:ascii="Times New Roman" w:hAnsi="Times New Roman"/>
                <w:sz w:val="24"/>
              </w:rPr>
              <w:t xml:space="preserve">        No </w:t>
            </w:r>
            <w:r w:rsidRPr="004B5884">
              <w:rPr>
                <w:rFonts w:ascii="Times New Roman" w:eastAsia="Calibri" w:hAnsi="Times New Roman"/>
                <w:sz w:val="24"/>
                <w:szCs w:val="24"/>
              </w:rPr>
              <w:sym w:font="Wingdings" w:char="F0A8"/>
            </w:r>
          </w:p>
          <w:p w14:paraId="047727CD" w14:textId="77777777" w:rsidR="00220C62" w:rsidRPr="004B5884" w:rsidRDefault="00220C62" w:rsidP="00226DF1">
            <w:pPr>
              <w:widowControl w:val="0"/>
              <w:spacing w:before="120" w:after="120"/>
              <w:jc w:val="both"/>
              <w:rPr>
                <w:rFonts w:ascii="Times New Roman" w:eastAsia="Calibri" w:hAnsi="Times New Roman"/>
                <w:sz w:val="24"/>
                <w:szCs w:val="24"/>
              </w:rPr>
            </w:pPr>
          </w:p>
          <w:p w14:paraId="6A3E9479" w14:textId="77777777" w:rsidR="00220C62" w:rsidRPr="004B5884" w:rsidRDefault="00220C62" w:rsidP="00226DF1">
            <w:pPr>
              <w:widowControl w:val="0"/>
              <w:spacing w:before="120" w:after="120"/>
              <w:jc w:val="both"/>
              <w:rPr>
                <w:rFonts w:ascii="Times New Roman" w:eastAsia="Calibri" w:hAnsi="Times New Roman"/>
                <w:sz w:val="24"/>
                <w:szCs w:val="24"/>
              </w:rPr>
            </w:pPr>
            <w:r>
              <w:rPr>
                <w:rFonts w:ascii="Times New Roman" w:hAnsi="Times New Roman"/>
                <w:sz w:val="24"/>
              </w:rPr>
              <w:t>Individual members of the HSCC/ICC may wish to send informal comments to:</w:t>
            </w:r>
          </w:p>
          <w:p w14:paraId="7DD2DE37" w14:textId="77777777" w:rsidR="00220C62" w:rsidRPr="004B5884" w:rsidRDefault="00BA23D4" w:rsidP="00226DF1">
            <w:pPr>
              <w:widowControl w:val="0"/>
              <w:spacing w:before="120" w:after="120"/>
              <w:jc w:val="both"/>
              <w:rPr>
                <w:rFonts w:ascii="Times New Roman" w:eastAsia="Calibri" w:hAnsi="Times New Roman"/>
                <w:sz w:val="24"/>
                <w:szCs w:val="24"/>
              </w:rPr>
            </w:pPr>
            <w:hyperlink r:id="rId22">
              <w:r w:rsidR="00037285">
                <w:rPr>
                  <w:rFonts w:ascii="Times New Roman" w:hAnsi="Times New Roman"/>
                  <w:color w:val="0000FF"/>
                  <w:sz w:val="24"/>
                  <w:u w:val="single"/>
                </w:rPr>
                <w:t>gavihss@gavialliance.org</w:t>
              </w:r>
            </w:hyperlink>
            <w:r w:rsidR="00037285">
              <w:rPr>
                <w:rFonts w:ascii="Times New Roman" w:hAnsi="Times New Roman"/>
                <w:sz w:val="24"/>
              </w:rPr>
              <w:t>.</w:t>
            </w:r>
            <w:hyperlink r:id="rId23">
              <w:r w:rsidR="00037285">
                <w:rPr>
                  <w:rFonts w:ascii="Times New Roman" w:hAnsi="Times New Roman"/>
                  <w:color w:val="0000FF"/>
                  <w:sz w:val="24"/>
                  <w:u w:val="single"/>
                </w:rPr>
                <w:t>gavihss@gavialliance.org</w:t>
              </w:r>
            </w:hyperlink>
            <w:r w:rsidR="00037285">
              <w:rPr>
                <w:rFonts w:ascii="Times New Roman" w:hAnsi="Times New Roman"/>
                <w:sz w:val="24"/>
              </w:rPr>
              <w:t>. All comments will be treated confidentially.</w:t>
            </w:r>
          </w:p>
        </w:tc>
      </w:tr>
      <w:tr w:rsidR="00220C62" w:rsidRPr="009316FF" w14:paraId="192770E2" w14:textId="77777777" w:rsidTr="00220C62">
        <w:trPr>
          <w:trHeight w:val="340"/>
        </w:trPr>
        <w:tc>
          <w:tcPr>
            <w:tcW w:w="5000" w:type="pct"/>
          </w:tcPr>
          <w:tbl>
            <w:tblPr>
              <w:tblpPr w:leftFromText="141" w:rightFromText="141" w:vertAnchor="text" w:horzAnchor="margin" w:tblpY="182"/>
              <w:tblOverlap w:val="never"/>
              <w:tblW w:w="10489" w:type="dxa"/>
              <w:tblCellMar>
                <w:left w:w="0" w:type="dxa"/>
                <w:right w:w="0" w:type="dxa"/>
              </w:tblCellMar>
              <w:tblLook w:val="0000" w:firstRow="0" w:lastRow="0" w:firstColumn="0" w:lastColumn="0" w:noHBand="0" w:noVBand="0"/>
            </w:tblPr>
            <w:tblGrid>
              <w:gridCol w:w="10489"/>
            </w:tblGrid>
            <w:tr w:rsidR="00220C62" w:rsidRPr="009316FF" w14:paraId="514D8CE8" w14:textId="77777777" w:rsidTr="0020393C">
              <w:trPr>
                <w:trHeight w:val="260"/>
              </w:trPr>
              <w:tc>
                <w:tcPr>
                  <w:tcW w:w="10489" w:type="dxa"/>
                  <w:tcMar>
                    <w:top w:w="40" w:type="dxa"/>
                    <w:left w:w="40" w:type="dxa"/>
                    <w:bottom w:w="40" w:type="dxa"/>
                    <w:right w:w="40" w:type="dxa"/>
                  </w:tcMar>
                  <w:vAlign w:val="center"/>
                </w:tcPr>
                <w:p w14:paraId="30C6AFA8" w14:textId="77777777" w:rsidR="00220C62" w:rsidRPr="004B5884" w:rsidRDefault="00220C62" w:rsidP="00226DF1">
                  <w:pPr>
                    <w:widowControl w:val="0"/>
                    <w:spacing w:before="120" w:after="120"/>
                    <w:jc w:val="both"/>
                    <w:rPr>
                      <w:rFonts w:ascii="Times New Roman" w:eastAsia="Calibri" w:hAnsi="Times New Roman"/>
                      <w:sz w:val="24"/>
                      <w:szCs w:val="24"/>
                    </w:rPr>
                  </w:pPr>
                </w:p>
              </w:tc>
            </w:tr>
          </w:tbl>
          <w:p w14:paraId="2723880F" w14:textId="77777777" w:rsidR="00220C62" w:rsidRPr="004B5884" w:rsidRDefault="00220C62" w:rsidP="00226DF1">
            <w:pPr>
              <w:widowControl w:val="0"/>
              <w:spacing w:before="120" w:after="120"/>
              <w:jc w:val="both"/>
              <w:rPr>
                <w:rFonts w:ascii="Times New Roman" w:eastAsia="Calibri" w:hAnsi="Times New Roman"/>
                <w:sz w:val="24"/>
                <w:szCs w:val="24"/>
              </w:rPr>
            </w:pPr>
          </w:p>
        </w:tc>
      </w:tr>
    </w:tbl>
    <w:p w14:paraId="52461BEB" w14:textId="359E828A" w:rsidR="00CC018D" w:rsidRDefault="00220C62" w:rsidP="00812644">
      <w:pPr>
        <w:jc w:val="both"/>
        <w:rPr>
          <w:rFonts w:ascii="Times New Roman" w:eastAsia="Calibri" w:hAnsi="Times New Roman"/>
          <w:sz w:val="24"/>
          <w:szCs w:val="24"/>
        </w:rPr>
      </w:pPr>
      <w:r>
        <w:rPr>
          <w:rFonts w:ascii="Times New Roman" w:hAnsi="Times New Roman"/>
          <w:sz w:val="24"/>
        </w:rPr>
        <w:t xml:space="preserve"> </w:t>
      </w:r>
      <w:r>
        <w:br w:type="page"/>
      </w:r>
    </w:p>
    <w:tbl>
      <w:tblPr>
        <w:tblpPr w:leftFromText="141" w:rightFromText="141" w:vertAnchor="text" w:horzAnchor="margin" w:tblpY="-14295"/>
        <w:tblOverlap w:val="never"/>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ook w:val="0000" w:firstRow="0" w:lastRow="0" w:firstColumn="0" w:lastColumn="0" w:noHBand="0" w:noVBand="0"/>
      </w:tblPr>
      <w:tblGrid>
        <w:gridCol w:w="10348"/>
      </w:tblGrid>
      <w:tr w:rsidR="00812644" w:rsidRPr="009316FF" w14:paraId="4358F585" w14:textId="77777777" w:rsidTr="00812644">
        <w:tc>
          <w:tcPr>
            <w:tcW w:w="10348" w:type="dxa"/>
            <w:tcBorders>
              <w:top w:val="nil"/>
              <w:left w:val="nil"/>
              <w:bottom w:val="nil"/>
              <w:right w:val="nil"/>
            </w:tcBorders>
            <w:shd w:val="clear" w:color="auto" w:fill="006460"/>
          </w:tcPr>
          <w:p w14:paraId="336B604A" w14:textId="77777777" w:rsidR="00812644" w:rsidRPr="004B5884" w:rsidRDefault="00812644" w:rsidP="00812644">
            <w:pPr>
              <w:widowControl w:val="0"/>
              <w:spacing w:before="120" w:after="120"/>
              <w:jc w:val="both"/>
              <w:rPr>
                <w:rFonts w:ascii="Times New Roman" w:eastAsia="Calibri" w:hAnsi="Times New Roman"/>
                <w:sz w:val="24"/>
                <w:szCs w:val="24"/>
              </w:rPr>
            </w:pPr>
          </w:p>
          <w:p w14:paraId="3959C14A" w14:textId="77777777" w:rsidR="00812644" w:rsidRPr="004B5884" w:rsidRDefault="00812644" w:rsidP="00812644">
            <w:pPr>
              <w:pStyle w:val="Heading1"/>
              <w:spacing w:before="120" w:after="120"/>
              <w:jc w:val="both"/>
              <w:rPr>
                <w:rFonts w:ascii="Times New Roman" w:eastAsia="Calibri" w:hAnsi="Times New Roman"/>
                <w:szCs w:val="24"/>
              </w:rPr>
            </w:pPr>
            <w:bookmarkStart w:id="21" w:name="_Toc398181083"/>
            <w:bookmarkStart w:id="22" w:name="_Toc276342212"/>
            <w:r>
              <w:rPr>
                <w:rFonts w:ascii="Times New Roman" w:hAnsi="Times New Roman"/>
              </w:rPr>
              <w:t>PART B – EXECUTIVE SUMMARY</w:t>
            </w:r>
            <w:bookmarkEnd w:id="21"/>
            <w:bookmarkEnd w:id="22"/>
          </w:p>
        </w:tc>
      </w:tr>
    </w:tbl>
    <w:p w14:paraId="43908D1B" w14:textId="77777777" w:rsidR="00812644" w:rsidRDefault="00812644" w:rsidP="00226DF1">
      <w:pPr>
        <w:widowControl w:val="0"/>
        <w:spacing w:before="120" w:after="120"/>
        <w:jc w:val="both"/>
        <w:rPr>
          <w:rFonts w:ascii="Times New Roman" w:eastAsia="Calibri" w:hAnsi="Times New Roman"/>
          <w:sz w:val="24"/>
          <w:szCs w:val="24"/>
        </w:rPr>
      </w:pPr>
    </w:p>
    <w:tbl>
      <w:tblPr>
        <w:tblpPr w:leftFromText="180" w:rightFromText="180" w:vertAnchor="page" w:horzAnchor="margin" w:tblpX="-34" w:tblpY="1501"/>
        <w:tblW w:w="4965" w:type="pct"/>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shd w:val="clear" w:color="auto" w:fill="006460"/>
        <w:tblLayout w:type="fixed"/>
        <w:tblLook w:val="0000" w:firstRow="0" w:lastRow="0" w:firstColumn="0" w:lastColumn="0" w:noHBand="0" w:noVBand="0"/>
      </w:tblPr>
      <w:tblGrid>
        <w:gridCol w:w="10348"/>
      </w:tblGrid>
      <w:tr w:rsidR="00220C62" w:rsidRPr="009316FF" w14:paraId="63AAB051" w14:textId="77777777" w:rsidTr="001B35EB">
        <w:tc>
          <w:tcPr>
            <w:tcW w:w="4906" w:type="pct"/>
            <w:shd w:val="clear" w:color="auto" w:fill="auto"/>
            <w:vAlign w:val="center"/>
          </w:tcPr>
          <w:p w14:paraId="126C66A6" w14:textId="77777777" w:rsidR="00220C62" w:rsidRPr="004B5884" w:rsidRDefault="00220C62" w:rsidP="00E8311A">
            <w:pPr>
              <w:spacing w:before="120" w:after="120"/>
              <w:jc w:val="both"/>
              <w:rPr>
                <w:rFonts w:ascii="Times New Roman" w:hAnsi="Times New Roman"/>
                <w:b/>
                <w:sz w:val="24"/>
                <w:szCs w:val="24"/>
              </w:rPr>
            </w:pPr>
            <w:r>
              <w:rPr>
                <w:rFonts w:ascii="Times New Roman" w:hAnsi="Times New Roman"/>
                <w:b/>
                <w:sz w:val="24"/>
              </w:rPr>
              <w:t>For further instructions, please refer to the Supplementary Guidelines for HSS Applications</w:t>
            </w:r>
          </w:p>
        </w:tc>
      </w:tr>
      <w:tr w:rsidR="00220C62" w:rsidRPr="009316FF" w14:paraId="3DD279B2" w14:textId="77777777" w:rsidTr="001B35EB">
        <w:tc>
          <w:tcPr>
            <w:tcW w:w="4906" w:type="pct"/>
            <w:shd w:val="clear" w:color="auto" w:fill="006460"/>
            <w:vAlign w:val="center"/>
          </w:tcPr>
          <w:p w14:paraId="263AEE3E" w14:textId="77777777" w:rsidR="00220C62" w:rsidRPr="004B5884" w:rsidRDefault="00220C62" w:rsidP="00E8311A">
            <w:pPr>
              <w:pStyle w:val="Heading2"/>
              <w:rPr>
                <w:rFonts w:ascii="Times New Roman" w:hAnsi="Times New Roman"/>
                <w:sz w:val="24"/>
                <w:szCs w:val="24"/>
              </w:rPr>
            </w:pPr>
            <w:bookmarkStart w:id="23" w:name="_Toc398181084"/>
            <w:bookmarkStart w:id="24" w:name="_Toc276342213"/>
            <w:r>
              <w:rPr>
                <w:rFonts w:ascii="Times New Roman" w:hAnsi="Times New Roman"/>
                <w:sz w:val="24"/>
              </w:rPr>
              <w:t>3. Executive Summary</w:t>
            </w:r>
            <w:bookmarkEnd w:id="23"/>
            <w:bookmarkEnd w:id="24"/>
          </w:p>
        </w:tc>
      </w:tr>
      <w:tr w:rsidR="00220C62" w:rsidRPr="009316FF" w14:paraId="01C967FD" w14:textId="77777777" w:rsidTr="001B35EB">
        <w:tc>
          <w:tcPr>
            <w:tcW w:w="4906" w:type="pct"/>
            <w:shd w:val="clear" w:color="auto" w:fill="auto"/>
          </w:tcPr>
          <w:p w14:paraId="4E936BD8" w14:textId="77777777" w:rsidR="00220C62" w:rsidRPr="004B5884" w:rsidRDefault="00220C62" w:rsidP="00E8311A">
            <w:pPr>
              <w:spacing w:before="120" w:after="120"/>
              <w:jc w:val="both"/>
              <w:rPr>
                <w:rFonts w:ascii="Times New Roman" w:hAnsi="Times New Roman"/>
                <w:i/>
                <w:color w:val="005A63"/>
                <w:sz w:val="24"/>
                <w:szCs w:val="24"/>
              </w:rPr>
            </w:pPr>
            <w:r>
              <w:rPr>
                <w:rFonts w:ascii="Times New Roman" w:hAnsi="Times New Roman"/>
                <w:i/>
                <w:color w:val="005A63"/>
                <w:sz w:val="24"/>
              </w:rPr>
              <w:t>Please provide an executive summary of the proposal, of no more than 2 pages, with reference to the items listed below:</w:t>
            </w:r>
          </w:p>
          <w:p w14:paraId="089D1091" w14:textId="107F1933" w:rsidR="00220C62" w:rsidRPr="004B5884" w:rsidRDefault="00220C62" w:rsidP="00E8311A">
            <w:pPr>
              <w:spacing w:before="120" w:after="120"/>
              <w:jc w:val="both"/>
              <w:rPr>
                <w:rFonts w:ascii="Times New Roman" w:hAnsi="Times New Roman"/>
                <w:i/>
                <w:color w:val="005A63"/>
                <w:sz w:val="24"/>
                <w:szCs w:val="24"/>
              </w:rPr>
            </w:pPr>
            <w:r>
              <w:rPr>
                <w:rFonts w:ascii="Times New Roman" w:hAnsi="Times New Roman"/>
                <w:i/>
                <w:color w:val="005A63"/>
                <w:sz w:val="24"/>
              </w:rPr>
              <w:t xml:space="preserve">The main bottlenecks for achieving immunization outcomes addressed within this proposal and how proposed objectives in this application will address these bottlenecks and improve immunization outcomes; </w:t>
            </w:r>
          </w:p>
          <w:p w14:paraId="0C914F04" w14:textId="77777777" w:rsidR="00220C62" w:rsidRPr="004B5884" w:rsidRDefault="00220C62" w:rsidP="00E8311A">
            <w:pPr>
              <w:spacing w:before="120" w:after="120"/>
              <w:jc w:val="both"/>
              <w:rPr>
                <w:rFonts w:ascii="Times New Roman" w:hAnsi="Times New Roman"/>
                <w:i/>
                <w:color w:val="005A63"/>
                <w:sz w:val="24"/>
                <w:szCs w:val="24"/>
              </w:rPr>
            </w:pPr>
            <w:r>
              <w:rPr>
                <w:rFonts w:ascii="Times New Roman" w:hAnsi="Times New Roman"/>
                <w:i/>
                <w:color w:val="005A63"/>
                <w:sz w:val="24"/>
              </w:rPr>
              <w:t>A summary description of the population to be covered by the intervention (i.e. total population targeted).</w:t>
            </w:r>
          </w:p>
          <w:p w14:paraId="3D90F2BE" w14:textId="77777777" w:rsidR="00220C62" w:rsidRPr="004B5884" w:rsidRDefault="00220C62" w:rsidP="00E8311A">
            <w:pPr>
              <w:spacing w:before="120" w:after="120"/>
              <w:jc w:val="both"/>
              <w:rPr>
                <w:rFonts w:ascii="Times New Roman" w:hAnsi="Times New Roman"/>
                <w:i/>
                <w:color w:val="005A63"/>
                <w:sz w:val="24"/>
                <w:szCs w:val="24"/>
              </w:rPr>
            </w:pPr>
            <w:r>
              <w:rPr>
                <w:rFonts w:ascii="Times New Roman" w:hAnsi="Times New Roman"/>
                <w:i/>
                <w:color w:val="005A63"/>
                <w:sz w:val="24"/>
              </w:rPr>
              <w:t>Objectives and the related budget for each objective.</w:t>
            </w:r>
          </w:p>
          <w:p w14:paraId="7CBD35E4" w14:textId="77777777" w:rsidR="00220C62" w:rsidRPr="004B5884" w:rsidRDefault="00220C62" w:rsidP="00E8311A">
            <w:pPr>
              <w:numPr>
                <w:ilvl w:val="0"/>
                <w:numId w:val="2"/>
              </w:numPr>
              <w:spacing w:before="120" w:after="120"/>
              <w:jc w:val="both"/>
              <w:rPr>
                <w:rFonts w:ascii="Times New Roman" w:hAnsi="Times New Roman"/>
                <w:i/>
                <w:color w:val="005A63"/>
                <w:sz w:val="24"/>
                <w:szCs w:val="24"/>
              </w:rPr>
            </w:pPr>
            <w:r>
              <w:rPr>
                <w:rFonts w:ascii="Times New Roman" w:hAnsi="Times New Roman"/>
                <w:i/>
                <w:color w:val="005A63"/>
                <w:sz w:val="24"/>
              </w:rPr>
              <w:t>The proposed implementation arrangements including the role of government departments and civil society organisations. Please include a summary of financial management, procurement and M&amp;E arrangements.</w:t>
            </w:r>
          </w:p>
        </w:tc>
      </w:tr>
      <w:tr w:rsidR="00B85133" w:rsidRPr="009316FF" w14:paraId="575E120E" w14:textId="77777777" w:rsidTr="00E8311A">
        <w:tc>
          <w:tcPr>
            <w:tcW w:w="4906" w:type="pct"/>
            <w:shd w:val="clear" w:color="auto" w:fill="auto"/>
          </w:tcPr>
          <w:p w14:paraId="42256BEB" w14:textId="77777777" w:rsidR="00BB1246" w:rsidRDefault="00BB1246" w:rsidP="00BB1246">
            <w:pPr>
              <w:spacing w:before="120" w:after="120"/>
              <w:jc w:val="both"/>
              <w:rPr>
                <w:rFonts w:ascii="Times New Roman" w:hAnsi="Times New Roman"/>
                <w:b/>
                <w:i/>
                <w:sz w:val="24"/>
                <w:szCs w:val="24"/>
              </w:rPr>
            </w:pPr>
            <w:r>
              <w:rPr>
                <w:rFonts w:ascii="Times New Roman" w:hAnsi="Times New Roman"/>
                <w:b/>
                <w:i/>
                <w:sz w:val="24"/>
              </w:rPr>
              <w:t>TWO PAGES MAXIMUM</w:t>
            </w:r>
          </w:p>
          <w:p w14:paraId="6D1EF872"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This proposal is part of the 2014-2018 PRODESS-III framework, the implementation of which it supports. It is more specifically related to strategic objectives 2 and 7 of the HSDP. It is also part of the continued HAVI-HSS support for 2009.</w:t>
            </w:r>
          </w:p>
          <w:p w14:paraId="582E20BA" w14:textId="77777777" w:rsidR="00BB1246" w:rsidRDefault="00BB1246" w:rsidP="00BB1246">
            <w:pPr>
              <w:rPr>
                <w:rFonts w:ascii="Times New Roman" w:hAnsi="Times New Roman"/>
                <w:sz w:val="24"/>
                <w:szCs w:val="24"/>
              </w:rPr>
            </w:pPr>
            <w:r>
              <w:rPr>
                <w:rFonts w:ascii="Times New Roman" w:hAnsi="Times New Roman"/>
                <w:sz w:val="24"/>
              </w:rPr>
              <w:t>The priority bottlenecks that limit the results of immunization are:</w:t>
            </w:r>
          </w:p>
          <w:p w14:paraId="7CAA6E63" w14:textId="77777777" w:rsidR="00BB1246" w:rsidRPr="00485D43" w:rsidRDefault="00BB1246" w:rsidP="00BB1246">
            <w:pPr>
              <w:numPr>
                <w:ilvl w:val="0"/>
                <w:numId w:val="16"/>
              </w:numPr>
              <w:shd w:val="clear" w:color="auto" w:fill="FFFFFF"/>
              <w:spacing w:before="120" w:after="120"/>
              <w:jc w:val="both"/>
              <w:rPr>
                <w:rFonts w:ascii="Times New Roman" w:hAnsi="Times New Roman"/>
                <w:sz w:val="24"/>
                <w:szCs w:val="24"/>
              </w:rPr>
            </w:pPr>
            <w:r>
              <w:rPr>
                <w:rFonts w:ascii="Times New Roman" w:hAnsi="Times New Roman"/>
                <w:sz w:val="24"/>
              </w:rPr>
              <w:t>Insufficient coverage of the offer of quality basic care in the care offer.</w:t>
            </w:r>
          </w:p>
          <w:p w14:paraId="3159BE9B" w14:textId="77777777" w:rsidR="00BB1246" w:rsidRPr="00485D43" w:rsidRDefault="00BB1246" w:rsidP="00BB1246">
            <w:pPr>
              <w:numPr>
                <w:ilvl w:val="0"/>
                <w:numId w:val="16"/>
              </w:numPr>
              <w:shd w:val="clear" w:color="auto" w:fill="FFFFFF"/>
              <w:spacing w:before="120" w:after="120"/>
              <w:jc w:val="both"/>
              <w:rPr>
                <w:rFonts w:ascii="Times New Roman" w:hAnsi="Times New Roman"/>
                <w:sz w:val="24"/>
                <w:szCs w:val="24"/>
              </w:rPr>
            </w:pPr>
            <w:r>
              <w:rPr>
                <w:rFonts w:ascii="Times New Roman" w:hAnsi="Times New Roman"/>
                <w:sz w:val="24"/>
              </w:rPr>
              <w:t>Insufficient demand for care and for immunization i particular.</w:t>
            </w:r>
          </w:p>
          <w:p w14:paraId="5AF216B3" w14:textId="77777777" w:rsidR="00BB1246" w:rsidRPr="00485D43" w:rsidRDefault="00BB1246" w:rsidP="00BB1246">
            <w:pPr>
              <w:numPr>
                <w:ilvl w:val="0"/>
                <w:numId w:val="16"/>
              </w:numPr>
              <w:shd w:val="clear" w:color="auto" w:fill="FFFFFF"/>
              <w:spacing w:before="120" w:after="120"/>
              <w:jc w:val="both"/>
              <w:rPr>
                <w:rFonts w:ascii="Times New Roman" w:hAnsi="Times New Roman"/>
                <w:sz w:val="24"/>
                <w:szCs w:val="24"/>
              </w:rPr>
            </w:pPr>
            <w:r>
              <w:rPr>
                <w:rFonts w:ascii="Times New Roman" w:hAnsi="Times New Roman"/>
                <w:sz w:val="24"/>
              </w:rPr>
              <w:t>Insufficiency of the health information system and monitoring-evaluation.</w:t>
            </w:r>
          </w:p>
          <w:p w14:paraId="145DBB6E" w14:textId="77777777" w:rsidR="00BB1246" w:rsidRDefault="00BB1246" w:rsidP="00BB1246">
            <w:pPr>
              <w:numPr>
                <w:ilvl w:val="0"/>
                <w:numId w:val="16"/>
              </w:numPr>
              <w:shd w:val="clear" w:color="auto" w:fill="FFFFFF"/>
              <w:spacing w:before="120" w:after="120"/>
              <w:jc w:val="both"/>
              <w:rPr>
                <w:rFonts w:ascii="Times New Roman" w:hAnsi="Times New Roman"/>
                <w:sz w:val="24"/>
                <w:szCs w:val="24"/>
              </w:rPr>
            </w:pPr>
            <w:r>
              <w:rPr>
                <w:rFonts w:ascii="Times New Roman" w:hAnsi="Times New Roman"/>
                <w:sz w:val="24"/>
              </w:rPr>
              <w:t>Insufficient cold chain capacity and effective vaccine management</w:t>
            </w:r>
          </w:p>
          <w:p w14:paraId="6AEC1BBD" w14:textId="77777777" w:rsidR="00BB1246" w:rsidRPr="005C0001" w:rsidRDefault="00BB1246" w:rsidP="00BB1246">
            <w:pPr>
              <w:numPr>
                <w:ilvl w:val="0"/>
                <w:numId w:val="16"/>
              </w:numPr>
              <w:shd w:val="clear" w:color="auto" w:fill="FFFFFF"/>
              <w:spacing w:before="120" w:after="120"/>
              <w:jc w:val="both"/>
              <w:rPr>
                <w:rFonts w:ascii="Times New Roman" w:hAnsi="Times New Roman"/>
                <w:sz w:val="24"/>
                <w:szCs w:val="24"/>
              </w:rPr>
            </w:pPr>
            <w:r>
              <w:rPr>
                <w:rFonts w:ascii="Times New Roman" w:hAnsi="Times New Roman"/>
                <w:sz w:val="24"/>
              </w:rPr>
              <w:t>Insufficient financing for immunization</w:t>
            </w:r>
          </w:p>
          <w:p w14:paraId="7EF10503"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The support of the GAVI-ALLIANCE for health system strengthening will allow these priority bottlenecks to be removed, in order to improve immunization services at the operational level and to improve coverage.</w:t>
            </w:r>
          </w:p>
          <w:p w14:paraId="7F5A3EBE"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To do this, the following global objectives have been defined:</w:t>
            </w:r>
          </w:p>
          <w:p w14:paraId="4DDD6394" w14:textId="56B2C425" w:rsidR="00C76295" w:rsidRPr="00706E3D" w:rsidRDefault="00BB1246" w:rsidP="00BB1246">
            <w:pPr>
              <w:spacing w:before="120" w:after="120"/>
              <w:jc w:val="both"/>
              <w:rPr>
                <w:rFonts w:ascii="Times New Roman" w:hAnsi="Times New Roman"/>
                <w:i/>
                <w:sz w:val="24"/>
                <w:szCs w:val="24"/>
              </w:rPr>
            </w:pPr>
            <w:r>
              <w:rPr>
                <w:rFonts w:ascii="Times New Roman" w:hAnsi="Times New Roman"/>
                <w:b/>
                <w:i/>
                <w:sz w:val="24"/>
              </w:rPr>
              <w:t>Objective 1:</w:t>
            </w:r>
            <w:r>
              <w:rPr>
                <w:rFonts w:ascii="Times New Roman" w:hAnsi="Times New Roman"/>
                <w:sz w:val="24"/>
              </w:rPr>
              <w:t xml:space="preserve"> </w:t>
            </w:r>
            <w:r>
              <w:rPr>
                <w:rFonts w:ascii="Times New Roman" w:hAnsi="Times New Roman"/>
                <w:i/>
                <w:sz w:val="24"/>
              </w:rPr>
              <w:t>By December 2019, increase vaccine coverage of fully immunized children in the country from 72% to 95%.</w:t>
            </w:r>
          </w:p>
          <w:p w14:paraId="02BCCECD" w14:textId="1E8430B2" w:rsidR="00BB1246" w:rsidRPr="00706E3D" w:rsidRDefault="00BB1246" w:rsidP="00BB1246">
            <w:pPr>
              <w:spacing w:before="120" w:after="120"/>
              <w:jc w:val="both"/>
              <w:rPr>
                <w:rFonts w:ascii="Times New Roman" w:hAnsi="Times New Roman"/>
                <w:b/>
                <w:i/>
                <w:sz w:val="24"/>
                <w:szCs w:val="24"/>
              </w:rPr>
            </w:pPr>
            <w:r>
              <w:rPr>
                <w:rFonts w:ascii="Times New Roman" w:hAnsi="Times New Roman"/>
                <w:b/>
                <w:i/>
                <w:sz w:val="24"/>
              </w:rPr>
              <w:t>Budget 12,312,253.70 $ US (6,156,126,950 CFA francs) i.e. 63.7% of the total</w:t>
            </w:r>
          </w:p>
          <w:p w14:paraId="205643D3"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Evaluation of the pilot experience with FBR (Results-based Financing) in the health districts of Dioila, Fana and Banamba will be extended to 3 regions (Kayes, Koulikoro and Ségou) with the support of GAVI-HSS. Experience has shown the need for strict external oversight of FBR indicators before the payment of bonuses, in order to avoid data manipulation.</w:t>
            </w:r>
          </w:p>
          <w:p w14:paraId="2874B5B8"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Alternative strategies for reaching populations that are distant from health centers (mobile teams and advanced strategies) will be organized in all health areas in order to ensure the availability of immunization services for the entire population.</w:t>
            </w:r>
          </w:p>
          <w:p w14:paraId="206C29F0"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 xml:space="preserve">Logistical resources will be procured and made available to the technical services in order to carry out advances strategy and mobile team activities, as well as supervision activities. The availability of the logistics resources also guarantees the delivery of vaccines to the immunizing facilities. </w:t>
            </w:r>
          </w:p>
          <w:p w14:paraId="7091AAB6"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It must be noted that, in the context of the Northern reconstruction, many efforts are in progress for the deployment in terms of the availability of vehicles, strengthening the supply chain and equipping facilities. GAVI support will allow the outdated vehicles of certain districts in the regions of Kayes, Koulikoro, Sikasso, Ségou and Mopti to be refreshed.</w:t>
            </w:r>
          </w:p>
          <w:p w14:paraId="1F4EEFBF"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 xml:space="preserve">The grant will also allow the availability of human resources qualified to provide better oversight of immunization activities through the medical conversion of CSCom. Certain qualified agents will enjoy bonuses for motivation/isolated location/hazards in order to encourage them to remain in these zones for extended time periods. </w:t>
            </w:r>
          </w:p>
          <w:p w14:paraId="32502DF5"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The capacities of certain centers will be augmented for the management of waste from immunization, by equipping them with incinerators and biomedical waste management equipment, particularly the Reference Health Centers of the Kayes, Koulikoro, Sikasso, Ségou and Mopti Regions.</w:t>
            </w:r>
          </w:p>
          <w:p w14:paraId="48FFD2FD" w14:textId="77777777" w:rsidR="00BB1246" w:rsidRDefault="00BB1246" w:rsidP="00BB1246">
            <w:pPr>
              <w:rPr>
                <w:rFonts w:ascii="Times New Roman" w:hAnsi="Times New Roman"/>
                <w:sz w:val="24"/>
                <w:szCs w:val="24"/>
              </w:rPr>
            </w:pPr>
            <w:r>
              <w:rPr>
                <w:rFonts w:ascii="Times New Roman" w:hAnsi="Times New Roman"/>
                <w:sz w:val="24"/>
              </w:rPr>
              <w:t xml:space="preserve">Agents without sufficient training in EPI at all levels will acquire the skills necessary, through trainings financed with GAVI-HSS funds. </w:t>
            </w:r>
          </w:p>
          <w:p w14:paraId="194E1C96" w14:textId="77777777" w:rsidR="00BB1246" w:rsidRDefault="00BB1246" w:rsidP="00BB1246">
            <w:pPr>
              <w:rPr>
                <w:rFonts w:ascii="Times New Roman" w:hAnsi="Times New Roman"/>
                <w:sz w:val="24"/>
                <w:szCs w:val="24"/>
              </w:rPr>
            </w:pPr>
          </w:p>
          <w:p w14:paraId="64AB76D0" w14:textId="77777777" w:rsidR="00BB1246" w:rsidRDefault="00BB1246" w:rsidP="00BB1246">
            <w:pPr>
              <w:spacing w:before="120" w:after="120"/>
              <w:jc w:val="both"/>
              <w:rPr>
                <w:rFonts w:ascii="Times New Roman" w:hAnsi="Times New Roman"/>
                <w:sz w:val="24"/>
                <w:szCs w:val="24"/>
              </w:rPr>
            </w:pPr>
            <w:r>
              <w:rPr>
                <w:rFonts w:ascii="Times New Roman" w:hAnsi="Times New Roman"/>
                <w:b/>
                <w:i/>
                <w:sz w:val="24"/>
              </w:rPr>
              <w:t>Objective 2:</w:t>
            </w:r>
            <w:r>
              <w:rPr>
                <w:rFonts w:ascii="Times New Roman" w:hAnsi="Times New Roman"/>
                <w:sz w:val="24"/>
              </w:rPr>
              <w:t xml:space="preserve"> Ensuring access to and availability of immunization in 100% of the priority districts.</w:t>
            </w:r>
          </w:p>
          <w:p w14:paraId="20F9FEFA" w14:textId="390C4886" w:rsidR="00BB1246" w:rsidRPr="00706E3D" w:rsidRDefault="00BB1246" w:rsidP="00593D3A">
            <w:pPr>
              <w:spacing w:before="120" w:after="120"/>
              <w:ind w:firstLine="241"/>
              <w:jc w:val="both"/>
              <w:rPr>
                <w:rFonts w:ascii="Times New Roman" w:hAnsi="Times New Roman"/>
                <w:b/>
                <w:bCs/>
                <w:color w:val="403151"/>
                <w:sz w:val="24"/>
              </w:rPr>
            </w:pPr>
            <w:r>
              <w:rPr>
                <w:rFonts w:ascii="Times New Roman" w:hAnsi="Times New Roman"/>
                <w:b/>
                <w:sz w:val="24"/>
              </w:rPr>
              <w:t xml:space="preserve">Budget: 3,117,074.90 $US (1,558,537,450 CFA francs) i.e. 16.1% of the total. </w:t>
            </w:r>
          </w:p>
          <w:p w14:paraId="31B78880"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The awarding of the motivation / isolated location will make the agents in distance and unsafe zones have a greater commitment. This will involve all regions of the country.</w:t>
            </w:r>
          </w:p>
          <w:p w14:paraId="68FC5B82"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Contracts will be signed with the NGOs and CSOs that are able to travel in zones occupied by armed groups to allow them to offer basic health services. This strategy will be continued in regions in the North wher ethe situation is still unsafe, through GAVI-HSS funding.</w:t>
            </w:r>
          </w:p>
          <w:p w14:paraId="344F6F3B" w14:textId="77777777" w:rsidR="00BB1246" w:rsidRDefault="00BB1246" w:rsidP="00BB1246">
            <w:pPr>
              <w:rPr>
                <w:rFonts w:ascii="Times New Roman" w:hAnsi="Times New Roman"/>
                <w:b/>
                <w:sz w:val="24"/>
              </w:rPr>
            </w:pPr>
            <w:r>
              <w:rPr>
                <w:b/>
                <w:u w:val="single"/>
              </w:rPr>
              <w:t>Table:</w:t>
            </w:r>
            <w:r>
              <w:rPr>
                <w:rFonts w:ascii="Times New Roman" w:hAnsi="Times New Roman"/>
                <w:b/>
                <w:sz w:val="24"/>
              </w:rPr>
              <w:t xml:space="preserve"> Priority health districts and criteria for choosing districts</w:t>
            </w:r>
          </w:p>
          <w:p w14:paraId="666AFE93" w14:textId="77777777" w:rsidR="00BB1246" w:rsidRPr="009657B0" w:rsidRDefault="00BB1246" w:rsidP="00BB1246">
            <w:pPr>
              <w:rPr>
                <w:rFonts w:ascii="Times New Roman" w:hAnsi="Times New Roman"/>
                <w:b/>
                <w:sz w:val="24"/>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25"/>
              <w:gridCol w:w="2260"/>
              <w:gridCol w:w="1648"/>
              <w:gridCol w:w="1829"/>
              <w:gridCol w:w="1385"/>
            </w:tblGrid>
            <w:tr w:rsidR="00BB1246" w:rsidRPr="008E5CB5" w14:paraId="5761CB11" w14:textId="77777777" w:rsidTr="00167F1D">
              <w:trPr>
                <w:trHeight w:val="270"/>
                <w:jc w:val="center"/>
              </w:trPr>
              <w:tc>
                <w:tcPr>
                  <w:tcW w:w="202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B54CEE"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GEOGRAPHIC ENTITY</w:t>
                  </w:r>
                </w:p>
              </w:tc>
              <w:tc>
                <w:tcPr>
                  <w:tcW w:w="22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3552626"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HEALTH DISTRICT</w:t>
                  </w:r>
                </w:p>
              </w:tc>
              <w:tc>
                <w:tcPr>
                  <w:tcW w:w="164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4A5318F" w14:textId="77777777" w:rsidR="00BB1246" w:rsidRPr="008E5CB5" w:rsidRDefault="00BB1246" w:rsidP="008F0EDC">
                  <w:pPr>
                    <w:framePr w:hSpace="180" w:wrap="around" w:vAnchor="page" w:hAnchor="margin" w:x="-34" w:y="1501"/>
                    <w:spacing w:after="120"/>
                    <w:jc w:val="center"/>
                    <w:rPr>
                      <w:rFonts w:ascii="Times New Roman" w:eastAsia="Calibri" w:hAnsi="Times New Roman"/>
                      <w:b/>
                      <w:bCs/>
                      <w:sz w:val="20"/>
                    </w:rPr>
                  </w:pPr>
                  <w:r>
                    <w:rPr>
                      <w:rFonts w:ascii="Times New Roman" w:hAnsi="Times New Roman"/>
                      <w:b/>
                      <w:sz w:val="20"/>
                    </w:rPr>
                    <w:t>AVERAGE VACCINE COVERAGE - 2013</w:t>
                  </w:r>
                </w:p>
              </w:tc>
              <w:tc>
                <w:tcPr>
                  <w:tcW w:w="182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06B05CE" w14:textId="77777777" w:rsidR="00BB1246" w:rsidRPr="008E5CB5" w:rsidRDefault="00BB1246" w:rsidP="008F0EDC">
                  <w:pPr>
                    <w:framePr w:hSpace="180" w:wrap="around" w:vAnchor="page" w:hAnchor="margin" w:x="-34" w:y="1501"/>
                    <w:spacing w:after="120"/>
                    <w:jc w:val="center"/>
                    <w:rPr>
                      <w:rFonts w:ascii="Times New Roman" w:eastAsia="Calibri" w:hAnsi="Times New Roman"/>
                      <w:b/>
                      <w:bCs/>
                      <w:sz w:val="20"/>
                    </w:rPr>
                  </w:pPr>
                  <w:r>
                    <w:rPr>
                      <w:rFonts w:ascii="Times New Roman" w:hAnsi="Times New Roman"/>
                      <w:b/>
                      <w:sz w:val="20"/>
                    </w:rPr>
                    <w:t>DROPOUT RATE</w:t>
                  </w:r>
                </w:p>
                <w:p w14:paraId="74CA74EB" w14:textId="77777777" w:rsidR="00BB1246" w:rsidRPr="008E5CB5" w:rsidRDefault="00BB1246" w:rsidP="008F0EDC">
                  <w:pPr>
                    <w:framePr w:hSpace="180" w:wrap="around" w:vAnchor="page" w:hAnchor="margin" w:x="-34" w:y="1501"/>
                    <w:spacing w:after="120"/>
                    <w:jc w:val="center"/>
                    <w:rPr>
                      <w:rFonts w:ascii="Times New Roman" w:eastAsia="Calibri" w:hAnsi="Times New Roman"/>
                      <w:b/>
                      <w:bCs/>
                      <w:sz w:val="20"/>
                    </w:rPr>
                  </w:pPr>
                  <w:r>
                    <w:rPr>
                      <w:rFonts w:ascii="Times New Roman" w:hAnsi="Times New Roman"/>
                      <w:b/>
                      <w:sz w:val="20"/>
                    </w:rPr>
                    <w:t>2013 AVERAGE</w:t>
                  </w:r>
                </w:p>
              </w:tc>
              <w:tc>
                <w:tcPr>
                  <w:tcW w:w="13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F44758" w14:textId="77777777" w:rsidR="00BB1246" w:rsidRPr="008E5CB5" w:rsidRDefault="00BB1246" w:rsidP="008F0EDC">
                  <w:pPr>
                    <w:framePr w:hSpace="180" w:wrap="around" w:vAnchor="page" w:hAnchor="margin" w:x="-34" w:y="1501"/>
                    <w:spacing w:after="120"/>
                    <w:jc w:val="center"/>
                    <w:rPr>
                      <w:rFonts w:ascii="Times New Roman" w:eastAsia="Calibri" w:hAnsi="Times New Roman"/>
                      <w:b/>
                      <w:bCs/>
                      <w:sz w:val="20"/>
                    </w:rPr>
                  </w:pPr>
                  <w:r>
                    <w:rPr>
                      <w:rFonts w:ascii="Times New Roman" w:hAnsi="Times New Roman"/>
                      <w:b/>
                      <w:sz w:val="20"/>
                    </w:rPr>
                    <w:t>SECURITY RISK</w:t>
                  </w:r>
                </w:p>
              </w:tc>
            </w:tr>
            <w:tr w:rsidR="00BB1246" w:rsidRPr="008E5CB5" w14:paraId="344A6C62" w14:textId="77777777" w:rsidTr="00167F1D">
              <w:trPr>
                <w:trHeight w:val="20"/>
                <w:jc w:val="center"/>
              </w:trPr>
              <w:tc>
                <w:tcPr>
                  <w:tcW w:w="2025" w:type="dxa"/>
                  <w:vMerge w:val="restart"/>
                  <w:tcBorders>
                    <w:top w:val="single" w:sz="4" w:space="0" w:color="auto"/>
                    <w:left w:val="single" w:sz="4" w:space="0" w:color="auto"/>
                    <w:bottom w:val="single" w:sz="4" w:space="0" w:color="auto"/>
                    <w:right w:val="single" w:sz="4" w:space="0" w:color="auto"/>
                  </w:tcBorders>
                  <w:vAlign w:val="center"/>
                  <w:hideMark/>
                </w:tcPr>
                <w:p w14:paraId="5DB82BAF" w14:textId="77777777" w:rsidR="00BB1246" w:rsidRPr="008E5CB5" w:rsidRDefault="00BB1246" w:rsidP="008F0EDC">
                  <w:pPr>
                    <w:framePr w:hSpace="180" w:wrap="around" w:vAnchor="page" w:hAnchor="margin" w:x="-34" w:y="1501"/>
                    <w:spacing w:after="120"/>
                    <w:jc w:val="center"/>
                    <w:rPr>
                      <w:rFonts w:ascii="Times New Roman" w:eastAsia="Calibri" w:hAnsi="Times New Roman"/>
                      <w:b/>
                      <w:sz w:val="20"/>
                    </w:rPr>
                  </w:pPr>
                  <w:r>
                    <w:rPr>
                      <w:rFonts w:ascii="Times New Roman" w:hAnsi="Times New Roman"/>
                      <w:b/>
                      <w:sz w:val="20"/>
                    </w:rPr>
                    <w:t>NORTHERN REGION</w:t>
                  </w: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7D70B09D"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DIRE</w:t>
                  </w:r>
                </w:p>
              </w:tc>
              <w:tc>
                <w:tcPr>
                  <w:tcW w:w="1648" w:type="dxa"/>
                  <w:tcBorders>
                    <w:top w:val="single" w:sz="4" w:space="0" w:color="auto"/>
                    <w:left w:val="single" w:sz="4" w:space="0" w:color="auto"/>
                    <w:bottom w:val="single" w:sz="4" w:space="0" w:color="auto"/>
                    <w:right w:val="single" w:sz="4" w:space="0" w:color="auto"/>
                  </w:tcBorders>
                  <w:vAlign w:val="bottom"/>
                  <w:hideMark/>
                </w:tcPr>
                <w:p w14:paraId="67346148"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106%</w:t>
                  </w:r>
                </w:p>
              </w:tc>
              <w:tc>
                <w:tcPr>
                  <w:tcW w:w="1829" w:type="dxa"/>
                  <w:tcBorders>
                    <w:top w:val="single" w:sz="4" w:space="0" w:color="auto"/>
                    <w:left w:val="single" w:sz="4" w:space="0" w:color="auto"/>
                    <w:bottom w:val="single" w:sz="4" w:space="0" w:color="auto"/>
                    <w:right w:val="single" w:sz="4" w:space="0" w:color="auto"/>
                  </w:tcBorders>
                  <w:vAlign w:val="bottom"/>
                  <w:hideMark/>
                </w:tcPr>
                <w:p w14:paraId="5F84F6B9"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12%</w:t>
                  </w:r>
                </w:p>
              </w:tc>
              <w:tc>
                <w:tcPr>
                  <w:tcW w:w="1385" w:type="dxa"/>
                  <w:tcBorders>
                    <w:top w:val="single" w:sz="4" w:space="0" w:color="auto"/>
                    <w:left w:val="single" w:sz="4" w:space="0" w:color="auto"/>
                    <w:bottom w:val="single" w:sz="4" w:space="0" w:color="auto"/>
                    <w:right w:val="single" w:sz="4" w:space="0" w:color="auto"/>
                  </w:tcBorders>
                  <w:hideMark/>
                </w:tcPr>
                <w:p w14:paraId="0AFA02CF"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Average</w:t>
                  </w:r>
                </w:p>
              </w:tc>
            </w:tr>
            <w:tr w:rsidR="00BB1246" w:rsidRPr="008E5CB5" w14:paraId="5156BE2A"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262CB363"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1BEA90E5"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GOUNDAM</w:t>
                  </w:r>
                </w:p>
              </w:tc>
              <w:tc>
                <w:tcPr>
                  <w:tcW w:w="1648" w:type="dxa"/>
                  <w:tcBorders>
                    <w:top w:val="single" w:sz="4" w:space="0" w:color="auto"/>
                    <w:left w:val="single" w:sz="4" w:space="0" w:color="auto"/>
                    <w:bottom w:val="single" w:sz="4" w:space="0" w:color="auto"/>
                    <w:right w:val="single" w:sz="4" w:space="0" w:color="auto"/>
                  </w:tcBorders>
                  <w:vAlign w:val="bottom"/>
                  <w:hideMark/>
                </w:tcPr>
                <w:p w14:paraId="10C54FF3"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w:t>
                  </w:r>
                </w:p>
              </w:tc>
              <w:tc>
                <w:tcPr>
                  <w:tcW w:w="1829" w:type="dxa"/>
                  <w:tcBorders>
                    <w:top w:val="single" w:sz="4" w:space="0" w:color="auto"/>
                    <w:left w:val="single" w:sz="4" w:space="0" w:color="auto"/>
                    <w:bottom w:val="single" w:sz="4" w:space="0" w:color="auto"/>
                    <w:right w:val="single" w:sz="4" w:space="0" w:color="auto"/>
                  </w:tcBorders>
                  <w:vAlign w:val="bottom"/>
                  <w:hideMark/>
                </w:tcPr>
                <w:p w14:paraId="7C98DDF0"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48%</w:t>
                  </w:r>
                </w:p>
              </w:tc>
              <w:tc>
                <w:tcPr>
                  <w:tcW w:w="1385" w:type="dxa"/>
                  <w:tcBorders>
                    <w:top w:val="single" w:sz="4" w:space="0" w:color="auto"/>
                    <w:left w:val="single" w:sz="4" w:space="0" w:color="auto"/>
                    <w:bottom w:val="single" w:sz="4" w:space="0" w:color="auto"/>
                    <w:right w:val="single" w:sz="4" w:space="0" w:color="auto"/>
                  </w:tcBorders>
                  <w:hideMark/>
                </w:tcPr>
                <w:p w14:paraId="0F873707"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Strong</w:t>
                  </w:r>
                </w:p>
              </w:tc>
            </w:tr>
            <w:tr w:rsidR="00BB1246" w:rsidRPr="008E5CB5" w14:paraId="6C3FE238"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7CA3B0F"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74487434"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GOURMA-RHAROUS</w:t>
                  </w:r>
                </w:p>
              </w:tc>
              <w:tc>
                <w:tcPr>
                  <w:tcW w:w="1648" w:type="dxa"/>
                  <w:tcBorders>
                    <w:top w:val="single" w:sz="4" w:space="0" w:color="auto"/>
                    <w:left w:val="single" w:sz="4" w:space="0" w:color="auto"/>
                    <w:bottom w:val="single" w:sz="4" w:space="0" w:color="auto"/>
                    <w:right w:val="single" w:sz="4" w:space="0" w:color="auto"/>
                  </w:tcBorders>
                  <w:vAlign w:val="bottom"/>
                  <w:hideMark/>
                </w:tcPr>
                <w:p w14:paraId="1A9EF337"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30%</w:t>
                  </w:r>
                </w:p>
              </w:tc>
              <w:tc>
                <w:tcPr>
                  <w:tcW w:w="1829" w:type="dxa"/>
                  <w:tcBorders>
                    <w:top w:val="single" w:sz="4" w:space="0" w:color="auto"/>
                    <w:left w:val="single" w:sz="4" w:space="0" w:color="auto"/>
                    <w:bottom w:val="single" w:sz="4" w:space="0" w:color="auto"/>
                    <w:right w:val="single" w:sz="4" w:space="0" w:color="auto"/>
                  </w:tcBorders>
                  <w:vAlign w:val="bottom"/>
                  <w:hideMark/>
                </w:tcPr>
                <w:p w14:paraId="5EE55647"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43%</w:t>
                  </w:r>
                </w:p>
              </w:tc>
              <w:tc>
                <w:tcPr>
                  <w:tcW w:w="1385" w:type="dxa"/>
                  <w:tcBorders>
                    <w:top w:val="single" w:sz="4" w:space="0" w:color="auto"/>
                    <w:left w:val="single" w:sz="4" w:space="0" w:color="auto"/>
                    <w:bottom w:val="single" w:sz="4" w:space="0" w:color="auto"/>
                    <w:right w:val="single" w:sz="4" w:space="0" w:color="auto"/>
                  </w:tcBorders>
                  <w:hideMark/>
                </w:tcPr>
                <w:p w14:paraId="1F2BBEB5"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Strong</w:t>
                  </w:r>
                </w:p>
              </w:tc>
            </w:tr>
            <w:tr w:rsidR="00BB1246" w:rsidRPr="008E5CB5" w14:paraId="2FF0418B"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69D66E96"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625D4E13"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NIAFUNKE</w:t>
                  </w:r>
                </w:p>
              </w:tc>
              <w:tc>
                <w:tcPr>
                  <w:tcW w:w="1648" w:type="dxa"/>
                  <w:tcBorders>
                    <w:top w:val="single" w:sz="4" w:space="0" w:color="auto"/>
                    <w:left w:val="single" w:sz="4" w:space="0" w:color="auto"/>
                    <w:bottom w:val="single" w:sz="4" w:space="0" w:color="auto"/>
                    <w:right w:val="single" w:sz="4" w:space="0" w:color="auto"/>
                  </w:tcBorders>
                  <w:vAlign w:val="bottom"/>
                  <w:hideMark/>
                </w:tcPr>
                <w:p w14:paraId="30892A16"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63%</w:t>
                  </w:r>
                </w:p>
              </w:tc>
              <w:tc>
                <w:tcPr>
                  <w:tcW w:w="1829" w:type="dxa"/>
                  <w:tcBorders>
                    <w:top w:val="single" w:sz="4" w:space="0" w:color="auto"/>
                    <w:left w:val="single" w:sz="4" w:space="0" w:color="auto"/>
                    <w:bottom w:val="single" w:sz="4" w:space="0" w:color="auto"/>
                    <w:right w:val="single" w:sz="4" w:space="0" w:color="auto"/>
                  </w:tcBorders>
                  <w:vAlign w:val="bottom"/>
                  <w:hideMark/>
                </w:tcPr>
                <w:p w14:paraId="19205926"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51%</w:t>
                  </w:r>
                </w:p>
              </w:tc>
              <w:tc>
                <w:tcPr>
                  <w:tcW w:w="1385" w:type="dxa"/>
                  <w:tcBorders>
                    <w:top w:val="single" w:sz="4" w:space="0" w:color="auto"/>
                    <w:left w:val="single" w:sz="4" w:space="0" w:color="auto"/>
                    <w:bottom w:val="single" w:sz="4" w:space="0" w:color="auto"/>
                    <w:right w:val="single" w:sz="4" w:space="0" w:color="auto"/>
                  </w:tcBorders>
                  <w:hideMark/>
                </w:tcPr>
                <w:p w14:paraId="0908C167"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Strong</w:t>
                  </w:r>
                </w:p>
              </w:tc>
            </w:tr>
            <w:tr w:rsidR="00BB1246" w:rsidRPr="008E5CB5" w14:paraId="4FF4D902"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2F0F4305"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778AE244"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TOMBOUCTOU</w:t>
                  </w:r>
                </w:p>
              </w:tc>
              <w:tc>
                <w:tcPr>
                  <w:tcW w:w="1648" w:type="dxa"/>
                  <w:tcBorders>
                    <w:top w:val="single" w:sz="4" w:space="0" w:color="auto"/>
                    <w:left w:val="single" w:sz="4" w:space="0" w:color="auto"/>
                    <w:bottom w:val="single" w:sz="4" w:space="0" w:color="auto"/>
                    <w:right w:val="single" w:sz="4" w:space="0" w:color="auto"/>
                  </w:tcBorders>
                  <w:vAlign w:val="bottom"/>
                  <w:hideMark/>
                </w:tcPr>
                <w:p w14:paraId="26174789"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78%</w:t>
                  </w:r>
                </w:p>
              </w:tc>
              <w:tc>
                <w:tcPr>
                  <w:tcW w:w="1829" w:type="dxa"/>
                  <w:tcBorders>
                    <w:top w:val="single" w:sz="4" w:space="0" w:color="auto"/>
                    <w:left w:val="single" w:sz="4" w:space="0" w:color="auto"/>
                    <w:bottom w:val="single" w:sz="4" w:space="0" w:color="auto"/>
                    <w:right w:val="single" w:sz="4" w:space="0" w:color="auto"/>
                  </w:tcBorders>
                  <w:vAlign w:val="bottom"/>
                  <w:hideMark/>
                </w:tcPr>
                <w:p w14:paraId="66201DC5"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10%</w:t>
                  </w:r>
                </w:p>
              </w:tc>
              <w:tc>
                <w:tcPr>
                  <w:tcW w:w="1385" w:type="dxa"/>
                  <w:tcBorders>
                    <w:top w:val="single" w:sz="4" w:space="0" w:color="auto"/>
                    <w:left w:val="single" w:sz="4" w:space="0" w:color="auto"/>
                    <w:bottom w:val="single" w:sz="4" w:space="0" w:color="auto"/>
                    <w:right w:val="single" w:sz="4" w:space="0" w:color="auto"/>
                  </w:tcBorders>
                  <w:hideMark/>
                </w:tcPr>
                <w:p w14:paraId="792307F2"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Strong</w:t>
                  </w:r>
                </w:p>
              </w:tc>
            </w:tr>
            <w:tr w:rsidR="00BB1246" w:rsidRPr="008E5CB5" w14:paraId="24B2F979"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7F35F292"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53A7CADE"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ANSONGO</w:t>
                  </w:r>
                </w:p>
              </w:tc>
              <w:tc>
                <w:tcPr>
                  <w:tcW w:w="1648" w:type="dxa"/>
                  <w:tcBorders>
                    <w:top w:val="single" w:sz="4" w:space="0" w:color="auto"/>
                    <w:left w:val="single" w:sz="4" w:space="0" w:color="auto"/>
                    <w:bottom w:val="single" w:sz="4" w:space="0" w:color="auto"/>
                    <w:right w:val="single" w:sz="4" w:space="0" w:color="auto"/>
                  </w:tcBorders>
                  <w:vAlign w:val="bottom"/>
                  <w:hideMark/>
                </w:tcPr>
                <w:p w14:paraId="671E7BD7"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26%</w:t>
                  </w:r>
                </w:p>
              </w:tc>
              <w:tc>
                <w:tcPr>
                  <w:tcW w:w="1829" w:type="dxa"/>
                  <w:tcBorders>
                    <w:top w:val="single" w:sz="4" w:space="0" w:color="auto"/>
                    <w:left w:val="single" w:sz="4" w:space="0" w:color="auto"/>
                    <w:bottom w:val="single" w:sz="4" w:space="0" w:color="auto"/>
                    <w:right w:val="single" w:sz="4" w:space="0" w:color="auto"/>
                  </w:tcBorders>
                  <w:vAlign w:val="bottom"/>
                  <w:hideMark/>
                </w:tcPr>
                <w:p w14:paraId="1781D51A"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28%</w:t>
                  </w:r>
                </w:p>
              </w:tc>
              <w:tc>
                <w:tcPr>
                  <w:tcW w:w="1385" w:type="dxa"/>
                  <w:tcBorders>
                    <w:top w:val="single" w:sz="4" w:space="0" w:color="auto"/>
                    <w:left w:val="single" w:sz="4" w:space="0" w:color="auto"/>
                    <w:bottom w:val="single" w:sz="4" w:space="0" w:color="auto"/>
                    <w:right w:val="single" w:sz="4" w:space="0" w:color="auto"/>
                  </w:tcBorders>
                  <w:hideMark/>
                </w:tcPr>
                <w:p w14:paraId="6AD912CC"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Strong</w:t>
                  </w:r>
                </w:p>
              </w:tc>
            </w:tr>
            <w:tr w:rsidR="00BB1246" w:rsidRPr="008E5CB5" w14:paraId="15460D83"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11956E0"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44268087"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BOUREM</w:t>
                  </w:r>
                </w:p>
              </w:tc>
              <w:tc>
                <w:tcPr>
                  <w:tcW w:w="1648" w:type="dxa"/>
                  <w:tcBorders>
                    <w:top w:val="single" w:sz="4" w:space="0" w:color="auto"/>
                    <w:left w:val="single" w:sz="4" w:space="0" w:color="auto"/>
                    <w:bottom w:val="single" w:sz="4" w:space="0" w:color="auto"/>
                    <w:right w:val="single" w:sz="4" w:space="0" w:color="auto"/>
                  </w:tcBorders>
                  <w:vAlign w:val="bottom"/>
                  <w:hideMark/>
                </w:tcPr>
                <w:p w14:paraId="141D9AE1"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38%</w:t>
                  </w:r>
                </w:p>
              </w:tc>
              <w:tc>
                <w:tcPr>
                  <w:tcW w:w="1829" w:type="dxa"/>
                  <w:tcBorders>
                    <w:top w:val="single" w:sz="4" w:space="0" w:color="auto"/>
                    <w:left w:val="single" w:sz="4" w:space="0" w:color="auto"/>
                    <w:bottom w:val="single" w:sz="4" w:space="0" w:color="auto"/>
                    <w:right w:val="single" w:sz="4" w:space="0" w:color="auto"/>
                  </w:tcBorders>
                  <w:vAlign w:val="bottom"/>
                  <w:hideMark/>
                </w:tcPr>
                <w:p w14:paraId="4ECB74E4"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40%</w:t>
                  </w:r>
                </w:p>
              </w:tc>
              <w:tc>
                <w:tcPr>
                  <w:tcW w:w="1385" w:type="dxa"/>
                  <w:tcBorders>
                    <w:top w:val="single" w:sz="4" w:space="0" w:color="auto"/>
                    <w:left w:val="single" w:sz="4" w:space="0" w:color="auto"/>
                    <w:bottom w:val="single" w:sz="4" w:space="0" w:color="auto"/>
                    <w:right w:val="single" w:sz="4" w:space="0" w:color="auto"/>
                  </w:tcBorders>
                  <w:hideMark/>
                </w:tcPr>
                <w:p w14:paraId="6E502FC8"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Strong</w:t>
                  </w:r>
                </w:p>
              </w:tc>
            </w:tr>
            <w:tr w:rsidR="00BB1246" w:rsidRPr="008E5CB5" w14:paraId="7EC7B708"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3B8105D3"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5FC94212"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GAO</w:t>
                  </w:r>
                </w:p>
              </w:tc>
              <w:tc>
                <w:tcPr>
                  <w:tcW w:w="1648" w:type="dxa"/>
                  <w:tcBorders>
                    <w:top w:val="single" w:sz="4" w:space="0" w:color="auto"/>
                    <w:left w:val="single" w:sz="4" w:space="0" w:color="auto"/>
                    <w:bottom w:val="single" w:sz="4" w:space="0" w:color="auto"/>
                    <w:right w:val="single" w:sz="4" w:space="0" w:color="auto"/>
                  </w:tcBorders>
                  <w:vAlign w:val="bottom"/>
                  <w:hideMark/>
                </w:tcPr>
                <w:p w14:paraId="46F8A540"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47%</w:t>
                  </w:r>
                </w:p>
              </w:tc>
              <w:tc>
                <w:tcPr>
                  <w:tcW w:w="1829" w:type="dxa"/>
                  <w:tcBorders>
                    <w:top w:val="single" w:sz="4" w:space="0" w:color="auto"/>
                    <w:left w:val="single" w:sz="4" w:space="0" w:color="auto"/>
                    <w:bottom w:val="single" w:sz="4" w:space="0" w:color="auto"/>
                    <w:right w:val="single" w:sz="4" w:space="0" w:color="auto"/>
                  </w:tcBorders>
                  <w:vAlign w:val="bottom"/>
                  <w:hideMark/>
                </w:tcPr>
                <w:p w14:paraId="4BE853A1"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10%</w:t>
                  </w:r>
                </w:p>
              </w:tc>
              <w:tc>
                <w:tcPr>
                  <w:tcW w:w="1385" w:type="dxa"/>
                  <w:tcBorders>
                    <w:top w:val="single" w:sz="4" w:space="0" w:color="auto"/>
                    <w:left w:val="single" w:sz="4" w:space="0" w:color="auto"/>
                    <w:bottom w:val="single" w:sz="4" w:space="0" w:color="auto"/>
                    <w:right w:val="single" w:sz="4" w:space="0" w:color="auto"/>
                  </w:tcBorders>
                  <w:hideMark/>
                </w:tcPr>
                <w:p w14:paraId="2ADD16FD"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Strong</w:t>
                  </w:r>
                </w:p>
              </w:tc>
            </w:tr>
            <w:tr w:rsidR="00BB1246" w:rsidRPr="008E5CB5" w14:paraId="498A7547"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4EC5A6EA"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0FA14656"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MENAKA</w:t>
                  </w:r>
                </w:p>
              </w:tc>
              <w:tc>
                <w:tcPr>
                  <w:tcW w:w="1648" w:type="dxa"/>
                  <w:tcBorders>
                    <w:top w:val="single" w:sz="4" w:space="0" w:color="auto"/>
                    <w:left w:val="single" w:sz="4" w:space="0" w:color="auto"/>
                    <w:bottom w:val="single" w:sz="4" w:space="0" w:color="auto"/>
                    <w:right w:val="single" w:sz="4" w:space="0" w:color="auto"/>
                  </w:tcBorders>
                  <w:vAlign w:val="bottom"/>
                  <w:hideMark/>
                </w:tcPr>
                <w:p w14:paraId="3914173A"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23%</w:t>
                  </w:r>
                </w:p>
              </w:tc>
              <w:tc>
                <w:tcPr>
                  <w:tcW w:w="1829" w:type="dxa"/>
                  <w:tcBorders>
                    <w:top w:val="single" w:sz="4" w:space="0" w:color="auto"/>
                    <w:left w:val="single" w:sz="4" w:space="0" w:color="auto"/>
                    <w:bottom w:val="single" w:sz="4" w:space="0" w:color="auto"/>
                    <w:right w:val="single" w:sz="4" w:space="0" w:color="auto"/>
                  </w:tcBorders>
                  <w:vAlign w:val="bottom"/>
                  <w:hideMark/>
                </w:tcPr>
                <w:p w14:paraId="52CBD892"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69%</w:t>
                  </w:r>
                </w:p>
              </w:tc>
              <w:tc>
                <w:tcPr>
                  <w:tcW w:w="1385" w:type="dxa"/>
                  <w:tcBorders>
                    <w:top w:val="single" w:sz="4" w:space="0" w:color="auto"/>
                    <w:left w:val="single" w:sz="4" w:space="0" w:color="auto"/>
                    <w:bottom w:val="single" w:sz="4" w:space="0" w:color="auto"/>
                    <w:right w:val="single" w:sz="4" w:space="0" w:color="auto"/>
                  </w:tcBorders>
                  <w:hideMark/>
                </w:tcPr>
                <w:p w14:paraId="71404455"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Very strong</w:t>
                  </w:r>
                </w:p>
              </w:tc>
            </w:tr>
            <w:tr w:rsidR="00BB1246" w:rsidRPr="008E5CB5" w14:paraId="07126EEE"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5FC1FD22"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3018E11C"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ABEIBARA</w:t>
                  </w:r>
                </w:p>
              </w:tc>
              <w:tc>
                <w:tcPr>
                  <w:tcW w:w="1648" w:type="dxa"/>
                  <w:tcBorders>
                    <w:top w:val="single" w:sz="4" w:space="0" w:color="auto"/>
                    <w:left w:val="single" w:sz="4" w:space="0" w:color="auto"/>
                    <w:bottom w:val="single" w:sz="4" w:space="0" w:color="auto"/>
                    <w:right w:val="single" w:sz="4" w:space="0" w:color="auto"/>
                  </w:tcBorders>
                  <w:vAlign w:val="bottom"/>
                  <w:hideMark/>
                </w:tcPr>
                <w:p w14:paraId="4580CE42"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19%</w:t>
                  </w:r>
                </w:p>
              </w:tc>
              <w:tc>
                <w:tcPr>
                  <w:tcW w:w="1829" w:type="dxa"/>
                  <w:tcBorders>
                    <w:top w:val="single" w:sz="4" w:space="0" w:color="auto"/>
                    <w:left w:val="single" w:sz="4" w:space="0" w:color="auto"/>
                    <w:bottom w:val="single" w:sz="4" w:space="0" w:color="auto"/>
                    <w:right w:val="single" w:sz="4" w:space="0" w:color="auto"/>
                  </w:tcBorders>
                  <w:vAlign w:val="bottom"/>
                  <w:hideMark/>
                </w:tcPr>
                <w:p w14:paraId="797580B5"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71%</w:t>
                  </w:r>
                </w:p>
              </w:tc>
              <w:tc>
                <w:tcPr>
                  <w:tcW w:w="1385" w:type="dxa"/>
                  <w:tcBorders>
                    <w:top w:val="single" w:sz="4" w:space="0" w:color="auto"/>
                    <w:left w:val="single" w:sz="4" w:space="0" w:color="auto"/>
                    <w:bottom w:val="single" w:sz="4" w:space="0" w:color="auto"/>
                    <w:right w:val="single" w:sz="4" w:space="0" w:color="auto"/>
                  </w:tcBorders>
                  <w:hideMark/>
                </w:tcPr>
                <w:p w14:paraId="2BD78B94"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Very strong</w:t>
                  </w:r>
                </w:p>
              </w:tc>
            </w:tr>
            <w:tr w:rsidR="00BB1246" w:rsidRPr="008E5CB5" w14:paraId="6EE9EC92"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693662D8"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667AF61F"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KIDAL</w:t>
                  </w:r>
                </w:p>
              </w:tc>
              <w:tc>
                <w:tcPr>
                  <w:tcW w:w="1648" w:type="dxa"/>
                  <w:tcBorders>
                    <w:top w:val="single" w:sz="4" w:space="0" w:color="auto"/>
                    <w:left w:val="single" w:sz="4" w:space="0" w:color="auto"/>
                    <w:bottom w:val="single" w:sz="4" w:space="0" w:color="auto"/>
                    <w:right w:val="single" w:sz="4" w:space="0" w:color="auto"/>
                  </w:tcBorders>
                  <w:vAlign w:val="bottom"/>
                  <w:hideMark/>
                </w:tcPr>
                <w:p w14:paraId="1640F48E"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11%</w:t>
                  </w:r>
                </w:p>
              </w:tc>
              <w:tc>
                <w:tcPr>
                  <w:tcW w:w="1829" w:type="dxa"/>
                  <w:tcBorders>
                    <w:top w:val="single" w:sz="4" w:space="0" w:color="auto"/>
                    <w:left w:val="single" w:sz="4" w:space="0" w:color="auto"/>
                    <w:bottom w:val="single" w:sz="4" w:space="0" w:color="auto"/>
                    <w:right w:val="single" w:sz="4" w:space="0" w:color="auto"/>
                  </w:tcBorders>
                  <w:vAlign w:val="bottom"/>
                  <w:hideMark/>
                </w:tcPr>
                <w:p w14:paraId="54F2B7A3"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62%</w:t>
                  </w:r>
                </w:p>
              </w:tc>
              <w:tc>
                <w:tcPr>
                  <w:tcW w:w="1385" w:type="dxa"/>
                  <w:tcBorders>
                    <w:top w:val="single" w:sz="4" w:space="0" w:color="auto"/>
                    <w:left w:val="single" w:sz="4" w:space="0" w:color="auto"/>
                    <w:bottom w:val="single" w:sz="4" w:space="0" w:color="auto"/>
                    <w:right w:val="single" w:sz="4" w:space="0" w:color="auto"/>
                  </w:tcBorders>
                  <w:hideMark/>
                </w:tcPr>
                <w:p w14:paraId="7E7BD010"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Very strong</w:t>
                  </w:r>
                </w:p>
              </w:tc>
            </w:tr>
            <w:tr w:rsidR="00BB1246" w:rsidRPr="008E5CB5" w14:paraId="552D1199"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1F25997F"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007E6BBE"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TESSALIT</w:t>
                  </w:r>
                </w:p>
              </w:tc>
              <w:tc>
                <w:tcPr>
                  <w:tcW w:w="1648" w:type="dxa"/>
                  <w:tcBorders>
                    <w:top w:val="single" w:sz="4" w:space="0" w:color="auto"/>
                    <w:left w:val="single" w:sz="4" w:space="0" w:color="auto"/>
                    <w:bottom w:val="single" w:sz="4" w:space="0" w:color="auto"/>
                    <w:right w:val="single" w:sz="4" w:space="0" w:color="auto"/>
                  </w:tcBorders>
                  <w:vAlign w:val="bottom"/>
                  <w:hideMark/>
                </w:tcPr>
                <w:p w14:paraId="0CF7F9E5"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5%</w:t>
                  </w:r>
                </w:p>
              </w:tc>
              <w:tc>
                <w:tcPr>
                  <w:tcW w:w="1829" w:type="dxa"/>
                  <w:tcBorders>
                    <w:top w:val="single" w:sz="4" w:space="0" w:color="auto"/>
                    <w:left w:val="single" w:sz="4" w:space="0" w:color="auto"/>
                    <w:bottom w:val="single" w:sz="4" w:space="0" w:color="auto"/>
                    <w:right w:val="single" w:sz="4" w:space="0" w:color="auto"/>
                  </w:tcBorders>
                  <w:vAlign w:val="bottom"/>
                  <w:hideMark/>
                </w:tcPr>
                <w:p w14:paraId="203A7D91"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78%</w:t>
                  </w:r>
                </w:p>
              </w:tc>
              <w:tc>
                <w:tcPr>
                  <w:tcW w:w="1385" w:type="dxa"/>
                  <w:tcBorders>
                    <w:top w:val="single" w:sz="4" w:space="0" w:color="auto"/>
                    <w:left w:val="single" w:sz="4" w:space="0" w:color="auto"/>
                    <w:bottom w:val="single" w:sz="4" w:space="0" w:color="auto"/>
                    <w:right w:val="single" w:sz="4" w:space="0" w:color="auto"/>
                  </w:tcBorders>
                  <w:hideMark/>
                </w:tcPr>
                <w:p w14:paraId="7EEFEB91"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Very strong</w:t>
                  </w:r>
                </w:p>
              </w:tc>
            </w:tr>
            <w:tr w:rsidR="00BB1246" w:rsidRPr="008E5CB5" w14:paraId="1B7E4CC6"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3D08FCAA"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1CD1D6AF"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TIN-ESSAKO</w:t>
                  </w:r>
                </w:p>
              </w:tc>
              <w:tc>
                <w:tcPr>
                  <w:tcW w:w="1648" w:type="dxa"/>
                  <w:tcBorders>
                    <w:top w:val="single" w:sz="4" w:space="0" w:color="auto"/>
                    <w:left w:val="single" w:sz="4" w:space="0" w:color="auto"/>
                    <w:bottom w:val="single" w:sz="4" w:space="0" w:color="auto"/>
                    <w:right w:val="single" w:sz="4" w:space="0" w:color="auto"/>
                  </w:tcBorders>
                  <w:vAlign w:val="bottom"/>
                  <w:hideMark/>
                </w:tcPr>
                <w:p w14:paraId="3925B1A5"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3%</w:t>
                  </w:r>
                </w:p>
              </w:tc>
              <w:tc>
                <w:tcPr>
                  <w:tcW w:w="1829" w:type="dxa"/>
                  <w:tcBorders>
                    <w:top w:val="single" w:sz="4" w:space="0" w:color="auto"/>
                    <w:left w:val="single" w:sz="4" w:space="0" w:color="auto"/>
                    <w:bottom w:val="single" w:sz="4" w:space="0" w:color="auto"/>
                    <w:right w:val="single" w:sz="4" w:space="0" w:color="auto"/>
                  </w:tcBorders>
                  <w:vAlign w:val="bottom"/>
                  <w:hideMark/>
                </w:tcPr>
                <w:p w14:paraId="761CD803"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69%</w:t>
                  </w:r>
                </w:p>
              </w:tc>
              <w:tc>
                <w:tcPr>
                  <w:tcW w:w="1385" w:type="dxa"/>
                  <w:tcBorders>
                    <w:top w:val="single" w:sz="4" w:space="0" w:color="auto"/>
                    <w:left w:val="single" w:sz="4" w:space="0" w:color="auto"/>
                    <w:bottom w:val="single" w:sz="4" w:space="0" w:color="auto"/>
                    <w:right w:val="single" w:sz="4" w:space="0" w:color="auto"/>
                  </w:tcBorders>
                  <w:hideMark/>
                </w:tcPr>
                <w:p w14:paraId="4B97D975"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Very strong</w:t>
                  </w:r>
                </w:p>
              </w:tc>
            </w:tr>
            <w:tr w:rsidR="00BB1246" w:rsidRPr="008E5CB5" w14:paraId="4A049C04" w14:textId="77777777" w:rsidTr="00167F1D">
              <w:trPr>
                <w:trHeight w:val="20"/>
                <w:jc w:val="center"/>
              </w:trPr>
              <w:tc>
                <w:tcPr>
                  <w:tcW w:w="2025" w:type="dxa"/>
                  <w:vMerge w:val="restart"/>
                  <w:tcBorders>
                    <w:top w:val="single" w:sz="4" w:space="0" w:color="auto"/>
                    <w:left w:val="single" w:sz="4" w:space="0" w:color="auto"/>
                    <w:bottom w:val="single" w:sz="4" w:space="0" w:color="auto"/>
                    <w:right w:val="single" w:sz="4" w:space="0" w:color="auto"/>
                  </w:tcBorders>
                  <w:hideMark/>
                </w:tcPr>
                <w:p w14:paraId="575417A7"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South Region</w:t>
                  </w: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501C45B2"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OUELESSEBOUGOU</w:t>
                  </w:r>
                </w:p>
              </w:tc>
              <w:tc>
                <w:tcPr>
                  <w:tcW w:w="1648" w:type="dxa"/>
                  <w:tcBorders>
                    <w:top w:val="single" w:sz="4" w:space="0" w:color="auto"/>
                    <w:left w:val="single" w:sz="4" w:space="0" w:color="auto"/>
                    <w:bottom w:val="single" w:sz="4" w:space="0" w:color="auto"/>
                    <w:right w:val="single" w:sz="4" w:space="0" w:color="auto"/>
                  </w:tcBorders>
                  <w:vAlign w:val="bottom"/>
                  <w:hideMark/>
                </w:tcPr>
                <w:p w14:paraId="67AAAA4F"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76%</w:t>
                  </w:r>
                </w:p>
              </w:tc>
              <w:tc>
                <w:tcPr>
                  <w:tcW w:w="1829" w:type="dxa"/>
                  <w:tcBorders>
                    <w:top w:val="single" w:sz="4" w:space="0" w:color="auto"/>
                    <w:left w:val="single" w:sz="4" w:space="0" w:color="auto"/>
                    <w:bottom w:val="single" w:sz="4" w:space="0" w:color="auto"/>
                    <w:right w:val="single" w:sz="4" w:space="0" w:color="auto"/>
                  </w:tcBorders>
                  <w:vAlign w:val="bottom"/>
                  <w:hideMark/>
                </w:tcPr>
                <w:p w14:paraId="19548114"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4%</w:t>
                  </w:r>
                </w:p>
              </w:tc>
              <w:tc>
                <w:tcPr>
                  <w:tcW w:w="1385" w:type="dxa"/>
                  <w:tcBorders>
                    <w:top w:val="single" w:sz="4" w:space="0" w:color="auto"/>
                    <w:left w:val="single" w:sz="4" w:space="0" w:color="auto"/>
                    <w:bottom w:val="single" w:sz="4" w:space="0" w:color="auto"/>
                    <w:right w:val="single" w:sz="4" w:space="0" w:color="auto"/>
                  </w:tcBorders>
                  <w:hideMark/>
                </w:tcPr>
                <w:p w14:paraId="59E890B7"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No risk</w:t>
                  </w:r>
                </w:p>
              </w:tc>
            </w:tr>
            <w:tr w:rsidR="00BB1246" w:rsidRPr="008E5CB5" w14:paraId="1B2B61FF"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2DE20FA2"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547E8CF2"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NIONO</w:t>
                  </w:r>
                </w:p>
              </w:tc>
              <w:tc>
                <w:tcPr>
                  <w:tcW w:w="1648" w:type="dxa"/>
                  <w:tcBorders>
                    <w:top w:val="single" w:sz="4" w:space="0" w:color="auto"/>
                    <w:left w:val="single" w:sz="4" w:space="0" w:color="auto"/>
                    <w:bottom w:val="single" w:sz="4" w:space="0" w:color="auto"/>
                    <w:right w:val="single" w:sz="4" w:space="0" w:color="auto"/>
                  </w:tcBorders>
                  <w:vAlign w:val="bottom"/>
                  <w:hideMark/>
                </w:tcPr>
                <w:p w14:paraId="15F20A9D"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68%</w:t>
                  </w:r>
                </w:p>
              </w:tc>
              <w:tc>
                <w:tcPr>
                  <w:tcW w:w="1829" w:type="dxa"/>
                  <w:tcBorders>
                    <w:top w:val="single" w:sz="4" w:space="0" w:color="auto"/>
                    <w:left w:val="single" w:sz="4" w:space="0" w:color="auto"/>
                    <w:bottom w:val="single" w:sz="4" w:space="0" w:color="auto"/>
                    <w:right w:val="single" w:sz="4" w:space="0" w:color="auto"/>
                  </w:tcBorders>
                  <w:vAlign w:val="bottom"/>
                  <w:hideMark/>
                </w:tcPr>
                <w:p w14:paraId="018DF5B1"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6%</w:t>
                  </w:r>
                </w:p>
              </w:tc>
              <w:tc>
                <w:tcPr>
                  <w:tcW w:w="1385" w:type="dxa"/>
                  <w:tcBorders>
                    <w:top w:val="single" w:sz="4" w:space="0" w:color="auto"/>
                    <w:left w:val="single" w:sz="4" w:space="0" w:color="auto"/>
                    <w:bottom w:val="single" w:sz="4" w:space="0" w:color="auto"/>
                    <w:right w:val="single" w:sz="4" w:space="0" w:color="auto"/>
                  </w:tcBorders>
                  <w:hideMark/>
                </w:tcPr>
                <w:p w14:paraId="3E1733CF"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No risk</w:t>
                  </w:r>
                </w:p>
              </w:tc>
            </w:tr>
            <w:tr w:rsidR="00BB1246" w:rsidRPr="008E5CB5" w14:paraId="5FE79391" w14:textId="77777777" w:rsidTr="00167F1D">
              <w:trPr>
                <w:trHeight w:val="2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6A5B31C0" w14:textId="77777777" w:rsidR="00BB1246" w:rsidRPr="008E5CB5" w:rsidRDefault="00BB1246" w:rsidP="008F0EDC">
                  <w:pPr>
                    <w:framePr w:hSpace="180" w:wrap="around" w:vAnchor="page" w:hAnchor="margin" w:x="-34" w:y="1501"/>
                    <w:rPr>
                      <w:rFonts w:ascii="Times New Roman" w:eastAsia="Calibri" w:hAnsi="Times New Roman"/>
                      <w:b/>
                      <w:sz w:val="20"/>
                    </w:rPr>
                  </w:pPr>
                </w:p>
              </w:tc>
              <w:tc>
                <w:tcPr>
                  <w:tcW w:w="2260" w:type="dxa"/>
                  <w:tcBorders>
                    <w:top w:val="single" w:sz="4" w:space="0" w:color="auto"/>
                    <w:left w:val="single" w:sz="4" w:space="0" w:color="auto"/>
                    <w:bottom w:val="single" w:sz="4" w:space="0" w:color="auto"/>
                    <w:right w:val="single" w:sz="4" w:space="0" w:color="auto"/>
                  </w:tcBorders>
                  <w:noWrap/>
                  <w:vAlign w:val="center"/>
                  <w:hideMark/>
                </w:tcPr>
                <w:p w14:paraId="479082D8" w14:textId="77777777" w:rsidR="00BB1246" w:rsidRPr="008E5CB5" w:rsidRDefault="00BB1246" w:rsidP="008F0EDC">
                  <w:pPr>
                    <w:framePr w:hSpace="180" w:wrap="around" w:vAnchor="page" w:hAnchor="margin" w:x="-34" w:y="1501"/>
                    <w:spacing w:after="120"/>
                    <w:rPr>
                      <w:rFonts w:ascii="Times New Roman" w:eastAsia="Calibri" w:hAnsi="Times New Roman"/>
                      <w:b/>
                      <w:sz w:val="20"/>
                    </w:rPr>
                  </w:pPr>
                  <w:r>
                    <w:rPr>
                      <w:rFonts w:ascii="Times New Roman" w:hAnsi="Times New Roman"/>
                      <w:b/>
                      <w:sz w:val="20"/>
                    </w:rPr>
                    <w:t>KITA</w:t>
                  </w:r>
                </w:p>
              </w:tc>
              <w:tc>
                <w:tcPr>
                  <w:tcW w:w="1648" w:type="dxa"/>
                  <w:tcBorders>
                    <w:top w:val="single" w:sz="4" w:space="0" w:color="auto"/>
                    <w:left w:val="single" w:sz="4" w:space="0" w:color="auto"/>
                    <w:bottom w:val="single" w:sz="4" w:space="0" w:color="auto"/>
                    <w:right w:val="single" w:sz="4" w:space="0" w:color="auto"/>
                  </w:tcBorders>
                  <w:vAlign w:val="bottom"/>
                  <w:hideMark/>
                </w:tcPr>
                <w:p w14:paraId="0DF8681F"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81%</w:t>
                  </w:r>
                </w:p>
              </w:tc>
              <w:tc>
                <w:tcPr>
                  <w:tcW w:w="1829" w:type="dxa"/>
                  <w:tcBorders>
                    <w:top w:val="single" w:sz="4" w:space="0" w:color="auto"/>
                    <w:left w:val="single" w:sz="4" w:space="0" w:color="auto"/>
                    <w:bottom w:val="single" w:sz="4" w:space="0" w:color="auto"/>
                    <w:right w:val="single" w:sz="4" w:space="0" w:color="auto"/>
                  </w:tcBorders>
                  <w:vAlign w:val="bottom"/>
                  <w:hideMark/>
                </w:tcPr>
                <w:p w14:paraId="0DBF23F6" w14:textId="77777777" w:rsidR="00BB1246" w:rsidRPr="008E5CB5" w:rsidRDefault="00BB1246" w:rsidP="008F0EDC">
                  <w:pPr>
                    <w:framePr w:hSpace="180" w:wrap="around" w:vAnchor="page" w:hAnchor="margin" w:x="-34" w:y="1501"/>
                    <w:spacing w:after="200" w:line="276" w:lineRule="auto"/>
                    <w:jc w:val="center"/>
                    <w:rPr>
                      <w:rFonts w:ascii="Times New Roman" w:eastAsia="Calibri" w:hAnsi="Times New Roman"/>
                      <w:color w:val="000000"/>
                      <w:sz w:val="20"/>
                    </w:rPr>
                  </w:pPr>
                  <w:r>
                    <w:rPr>
                      <w:rFonts w:ascii="Times New Roman" w:hAnsi="Times New Roman"/>
                      <w:color w:val="000000"/>
                      <w:sz w:val="20"/>
                    </w:rPr>
                    <w:t>16%</w:t>
                  </w:r>
                </w:p>
              </w:tc>
              <w:tc>
                <w:tcPr>
                  <w:tcW w:w="1385" w:type="dxa"/>
                  <w:tcBorders>
                    <w:top w:val="single" w:sz="4" w:space="0" w:color="auto"/>
                    <w:left w:val="single" w:sz="4" w:space="0" w:color="auto"/>
                    <w:bottom w:val="single" w:sz="4" w:space="0" w:color="auto"/>
                    <w:right w:val="single" w:sz="4" w:space="0" w:color="auto"/>
                  </w:tcBorders>
                  <w:hideMark/>
                </w:tcPr>
                <w:p w14:paraId="78D35EC5" w14:textId="77777777" w:rsidR="00BB1246" w:rsidRPr="008E5CB5" w:rsidRDefault="00BB1246" w:rsidP="008F0EDC">
                  <w:pPr>
                    <w:framePr w:hSpace="180" w:wrap="around" w:vAnchor="page" w:hAnchor="margin" w:x="-34" w:y="1501"/>
                    <w:spacing w:after="200" w:line="276" w:lineRule="auto"/>
                    <w:jc w:val="center"/>
                    <w:rPr>
                      <w:rFonts w:ascii="Calibri" w:eastAsia="Calibri" w:hAnsi="Calibri"/>
                      <w:szCs w:val="22"/>
                    </w:rPr>
                  </w:pPr>
                  <w:r>
                    <w:rPr>
                      <w:rFonts w:ascii="Times New Roman" w:hAnsi="Times New Roman"/>
                      <w:color w:val="000000"/>
                      <w:sz w:val="20"/>
                    </w:rPr>
                    <w:t>No risk</w:t>
                  </w:r>
                </w:p>
              </w:tc>
            </w:tr>
          </w:tbl>
          <w:p w14:paraId="52150002" w14:textId="77777777" w:rsidR="00BB1246" w:rsidRDefault="00BB1246" w:rsidP="00BB1246">
            <w:pPr>
              <w:spacing w:before="120" w:after="120"/>
              <w:jc w:val="both"/>
              <w:rPr>
                <w:rFonts w:ascii="Times New Roman" w:hAnsi="Times New Roman"/>
                <w:sz w:val="24"/>
                <w:szCs w:val="24"/>
              </w:rPr>
            </w:pPr>
          </w:p>
          <w:p w14:paraId="0AAE40DE" w14:textId="77777777" w:rsidR="00BB1246" w:rsidRDefault="00BB1246" w:rsidP="00BB1246">
            <w:pPr>
              <w:spacing w:before="120" w:after="120"/>
              <w:jc w:val="both"/>
              <w:rPr>
                <w:rFonts w:ascii="Times New Roman" w:eastAsia="Calibri" w:hAnsi="Times New Roman"/>
                <w:sz w:val="24"/>
                <w:szCs w:val="24"/>
              </w:rPr>
            </w:pPr>
            <w:r>
              <w:rPr>
                <w:rFonts w:ascii="Times New Roman" w:hAnsi="Times New Roman"/>
                <w:b/>
                <w:i/>
                <w:sz w:val="24"/>
              </w:rPr>
              <w:t>Objective 3:</w:t>
            </w:r>
            <w:r>
              <w:rPr>
                <w:rFonts w:ascii="Times New Roman" w:hAnsi="Times New Roman"/>
                <w:sz w:val="24"/>
              </w:rPr>
              <w:t xml:space="preserve"> Strengthen the monitoring / evaluation system, including the health information system</w:t>
            </w:r>
          </w:p>
          <w:p w14:paraId="59FB4CF4" w14:textId="432B743E" w:rsidR="00BB1246" w:rsidRPr="00706E3D" w:rsidRDefault="00BB1246" w:rsidP="00910DF8">
            <w:pPr>
              <w:spacing w:before="120" w:after="120"/>
              <w:ind w:firstLine="241"/>
              <w:jc w:val="both"/>
              <w:rPr>
                <w:rFonts w:ascii="Times New Roman" w:hAnsi="Times New Roman"/>
                <w:b/>
                <w:bCs/>
                <w:color w:val="403151"/>
                <w:sz w:val="24"/>
              </w:rPr>
            </w:pPr>
            <w:r>
              <w:rPr>
                <w:b/>
              </w:rPr>
              <w:t>Budget: 2,236,010.00 $US (1,118,005,000 CFA francs) i.e. 11.6% of the total.</w:t>
            </w:r>
            <w:r>
              <w:rPr>
                <w:rFonts w:ascii="Times New Roman" w:hAnsi="Times New Roman"/>
                <w:b/>
                <w:sz w:val="24"/>
              </w:rPr>
              <w:t xml:space="preserve"> </w:t>
            </w:r>
          </w:p>
          <w:p w14:paraId="18C41159"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Quality control of data through the DQS and DQRC will allow the quality of the Local Health Information System (LHIS) to be improved and the discrepancy between administrative vaccine coverage data and the data from surveys to be decreased. All health districts in the country will undergo monitoring in this regard.</w:t>
            </w:r>
          </w:p>
          <w:p w14:paraId="34DA3B9B" w14:textId="77777777" w:rsidR="00BB1246" w:rsidRDefault="00BB1246" w:rsidP="00BB1246">
            <w:pPr>
              <w:spacing w:before="120" w:after="120"/>
              <w:jc w:val="both"/>
              <w:rPr>
                <w:rFonts w:ascii="Times New Roman" w:hAnsi="Times New Roman"/>
                <w:sz w:val="24"/>
                <w:szCs w:val="24"/>
              </w:rPr>
            </w:pPr>
            <w:r>
              <w:rPr>
                <w:rFonts w:ascii="Times New Roman" w:hAnsi="Times New Roman"/>
                <w:b/>
                <w:i/>
                <w:sz w:val="24"/>
              </w:rPr>
              <w:t>Objective 4:</w:t>
            </w:r>
            <w:r>
              <w:rPr>
                <w:rFonts w:ascii="Times New Roman" w:hAnsi="Times New Roman"/>
                <w:sz w:val="24"/>
              </w:rPr>
              <w:t xml:space="preserve"> Improve cold chain capacity and effective vaccine management</w:t>
            </w:r>
          </w:p>
          <w:p w14:paraId="332D6C98" w14:textId="1AD81718" w:rsidR="00BB1246" w:rsidRPr="00506FFE" w:rsidRDefault="00BB1246" w:rsidP="00BB1246">
            <w:pPr>
              <w:spacing w:before="120" w:after="120"/>
              <w:jc w:val="both"/>
              <w:rPr>
                <w:rFonts w:ascii="Times New Roman" w:eastAsia="Calibri" w:hAnsi="Times New Roman"/>
                <w:b/>
                <w:sz w:val="24"/>
                <w:szCs w:val="24"/>
              </w:rPr>
            </w:pPr>
            <w:r>
              <w:rPr>
                <w:rFonts w:ascii="Times New Roman" w:hAnsi="Times New Roman"/>
                <w:b/>
                <w:sz w:val="24"/>
              </w:rPr>
              <w:t>Budget: 912,019.00 $US (456,009,500 CFA francs) i.e. 4.7 % of the total.</w:t>
            </w:r>
          </w:p>
          <w:p w14:paraId="70ABE167"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This allocation will allow a dry warehouse to be built at the central level as well as 15 cold chambers in the regional capitals and in certain health districts.</w:t>
            </w:r>
          </w:p>
          <w:p w14:paraId="0CF312A0" w14:textId="14D1D32C" w:rsidR="00BB1246" w:rsidRPr="006C4CEA" w:rsidRDefault="00BB1246" w:rsidP="00BB1246">
            <w:pPr>
              <w:spacing w:before="120" w:after="120"/>
              <w:jc w:val="both"/>
              <w:rPr>
                <w:rFonts w:ascii="Times New Roman" w:hAnsi="Times New Roman"/>
                <w:sz w:val="24"/>
                <w:szCs w:val="24"/>
              </w:rPr>
            </w:pPr>
            <w:r>
              <w:rPr>
                <w:rFonts w:ascii="Times New Roman" w:hAnsi="Times New Roman"/>
                <w:sz w:val="24"/>
              </w:rPr>
              <w:t>Storage capacities of the regions and of six (6) large health districts will also be improved through the installation of 20 m3 cold chambers, in order to meet current and future vaccine storage needs. This grant by GAVI will allow us to have adequate storage volume at all levels.</w:t>
            </w:r>
          </w:p>
          <w:p w14:paraId="641E2E4F" w14:textId="77777777" w:rsidR="00BB1246" w:rsidRDefault="00BB1246" w:rsidP="00BB1246">
            <w:pPr>
              <w:spacing w:before="120" w:after="120"/>
              <w:jc w:val="both"/>
              <w:rPr>
                <w:rFonts w:ascii="Times New Roman" w:hAnsi="Times New Roman"/>
                <w:sz w:val="24"/>
                <w:szCs w:val="24"/>
              </w:rPr>
            </w:pPr>
            <w:r>
              <w:rPr>
                <w:rFonts w:ascii="Times New Roman" w:hAnsi="Times New Roman"/>
                <w:b/>
                <w:i/>
                <w:sz w:val="24"/>
              </w:rPr>
              <w:t xml:space="preserve">Objective 5: </w:t>
            </w:r>
            <w:r>
              <w:rPr>
                <w:rFonts w:ascii="Times New Roman" w:hAnsi="Times New Roman"/>
                <w:sz w:val="24"/>
              </w:rPr>
              <w:t>Improve immunization financing by communities and municipalities.</w:t>
            </w:r>
          </w:p>
          <w:p w14:paraId="74E370A7" w14:textId="5EF952E8" w:rsidR="00BB1246" w:rsidRPr="00706E3D" w:rsidRDefault="00BB1246" w:rsidP="008B250A">
            <w:pPr>
              <w:spacing w:before="120" w:after="120"/>
              <w:ind w:firstLine="241"/>
              <w:jc w:val="both"/>
              <w:rPr>
                <w:rFonts w:ascii="Times New Roman" w:hAnsi="Times New Roman"/>
                <w:b/>
                <w:bCs/>
                <w:color w:val="660066"/>
                <w:sz w:val="24"/>
                <w:szCs w:val="24"/>
              </w:rPr>
            </w:pPr>
            <w:r>
              <w:rPr>
                <w:rFonts w:ascii="Times New Roman" w:hAnsi="Times New Roman"/>
                <w:b/>
                <w:sz w:val="24"/>
              </w:rPr>
              <w:t xml:space="preserve">Budget: 736,796.30 $US (368,398,150 CFA francs) i.e. 3.8 % of the total. </w:t>
            </w:r>
          </w:p>
          <w:p w14:paraId="54659C58"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In the context of decentralization, the Government transferred health funds to local municipalities, but these funds are not always used for immunization. The GAVI-HSS proposal will support advocacy activities for the mobilization of these funds in support of the EPI.</w:t>
            </w:r>
          </w:p>
          <w:p w14:paraId="592BC88A" w14:textId="77777777" w:rsidR="00BB1246" w:rsidRDefault="00BB1246" w:rsidP="00BB1246">
            <w:pPr>
              <w:spacing w:before="120" w:after="120"/>
              <w:jc w:val="both"/>
              <w:rPr>
                <w:rFonts w:ascii="Times New Roman" w:hAnsi="Times New Roman"/>
                <w:b/>
                <w:sz w:val="24"/>
                <w:szCs w:val="24"/>
              </w:rPr>
            </w:pPr>
            <w:r>
              <w:rPr>
                <w:rFonts w:ascii="Times New Roman" w:hAnsi="Times New Roman"/>
                <w:b/>
                <w:sz w:val="24"/>
              </w:rPr>
              <w:t>Brief description of the population covered by the intervention.</w:t>
            </w:r>
          </w:p>
          <w:p w14:paraId="7FB93789" w14:textId="77777777" w:rsidR="00BB1246" w:rsidRDefault="00BB1246" w:rsidP="00BB1246">
            <w:pPr>
              <w:widowControl w:val="0"/>
              <w:spacing w:before="120" w:after="120"/>
              <w:jc w:val="both"/>
              <w:rPr>
                <w:rFonts w:ascii="Times New Roman" w:hAnsi="Times New Roman"/>
                <w:sz w:val="24"/>
                <w:szCs w:val="24"/>
              </w:rPr>
            </w:pPr>
            <w:r>
              <w:rPr>
                <w:rFonts w:ascii="Times New Roman" w:hAnsi="Times New Roman"/>
                <w:sz w:val="24"/>
              </w:rPr>
              <w:t>The total population of Mali is estimated at 16.8 million residents as of 2013, of which 2 million reside in Bamako. The average population density is 11.7 residents per square kilometer, with very high regional disparities. GSPH, 2009, updated)</w:t>
            </w:r>
          </w:p>
          <w:p w14:paraId="7F948810" w14:textId="77777777" w:rsidR="00BB1246" w:rsidRPr="00ED69B2" w:rsidRDefault="00BB1246" w:rsidP="00BB1246">
            <w:pPr>
              <w:widowControl w:val="0"/>
              <w:spacing w:before="120" w:after="120"/>
              <w:jc w:val="both"/>
              <w:rPr>
                <w:rFonts w:ascii="Times New Roman" w:hAnsi="Times New Roman"/>
                <w:sz w:val="24"/>
                <w:szCs w:val="24"/>
              </w:rPr>
            </w:pPr>
            <w:r>
              <w:rPr>
                <w:rFonts w:ascii="Times New Roman" w:hAnsi="Times New Roman"/>
                <w:sz w:val="24"/>
              </w:rPr>
              <w:t>The target population for routine immunization (EPI) will involved between 672,280 children 0 to 11 months of age (in 2014) and 869,340 children 0 to 11 months of age (in 2019) and between approximately 866,950.70 (in 2014) and 1,034,649 (in 2019) pregnant women (SLIS, 2013 Annual Report, Update, GSPH 2009).</w:t>
            </w:r>
          </w:p>
          <w:p w14:paraId="0034D36A" w14:textId="77777777" w:rsidR="00BB1246" w:rsidRDefault="00BB1246" w:rsidP="00BB1246">
            <w:pPr>
              <w:spacing w:before="120" w:after="120"/>
              <w:jc w:val="both"/>
              <w:rPr>
                <w:rFonts w:ascii="Times New Roman" w:hAnsi="Times New Roman"/>
                <w:sz w:val="24"/>
                <w:szCs w:val="24"/>
              </w:rPr>
            </w:pPr>
            <w:r>
              <w:rPr>
                <w:rFonts w:ascii="Times New Roman" w:hAnsi="Times New Roman"/>
                <w:sz w:val="24"/>
              </w:rPr>
              <w:t xml:space="preserve">The CSOs are involved in the implementation of health district communication plans regarding immunization and advocacy for the mobilization of resources. The NGOs will be responsible for the provision of basic health services in highly unsafe zones through service contracts. CSOs and NGOs will be recruited based on their experience and their competence through an open call for offers. </w:t>
            </w:r>
          </w:p>
          <w:p w14:paraId="059F37E4" w14:textId="77777777" w:rsidR="00BB1246" w:rsidRPr="004D20F3" w:rsidRDefault="00BB1246" w:rsidP="00BB1246">
            <w:pPr>
              <w:spacing w:before="120" w:after="120"/>
              <w:jc w:val="both"/>
              <w:rPr>
                <w:rFonts w:ascii="Times New Roman" w:hAnsi="Times New Roman"/>
                <w:sz w:val="24"/>
                <w:szCs w:val="24"/>
              </w:rPr>
            </w:pPr>
            <w:r>
              <w:rPr>
                <w:rFonts w:ascii="Times New Roman" w:hAnsi="Times New Roman"/>
                <w:sz w:val="24"/>
              </w:rPr>
              <w:t>The device for implementation of the proposal is the PRODESS and it will involve the notified implementing structures. The other structures will support the latter.</w:t>
            </w:r>
          </w:p>
          <w:p w14:paraId="5C197303" w14:textId="31585B25" w:rsidR="00B85133" w:rsidRPr="004B5884" w:rsidRDefault="00BB1246" w:rsidP="00BB1246">
            <w:pPr>
              <w:spacing w:before="120" w:after="120"/>
              <w:jc w:val="both"/>
              <w:rPr>
                <w:rFonts w:ascii="Times New Roman" w:hAnsi="Times New Roman"/>
                <w:i/>
                <w:color w:val="005A63"/>
                <w:sz w:val="24"/>
                <w:szCs w:val="24"/>
              </w:rPr>
            </w:pPr>
            <w:r>
              <w:rPr>
                <w:rFonts w:ascii="Times New Roman" w:hAnsi="Times New Roman"/>
                <w:sz w:val="24"/>
              </w:rPr>
              <w:t>Monitoring/evaluation will a</w:t>
            </w:r>
            <w:r w:rsidR="007D38B4">
              <w:rPr>
                <w:rFonts w:ascii="Times New Roman" w:hAnsi="Times New Roman"/>
                <w:sz w:val="24"/>
              </w:rPr>
              <w:t>lso be carried out in the contex</w:t>
            </w:r>
            <w:bookmarkStart w:id="25" w:name="_GoBack"/>
            <w:bookmarkEnd w:id="25"/>
            <w:r>
              <w:rPr>
                <w:rFonts w:ascii="Times New Roman" w:hAnsi="Times New Roman"/>
                <w:sz w:val="24"/>
              </w:rPr>
              <w:t>t of PRODESS monitoring/evaluation, during the various program stages.</w:t>
            </w:r>
            <w:r>
              <w:rPr>
                <w:rFonts w:ascii="Times New Roman" w:hAnsi="Times New Roman"/>
                <w:b/>
                <w:sz w:val="24"/>
              </w:rPr>
              <w:t xml:space="preserve">  </w:t>
            </w:r>
          </w:p>
        </w:tc>
      </w:tr>
    </w:tbl>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410"/>
        <w:gridCol w:w="7938"/>
      </w:tblGrid>
      <w:tr w:rsidR="00867FFD" w:rsidRPr="009316FF" w14:paraId="69E17571" w14:textId="77777777" w:rsidTr="005D447F">
        <w:tc>
          <w:tcPr>
            <w:tcW w:w="10348" w:type="dxa"/>
            <w:gridSpan w:val="2"/>
            <w:shd w:val="clear" w:color="auto" w:fill="006460"/>
          </w:tcPr>
          <w:p w14:paraId="5E7FDA2A" w14:textId="77777777" w:rsidR="00867FFD" w:rsidRPr="004B5884" w:rsidRDefault="006F0A60" w:rsidP="00226DF1">
            <w:pPr>
              <w:pStyle w:val="Heading2"/>
              <w:rPr>
                <w:rFonts w:ascii="Times New Roman" w:eastAsia="Calibri" w:hAnsi="Times New Roman"/>
                <w:sz w:val="24"/>
                <w:szCs w:val="24"/>
              </w:rPr>
            </w:pPr>
            <w:bookmarkStart w:id="26" w:name="_Toc374973336"/>
            <w:bookmarkStart w:id="27" w:name="_Toc398181085"/>
            <w:bookmarkStart w:id="28" w:name="_Toc276342214"/>
            <w:r>
              <w:rPr>
                <w:rFonts w:ascii="Times New Roman" w:hAnsi="Times New Roman"/>
                <w:sz w:val="24"/>
              </w:rPr>
              <w:t>4. Acronyms</w:t>
            </w:r>
            <w:bookmarkEnd w:id="26"/>
            <w:bookmarkEnd w:id="27"/>
            <w:bookmarkEnd w:id="28"/>
          </w:p>
        </w:tc>
      </w:tr>
      <w:tr w:rsidR="00867FFD" w:rsidRPr="009316FF" w14:paraId="431BEA39" w14:textId="77777777" w:rsidTr="005D447F">
        <w:tc>
          <w:tcPr>
            <w:tcW w:w="10348" w:type="dxa"/>
            <w:gridSpan w:val="2"/>
            <w:shd w:val="clear" w:color="auto" w:fill="FFFFFF"/>
          </w:tcPr>
          <w:p w14:paraId="09635761" w14:textId="6B4CDB9A"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005A63"/>
                <w:sz w:val="24"/>
              </w:rPr>
              <w:t>→ Please detail the full version of all acronyms used in this proposal, including in the HSS M&amp;E Framework (Attachment 3) and in the Budget, Gap Analysis and Work</w:t>
            </w:r>
            <w:r w:rsidR="007D38B4">
              <w:rPr>
                <w:rFonts w:ascii="Times New Roman" w:hAnsi="Times New Roman"/>
                <w:i/>
                <w:color w:val="005A63"/>
                <w:sz w:val="24"/>
              </w:rPr>
              <w:t xml:space="preserve"> </w:t>
            </w:r>
            <w:r>
              <w:rPr>
                <w:rFonts w:ascii="Times New Roman" w:hAnsi="Times New Roman"/>
                <w:i/>
                <w:color w:val="005A63"/>
                <w:sz w:val="24"/>
              </w:rPr>
              <w:t>plan Template (Attachment 4).</w:t>
            </w:r>
          </w:p>
        </w:tc>
      </w:tr>
      <w:tr w:rsidR="00867FFD" w:rsidRPr="009316FF" w14:paraId="74B5CC41" w14:textId="77777777" w:rsidTr="005D447F">
        <w:trPr>
          <w:trHeight w:val="164"/>
        </w:trPr>
        <w:tc>
          <w:tcPr>
            <w:tcW w:w="2410" w:type="dxa"/>
            <w:shd w:val="clear" w:color="auto" w:fill="FFFFFF"/>
            <w:vAlign w:val="center"/>
          </w:tcPr>
          <w:p w14:paraId="20F55936" w14:textId="77777777" w:rsidR="00867FFD" w:rsidRPr="004B5884" w:rsidRDefault="00867FFD" w:rsidP="00226DF1">
            <w:pPr>
              <w:spacing w:before="120" w:after="120"/>
              <w:jc w:val="both"/>
              <w:rPr>
                <w:rFonts w:ascii="Times New Roman" w:hAnsi="Times New Roman"/>
                <w:b/>
                <w:sz w:val="24"/>
                <w:szCs w:val="24"/>
              </w:rPr>
            </w:pPr>
            <w:r>
              <w:rPr>
                <w:rFonts w:ascii="Times New Roman" w:hAnsi="Times New Roman"/>
                <w:b/>
                <w:sz w:val="24"/>
              </w:rPr>
              <w:t>Acronym</w:t>
            </w:r>
          </w:p>
        </w:tc>
        <w:tc>
          <w:tcPr>
            <w:tcW w:w="7938" w:type="dxa"/>
            <w:shd w:val="clear" w:color="auto" w:fill="FFFFFF"/>
            <w:vAlign w:val="center"/>
          </w:tcPr>
          <w:p w14:paraId="7F6C318C" w14:textId="77777777" w:rsidR="00867FFD" w:rsidRPr="004B5884" w:rsidRDefault="00867FFD" w:rsidP="00226DF1">
            <w:pPr>
              <w:spacing w:before="120" w:after="120"/>
              <w:jc w:val="both"/>
              <w:rPr>
                <w:rFonts w:ascii="Times New Roman" w:hAnsi="Times New Roman"/>
                <w:b/>
                <w:sz w:val="24"/>
                <w:szCs w:val="24"/>
              </w:rPr>
            </w:pPr>
            <w:r>
              <w:rPr>
                <w:rFonts w:ascii="Times New Roman" w:hAnsi="Times New Roman"/>
                <w:b/>
                <w:sz w:val="24"/>
              </w:rPr>
              <w:t>Acronym Meaning</w:t>
            </w:r>
          </w:p>
        </w:tc>
      </w:tr>
      <w:tr w:rsidR="00E722E4" w:rsidRPr="008D6020" w14:paraId="52E666E2" w14:textId="77777777" w:rsidTr="00D368C3">
        <w:trPr>
          <w:trHeight w:val="222"/>
        </w:trPr>
        <w:tc>
          <w:tcPr>
            <w:tcW w:w="2410" w:type="dxa"/>
            <w:shd w:val="clear" w:color="auto" w:fill="FFFFFF"/>
            <w:vAlign w:val="bottom"/>
          </w:tcPr>
          <w:p w14:paraId="38AC0443" w14:textId="59065ED0"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US$</w:t>
            </w:r>
          </w:p>
        </w:tc>
        <w:tc>
          <w:tcPr>
            <w:tcW w:w="7938" w:type="dxa"/>
            <w:shd w:val="clear" w:color="auto" w:fill="FFFFFF"/>
          </w:tcPr>
          <w:p w14:paraId="3A2C5C86" w14:textId="41F48FF5" w:rsidR="00E722E4" w:rsidRPr="008D6020" w:rsidRDefault="00B92964" w:rsidP="00226DF1">
            <w:pPr>
              <w:spacing w:before="120" w:after="120"/>
              <w:jc w:val="both"/>
              <w:rPr>
                <w:rFonts w:ascii="Times New Roman" w:hAnsi="Times New Roman"/>
                <w:sz w:val="24"/>
                <w:szCs w:val="24"/>
              </w:rPr>
            </w:pPr>
            <w:r>
              <w:rPr>
                <w:rFonts w:ascii="Times New Roman" w:hAnsi="Times New Roman"/>
                <w:sz w:val="24"/>
              </w:rPr>
              <w:t>United States Dollars</w:t>
            </w:r>
          </w:p>
        </w:tc>
      </w:tr>
      <w:tr w:rsidR="00E722E4" w:rsidRPr="008D6020" w14:paraId="633399A7" w14:textId="77777777" w:rsidTr="00D368C3">
        <w:trPr>
          <w:trHeight w:val="222"/>
        </w:trPr>
        <w:tc>
          <w:tcPr>
            <w:tcW w:w="2410" w:type="dxa"/>
            <w:shd w:val="clear" w:color="auto" w:fill="FFFFFF"/>
            <w:vAlign w:val="bottom"/>
          </w:tcPr>
          <w:p w14:paraId="6C05BCA6" w14:textId="647048FF"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ANEH</w:t>
            </w:r>
          </w:p>
        </w:tc>
        <w:tc>
          <w:tcPr>
            <w:tcW w:w="7938" w:type="dxa"/>
            <w:shd w:val="clear" w:color="auto" w:fill="FFFFFF"/>
          </w:tcPr>
          <w:p w14:paraId="33231043" w14:textId="5FD93CE2" w:rsidR="00E722E4" w:rsidRPr="008D6020" w:rsidRDefault="00B92964" w:rsidP="00226DF1">
            <w:pPr>
              <w:spacing w:before="120" w:after="120"/>
              <w:jc w:val="both"/>
              <w:rPr>
                <w:rFonts w:ascii="Times New Roman" w:hAnsi="Times New Roman"/>
                <w:sz w:val="24"/>
                <w:szCs w:val="24"/>
              </w:rPr>
            </w:pPr>
            <w:r>
              <w:rPr>
                <w:rFonts w:ascii="Times New Roman" w:hAnsi="Times New Roman"/>
                <w:sz w:val="24"/>
              </w:rPr>
              <w:t>Agence Nationale d'Évaluation des Hôpitaux (National Hospital Assessment Agency)</w:t>
            </w:r>
          </w:p>
        </w:tc>
      </w:tr>
      <w:tr w:rsidR="00E722E4" w:rsidRPr="008D6020" w14:paraId="4556C8B8" w14:textId="77777777" w:rsidTr="00D368C3">
        <w:trPr>
          <w:trHeight w:val="222"/>
        </w:trPr>
        <w:tc>
          <w:tcPr>
            <w:tcW w:w="2410" w:type="dxa"/>
            <w:shd w:val="clear" w:color="auto" w:fill="FFFFFF"/>
            <w:vAlign w:val="bottom"/>
          </w:tcPr>
          <w:p w14:paraId="4D9A882A" w14:textId="42AD4D02"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CHA</w:t>
            </w:r>
          </w:p>
        </w:tc>
        <w:tc>
          <w:tcPr>
            <w:tcW w:w="7938" w:type="dxa"/>
            <w:shd w:val="clear" w:color="auto" w:fill="FFFFFF"/>
          </w:tcPr>
          <w:p w14:paraId="3C668DB2" w14:textId="11394862" w:rsidR="00E722E4" w:rsidRPr="008D6020" w:rsidRDefault="00B92964" w:rsidP="00226DF1">
            <w:pPr>
              <w:spacing w:before="120" w:after="120"/>
              <w:jc w:val="both"/>
              <w:rPr>
                <w:rFonts w:ascii="Times New Roman" w:hAnsi="Times New Roman"/>
                <w:sz w:val="24"/>
                <w:szCs w:val="24"/>
              </w:rPr>
            </w:pPr>
            <w:r>
              <w:rPr>
                <w:rFonts w:ascii="Times New Roman" w:hAnsi="Times New Roman"/>
                <w:sz w:val="24"/>
              </w:rPr>
              <w:t>Community Health Association</w:t>
            </w:r>
          </w:p>
        </w:tc>
      </w:tr>
      <w:tr w:rsidR="00E722E4" w:rsidRPr="008D6020" w14:paraId="6F794A0F" w14:textId="77777777" w:rsidTr="00D368C3">
        <w:trPr>
          <w:trHeight w:val="222"/>
        </w:trPr>
        <w:tc>
          <w:tcPr>
            <w:tcW w:w="2410" w:type="dxa"/>
            <w:shd w:val="clear" w:color="auto" w:fill="FFFFFF"/>
            <w:vAlign w:val="bottom"/>
          </w:tcPr>
          <w:p w14:paraId="2D5F19A1" w14:textId="0D700E8F"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CNAM</w:t>
            </w:r>
          </w:p>
        </w:tc>
        <w:tc>
          <w:tcPr>
            <w:tcW w:w="7938" w:type="dxa"/>
            <w:shd w:val="clear" w:color="auto" w:fill="FFFFFF"/>
          </w:tcPr>
          <w:p w14:paraId="346706B6" w14:textId="43011C8F" w:rsidR="00E722E4" w:rsidRPr="008D6020" w:rsidRDefault="004D46F1" w:rsidP="00226DF1">
            <w:pPr>
              <w:spacing w:before="120" w:after="120"/>
              <w:jc w:val="both"/>
              <w:rPr>
                <w:rFonts w:ascii="Times New Roman" w:hAnsi="Times New Roman"/>
                <w:sz w:val="24"/>
                <w:szCs w:val="24"/>
              </w:rPr>
            </w:pPr>
            <w:r>
              <w:rPr>
                <w:rFonts w:ascii="Times New Roman" w:hAnsi="Times New Roman"/>
                <w:sz w:val="24"/>
              </w:rPr>
              <w:t>Centre National d'Aide à la Lutte Contre la Maladie (National Center to Fight Disease)</w:t>
            </w:r>
          </w:p>
        </w:tc>
      </w:tr>
      <w:tr w:rsidR="00E722E4" w:rsidRPr="008D6020" w14:paraId="59E1DED7" w14:textId="77777777" w:rsidTr="00D368C3">
        <w:trPr>
          <w:trHeight w:val="222"/>
        </w:trPr>
        <w:tc>
          <w:tcPr>
            <w:tcW w:w="2410" w:type="dxa"/>
            <w:shd w:val="clear" w:color="auto" w:fill="FFFFFF"/>
            <w:vAlign w:val="bottom"/>
          </w:tcPr>
          <w:p w14:paraId="1B1B0867" w14:textId="1EEB4CB5"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CNIECS</w:t>
            </w:r>
          </w:p>
        </w:tc>
        <w:tc>
          <w:tcPr>
            <w:tcW w:w="7938" w:type="dxa"/>
            <w:shd w:val="clear" w:color="auto" w:fill="FFFFFF"/>
          </w:tcPr>
          <w:p w14:paraId="771E20EB" w14:textId="7602687D" w:rsidR="00E722E4" w:rsidRPr="008D6020" w:rsidRDefault="004D46F1" w:rsidP="00226DF1">
            <w:pPr>
              <w:spacing w:before="120" w:after="120"/>
              <w:jc w:val="both"/>
              <w:rPr>
                <w:rFonts w:ascii="Times New Roman" w:hAnsi="Times New Roman"/>
                <w:sz w:val="24"/>
                <w:szCs w:val="24"/>
              </w:rPr>
            </w:pPr>
            <w:r>
              <w:rPr>
                <w:rFonts w:ascii="Times New Roman" w:hAnsi="Times New Roman"/>
                <w:sz w:val="24"/>
              </w:rPr>
              <w:t>National Centre for Information, Education and Communication for Health</w:t>
            </w:r>
          </w:p>
        </w:tc>
      </w:tr>
      <w:tr w:rsidR="00E722E4" w:rsidRPr="008D6020" w14:paraId="5A14AD23" w14:textId="77777777" w:rsidTr="00D368C3">
        <w:trPr>
          <w:trHeight w:val="222"/>
        </w:trPr>
        <w:tc>
          <w:tcPr>
            <w:tcW w:w="2410" w:type="dxa"/>
            <w:shd w:val="clear" w:color="auto" w:fill="FFFFFF"/>
            <w:vAlign w:val="bottom"/>
          </w:tcPr>
          <w:p w14:paraId="492EC788" w14:textId="43EA7D8B"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HS, SD, FP/SPC</w:t>
            </w:r>
          </w:p>
        </w:tc>
        <w:tc>
          <w:tcPr>
            <w:tcW w:w="7938" w:type="dxa"/>
            <w:shd w:val="clear" w:color="auto" w:fill="FFFFFF"/>
          </w:tcPr>
          <w:p w14:paraId="22A975B0" w14:textId="75DB16D4" w:rsidR="00E722E4" w:rsidRPr="008D6020" w:rsidRDefault="00A35FE9" w:rsidP="00226DF1">
            <w:pPr>
              <w:spacing w:before="120" w:after="120"/>
              <w:jc w:val="both"/>
              <w:rPr>
                <w:rFonts w:ascii="Times New Roman" w:hAnsi="Times New Roman"/>
                <w:sz w:val="24"/>
                <w:szCs w:val="24"/>
              </w:rPr>
            </w:pPr>
            <w:r>
              <w:rPr>
                <w:rFonts w:ascii="Times New Roman" w:hAnsi="Times New Roman"/>
                <w:sz w:val="24"/>
              </w:rPr>
              <w:t>Health Sector, Social Development and Family Promotion Planning and Statistics Cell</w:t>
            </w:r>
          </w:p>
        </w:tc>
      </w:tr>
      <w:tr w:rsidR="00E722E4" w:rsidRPr="008D6020" w14:paraId="38445496" w14:textId="77777777" w:rsidTr="00D368C3">
        <w:trPr>
          <w:trHeight w:val="222"/>
        </w:trPr>
        <w:tc>
          <w:tcPr>
            <w:tcW w:w="2410" w:type="dxa"/>
            <w:shd w:val="clear" w:color="auto" w:fill="FFFFFF"/>
            <w:vAlign w:val="bottom"/>
          </w:tcPr>
          <w:p w14:paraId="66430D80" w14:textId="15DF0368"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CSCom</w:t>
            </w:r>
          </w:p>
        </w:tc>
        <w:tc>
          <w:tcPr>
            <w:tcW w:w="7938" w:type="dxa"/>
            <w:shd w:val="clear" w:color="auto" w:fill="FFFFFF"/>
          </w:tcPr>
          <w:p w14:paraId="3569D605" w14:textId="0D9978D4" w:rsidR="00E722E4" w:rsidRPr="008D6020" w:rsidRDefault="00A35FE9" w:rsidP="00226DF1">
            <w:pPr>
              <w:spacing w:before="120" w:after="120"/>
              <w:jc w:val="both"/>
              <w:rPr>
                <w:rFonts w:ascii="Times New Roman" w:hAnsi="Times New Roman"/>
                <w:sz w:val="24"/>
                <w:szCs w:val="24"/>
              </w:rPr>
            </w:pPr>
            <w:r>
              <w:rPr>
                <w:rFonts w:ascii="Times New Roman" w:hAnsi="Times New Roman"/>
                <w:sz w:val="24"/>
              </w:rPr>
              <w:t>Centre de Santé Communautaire [Community Health Centre]</w:t>
            </w:r>
          </w:p>
        </w:tc>
      </w:tr>
      <w:tr w:rsidR="00E722E4" w:rsidRPr="008D6020" w14:paraId="6C3D5991" w14:textId="77777777" w:rsidTr="00D368C3">
        <w:trPr>
          <w:trHeight w:val="222"/>
        </w:trPr>
        <w:tc>
          <w:tcPr>
            <w:tcW w:w="2410" w:type="dxa"/>
            <w:shd w:val="clear" w:color="auto" w:fill="FFFFFF"/>
            <w:vAlign w:val="bottom"/>
          </w:tcPr>
          <w:p w14:paraId="306DBF02" w14:textId="27927251" w:rsidR="00E722E4" w:rsidRPr="00180B25" w:rsidRDefault="00E722E4" w:rsidP="00226DF1">
            <w:pPr>
              <w:spacing w:before="120" w:after="120"/>
              <w:jc w:val="both"/>
              <w:rPr>
                <w:rFonts w:ascii="Times New Roman" w:hAnsi="Times New Roman"/>
                <w:color w:val="000000"/>
                <w:sz w:val="24"/>
                <w:szCs w:val="22"/>
              </w:rPr>
            </w:pPr>
            <w:r>
              <w:rPr>
                <w:rFonts w:ascii="Times New Roman" w:hAnsi="Times New Roman"/>
                <w:color w:val="000000"/>
                <w:sz w:val="24"/>
              </w:rPr>
              <w:t>CSRéf</w:t>
            </w:r>
          </w:p>
        </w:tc>
        <w:tc>
          <w:tcPr>
            <w:tcW w:w="7938" w:type="dxa"/>
            <w:shd w:val="clear" w:color="auto" w:fill="FFFFFF"/>
          </w:tcPr>
          <w:p w14:paraId="7D457242" w14:textId="53BD16A2" w:rsidR="00E722E4" w:rsidRPr="008D6020" w:rsidRDefault="00A35FE9" w:rsidP="00226DF1">
            <w:pPr>
              <w:spacing w:before="120" w:after="120"/>
              <w:jc w:val="both"/>
              <w:rPr>
                <w:rFonts w:ascii="Times New Roman" w:hAnsi="Times New Roman"/>
                <w:sz w:val="24"/>
                <w:szCs w:val="24"/>
              </w:rPr>
            </w:pPr>
            <w:r>
              <w:rPr>
                <w:rFonts w:ascii="Times New Roman" w:hAnsi="Times New Roman"/>
                <w:sz w:val="24"/>
              </w:rPr>
              <w:t>Centre de Santé de Référence [Referral Health Center]</w:t>
            </w:r>
          </w:p>
        </w:tc>
      </w:tr>
      <w:tr w:rsidR="00207FDF" w:rsidRPr="008D6020" w14:paraId="53F69B14" w14:textId="77777777" w:rsidTr="00D368C3">
        <w:trPr>
          <w:trHeight w:val="222"/>
        </w:trPr>
        <w:tc>
          <w:tcPr>
            <w:tcW w:w="2410" w:type="dxa"/>
            <w:shd w:val="clear" w:color="auto" w:fill="FFFFFF"/>
            <w:vAlign w:val="bottom"/>
          </w:tcPr>
          <w:p w14:paraId="08A1F8CE" w14:textId="369DC8D5"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DRH/Health</w:t>
            </w:r>
          </w:p>
        </w:tc>
        <w:tc>
          <w:tcPr>
            <w:tcW w:w="7938" w:type="dxa"/>
            <w:shd w:val="clear" w:color="auto" w:fill="FFFFFF"/>
          </w:tcPr>
          <w:p w14:paraId="48D2A451" w14:textId="595A3CCB" w:rsidR="00207FDF" w:rsidRPr="008D6020" w:rsidRDefault="00A35FE9" w:rsidP="00226DF1">
            <w:pPr>
              <w:spacing w:before="120" w:after="120"/>
              <w:jc w:val="both"/>
              <w:rPr>
                <w:rFonts w:ascii="Times New Roman" w:hAnsi="Times New Roman"/>
                <w:sz w:val="24"/>
                <w:szCs w:val="24"/>
              </w:rPr>
            </w:pPr>
            <w:r>
              <w:rPr>
                <w:rFonts w:ascii="Times New Roman" w:hAnsi="Times New Roman"/>
                <w:sz w:val="24"/>
              </w:rPr>
              <w:t>Health Sector, Social Development and Family Promotion Human Resources Department</w:t>
            </w:r>
          </w:p>
        </w:tc>
      </w:tr>
      <w:tr w:rsidR="00207FDF" w:rsidRPr="008D6020" w14:paraId="36943C7E" w14:textId="77777777" w:rsidTr="00D368C3">
        <w:trPr>
          <w:trHeight w:val="222"/>
        </w:trPr>
        <w:tc>
          <w:tcPr>
            <w:tcW w:w="2410" w:type="dxa"/>
            <w:shd w:val="clear" w:color="auto" w:fill="FFFFFF"/>
            <w:vAlign w:val="bottom"/>
          </w:tcPr>
          <w:p w14:paraId="36A83E6F" w14:textId="5E2E53BE"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ICS</w:t>
            </w:r>
          </w:p>
        </w:tc>
        <w:tc>
          <w:tcPr>
            <w:tcW w:w="7938" w:type="dxa"/>
            <w:shd w:val="clear" w:color="auto" w:fill="FFFFFF"/>
          </w:tcPr>
          <w:p w14:paraId="6F6FFEF0" w14:textId="5C28FFDC" w:rsidR="00207FDF" w:rsidRPr="008D6020" w:rsidRDefault="00AF13DC" w:rsidP="00226DF1">
            <w:pPr>
              <w:spacing w:before="120" w:after="120"/>
              <w:jc w:val="both"/>
              <w:rPr>
                <w:rFonts w:ascii="Times New Roman" w:hAnsi="Times New Roman"/>
                <w:sz w:val="24"/>
                <w:szCs w:val="24"/>
              </w:rPr>
            </w:pPr>
            <w:r>
              <w:rPr>
                <w:rFonts w:ascii="Times New Roman" w:hAnsi="Times New Roman"/>
                <w:sz w:val="24"/>
              </w:rPr>
              <w:t>Immunization Coverage Survey</w:t>
            </w:r>
          </w:p>
        </w:tc>
      </w:tr>
      <w:tr w:rsidR="00207FDF" w:rsidRPr="008D6020" w14:paraId="47273603" w14:textId="77777777" w:rsidTr="00D368C3">
        <w:trPr>
          <w:trHeight w:val="222"/>
        </w:trPr>
        <w:tc>
          <w:tcPr>
            <w:tcW w:w="2410" w:type="dxa"/>
            <w:shd w:val="clear" w:color="auto" w:fill="FFFFFF"/>
            <w:vAlign w:val="bottom"/>
          </w:tcPr>
          <w:p w14:paraId="6FE178A0" w14:textId="324F7AFD"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DHS-V</w:t>
            </w:r>
          </w:p>
        </w:tc>
        <w:tc>
          <w:tcPr>
            <w:tcW w:w="7938" w:type="dxa"/>
            <w:shd w:val="clear" w:color="auto" w:fill="FFFFFF"/>
          </w:tcPr>
          <w:p w14:paraId="37DD7D93" w14:textId="2637E4FC" w:rsidR="00207FDF" w:rsidRPr="008D6020" w:rsidRDefault="00AF13DC" w:rsidP="00226DF1">
            <w:pPr>
              <w:spacing w:before="120" w:after="120"/>
              <w:jc w:val="both"/>
              <w:rPr>
                <w:rFonts w:ascii="Times New Roman" w:hAnsi="Times New Roman"/>
                <w:sz w:val="24"/>
                <w:szCs w:val="24"/>
              </w:rPr>
            </w:pPr>
            <w:r>
              <w:rPr>
                <w:rFonts w:ascii="Times New Roman" w:hAnsi="Times New Roman"/>
                <w:sz w:val="24"/>
              </w:rPr>
              <w:t>Mali Demographic and Health Survey - 5th edition</w:t>
            </w:r>
          </w:p>
        </w:tc>
      </w:tr>
      <w:tr w:rsidR="00207FDF" w:rsidRPr="008D6020" w14:paraId="0A8F8811" w14:textId="77777777" w:rsidTr="00D368C3">
        <w:trPr>
          <w:trHeight w:val="222"/>
        </w:trPr>
        <w:tc>
          <w:tcPr>
            <w:tcW w:w="2410" w:type="dxa"/>
            <w:shd w:val="clear" w:color="auto" w:fill="FFFFFF"/>
            <w:vAlign w:val="bottom"/>
          </w:tcPr>
          <w:p w14:paraId="464FE11D" w14:textId="2E2E0305"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EPH</w:t>
            </w:r>
          </w:p>
        </w:tc>
        <w:tc>
          <w:tcPr>
            <w:tcW w:w="7938" w:type="dxa"/>
            <w:shd w:val="clear" w:color="auto" w:fill="FFFFFF"/>
          </w:tcPr>
          <w:p w14:paraId="017BEF14" w14:textId="5F64C742" w:rsidR="00207FDF" w:rsidRPr="008D6020" w:rsidRDefault="00DD574C" w:rsidP="00226DF1">
            <w:pPr>
              <w:spacing w:before="120" w:after="120"/>
              <w:jc w:val="both"/>
              <w:rPr>
                <w:rFonts w:ascii="Times New Roman" w:hAnsi="Times New Roman"/>
                <w:sz w:val="24"/>
                <w:szCs w:val="24"/>
              </w:rPr>
            </w:pPr>
            <w:r>
              <w:rPr>
                <w:rFonts w:ascii="Times New Roman" w:hAnsi="Times New Roman"/>
                <w:sz w:val="24"/>
              </w:rPr>
              <w:t>Public Hospital Facilitay</w:t>
            </w:r>
          </w:p>
        </w:tc>
      </w:tr>
      <w:tr w:rsidR="00207FDF" w:rsidRPr="008D6020" w14:paraId="451871B9" w14:textId="77777777" w:rsidTr="00D368C3">
        <w:trPr>
          <w:trHeight w:val="222"/>
        </w:trPr>
        <w:tc>
          <w:tcPr>
            <w:tcW w:w="2410" w:type="dxa"/>
            <w:shd w:val="clear" w:color="auto" w:fill="FFFFFF"/>
            <w:vAlign w:val="bottom"/>
          </w:tcPr>
          <w:p w14:paraId="51C3F37B" w14:textId="72B7A1F6"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FELASCOM</w:t>
            </w:r>
          </w:p>
        </w:tc>
        <w:tc>
          <w:tcPr>
            <w:tcW w:w="7938" w:type="dxa"/>
            <w:shd w:val="clear" w:color="auto" w:fill="FFFFFF"/>
          </w:tcPr>
          <w:p w14:paraId="656093F1" w14:textId="436899C5" w:rsidR="00207FDF" w:rsidRPr="008D6020" w:rsidRDefault="00C250C7" w:rsidP="00C250C7">
            <w:pPr>
              <w:spacing w:before="120" w:after="120"/>
              <w:jc w:val="both"/>
              <w:rPr>
                <w:rFonts w:ascii="Times New Roman" w:hAnsi="Times New Roman"/>
                <w:sz w:val="24"/>
                <w:szCs w:val="24"/>
              </w:rPr>
            </w:pPr>
            <w:r>
              <w:rPr>
                <w:rFonts w:ascii="Times New Roman" w:hAnsi="Times New Roman"/>
                <w:sz w:val="24"/>
              </w:rPr>
              <w:t>Fédération Locale des Associations de Santé Communautaire [Local Federation of Community Health Associations]</w:t>
            </w:r>
          </w:p>
        </w:tc>
      </w:tr>
      <w:tr w:rsidR="00C250C7" w:rsidRPr="008D6020" w14:paraId="7ED7B243" w14:textId="77777777" w:rsidTr="005068D2">
        <w:trPr>
          <w:trHeight w:val="222"/>
        </w:trPr>
        <w:tc>
          <w:tcPr>
            <w:tcW w:w="2410" w:type="dxa"/>
            <w:shd w:val="clear" w:color="auto" w:fill="FFFFFF"/>
            <w:vAlign w:val="bottom"/>
          </w:tcPr>
          <w:p w14:paraId="58FFBEA5" w14:textId="77777777" w:rsidR="00C250C7" w:rsidRPr="00180B25" w:rsidRDefault="00C250C7" w:rsidP="005068D2">
            <w:pPr>
              <w:spacing w:before="120" w:after="120"/>
              <w:jc w:val="both"/>
              <w:rPr>
                <w:rFonts w:ascii="Times New Roman" w:hAnsi="Times New Roman"/>
                <w:color w:val="000000"/>
                <w:sz w:val="24"/>
                <w:szCs w:val="22"/>
              </w:rPr>
            </w:pPr>
            <w:r>
              <w:rPr>
                <w:rFonts w:ascii="Times New Roman" w:hAnsi="Times New Roman"/>
                <w:color w:val="000000"/>
                <w:sz w:val="24"/>
              </w:rPr>
              <w:t>FENASCOM</w:t>
            </w:r>
          </w:p>
        </w:tc>
        <w:tc>
          <w:tcPr>
            <w:tcW w:w="7938" w:type="dxa"/>
            <w:shd w:val="clear" w:color="auto" w:fill="FFFFFF"/>
          </w:tcPr>
          <w:p w14:paraId="6641A159" w14:textId="134E98B7" w:rsidR="00C250C7" w:rsidRPr="008D6020" w:rsidRDefault="00C250C7" w:rsidP="005068D2">
            <w:pPr>
              <w:spacing w:before="120" w:after="120"/>
              <w:jc w:val="both"/>
              <w:rPr>
                <w:rFonts w:ascii="Times New Roman" w:hAnsi="Times New Roman"/>
                <w:sz w:val="24"/>
                <w:szCs w:val="24"/>
              </w:rPr>
            </w:pPr>
            <w:r>
              <w:rPr>
                <w:rFonts w:ascii="Times New Roman" w:hAnsi="Times New Roman"/>
                <w:sz w:val="24"/>
              </w:rPr>
              <w:t>Fédération Nationale des Associations de Santé Communautaire [National Federation of Community Health Associations]</w:t>
            </w:r>
          </w:p>
        </w:tc>
      </w:tr>
      <w:tr w:rsidR="00207FDF" w:rsidRPr="008D6020" w14:paraId="08BA07DF" w14:textId="77777777" w:rsidTr="00D368C3">
        <w:trPr>
          <w:trHeight w:val="222"/>
        </w:trPr>
        <w:tc>
          <w:tcPr>
            <w:tcW w:w="2410" w:type="dxa"/>
            <w:shd w:val="clear" w:color="auto" w:fill="FFFFFF"/>
            <w:vAlign w:val="bottom"/>
          </w:tcPr>
          <w:p w14:paraId="55CF92A2" w14:textId="09CD55B4"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FERASCOM</w:t>
            </w:r>
          </w:p>
        </w:tc>
        <w:tc>
          <w:tcPr>
            <w:tcW w:w="7938" w:type="dxa"/>
            <w:shd w:val="clear" w:color="auto" w:fill="FFFFFF"/>
          </w:tcPr>
          <w:p w14:paraId="1739352F" w14:textId="6DEF00D6" w:rsidR="00207FDF" w:rsidRPr="008D6020" w:rsidRDefault="004C3501" w:rsidP="004C3501">
            <w:pPr>
              <w:spacing w:before="120" w:after="120"/>
              <w:jc w:val="both"/>
              <w:rPr>
                <w:rFonts w:ascii="Times New Roman" w:hAnsi="Times New Roman"/>
                <w:sz w:val="24"/>
                <w:szCs w:val="24"/>
              </w:rPr>
            </w:pPr>
            <w:r>
              <w:rPr>
                <w:rFonts w:ascii="Times New Roman" w:hAnsi="Times New Roman"/>
                <w:sz w:val="24"/>
              </w:rPr>
              <w:t>Fédération Régionale des Associations de Santé Communautaire [Regional Federation of Community Health Associations]</w:t>
            </w:r>
          </w:p>
        </w:tc>
      </w:tr>
      <w:tr w:rsidR="00207FDF" w:rsidRPr="008D6020" w14:paraId="7CC327DC" w14:textId="77777777" w:rsidTr="00D368C3">
        <w:trPr>
          <w:trHeight w:val="222"/>
        </w:trPr>
        <w:tc>
          <w:tcPr>
            <w:tcW w:w="2410" w:type="dxa"/>
            <w:shd w:val="clear" w:color="auto" w:fill="FFFFFF"/>
            <w:vAlign w:val="bottom"/>
          </w:tcPr>
          <w:p w14:paraId="63CCA78A" w14:textId="1DE7B346"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GP/SP</w:t>
            </w:r>
          </w:p>
        </w:tc>
        <w:tc>
          <w:tcPr>
            <w:tcW w:w="7938" w:type="dxa"/>
            <w:shd w:val="clear" w:color="auto" w:fill="FFFFFF"/>
          </w:tcPr>
          <w:p w14:paraId="3D443572" w14:textId="3EF2A753" w:rsidR="00207FDF" w:rsidRPr="008D6020" w:rsidRDefault="004C3501" w:rsidP="00226DF1">
            <w:pPr>
              <w:spacing w:before="120" w:after="120"/>
              <w:jc w:val="both"/>
              <w:rPr>
                <w:rFonts w:ascii="Times New Roman" w:hAnsi="Times New Roman"/>
                <w:sz w:val="24"/>
                <w:szCs w:val="24"/>
              </w:rPr>
            </w:pPr>
            <w:r>
              <w:rPr>
                <w:rFonts w:ascii="Times New Roman" w:hAnsi="Times New Roman"/>
                <w:sz w:val="24"/>
              </w:rPr>
              <w:t>Pivot/Health-Population Group</w:t>
            </w:r>
          </w:p>
        </w:tc>
      </w:tr>
      <w:tr w:rsidR="00207FDF" w:rsidRPr="008D6020" w14:paraId="23DFDE29" w14:textId="77777777" w:rsidTr="00D368C3">
        <w:trPr>
          <w:trHeight w:val="222"/>
        </w:trPr>
        <w:tc>
          <w:tcPr>
            <w:tcW w:w="2410" w:type="dxa"/>
            <w:shd w:val="clear" w:color="auto" w:fill="FFFFFF"/>
            <w:vAlign w:val="bottom"/>
          </w:tcPr>
          <w:p w14:paraId="65DD0DC5" w14:textId="22C0C162" w:rsidR="00207FDF" w:rsidRPr="00180B25" w:rsidRDefault="00207FDF" w:rsidP="00226DF1">
            <w:pPr>
              <w:spacing w:before="120" w:after="120"/>
              <w:jc w:val="both"/>
              <w:rPr>
                <w:rFonts w:ascii="Times New Roman" w:hAnsi="Times New Roman"/>
                <w:color w:val="000000"/>
                <w:sz w:val="24"/>
                <w:szCs w:val="22"/>
              </w:rPr>
            </w:pPr>
            <w:r>
              <w:rPr>
                <w:rFonts w:ascii="Times New Roman" w:hAnsi="Times New Roman"/>
                <w:color w:val="000000"/>
                <w:sz w:val="24"/>
              </w:rPr>
              <w:t>MHPH</w:t>
            </w:r>
          </w:p>
        </w:tc>
        <w:tc>
          <w:tcPr>
            <w:tcW w:w="7938" w:type="dxa"/>
            <w:shd w:val="clear" w:color="auto" w:fill="FFFFFF"/>
          </w:tcPr>
          <w:p w14:paraId="6C661927" w14:textId="76931DB4" w:rsidR="00207FDF" w:rsidRPr="008D6020" w:rsidRDefault="00FD3FF1" w:rsidP="00226DF1">
            <w:pPr>
              <w:spacing w:before="120" w:after="120"/>
              <w:jc w:val="both"/>
              <w:rPr>
                <w:rFonts w:ascii="Times New Roman" w:hAnsi="Times New Roman"/>
                <w:sz w:val="24"/>
                <w:szCs w:val="24"/>
              </w:rPr>
            </w:pPr>
            <w:r>
              <w:rPr>
                <w:rFonts w:ascii="Times New Roman" w:hAnsi="Times New Roman"/>
                <w:sz w:val="24"/>
              </w:rPr>
              <w:t>Ministry of Health and Public Hygiene</w:t>
            </w:r>
          </w:p>
        </w:tc>
      </w:tr>
      <w:tr w:rsidR="00F6156A" w:rsidRPr="008D6020" w14:paraId="76C87D4A" w14:textId="77777777" w:rsidTr="00D368C3">
        <w:trPr>
          <w:trHeight w:val="222"/>
        </w:trPr>
        <w:tc>
          <w:tcPr>
            <w:tcW w:w="2410" w:type="dxa"/>
            <w:shd w:val="clear" w:color="auto" w:fill="FFFFFF"/>
            <w:vAlign w:val="bottom"/>
          </w:tcPr>
          <w:p w14:paraId="5E5AA16F" w14:textId="1F5E27BB"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HSDP</w:t>
            </w:r>
          </w:p>
        </w:tc>
        <w:tc>
          <w:tcPr>
            <w:tcW w:w="7938" w:type="dxa"/>
            <w:shd w:val="clear" w:color="auto" w:fill="FFFFFF"/>
          </w:tcPr>
          <w:p w14:paraId="55F017A8" w14:textId="744C02DE" w:rsidR="00F6156A" w:rsidRPr="008D6020" w:rsidRDefault="00FD3FF1" w:rsidP="00226DF1">
            <w:pPr>
              <w:spacing w:before="120" w:after="120"/>
              <w:jc w:val="both"/>
              <w:rPr>
                <w:rFonts w:ascii="Times New Roman" w:hAnsi="Times New Roman"/>
                <w:sz w:val="24"/>
                <w:szCs w:val="24"/>
              </w:rPr>
            </w:pPr>
            <w:r>
              <w:rPr>
                <w:rFonts w:ascii="Times New Roman" w:hAnsi="Times New Roman"/>
                <w:sz w:val="24"/>
              </w:rPr>
              <w:t>Plan Décennal de Développement Sanitaire et Social [Ten-year Social and Health Development Plan]</w:t>
            </w:r>
          </w:p>
        </w:tc>
      </w:tr>
      <w:tr w:rsidR="00F6156A" w:rsidRPr="008D6020" w14:paraId="0A75072C" w14:textId="77777777" w:rsidTr="00D368C3">
        <w:trPr>
          <w:trHeight w:val="222"/>
        </w:trPr>
        <w:tc>
          <w:tcPr>
            <w:tcW w:w="2410" w:type="dxa"/>
            <w:shd w:val="clear" w:color="auto" w:fill="FFFFFF"/>
            <w:vAlign w:val="bottom"/>
          </w:tcPr>
          <w:p w14:paraId="047B8A5B" w14:textId="7A26F3EB"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MPA</w:t>
            </w:r>
          </w:p>
        </w:tc>
        <w:tc>
          <w:tcPr>
            <w:tcW w:w="7938" w:type="dxa"/>
            <w:shd w:val="clear" w:color="auto" w:fill="FFFFFF"/>
          </w:tcPr>
          <w:p w14:paraId="12776BF3" w14:textId="4560F5C0" w:rsidR="00F6156A" w:rsidRPr="008D6020" w:rsidRDefault="00141377" w:rsidP="00226DF1">
            <w:pPr>
              <w:spacing w:before="120" w:after="120"/>
              <w:jc w:val="both"/>
              <w:rPr>
                <w:rFonts w:ascii="Times New Roman" w:hAnsi="Times New Roman"/>
                <w:sz w:val="24"/>
                <w:szCs w:val="24"/>
              </w:rPr>
            </w:pPr>
            <w:r>
              <w:rPr>
                <w:rFonts w:ascii="Times New Roman" w:hAnsi="Times New Roman"/>
                <w:sz w:val="24"/>
              </w:rPr>
              <w:t>Minimum Activity Package</w:t>
            </w:r>
          </w:p>
        </w:tc>
      </w:tr>
      <w:tr w:rsidR="00F6156A" w:rsidRPr="008D6020" w14:paraId="196F7F8F" w14:textId="77777777" w:rsidTr="00D368C3">
        <w:trPr>
          <w:trHeight w:val="222"/>
        </w:trPr>
        <w:tc>
          <w:tcPr>
            <w:tcW w:w="2410" w:type="dxa"/>
            <w:shd w:val="clear" w:color="auto" w:fill="FFFFFF"/>
            <w:vAlign w:val="bottom"/>
          </w:tcPr>
          <w:p w14:paraId="46A0D7CF" w14:textId="1BB08BBD" w:rsidR="00F6156A" w:rsidRPr="00180B25" w:rsidRDefault="00C8024D" w:rsidP="00226DF1">
            <w:pPr>
              <w:spacing w:before="120" w:after="120"/>
              <w:jc w:val="both"/>
              <w:rPr>
                <w:rFonts w:ascii="Times New Roman" w:hAnsi="Times New Roman"/>
                <w:color w:val="000000"/>
                <w:sz w:val="24"/>
                <w:szCs w:val="22"/>
              </w:rPr>
            </w:pPr>
            <w:r>
              <w:rPr>
                <w:rFonts w:ascii="Times New Roman" w:hAnsi="Times New Roman"/>
                <w:color w:val="000000"/>
                <w:sz w:val="24"/>
              </w:rPr>
              <w:t>cMYP</w:t>
            </w:r>
          </w:p>
        </w:tc>
        <w:tc>
          <w:tcPr>
            <w:tcW w:w="7938" w:type="dxa"/>
            <w:shd w:val="clear" w:color="auto" w:fill="FFFFFF"/>
          </w:tcPr>
          <w:p w14:paraId="2383FC37" w14:textId="52EBBC94" w:rsidR="00F6156A" w:rsidRPr="008D6020" w:rsidRDefault="00760856" w:rsidP="00226DF1">
            <w:pPr>
              <w:spacing w:before="120" w:after="120"/>
              <w:jc w:val="both"/>
              <w:rPr>
                <w:rFonts w:ascii="Times New Roman" w:hAnsi="Times New Roman"/>
                <w:sz w:val="24"/>
                <w:szCs w:val="24"/>
              </w:rPr>
            </w:pPr>
            <w:r>
              <w:rPr>
                <w:rFonts w:ascii="Times New Roman" w:hAnsi="Times New Roman"/>
                <w:sz w:val="24"/>
              </w:rPr>
              <w:t>comprehensive Multi-Year Plan</w:t>
            </w:r>
          </w:p>
        </w:tc>
      </w:tr>
      <w:tr w:rsidR="00F6156A" w:rsidRPr="008D6020" w14:paraId="2F25DC90" w14:textId="77777777" w:rsidTr="00D368C3">
        <w:trPr>
          <w:trHeight w:val="222"/>
        </w:trPr>
        <w:tc>
          <w:tcPr>
            <w:tcW w:w="2410" w:type="dxa"/>
            <w:shd w:val="clear" w:color="auto" w:fill="FFFFFF"/>
            <w:vAlign w:val="bottom"/>
          </w:tcPr>
          <w:p w14:paraId="657D3F8D" w14:textId="174607C3"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PPM</w:t>
            </w:r>
          </w:p>
        </w:tc>
        <w:tc>
          <w:tcPr>
            <w:tcW w:w="7938" w:type="dxa"/>
            <w:shd w:val="clear" w:color="auto" w:fill="FFFFFF"/>
          </w:tcPr>
          <w:p w14:paraId="10FC03AE" w14:textId="38AE679C" w:rsidR="00F6156A" w:rsidRPr="008D6020" w:rsidRDefault="002F16C2" w:rsidP="00226DF1">
            <w:pPr>
              <w:spacing w:before="120" w:after="120"/>
              <w:jc w:val="both"/>
              <w:rPr>
                <w:rFonts w:ascii="Times New Roman" w:hAnsi="Times New Roman"/>
                <w:sz w:val="24"/>
                <w:szCs w:val="24"/>
              </w:rPr>
            </w:pPr>
            <w:r>
              <w:rPr>
                <w:rFonts w:ascii="Times New Roman" w:hAnsi="Times New Roman"/>
                <w:sz w:val="24"/>
              </w:rPr>
              <w:t>Pharmacie Populaire du Mali</w:t>
            </w:r>
          </w:p>
        </w:tc>
      </w:tr>
      <w:tr w:rsidR="00F6156A" w:rsidRPr="008D6020" w14:paraId="1DB35D00" w14:textId="77777777" w:rsidTr="00D368C3">
        <w:trPr>
          <w:trHeight w:val="222"/>
        </w:trPr>
        <w:tc>
          <w:tcPr>
            <w:tcW w:w="2410" w:type="dxa"/>
            <w:shd w:val="clear" w:color="auto" w:fill="FFFFFF"/>
            <w:vAlign w:val="bottom"/>
          </w:tcPr>
          <w:p w14:paraId="5A8B5C8C" w14:textId="74A4737E"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PPN</w:t>
            </w:r>
          </w:p>
        </w:tc>
        <w:tc>
          <w:tcPr>
            <w:tcW w:w="7938" w:type="dxa"/>
            <w:shd w:val="clear" w:color="auto" w:fill="FFFFFF"/>
          </w:tcPr>
          <w:p w14:paraId="2F6A57B4" w14:textId="15C9B074" w:rsidR="00F6156A" w:rsidRPr="008D6020" w:rsidRDefault="002F16C2" w:rsidP="00226DF1">
            <w:pPr>
              <w:spacing w:before="120" w:after="120"/>
              <w:jc w:val="both"/>
              <w:rPr>
                <w:rFonts w:ascii="Times New Roman" w:hAnsi="Times New Roman"/>
                <w:sz w:val="24"/>
                <w:szCs w:val="24"/>
              </w:rPr>
            </w:pPr>
            <w:r>
              <w:rPr>
                <w:rFonts w:ascii="Times New Roman" w:hAnsi="Times New Roman"/>
                <w:sz w:val="24"/>
              </w:rPr>
              <w:t>National Pharmacy Policy</w:t>
            </w:r>
          </w:p>
        </w:tc>
      </w:tr>
      <w:tr w:rsidR="00F6156A" w:rsidRPr="008D6020" w14:paraId="40DD6C1E" w14:textId="77777777" w:rsidTr="00D368C3">
        <w:trPr>
          <w:trHeight w:val="222"/>
        </w:trPr>
        <w:tc>
          <w:tcPr>
            <w:tcW w:w="2410" w:type="dxa"/>
            <w:shd w:val="clear" w:color="auto" w:fill="FFFFFF"/>
            <w:vAlign w:val="bottom"/>
          </w:tcPr>
          <w:p w14:paraId="05037CDB" w14:textId="63EF96B1"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PRODESS III</w:t>
            </w:r>
          </w:p>
        </w:tc>
        <w:tc>
          <w:tcPr>
            <w:tcW w:w="7938" w:type="dxa"/>
            <w:shd w:val="clear" w:color="auto" w:fill="FFFFFF"/>
          </w:tcPr>
          <w:p w14:paraId="71D98558" w14:textId="195C88BB" w:rsidR="00F6156A" w:rsidRPr="008D6020" w:rsidRDefault="007D2354" w:rsidP="007D2354">
            <w:pPr>
              <w:spacing w:before="120" w:after="120"/>
              <w:jc w:val="both"/>
              <w:rPr>
                <w:rFonts w:ascii="Times New Roman" w:hAnsi="Times New Roman"/>
                <w:sz w:val="24"/>
                <w:szCs w:val="24"/>
              </w:rPr>
            </w:pPr>
            <w:r>
              <w:rPr>
                <w:rFonts w:ascii="Times New Roman" w:hAnsi="Times New Roman"/>
                <w:sz w:val="24"/>
              </w:rPr>
              <w:t>3</w:t>
            </w:r>
            <w:r>
              <w:rPr>
                <w:rFonts w:ascii="Times New Roman" w:hAnsi="Times New Roman"/>
                <w:sz w:val="24"/>
                <w:vertAlign w:val="superscript"/>
              </w:rPr>
              <w:t>rd</w:t>
            </w:r>
            <w:r>
              <w:rPr>
                <w:rFonts w:ascii="Times New Roman" w:hAnsi="Times New Roman"/>
                <w:sz w:val="24"/>
              </w:rPr>
              <w:t xml:space="preserve"> Socio-Health Development Program</w:t>
            </w:r>
          </w:p>
        </w:tc>
      </w:tr>
      <w:tr w:rsidR="00F6156A" w:rsidRPr="008D6020" w14:paraId="0FEB187C" w14:textId="77777777" w:rsidTr="00D368C3">
        <w:trPr>
          <w:trHeight w:val="222"/>
        </w:trPr>
        <w:tc>
          <w:tcPr>
            <w:tcW w:w="2410" w:type="dxa"/>
            <w:shd w:val="clear" w:color="auto" w:fill="FFFFFF"/>
            <w:vAlign w:val="bottom"/>
          </w:tcPr>
          <w:p w14:paraId="09898B00" w14:textId="7974F01F"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SEC</w:t>
            </w:r>
          </w:p>
        </w:tc>
        <w:tc>
          <w:tcPr>
            <w:tcW w:w="7938" w:type="dxa"/>
            <w:shd w:val="clear" w:color="auto" w:fill="FFFFFF"/>
          </w:tcPr>
          <w:p w14:paraId="7CA63924" w14:textId="3A0028F8" w:rsidR="00F6156A" w:rsidRPr="008D6020" w:rsidRDefault="00D06BC8" w:rsidP="00226DF1">
            <w:pPr>
              <w:spacing w:before="120" w:after="120"/>
              <w:jc w:val="both"/>
              <w:rPr>
                <w:rFonts w:ascii="Times New Roman" w:hAnsi="Times New Roman"/>
                <w:sz w:val="24"/>
                <w:szCs w:val="24"/>
              </w:rPr>
            </w:pPr>
            <w:r>
              <w:rPr>
                <w:rFonts w:ascii="Times New Roman" w:hAnsi="Times New Roman"/>
                <w:sz w:val="24"/>
              </w:rPr>
              <w:t>Essential Community Care</w:t>
            </w:r>
          </w:p>
        </w:tc>
      </w:tr>
      <w:tr w:rsidR="00F6156A" w:rsidRPr="008D6020" w14:paraId="7AC3E407" w14:textId="77777777" w:rsidTr="00D368C3">
        <w:trPr>
          <w:trHeight w:val="222"/>
        </w:trPr>
        <w:tc>
          <w:tcPr>
            <w:tcW w:w="2410" w:type="dxa"/>
            <w:shd w:val="clear" w:color="auto" w:fill="FFFFFF"/>
            <w:vAlign w:val="bottom"/>
          </w:tcPr>
          <w:p w14:paraId="49171102" w14:textId="162CBDB7"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SLIS</w:t>
            </w:r>
          </w:p>
        </w:tc>
        <w:tc>
          <w:tcPr>
            <w:tcW w:w="7938" w:type="dxa"/>
            <w:shd w:val="clear" w:color="auto" w:fill="FFFFFF"/>
          </w:tcPr>
          <w:p w14:paraId="14F449E7" w14:textId="3EDD8AA5" w:rsidR="00F6156A" w:rsidRPr="008D6020" w:rsidRDefault="00D06BC8" w:rsidP="00226DF1">
            <w:pPr>
              <w:spacing w:before="120" w:after="120"/>
              <w:jc w:val="both"/>
              <w:rPr>
                <w:rFonts w:ascii="Times New Roman" w:hAnsi="Times New Roman"/>
                <w:sz w:val="24"/>
                <w:szCs w:val="24"/>
              </w:rPr>
            </w:pPr>
            <w:r>
              <w:rPr>
                <w:rFonts w:ascii="Times New Roman" w:hAnsi="Times New Roman"/>
                <w:sz w:val="24"/>
              </w:rPr>
              <w:t>Local Health Information System</w:t>
            </w:r>
          </w:p>
        </w:tc>
      </w:tr>
      <w:tr w:rsidR="00F6156A" w:rsidRPr="008D6020" w14:paraId="04FF587B" w14:textId="77777777" w:rsidTr="00D368C3">
        <w:trPr>
          <w:trHeight w:val="222"/>
        </w:trPr>
        <w:tc>
          <w:tcPr>
            <w:tcW w:w="2410" w:type="dxa"/>
            <w:shd w:val="clear" w:color="auto" w:fill="FFFFFF"/>
            <w:vAlign w:val="bottom"/>
          </w:tcPr>
          <w:p w14:paraId="480FDAD3" w14:textId="4D76D0E6"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NHIS</w:t>
            </w:r>
          </w:p>
        </w:tc>
        <w:tc>
          <w:tcPr>
            <w:tcW w:w="7938" w:type="dxa"/>
            <w:shd w:val="clear" w:color="auto" w:fill="FFFFFF"/>
          </w:tcPr>
          <w:p w14:paraId="234ABB47" w14:textId="6D0AFCAB" w:rsidR="00F6156A" w:rsidRPr="008D6020" w:rsidRDefault="00180B25" w:rsidP="00180B25">
            <w:pPr>
              <w:spacing w:before="120" w:after="120"/>
              <w:jc w:val="both"/>
              <w:rPr>
                <w:rFonts w:ascii="Times New Roman" w:hAnsi="Times New Roman"/>
                <w:sz w:val="24"/>
                <w:szCs w:val="24"/>
              </w:rPr>
            </w:pPr>
            <w:r>
              <w:rPr>
                <w:rFonts w:ascii="Times New Roman" w:hAnsi="Times New Roman"/>
                <w:sz w:val="24"/>
              </w:rPr>
              <w:t>National Health Information System</w:t>
            </w:r>
          </w:p>
        </w:tc>
      </w:tr>
      <w:tr w:rsidR="00F6156A" w:rsidRPr="008D6020" w14:paraId="265EA439" w14:textId="77777777" w:rsidTr="00D368C3">
        <w:trPr>
          <w:trHeight w:val="222"/>
        </w:trPr>
        <w:tc>
          <w:tcPr>
            <w:tcW w:w="2410" w:type="dxa"/>
            <w:shd w:val="clear" w:color="auto" w:fill="FFFFFF"/>
            <w:vAlign w:val="bottom"/>
          </w:tcPr>
          <w:p w14:paraId="52F21750" w14:textId="6238E2F7" w:rsidR="00F6156A" w:rsidRPr="00180B25" w:rsidRDefault="00F6156A" w:rsidP="00226DF1">
            <w:pPr>
              <w:spacing w:before="120" w:after="120"/>
              <w:jc w:val="both"/>
              <w:rPr>
                <w:rFonts w:ascii="Times New Roman" w:hAnsi="Times New Roman"/>
                <w:color w:val="000000"/>
                <w:sz w:val="24"/>
                <w:szCs w:val="22"/>
              </w:rPr>
            </w:pPr>
            <w:r>
              <w:rPr>
                <w:rFonts w:ascii="Times New Roman" w:hAnsi="Times New Roman"/>
                <w:color w:val="000000"/>
                <w:sz w:val="24"/>
              </w:rPr>
              <w:t>UTM</w:t>
            </w:r>
          </w:p>
        </w:tc>
        <w:tc>
          <w:tcPr>
            <w:tcW w:w="7938" w:type="dxa"/>
            <w:shd w:val="clear" w:color="auto" w:fill="FFFFFF"/>
          </w:tcPr>
          <w:p w14:paraId="2C752D7B" w14:textId="1848D332" w:rsidR="00F6156A" w:rsidRPr="008D6020" w:rsidRDefault="00180B25" w:rsidP="00226DF1">
            <w:pPr>
              <w:spacing w:before="120" w:after="120"/>
              <w:jc w:val="both"/>
              <w:rPr>
                <w:rFonts w:ascii="Times New Roman" w:hAnsi="Times New Roman"/>
                <w:sz w:val="24"/>
                <w:szCs w:val="24"/>
              </w:rPr>
            </w:pPr>
            <w:r>
              <w:rPr>
                <w:rFonts w:ascii="Times New Roman" w:hAnsi="Times New Roman"/>
                <w:sz w:val="24"/>
              </w:rPr>
              <w:t>Technical Health Insurance Union (UTM)</w:t>
            </w:r>
          </w:p>
        </w:tc>
      </w:tr>
      <w:tr w:rsidR="00F6156A" w:rsidRPr="009316FF" w14:paraId="16665BF4" w14:textId="77777777" w:rsidTr="005D447F">
        <w:trPr>
          <w:trHeight w:val="160"/>
        </w:trPr>
        <w:tc>
          <w:tcPr>
            <w:tcW w:w="10348" w:type="dxa"/>
            <w:gridSpan w:val="2"/>
            <w:shd w:val="clear" w:color="auto" w:fill="FFFFFF"/>
          </w:tcPr>
          <w:p w14:paraId="13935667" w14:textId="77777777" w:rsidR="00F6156A" w:rsidRPr="004B5884" w:rsidRDefault="00F6156A" w:rsidP="00226DF1">
            <w:pPr>
              <w:spacing w:before="120" w:after="120"/>
              <w:jc w:val="both"/>
              <w:rPr>
                <w:rFonts w:ascii="Times New Roman" w:hAnsi="Times New Roman"/>
                <w:b/>
                <w:sz w:val="24"/>
                <w:szCs w:val="24"/>
              </w:rPr>
            </w:pPr>
            <w:r>
              <w:rPr>
                <w:rFonts w:ascii="Times New Roman" w:hAnsi="Times New Roman"/>
                <w:b/>
                <w:sz w:val="24"/>
              </w:rPr>
              <w:t>ONE PAGE MAXIMUM</w:t>
            </w:r>
          </w:p>
        </w:tc>
      </w:tr>
    </w:tbl>
    <w:p w14:paraId="25786015"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41" w:rightFromText="141" w:vertAnchor="text" w:horzAnchor="margin" w:tblpY="-155"/>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395439F7" w14:textId="77777777" w:rsidTr="005D447F">
        <w:tc>
          <w:tcPr>
            <w:tcW w:w="10348" w:type="dxa"/>
            <w:tcBorders>
              <w:top w:val="nil"/>
              <w:left w:val="nil"/>
              <w:bottom w:val="nil"/>
              <w:right w:val="nil"/>
            </w:tcBorders>
            <w:shd w:val="clear" w:color="auto" w:fill="006460"/>
          </w:tcPr>
          <w:p w14:paraId="160AD9DA" w14:textId="77777777" w:rsidR="00867FFD" w:rsidRPr="004B5884" w:rsidRDefault="00867FFD" w:rsidP="00226DF1">
            <w:pPr>
              <w:pStyle w:val="Heading1"/>
              <w:spacing w:before="120" w:after="120"/>
              <w:jc w:val="both"/>
              <w:rPr>
                <w:rFonts w:ascii="Times New Roman" w:eastAsia="Calibri" w:hAnsi="Times New Roman"/>
                <w:szCs w:val="24"/>
              </w:rPr>
            </w:pPr>
            <w:bookmarkStart w:id="29" w:name="_Toc346115523"/>
            <w:bookmarkStart w:id="30" w:name="_Toc346116635"/>
            <w:bookmarkStart w:id="31" w:name="_Toc398181086"/>
            <w:bookmarkStart w:id="32" w:name="_Toc276342215"/>
            <w:r>
              <w:rPr>
                <w:rFonts w:ascii="Times New Roman" w:hAnsi="Times New Roman"/>
              </w:rPr>
              <w:t>PART C– SITUATION ANALYSIS</w:t>
            </w:r>
            <w:bookmarkEnd w:id="29"/>
            <w:bookmarkEnd w:id="30"/>
            <w:bookmarkEnd w:id="31"/>
            <w:bookmarkEnd w:id="32"/>
          </w:p>
        </w:tc>
      </w:tr>
    </w:tbl>
    <w:p w14:paraId="6F40944A"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41" w:rightFromText="141" w:vertAnchor="text" w:horzAnchor="margin" w:tblpY="46"/>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78FEEF10" w14:textId="77777777" w:rsidTr="005D447F">
        <w:trPr>
          <w:trHeight w:val="557"/>
        </w:trPr>
        <w:tc>
          <w:tcPr>
            <w:tcW w:w="10348" w:type="dxa"/>
            <w:tcBorders>
              <w:bottom w:val="single" w:sz="6" w:space="0" w:color="215868"/>
            </w:tcBorders>
            <w:shd w:val="clear" w:color="auto" w:fill="auto"/>
            <w:vAlign w:val="center"/>
          </w:tcPr>
          <w:p w14:paraId="1B85D9BD"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b/>
                <w:sz w:val="24"/>
              </w:rPr>
              <w:t>For further instructions, please refer to the Supplementary Guidelines for HSS Applications</w:t>
            </w:r>
          </w:p>
        </w:tc>
      </w:tr>
      <w:tr w:rsidR="00867FFD" w:rsidRPr="009316FF" w14:paraId="40FE7945" w14:textId="77777777" w:rsidTr="005D447F">
        <w:trPr>
          <w:trHeight w:val="328"/>
        </w:trPr>
        <w:tc>
          <w:tcPr>
            <w:tcW w:w="10348" w:type="dxa"/>
            <w:tcBorders>
              <w:bottom w:val="single" w:sz="6" w:space="0" w:color="215868"/>
            </w:tcBorders>
            <w:shd w:val="clear" w:color="auto" w:fill="006460"/>
          </w:tcPr>
          <w:p w14:paraId="67263CFC" w14:textId="77777777" w:rsidR="00867FFD" w:rsidRPr="004B5884" w:rsidRDefault="00867FFD" w:rsidP="00226DF1">
            <w:pPr>
              <w:pStyle w:val="Heading2"/>
              <w:rPr>
                <w:rFonts w:ascii="Times New Roman" w:eastAsia="Calibri" w:hAnsi="Times New Roman"/>
                <w:sz w:val="24"/>
                <w:szCs w:val="24"/>
              </w:rPr>
            </w:pPr>
            <w:bookmarkStart w:id="33" w:name="_Toc358399414"/>
            <w:bookmarkStart w:id="34" w:name="_Toc346116636"/>
            <w:bookmarkStart w:id="35" w:name="_Toc349297131"/>
            <w:bookmarkStart w:id="36" w:name="_Toc398181087"/>
            <w:bookmarkStart w:id="37" w:name="_Toc276342216"/>
            <w:r>
              <w:rPr>
                <w:rFonts w:ascii="Times New Roman" w:hAnsi="Times New Roman"/>
                <w:sz w:val="24"/>
              </w:rPr>
              <w:t>5. Key Relevant Health and Health System Statistics</w:t>
            </w:r>
            <w:bookmarkEnd w:id="33"/>
            <w:bookmarkEnd w:id="34"/>
            <w:bookmarkEnd w:id="35"/>
            <w:bookmarkEnd w:id="36"/>
            <w:bookmarkEnd w:id="37"/>
          </w:p>
        </w:tc>
      </w:tr>
      <w:tr w:rsidR="00867FFD" w:rsidRPr="009316FF" w14:paraId="4F3633DC" w14:textId="77777777" w:rsidTr="005D447F">
        <w:tc>
          <w:tcPr>
            <w:tcW w:w="10348" w:type="dxa"/>
            <w:shd w:val="clear" w:color="auto" w:fill="FFFFFF"/>
          </w:tcPr>
          <w:p w14:paraId="7D7F3137"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sz w:val="24"/>
              </w:rPr>
              <w:t>→ Please provide the most recent statistics for the key health, immunisation, and health system indicators by attaching most recent EPI Review, Health Sector Review or DHS.</w:t>
            </w:r>
          </w:p>
          <w:p w14:paraId="1390136E"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Where possible, data on the key statistics should be presented showing wealth quintile differences, and disaggregated by sex.</w:t>
            </w:r>
          </w:p>
          <w:p w14:paraId="19460D99"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If available disaggregated data for the key statistics indicators showing differences by geographic location (region / province) and urban / rural should be included in the space provided after the table.</w:t>
            </w:r>
          </w:p>
          <w:p w14:paraId="2F84679F"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provide information on vaccines currently used by the Immunisation Programme as well as on any vaccines planned for future use.</w:t>
            </w:r>
          </w:p>
          <w:p w14:paraId="05880BB8" w14:textId="77777777" w:rsidR="00867FFD" w:rsidRPr="004B5884" w:rsidRDefault="00867FFD" w:rsidP="00226DF1">
            <w:pPr>
              <w:widowControl w:val="0"/>
              <w:spacing w:before="120" w:after="120"/>
              <w:jc w:val="both"/>
              <w:rPr>
                <w:rFonts w:ascii="Times New Roman" w:eastAsia="Calibri" w:hAnsi="Times New Roman"/>
                <w:sz w:val="24"/>
                <w:szCs w:val="24"/>
              </w:rPr>
            </w:pPr>
          </w:p>
        </w:tc>
      </w:tr>
    </w:tbl>
    <w:p w14:paraId="6D706A97" w14:textId="77777777" w:rsidR="00867FFD" w:rsidRPr="004B5884" w:rsidRDefault="00867FFD" w:rsidP="00226DF1">
      <w:pPr>
        <w:widowControl w:val="0"/>
        <w:spacing w:before="120" w:after="120"/>
        <w:jc w:val="both"/>
        <w:rPr>
          <w:rFonts w:ascii="Times New Roman" w:eastAsia="Calibri" w:hAnsi="Times New Roman"/>
          <w:sz w:val="24"/>
          <w:szCs w:val="24"/>
        </w:rPr>
      </w:pPr>
      <w:bookmarkStart w:id="38" w:name="_Toc346116637"/>
    </w:p>
    <w:tbl>
      <w:tblPr>
        <w:tblW w:w="10348" w:type="dxa"/>
        <w:tblInd w:w="-3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552"/>
        <w:gridCol w:w="992"/>
        <w:gridCol w:w="851"/>
        <w:gridCol w:w="1276"/>
        <w:gridCol w:w="2268"/>
        <w:gridCol w:w="2409"/>
      </w:tblGrid>
      <w:tr w:rsidR="00867FFD" w:rsidRPr="009316FF" w14:paraId="4285A6F5" w14:textId="77777777" w:rsidTr="005D447F">
        <w:trPr>
          <w:trHeight w:val="278"/>
        </w:trPr>
        <w:tc>
          <w:tcPr>
            <w:tcW w:w="10348" w:type="dxa"/>
            <w:gridSpan w:val="6"/>
            <w:shd w:val="clear" w:color="auto" w:fill="006666"/>
            <w:vAlign w:val="center"/>
          </w:tcPr>
          <w:p w14:paraId="0CB623BC"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color w:val="FFFFFF" w:themeColor="background1"/>
                <w:sz w:val="24"/>
              </w:rPr>
              <w:t>Vaccines Currently Used by the Immunisation Programme</w:t>
            </w:r>
          </w:p>
        </w:tc>
      </w:tr>
      <w:tr w:rsidR="00867FFD" w:rsidRPr="009316FF" w14:paraId="1283C80D" w14:textId="77777777" w:rsidTr="005D447F">
        <w:trPr>
          <w:trHeight w:val="490"/>
        </w:trPr>
        <w:tc>
          <w:tcPr>
            <w:tcW w:w="3544" w:type="dxa"/>
            <w:gridSpan w:val="2"/>
            <w:shd w:val="clear" w:color="auto" w:fill="FFFFFF"/>
            <w:vAlign w:val="center"/>
          </w:tcPr>
          <w:p w14:paraId="1C62DFAB"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Vaccine</w:t>
            </w:r>
          </w:p>
        </w:tc>
        <w:tc>
          <w:tcPr>
            <w:tcW w:w="2127" w:type="dxa"/>
            <w:gridSpan w:val="2"/>
            <w:shd w:val="clear" w:color="auto" w:fill="FFFFFF"/>
            <w:vAlign w:val="center"/>
          </w:tcPr>
          <w:p w14:paraId="182B74B9"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 xml:space="preserve">Year of introduction </w:t>
            </w:r>
          </w:p>
        </w:tc>
        <w:tc>
          <w:tcPr>
            <w:tcW w:w="4677" w:type="dxa"/>
            <w:gridSpan w:val="2"/>
            <w:shd w:val="clear" w:color="auto" w:fill="FFFFFF"/>
            <w:vAlign w:val="center"/>
          </w:tcPr>
          <w:p w14:paraId="56298944" w14:textId="77777777" w:rsidR="00867FFD" w:rsidRPr="004B5884" w:rsidRDefault="00867FFD" w:rsidP="00226DF1">
            <w:pPr>
              <w:spacing w:before="120" w:after="120"/>
              <w:jc w:val="both"/>
              <w:rPr>
                <w:rFonts w:ascii="Times New Roman" w:hAnsi="Times New Roman"/>
                <w:i/>
                <w:sz w:val="24"/>
                <w:szCs w:val="24"/>
              </w:rPr>
            </w:pPr>
            <w:r>
              <w:rPr>
                <w:b/>
                <w:i/>
              </w:rPr>
              <w:t>Comments</w:t>
            </w:r>
            <w:r>
              <w:rPr>
                <w:i/>
              </w:rPr>
              <w:t xml:space="preserve"> (including planned product switches, wastage etc.)</w:t>
            </w:r>
          </w:p>
        </w:tc>
      </w:tr>
      <w:tr w:rsidR="00F33295" w:rsidRPr="009316FF" w14:paraId="61550A1E" w14:textId="77777777" w:rsidTr="005D447F">
        <w:trPr>
          <w:trHeight w:val="286"/>
        </w:trPr>
        <w:tc>
          <w:tcPr>
            <w:tcW w:w="3544" w:type="dxa"/>
            <w:gridSpan w:val="2"/>
            <w:shd w:val="clear" w:color="auto" w:fill="FFFFFF"/>
            <w:vAlign w:val="center"/>
          </w:tcPr>
          <w:p w14:paraId="649E6619" w14:textId="77777777" w:rsidR="00F33295" w:rsidRPr="004B5884" w:rsidRDefault="00F33295" w:rsidP="00226DF1">
            <w:pPr>
              <w:spacing w:before="120" w:after="120"/>
              <w:jc w:val="both"/>
              <w:rPr>
                <w:rFonts w:ascii="Times New Roman" w:hAnsi="Times New Roman"/>
                <w:i/>
                <w:sz w:val="24"/>
                <w:szCs w:val="24"/>
              </w:rPr>
            </w:pPr>
            <w:r>
              <w:rPr>
                <w:rFonts w:ascii="Times New Roman" w:hAnsi="Times New Roman"/>
                <w:i/>
                <w:sz w:val="24"/>
              </w:rPr>
              <w:t>Oral Poliomyelitis Vaccine (OPV)</w:t>
            </w:r>
          </w:p>
        </w:tc>
        <w:tc>
          <w:tcPr>
            <w:tcW w:w="2127" w:type="dxa"/>
            <w:gridSpan w:val="2"/>
            <w:shd w:val="clear" w:color="auto" w:fill="FFFFFF"/>
            <w:vAlign w:val="center"/>
          </w:tcPr>
          <w:p w14:paraId="2BBFC2F2" w14:textId="77777777" w:rsidR="00F33295" w:rsidRPr="004B5884" w:rsidRDefault="00F33295" w:rsidP="00226DF1">
            <w:pPr>
              <w:spacing w:before="120" w:after="120"/>
              <w:jc w:val="both"/>
              <w:rPr>
                <w:rFonts w:ascii="Times New Roman" w:hAnsi="Times New Roman"/>
                <w:i/>
                <w:sz w:val="24"/>
                <w:szCs w:val="24"/>
              </w:rPr>
            </w:pPr>
            <w:r>
              <w:rPr>
                <w:rFonts w:ascii="Times New Roman" w:hAnsi="Times New Roman"/>
                <w:i/>
                <w:sz w:val="24"/>
              </w:rPr>
              <w:t>1986.</w:t>
            </w:r>
          </w:p>
        </w:tc>
        <w:tc>
          <w:tcPr>
            <w:tcW w:w="4677" w:type="dxa"/>
            <w:gridSpan w:val="2"/>
            <w:shd w:val="clear" w:color="auto" w:fill="FFFFFF"/>
            <w:vAlign w:val="center"/>
          </w:tcPr>
          <w:p w14:paraId="76A68D09" w14:textId="77777777" w:rsidR="000C4DB7" w:rsidRPr="004B5884" w:rsidRDefault="000C4DB7" w:rsidP="00226DF1">
            <w:pPr>
              <w:spacing w:before="120" w:after="120"/>
              <w:jc w:val="both"/>
              <w:rPr>
                <w:rFonts w:ascii="Times New Roman" w:hAnsi="Times New Roman"/>
                <w:bCs/>
                <w:i/>
                <w:sz w:val="24"/>
                <w:szCs w:val="24"/>
              </w:rPr>
            </w:pPr>
            <w:r>
              <w:rPr>
                <w:rFonts w:ascii="Times New Roman" w:hAnsi="Times New Roman"/>
                <w:i/>
                <w:sz w:val="24"/>
              </w:rPr>
              <w:t>Administration of Polio 1 at 6 weeks, Polio 2 at 10 weeks and Polio 3 at 14 weeks.</w:t>
            </w:r>
          </w:p>
          <w:p w14:paraId="6E7D8B47" w14:textId="77777777" w:rsidR="00F33295" w:rsidRPr="004B5884" w:rsidRDefault="00F33295" w:rsidP="00226DF1">
            <w:pPr>
              <w:spacing w:before="120" w:after="120"/>
              <w:jc w:val="both"/>
              <w:rPr>
                <w:rFonts w:ascii="Times New Roman" w:hAnsi="Times New Roman"/>
                <w:i/>
                <w:sz w:val="24"/>
                <w:szCs w:val="24"/>
              </w:rPr>
            </w:pPr>
            <w:r>
              <w:rPr>
                <w:rFonts w:ascii="Times New Roman" w:hAnsi="Times New Roman"/>
                <w:i/>
                <w:sz w:val="24"/>
              </w:rPr>
              <w:t>Planned switch to the Injectable Polio Vaccine (IPV) in 2015</w:t>
            </w:r>
          </w:p>
        </w:tc>
      </w:tr>
      <w:tr w:rsidR="00F33295" w:rsidRPr="009316FF" w14:paraId="09FF7B95" w14:textId="77777777" w:rsidTr="005D447F">
        <w:trPr>
          <w:trHeight w:val="286"/>
        </w:trPr>
        <w:tc>
          <w:tcPr>
            <w:tcW w:w="3544" w:type="dxa"/>
            <w:gridSpan w:val="2"/>
            <w:shd w:val="clear" w:color="auto" w:fill="FFFFFF"/>
            <w:vAlign w:val="center"/>
          </w:tcPr>
          <w:p w14:paraId="16720D53" w14:textId="77777777" w:rsidR="00F33295" w:rsidRPr="004B5884" w:rsidRDefault="00F33295" w:rsidP="00226DF1">
            <w:pPr>
              <w:spacing w:before="120" w:after="120"/>
              <w:jc w:val="both"/>
              <w:rPr>
                <w:rFonts w:ascii="Times New Roman" w:hAnsi="Times New Roman"/>
                <w:bCs/>
                <w:i/>
                <w:sz w:val="24"/>
                <w:szCs w:val="24"/>
              </w:rPr>
            </w:pPr>
            <w:r>
              <w:rPr>
                <w:rFonts w:ascii="Times New Roman" w:hAnsi="Times New Roman"/>
                <w:i/>
                <w:sz w:val="24"/>
              </w:rPr>
              <w:t>Pentavalent (Penta=DTC-HepB-HIB)</w:t>
            </w:r>
          </w:p>
        </w:tc>
        <w:tc>
          <w:tcPr>
            <w:tcW w:w="2127" w:type="dxa"/>
            <w:gridSpan w:val="2"/>
            <w:shd w:val="clear" w:color="auto" w:fill="FFFFFF"/>
            <w:vAlign w:val="center"/>
          </w:tcPr>
          <w:p w14:paraId="3075D643" w14:textId="77777777" w:rsidR="00F33295" w:rsidRPr="004B5884" w:rsidRDefault="00F33295" w:rsidP="00226DF1">
            <w:pPr>
              <w:spacing w:before="120" w:after="120"/>
              <w:jc w:val="both"/>
              <w:rPr>
                <w:rFonts w:ascii="Times New Roman" w:hAnsi="Times New Roman"/>
                <w:bCs/>
                <w:i/>
                <w:sz w:val="24"/>
                <w:szCs w:val="24"/>
              </w:rPr>
            </w:pPr>
            <w:r>
              <w:rPr>
                <w:rFonts w:ascii="Times New Roman" w:hAnsi="Times New Roman"/>
                <w:i/>
                <w:sz w:val="24"/>
              </w:rPr>
              <w:t>2005</w:t>
            </w:r>
          </w:p>
        </w:tc>
        <w:tc>
          <w:tcPr>
            <w:tcW w:w="4677" w:type="dxa"/>
            <w:gridSpan w:val="2"/>
            <w:shd w:val="clear" w:color="auto" w:fill="FFFFFF"/>
            <w:vAlign w:val="center"/>
          </w:tcPr>
          <w:p w14:paraId="33A98927" w14:textId="77777777" w:rsidR="00F33295" w:rsidRPr="004B5884" w:rsidRDefault="000C4DB7" w:rsidP="00226DF1">
            <w:pPr>
              <w:spacing w:before="120" w:after="120"/>
              <w:jc w:val="both"/>
              <w:rPr>
                <w:rFonts w:ascii="Times New Roman" w:hAnsi="Times New Roman"/>
                <w:bCs/>
                <w:i/>
                <w:sz w:val="24"/>
                <w:szCs w:val="24"/>
              </w:rPr>
            </w:pPr>
            <w:r>
              <w:rPr>
                <w:rFonts w:ascii="Times New Roman" w:hAnsi="Times New Roman"/>
                <w:i/>
                <w:sz w:val="24"/>
              </w:rPr>
              <w:t>Administration of Penta 1 at 6 weeks, Penta 2 at 10 weeks and Penta 3 at 14 weeks.</w:t>
            </w:r>
          </w:p>
        </w:tc>
      </w:tr>
      <w:tr w:rsidR="00F33295" w:rsidRPr="009316FF" w14:paraId="385996D7" w14:textId="77777777" w:rsidTr="005D447F">
        <w:trPr>
          <w:trHeight w:val="286"/>
        </w:trPr>
        <w:tc>
          <w:tcPr>
            <w:tcW w:w="3544" w:type="dxa"/>
            <w:gridSpan w:val="2"/>
            <w:shd w:val="clear" w:color="auto" w:fill="FFFFFF"/>
            <w:vAlign w:val="center"/>
          </w:tcPr>
          <w:p w14:paraId="2934B183" w14:textId="77777777" w:rsidR="00F33295" w:rsidRPr="004B5884" w:rsidRDefault="00F33295" w:rsidP="00226DF1">
            <w:pPr>
              <w:spacing w:before="120" w:after="120"/>
              <w:jc w:val="both"/>
              <w:rPr>
                <w:rFonts w:ascii="Times New Roman" w:hAnsi="Times New Roman"/>
                <w:bCs/>
                <w:i/>
                <w:sz w:val="24"/>
                <w:szCs w:val="24"/>
              </w:rPr>
            </w:pPr>
            <w:r>
              <w:rPr>
                <w:rFonts w:ascii="Times New Roman" w:hAnsi="Times New Roman"/>
                <w:i/>
                <w:sz w:val="24"/>
              </w:rPr>
              <w:t>Pneumococcal 13 Vaccine (PCV13)</w:t>
            </w:r>
          </w:p>
        </w:tc>
        <w:tc>
          <w:tcPr>
            <w:tcW w:w="2127" w:type="dxa"/>
            <w:gridSpan w:val="2"/>
            <w:shd w:val="clear" w:color="auto" w:fill="FFFFFF"/>
            <w:vAlign w:val="center"/>
          </w:tcPr>
          <w:p w14:paraId="658AB2C6" w14:textId="77777777" w:rsidR="00F33295" w:rsidRPr="004B5884" w:rsidRDefault="00F33295" w:rsidP="00226DF1">
            <w:pPr>
              <w:spacing w:before="120" w:after="120"/>
              <w:jc w:val="both"/>
              <w:rPr>
                <w:rFonts w:ascii="Times New Roman" w:hAnsi="Times New Roman"/>
                <w:bCs/>
                <w:i/>
                <w:sz w:val="24"/>
                <w:szCs w:val="24"/>
              </w:rPr>
            </w:pPr>
            <w:r>
              <w:rPr>
                <w:rFonts w:ascii="Times New Roman" w:hAnsi="Times New Roman"/>
                <w:i/>
                <w:sz w:val="24"/>
              </w:rPr>
              <w:t>2011</w:t>
            </w:r>
          </w:p>
        </w:tc>
        <w:tc>
          <w:tcPr>
            <w:tcW w:w="4677" w:type="dxa"/>
            <w:gridSpan w:val="2"/>
            <w:shd w:val="clear" w:color="auto" w:fill="FFFFFF"/>
            <w:vAlign w:val="center"/>
          </w:tcPr>
          <w:p w14:paraId="14F93B03" w14:textId="77777777" w:rsidR="00F33295" w:rsidRPr="004B5884" w:rsidRDefault="009B4D5D" w:rsidP="00226DF1">
            <w:pPr>
              <w:spacing w:before="120" w:after="120"/>
              <w:jc w:val="both"/>
              <w:rPr>
                <w:rFonts w:ascii="Times New Roman" w:hAnsi="Times New Roman"/>
                <w:bCs/>
                <w:i/>
                <w:sz w:val="24"/>
                <w:szCs w:val="24"/>
              </w:rPr>
            </w:pPr>
            <w:r>
              <w:rPr>
                <w:rFonts w:ascii="Times New Roman" w:hAnsi="Times New Roman"/>
                <w:i/>
                <w:sz w:val="24"/>
              </w:rPr>
              <w:t>Administration of PCV13 dose 1 at 6 weeks, PCV13 dose 2 at 10 weeks and PCV13 dose 3 at 14 weeks.</w:t>
            </w:r>
          </w:p>
        </w:tc>
      </w:tr>
      <w:tr w:rsidR="00F33295" w:rsidRPr="009316FF" w14:paraId="2FF30E6D" w14:textId="77777777" w:rsidTr="005D447F">
        <w:trPr>
          <w:trHeight w:val="286"/>
        </w:trPr>
        <w:tc>
          <w:tcPr>
            <w:tcW w:w="3544" w:type="dxa"/>
            <w:gridSpan w:val="2"/>
            <w:shd w:val="clear" w:color="auto" w:fill="FFFFFF"/>
            <w:vAlign w:val="center"/>
          </w:tcPr>
          <w:p w14:paraId="5FFC8B26" w14:textId="77777777" w:rsidR="00F33295" w:rsidRPr="004B5884" w:rsidRDefault="00F33295" w:rsidP="00226DF1">
            <w:pPr>
              <w:spacing w:before="120" w:after="120"/>
              <w:jc w:val="both"/>
              <w:rPr>
                <w:rFonts w:ascii="Times New Roman" w:hAnsi="Times New Roman"/>
                <w:bCs/>
                <w:i/>
                <w:sz w:val="24"/>
                <w:szCs w:val="24"/>
              </w:rPr>
            </w:pPr>
            <w:r>
              <w:rPr>
                <w:rFonts w:ascii="Times New Roman" w:hAnsi="Times New Roman"/>
                <w:i/>
                <w:sz w:val="24"/>
              </w:rPr>
              <w:t>Measles vaccine (ROUVAX)</w:t>
            </w:r>
          </w:p>
        </w:tc>
        <w:tc>
          <w:tcPr>
            <w:tcW w:w="2127" w:type="dxa"/>
            <w:gridSpan w:val="2"/>
            <w:shd w:val="clear" w:color="auto" w:fill="FFFFFF"/>
            <w:vAlign w:val="center"/>
          </w:tcPr>
          <w:p w14:paraId="767310DC" w14:textId="77777777" w:rsidR="00F3329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1986</w:t>
            </w:r>
          </w:p>
        </w:tc>
        <w:tc>
          <w:tcPr>
            <w:tcW w:w="4677" w:type="dxa"/>
            <w:gridSpan w:val="2"/>
            <w:shd w:val="clear" w:color="auto" w:fill="FFFFFF"/>
            <w:vAlign w:val="center"/>
          </w:tcPr>
          <w:p w14:paraId="375AC2E1" w14:textId="77777777" w:rsidR="00F3329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Administered between the 9</w:t>
            </w:r>
            <w:r>
              <w:rPr>
                <w:rFonts w:ascii="Times New Roman" w:hAnsi="Times New Roman"/>
                <w:i/>
                <w:sz w:val="24"/>
                <w:vertAlign w:val="superscript"/>
              </w:rPr>
              <w:t>th</w:t>
            </w:r>
            <w:r>
              <w:rPr>
                <w:rFonts w:ascii="Times New Roman" w:hAnsi="Times New Roman"/>
                <w:i/>
                <w:sz w:val="24"/>
              </w:rPr>
              <w:t xml:space="preserve"> and 11</w:t>
            </w:r>
            <w:r>
              <w:rPr>
                <w:rFonts w:ascii="Times New Roman" w:hAnsi="Times New Roman"/>
                <w:i/>
                <w:sz w:val="24"/>
                <w:vertAlign w:val="superscript"/>
              </w:rPr>
              <w:t>th</w:t>
            </w:r>
            <w:r>
              <w:rPr>
                <w:rFonts w:ascii="Times New Roman" w:hAnsi="Times New Roman"/>
                <w:i/>
                <w:sz w:val="24"/>
              </w:rPr>
              <w:t xml:space="preserve"> month</w:t>
            </w:r>
          </w:p>
        </w:tc>
      </w:tr>
      <w:tr w:rsidR="00F33295" w:rsidRPr="009316FF" w14:paraId="27C9468D" w14:textId="77777777" w:rsidTr="005D447F">
        <w:trPr>
          <w:trHeight w:val="286"/>
        </w:trPr>
        <w:tc>
          <w:tcPr>
            <w:tcW w:w="3544" w:type="dxa"/>
            <w:gridSpan w:val="2"/>
            <w:shd w:val="clear" w:color="auto" w:fill="FFFFFF"/>
            <w:vAlign w:val="center"/>
          </w:tcPr>
          <w:p w14:paraId="1A7D3987" w14:textId="77777777" w:rsidR="00F33295" w:rsidRPr="004B5884" w:rsidRDefault="00F33295" w:rsidP="00226DF1">
            <w:pPr>
              <w:spacing w:before="120" w:after="120"/>
              <w:jc w:val="both"/>
              <w:rPr>
                <w:rFonts w:ascii="Times New Roman" w:hAnsi="Times New Roman"/>
                <w:bCs/>
                <w:i/>
                <w:sz w:val="24"/>
                <w:szCs w:val="24"/>
              </w:rPr>
            </w:pPr>
            <w:r>
              <w:rPr>
                <w:rFonts w:ascii="Times New Roman" w:hAnsi="Times New Roman"/>
                <w:i/>
                <w:sz w:val="24"/>
              </w:rPr>
              <w:t>Yellow fever vaccine</w:t>
            </w:r>
          </w:p>
        </w:tc>
        <w:tc>
          <w:tcPr>
            <w:tcW w:w="2127" w:type="dxa"/>
            <w:gridSpan w:val="2"/>
            <w:shd w:val="clear" w:color="auto" w:fill="FFFFFF"/>
            <w:vAlign w:val="center"/>
          </w:tcPr>
          <w:p w14:paraId="51149FEC" w14:textId="77777777" w:rsidR="00F3329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2001</w:t>
            </w:r>
          </w:p>
        </w:tc>
        <w:tc>
          <w:tcPr>
            <w:tcW w:w="4677" w:type="dxa"/>
            <w:gridSpan w:val="2"/>
            <w:shd w:val="clear" w:color="auto" w:fill="FFFFFF"/>
            <w:vAlign w:val="center"/>
          </w:tcPr>
          <w:p w14:paraId="1F47FD33" w14:textId="77777777" w:rsidR="00F3329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Administered between the 9</w:t>
            </w:r>
            <w:r>
              <w:rPr>
                <w:rFonts w:ascii="Times New Roman" w:hAnsi="Times New Roman"/>
                <w:i/>
                <w:sz w:val="24"/>
                <w:vertAlign w:val="superscript"/>
              </w:rPr>
              <w:t>th</w:t>
            </w:r>
            <w:r>
              <w:rPr>
                <w:rFonts w:ascii="Times New Roman" w:hAnsi="Times New Roman"/>
                <w:i/>
                <w:sz w:val="24"/>
              </w:rPr>
              <w:t xml:space="preserve"> and 11</w:t>
            </w:r>
            <w:r>
              <w:rPr>
                <w:rFonts w:ascii="Times New Roman" w:hAnsi="Times New Roman"/>
                <w:i/>
                <w:sz w:val="24"/>
                <w:vertAlign w:val="superscript"/>
              </w:rPr>
              <w:t>th</w:t>
            </w:r>
            <w:r>
              <w:rPr>
                <w:rFonts w:ascii="Times New Roman" w:hAnsi="Times New Roman"/>
                <w:i/>
                <w:sz w:val="24"/>
              </w:rPr>
              <w:t xml:space="preserve"> month</w:t>
            </w:r>
          </w:p>
        </w:tc>
      </w:tr>
      <w:tr w:rsidR="00D02355" w:rsidRPr="009316FF" w14:paraId="37EAE8B1" w14:textId="77777777" w:rsidTr="005D447F">
        <w:trPr>
          <w:trHeight w:val="286"/>
        </w:trPr>
        <w:tc>
          <w:tcPr>
            <w:tcW w:w="3544" w:type="dxa"/>
            <w:gridSpan w:val="2"/>
            <w:shd w:val="clear" w:color="auto" w:fill="FFFFFF"/>
            <w:vAlign w:val="center"/>
          </w:tcPr>
          <w:p w14:paraId="6FA44B76" w14:textId="77777777" w:rsidR="00D0235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Hepatitis B Vaccine</w:t>
            </w:r>
          </w:p>
        </w:tc>
        <w:tc>
          <w:tcPr>
            <w:tcW w:w="2127" w:type="dxa"/>
            <w:gridSpan w:val="2"/>
            <w:shd w:val="clear" w:color="auto" w:fill="FFFFFF"/>
            <w:vAlign w:val="center"/>
          </w:tcPr>
          <w:p w14:paraId="0CEFEF92" w14:textId="77777777" w:rsidR="00D0235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2003</w:t>
            </w:r>
          </w:p>
        </w:tc>
        <w:tc>
          <w:tcPr>
            <w:tcW w:w="4677" w:type="dxa"/>
            <w:gridSpan w:val="2"/>
            <w:shd w:val="clear" w:color="auto" w:fill="FFFFFF"/>
            <w:vAlign w:val="center"/>
          </w:tcPr>
          <w:p w14:paraId="6BC677B2" w14:textId="77777777" w:rsidR="00D02355" w:rsidRPr="004B5884" w:rsidRDefault="00D02355" w:rsidP="00226DF1">
            <w:pPr>
              <w:spacing w:before="120" w:after="120"/>
              <w:jc w:val="both"/>
              <w:rPr>
                <w:rFonts w:ascii="Times New Roman" w:hAnsi="Times New Roman"/>
                <w:bCs/>
                <w:i/>
                <w:sz w:val="24"/>
                <w:szCs w:val="24"/>
              </w:rPr>
            </w:pPr>
            <w:r>
              <w:rPr>
                <w:rFonts w:ascii="Times New Roman" w:hAnsi="Times New Roman"/>
                <w:i/>
                <w:sz w:val="24"/>
              </w:rPr>
              <w:t>Since 2005, the vaccine has been administered at the same time as the Penta vaccine.</w:t>
            </w:r>
          </w:p>
        </w:tc>
      </w:tr>
      <w:tr w:rsidR="00F33295" w:rsidRPr="009316FF" w14:paraId="37648580" w14:textId="77777777" w:rsidTr="005D447F">
        <w:trPr>
          <w:trHeight w:val="286"/>
        </w:trPr>
        <w:tc>
          <w:tcPr>
            <w:tcW w:w="3544" w:type="dxa"/>
            <w:gridSpan w:val="2"/>
            <w:shd w:val="clear" w:color="auto" w:fill="FFFFFF"/>
            <w:vAlign w:val="center"/>
          </w:tcPr>
          <w:p w14:paraId="49ED9FE6" w14:textId="77777777" w:rsidR="00F33295" w:rsidRPr="004B5884" w:rsidRDefault="009B4D5D" w:rsidP="00226DF1">
            <w:pPr>
              <w:spacing w:before="120" w:after="120"/>
              <w:jc w:val="both"/>
              <w:rPr>
                <w:rFonts w:ascii="Times New Roman" w:hAnsi="Times New Roman"/>
                <w:bCs/>
                <w:i/>
                <w:sz w:val="24"/>
                <w:szCs w:val="24"/>
              </w:rPr>
            </w:pPr>
            <w:r>
              <w:rPr>
                <w:rFonts w:ascii="Times New Roman" w:hAnsi="Times New Roman"/>
                <w:i/>
                <w:sz w:val="24"/>
              </w:rPr>
              <w:t>Rotavirus Vaccine (ROTATEQ)</w:t>
            </w:r>
          </w:p>
        </w:tc>
        <w:tc>
          <w:tcPr>
            <w:tcW w:w="2127" w:type="dxa"/>
            <w:gridSpan w:val="2"/>
            <w:shd w:val="clear" w:color="auto" w:fill="FFFFFF"/>
            <w:vAlign w:val="center"/>
          </w:tcPr>
          <w:p w14:paraId="3C1C0CFA" w14:textId="77777777" w:rsidR="00F33295" w:rsidRPr="004B5884" w:rsidRDefault="00BF0384" w:rsidP="00226DF1">
            <w:pPr>
              <w:spacing w:before="120" w:after="120"/>
              <w:jc w:val="both"/>
              <w:rPr>
                <w:rFonts w:ascii="Times New Roman" w:hAnsi="Times New Roman"/>
                <w:bCs/>
                <w:i/>
                <w:sz w:val="24"/>
                <w:szCs w:val="24"/>
              </w:rPr>
            </w:pPr>
            <w:r>
              <w:rPr>
                <w:rFonts w:ascii="Times New Roman" w:hAnsi="Times New Roman"/>
                <w:i/>
                <w:sz w:val="24"/>
              </w:rPr>
              <w:t>2014</w:t>
            </w:r>
          </w:p>
        </w:tc>
        <w:tc>
          <w:tcPr>
            <w:tcW w:w="4677" w:type="dxa"/>
            <w:gridSpan w:val="2"/>
            <w:shd w:val="clear" w:color="auto" w:fill="FFFFFF"/>
            <w:vAlign w:val="center"/>
          </w:tcPr>
          <w:p w14:paraId="1B2AA52B" w14:textId="77777777" w:rsidR="00F33295" w:rsidRPr="004B5884" w:rsidRDefault="009B4D5D" w:rsidP="00226DF1">
            <w:pPr>
              <w:spacing w:before="120" w:after="120"/>
              <w:jc w:val="both"/>
              <w:rPr>
                <w:rFonts w:ascii="Times New Roman" w:hAnsi="Times New Roman"/>
                <w:bCs/>
                <w:i/>
                <w:sz w:val="24"/>
                <w:szCs w:val="24"/>
              </w:rPr>
            </w:pPr>
            <w:r>
              <w:rPr>
                <w:rFonts w:ascii="Times New Roman" w:hAnsi="Times New Roman"/>
                <w:i/>
                <w:sz w:val="24"/>
              </w:rPr>
              <w:t>Administration of Rotateq1 at 6 weeks, Rotateq2 at 10 weeks and Rotateq3 at 14 weeks.</w:t>
            </w:r>
          </w:p>
          <w:p w14:paraId="4E0F2E00" w14:textId="77777777" w:rsidR="00AF5C04" w:rsidRPr="004B5884" w:rsidRDefault="00AF5C04" w:rsidP="00226DF1">
            <w:pPr>
              <w:spacing w:before="120" w:after="120"/>
              <w:jc w:val="both"/>
              <w:rPr>
                <w:rFonts w:ascii="Times New Roman" w:hAnsi="Times New Roman"/>
                <w:bCs/>
                <w:i/>
                <w:sz w:val="24"/>
                <w:szCs w:val="24"/>
              </w:rPr>
            </w:pPr>
            <w:r>
              <w:rPr>
                <w:rFonts w:ascii="Times New Roman" w:hAnsi="Times New Roman"/>
                <w:i/>
                <w:sz w:val="24"/>
              </w:rPr>
              <w:t xml:space="preserve">Change from single dose presentation to two doses as of 2015. Gradual introduction of the virus: Year 1 in Bamako, Year 2 in the regional capitals and Year 3 in the health districts. </w:t>
            </w:r>
          </w:p>
        </w:tc>
      </w:tr>
      <w:tr w:rsidR="00F33295" w:rsidRPr="009316FF" w14:paraId="5318F1F5" w14:textId="77777777" w:rsidTr="005D447F">
        <w:trPr>
          <w:trHeight w:val="286"/>
        </w:trPr>
        <w:tc>
          <w:tcPr>
            <w:tcW w:w="3544" w:type="dxa"/>
            <w:gridSpan w:val="2"/>
            <w:shd w:val="clear" w:color="auto" w:fill="FFFFFF"/>
            <w:vAlign w:val="center"/>
          </w:tcPr>
          <w:p w14:paraId="26624EA0" w14:textId="77777777" w:rsidR="00F33295" w:rsidRPr="004B5884" w:rsidRDefault="00BF0384" w:rsidP="00226DF1">
            <w:pPr>
              <w:spacing w:before="120" w:after="120"/>
              <w:jc w:val="both"/>
              <w:rPr>
                <w:rFonts w:ascii="Times New Roman" w:hAnsi="Times New Roman"/>
                <w:bCs/>
                <w:i/>
                <w:sz w:val="24"/>
                <w:szCs w:val="24"/>
              </w:rPr>
            </w:pPr>
            <w:r>
              <w:rPr>
                <w:rFonts w:ascii="Times New Roman" w:hAnsi="Times New Roman"/>
                <w:i/>
                <w:sz w:val="24"/>
              </w:rPr>
              <w:t>Vaccin Antitétanique [Anti-Tetanus Vaccine]</w:t>
            </w:r>
          </w:p>
        </w:tc>
        <w:tc>
          <w:tcPr>
            <w:tcW w:w="2127" w:type="dxa"/>
            <w:gridSpan w:val="2"/>
            <w:shd w:val="clear" w:color="auto" w:fill="FFFFFF"/>
            <w:vAlign w:val="center"/>
          </w:tcPr>
          <w:p w14:paraId="246F22C6" w14:textId="77777777" w:rsidR="00F33295" w:rsidRPr="004B5884" w:rsidRDefault="009206AF" w:rsidP="00226DF1">
            <w:pPr>
              <w:spacing w:before="120" w:after="120"/>
              <w:jc w:val="both"/>
              <w:rPr>
                <w:rFonts w:ascii="Times New Roman" w:hAnsi="Times New Roman"/>
                <w:bCs/>
                <w:i/>
                <w:sz w:val="24"/>
                <w:szCs w:val="24"/>
              </w:rPr>
            </w:pPr>
            <w:r>
              <w:rPr>
                <w:rFonts w:ascii="Times New Roman" w:hAnsi="Times New Roman"/>
                <w:i/>
                <w:sz w:val="24"/>
              </w:rPr>
              <w:t>1986</w:t>
            </w:r>
          </w:p>
        </w:tc>
        <w:tc>
          <w:tcPr>
            <w:tcW w:w="4677" w:type="dxa"/>
            <w:gridSpan w:val="2"/>
            <w:shd w:val="clear" w:color="auto" w:fill="FFFFFF"/>
            <w:vAlign w:val="center"/>
          </w:tcPr>
          <w:p w14:paraId="5695C6D1" w14:textId="77777777" w:rsidR="00F33295" w:rsidRPr="004B5884" w:rsidRDefault="009206AF" w:rsidP="00226DF1">
            <w:pPr>
              <w:spacing w:before="120" w:after="120"/>
              <w:jc w:val="both"/>
              <w:rPr>
                <w:rFonts w:ascii="Times New Roman" w:hAnsi="Times New Roman"/>
                <w:bCs/>
                <w:i/>
                <w:sz w:val="24"/>
                <w:szCs w:val="24"/>
              </w:rPr>
            </w:pPr>
            <w:r>
              <w:rPr>
                <w:rFonts w:ascii="Times New Roman" w:hAnsi="Times New Roman"/>
                <w:i/>
                <w:sz w:val="24"/>
              </w:rPr>
              <w:t>Administered to women of childbearing age:</w:t>
            </w:r>
          </w:p>
          <w:p w14:paraId="4AF9254E" w14:textId="77777777" w:rsidR="009206AF" w:rsidRPr="004B5884" w:rsidRDefault="009206AF" w:rsidP="00226DF1">
            <w:pPr>
              <w:spacing w:before="120" w:after="120"/>
              <w:jc w:val="both"/>
              <w:rPr>
                <w:rFonts w:ascii="Times New Roman" w:hAnsi="Times New Roman"/>
                <w:bCs/>
                <w:i/>
                <w:sz w:val="24"/>
                <w:szCs w:val="24"/>
              </w:rPr>
            </w:pPr>
            <w:r>
              <w:rPr>
                <w:rFonts w:ascii="Times New Roman" w:hAnsi="Times New Roman"/>
                <w:i/>
                <w:sz w:val="24"/>
              </w:rPr>
              <w:t>1</w:t>
            </w:r>
            <w:r>
              <w:rPr>
                <w:rFonts w:ascii="Times New Roman" w:hAnsi="Times New Roman"/>
                <w:i/>
                <w:sz w:val="24"/>
                <w:vertAlign w:val="superscript"/>
              </w:rPr>
              <w:t>st</w:t>
            </w:r>
            <w:r>
              <w:rPr>
                <w:rFonts w:ascii="Times New Roman" w:hAnsi="Times New Roman"/>
                <w:i/>
                <w:sz w:val="24"/>
              </w:rPr>
              <w:t xml:space="preserve"> dose on first contact, 2</w:t>
            </w:r>
            <w:r>
              <w:rPr>
                <w:rFonts w:ascii="Times New Roman" w:hAnsi="Times New Roman"/>
                <w:i/>
                <w:sz w:val="24"/>
                <w:vertAlign w:val="superscript"/>
              </w:rPr>
              <w:t>nd</w:t>
            </w:r>
            <w:r>
              <w:rPr>
                <w:rFonts w:ascii="Times New Roman" w:hAnsi="Times New Roman"/>
                <w:i/>
                <w:sz w:val="24"/>
              </w:rPr>
              <w:t xml:space="preserve"> dose 4 weeks after the first, 3</w:t>
            </w:r>
            <w:r>
              <w:rPr>
                <w:rFonts w:ascii="Times New Roman" w:hAnsi="Times New Roman"/>
                <w:i/>
                <w:sz w:val="24"/>
                <w:vertAlign w:val="superscript"/>
              </w:rPr>
              <w:t>rd</w:t>
            </w:r>
            <w:r>
              <w:rPr>
                <w:rFonts w:ascii="Times New Roman" w:hAnsi="Times New Roman"/>
                <w:i/>
                <w:sz w:val="24"/>
              </w:rPr>
              <w:t xml:space="preserve"> dose 6 months after the second dose, 4</w:t>
            </w:r>
            <w:r>
              <w:rPr>
                <w:rFonts w:ascii="Times New Roman" w:hAnsi="Times New Roman"/>
                <w:i/>
                <w:sz w:val="24"/>
                <w:vertAlign w:val="superscript"/>
              </w:rPr>
              <w:t>th</w:t>
            </w:r>
            <w:r>
              <w:rPr>
                <w:rFonts w:ascii="Times New Roman" w:hAnsi="Times New Roman"/>
                <w:i/>
                <w:sz w:val="24"/>
              </w:rPr>
              <w:t xml:space="preserve"> dose 1 year after the third dose and the 5</w:t>
            </w:r>
            <w:r>
              <w:rPr>
                <w:rFonts w:ascii="Times New Roman" w:hAnsi="Times New Roman"/>
                <w:i/>
                <w:sz w:val="24"/>
                <w:vertAlign w:val="superscript"/>
              </w:rPr>
              <w:t>th</w:t>
            </w:r>
            <w:r>
              <w:rPr>
                <w:rFonts w:ascii="Times New Roman" w:hAnsi="Times New Roman"/>
                <w:i/>
                <w:sz w:val="24"/>
              </w:rPr>
              <w:t xml:space="preserve"> dose 1 year after the fourth dose. </w:t>
            </w:r>
          </w:p>
        </w:tc>
      </w:tr>
      <w:tr w:rsidR="00867FFD" w:rsidRPr="009316FF" w14:paraId="6F029EC0" w14:textId="77777777" w:rsidTr="005D447F">
        <w:trPr>
          <w:trHeight w:val="286"/>
        </w:trPr>
        <w:tc>
          <w:tcPr>
            <w:tcW w:w="3544" w:type="dxa"/>
            <w:gridSpan w:val="2"/>
            <w:shd w:val="clear" w:color="auto" w:fill="FFFFFF"/>
            <w:vAlign w:val="center"/>
          </w:tcPr>
          <w:p w14:paraId="0FAF5A58" w14:textId="77777777" w:rsidR="00867FFD" w:rsidRPr="004B5884" w:rsidRDefault="00867FFD" w:rsidP="00226DF1">
            <w:pPr>
              <w:spacing w:before="120" w:after="120"/>
              <w:jc w:val="both"/>
              <w:rPr>
                <w:rFonts w:ascii="Times New Roman" w:hAnsi="Times New Roman"/>
                <w:i/>
                <w:sz w:val="24"/>
                <w:szCs w:val="24"/>
              </w:rPr>
            </w:pPr>
          </w:p>
        </w:tc>
        <w:tc>
          <w:tcPr>
            <w:tcW w:w="2127" w:type="dxa"/>
            <w:gridSpan w:val="2"/>
            <w:shd w:val="clear" w:color="auto" w:fill="FFFFFF"/>
            <w:vAlign w:val="center"/>
          </w:tcPr>
          <w:p w14:paraId="5529AE8B" w14:textId="77777777" w:rsidR="00867FFD" w:rsidRPr="004B5884" w:rsidRDefault="00867FFD" w:rsidP="00226DF1">
            <w:pPr>
              <w:spacing w:before="120" w:after="120"/>
              <w:jc w:val="both"/>
              <w:rPr>
                <w:rFonts w:ascii="Times New Roman" w:hAnsi="Times New Roman"/>
                <w:i/>
                <w:sz w:val="24"/>
                <w:szCs w:val="24"/>
              </w:rPr>
            </w:pPr>
          </w:p>
        </w:tc>
        <w:tc>
          <w:tcPr>
            <w:tcW w:w="4677" w:type="dxa"/>
            <w:gridSpan w:val="2"/>
            <w:shd w:val="clear" w:color="auto" w:fill="FFFFFF"/>
            <w:vAlign w:val="center"/>
          </w:tcPr>
          <w:p w14:paraId="3B19FCC3"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01EB7513" w14:textId="77777777" w:rsidTr="005D447F">
        <w:trPr>
          <w:trHeight w:val="278"/>
        </w:trPr>
        <w:tc>
          <w:tcPr>
            <w:tcW w:w="10348" w:type="dxa"/>
            <w:gridSpan w:val="6"/>
            <w:shd w:val="clear" w:color="auto" w:fill="006666"/>
            <w:vAlign w:val="center"/>
          </w:tcPr>
          <w:p w14:paraId="52912AC1" w14:textId="77777777" w:rsidR="00867FFD" w:rsidRPr="004B5884" w:rsidRDefault="00867FFD" w:rsidP="00226DF1">
            <w:pPr>
              <w:spacing w:before="120" w:after="120"/>
              <w:jc w:val="both"/>
              <w:rPr>
                <w:rFonts w:ascii="Times New Roman" w:hAnsi="Times New Roman"/>
                <w:b/>
                <w:i/>
                <w:color w:val="FFFFFF" w:themeColor="background1"/>
                <w:sz w:val="24"/>
                <w:szCs w:val="24"/>
              </w:rPr>
            </w:pPr>
            <w:r>
              <w:rPr>
                <w:rFonts w:ascii="Times New Roman" w:hAnsi="Times New Roman"/>
                <w:b/>
                <w:i/>
                <w:color w:val="FFFFFF" w:themeColor="background1"/>
                <w:sz w:val="24"/>
              </w:rPr>
              <w:t>Vaccines Planned for Future Use by the Immunisation Programme</w:t>
            </w:r>
          </w:p>
          <w:p w14:paraId="26220375"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color w:val="FFFFFF" w:themeColor="background1"/>
                <w:sz w:val="24"/>
              </w:rPr>
              <w:t>Note: This section should include any future vaccines currently under consideration by the country and does not represent a commitment by the country to introduce the vaccines listed below.</w:t>
            </w:r>
          </w:p>
        </w:tc>
      </w:tr>
      <w:tr w:rsidR="00867FFD" w:rsidRPr="009316FF" w14:paraId="6606C748" w14:textId="77777777" w:rsidTr="005D447F">
        <w:trPr>
          <w:trHeight w:val="490"/>
        </w:trPr>
        <w:tc>
          <w:tcPr>
            <w:tcW w:w="2552" w:type="dxa"/>
            <w:shd w:val="clear" w:color="auto" w:fill="FFFFFF"/>
            <w:vAlign w:val="center"/>
          </w:tcPr>
          <w:p w14:paraId="40F71E03"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Vaccine</w:t>
            </w:r>
          </w:p>
        </w:tc>
        <w:tc>
          <w:tcPr>
            <w:tcW w:w="1843" w:type="dxa"/>
            <w:gridSpan w:val="2"/>
            <w:shd w:val="clear" w:color="auto" w:fill="FFFFFF"/>
            <w:vAlign w:val="center"/>
          </w:tcPr>
          <w:p w14:paraId="63473733"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 xml:space="preserve">Month / Year of Introduction </w:t>
            </w:r>
          </w:p>
        </w:tc>
        <w:tc>
          <w:tcPr>
            <w:tcW w:w="3544" w:type="dxa"/>
            <w:gridSpan w:val="2"/>
            <w:shd w:val="clear" w:color="auto" w:fill="FFFFFF"/>
            <w:vAlign w:val="center"/>
          </w:tcPr>
          <w:p w14:paraId="3E1D95C4" w14:textId="77777777" w:rsidR="00867FFD" w:rsidRPr="004B5884" w:rsidRDefault="00867FFD" w:rsidP="00226DF1">
            <w:pPr>
              <w:spacing w:before="120" w:after="120"/>
              <w:jc w:val="both"/>
              <w:rPr>
                <w:rFonts w:ascii="Times New Roman" w:hAnsi="Times New Roman"/>
                <w:i/>
                <w:sz w:val="24"/>
                <w:szCs w:val="24"/>
              </w:rPr>
            </w:pPr>
            <w:r>
              <w:rPr>
                <w:b/>
                <w:i/>
              </w:rPr>
              <w:t>Comments</w:t>
            </w:r>
            <w:r>
              <w:rPr>
                <w:i/>
              </w:rPr>
              <w:t xml:space="preserve"> (including planned product switches, wastage, etc.)</w:t>
            </w:r>
          </w:p>
        </w:tc>
        <w:tc>
          <w:tcPr>
            <w:tcW w:w="2409" w:type="dxa"/>
            <w:shd w:val="clear" w:color="auto" w:fill="FFFFFF"/>
            <w:vAlign w:val="center"/>
          </w:tcPr>
          <w:p w14:paraId="10074BCF"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Was the planning for vaccine introduction taken into account in HSS application? If not, why not?</w:t>
            </w:r>
          </w:p>
          <w:p w14:paraId="02F4023E" w14:textId="039E4F1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(Requirements for cold chain, human resources etc</w:t>
            </w:r>
            <w:r w:rsidR="007D38B4">
              <w:rPr>
                <w:rFonts w:ascii="Times New Roman" w:hAnsi="Times New Roman"/>
                <w:i/>
                <w:sz w:val="24"/>
              </w:rPr>
              <w:t>.</w:t>
            </w:r>
            <w:r>
              <w:rPr>
                <w:rFonts w:ascii="Times New Roman" w:hAnsi="Times New Roman"/>
                <w:i/>
                <w:sz w:val="24"/>
              </w:rPr>
              <w:t>)</w:t>
            </w:r>
          </w:p>
        </w:tc>
      </w:tr>
      <w:tr w:rsidR="00867FFD" w:rsidRPr="009316FF" w14:paraId="76B5CC2A" w14:textId="77777777" w:rsidTr="005D447F">
        <w:trPr>
          <w:trHeight w:val="286"/>
        </w:trPr>
        <w:tc>
          <w:tcPr>
            <w:tcW w:w="2552" w:type="dxa"/>
            <w:shd w:val="clear" w:color="auto" w:fill="FFFFFF"/>
            <w:vAlign w:val="center"/>
          </w:tcPr>
          <w:p w14:paraId="2D180F4B"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IPV 10 dose</w:t>
            </w:r>
          </w:p>
        </w:tc>
        <w:tc>
          <w:tcPr>
            <w:tcW w:w="1843" w:type="dxa"/>
            <w:gridSpan w:val="2"/>
            <w:shd w:val="clear" w:color="auto" w:fill="FFFFFF"/>
            <w:vAlign w:val="center"/>
          </w:tcPr>
          <w:p w14:paraId="0F0F7D93" w14:textId="77777777" w:rsidR="00867FFD" w:rsidRPr="004B5884" w:rsidRDefault="00742A63" w:rsidP="00226DF1">
            <w:pPr>
              <w:spacing w:before="120" w:after="120"/>
              <w:jc w:val="both"/>
              <w:rPr>
                <w:rFonts w:ascii="Times New Roman" w:hAnsi="Times New Roman"/>
                <w:i/>
                <w:sz w:val="24"/>
                <w:szCs w:val="24"/>
              </w:rPr>
            </w:pPr>
            <w:r>
              <w:rPr>
                <w:rFonts w:ascii="Times New Roman" w:hAnsi="Times New Roman"/>
                <w:i/>
                <w:sz w:val="24"/>
              </w:rPr>
              <w:t>2015</w:t>
            </w:r>
          </w:p>
        </w:tc>
        <w:tc>
          <w:tcPr>
            <w:tcW w:w="3544" w:type="dxa"/>
            <w:gridSpan w:val="2"/>
            <w:shd w:val="clear" w:color="auto" w:fill="FFFFFF"/>
            <w:vAlign w:val="center"/>
          </w:tcPr>
          <w:p w14:paraId="60513543" w14:textId="77777777" w:rsidR="00867FFD" w:rsidRPr="004B5884" w:rsidRDefault="00742A63" w:rsidP="00226DF1">
            <w:pPr>
              <w:spacing w:before="120" w:after="120"/>
              <w:jc w:val="both"/>
              <w:rPr>
                <w:rFonts w:ascii="Times New Roman" w:hAnsi="Times New Roman"/>
                <w:i/>
                <w:sz w:val="24"/>
                <w:szCs w:val="24"/>
              </w:rPr>
            </w:pPr>
            <w:r>
              <w:rPr>
                <w:rFonts w:ascii="Times New Roman" w:hAnsi="Times New Roman"/>
                <w:i/>
                <w:sz w:val="24"/>
              </w:rPr>
              <w:t>Mali must submit the submission document to GAVI for the introduction</w:t>
            </w:r>
          </w:p>
        </w:tc>
        <w:tc>
          <w:tcPr>
            <w:tcW w:w="2409" w:type="dxa"/>
            <w:shd w:val="clear" w:color="auto" w:fill="FFFFFF"/>
            <w:vAlign w:val="center"/>
          </w:tcPr>
          <w:p w14:paraId="26752269"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Yes</w:t>
            </w:r>
          </w:p>
        </w:tc>
      </w:tr>
      <w:tr w:rsidR="00867FFD" w:rsidRPr="009316FF" w14:paraId="4A5F4406" w14:textId="77777777" w:rsidTr="005D447F">
        <w:trPr>
          <w:trHeight w:val="286"/>
        </w:trPr>
        <w:tc>
          <w:tcPr>
            <w:tcW w:w="2552" w:type="dxa"/>
            <w:shd w:val="clear" w:color="auto" w:fill="FFFFFF"/>
            <w:vAlign w:val="center"/>
          </w:tcPr>
          <w:p w14:paraId="3766660A"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Human Papilloma Virus (HPV) Vaccine</w:t>
            </w:r>
          </w:p>
        </w:tc>
        <w:tc>
          <w:tcPr>
            <w:tcW w:w="1843" w:type="dxa"/>
            <w:gridSpan w:val="2"/>
            <w:shd w:val="clear" w:color="auto" w:fill="FFFFFF"/>
            <w:vAlign w:val="center"/>
          </w:tcPr>
          <w:p w14:paraId="6E654DFE"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2014</w:t>
            </w:r>
          </w:p>
        </w:tc>
        <w:tc>
          <w:tcPr>
            <w:tcW w:w="3544" w:type="dxa"/>
            <w:gridSpan w:val="2"/>
            <w:shd w:val="clear" w:color="auto" w:fill="FFFFFF"/>
            <w:vAlign w:val="center"/>
          </w:tcPr>
          <w:p w14:paraId="3F6E0A9A"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Demonstration of the introduction in 2 health districts (Fana in the Koulikoro region and Commune V in the Bamako district)</w:t>
            </w:r>
          </w:p>
        </w:tc>
        <w:tc>
          <w:tcPr>
            <w:tcW w:w="2409" w:type="dxa"/>
            <w:shd w:val="clear" w:color="auto" w:fill="FFFFFF"/>
            <w:vAlign w:val="center"/>
          </w:tcPr>
          <w:p w14:paraId="7B997D0D"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Yes</w:t>
            </w:r>
          </w:p>
        </w:tc>
      </w:tr>
      <w:tr w:rsidR="00867FFD" w:rsidRPr="009316FF" w14:paraId="2FD19C22" w14:textId="77777777" w:rsidTr="005D447F">
        <w:trPr>
          <w:trHeight w:val="286"/>
        </w:trPr>
        <w:tc>
          <w:tcPr>
            <w:tcW w:w="2552" w:type="dxa"/>
            <w:shd w:val="clear" w:color="auto" w:fill="FFFFFF"/>
            <w:vAlign w:val="center"/>
          </w:tcPr>
          <w:p w14:paraId="43C16E06"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TD (Tetanus-diphtheria) vaccine for women of childbearing age</w:t>
            </w:r>
          </w:p>
        </w:tc>
        <w:tc>
          <w:tcPr>
            <w:tcW w:w="1843" w:type="dxa"/>
            <w:gridSpan w:val="2"/>
            <w:shd w:val="clear" w:color="auto" w:fill="FFFFFF"/>
            <w:vAlign w:val="center"/>
          </w:tcPr>
          <w:p w14:paraId="6EA6BFD5"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2014</w:t>
            </w:r>
          </w:p>
        </w:tc>
        <w:tc>
          <w:tcPr>
            <w:tcW w:w="3544" w:type="dxa"/>
            <w:gridSpan w:val="2"/>
            <w:shd w:val="clear" w:color="auto" w:fill="FFFFFF"/>
            <w:vAlign w:val="center"/>
          </w:tcPr>
          <w:p w14:paraId="0E1A3E8D" w14:textId="77777777" w:rsidR="00867FFD" w:rsidRPr="004B5884" w:rsidRDefault="00955D82" w:rsidP="00226DF1">
            <w:pPr>
              <w:spacing w:before="120" w:after="120"/>
              <w:jc w:val="both"/>
              <w:rPr>
                <w:rFonts w:ascii="Times New Roman" w:hAnsi="Times New Roman"/>
                <w:i/>
                <w:sz w:val="24"/>
                <w:szCs w:val="24"/>
              </w:rPr>
            </w:pPr>
            <w:r>
              <w:rPr>
                <w:rFonts w:ascii="Times New Roman" w:hAnsi="Times New Roman"/>
                <w:i/>
                <w:sz w:val="24"/>
              </w:rPr>
              <w:t>Mali must submit the submission document to GAVI for the introduction</w:t>
            </w:r>
          </w:p>
        </w:tc>
        <w:tc>
          <w:tcPr>
            <w:tcW w:w="2409" w:type="dxa"/>
            <w:shd w:val="clear" w:color="auto" w:fill="FFFFFF"/>
            <w:vAlign w:val="center"/>
          </w:tcPr>
          <w:p w14:paraId="1FDE578E" w14:textId="77777777" w:rsidR="00867FFD" w:rsidRPr="004B5884" w:rsidRDefault="006A2F6A" w:rsidP="00226DF1">
            <w:pPr>
              <w:spacing w:before="120" w:after="120"/>
              <w:jc w:val="both"/>
              <w:rPr>
                <w:rFonts w:ascii="Times New Roman" w:hAnsi="Times New Roman"/>
                <w:i/>
                <w:sz w:val="24"/>
                <w:szCs w:val="24"/>
              </w:rPr>
            </w:pPr>
            <w:r>
              <w:rPr>
                <w:rFonts w:ascii="Times New Roman" w:hAnsi="Times New Roman"/>
                <w:i/>
                <w:sz w:val="24"/>
              </w:rPr>
              <w:t>Yes</w:t>
            </w:r>
          </w:p>
        </w:tc>
      </w:tr>
      <w:tr w:rsidR="002B685F" w:rsidRPr="009316FF" w14:paraId="03D2CD3E" w14:textId="77777777" w:rsidTr="005D447F">
        <w:trPr>
          <w:trHeight w:val="286"/>
        </w:trPr>
        <w:tc>
          <w:tcPr>
            <w:tcW w:w="2552" w:type="dxa"/>
            <w:shd w:val="clear" w:color="auto" w:fill="FFFFFF"/>
            <w:vAlign w:val="center"/>
          </w:tcPr>
          <w:p w14:paraId="175F8B03" w14:textId="77777777" w:rsidR="002B685F" w:rsidRPr="004B5884" w:rsidRDefault="002B685F" w:rsidP="00226DF1">
            <w:pPr>
              <w:spacing w:before="120" w:after="120"/>
              <w:jc w:val="both"/>
              <w:rPr>
                <w:rFonts w:ascii="Times New Roman" w:hAnsi="Times New Roman"/>
                <w:bCs/>
                <w:i/>
                <w:sz w:val="24"/>
                <w:szCs w:val="24"/>
              </w:rPr>
            </w:pPr>
            <w:r>
              <w:rPr>
                <w:rFonts w:ascii="Times New Roman" w:hAnsi="Times New Roman"/>
                <w:i/>
                <w:sz w:val="24"/>
              </w:rPr>
              <w:t>MenAfriVac vaccine</w:t>
            </w:r>
          </w:p>
        </w:tc>
        <w:tc>
          <w:tcPr>
            <w:tcW w:w="1843" w:type="dxa"/>
            <w:gridSpan w:val="2"/>
            <w:shd w:val="clear" w:color="auto" w:fill="FFFFFF"/>
            <w:vAlign w:val="center"/>
          </w:tcPr>
          <w:p w14:paraId="4764B094" w14:textId="77777777" w:rsidR="002B685F" w:rsidRPr="004B5884" w:rsidRDefault="002B685F" w:rsidP="00226DF1">
            <w:pPr>
              <w:spacing w:before="120" w:after="120"/>
              <w:jc w:val="both"/>
              <w:rPr>
                <w:rFonts w:ascii="Times New Roman" w:hAnsi="Times New Roman"/>
                <w:bCs/>
                <w:i/>
                <w:sz w:val="24"/>
                <w:szCs w:val="24"/>
              </w:rPr>
            </w:pPr>
            <w:r>
              <w:rPr>
                <w:rFonts w:ascii="Times New Roman" w:hAnsi="Times New Roman"/>
                <w:i/>
                <w:sz w:val="24"/>
              </w:rPr>
              <w:t>2016</w:t>
            </w:r>
          </w:p>
        </w:tc>
        <w:tc>
          <w:tcPr>
            <w:tcW w:w="3544" w:type="dxa"/>
            <w:gridSpan w:val="2"/>
            <w:shd w:val="clear" w:color="auto" w:fill="FFFFFF"/>
            <w:vAlign w:val="center"/>
          </w:tcPr>
          <w:p w14:paraId="7CD70A55" w14:textId="77777777" w:rsidR="002B685F" w:rsidRPr="004B5884" w:rsidRDefault="002B685F" w:rsidP="00226DF1">
            <w:pPr>
              <w:spacing w:before="120" w:after="120"/>
              <w:jc w:val="both"/>
              <w:rPr>
                <w:rFonts w:ascii="Times New Roman" w:hAnsi="Times New Roman"/>
                <w:bCs/>
                <w:i/>
                <w:sz w:val="24"/>
                <w:szCs w:val="24"/>
              </w:rPr>
            </w:pPr>
            <w:r>
              <w:rPr>
                <w:rFonts w:ascii="Times New Roman" w:hAnsi="Times New Roman"/>
                <w:i/>
                <w:sz w:val="24"/>
              </w:rPr>
              <w:t>Mali must submit the submission document to GAVI for the introduction</w:t>
            </w:r>
          </w:p>
        </w:tc>
        <w:tc>
          <w:tcPr>
            <w:tcW w:w="2409" w:type="dxa"/>
            <w:shd w:val="clear" w:color="auto" w:fill="FFFFFF"/>
            <w:vAlign w:val="center"/>
          </w:tcPr>
          <w:p w14:paraId="60B466A6" w14:textId="77777777" w:rsidR="002B685F" w:rsidRPr="004B5884" w:rsidRDefault="002B685F" w:rsidP="00226DF1">
            <w:pPr>
              <w:spacing w:before="120" w:after="120"/>
              <w:jc w:val="both"/>
              <w:rPr>
                <w:rFonts w:ascii="Times New Roman" w:hAnsi="Times New Roman"/>
                <w:bCs/>
                <w:i/>
                <w:sz w:val="24"/>
                <w:szCs w:val="24"/>
              </w:rPr>
            </w:pPr>
            <w:r>
              <w:rPr>
                <w:rFonts w:ascii="Times New Roman" w:hAnsi="Times New Roman"/>
                <w:i/>
                <w:sz w:val="24"/>
              </w:rPr>
              <w:t>Yes</w:t>
            </w:r>
          </w:p>
        </w:tc>
      </w:tr>
      <w:tr w:rsidR="00867FFD" w:rsidRPr="009316FF" w14:paraId="5FC9CCFF" w14:textId="77777777" w:rsidTr="005D447F">
        <w:trPr>
          <w:trHeight w:val="1060"/>
        </w:trPr>
        <w:tc>
          <w:tcPr>
            <w:tcW w:w="10348" w:type="dxa"/>
            <w:gridSpan w:val="6"/>
            <w:shd w:val="clear" w:color="auto" w:fill="FFFFFF"/>
          </w:tcPr>
          <w:p w14:paraId="49187C52" w14:textId="77777777" w:rsidR="00867FFD" w:rsidRPr="004B5884" w:rsidRDefault="00867FFD" w:rsidP="00226DF1">
            <w:pPr>
              <w:spacing w:before="120" w:after="120"/>
              <w:jc w:val="both"/>
              <w:rPr>
                <w:rFonts w:ascii="Times New Roman" w:hAnsi="Times New Roman"/>
                <w:b/>
                <w:sz w:val="24"/>
                <w:szCs w:val="24"/>
              </w:rPr>
            </w:pPr>
            <w:r>
              <w:rPr>
                <w:rFonts w:ascii="Times New Roman" w:hAnsi="Times New Roman"/>
                <w:b/>
                <w:sz w:val="24"/>
              </w:rPr>
              <w:t>Please use the space below to provide:</w:t>
            </w:r>
          </w:p>
          <w:p w14:paraId="4B66237D" w14:textId="77777777" w:rsidR="00867FFD" w:rsidRPr="004B5884" w:rsidRDefault="00867FFD" w:rsidP="00226DF1">
            <w:pPr>
              <w:numPr>
                <w:ilvl w:val="0"/>
                <w:numId w:val="3"/>
              </w:numPr>
              <w:spacing w:before="120" w:after="120"/>
              <w:jc w:val="both"/>
              <w:rPr>
                <w:rFonts w:ascii="Times New Roman" w:hAnsi="Times New Roman"/>
                <w:b/>
                <w:sz w:val="24"/>
                <w:szCs w:val="24"/>
              </w:rPr>
            </w:pPr>
            <w:r>
              <w:rPr>
                <w:rFonts w:ascii="Times New Roman" w:hAnsi="Times New Roman"/>
                <w:b/>
                <w:sz w:val="24"/>
              </w:rPr>
              <w:t xml:space="preserve">Further disaggregation of the data provided in the supporting documentation (if available). This data will be used to illustrate equity differences by geographic location and urban/rural. </w:t>
            </w:r>
          </w:p>
          <w:p w14:paraId="286C5A1D"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47BB56FF" w14:textId="77777777" w:rsidTr="005D447F">
        <w:trPr>
          <w:trHeight w:val="376"/>
        </w:trPr>
        <w:tc>
          <w:tcPr>
            <w:tcW w:w="10348" w:type="dxa"/>
            <w:gridSpan w:val="6"/>
            <w:shd w:val="clear" w:color="auto" w:fill="FFFFFF"/>
          </w:tcPr>
          <w:p w14:paraId="25A7F237" w14:textId="77777777" w:rsidR="00BD069F" w:rsidRPr="004B5884" w:rsidRDefault="00867FFD" w:rsidP="00226DF1">
            <w:pPr>
              <w:widowControl w:val="0"/>
              <w:spacing w:before="120" w:after="120"/>
              <w:jc w:val="both"/>
              <w:rPr>
                <w:rFonts w:ascii="Times New Roman" w:hAnsi="Times New Roman"/>
                <w:b/>
                <w:bCs/>
                <w:i/>
                <w:sz w:val="24"/>
                <w:szCs w:val="24"/>
              </w:rPr>
            </w:pPr>
            <w:r>
              <w:rPr>
                <w:rFonts w:ascii="Times New Roman" w:hAnsi="Times New Roman"/>
                <w:b/>
                <w:i/>
                <w:sz w:val="24"/>
              </w:rPr>
              <w:t>ONE PAGE MAXIMUM</w:t>
            </w:r>
          </w:p>
          <w:p w14:paraId="3703E5F2" w14:textId="77777777" w:rsidR="00975DBE" w:rsidRPr="004B5884" w:rsidRDefault="00975DBE" w:rsidP="00226DF1">
            <w:pPr>
              <w:widowControl w:val="0"/>
              <w:spacing w:before="120" w:after="120"/>
              <w:jc w:val="both"/>
              <w:rPr>
                <w:rFonts w:ascii="Times New Roman" w:hAnsi="Times New Roman"/>
                <w:b/>
                <w:bCs/>
                <w:i/>
                <w:sz w:val="24"/>
                <w:szCs w:val="24"/>
              </w:rPr>
            </w:pPr>
          </w:p>
          <w:p w14:paraId="2B995712" w14:textId="77777777" w:rsidR="00572C45" w:rsidRPr="004B5884" w:rsidRDefault="00D86744" w:rsidP="00226DF1">
            <w:pPr>
              <w:widowControl w:val="0"/>
              <w:spacing w:before="120" w:after="120"/>
              <w:jc w:val="both"/>
              <w:rPr>
                <w:rFonts w:ascii="Times New Roman" w:hAnsi="Times New Roman"/>
                <w:sz w:val="24"/>
                <w:szCs w:val="24"/>
              </w:rPr>
            </w:pPr>
            <w:r>
              <w:rPr>
                <w:rFonts w:ascii="Times New Roman" w:hAnsi="Times New Roman"/>
                <w:sz w:val="24"/>
              </w:rPr>
              <w:t>The total population of Mali was estimated at 16.8 million residents as of 2013, of which 2 million reside in Bamako. The average population density is 11.7 residents per square kilometer, with very high regional disparities. (GSPH, 2009, updated)</w:t>
            </w:r>
          </w:p>
          <w:p w14:paraId="34AE256E" w14:textId="094B20DE" w:rsidR="00507B76" w:rsidRPr="007558E1" w:rsidRDefault="00572C45" w:rsidP="00226DF1">
            <w:pPr>
              <w:widowControl w:val="0"/>
              <w:spacing w:before="120" w:after="120"/>
              <w:jc w:val="both"/>
              <w:rPr>
                <w:rFonts w:ascii="Times New Roman" w:hAnsi="Times New Roman"/>
                <w:sz w:val="24"/>
                <w:szCs w:val="24"/>
              </w:rPr>
            </w:pPr>
            <w:r>
              <w:rPr>
                <w:rFonts w:ascii="Times New Roman" w:hAnsi="Times New Roman"/>
                <w:sz w:val="24"/>
              </w:rPr>
              <w:t>According to the HDS-Mali V from 2012-13, the infant mortality rate was estimated at 56 per thousand live births, the youth mortality rate at 41 per thousand live births and the maternal mortality rate at 368 per hundred thousand live births. It must be noted that this survey only covered six (6) out of nine (9) regions, since the 3 northern regions were not surveyed for security reasons.</w:t>
            </w:r>
          </w:p>
          <w:p w14:paraId="17DEC946" w14:textId="0F89C2A4" w:rsidR="00CE2265" w:rsidRPr="004B5884" w:rsidRDefault="00CE2265" w:rsidP="00226DF1">
            <w:pPr>
              <w:widowControl w:val="0"/>
              <w:spacing w:before="120" w:after="120"/>
              <w:jc w:val="both"/>
              <w:rPr>
                <w:rFonts w:ascii="Times New Roman" w:hAnsi="Times New Roman"/>
                <w:sz w:val="24"/>
                <w:szCs w:val="24"/>
              </w:rPr>
            </w:pPr>
            <w:r>
              <w:rPr>
                <w:rFonts w:ascii="Times New Roman" w:hAnsi="Times New Roman"/>
                <w:sz w:val="24"/>
              </w:rPr>
              <w:t xml:space="preserve">In 1990 Mali adopted its sectoral health and population policy based on the primary health care principles, the Bamako initiative and the African health development strategy. It is intended to bring together the health services with community participation in treating health issues. For this reason, the health system was organized in a three (3) level pyramid, the first level of which comprises the Community Health Centers (CSCom), religious centers and private clinics, where immunization activities are most frequently conducted. </w:t>
            </w:r>
          </w:p>
          <w:p w14:paraId="58DC53E0" w14:textId="635E9E42" w:rsidR="00FC47FF" w:rsidRPr="004B5884" w:rsidRDefault="00E44B03" w:rsidP="00226DF1">
            <w:pPr>
              <w:widowControl w:val="0"/>
              <w:spacing w:before="120" w:after="120"/>
              <w:jc w:val="both"/>
              <w:rPr>
                <w:rFonts w:ascii="Times New Roman" w:hAnsi="Times New Roman"/>
                <w:sz w:val="24"/>
                <w:szCs w:val="24"/>
              </w:rPr>
            </w:pPr>
            <w:r>
              <w:rPr>
                <w:rFonts w:ascii="Times New Roman" w:hAnsi="Times New Roman"/>
                <w:sz w:val="24"/>
              </w:rPr>
              <w:t>During the implementation of PRODESS II (2005-2009), which was extended to 2011, people living at least 5 km from a CSCom nearly doubled, increasing from 29% and 345 CSCom in 1998 to 56% and 1134 CSCom in 2012, and it was still at 56% with 1170 CSCom following an update of demographic data GSPH, 2009. (Source: Annual Report, SLIS, 2013)</w:t>
            </w:r>
          </w:p>
          <w:p w14:paraId="178AA33A" w14:textId="77777777" w:rsidR="00FC47FF" w:rsidRPr="004B5884" w:rsidRDefault="00FC47FF" w:rsidP="00226DF1">
            <w:pPr>
              <w:widowControl w:val="0"/>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The availability of the MPA at the CSCom was significantly tied to the availability of qualified personnel. It was clearly improved during PRODESS II, with more than 97% of CSComs having at least one nurse in 2009. </w:t>
            </w:r>
          </w:p>
          <w:p w14:paraId="3CA49C4C" w14:textId="15A41A07" w:rsidR="00FC47FF" w:rsidRPr="004B5884" w:rsidRDefault="00FC47FF" w:rsidP="00226DF1">
            <w:pPr>
              <w:widowControl w:val="0"/>
              <w:autoSpaceDE w:val="0"/>
              <w:autoSpaceDN w:val="0"/>
              <w:adjustRightInd w:val="0"/>
              <w:spacing w:before="120" w:after="120"/>
              <w:jc w:val="both"/>
              <w:rPr>
                <w:rFonts w:ascii="Times New Roman" w:hAnsi="Times New Roman"/>
                <w:sz w:val="24"/>
                <w:szCs w:val="24"/>
              </w:rPr>
            </w:pPr>
            <w:r>
              <w:rPr>
                <w:rFonts w:ascii="Times New Roman" w:hAnsi="Times New Roman"/>
                <w:color w:val="000000"/>
                <w:sz w:val="24"/>
              </w:rPr>
              <w:t xml:space="preserve">An increasing number of Community Health Centers were technically directed by a physician (27.44% or 321/1170 in 2013). At the Bamako health district level, all the CSCom provided medical care. The proportion of CSComs with a physician is significant in the regions of Kayes, Koulikoro, Ségou and Sikasso (between 22 and 35% in 2013), but it remains low in Tombouctou and insignificant in Gao and Kidal. The provision of physicians to the CSComs caused an improvement in the MPA. The physician-population ratio ranges from 1/9623 in Bamako to 1/48,000 in Gao. </w:t>
            </w:r>
          </w:p>
          <w:p w14:paraId="120CDA3E" w14:textId="77777777" w:rsidR="00FC47FF" w:rsidRPr="004B5884" w:rsidRDefault="00FC47FF" w:rsidP="00226DF1">
            <w:pPr>
              <w:widowControl w:val="0"/>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The significant increase in geographic accessibility and the availability of the MPA has had a positive effect on the use of immunization services.</w:t>
            </w:r>
          </w:p>
          <w:p w14:paraId="121D2CB5" w14:textId="77777777" w:rsidR="00A46F29" w:rsidRPr="004B5884" w:rsidRDefault="00A45C24" w:rsidP="00226DF1">
            <w:pPr>
              <w:widowControl w:val="0"/>
              <w:spacing w:before="120" w:after="120"/>
              <w:jc w:val="both"/>
              <w:rPr>
                <w:rFonts w:ascii="Times New Roman" w:hAnsi="Times New Roman"/>
                <w:sz w:val="24"/>
                <w:szCs w:val="24"/>
              </w:rPr>
            </w:pPr>
            <w:r>
              <w:rPr>
                <w:rFonts w:ascii="Times New Roman" w:hAnsi="Times New Roman"/>
                <w:sz w:val="24"/>
              </w:rPr>
              <w:t>In the context of the Expanded Program for Immunization (EPI) implemented since 1986 by the Ministry of Health and in accordance with the recommendations of the WHO, a child is considered to be fully immunized if he has received the vaccine for BCG, tuberculosis, four doses of the polio vaccine, three doses of the Pentavalent vaccine (for diphtheria, tetanus, pertussis, Hepatitis B, Haemophilus influenzae type b), the measles and yellow fever vaccines. According to the immunization calendar, all these vaccines should have been administered to a child during their first year.</w:t>
            </w:r>
          </w:p>
          <w:p w14:paraId="0448C75E" w14:textId="77777777" w:rsidR="00A46F29" w:rsidRPr="004B5884" w:rsidRDefault="00A46F29" w:rsidP="00226DF1">
            <w:pPr>
              <w:widowControl w:val="0"/>
              <w:spacing w:before="120" w:after="120"/>
              <w:jc w:val="both"/>
              <w:rPr>
                <w:rFonts w:ascii="Times New Roman" w:hAnsi="Times New Roman"/>
                <w:sz w:val="24"/>
                <w:szCs w:val="24"/>
              </w:rPr>
            </w:pPr>
            <w:r>
              <w:rPr>
                <w:rFonts w:ascii="Times New Roman" w:hAnsi="Times New Roman"/>
                <w:sz w:val="24"/>
              </w:rPr>
              <w:t xml:space="preserve">According to the MICS from 2011, in Mali, 84% of children from 12 to 23 months have been immunized for BCG, 76% have received the three Penta3 doses, and 62% have received the three polio vaccine doses. Similarly, approximately 73% have been immunized for measles. </w:t>
            </w:r>
          </w:p>
          <w:p w14:paraId="771509AE" w14:textId="06545F2E" w:rsidR="00531818" w:rsidRPr="004B5884" w:rsidRDefault="008504D6" w:rsidP="00226DF1">
            <w:pPr>
              <w:widowControl w:val="0"/>
              <w:spacing w:before="120" w:after="120"/>
              <w:jc w:val="both"/>
              <w:rPr>
                <w:rFonts w:ascii="Times New Roman" w:hAnsi="Times New Roman"/>
                <w:sz w:val="24"/>
                <w:szCs w:val="24"/>
              </w:rPr>
            </w:pPr>
            <w:r>
              <w:rPr>
                <w:rFonts w:ascii="Times New Roman" w:hAnsi="Times New Roman"/>
                <w:sz w:val="24"/>
              </w:rPr>
              <w:t xml:space="preserve">The results of the HDS-Mali V, 2012-2013, show that vaccine coverage varies depending on the residential environment and the education level of mothers. </w:t>
            </w:r>
          </w:p>
          <w:p w14:paraId="7D2162AD" w14:textId="77777777" w:rsidR="00531818" w:rsidRPr="004B5884" w:rsidRDefault="00A46F29" w:rsidP="00226DF1">
            <w:pPr>
              <w:widowControl w:val="0"/>
              <w:spacing w:before="120" w:after="120"/>
              <w:jc w:val="both"/>
              <w:rPr>
                <w:rFonts w:ascii="Times New Roman" w:hAnsi="Times New Roman"/>
                <w:sz w:val="24"/>
                <w:szCs w:val="24"/>
              </w:rPr>
            </w:pPr>
            <w:r>
              <w:rPr>
                <w:rFonts w:ascii="Times New Roman" w:hAnsi="Times New Roman"/>
                <w:sz w:val="24"/>
              </w:rPr>
              <w:t>Thus, the best rates of fully immunized children in the various regions are i43% in Koulikoro, 42% in Sikasso and 46% in the district of Bamako. In contrast, the lowest coverage rates for fully immunized children is 38% in the regions of Kayes and Ségou, and 21% in Mopti. It is also in the Mopti region that we see the highest proportion of children 12-23 months that have not received any vaccines, i.e. 29%. It was also noted that the education level of mothers has a positive effect on the immunization of children. The complete vaccine coverage rate increases from 36% for children of uneducated mothers to 57% for children of mothers who have at least secondary education.</w:t>
            </w:r>
          </w:p>
          <w:p w14:paraId="04D37A77" w14:textId="77777777" w:rsidR="0082681A" w:rsidRPr="004B5884" w:rsidRDefault="0082681A" w:rsidP="00226DF1">
            <w:pPr>
              <w:widowControl w:val="0"/>
              <w:spacing w:before="120" w:after="120"/>
              <w:jc w:val="both"/>
              <w:rPr>
                <w:rFonts w:ascii="Times New Roman" w:hAnsi="Times New Roman"/>
                <w:sz w:val="24"/>
                <w:szCs w:val="24"/>
              </w:rPr>
            </w:pPr>
            <w:r>
              <w:rPr>
                <w:rFonts w:ascii="Times New Roman" w:hAnsi="Times New Roman"/>
                <w:sz w:val="24"/>
              </w:rPr>
              <w:t>With regard to the results of the vaccine coverage survey conducted between December 2009 and January 2010, the data recorded showed that:</w:t>
            </w:r>
          </w:p>
          <w:p w14:paraId="400DE532" w14:textId="77777777" w:rsidR="0082681A" w:rsidRPr="004B5884" w:rsidRDefault="0082681A" w:rsidP="00226DF1">
            <w:pPr>
              <w:numPr>
                <w:ilvl w:val="0"/>
                <w:numId w:val="10"/>
              </w:numPr>
              <w:spacing w:before="120" w:after="120"/>
              <w:jc w:val="both"/>
              <w:rPr>
                <w:rFonts w:ascii="Times New Roman" w:hAnsi="Times New Roman"/>
                <w:sz w:val="24"/>
                <w:szCs w:val="24"/>
              </w:rPr>
            </w:pPr>
            <w:r>
              <w:rPr>
                <w:rFonts w:ascii="Times New Roman" w:hAnsi="Times New Roman"/>
                <w:sz w:val="24"/>
              </w:rPr>
              <w:t>BCG vaccine coverage was 86%, ranging from 66% (Kidal) to 99% (Bamako);</w:t>
            </w:r>
          </w:p>
          <w:p w14:paraId="701E9151" w14:textId="77777777" w:rsidR="0082681A" w:rsidRPr="004B5884" w:rsidRDefault="0082681A" w:rsidP="00226DF1">
            <w:pPr>
              <w:numPr>
                <w:ilvl w:val="0"/>
                <w:numId w:val="10"/>
              </w:numPr>
              <w:spacing w:before="120" w:after="120"/>
              <w:jc w:val="both"/>
              <w:rPr>
                <w:rFonts w:ascii="Times New Roman" w:hAnsi="Times New Roman"/>
                <w:sz w:val="24"/>
                <w:szCs w:val="24"/>
              </w:rPr>
            </w:pPr>
            <w:r>
              <w:rPr>
                <w:rFonts w:ascii="Times New Roman" w:hAnsi="Times New Roman"/>
                <w:sz w:val="24"/>
              </w:rPr>
              <w:t>The proportion of children having received the Penta3 vaccine was 75%, ranging from 51% (Kidal) to 94% (Bamako);</w:t>
            </w:r>
          </w:p>
          <w:p w14:paraId="5FB9CEAE" w14:textId="77777777" w:rsidR="00534805" w:rsidRPr="004B5884" w:rsidRDefault="0082681A" w:rsidP="00226DF1">
            <w:pPr>
              <w:numPr>
                <w:ilvl w:val="0"/>
                <w:numId w:val="10"/>
              </w:numPr>
              <w:spacing w:before="120" w:after="120"/>
              <w:jc w:val="both"/>
              <w:rPr>
                <w:rFonts w:ascii="Times New Roman" w:hAnsi="Times New Roman"/>
                <w:sz w:val="24"/>
                <w:szCs w:val="24"/>
              </w:rPr>
            </w:pPr>
            <w:r>
              <w:rPr>
                <w:rFonts w:ascii="Times New Roman" w:hAnsi="Times New Roman"/>
                <w:sz w:val="24"/>
              </w:rPr>
              <w:t>Measles vaccine coverage was 71%, ranging from 50% (Kidal) to 86% (Bamako);</w:t>
            </w:r>
          </w:p>
          <w:p w14:paraId="30D0CA72" w14:textId="77777777" w:rsidR="00955088" w:rsidRDefault="00955088" w:rsidP="00226DF1">
            <w:pPr>
              <w:spacing w:before="120" w:after="120"/>
              <w:jc w:val="both"/>
              <w:rPr>
                <w:rFonts w:ascii="Times New Roman" w:hAnsi="Times New Roman"/>
                <w:sz w:val="24"/>
                <w:szCs w:val="24"/>
              </w:rPr>
            </w:pPr>
            <w:r>
              <w:rPr>
                <w:rFonts w:ascii="Times New Roman" w:hAnsi="Times New Roman"/>
                <w:sz w:val="24"/>
              </w:rPr>
              <w:t>According to the 2013 JRF, 13 districts out of 60 have vaccine coverage &lt; 80%.</w:t>
            </w:r>
          </w:p>
          <w:p w14:paraId="763AC598" w14:textId="3DB9E4E1" w:rsidR="00EB50D8" w:rsidRPr="004B5884" w:rsidRDefault="00901319" w:rsidP="00226DF1">
            <w:pPr>
              <w:spacing w:before="120" w:after="120"/>
              <w:jc w:val="both"/>
              <w:rPr>
                <w:rFonts w:ascii="Times New Roman" w:hAnsi="Times New Roman"/>
                <w:sz w:val="24"/>
                <w:szCs w:val="24"/>
              </w:rPr>
            </w:pPr>
            <w:r>
              <w:rPr>
                <w:rFonts w:ascii="Times New Roman" w:hAnsi="Times New Roman"/>
                <w:noProof/>
                <w:sz w:val="24"/>
                <w:szCs w:val="24"/>
                <w:lang w:bidi="ar-SA"/>
              </w:rPr>
              <w:drawing>
                <wp:inline distT="0" distB="0" distL="0" distR="0" wp14:anchorId="1F8E57DE" wp14:editId="32CDA81B">
                  <wp:extent cx="5366385" cy="9427210"/>
                  <wp:effectExtent l="1905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366385" cy="9427210"/>
                          </a:xfrm>
                          <a:prstGeom prst="rect">
                            <a:avLst/>
                          </a:prstGeom>
                          <a:noFill/>
                          <a:ln w="9525">
                            <a:noFill/>
                            <a:miter lim="800000"/>
                            <a:headEnd/>
                            <a:tailEnd/>
                          </a:ln>
                        </pic:spPr>
                      </pic:pic>
                    </a:graphicData>
                  </a:graphic>
                </wp:inline>
              </w:drawing>
            </w:r>
          </w:p>
        </w:tc>
      </w:tr>
    </w:tbl>
    <w:tbl>
      <w:tblPr>
        <w:tblpPr w:leftFromText="141" w:rightFromText="141" w:vertAnchor="text" w:horzAnchor="margin" w:tblpY="-38"/>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5D8ED9BF" w14:textId="77777777" w:rsidTr="005D447F">
        <w:tc>
          <w:tcPr>
            <w:tcW w:w="10348" w:type="dxa"/>
            <w:shd w:val="clear" w:color="auto" w:fill="006460"/>
          </w:tcPr>
          <w:p w14:paraId="79055B5C" w14:textId="77777777" w:rsidR="00867FFD" w:rsidRPr="004B5884" w:rsidRDefault="00867FFD" w:rsidP="00226DF1">
            <w:pPr>
              <w:pStyle w:val="Heading2"/>
              <w:widowControl w:val="0"/>
              <w:rPr>
                <w:rFonts w:ascii="Times New Roman" w:eastAsia="Calibri" w:hAnsi="Times New Roman"/>
                <w:sz w:val="24"/>
                <w:szCs w:val="24"/>
              </w:rPr>
            </w:pPr>
            <w:bookmarkStart w:id="39" w:name="_Toc398181088"/>
            <w:bookmarkStart w:id="40" w:name="_Toc276342217"/>
            <w:r>
              <w:rPr>
                <w:rFonts w:ascii="Times New Roman" w:hAnsi="Times New Roman"/>
                <w:sz w:val="24"/>
              </w:rPr>
              <w:t>6. Description of the National Health Sector</w:t>
            </w:r>
            <w:bookmarkEnd w:id="38"/>
            <w:bookmarkEnd w:id="39"/>
            <w:bookmarkEnd w:id="40"/>
          </w:p>
        </w:tc>
      </w:tr>
      <w:tr w:rsidR="00867FFD" w:rsidRPr="009316FF" w14:paraId="7C70CC98" w14:textId="77777777" w:rsidTr="005D447F">
        <w:tc>
          <w:tcPr>
            <w:tcW w:w="10348" w:type="dxa"/>
            <w:shd w:val="clear" w:color="auto" w:fill="FFFFFF"/>
          </w:tcPr>
          <w:p w14:paraId="4C4461DB" w14:textId="77777777" w:rsidR="00867FFD" w:rsidRPr="004B5884" w:rsidRDefault="00867FFD" w:rsidP="00226DF1">
            <w:pPr>
              <w:widowControl w:val="0"/>
              <w:spacing w:before="120" w:after="120"/>
              <w:jc w:val="both"/>
              <w:rPr>
                <w:rFonts w:ascii="Times New Roman" w:hAnsi="Times New Roman"/>
                <w:i/>
                <w:color w:val="173E49"/>
                <w:sz w:val="24"/>
                <w:szCs w:val="24"/>
              </w:rPr>
            </w:pPr>
            <w:r>
              <w:rPr>
                <w:rFonts w:ascii="Times New Roman" w:hAnsi="Times New Roman"/>
                <w:i/>
                <w:color w:val="173E49"/>
                <w:sz w:val="24"/>
              </w:rPr>
              <w:t xml:space="preserve">This section will provide GAVI with the country context which will serve as background information during the review of the HSS proposal. </w:t>
            </w:r>
          </w:p>
          <w:p w14:paraId="766AF6DB" w14:textId="77777777" w:rsidR="00867FFD" w:rsidRPr="004B5884" w:rsidRDefault="00867FFD" w:rsidP="00226DF1">
            <w:pPr>
              <w:widowControl w:val="0"/>
              <w:spacing w:before="120" w:after="120"/>
              <w:jc w:val="both"/>
              <w:rPr>
                <w:rFonts w:ascii="Times New Roman" w:hAnsi="Times New Roman"/>
                <w:i/>
                <w:color w:val="173E49"/>
                <w:sz w:val="24"/>
                <w:szCs w:val="24"/>
              </w:rPr>
            </w:pPr>
            <w:r>
              <w:rPr>
                <w:rFonts w:ascii="Times New Roman" w:hAnsi="Times New Roman"/>
                <w:i/>
                <w:color w:val="173E49"/>
                <w:sz w:val="24"/>
              </w:rPr>
              <w:t>→ Please provide a concise overview of the national health sector, covering both the public and private sectors, including CSOs, at national, sub-national and community levels, with reference to NHP or other key documents.</w:t>
            </w:r>
          </w:p>
          <w:p w14:paraId="008D29C5" w14:textId="77777777" w:rsidR="00867FFD" w:rsidRPr="004B5884" w:rsidRDefault="00867FFD" w:rsidP="00226DF1">
            <w:pPr>
              <w:widowControl w:val="0"/>
              <w:spacing w:before="120" w:after="120"/>
              <w:jc w:val="both"/>
              <w:rPr>
                <w:rFonts w:ascii="Times New Roman" w:hAnsi="Times New Roman"/>
                <w:i/>
                <w:color w:val="173E49"/>
                <w:sz w:val="24"/>
                <w:szCs w:val="24"/>
              </w:rPr>
            </w:pPr>
            <w:r>
              <w:rPr>
                <w:rFonts w:ascii="Times New Roman" w:hAnsi="Times New Roman"/>
                <w:i/>
                <w:color w:val="173E49"/>
                <w:sz w:val="24"/>
              </w:rPr>
              <w:t>→ Please include a copy of the National Health Strategy/Plan as Attachment 5. If the NHP is in draft format please provide details of the process and timeline for finalising it. If there is not an NHP, or if other documents are referenced in this section, please provide these other key relevant documents.</w:t>
            </w:r>
          </w:p>
          <w:p w14:paraId="428827EF" w14:textId="77777777"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i/>
                <w:color w:val="173E49"/>
                <w:sz w:val="24"/>
              </w:rPr>
              <w:t>It is recommended that applicants refer to GAVI’s health system strengthening grant categories detailed in the Supplementary Guidelines for HSS Applications (Table 1). Please refer to the list of health center aspects that appears in the Supplemental Guidelines. If certain ones are not included in your reference documents, please provide a brief commentary. In order to keep this section concise, please summarise the key elements in the context of the HSS support being asked for, and provide reference to the relevant section in the National Health Plan for further detail.</w:t>
            </w:r>
          </w:p>
        </w:tc>
      </w:tr>
      <w:tr w:rsidR="00867FFD" w:rsidRPr="009316FF" w14:paraId="5264371D" w14:textId="77777777" w:rsidTr="005D447F">
        <w:trPr>
          <w:trHeight w:val="278"/>
        </w:trPr>
        <w:tc>
          <w:tcPr>
            <w:tcW w:w="10348" w:type="dxa"/>
            <w:shd w:val="clear" w:color="auto" w:fill="FFFFFF"/>
          </w:tcPr>
          <w:p w14:paraId="0E65E78C" w14:textId="77777777" w:rsidR="0028697E" w:rsidRDefault="008A32BA" w:rsidP="00226DF1">
            <w:pPr>
              <w:spacing w:before="120" w:after="120"/>
              <w:jc w:val="both"/>
              <w:rPr>
                <w:rFonts w:ascii="Times New Roman" w:hAnsi="Times New Roman"/>
                <w:b/>
                <w:i/>
                <w:sz w:val="24"/>
                <w:szCs w:val="24"/>
              </w:rPr>
            </w:pPr>
            <w:r>
              <w:rPr>
                <w:rFonts w:ascii="Times New Roman" w:hAnsi="Times New Roman"/>
                <w:b/>
                <w:i/>
                <w:sz w:val="24"/>
              </w:rPr>
              <w:t>THREE PAGES MAXIMUM</w:t>
            </w:r>
          </w:p>
          <w:p w14:paraId="2F2DB12A" w14:textId="77777777" w:rsidR="007D2CC5" w:rsidRPr="00890FD1" w:rsidRDefault="007D2CC5" w:rsidP="00226DF1">
            <w:pPr>
              <w:spacing w:before="120" w:after="120"/>
              <w:jc w:val="both"/>
              <w:rPr>
                <w:rFonts w:ascii="Times New Roman" w:hAnsi="Times New Roman"/>
                <w:b/>
                <w:sz w:val="24"/>
                <w:szCs w:val="24"/>
              </w:rPr>
            </w:pPr>
          </w:p>
          <w:p w14:paraId="767090CA" w14:textId="14C8EC00" w:rsidR="0054690E" w:rsidRPr="004B5884" w:rsidRDefault="00C46F2F" w:rsidP="00226DF1">
            <w:pPr>
              <w:spacing w:before="120" w:after="120"/>
              <w:jc w:val="both"/>
              <w:rPr>
                <w:rFonts w:ascii="Times New Roman" w:hAnsi="Times New Roman"/>
                <w:sz w:val="24"/>
                <w:szCs w:val="24"/>
              </w:rPr>
            </w:pPr>
            <w:r>
              <w:rPr>
                <w:rFonts w:ascii="Times New Roman" w:hAnsi="Times New Roman"/>
                <w:sz w:val="24"/>
              </w:rPr>
              <w:t xml:space="preserve">According to Law 02-049/AN, RM of 22 July 2002, regarding the Health Orientation Law in Mali, the health system is organized with a pyramid structure, into central, regional </w:t>
            </w:r>
          </w:p>
          <w:p w14:paraId="576F98A8" w14:textId="77777777" w:rsidR="0043648B" w:rsidRPr="004B5884" w:rsidRDefault="0043648B" w:rsidP="00226DF1">
            <w:pPr>
              <w:numPr>
                <w:ilvl w:val="0"/>
                <w:numId w:val="9"/>
              </w:numPr>
              <w:spacing w:before="120" w:after="120"/>
              <w:jc w:val="both"/>
              <w:rPr>
                <w:rFonts w:ascii="Times New Roman" w:hAnsi="Times New Roman"/>
                <w:sz w:val="24"/>
                <w:szCs w:val="24"/>
              </w:rPr>
            </w:pPr>
            <w:r>
              <w:rPr>
                <w:rFonts w:ascii="Times New Roman" w:hAnsi="Times New Roman"/>
                <w:sz w:val="24"/>
              </w:rPr>
              <w:t>The central level:</w:t>
            </w:r>
          </w:p>
          <w:p w14:paraId="6F4047DC" w14:textId="77777777" w:rsidR="00126437" w:rsidRPr="004B5884" w:rsidRDefault="0043648B" w:rsidP="00226DF1">
            <w:pPr>
              <w:spacing w:before="120" w:after="120"/>
              <w:jc w:val="both"/>
              <w:rPr>
                <w:rFonts w:ascii="Times New Roman" w:hAnsi="Times New Roman"/>
                <w:sz w:val="24"/>
                <w:szCs w:val="24"/>
              </w:rPr>
            </w:pPr>
            <w:r>
              <w:rPr>
                <w:rFonts w:ascii="Times New Roman" w:hAnsi="Times New Roman"/>
                <w:sz w:val="24"/>
              </w:rPr>
              <w:t>It is comprised of central services placed under the authority and oversight of the minister responsible for health.</w:t>
            </w:r>
          </w:p>
          <w:p w14:paraId="1011B32B" w14:textId="77777777" w:rsidR="00943853" w:rsidRPr="004B5884" w:rsidRDefault="00126437" w:rsidP="00226DF1">
            <w:pPr>
              <w:spacing w:before="120" w:after="120"/>
              <w:jc w:val="both"/>
              <w:rPr>
                <w:rFonts w:ascii="Times New Roman" w:hAnsi="Times New Roman"/>
                <w:sz w:val="24"/>
                <w:szCs w:val="24"/>
              </w:rPr>
            </w:pPr>
            <w:r>
              <w:rPr>
                <w:rFonts w:ascii="Times New Roman" w:hAnsi="Times New Roman"/>
                <w:sz w:val="24"/>
              </w:rPr>
              <w:t>One may note, with regard to planning, organization, promotion of human resources and auditing entities at the central level, that there are public and semi-public departments, private participants and institutional partners. The public departments at the central level are comprised of central government departments. The central administration is responsible for preparing elements of national policy with regard to health and for implementing it, providing technical control and coordination of the regional and subregional departments, related departments, custom entities placed under the oversight of the Ministry responsible for health and it provides strategic support to all health services.</w:t>
            </w:r>
          </w:p>
          <w:p w14:paraId="12132FD9" w14:textId="77777777" w:rsidR="00024266" w:rsidRPr="004B5884" w:rsidRDefault="00022E6F" w:rsidP="00226DF1">
            <w:pPr>
              <w:numPr>
                <w:ilvl w:val="0"/>
                <w:numId w:val="9"/>
              </w:numPr>
              <w:spacing w:before="120" w:after="120"/>
              <w:jc w:val="both"/>
              <w:rPr>
                <w:rFonts w:ascii="Times New Roman" w:hAnsi="Times New Roman"/>
                <w:sz w:val="24"/>
                <w:szCs w:val="24"/>
              </w:rPr>
            </w:pPr>
            <w:r>
              <w:rPr>
                <w:rFonts w:ascii="Times New Roman" w:hAnsi="Times New Roman"/>
                <w:sz w:val="24"/>
              </w:rPr>
              <w:t xml:space="preserve">The regional level: </w:t>
            </w:r>
          </w:p>
          <w:p w14:paraId="051F464B" w14:textId="77777777" w:rsidR="000B1A3D" w:rsidRPr="004B5884" w:rsidRDefault="00024266" w:rsidP="00226DF1">
            <w:pPr>
              <w:spacing w:before="120" w:after="120"/>
              <w:ind w:left="360"/>
              <w:jc w:val="both"/>
              <w:rPr>
                <w:rFonts w:ascii="Times New Roman" w:hAnsi="Times New Roman"/>
                <w:sz w:val="24"/>
                <w:szCs w:val="24"/>
              </w:rPr>
            </w:pPr>
            <w:r>
              <w:rPr>
                <w:rFonts w:ascii="Times New Roman" w:hAnsi="Times New Roman"/>
                <w:sz w:val="24"/>
              </w:rPr>
              <w:t>Comprised of 9 health regions, the regional health directorates are responsible for supporting and auditing the health districts.  Under the administrative authority of the regional Governor and the technical authority of the National Directorate that they represent, they assume the following duties:</w:t>
            </w:r>
          </w:p>
          <w:p w14:paraId="1BD8500A" w14:textId="77777777" w:rsidR="000B1A3D" w:rsidRPr="004B5884" w:rsidRDefault="000B1A3D" w:rsidP="00226DF1">
            <w:pPr>
              <w:numPr>
                <w:ilvl w:val="0"/>
                <w:numId w:val="8"/>
              </w:numPr>
              <w:spacing w:before="120" w:after="120"/>
              <w:ind w:left="1080"/>
              <w:jc w:val="both"/>
              <w:rPr>
                <w:rFonts w:ascii="Times New Roman" w:hAnsi="Times New Roman"/>
                <w:sz w:val="24"/>
                <w:szCs w:val="24"/>
              </w:rPr>
            </w:pPr>
            <w:r>
              <w:rPr>
                <w:rFonts w:ascii="Times New Roman" w:hAnsi="Times New Roman"/>
                <w:sz w:val="24"/>
              </w:rPr>
              <w:t>preparation, in the context of national programs and plans, of the regional multi-year and annual objectives to be attained with regard to the improvement of health protection for the population, hygiene and cleanup of the environment;</w:t>
            </w:r>
          </w:p>
          <w:p w14:paraId="54834A3A" w14:textId="77777777" w:rsidR="000B1A3D" w:rsidRPr="004B5884" w:rsidRDefault="000B1A3D" w:rsidP="00226DF1">
            <w:pPr>
              <w:numPr>
                <w:ilvl w:val="0"/>
                <w:numId w:val="8"/>
              </w:numPr>
              <w:spacing w:before="120" w:after="120"/>
              <w:ind w:left="1080"/>
              <w:jc w:val="both"/>
              <w:rPr>
                <w:rFonts w:ascii="Times New Roman" w:hAnsi="Times New Roman"/>
                <w:sz w:val="24"/>
                <w:szCs w:val="24"/>
              </w:rPr>
            </w:pPr>
            <w:r>
              <w:rPr>
                <w:rFonts w:ascii="Times New Roman" w:hAnsi="Times New Roman"/>
                <w:sz w:val="24"/>
              </w:rPr>
              <w:t>determination of the procedures for attaining objectives and periodic evaluation of the results obtained;</w:t>
            </w:r>
          </w:p>
          <w:p w14:paraId="4BC36E8F" w14:textId="77777777" w:rsidR="000B1A3D" w:rsidRPr="004B5884" w:rsidRDefault="000B1A3D" w:rsidP="00226DF1">
            <w:pPr>
              <w:numPr>
                <w:ilvl w:val="0"/>
                <w:numId w:val="8"/>
              </w:numPr>
              <w:spacing w:before="120" w:after="120"/>
              <w:ind w:left="1080"/>
              <w:jc w:val="both"/>
              <w:rPr>
                <w:rFonts w:ascii="Times New Roman" w:hAnsi="Times New Roman"/>
                <w:sz w:val="24"/>
                <w:szCs w:val="24"/>
              </w:rPr>
            </w:pPr>
            <w:r>
              <w:rPr>
                <w:rFonts w:ascii="Times New Roman" w:hAnsi="Times New Roman"/>
                <w:sz w:val="24"/>
              </w:rPr>
              <w:t>examination of documentation relative to the opening, extension or closure of health care and pharmaceutical facilities;</w:t>
            </w:r>
          </w:p>
          <w:p w14:paraId="23753579" w14:textId="77777777" w:rsidR="00B146FC" w:rsidRPr="004B5884" w:rsidRDefault="000B1A3D" w:rsidP="00226DF1">
            <w:pPr>
              <w:numPr>
                <w:ilvl w:val="0"/>
                <w:numId w:val="8"/>
              </w:numPr>
              <w:spacing w:before="120" w:after="120"/>
              <w:ind w:left="1080"/>
              <w:jc w:val="both"/>
              <w:rPr>
                <w:rFonts w:ascii="Times New Roman" w:hAnsi="Times New Roman"/>
                <w:sz w:val="24"/>
                <w:szCs w:val="24"/>
              </w:rPr>
            </w:pPr>
            <w:r>
              <w:rPr>
                <w:rFonts w:ascii="Times New Roman" w:hAnsi="Times New Roman"/>
                <w:sz w:val="24"/>
              </w:rPr>
              <w:t xml:space="preserve">collection and centralization of data for the generation of health statistics. </w:t>
            </w:r>
          </w:p>
          <w:p w14:paraId="62912E68" w14:textId="77777777" w:rsidR="00CA26DE" w:rsidRPr="004B5884" w:rsidRDefault="00CA26DE" w:rsidP="00226DF1">
            <w:pPr>
              <w:spacing w:before="120" w:after="120"/>
              <w:ind w:left="1080"/>
              <w:jc w:val="both"/>
              <w:rPr>
                <w:rFonts w:ascii="Times New Roman" w:hAnsi="Times New Roman"/>
                <w:sz w:val="24"/>
                <w:szCs w:val="24"/>
              </w:rPr>
            </w:pPr>
          </w:p>
          <w:p w14:paraId="76AE489C" w14:textId="77777777" w:rsidR="00024266" w:rsidRPr="004B5884" w:rsidRDefault="00024266" w:rsidP="00226DF1">
            <w:pPr>
              <w:numPr>
                <w:ilvl w:val="0"/>
                <w:numId w:val="9"/>
              </w:numPr>
              <w:spacing w:before="120" w:after="120"/>
              <w:jc w:val="both"/>
              <w:rPr>
                <w:rFonts w:ascii="Times New Roman" w:hAnsi="Times New Roman"/>
                <w:sz w:val="24"/>
                <w:szCs w:val="24"/>
              </w:rPr>
            </w:pPr>
            <w:r>
              <w:rPr>
                <w:rFonts w:ascii="Times New Roman" w:hAnsi="Times New Roman"/>
                <w:sz w:val="24"/>
              </w:rPr>
              <w:t>The subregional or operational level:</w:t>
            </w:r>
          </w:p>
          <w:p w14:paraId="17247A0B" w14:textId="4CB2B136" w:rsidR="00230E8B" w:rsidRPr="004B5884" w:rsidRDefault="00024266" w:rsidP="00226DF1">
            <w:pPr>
              <w:spacing w:before="120" w:after="120"/>
              <w:jc w:val="both"/>
              <w:rPr>
                <w:rFonts w:ascii="Times New Roman" w:hAnsi="Times New Roman"/>
                <w:sz w:val="24"/>
                <w:szCs w:val="24"/>
              </w:rPr>
            </w:pPr>
            <w:r>
              <w:rPr>
                <w:rFonts w:ascii="Times New Roman" w:hAnsi="Times New Roman"/>
                <w:sz w:val="24"/>
              </w:rPr>
              <w:t>It is comprised of 63 health district, the district supervisory team is directed by a chief district physician, who is under the administrative authority of the circle Prefect and the technical authority of the regional health directorate that he represents. This team provides:</w:t>
            </w:r>
          </w:p>
          <w:p w14:paraId="6D6AA4BA" w14:textId="77777777" w:rsidR="00636D9A" w:rsidRPr="004B5884" w:rsidRDefault="00B146FC" w:rsidP="00226DF1">
            <w:pPr>
              <w:numPr>
                <w:ilvl w:val="0"/>
                <w:numId w:val="8"/>
              </w:numPr>
              <w:spacing w:before="120" w:after="120"/>
              <w:jc w:val="both"/>
              <w:rPr>
                <w:rFonts w:ascii="Times New Roman" w:hAnsi="Times New Roman"/>
                <w:sz w:val="24"/>
                <w:szCs w:val="24"/>
              </w:rPr>
            </w:pPr>
            <w:r>
              <w:rPr>
                <w:rFonts w:ascii="Times New Roman" w:hAnsi="Times New Roman"/>
                <w:sz w:val="24"/>
              </w:rPr>
              <w:t>preparation of the multi-year and annual objectives of the health district in the context of the regional plans and programs for improving health protection of the people, hygiene and cleanup of the environment;</w:t>
            </w:r>
          </w:p>
          <w:p w14:paraId="2F3E5E45" w14:textId="77777777" w:rsidR="00636D9A" w:rsidRPr="004B5884" w:rsidRDefault="00B146FC" w:rsidP="00226DF1">
            <w:pPr>
              <w:numPr>
                <w:ilvl w:val="0"/>
                <w:numId w:val="8"/>
              </w:numPr>
              <w:spacing w:before="120" w:after="120"/>
              <w:jc w:val="both"/>
              <w:rPr>
                <w:rFonts w:ascii="Times New Roman" w:hAnsi="Times New Roman"/>
                <w:sz w:val="24"/>
                <w:szCs w:val="24"/>
              </w:rPr>
            </w:pPr>
            <w:r>
              <w:rPr>
                <w:rFonts w:ascii="Times New Roman" w:hAnsi="Times New Roman"/>
                <w:sz w:val="24"/>
              </w:rPr>
              <w:t>the implementation of plans and programs of action;</w:t>
            </w:r>
          </w:p>
          <w:p w14:paraId="06B349B9" w14:textId="189B2A78" w:rsidR="00636D9A" w:rsidRPr="004B5884" w:rsidRDefault="00B146FC" w:rsidP="00226DF1">
            <w:pPr>
              <w:numPr>
                <w:ilvl w:val="0"/>
                <w:numId w:val="8"/>
              </w:numPr>
              <w:spacing w:before="120" w:after="120"/>
              <w:jc w:val="both"/>
              <w:rPr>
                <w:rFonts w:ascii="Times New Roman" w:hAnsi="Times New Roman"/>
                <w:sz w:val="24"/>
                <w:szCs w:val="24"/>
              </w:rPr>
            </w:pPr>
            <w:r>
              <w:rPr>
                <w:rFonts w:ascii="Times New Roman" w:hAnsi="Times New Roman"/>
                <w:sz w:val="24"/>
              </w:rPr>
              <w:t>auditing of related departments, private health facilities and pharmaceutical product depots;</w:t>
            </w:r>
          </w:p>
          <w:p w14:paraId="271FEAB7" w14:textId="77777777" w:rsidR="00636D9A" w:rsidRPr="004B5884" w:rsidRDefault="00B146FC" w:rsidP="00226DF1">
            <w:pPr>
              <w:numPr>
                <w:ilvl w:val="0"/>
                <w:numId w:val="8"/>
              </w:numPr>
              <w:spacing w:before="120" w:after="120"/>
              <w:jc w:val="both"/>
              <w:rPr>
                <w:rFonts w:ascii="Times New Roman" w:hAnsi="Times New Roman"/>
                <w:sz w:val="24"/>
                <w:szCs w:val="24"/>
              </w:rPr>
            </w:pPr>
            <w:r>
              <w:rPr>
                <w:rFonts w:ascii="Times New Roman" w:hAnsi="Times New Roman"/>
                <w:sz w:val="24"/>
              </w:rPr>
              <w:t xml:space="preserve">auditing of the application of hygiene and sewerage standards in the health district; </w:t>
            </w:r>
          </w:p>
          <w:p w14:paraId="0E7C4447" w14:textId="77777777" w:rsidR="00E02F97" w:rsidRPr="004B5884" w:rsidRDefault="00B146FC" w:rsidP="00226DF1">
            <w:pPr>
              <w:numPr>
                <w:ilvl w:val="0"/>
                <w:numId w:val="8"/>
              </w:numPr>
              <w:spacing w:before="120" w:after="120"/>
              <w:jc w:val="both"/>
              <w:rPr>
                <w:rFonts w:ascii="Times New Roman" w:hAnsi="Times New Roman"/>
                <w:sz w:val="24"/>
                <w:szCs w:val="24"/>
              </w:rPr>
            </w:pPr>
            <w:r>
              <w:rPr>
                <w:rFonts w:ascii="Times New Roman" w:hAnsi="Times New Roman"/>
                <w:sz w:val="24"/>
              </w:rPr>
              <w:t>the collection, analysis, interpretation and transmission of health data.</w:t>
            </w:r>
          </w:p>
          <w:p w14:paraId="50540A72" w14:textId="6AF60211" w:rsidR="00C52D2B" w:rsidRPr="004B5884" w:rsidRDefault="00C52D2B" w:rsidP="00226DF1">
            <w:pPr>
              <w:spacing w:before="120" w:after="120"/>
              <w:jc w:val="both"/>
              <w:rPr>
                <w:rFonts w:ascii="Times New Roman" w:hAnsi="Times New Roman"/>
                <w:sz w:val="24"/>
                <w:szCs w:val="24"/>
              </w:rPr>
            </w:pPr>
            <w:r>
              <w:rPr>
                <w:rFonts w:ascii="Times New Roman" w:hAnsi="Times New Roman"/>
                <w:sz w:val="24"/>
              </w:rPr>
              <w:t>In addition, local municipalities participate in the administration of health care under the terms and conditions defined by the territorial municipalities code. Thus, the Communal Council, the Circle Council and the Regional Council vote on the policy for the creation and management of dispensaries, maternity clinics and community health centers, and regional hospitals; they also decide on public hygiene, sewerage and solidarity measures directed at at-risk populations.</w:t>
            </w:r>
          </w:p>
          <w:p w14:paraId="43218929" w14:textId="77777777" w:rsidR="008253D5" w:rsidRPr="004B5884" w:rsidRDefault="00C52D2B" w:rsidP="00226DF1">
            <w:pPr>
              <w:spacing w:before="120" w:after="120"/>
              <w:jc w:val="both"/>
              <w:rPr>
                <w:rFonts w:ascii="Times New Roman" w:hAnsi="Times New Roman"/>
                <w:sz w:val="24"/>
                <w:szCs w:val="24"/>
              </w:rPr>
            </w:pPr>
            <w:r>
              <w:rPr>
                <w:rFonts w:ascii="Times New Roman" w:hAnsi="Times New Roman"/>
                <w:sz w:val="24"/>
              </w:rPr>
              <w:t>With regard to health care facilities:</w:t>
            </w:r>
          </w:p>
          <w:p w14:paraId="7897CA40" w14:textId="68E674F9" w:rsidR="008253D5" w:rsidRPr="004B5884" w:rsidRDefault="00C52D2B" w:rsidP="00226DF1">
            <w:pPr>
              <w:pStyle w:val="ListParagraph"/>
              <w:numPr>
                <w:ilvl w:val="0"/>
                <w:numId w:val="15"/>
              </w:numPr>
              <w:jc w:val="both"/>
            </w:pPr>
            <w:r>
              <w:rPr>
                <w:rFonts w:ascii="Times New Roman" w:hAnsi="Times New Roman"/>
                <w:sz w:val="24"/>
              </w:rPr>
              <w:t>They are comprised of 1170 CSComs (Annual statistics report, 2013) which constitute the level of first contact. The CSCom is a health center that offers preventive as well as curative health care, and that conducts promotional activities. The CSCom is comprised of a dispensary, a maternity clinic and a pharmaceutical depot.  It is created at the initiative and with the participation of the communities. For its management, the population of the villages or surrounding neighborhoods are organized into a Community Health Association (ASACO). The operation of the CSCom is guaranteed based on a self-financing system. The ASACOs are organized under a local federation (FELASCOM) at the health district level, a regional federation (FERASCOM) for the regional level and a national federation (FENASCOM) at the national level.  These various federations are one of the pillars of civil society for supporting the implementation of national health policy.</w:t>
            </w:r>
          </w:p>
          <w:p w14:paraId="7236E9B7" w14:textId="7BF8EC27" w:rsidR="006652F9" w:rsidRPr="004B5884" w:rsidRDefault="008253D5" w:rsidP="00226DF1">
            <w:pPr>
              <w:numPr>
                <w:ilvl w:val="0"/>
                <w:numId w:val="15"/>
              </w:numPr>
              <w:spacing w:before="120" w:after="120"/>
              <w:jc w:val="both"/>
              <w:rPr>
                <w:rFonts w:ascii="Times New Roman" w:hAnsi="Times New Roman"/>
                <w:sz w:val="24"/>
                <w:szCs w:val="24"/>
              </w:rPr>
            </w:pPr>
            <w:r>
              <w:rPr>
                <w:rFonts w:ascii="Times New Roman" w:hAnsi="Times New Roman"/>
                <w:sz w:val="24"/>
              </w:rPr>
              <w:t>The Reference Health Center (CSRef) is the reference level for the district, and they are proportional in number to the health districts (63 CSRef). It is equipped with a technical complement to treat certain emergencies, in particular obstetric emergencies. Two CSRefs are planned to be opened and are already under construction (Séféto and Sagabari).</w:t>
            </w:r>
          </w:p>
          <w:p w14:paraId="3FB1040C" w14:textId="77777777" w:rsidR="00254B74" w:rsidRPr="004B5884" w:rsidRDefault="006652F9" w:rsidP="00226DF1">
            <w:pPr>
              <w:numPr>
                <w:ilvl w:val="0"/>
                <w:numId w:val="15"/>
              </w:numPr>
              <w:spacing w:before="120" w:after="120"/>
              <w:jc w:val="both"/>
              <w:rPr>
                <w:rFonts w:ascii="Times New Roman" w:hAnsi="Times New Roman"/>
                <w:sz w:val="24"/>
                <w:szCs w:val="24"/>
              </w:rPr>
            </w:pPr>
            <w:r>
              <w:rPr>
                <w:rFonts w:ascii="Times New Roman" w:hAnsi="Times New Roman"/>
                <w:sz w:val="24"/>
              </w:rPr>
              <w:t>The second-level reference hospitals of the pyramid (7 hospitals) receive referrals from the district level. They are equipped with technical equipment and certain specialties and they are in certain administrative regions of the country.</w:t>
            </w:r>
          </w:p>
          <w:p w14:paraId="04F50FDD" w14:textId="77777777" w:rsidR="00A62446" w:rsidRPr="004B5884" w:rsidRDefault="00254B74" w:rsidP="00226DF1">
            <w:pPr>
              <w:numPr>
                <w:ilvl w:val="0"/>
                <w:numId w:val="15"/>
              </w:numPr>
              <w:spacing w:before="120" w:after="120"/>
              <w:jc w:val="both"/>
              <w:rPr>
                <w:rFonts w:ascii="Times New Roman" w:hAnsi="Times New Roman"/>
                <w:sz w:val="24"/>
                <w:szCs w:val="24"/>
              </w:rPr>
            </w:pPr>
            <w:r>
              <w:rPr>
                <w:rFonts w:ascii="Times New Roman" w:hAnsi="Times New Roman"/>
                <w:sz w:val="24"/>
              </w:rPr>
              <w:t xml:space="preserve">The hospitals located in Bamako, of which there are six (6), including three (3) with a specific specialty (Ophthalmology, Traumatology and Odontostomatology), form the third reference level of the country. </w:t>
            </w:r>
          </w:p>
          <w:p w14:paraId="486E3A0C" w14:textId="77777777" w:rsidR="00A62446" w:rsidRPr="004B5884" w:rsidRDefault="00A62446" w:rsidP="00226DF1">
            <w:pPr>
              <w:spacing w:before="120" w:after="120"/>
              <w:jc w:val="both"/>
              <w:rPr>
                <w:rFonts w:ascii="Times New Roman" w:hAnsi="Times New Roman"/>
                <w:sz w:val="24"/>
                <w:szCs w:val="24"/>
              </w:rPr>
            </w:pPr>
            <w:r>
              <w:rPr>
                <w:rFonts w:ascii="Times New Roman" w:hAnsi="Times New Roman"/>
                <w:sz w:val="24"/>
              </w:rPr>
              <w:t xml:space="preserve">Law 02-050 dated 22 July 2002 regarding the hospital act gave hospitals the status of Public Hospital Institutions (EPH) and gave them autonomy with regard to their management. The law codified a significant stage in the process promoted by the support mission for hospital reform (Decree 99-105/PM-RM dated 19 May 1999). It thus created prospects for functioning management. Each hospital had prepared an institutional plan. These plans defined a vision for the development of the hospital in the medium term and set forth in the OP the activities and resources necessary to attain that vision. </w:t>
            </w:r>
          </w:p>
          <w:p w14:paraId="47B5B101" w14:textId="77777777" w:rsidR="00A62446" w:rsidRPr="004B5884" w:rsidRDefault="00A62446" w:rsidP="00226DF1">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A dynamic of monitoring was thus created with the promotion of the concept of a performance-based contract. This, based on well-defined principles and indicators also covering management, quality of services, patient safety and hospital hygiene, opened the door to financial incentives from the STate based on the results achieved. The National Hospital Assessment Agency (NHAA) plays an independent monitoring and assessment role for hospitals.  </w:t>
            </w:r>
          </w:p>
          <w:p w14:paraId="20545A9E" w14:textId="77777777" w:rsidR="00472D00" w:rsidRPr="004B5884" w:rsidRDefault="007D7789" w:rsidP="00226DF1">
            <w:pPr>
              <w:spacing w:before="120" w:after="120"/>
              <w:jc w:val="both"/>
              <w:rPr>
                <w:rFonts w:ascii="Times New Roman" w:hAnsi="Times New Roman"/>
                <w:sz w:val="24"/>
                <w:szCs w:val="24"/>
              </w:rPr>
            </w:pPr>
            <w:r>
              <w:rPr>
                <w:rFonts w:ascii="Times New Roman" w:hAnsi="Times New Roman"/>
                <w:sz w:val="24"/>
              </w:rPr>
              <w:t>Onto this health system structure, the "essential community care (SEC)" approach was grafted, with the support of community health agents. These agents support health care interventions among the community, in particular the treatment of certain children's afflictions (diarrhea, malaria, IRA, etc.), finding dropouts, communication and mobilization for immunization. This approach started in 2011 and to date there are 2,266 Community Health Agents (ASC) in the 5 regions selected for the pilot phase.</w:t>
            </w:r>
          </w:p>
          <w:p w14:paraId="5F251E69" w14:textId="77777777" w:rsidR="00802C9F" w:rsidRPr="004B5884" w:rsidRDefault="00802C9F" w:rsidP="00226DF1">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Holding an important place in the health system, the availability of essential medications at health facilities and at prices that are accessible for the population was the driver of pharmaceutical reform since the adoption by Mali of the Bamako Initiative and the Sectoral Health Policy in 1990. The conversion of the PPM into EPIC (1993), the State / Pharmacie Populaire du Mali (PPM) contract plan, the deregulation of the import of medications as well as the creation of the Economic Interest Group Santé pour Tous were the milestone stages that preceded the adoption of the National Pharmaceutical Policy (PPN) in 1999. </w:t>
            </w:r>
          </w:p>
          <w:p w14:paraId="2E0C9922" w14:textId="44DED951" w:rsidR="00A22EB5" w:rsidRDefault="00802C9F" w:rsidP="00226DF1">
            <w:pPr>
              <w:spacing w:before="120" w:after="120"/>
              <w:jc w:val="both"/>
              <w:rPr>
                <w:rFonts w:ascii="Times New Roman" w:hAnsi="Times New Roman"/>
                <w:sz w:val="24"/>
                <w:szCs w:val="24"/>
              </w:rPr>
            </w:pPr>
            <w:r>
              <w:rPr>
                <w:rFonts w:ascii="Times New Roman" w:hAnsi="Times New Roman"/>
                <w:sz w:val="24"/>
              </w:rPr>
              <w:t xml:space="preserve">The PPN defines the national strategy and provides the framework for coordination of activities of the public, community and private sectors. The primary instruments of the National Pharmaceutical Policy are: (i) The Essential Medications Supply and Distribution Plan (SDADME); (ii) the State/PPM Contract plan, which defines the obligations of both parties for the supply and distribution of essential medications; (iii) the National List of Essential Medications (LNME) and the national therapeutic formulary (iv) the national Therapeutic Guide that must be regularly updated with the adoption of new national therapeutic protocols (Malaria, HIV/AIDS, etc.). The institutions and facilities charged with implementation are: </w:t>
            </w:r>
          </w:p>
          <w:p w14:paraId="345B71E9" w14:textId="2CB70096" w:rsidR="00A22EB5" w:rsidRDefault="00802C9F" w:rsidP="00226DF1">
            <w:pPr>
              <w:pStyle w:val="ListParagraph"/>
              <w:numPr>
                <w:ilvl w:val="0"/>
                <w:numId w:val="15"/>
              </w:numPr>
              <w:spacing w:before="120" w:after="120"/>
              <w:jc w:val="both"/>
              <w:rPr>
                <w:rFonts w:ascii="Times New Roman" w:hAnsi="Times New Roman"/>
                <w:sz w:val="24"/>
                <w:szCs w:val="24"/>
              </w:rPr>
            </w:pPr>
            <w:r>
              <w:rPr>
                <w:rFonts w:ascii="Times New Roman" w:hAnsi="Times New Roman"/>
                <w:sz w:val="24"/>
              </w:rPr>
              <w:t>(i) the Medication and Pharmacy Department (DPM), which controls the approv</w:t>
            </w:r>
            <w:r w:rsidR="007D38B4">
              <w:rPr>
                <w:rFonts w:ascii="Times New Roman" w:hAnsi="Times New Roman"/>
                <w:sz w:val="24"/>
              </w:rPr>
              <w:t>al, pharmaco-oversight, advertis</w:t>
            </w:r>
            <w:r>
              <w:rPr>
                <w:rFonts w:ascii="Times New Roman" w:hAnsi="Times New Roman"/>
                <w:sz w:val="24"/>
              </w:rPr>
              <w:t xml:space="preserve">ing, promotion of medications and clinical trials; </w:t>
            </w:r>
          </w:p>
          <w:p w14:paraId="332DD934" w14:textId="77777777" w:rsidR="00A22EB5" w:rsidRDefault="00802C9F" w:rsidP="00226DF1">
            <w:pPr>
              <w:pStyle w:val="ListParagraph"/>
              <w:numPr>
                <w:ilvl w:val="0"/>
                <w:numId w:val="15"/>
              </w:numPr>
              <w:spacing w:before="120" w:after="120"/>
              <w:jc w:val="both"/>
              <w:rPr>
                <w:rFonts w:ascii="Times New Roman" w:hAnsi="Times New Roman"/>
                <w:sz w:val="24"/>
                <w:szCs w:val="24"/>
              </w:rPr>
            </w:pPr>
            <w:r>
              <w:rPr>
                <w:rFonts w:ascii="Times New Roman" w:hAnsi="Times New Roman"/>
                <w:sz w:val="24"/>
              </w:rPr>
              <w:t xml:space="preserve">(ii) the National Health Laboratory (LNS), which provides quality control for imported medications; and </w:t>
            </w:r>
          </w:p>
          <w:p w14:paraId="00F26667" w14:textId="58376B44" w:rsidR="00A22EB5" w:rsidRDefault="00802C9F" w:rsidP="00226DF1">
            <w:pPr>
              <w:pStyle w:val="ListParagraph"/>
              <w:numPr>
                <w:ilvl w:val="0"/>
                <w:numId w:val="15"/>
              </w:numPr>
              <w:spacing w:before="120" w:after="120"/>
              <w:jc w:val="both"/>
              <w:rPr>
                <w:rFonts w:ascii="Times New Roman" w:hAnsi="Times New Roman"/>
                <w:sz w:val="24"/>
                <w:szCs w:val="24"/>
              </w:rPr>
            </w:pPr>
            <w:r>
              <w:rPr>
                <w:rFonts w:ascii="Times New Roman" w:hAnsi="Times New Roman"/>
                <w:sz w:val="24"/>
              </w:rPr>
              <w:t xml:space="preserve">(iii) The Inspectorate of Health (IS), which controls the application of laws and regulations relative to the exercise of health professions, including pharmaceutical professions, in the public, community and private sectors. </w:t>
            </w:r>
          </w:p>
          <w:p w14:paraId="6E4F2DF8" w14:textId="0EDAE3D2" w:rsidR="00802C9F" w:rsidRPr="00A22EB5" w:rsidRDefault="0028697E" w:rsidP="00226DF1">
            <w:pPr>
              <w:spacing w:before="120" w:after="120"/>
              <w:jc w:val="both"/>
              <w:rPr>
                <w:rFonts w:ascii="Times New Roman" w:hAnsi="Times New Roman"/>
                <w:sz w:val="24"/>
                <w:szCs w:val="24"/>
              </w:rPr>
            </w:pPr>
            <w:r>
              <w:rPr>
                <w:rFonts w:ascii="Times New Roman" w:hAnsi="Times New Roman"/>
                <w:sz w:val="24"/>
              </w:rPr>
              <w:t xml:space="preserve">With reference to Law 85-41/AN-RM dated 22 June 1985, regarding the authorization of the private practice of health </w:t>
            </w:r>
            <w:r w:rsidR="007D38B4">
              <w:rPr>
                <w:rFonts w:ascii="Times New Roman" w:hAnsi="Times New Roman"/>
                <w:sz w:val="24"/>
              </w:rPr>
              <w:t>professions</w:t>
            </w:r>
            <w:r>
              <w:rPr>
                <w:rFonts w:ascii="Times New Roman" w:hAnsi="Times New Roman"/>
                <w:sz w:val="24"/>
              </w:rPr>
              <w:t xml:space="preserve"> and Decree No. 91-4319/MSPAS-PF-cab dated 3 October 1991 establishing the procedures for the organization of the private practice of the medical and paramedical professions, the Republic of Mali has determined the conditions for the exercise of medical professions, midwifery and paramedical professions. Thus, since that date, we have seen the creation of many private health care institutions (384 to date). In addition to the public sector, there are 46 health care clinic, 191 medical offices, 102 clinics, 6 private hospitals, 500 pharmacy dispensaries, 20 traditional practitioner clinics, 21 military infirmaries and 39 semipublic facilities (Religious, INPS, Military) (WHO Assessment, 2012).</w:t>
            </w:r>
          </w:p>
          <w:p w14:paraId="6EA377E8" w14:textId="27DCF77F" w:rsidR="00802C9F" w:rsidRPr="004B5884" w:rsidRDefault="00802C9F" w:rsidP="00226DF1">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All these participants could contribute in a significant way to the coverage and use of care of the Minimum Package of Activities (MPA), but they contribute only slightly to public health objectives, since in spite of their proximity to </w:t>
            </w:r>
            <w:r w:rsidR="007D38B4">
              <w:rPr>
                <w:rFonts w:ascii="Times New Roman" w:hAnsi="Times New Roman"/>
                <w:color w:val="000000"/>
                <w:sz w:val="24"/>
              </w:rPr>
              <w:t>public</w:t>
            </w:r>
            <w:r>
              <w:rPr>
                <w:rFonts w:ascii="Times New Roman" w:hAnsi="Times New Roman"/>
                <w:color w:val="000000"/>
                <w:sz w:val="24"/>
              </w:rPr>
              <w:t xml:space="preserve"> facilities, their practices are not sufficient regulated and their contribution is not sufficiently integrated into data collection within the Local Health Information System (SLIS). </w:t>
            </w:r>
          </w:p>
          <w:p w14:paraId="65C2AC73" w14:textId="61474953" w:rsidR="00D84035" w:rsidRPr="00F453B2" w:rsidRDefault="00802C9F" w:rsidP="00F453B2">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The coordination between the public sector and the private sector is low, which short circuits the private sector's contribution to attaining public health objectives. The texts that define the categories of private medical and paramedical facilities have not been revised since 1991. Certain of their provisions are therefore not very well suited to the current context (Development of the private sector, progress in equipment and medical practice), in particular with regard to authorized actions and the infrastructure necessary in the various categories of private facilities. Furthermore, in the absence of enforceable texts regarding the hospital act (2002), there is no framework for participation by the private sector in the public hospital service. A lack of fluidity has been noted in the referral of patients between the public/private institutions and the absence of operation of network care facilities to optimize skills and operation available within a territory. </w:t>
            </w:r>
          </w:p>
          <w:p w14:paraId="64888C92" w14:textId="158A00F7" w:rsidR="00802C9F" w:rsidRPr="004B5884" w:rsidRDefault="00D84035" w:rsidP="00226DF1">
            <w:pPr>
              <w:autoSpaceDE w:val="0"/>
              <w:autoSpaceDN w:val="0"/>
              <w:adjustRightInd w:val="0"/>
              <w:spacing w:before="120" w:after="120"/>
              <w:jc w:val="both"/>
              <w:rPr>
                <w:rFonts w:ascii="Times New Roman" w:hAnsi="Times New Roman"/>
                <w:color w:val="000000"/>
                <w:sz w:val="24"/>
                <w:szCs w:val="24"/>
              </w:rPr>
            </w:pPr>
            <w:r>
              <w:rPr>
                <w:rFonts w:ascii="Times New Roman" w:hAnsi="Times New Roman"/>
                <w:sz w:val="24"/>
              </w:rPr>
              <w:t>In terms of prevention, although several private institutions are deemed voluntary, the CSRefs are reticent to bring private physicians into routine activities and extraordinary immunization campaigns. The public institutions fear that conditions will not be fulfilled (cold chain, training of vaccinators, minimum volume of activities, etc.) and that the principle of free treatment will not be observed (PRODESS Evaluation Report, 2011).</w:t>
            </w:r>
          </w:p>
          <w:p w14:paraId="6585A051" w14:textId="6372BCAC" w:rsidR="00B25D96" w:rsidRPr="004B5884" w:rsidRDefault="003012FE" w:rsidP="005E5009">
            <w:pPr>
              <w:spacing w:before="120" w:after="120"/>
              <w:jc w:val="both"/>
              <w:rPr>
                <w:rFonts w:ascii="Times New Roman" w:hAnsi="Times New Roman"/>
                <w:sz w:val="24"/>
                <w:szCs w:val="24"/>
              </w:rPr>
            </w:pPr>
            <w:r>
              <w:rPr>
                <w:rFonts w:ascii="Times New Roman" w:hAnsi="Times New Roman"/>
                <w:sz w:val="24"/>
              </w:rPr>
              <w:t xml:space="preserve"> The participation of these private facilities and NGOs in implementing the Minimum Package of Activities (MPA), has had an impact on the availability of human resources has increased significantly in the health sector. It is necessary to acknowledge that 90% of these structures are in large urban centers, which has fostered disparity between the urban and rural environments in terms of health care infrastructure. </w:t>
            </w:r>
          </w:p>
        </w:tc>
      </w:tr>
    </w:tbl>
    <w:p w14:paraId="69A33EC1" w14:textId="77777777" w:rsidR="00F82B2B" w:rsidRPr="004B5884" w:rsidRDefault="00F82B2B" w:rsidP="00226DF1">
      <w:pPr>
        <w:widowControl w:val="0"/>
        <w:spacing w:before="120" w:after="120"/>
        <w:jc w:val="both"/>
        <w:rPr>
          <w:rFonts w:ascii="Times New Roman" w:eastAsia="Calibri" w:hAnsi="Times New Roman"/>
          <w:sz w:val="24"/>
          <w:szCs w:val="24"/>
        </w:rPr>
      </w:pPr>
    </w:p>
    <w:tbl>
      <w:tblPr>
        <w:tblpPr w:leftFromText="141" w:rightFromText="141" w:vertAnchor="text" w:horzAnchor="margin" w:tblpY="153"/>
        <w:tblW w:w="10435"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435"/>
      </w:tblGrid>
      <w:tr w:rsidR="00867FFD" w:rsidRPr="009316FF" w14:paraId="69E303E1" w14:textId="77777777" w:rsidTr="004B5884">
        <w:trPr>
          <w:trHeight w:val="534"/>
        </w:trPr>
        <w:tc>
          <w:tcPr>
            <w:tcW w:w="10435" w:type="dxa"/>
            <w:shd w:val="clear" w:color="auto" w:fill="006460"/>
          </w:tcPr>
          <w:p w14:paraId="36AB6F8B" w14:textId="77777777" w:rsidR="00867FFD" w:rsidRPr="004B5884" w:rsidRDefault="00867FFD" w:rsidP="00226DF1">
            <w:pPr>
              <w:pStyle w:val="Heading2"/>
              <w:rPr>
                <w:rFonts w:ascii="Times New Roman" w:eastAsia="Calibri" w:hAnsi="Times New Roman"/>
                <w:sz w:val="24"/>
                <w:szCs w:val="24"/>
              </w:rPr>
            </w:pPr>
            <w:bookmarkStart w:id="41" w:name="_Toc346116638"/>
            <w:bookmarkStart w:id="42" w:name="_Toc398181089"/>
            <w:bookmarkStart w:id="43" w:name="_Toc276342218"/>
            <w:r>
              <w:rPr>
                <w:rFonts w:ascii="Times New Roman" w:hAnsi="Times New Roman"/>
                <w:sz w:val="24"/>
              </w:rPr>
              <w:t xml:space="preserve">7. </w:t>
            </w:r>
            <w:bookmarkStart w:id="44" w:name="_Toc349297133"/>
            <w:bookmarkStart w:id="45" w:name="_Toc358399416"/>
            <w:r>
              <w:rPr>
                <w:rFonts w:ascii="Times New Roman" w:hAnsi="Times New Roman"/>
                <w:sz w:val="24"/>
              </w:rPr>
              <w:t>National Health Strategy and Joint Assessment of National Health Strategy</w:t>
            </w:r>
            <w:bookmarkEnd w:id="44"/>
            <w:bookmarkEnd w:id="45"/>
            <w:r>
              <w:rPr>
                <w:rFonts w:ascii="Times New Roman" w:hAnsi="Times New Roman"/>
                <w:sz w:val="24"/>
              </w:rPr>
              <w:t xml:space="preserve"> (JANS)</w:t>
            </w:r>
            <w:bookmarkEnd w:id="41"/>
            <w:bookmarkEnd w:id="42"/>
            <w:bookmarkEnd w:id="43"/>
          </w:p>
        </w:tc>
      </w:tr>
      <w:tr w:rsidR="00867FFD" w:rsidRPr="009316FF" w14:paraId="75883C70" w14:textId="77777777" w:rsidTr="004B5884">
        <w:trPr>
          <w:trHeight w:val="3791"/>
        </w:trPr>
        <w:tc>
          <w:tcPr>
            <w:tcW w:w="10435" w:type="dxa"/>
            <w:shd w:val="clear" w:color="auto" w:fill="FFFFFF"/>
          </w:tcPr>
          <w:p w14:paraId="4518CD84"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This section will be used to determine how immunisation is addressed in the national health plan, and what the key findings of an independent JANS assessment of the strategy were. The Independent Review Committee (IRC) will use the findings of a JANS assessment to gain an understanding of the policy and health sector context that will inform their assessment of the credibility and feasibility of the HSS proposal.</w:t>
            </w:r>
          </w:p>
          <w:p w14:paraId="639127AE"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provide a reference to the relevant sections and pages in the NHP which outline immunisation policies, objectives, and activities. </w:t>
            </w:r>
          </w:p>
          <w:p w14:paraId="52AC192C"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If a Joint Assessment of the National Health Strategy (JANS) has been conducted, please provide the JANS report as an attachment.</w:t>
            </w:r>
          </w:p>
          <w:p w14:paraId="2F4E9A75"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Please provide a summary of how the government and partners have addressed the weaknesses and recommendations identified in the JANS or attach the country’s response.</w:t>
            </w:r>
          </w:p>
        </w:tc>
      </w:tr>
      <w:tr w:rsidR="00867FFD" w:rsidRPr="009316FF" w14:paraId="512C0CB3" w14:textId="77777777" w:rsidTr="004B5884">
        <w:trPr>
          <w:trHeight w:val="289"/>
        </w:trPr>
        <w:tc>
          <w:tcPr>
            <w:tcW w:w="10435" w:type="dxa"/>
            <w:shd w:val="clear" w:color="auto" w:fill="FFFFFF"/>
          </w:tcPr>
          <w:p w14:paraId="06838EE6"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ONE PAGE MAXIMUM</w:t>
            </w:r>
          </w:p>
          <w:p w14:paraId="000DCAED" w14:textId="3D791E8F" w:rsidR="00C80AAA" w:rsidRPr="004B5884" w:rsidRDefault="00C80AAA" w:rsidP="00226DF1">
            <w:pPr>
              <w:spacing w:before="120" w:after="120"/>
              <w:jc w:val="both"/>
              <w:rPr>
                <w:rFonts w:ascii="Times New Roman" w:hAnsi="Times New Roman"/>
                <w:sz w:val="24"/>
                <w:szCs w:val="24"/>
              </w:rPr>
            </w:pPr>
            <w:r>
              <w:rPr>
                <w:rFonts w:ascii="Times New Roman" w:hAnsi="Times New Roman"/>
                <w:sz w:val="24"/>
              </w:rPr>
              <w:t>In Mali, the Ten-year Health and Social Development Plan (PDDSS) is the strategic plan covering the period of 2014 through 2023. The Health and Social Development Program (PRODESS) is to the PDDSS implementation plan covering a 5-year period.  The PRODESS-III covers the period of 2014 to 2018. These two documents were validated by the PRODESS Steering Committee, in November 2013 and June 2014, respectively.</w:t>
            </w:r>
          </w:p>
          <w:p w14:paraId="772F11FA" w14:textId="7B2B8A84" w:rsidR="006F1661" w:rsidRPr="004B5884" w:rsidRDefault="006F1661" w:rsidP="00226DF1">
            <w:pPr>
              <w:spacing w:before="120" w:after="120"/>
              <w:jc w:val="both"/>
              <w:rPr>
                <w:rFonts w:ascii="Times New Roman" w:hAnsi="Times New Roman"/>
                <w:sz w:val="24"/>
                <w:szCs w:val="24"/>
              </w:rPr>
            </w:pPr>
            <w:r>
              <w:rPr>
                <w:rFonts w:ascii="Times New Roman" w:hAnsi="Times New Roman"/>
                <w:sz w:val="24"/>
              </w:rPr>
              <w:t xml:space="preserve">The preparation of the PRODESS-III did not benefit from a joint JANS-type evaluation. </w:t>
            </w:r>
          </w:p>
          <w:p w14:paraId="2C2E9082" w14:textId="10AF796F" w:rsidR="00F820FA" w:rsidRDefault="00F820FA" w:rsidP="00226DF1">
            <w:pPr>
              <w:autoSpaceDE w:val="0"/>
              <w:autoSpaceDN w:val="0"/>
              <w:adjustRightInd w:val="0"/>
              <w:spacing w:before="120" w:after="120"/>
              <w:jc w:val="both"/>
              <w:rPr>
                <w:rFonts w:ascii="Times New Roman" w:hAnsi="Times New Roman"/>
                <w:b/>
                <w:sz w:val="24"/>
                <w:szCs w:val="24"/>
              </w:rPr>
            </w:pPr>
            <w:r>
              <w:rPr>
                <w:rFonts w:ascii="Times New Roman" w:hAnsi="Times New Roman"/>
                <w:sz w:val="24"/>
              </w:rPr>
              <w:t>PDDSS strategic objective 2 more specifically targets reducing morbidity and mortality related to communicable diseases, for which immunization is one of the priority interventions (p. 57); and strategic objective 7 seeks to ensure better access, better quality and use of pharmaceutical products, including laboratory reagents at all levels."</w:t>
            </w:r>
          </w:p>
          <w:p w14:paraId="116A9DBA" w14:textId="77777777" w:rsidR="00F820FA" w:rsidRDefault="00F820FA" w:rsidP="00226DF1">
            <w:pPr>
              <w:autoSpaceDE w:val="0"/>
              <w:autoSpaceDN w:val="0"/>
              <w:adjustRightInd w:val="0"/>
              <w:spacing w:before="120" w:after="120"/>
              <w:jc w:val="both"/>
              <w:rPr>
                <w:rFonts w:ascii="Times New Roman" w:hAnsi="Times New Roman"/>
                <w:sz w:val="24"/>
                <w:szCs w:val="24"/>
              </w:rPr>
            </w:pPr>
            <w:r>
              <w:rPr>
                <w:rFonts w:ascii="Times New Roman" w:hAnsi="Times New Roman"/>
                <w:sz w:val="24"/>
              </w:rPr>
              <w:t xml:space="preserve">Mali intends to confront problems with immunization through two (2) particular strategic results of the PDDSS: </w:t>
            </w:r>
          </w:p>
          <w:p w14:paraId="4231A929" w14:textId="77777777" w:rsidR="00F820FA" w:rsidRPr="00BC17E3" w:rsidRDefault="00F820FA" w:rsidP="00226DF1">
            <w:pPr>
              <w:pStyle w:val="ListParagraph"/>
              <w:numPr>
                <w:ilvl w:val="0"/>
                <w:numId w:val="15"/>
              </w:numPr>
              <w:autoSpaceDE w:val="0"/>
              <w:autoSpaceDN w:val="0"/>
              <w:adjustRightInd w:val="0"/>
              <w:spacing w:before="120" w:after="120"/>
              <w:jc w:val="both"/>
              <w:rPr>
                <w:rFonts w:ascii="Times New Roman" w:hAnsi="Times New Roman"/>
                <w:bCs/>
                <w:sz w:val="24"/>
                <w:szCs w:val="24"/>
              </w:rPr>
            </w:pPr>
            <w:r>
              <w:rPr>
                <w:rFonts w:ascii="Times New Roman" w:hAnsi="Times New Roman"/>
                <w:b/>
                <w:sz w:val="24"/>
              </w:rPr>
              <w:t xml:space="preserve">2.4 Strategic Result 2.4: </w:t>
            </w:r>
            <w:r>
              <w:rPr>
                <w:rFonts w:ascii="Times New Roman" w:hAnsi="Times New Roman"/>
                <w:sz w:val="24"/>
              </w:rPr>
              <w:t>Epidemic-prone diseases will be better controlled;</w:t>
            </w:r>
          </w:p>
          <w:p w14:paraId="06335367" w14:textId="77777777" w:rsidR="00F820FA" w:rsidRPr="00F820FA" w:rsidRDefault="00BC17E3" w:rsidP="00226DF1">
            <w:pPr>
              <w:pStyle w:val="ListParagraph"/>
              <w:numPr>
                <w:ilvl w:val="0"/>
                <w:numId w:val="15"/>
              </w:numPr>
              <w:autoSpaceDE w:val="0"/>
              <w:autoSpaceDN w:val="0"/>
              <w:adjustRightInd w:val="0"/>
              <w:spacing w:before="120" w:after="120"/>
              <w:jc w:val="both"/>
              <w:rPr>
                <w:rFonts w:ascii="Times New Roman" w:hAnsi="Times New Roman"/>
                <w:b/>
                <w:bCs/>
                <w:sz w:val="24"/>
                <w:szCs w:val="24"/>
              </w:rPr>
            </w:pPr>
            <w:r>
              <w:rPr>
                <w:rFonts w:ascii="Times New Roman" w:hAnsi="Times New Roman"/>
                <w:b/>
                <w:sz w:val="24"/>
              </w:rPr>
              <w:t xml:space="preserve">Strategic Result 7.7: </w:t>
            </w:r>
            <w:r>
              <w:rPr>
                <w:rFonts w:ascii="Times New Roman" w:hAnsi="Times New Roman"/>
                <w:sz w:val="24"/>
              </w:rPr>
              <w:t>Vaccines at an affordable cost and of guaranteed quality are continually available at all levels.</w:t>
            </w:r>
            <w:r>
              <w:rPr>
                <w:rFonts w:ascii="Times New Roman" w:hAnsi="Times New Roman"/>
                <w:b/>
                <w:sz w:val="24"/>
              </w:rPr>
              <w:t xml:space="preserve"> </w:t>
            </w:r>
          </w:p>
          <w:p w14:paraId="7A135129" w14:textId="77777777" w:rsidR="00EF60EC" w:rsidRPr="00F820FA" w:rsidRDefault="00440BF7" w:rsidP="00226DF1">
            <w:pPr>
              <w:autoSpaceDE w:val="0"/>
              <w:autoSpaceDN w:val="0"/>
              <w:adjustRightInd w:val="0"/>
              <w:spacing w:before="120" w:after="120"/>
              <w:jc w:val="both"/>
              <w:rPr>
                <w:rFonts w:ascii="Times New Roman" w:hAnsi="Times New Roman"/>
                <w:sz w:val="24"/>
                <w:szCs w:val="24"/>
              </w:rPr>
            </w:pPr>
            <w:r>
              <w:rPr>
                <w:rFonts w:ascii="Times New Roman" w:hAnsi="Times New Roman"/>
                <w:sz w:val="24"/>
              </w:rPr>
              <w:t>For this reason, the following priority interventions are planned (Pages 57, 58 and 79):</w:t>
            </w:r>
          </w:p>
          <w:p w14:paraId="521D7B51" w14:textId="77777777" w:rsidR="00440BF7" w:rsidRPr="00226887" w:rsidRDefault="00226887"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Strengthening routine immunization;</w:t>
            </w:r>
          </w:p>
          <w:p w14:paraId="5010C225" w14:textId="77777777" w:rsidR="00440BF7" w:rsidRPr="00226887" w:rsidRDefault="00226887"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Strengthening epidemiological surveillance;</w:t>
            </w:r>
          </w:p>
          <w:p w14:paraId="2DF4D89D" w14:textId="77777777" w:rsidR="00440BF7" w:rsidRPr="00226887" w:rsidRDefault="00226887"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Strengthening technical capabilities to respond to epidemics;</w:t>
            </w:r>
          </w:p>
          <w:p w14:paraId="2526CA57" w14:textId="77777777" w:rsidR="00226887" w:rsidRPr="00226887" w:rsidRDefault="00226887"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The introduction of new vaccines;</w:t>
            </w:r>
          </w:p>
          <w:p w14:paraId="5C2D3422" w14:textId="2A3E52F1" w:rsidR="00440BF7" w:rsidRPr="00226887" w:rsidRDefault="00226887"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The development of appropriate strategies, such as catch-up for non-immunized children and the district approach;</w:t>
            </w:r>
          </w:p>
          <w:p w14:paraId="4D35F5F6" w14:textId="77777777" w:rsidR="00440BF7" w:rsidRDefault="00762421"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Strengthening of storage capacities and vaccine management  at all levels, in particular at the level of the CSRefs and the CSComs;</w:t>
            </w:r>
          </w:p>
          <w:p w14:paraId="2A29B0A4" w14:textId="77777777" w:rsidR="00440BF7" w:rsidRDefault="00762421"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Gradual implementation of mechanism for autonomous and national import of vaccines (Calls for offers, transport contracts for samples with approved transporters, etc.);</w:t>
            </w:r>
          </w:p>
          <w:p w14:paraId="1C6A47FD" w14:textId="77777777" w:rsidR="00440BF7" w:rsidRDefault="00762421"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Strengthening of quality assurance systems for vaccines, immunization and injections;</w:t>
            </w:r>
          </w:p>
          <w:p w14:paraId="34588888" w14:textId="08A01D23" w:rsidR="00CB57FA" w:rsidRDefault="00762421" w:rsidP="00226DF1">
            <w:pPr>
              <w:pStyle w:val="ListParagraph"/>
              <w:numPr>
                <w:ilvl w:val="0"/>
                <w:numId w:val="24"/>
              </w:numPr>
              <w:autoSpaceDE w:val="0"/>
              <w:autoSpaceDN w:val="0"/>
              <w:adjustRightInd w:val="0"/>
              <w:spacing w:before="120" w:after="120"/>
              <w:jc w:val="both"/>
              <w:rPr>
                <w:rFonts w:ascii="Times New Roman" w:hAnsi="Times New Roman"/>
                <w:sz w:val="24"/>
                <w:szCs w:val="24"/>
              </w:rPr>
            </w:pPr>
            <w:r>
              <w:rPr>
                <w:rFonts w:ascii="Times New Roman" w:hAnsi="Times New Roman"/>
                <w:sz w:val="24"/>
              </w:rPr>
              <w:t>Promotion of communication and information regarding vaccines to ensure their proper use.</w:t>
            </w:r>
          </w:p>
          <w:p w14:paraId="7F8A32F9" w14:textId="5739D0EE" w:rsidR="009372B8" w:rsidRPr="009372B8" w:rsidRDefault="009372B8" w:rsidP="009372B8">
            <w:pPr>
              <w:autoSpaceDE w:val="0"/>
              <w:autoSpaceDN w:val="0"/>
              <w:adjustRightInd w:val="0"/>
              <w:spacing w:before="120" w:after="120"/>
              <w:jc w:val="both"/>
              <w:rPr>
                <w:rFonts w:ascii="Times New Roman" w:hAnsi="Times New Roman"/>
                <w:bCs/>
                <w:sz w:val="24"/>
              </w:rPr>
            </w:pPr>
            <w:r>
              <w:rPr>
                <w:rFonts w:ascii="Times New Roman" w:hAnsi="Times New Roman"/>
                <w:sz w:val="24"/>
              </w:rPr>
              <w:t>The last joint evaluation of the PRODESS (JANS) conducted in 2011 yielded the following suggestions (PRODESS assessment report, Pages 51 through 56):</w:t>
            </w:r>
          </w:p>
          <w:p w14:paraId="73D27317"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 xml:space="preserve">A basic health system that is closer to the populations, well-managed and supplies quality services; </w:t>
            </w:r>
          </w:p>
          <w:p w14:paraId="6B962420"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Medicalization of the first echelon: improve performance, reduce disparities;</w:t>
            </w:r>
          </w:p>
          <w:p w14:paraId="79F4D9AE"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Strengthen the anchoring of hospitals in the health system for increased efficiency and effectiveness of the overall structure;</w:t>
            </w:r>
          </w:p>
          <w:p w14:paraId="414FE45E"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Consider private facilities to be a full partner in attaining health results and hold them accountable;</w:t>
            </w:r>
          </w:p>
          <w:p w14:paraId="30F8C33D" w14:textId="09ABBE55"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Strengthening of governance of the pharmaceutical system and improvement of performance in the implementation of activities of the National Pharmaceutical Policy (PPN);</w:t>
            </w:r>
          </w:p>
          <w:p w14:paraId="5266D3E0"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Effective and efficient maintenance to contribute to the performance of the health system;</w:t>
            </w:r>
          </w:p>
          <w:p w14:paraId="4DDB149C"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Hold participants accountable, monitor them in their adaptation of behavior to proper roles in the context of decentralization;</w:t>
            </w:r>
          </w:p>
          <w:p w14:paraId="68B29583"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Strengthen solidarity for access to care by developing a dynamic combination of complementary strategies;</w:t>
            </w:r>
          </w:p>
          <w:p w14:paraId="261EB190"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 xml:space="preserve">Ensure greater mobilization of financial resources and expenses that effectively reduce disparities; </w:t>
            </w:r>
          </w:p>
          <w:p w14:paraId="028E952B"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Ensure control of the development of human resources and improve performance of personnel;</w:t>
            </w:r>
          </w:p>
          <w:p w14:paraId="32FD3A69"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Strengthen the contribution of information systems to monitoring progress and evaluating results;</w:t>
            </w:r>
          </w:p>
          <w:p w14:paraId="37B692EF" w14:textId="6F60543F"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Strengthen inclusive strategic planning, well coordinated with the Strategic Framework for Growth and Poverty Reduction (CSCRP) and that codifies the principle of decentralization and attainment of results;</w:t>
            </w:r>
          </w:p>
          <w:p w14:paraId="722F9B8F"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Overcome issues related to demographic challenges;</w:t>
            </w:r>
          </w:p>
          <w:p w14:paraId="276FBAC1" w14:textId="77777777" w:rsidR="009372B8" w:rsidRPr="009372B8" w:rsidRDefault="009372B8" w:rsidP="009372B8">
            <w:pPr>
              <w:pStyle w:val="ListParagraph"/>
              <w:widowControl w:val="0"/>
              <w:numPr>
                <w:ilvl w:val="0"/>
                <w:numId w:val="43"/>
              </w:numPr>
              <w:autoSpaceDE w:val="0"/>
              <w:autoSpaceDN w:val="0"/>
              <w:adjustRightInd w:val="0"/>
              <w:spacing w:before="120" w:after="120"/>
              <w:jc w:val="both"/>
              <w:rPr>
                <w:rFonts w:ascii="Times New Roman" w:hAnsi="Times New Roman"/>
                <w:bCs/>
                <w:sz w:val="24"/>
              </w:rPr>
            </w:pPr>
            <w:r>
              <w:rPr>
                <w:rFonts w:ascii="Times New Roman" w:hAnsi="Times New Roman"/>
                <w:sz w:val="24"/>
              </w:rPr>
              <w:t>Make the next PDDSS into an opportunity to go to the next level, of universal access to care, quality of services and attainment of results in the domains of health and solidarity and promotion of women.</w:t>
            </w:r>
          </w:p>
          <w:p w14:paraId="437A9828" w14:textId="4504AE5F" w:rsidR="009372B8" w:rsidRPr="004B5884" w:rsidRDefault="009372B8" w:rsidP="009372B8">
            <w:pPr>
              <w:autoSpaceDE w:val="0"/>
              <w:autoSpaceDN w:val="0"/>
              <w:adjustRightInd w:val="0"/>
              <w:spacing w:before="120" w:after="120"/>
              <w:jc w:val="both"/>
              <w:rPr>
                <w:rFonts w:ascii="Times New Roman" w:eastAsia="Calibri" w:hAnsi="Times New Roman"/>
                <w:sz w:val="24"/>
                <w:szCs w:val="24"/>
              </w:rPr>
            </w:pPr>
            <w:r>
              <w:rPr>
                <w:rFonts w:ascii="Times New Roman" w:hAnsi="Times New Roman"/>
                <w:sz w:val="24"/>
              </w:rPr>
              <w:t>In order to confront the problems detected during this assessment, Mali, with the assistance of its partners, has undertaken the preparation of a new PDDSS (2014-2023), taking into consideration the suggestions made following this assessment.</w:t>
            </w:r>
          </w:p>
        </w:tc>
      </w:tr>
    </w:tbl>
    <w:p w14:paraId="21F00486"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41" w:rightFromText="141" w:vertAnchor="text" w:horzAnchor="margin" w:tblpY="22"/>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29856B86" w14:textId="77777777" w:rsidTr="005D447F">
        <w:tc>
          <w:tcPr>
            <w:tcW w:w="10348" w:type="dxa"/>
            <w:shd w:val="clear" w:color="auto" w:fill="006460"/>
          </w:tcPr>
          <w:p w14:paraId="0FEA45D3" w14:textId="77777777" w:rsidR="00867FFD" w:rsidRPr="004B5884" w:rsidRDefault="00867FFD" w:rsidP="00226DF1">
            <w:pPr>
              <w:pStyle w:val="Heading2"/>
              <w:rPr>
                <w:rFonts w:ascii="Times New Roman" w:eastAsia="Calibri" w:hAnsi="Times New Roman"/>
                <w:sz w:val="24"/>
                <w:szCs w:val="24"/>
              </w:rPr>
            </w:pPr>
            <w:bookmarkStart w:id="46" w:name="_Toc346116639"/>
            <w:bookmarkStart w:id="47" w:name="_Toc398181090"/>
            <w:bookmarkStart w:id="48" w:name="_Toc276342219"/>
            <w:r>
              <w:rPr>
                <w:rFonts w:ascii="Times New Roman" w:hAnsi="Times New Roman"/>
                <w:sz w:val="24"/>
              </w:rPr>
              <w:t xml:space="preserve">8. </w:t>
            </w:r>
            <w:bookmarkStart w:id="49" w:name="_Toc349297134"/>
            <w:bookmarkStart w:id="50" w:name="_Toc358399417"/>
            <w:bookmarkEnd w:id="46"/>
            <w:r>
              <w:rPr>
                <w:rFonts w:ascii="Times New Roman" w:hAnsi="Times New Roman"/>
                <w:sz w:val="24"/>
              </w:rPr>
              <w:t>Monitoring and Evaluation Plan for the National Health Plan</w:t>
            </w:r>
            <w:bookmarkEnd w:id="47"/>
            <w:bookmarkEnd w:id="49"/>
            <w:bookmarkEnd w:id="50"/>
            <w:bookmarkEnd w:id="48"/>
          </w:p>
        </w:tc>
      </w:tr>
      <w:tr w:rsidR="00867FFD" w:rsidRPr="009316FF" w14:paraId="2274FCDF" w14:textId="77777777" w:rsidTr="005D447F">
        <w:tc>
          <w:tcPr>
            <w:tcW w:w="10348" w:type="dxa"/>
            <w:shd w:val="clear" w:color="auto" w:fill="FFFFFF"/>
          </w:tcPr>
          <w:p w14:paraId="7E7AAC2C"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section will provide background information on how the country organises M&amp;E arrangements and whether this proposal is aligned and complementary to national M&amp;E plans. </w:t>
            </w:r>
          </w:p>
          <w:p w14:paraId="432C128A"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attach a copy of the M&amp;E Plan for the national health plan.</w:t>
            </w:r>
          </w:p>
          <w:p w14:paraId="0CD00A08"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provide a summary of how the National M&amp;E Plan is implemented in practice. In your answer refer to relevant sections of the M&amp;E Plan in the national health plan for further details. </w:t>
            </w:r>
          </w:p>
          <w:p w14:paraId="241D9CD7"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attach a copy of data quality assessment report(s) conducted within the last 3 years and data quality improvement plans.</w:t>
            </w:r>
          </w:p>
          <w:p w14:paraId="1F16A5F8"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provide a description of how development partners are involved in the M&amp;E of the national health plan implementation and financing. Has there been an annual joint assessment of the health sector (JAR), and if so how is it conducted? Please outline the extent of GAVI involvement in the JAR process.</w:t>
            </w:r>
          </w:p>
          <w:p w14:paraId="42E9E7F8"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Please explain how immunisation programme reviews are linked to the Joint Annual Review (JAR), and if they are not linked currently, what will be done to establish linkages.</w:t>
            </w:r>
          </w:p>
        </w:tc>
      </w:tr>
      <w:tr w:rsidR="00867FFD" w:rsidRPr="009316FF" w14:paraId="4A06FD91" w14:textId="77777777" w:rsidTr="005D447F">
        <w:trPr>
          <w:trHeight w:val="278"/>
        </w:trPr>
        <w:tc>
          <w:tcPr>
            <w:tcW w:w="10348" w:type="dxa"/>
            <w:shd w:val="clear" w:color="auto" w:fill="FFFFFF"/>
          </w:tcPr>
          <w:p w14:paraId="7D15C070" w14:textId="77777777" w:rsidR="0010150F"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ONE PAGE MAXIMUM</w:t>
            </w:r>
          </w:p>
          <w:p w14:paraId="43E919E7" w14:textId="5FA2405C" w:rsidR="005F0548" w:rsidRPr="004B5884" w:rsidRDefault="00B31A1C" w:rsidP="00226DF1">
            <w:pPr>
              <w:spacing w:before="120" w:after="120"/>
              <w:jc w:val="both"/>
              <w:rPr>
                <w:rFonts w:ascii="Times New Roman" w:hAnsi="Times New Roman"/>
                <w:sz w:val="24"/>
                <w:szCs w:val="24"/>
              </w:rPr>
            </w:pPr>
            <w:r>
              <w:rPr>
                <w:rFonts w:ascii="Times New Roman" w:hAnsi="Times New Roman"/>
                <w:sz w:val="24"/>
              </w:rPr>
              <w:t xml:space="preserve"> There is still no actual monitoring-evaluation plan for the PDDSS. This document, however, includes a monitoring and evaluation framework with specific indicators, base values and targets to be reached in 2023 (Page 39). Two indicators specifically relate to immunization: Penta3 coverage rate and the measles vaccine coverage rate. Monitoring-evaluation of the implementation of PRODESS is organized through PRODESS authorities:</w:t>
            </w:r>
          </w:p>
          <w:p w14:paraId="658FE40E" w14:textId="77777777" w:rsidR="00613E2E" w:rsidRPr="004B5884" w:rsidRDefault="00556529" w:rsidP="00226DF1">
            <w:pPr>
              <w:pStyle w:val="ListParagraph"/>
              <w:numPr>
                <w:ilvl w:val="0"/>
                <w:numId w:val="23"/>
              </w:numPr>
              <w:spacing w:before="120" w:after="120"/>
              <w:jc w:val="both"/>
              <w:rPr>
                <w:rFonts w:ascii="Times New Roman" w:hAnsi="Times New Roman"/>
                <w:b/>
                <w:sz w:val="24"/>
                <w:szCs w:val="24"/>
              </w:rPr>
            </w:pPr>
            <w:r>
              <w:rPr>
                <w:rFonts w:ascii="Times New Roman" w:hAnsi="Times New Roman"/>
                <w:b/>
                <w:sz w:val="24"/>
              </w:rPr>
              <w:t>At the national level, these are: </w:t>
            </w:r>
          </w:p>
          <w:p w14:paraId="5C2CE352" w14:textId="77777777" w:rsidR="00613E2E" w:rsidRPr="00804BA9" w:rsidRDefault="00613E2E" w:rsidP="00226DF1">
            <w:pPr>
              <w:pStyle w:val="ListParagraph"/>
              <w:numPr>
                <w:ilvl w:val="1"/>
                <w:numId w:val="25"/>
              </w:numPr>
              <w:spacing w:before="120" w:after="120"/>
              <w:jc w:val="both"/>
              <w:rPr>
                <w:rFonts w:ascii="Times New Roman" w:eastAsia="'times new roman', serif" w:hAnsi="Times New Roman"/>
                <w:color w:val="000000"/>
                <w:sz w:val="24"/>
                <w:szCs w:val="24"/>
              </w:rPr>
            </w:pPr>
            <w:r>
              <w:rPr>
                <w:rFonts w:ascii="Times New Roman" w:hAnsi="Times New Roman"/>
                <w:b/>
                <w:sz w:val="24"/>
              </w:rPr>
              <w:t>Monitoring Committee:</w:t>
            </w:r>
            <w:r>
              <w:rPr>
                <w:rFonts w:ascii="Times New Roman" w:hAnsi="Times New Roman"/>
                <w:sz w:val="24"/>
              </w:rPr>
              <w:t xml:space="preserve"> Co-chaired by the Minister of Health and Public Hygiene, the Minister responsible for solidarity, humanitarian action and northern reconstruction, the Minister responsible for Women, Children and Families and the Civil Society representative (</w:t>
            </w:r>
            <w:r>
              <w:rPr>
                <w:rFonts w:ascii="Times New Roman" w:hAnsi="Times New Roman"/>
                <w:color w:val="000000"/>
                <w:sz w:val="24"/>
              </w:rPr>
              <w:t>FENASCOM). It shall meet once per year and will include central, related and customized services of the relative departments, representatives of other departments and territorial municipalities, CSOs and Technical and Financial Partners at the highest level. This committee represents the supreme instance for coordination and monitoring-evaluation of the PRODESS. It validates the operating plans of the PRODESS and gives the major guidelines for the heal, social development and women's promotion policy.</w:t>
            </w:r>
          </w:p>
          <w:p w14:paraId="4119B2C1" w14:textId="6BCED092" w:rsidR="00613E2E" w:rsidRPr="00804BA9" w:rsidRDefault="00613E2E" w:rsidP="00226DF1">
            <w:pPr>
              <w:pStyle w:val="ListParagraph"/>
              <w:spacing w:before="120" w:after="120"/>
              <w:ind w:left="360"/>
              <w:jc w:val="both"/>
              <w:rPr>
                <w:rFonts w:ascii="Times New Roman" w:hAnsi="Times New Roman"/>
                <w:b/>
                <w:sz w:val="24"/>
                <w:szCs w:val="24"/>
              </w:rPr>
            </w:pPr>
            <w:r>
              <w:rPr>
                <w:rFonts w:ascii="Times New Roman" w:hAnsi="Times New Roman"/>
                <w:b/>
                <w:sz w:val="24"/>
              </w:rPr>
              <w:t xml:space="preserve">1.2  PRODESS technical committee: </w:t>
            </w:r>
            <w:r>
              <w:rPr>
                <w:rFonts w:ascii="Times New Roman" w:hAnsi="Times New Roman"/>
                <w:sz w:val="24"/>
              </w:rPr>
              <w:t>This instance of PRODESS is c</w:t>
            </w:r>
            <w:r w:rsidR="007D38B4">
              <w:rPr>
                <w:rFonts w:ascii="Times New Roman" w:hAnsi="Times New Roman"/>
                <w:sz w:val="24"/>
              </w:rPr>
              <w:t>o-chaired by the General Secreta</w:t>
            </w:r>
            <w:r>
              <w:rPr>
                <w:rFonts w:ascii="Times New Roman" w:hAnsi="Times New Roman"/>
                <w:sz w:val="24"/>
              </w:rPr>
              <w:t>r</w:t>
            </w:r>
            <w:r w:rsidR="007D38B4">
              <w:rPr>
                <w:rFonts w:ascii="Times New Roman" w:hAnsi="Times New Roman"/>
                <w:sz w:val="24"/>
              </w:rPr>
              <w:t>i</w:t>
            </w:r>
            <w:r>
              <w:rPr>
                <w:rFonts w:ascii="Times New Roman" w:hAnsi="Times New Roman"/>
                <w:sz w:val="24"/>
              </w:rPr>
              <w:t>es of the same departments specified above and by the representative of the CSOs (FENASCOM). The participants are the same as those in the Monitoring Committee in addition to the representatives of the Regional Health Directorates and of the hospitals. It shall meet once every six months and shall monitor the implementation of the OPs and verify the attainment of objectives.</w:t>
            </w:r>
            <w:r>
              <w:rPr>
                <w:rFonts w:ascii="Times New Roman" w:hAnsi="Times New Roman"/>
                <w:b/>
                <w:sz w:val="24"/>
              </w:rPr>
              <w:t xml:space="preserve"> </w:t>
            </w:r>
          </w:p>
          <w:p w14:paraId="11EB7A85" w14:textId="77777777" w:rsidR="00613E2E" w:rsidRPr="00804BA9" w:rsidRDefault="00613E2E" w:rsidP="00226DF1">
            <w:pPr>
              <w:pStyle w:val="ListParagraph"/>
              <w:spacing w:before="120" w:after="120"/>
              <w:ind w:left="360"/>
              <w:jc w:val="both"/>
              <w:rPr>
                <w:rFonts w:ascii="Times New Roman" w:hAnsi="Times New Roman"/>
                <w:sz w:val="24"/>
                <w:szCs w:val="24"/>
              </w:rPr>
            </w:pPr>
            <w:r>
              <w:rPr>
                <w:rFonts w:ascii="Times New Roman" w:hAnsi="Times New Roman"/>
                <w:b/>
                <w:sz w:val="24"/>
              </w:rPr>
              <w:t xml:space="preserve">1.3 The PRODESS Steering Committee: </w:t>
            </w:r>
            <w:r>
              <w:rPr>
                <w:rFonts w:ascii="Times New Roman" w:hAnsi="Times New Roman"/>
                <w:sz w:val="24"/>
              </w:rPr>
              <w:t>It is also co-chaired by the three General Secretaries and FENASCOM and includes the central technical services of the three departments and those of the Technical and Financial Partners. It shall meet every two months, in order to monitor the implementation of the program in order to resolve bottlenecks, constraints and any obstacles that are identified.</w:t>
            </w:r>
          </w:p>
          <w:p w14:paraId="11C80315" w14:textId="77777777" w:rsidR="00E110D2" w:rsidRPr="00804BA9" w:rsidRDefault="00613E2E" w:rsidP="00226DF1">
            <w:pPr>
              <w:pStyle w:val="ListParagraph"/>
              <w:numPr>
                <w:ilvl w:val="0"/>
                <w:numId w:val="25"/>
              </w:numPr>
              <w:spacing w:before="120" w:after="120"/>
              <w:jc w:val="both"/>
              <w:rPr>
                <w:rFonts w:ascii="Times New Roman" w:hAnsi="Times New Roman"/>
                <w:b/>
                <w:sz w:val="24"/>
                <w:szCs w:val="24"/>
              </w:rPr>
            </w:pPr>
            <w:r>
              <w:rPr>
                <w:rFonts w:ascii="Times New Roman" w:hAnsi="Times New Roman"/>
                <w:b/>
                <w:sz w:val="24"/>
              </w:rPr>
              <w:t xml:space="preserve">At the regional level: </w:t>
            </w:r>
          </w:p>
          <w:p w14:paraId="412AEA09" w14:textId="7C275A25" w:rsidR="00613E2E" w:rsidRPr="004B5884" w:rsidRDefault="00ED184D" w:rsidP="00226DF1">
            <w:pPr>
              <w:spacing w:before="120" w:after="120"/>
              <w:jc w:val="both"/>
              <w:rPr>
                <w:rFonts w:ascii="Times New Roman" w:hAnsi="Times New Roman"/>
                <w:sz w:val="24"/>
                <w:szCs w:val="24"/>
              </w:rPr>
            </w:pPr>
            <w:r>
              <w:rPr>
                <w:rFonts w:ascii="Times New Roman" w:hAnsi="Times New Roman"/>
                <w:sz w:val="24"/>
              </w:rPr>
              <w:t>There is the Regional PRODESS (CROCEP) Steering, Coordination and Evaluation Committee, chaired by the Governor of the region. It reviews and validates the health development plans and programs for the region and monitors their implementation. It includes public and administrative authorities of the region, the Technical and Financial Partners and other participants involved in the implementation of PRODESS.</w:t>
            </w:r>
          </w:p>
          <w:p w14:paraId="266137F5" w14:textId="4A9E0F2F" w:rsidR="00E110D2" w:rsidRPr="004B5884" w:rsidRDefault="00ED184D" w:rsidP="00226DF1">
            <w:pPr>
              <w:numPr>
                <w:ilvl w:val="0"/>
                <w:numId w:val="25"/>
              </w:numPr>
              <w:spacing w:before="120" w:after="120"/>
              <w:jc w:val="both"/>
              <w:rPr>
                <w:rFonts w:ascii="Times New Roman" w:hAnsi="Times New Roman"/>
                <w:b/>
                <w:sz w:val="24"/>
                <w:szCs w:val="24"/>
              </w:rPr>
            </w:pPr>
            <w:r>
              <w:rPr>
                <w:rFonts w:ascii="Times New Roman" w:hAnsi="Times New Roman"/>
                <w:b/>
                <w:sz w:val="24"/>
              </w:rPr>
              <w:t xml:space="preserve">At the operational level </w:t>
            </w:r>
          </w:p>
          <w:p w14:paraId="7AAC7FED" w14:textId="6E3F34F7" w:rsidR="00613E2E" w:rsidRPr="004B5884" w:rsidRDefault="00613E2E" w:rsidP="00226DF1">
            <w:pPr>
              <w:spacing w:before="120" w:after="120"/>
              <w:jc w:val="both"/>
              <w:rPr>
                <w:rFonts w:ascii="Times New Roman" w:hAnsi="Times New Roman"/>
                <w:sz w:val="24"/>
                <w:szCs w:val="24"/>
              </w:rPr>
            </w:pPr>
            <w:r>
              <w:rPr>
                <w:rFonts w:ascii="Times New Roman" w:hAnsi="Times New Roman"/>
                <w:color w:val="000000"/>
                <w:sz w:val="24"/>
              </w:rPr>
              <w:t xml:space="preserve"> There is the Management Council, which serves the same role as CROCEP at the district level. It is chaired by the Prefect and comprised of the political, administrative, local, chief physician and civil society authorities, the local Technical and Financial Partners and other PRODESS participants. The committee meets semi-annually. For the Towns of Bamako, the Management Council is chaired by the Mayors, and the parties mentioned above are participants.</w:t>
            </w:r>
          </w:p>
          <w:p w14:paraId="46B4A3B4" w14:textId="77777777" w:rsidR="006247EC" w:rsidRPr="004B5884" w:rsidRDefault="006247EC" w:rsidP="00226DF1">
            <w:pPr>
              <w:spacing w:before="120" w:after="120"/>
              <w:jc w:val="both"/>
              <w:rPr>
                <w:rFonts w:ascii="Times New Roman" w:eastAsia="'times new roman', serif" w:hAnsi="Times New Roman"/>
                <w:color w:val="000000"/>
                <w:sz w:val="24"/>
                <w:szCs w:val="24"/>
              </w:rPr>
            </w:pPr>
            <w:r>
              <w:rPr>
                <w:rFonts w:ascii="Times New Roman" w:hAnsi="Times New Roman"/>
                <w:color w:val="000000"/>
                <w:sz w:val="24"/>
              </w:rPr>
              <w:t xml:space="preserve">The Planning and Statistics Cell of the health sector, social development and family promotion is responsible for centralization and data analysis necessary for the monitoring of PRODESS. </w:t>
            </w:r>
          </w:p>
          <w:p w14:paraId="1AF90CEE" w14:textId="77777777" w:rsidR="00B81B0C" w:rsidRPr="004B5884" w:rsidRDefault="00506BAB" w:rsidP="00226DF1">
            <w:pPr>
              <w:spacing w:before="120" w:after="120"/>
              <w:jc w:val="both"/>
              <w:rPr>
                <w:rFonts w:ascii="Times New Roman" w:eastAsia="'times new roman', serif" w:hAnsi="Times New Roman"/>
                <w:color w:val="000000"/>
                <w:sz w:val="24"/>
                <w:szCs w:val="24"/>
              </w:rPr>
            </w:pPr>
            <w:r>
              <w:rPr>
                <w:rFonts w:ascii="Times New Roman" w:hAnsi="Times New Roman"/>
                <w:color w:val="000000"/>
                <w:sz w:val="24"/>
              </w:rPr>
              <w:t>Annual reviews of the health sector are coordinated at the central level and locally, involving the authorities described above.</w:t>
            </w:r>
          </w:p>
          <w:p w14:paraId="5F71C673" w14:textId="77777777" w:rsidR="005A5277" w:rsidRPr="004B5884" w:rsidRDefault="00280248" w:rsidP="00226DF1">
            <w:pPr>
              <w:spacing w:before="120" w:after="120"/>
              <w:jc w:val="both"/>
              <w:rPr>
                <w:rFonts w:ascii="Times New Roman" w:eastAsia="'times new roman', serif" w:hAnsi="Times New Roman"/>
                <w:color w:val="000000"/>
                <w:sz w:val="24"/>
                <w:szCs w:val="24"/>
              </w:rPr>
            </w:pPr>
            <w:r>
              <w:rPr>
                <w:rFonts w:ascii="Times New Roman" w:hAnsi="Times New Roman"/>
                <w:color w:val="000000"/>
                <w:sz w:val="24"/>
              </w:rPr>
              <w:t>Beyond the PRODESS authorities, more specific evaluation activities are organized by the MSHP: i) Annual evaluation and planning days, chaired by the Minister of Health for monitoring and evaluation of hospital and technical facilities; ii) the joint monitoring mission of the Ministry and partners that meet annually; iii) specific program reviews, including the EPI.</w:t>
            </w:r>
          </w:p>
          <w:p w14:paraId="2AD70843" w14:textId="42935997" w:rsidR="0023114E" w:rsidRPr="004B5884" w:rsidRDefault="00137299" w:rsidP="00226DF1">
            <w:pPr>
              <w:spacing w:before="120" w:after="120"/>
              <w:jc w:val="both"/>
              <w:rPr>
                <w:rFonts w:ascii="Times New Roman" w:eastAsia="'times new roman', serif" w:hAnsi="Times New Roman"/>
                <w:color w:val="000000"/>
                <w:sz w:val="24"/>
                <w:szCs w:val="24"/>
              </w:rPr>
            </w:pPr>
            <w:r>
              <w:rPr>
                <w:rFonts w:ascii="Times New Roman" w:hAnsi="Times New Roman"/>
                <w:color w:val="000000"/>
                <w:sz w:val="24"/>
              </w:rPr>
              <w:t xml:space="preserve">The mechanisms for monitoring and evaluation of the Ten-year Health and Social Development Plan depend on SNIGS, on the various sub-systems for collecting and analyzing data which have been implemented within the programs and certain specific surveys (Demographic Health Survey of Mali, MICS, EC, etc.). </w:t>
            </w:r>
          </w:p>
          <w:p w14:paraId="1664CE0E" w14:textId="77777777" w:rsidR="0043385B" w:rsidRPr="004B5884" w:rsidRDefault="001E6CB0" w:rsidP="00226DF1">
            <w:pPr>
              <w:spacing w:before="120" w:after="120"/>
              <w:jc w:val="both"/>
              <w:rPr>
                <w:rFonts w:ascii="Times New Roman" w:eastAsia="'times new roman', serif" w:hAnsi="Times New Roman"/>
                <w:color w:val="000000"/>
                <w:sz w:val="24"/>
                <w:szCs w:val="24"/>
              </w:rPr>
            </w:pPr>
            <w:r>
              <w:rPr>
                <w:rFonts w:ascii="Times New Roman" w:hAnsi="Times New Roman"/>
                <w:color w:val="000000"/>
                <w:sz w:val="24"/>
              </w:rPr>
              <w:t>An external evaluation of the SLIS was conducted in 2013 (PRISM), and the report was validated in July 2014. An immunization data quality survey (DQS) is planned in 2014.</w:t>
            </w:r>
          </w:p>
          <w:p w14:paraId="56E92A42" w14:textId="60938590" w:rsidR="00746CB8" w:rsidRPr="005F0548" w:rsidRDefault="00613E2E" w:rsidP="00226DF1">
            <w:pPr>
              <w:spacing w:before="120" w:after="120"/>
              <w:jc w:val="both"/>
              <w:rPr>
                <w:rFonts w:ascii="Times New Roman" w:eastAsia="'times new roman', serif" w:hAnsi="Times New Roman"/>
                <w:sz w:val="24"/>
                <w:szCs w:val="24"/>
              </w:rPr>
            </w:pPr>
            <w:r>
              <w:rPr>
                <w:rFonts w:ascii="Times New Roman" w:hAnsi="Times New Roman"/>
                <w:sz w:val="24"/>
              </w:rPr>
              <w:t>The immunization programs are reviewed during the PRODESS meetings. There is also an Inter-agency Coordinating Committee (ICC) for immunization that is able to be supplemented by the Immunization Technical Advisory Group.</w:t>
            </w:r>
          </w:p>
        </w:tc>
      </w:tr>
    </w:tbl>
    <w:p w14:paraId="093A8A7B"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pPr w:leftFromText="141" w:rightFromText="141" w:vertAnchor="text" w:horzAnchor="margin" w:tblpY="194"/>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027D1C9A" w14:textId="77777777" w:rsidTr="005D447F">
        <w:tc>
          <w:tcPr>
            <w:tcW w:w="10348" w:type="dxa"/>
            <w:shd w:val="clear" w:color="auto" w:fill="006460"/>
          </w:tcPr>
          <w:p w14:paraId="25DF4C41" w14:textId="70FE0297" w:rsidR="00867FFD" w:rsidRPr="004B5884" w:rsidRDefault="00867FFD" w:rsidP="00226DF1">
            <w:pPr>
              <w:pStyle w:val="Heading2"/>
              <w:rPr>
                <w:rFonts w:ascii="Times New Roman" w:eastAsia="Calibri" w:hAnsi="Times New Roman"/>
                <w:sz w:val="24"/>
                <w:szCs w:val="24"/>
              </w:rPr>
            </w:pPr>
            <w:bookmarkStart w:id="51" w:name="_Toc346116640"/>
            <w:bookmarkStart w:id="52" w:name="_Toc398181091"/>
            <w:bookmarkStart w:id="53" w:name="_Toc276342220"/>
            <w:r>
              <w:rPr>
                <w:rFonts w:ascii="Times New Roman" w:hAnsi="Times New Roman"/>
                <w:sz w:val="24"/>
              </w:rPr>
              <w:t xml:space="preserve">9. </w:t>
            </w:r>
            <w:bookmarkStart w:id="54" w:name="_Toc349297135"/>
            <w:bookmarkStart w:id="55" w:name="_Toc358399418"/>
            <w:r>
              <w:rPr>
                <w:rFonts w:ascii="Times New Roman" w:hAnsi="Times New Roman"/>
                <w:sz w:val="24"/>
              </w:rPr>
              <w:t>Health Systems Bottlenecks to Achieving Immunization Outcomes</w:t>
            </w:r>
            <w:bookmarkEnd w:id="51"/>
            <w:bookmarkEnd w:id="52"/>
            <w:bookmarkEnd w:id="54"/>
            <w:bookmarkEnd w:id="55"/>
            <w:bookmarkEnd w:id="53"/>
          </w:p>
        </w:tc>
      </w:tr>
      <w:tr w:rsidR="00867FFD" w:rsidRPr="009316FF" w14:paraId="3DCD26BC" w14:textId="77777777" w:rsidTr="005D447F">
        <w:tc>
          <w:tcPr>
            <w:tcW w:w="10348" w:type="dxa"/>
            <w:shd w:val="clear" w:color="auto" w:fill="FFFFFF"/>
          </w:tcPr>
          <w:p w14:paraId="14BF0243" w14:textId="50F41626"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section will be used to understand the main bottlenecks affecting health system performance. The analysis here underpins the application, ensuring the proposed activities are designed to address the bottlenecks. </w:t>
            </w:r>
          </w:p>
          <w:p w14:paraId="7EC66E4C"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describe key health and immunisation system bottlenecks at national, sub-national and community levels preventing your country from improving immunisation outcomes. Consider constraints to providing services to specific population groups, such as the under reached, marginalised or otherwise disadvantaged populations. The country is also asked to consider gender related barriers to accessing quality services.</w:t>
            </w:r>
          </w:p>
          <w:p w14:paraId="1D826607"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In order to keep this section concise, please summarise the key elements in the context of the HSS support being asked for, and provide reference to the relevant section in the National Health Plan for further detail. </w:t>
            </w:r>
          </w:p>
          <w:p w14:paraId="2E90DD28" w14:textId="5E0000C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refer to bottlenecks which impact gender and equity-related access to immunization.</w:t>
            </w:r>
          </w:p>
          <w:p w14:paraId="06810D5E" w14:textId="1F7EAA7B"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reference the analytical work that led to identification of the bottlenecks.</w:t>
            </w:r>
          </w:p>
          <w:p w14:paraId="1FEA8DB7" w14:textId="2901E375"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Describe the bottlenecks identified in any new vaccine proposals submitted to GAVI, the National Health Plan, and any recent health sector assessments such as the Effective</w:t>
            </w:r>
          </w:p>
          <w:p w14:paraId="044B72A9" w14:textId="5499AAD1"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Which of the above-specified bottlenecks will be addressed by the current proposal? Which bottlenecks are addressed by other national or externally supported programs?</w:t>
            </w:r>
          </w:p>
          <w:p w14:paraId="5D7A7451" w14:textId="6AA802D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In order to keep this section concise, please summarise the key bottlenecks and provide references to the relevant sections in existing bottleneck analyses. Please ensure the referenced analyses are provided as attachments.</w:t>
            </w:r>
          </w:p>
        </w:tc>
      </w:tr>
      <w:tr w:rsidR="00F5097E" w:rsidRPr="009316FF" w14:paraId="24DACBFB" w14:textId="77777777" w:rsidTr="004B5884">
        <w:trPr>
          <w:trHeight w:val="278"/>
        </w:trPr>
        <w:tc>
          <w:tcPr>
            <w:tcW w:w="10348" w:type="dxa"/>
            <w:shd w:val="clear" w:color="auto" w:fill="FFFFFF" w:themeFill="background1"/>
          </w:tcPr>
          <w:p w14:paraId="0253D5F0" w14:textId="77777777" w:rsidR="00867FFD" w:rsidRPr="004B5884" w:rsidRDefault="00867FFD" w:rsidP="00226DF1">
            <w:pPr>
              <w:spacing w:before="120" w:after="120"/>
              <w:jc w:val="both"/>
              <w:rPr>
                <w:rFonts w:ascii="Times New Roman" w:hAnsi="Times New Roman"/>
                <w:b/>
                <w:sz w:val="24"/>
                <w:szCs w:val="24"/>
              </w:rPr>
            </w:pPr>
            <w:r>
              <w:rPr>
                <w:rFonts w:ascii="Times New Roman" w:hAnsi="Times New Roman"/>
                <w:b/>
                <w:sz w:val="24"/>
              </w:rPr>
              <w:t>FOUR PAGES MAXIMUM</w:t>
            </w:r>
          </w:p>
          <w:p w14:paraId="65431148" w14:textId="12DA141F" w:rsidR="00FD15E7" w:rsidRPr="004B5884" w:rsidRDefault="00FD15E7" w:rsidP="00226DF1">
            <w:pPr>
              <w:spacing w:before="120" w:after="120"/>
              <w:jc w:val="both"/>
              <w:rPr>
                <w:rFonts w:ascii="Times New Roman" w:hAnsi="Times New Roman"/>
                <w:sz w:val="24"/>
                <w:szCs w:val="24"/>
              </w:rPr>
            </w:pPr>
            <w:r>
              <w:rPr>
                <w:rFonts w:ascii="Times New Roman" w:hAnsi="Times New Roman"/>
                <w:sz w:val="24"/>
              </w:rPr>
              <w:t>In Mali, several documents show that certain difficulties in achieving the established objectives relate to problems with the organization of the health system. So bottlenecks that may adversely affect immunization results are grouped into the following categories</w:t>
            </w:r>
          </w:p>
          <w:p w14:paraId="58FAE0BB"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Provision of services:</w:t>
            </w:r>
          </w:p>
          <w:p w14:paraId="2B8C5428" w14:textId="5D7A6EF3"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Significance of missed opportunities that are not corrected for certain vaccines (cMYP, p. 45): It was observed that many children who were not able to comply with the immunization calendar may be caught up during requests for other health services, in particular during treatment appointments.</w:t>
            </w:r>
          </w:p>
          <w:p w14:paraId="41853D6D" w14:textId="77777777" w:rsidR="00562EA8" w:rsidRPr="004B5884" w:rsidRDefault="00562EA8"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There are several factors that adversely affect care coverage, particularly with regard to immunization:  </w:t>
            </w:r>
          </w:p>
          <w:p w14:paraId="2F924F99" w14:textId="26EF5C5D" w:rsidR="008011C1" w:rsidRPr="004B5884" w:rsidRDefault="00EF0C3A" w:rsidP="00226DF1">
            <w:pPr>
              <w:numPr>
                <w:ilvl w:val="0"/>
                <w:numId w:val="17"/>
              </w:numPr>
              <w:spacing w:before="120" w:after="120"/>
              <w:jc w:val="both"/>
              <w:rPr>
                <w:rFonts w:ascii="Times New Roman" w:hAnsi="Times New Roman"/>
                <w:sz w:val="24"/>
                <w:szCs w:val="24"/>
              </w:rPr>
            </w:pPr>
            <w:r>
              <w:rPr>
                <w:rFonts w:ascii="Times New Roman" w:hAnsi="Times New Roman"/>
                <w:sz w:val="24"/>
              </w:rPr>
              <w:t xml:space="preserve">In spite of the geographic accessibility improvements made to basic services, limitations remain (44% of the population lives more than 5 km away). There are also areas that are difficult to access or that are unsafe (3 regions in the North). Nomadic populations and gold-washing sites also pose specific problems regarding access to care and immunization. 131 health areas do not have CSComs (cMYP, page 44, annual statistics report). </w:t>
            </w:r>
          </w:p>
          <w:p w14:paraId="1B04619F" w14:textId="5999D7EB" w:rsidR="00562EA8" w:rsidRPr="004B5884" w:rsidRDefault="00613E2E" w:rsidP="00226DF1">
            <w:pPr>
              <w:numPr>
                <w:ilvl w:val="0"/>
                <w:numId w:val="17"/>
              </w:numPr>
              <w:spacing w:before="120" w:after="120"/>
              <w:jc w:val="both"/>
              <w:rPr>
                <w:rFonts w:ascii="Times New Roman" w:hAnsi="Times New Roman"/>
                <w:sz w:val="24"/>
                <w:szCs w:val="24"/>
              </w:rPr>
            </w:pPr>
            <w:r>
              <w:rPr>
                <w:rFonts w:ascii="Times New Roman" w:hAnsi="Times New Roman"/>
                <w:sz w:val="24"/>
              </w:rPr>
              <w:t xml:space="preserve">Low routine EPI vaccine coverage (cMYP, page 45, JRF): 13 districts out of 60 have Penta3 coverage &lt; 80% related to geographic accessibility and security issues. </w:t>
            </w:r>
          </w:p>
          <w:p w14:paraId="1221DDB7" w14:textId="77777777" w:rsidR="00613E2E" w:rsidRPr="004B5884" w:rsidRDefault="00562EA8" w:rsidP="00226DF1">
            <w:pPr>
              <w:numPr>
                <w:ilvl w:val="0"/>
                <w:numId w:val="17"/>
              </w:numPr>
              <w:spacing w:before="120" w:after="120"/>
              <w:jc w:val="both"/>
              <w:rPr>
                <w:rFonts w:ascii="Times New Roman" w:hAnsi="Times New Roman"/>
                <w:sz w:val="24"/>
                <w:szCs w:val="24"/>
              </w:rPr>
            </w:pPr>
            <w:r>
              <w:rPr>
                <w:rFonts w:ascii="Times New Roman" w:hAnsi="Times New Roman"/>
                <w:sz w:val="24"/>
              </w:rPr>
              <w:t>Furthermore, many parents do not have their children systematically immunized, in particular those parents who are not educated.  The implementation of an information and education program related to health at the community level could be one solution.</w:t>
            </w:r>
          </w:p>
          <w:p w14:paraId="38437DDD" w14:textId="75E35649" w:rsidR="00410441"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High dropout rate (cMYP, p. 45):  This aspect could also be attributed to the lack of coherent communication regarding immunization.</w:t>
            </w:r>
          </w:p>
          <w:p w14:paraId="10404C99"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Human resources:</w:t>
            </w:r>
          </w:p>
          <w:p w14:paraId="0DC73DBC" w14:textId="2C9BE7D9"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Insufficiency and instability of qualified and trained human resources for immunization (cMYP p. 45) and (PRODESS III, p. 46): insufficient qualified personnel is one of the primary bottlenecks of the health care system in Mali. It was noted that most of the immunization actions are carried out by unqualified personnel. These personnel, although they are insufficient, also have difficulty adapting to the living conditions of certain locales.</w:t>
            </w:r>
          </w:p>
          <w:p w14:paraId="2F9818F5" w14:textId="03D021E0" w:rsidR="00EC4628" w:rsidRPr="004B5884" w:rsidRDefault="00EC4628" w:rsidP="00226DF1">
            <w:pPr>
              <w:numPr>
                <w:ilvl w:val="0"/>
                <w:numId w:val="11"/>
              </w:numPr>
              <w:spacing w:before="120" w:after="120"/>
              <w:jc w:val="both"/>
              <w:rPr>
                <w:rFonts w:ascii="Times New Roman" w:hAnsi="Times New Roman"/>
                <w:sz w:val="24"/>
                <w:szCs w:val="24"/>
              </w:rPr>
            </w:pPr>
            <w:r>
              <w:rPr>
                <w:rFonts w:ascii="Times New Roman" w:hAnsi="Times New Roman"/>
                <w:sz w:val="24"/>
              </w:rPr>
              <w:t>Qualitative and quantitative insufficiency of personnel, in particular at the subregional or health district level (PRODESS III, p. 46): at this level, due to insufficient qualified personnel, health aids are used as vaccinating agents. These non-qualified personnel are just as often not trained in EPI data management, which explains the problems recorded in the collection and management of immunization data in many health districts of the country.</w:t>
            </w:r>
          </w:p>
          <w:p w14:paraId="790249AA" w14:textId="77777777" w:rsidR="008A5ADC" w:rsidRPr="004B5884" w:rsidRDefault="008A5ADC"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insufficient personnel trained in the management of immunization logistics and maintenance: this state of affairs is the explanation for significant dropout rates at all levels due to late orders, expiration and cold chain problems.</w:t>
            </w:r>
          </w:p>
          <w:p w14:paraId="67D0F6B7" w14:textId="77777777" w:rsidR="0054593D" w:rsidRPr="004B5884" w:rsidRDefault="0054593D" w:rsidP="00226DF1">
            <w:pPr>
              <w:numPr>
                <w:ilvl w:val="0"/>
                <w:numId w:val="11"/>
              </w:numPr>
              <w:spacing w:before="120" w:after="120"/>
              <w:jc w:val="both"/>
              <w:rPr>
                <w:rFonts w:ascii="Times New Roman" w:hAnsi="Times New Roman"/>
                <w:sz w:val="24"/>
                <w:szCs w:val="24"/>
              </w:rPr>
            </w:pPr>
            <w:r>
              <w:rPr>
                <w:rFonts w:ascii="Times New Roman" w:hAnsi="Times New Roman"/>
                <w:sz w:val="24"/>
              </w:rPr>
              <w:t>Low motivation of health personnel in general.</w:t>
            </w:r>
          </w:p>
          <w:p w14:paraId="5695C357"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Supply chain management system:</w:t>
            </w:r>
          </w:p>
          <w:p w14:paraId="4A73B9EB" w14:textId="6AC25F41"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Low warehouse dry storage capacity at the central level and in most of the regional depots and in the districts (GEV/Mali, 2011 - Page 13): interruptions in the supply of vaccination supplies are the result of limited orders for these supplies, due to insufficient storage areas thus hindering the immunization sessions for children at institutions. The 2011 GEV also shows weaknesses in maintenance and the management of inventories, distribution and vaccine management (regional and operational levels). </w:t>
            </w:r>
          </w:p>
          <w:p w14:paraId="54B059FE" w14:textId="6C864608"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Interruptions in the supply of vaccines, reagents, sample transport environment at the regional and operational level (cMYP, p. 75): this situation does not allow a rapid response to epidemics.</w:t>
            </w:r>
          </w:p>
          <w:p w14:paraId="0C793527" w14:textId="1B14AA49"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Insufficient and outdated cold chain equipment and vehicles (cMYP, p. 82): in most CSComs, old oil-powered refrigerators are used. The lack of oil of a sufficient quality makes operation of the cold chain difficult. It has also been noted that most health district lack a vehicle to supply centers with vaccines, to conduct mobile team outings and supervisory activities. </w:t>
            </w:r>
          </w:p>
          <w:p w14:paraId="20F8BE69" w14:textId="547F4237" w:rsidR="00613E2E" w:rsidRPr="004B5884" w:rsidRDefault="00E53D8A" w:rsidP="00226DF1">
            <w:pPr>
              <w:numPr>
                <w:ilvl w:val="0"/>
                <w:numId w:val="11"/>
              </w:numPr>
              <w:spacing w:before="120" w:after="120"/>
              <w:jc w:val="both"/>
              <w:rPr>
                <w:rFonts w:ascii="Times New Roman" w:hAnsi="Times New Roman"/>
                <w:sz w:val="24"/>
                <w:szCs w:val="24"/>
              </w:rPr>
            </w:pPr>
            <w:r>
              <w:rPr>
                <w:rFonts w:ascii="Times New Roman" w:hAnsi="Times New Roman"/>
                <w:sz w:val="24"/>
              </w:rPr>
              <w:t>Failure to comply with the supply calendar (cMYP, p. 82): which is also related to the lack of a management specialist in immunization logistics and causes interruptions in vaccine supplies at health care facilities.</w:t>
            </w:r>
          </w:p>
          <w:p w14:paraId="01AD8030" w14:textId="1E31FEF7"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Failure to update inventories (cMYP, p. 81): this is attributed to inexperience and a lack of training of agents responsible for vaccine management in the various structures.</w:t>
            </w:r>
          </w:p>
          <w:p w14:paraId="781B7432" w14:textId="7EC0F8A7"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Insufficiency of the maintenance system (cMYP, p. 82): the country does not have enough of technicians trained in cold chain logistics maintenance, therefore certain problems in the supply chain. </w:t>
            </w:r>
          </w:p>
          <w:p w14:paraId="50459C4D" w14:textId="216623CC"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Insufficiency in the management of biomedical waste (cMYP, p. 82): structures lack an incinerator and adequate materials for the management of biomedical waste.</w:t>
            </w:r>
          </w:p>
          <w:p w14:paraId="198A033A"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Health Information Systems:</w:t>
            </w:r>
          </w:p>
          <w:p w14:paraId="5EAA85F6" w14:textId="244CF63A"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Insufficiency with regard to the collection, analysis, interpretation, use and transmission of data (cMYP, p. 45): this results, among other consequences, in poor planning and insufficient decision-making due to a lack of reliable data.</w:t>
            </w:r>
          </w:p>
          <w:p w14:paraId="4EE2098E" w14:textId="77777777" w:rsidR="00C10CC6" w:rsidRPr="004B5884" w:rsidRDefault="00EA5DAD" w:rsidP="00226DF1">
            <w:pPr>
              <w:numPr>
                <w:ilvl w:val="0"/>
                <w:numId w:val="11"/>
              </w:numPr>
              <w:spacing w:before="120" w:after="120"/>
              <w:jc w:val="both"/>
              <w:rPr>
                <w:rFonts w:ascii="Times New Roman" w:hAnsi="Times New Roman"/>
                <w:sz w:val="24"/>
                <w:szCs w:val="24"/>
              </w:rPr>
            </w:pPr>
            <w:r>
              <w:rPr>
                <w:rFonts w:ascii="Times New Roman" w:hAnsi="Times New Roman"/>
                <w:sz w:val="24"/>
              </w:rPr>
              <w:t>A great discrepancy between routine coverage rates and those from surveys: this discrepancy is due on the one hand to the lack of a consensus regarding the total number of children to be immunized during the year (denominator) and on the other hand, the lack of strictness in data collection and verification.</w:t>
            </w:r>
          </w:p>
          <w:p w14:paraId="50956899" w14:textId="7CF50D91"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Less than 80% of districts reported a suspected case of yellow fever (cMYP, p. 74): unreported cases of icterus and for which samples were not taken for laboratory tests were noted in the country and are a weakness in epidemiological monitoring.</w:t>
            </w:r>
          </w:p>
          <w:p w14:paraId="0EDA9186" w14:textId="59E0DF78"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Insufficiency in the surveillance of diseases that are avoidable by immunization and the reporting of AEFIs (cMYP, p. 82): with the frequent occurrence of epidemics in the country, surveillance of immunization-avoidable diseases is called into question.</w:t>
            </w:r>
          </w:p>
          <w:p w14:paraId="720D7048" w14:textId="7FA5518E" w:rsidR="000758A9"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Weakness in the dissemination of results of research (cMYP, p. 83): lack of awareness of certain research due to a lack of communication, the fact that some data is not used for future interventions. </w:t>
            </w:r>
          </w:p>
          <w:p w14:paraId="0899799D"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Community and other local actors:</w:t>
            </w:r>
          </w:p>
          <w:p w14:paraId="02DB2E77" w14:textId="3F80B50D"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Insufficient communication among the various actors (cMYP, p. 44): it is the result of a lack of use of immunization by the communities, due to ignorance of their role.</w:t>
            </w:r>
          </w:p>
          <w:p w14:paraId="2D924813" w14:textId="0C0F9ACB"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Insufficient information regarding the importance of immunization and compliance with the vaccine schedule (cMYP, p. 45): certain parents are not aware of the importance of immunization and compliance with the immunization calendar, which represents one of the weaknesses of the system with regard to health communications.</w:t>
            </w:r>
          </w:p>
          <w:p w14:paraId="5FE3C743" w14:textId="43C723D1"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Absence of an operational plan for communication / social mobilization with regard to immunization at the Health Districts level (cMYP, p. 22): the contribution of populations to communication / social mobilization regarding immunization is difficult without an appropriate plan.</w:t>
            </w:r>
          </w:p>
          <w:p w14:paraId="40603553"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Legal, political and regulatory environment:</w:t>
            </w:r>
          </w:p>
          <w:p w14:paraId="45EA7EC7" w14:textId="63E8926E"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Low institutional anchoring of the immunization program (failure to adopt texts from the General Directorate of Health) (cMYP, p. 19): the adoption of said texts from the General Directorate of Health will strengthen the immunization section by creating a sub-directorate for the EPI, with greater administrative autonomy.</w:t>
            </w:r>
          </w:p>
          <w:p w14:paraId="500E7906" w14:textId="66C6FFC0"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Absence of a law regarding sustainable financing (Draft law prepared and not adopted) (cMYP, p. 19): the delay in adoption of this law, caused immunization funding to not be at the desired level.</w:t>
            </w:r>
          </w:p>
          <w:p w14:paraId="5645C820" w14:textId="060119A6" w:rsidR="0010791D"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Dysfunction within the national regulatory authority for medications and vaccines (cMYP, p. 81): the correct operation of this institution will allow the quality of vaccines and other pharmaceutical products to be better controlled before they reach the market. </w:t>
            </w:r>
          </w:p>
          <w:p w14:paraId="4E1B5182" w14:textId="77777777" w:rsidR="00613E2E" w:rsidRPr="004B5884" w:rsidRDefault="00613E2E" w:rsidP="00226DF1">
            <w:pPr>
              <w:numPr>
                <w:ilvl w:val="0"/>
                <w:numId w:val="12"/>
              </w:numPr>
              <w:spacing w:before="120" w:after="120"/>
              <w:jc w:val="both"/>
              <w:rPr>
                <w:rFonts w:ascii="Times New Roman" w:hAnsi="Times New Roman"/>
                <w:b/>
                <w:sz w:val="24"/>
                <w:szCs w:val="24"/>
              </w:rPr>
            </w:pPr>
            <w:r>
              <w:rPr>
                <w:rFonts w:ascii="Times New Roman" w:hAnsi="Times New Roman"/>
                <w:b/>
                <w:sz w:val="24"/>
              </w:rPr>
              <w:t>Financing:</w:t>
            </w:r>
          </w:p>
          <w:p w14:paraId="0912D8EC" w14:textId="3AB53E27" w:rsidR="00613E2E" w:rsidRPr="004B5884" w:rsidRDefault="00613E2E" w:rsidP="00226DF1">
            <w:pPr>
              <w:numPr>
                <w:ilvl w:val="0"/>
                <w:numId w:val="11"/>
              </w:numPr>
              <w:spacing w:before="120" w:after="120"/>
              <w:jc w:val="both"/>
              <w:rPr>
                <w:rFonts w:ascii="Times New Roman" w:hAnsi="Times New Roman"/>
                <w:sz w:val="24"/>
                <w:szCs w:val="24"/>
              </w:rPr>
            </w:pPr>
            <w:r>
              <w:rPr>
                <w:rFonts w:ascii="Times New Roman" w:hAnsi="Times New Roman"/>
                <w:sz w:val="24"/>
              </w:rPr>
              <w:t xml:space="preserve">Insufficient financing of immunization activities by the decentralized municipalities and communities (cMYP, pp. 19 and 23), and in particular at the level of scheduling, monitoring-evaluation, oversight and supervision: the lack of mobilization of resources at the community level and the municipalities for immunization limits the implementation of advanced and mobile strategies. </w:t>
            </w:r>
          </w:p>
          <w:p w14:paraId="33189068" w14:textId="21F64987" w:rsidR="00BE17B8" w:rsidRDefault="0071019E" w:rsidP="00226DF1">
            <w:pPr>
              <w:spacing w:before="120" w:after="120"/>
              <w:jc w:val="both"/>
              <w:rPr>
                <w:rFonts w:ascii="Times New Roman" w:hAnsi="Times New Roman"/>
                <w:sz w:val="24"/>
                <w:szCs w:val="24"/>
              </w:rPr>
            </w:pPr>
            <w:r>
              <w:rPr>
                <w:rFonts w:ascii="Times New Roman" w:hAnsi="Times New Roman"/>
                <w:sz w:val="24"/>
              </w:rPr>
              <w:t xml:space="preserve">In the context of support for health system strengthening from the GAVI Alliance, intervention involving certain prioritized bottlenecks will be an advantage for the strengthening of immunization services at the operational level and improvement of coverage. These various prioritized bottlenecks were identified at all levels of the axes for strengthening of the health system. </w:t>
            </w:r>
          </w:p>
          <w:p w14:paraId="5068A1E0" w14:textId="77777777" w:rsidR="00CD61F5" w:rsidRPr="004B5884" w:rsidRDefault="00CD61F5" w:rsidP="00226DF1">
            <w:pPr>
              <w:spacing w:before="120" w:after="120"/>
              <w:jc w:val="both"/>
              <w:rPr>
                <w:rFonts w:ascii="Times New Roman" w:hAnsi="Times New Roman"/>
                <w:sz w:val="24"/>
                <w:szCs w:val="24"/>
              </w:rPr>
            </w:pPr>
          </w:p>
          <w:p w14:paraId="5916DBC6" w14:textId="53D44B5A" w:rsidR="00BE0768" w:rsidRPr="006C354A" w:rsidRDefault="00B5269E" w:rsidP="00226DF1">
            <w:pPr>
              <w:shd w:val="clear" w:color="auto" w:fill="FFFFFF" w:themeFill="background1"/>
              <w:spacing w:before="120" w:after="120"/>
              <w:jc w:val="both"/>
              <w:rPr>
                <w:rFonts w:ascii="Times New Roman" w:hAnsi="Times New Roman"/>
                <w:b/>
                <w:sz w:val="24"/>
                <w:u w:val="single"/>
              </w:rPr>
            </w:pPr>
            <w:r>
              <w:rPr>
                <w:rFonts w:ascii="Times New Roman" w:hAnsi="Times New Roman"/>
                <w:b/>
                <w:sz w:val="24"/>
                <w:u w:val="single"/>
              </w:rPr>
              <w:t>Prioritized bottlenecks that are addressed by the GAVI-HSS proposal:</w:t>
            </w:r>
          </w:p>
          <w:p w14:paraId="5CFA2D1E" w14:textId="77777777" w:rsidR="008B11C9" w:rsidRPr="00485D43" w:rsidRDefault="008B11C9" w:rsidP="00796629">
            <w:pPr>
              <w:numPr>
                <w:ilvl w:val="0"/>
                <w:numId w:val="37"/>
              </w:numPr>
              <w:shd w:val="clear" w:color="auto" w:fill="FFFFFF" w:themeFill="background1"/>
              <w:spacing w:before="120" w:after="120"/>
              <w:jc w:val="both"/>
              <w:rPr>
                <w:rFonts w:ascii="Times New Roman" w:hAnsi="Times New Roman"/>
                <w:sz w:val="24"/>
                <w:szCs w:val="24"/>
              </w:rPr>
            </w:pPr>
            <w:r>
              <w:rPr>
                <w:rFonts w:ascii="Times New Roman" w:hAnsi="Times New Roman"/>
                <w:sz w:val="24"/>
              </w:rPr>
              <w:t>Insufficient coverage of the offer of quality basic care in the care offer.</w:t>
            </w:r>
          </w:p>
          <w:p w14:paraId="04A1D136" w14:textId="77777777" w:rsidR="008B11C9" w:rsidRPr="00485D43" w:rsidRDefault="008B11C9" w:rsidP="00796629">
            <w:pPr>
              <w:numPr>
                <w:ilvl w:val="0"/>
                <w:numId w:val="37"/>
              </w:numPr>
              <w:shd w:val="clear" w:color="auto" w:fill="FFFFFF" w:themeFill="background1"/>
              <w:spacing w:before="120" w:after="120"/>
              <w:jc w:val="both"/>
              <w:rPr>
                <w:rFonts w:ascii="Times New Roman" w:hAnsi="Times New Roman"/>
                <w:sz w:val="24"/>
                <w:szCs w:val="24"/>
              </w:rPr>
            </w:pPr>
            <w:r>
              <w:rPr>
                <w:rFonts w:ascii="Times New Roman" w:hAnsi="Times New Roman"/>
                <w:sz w:val="24"/>
              </w:rPr>
              <w:t>Insufficient demand for care and for immunization i particular.</w:t>
            </w:r>
          </w:p>
          <w:p w14:paraId="4EE3BB04" w14:textId="77777777" w:rsidR="008B11C9" w:rsidRPr="00485D43" w:rsidRDefault="008B11C9" w:rsidP="00796629">
            <w:pPr>
              <w:numPr>
                <w:ilvl w:val="0"/>
                <w:numId w:val="37"/>
              </w:numPr>
              <w:shd w:val="clear" w:color="auto" w:fill="FFFFFF" w:themeFill="background1"/>
              <w:spacing w:before="120" w:after="120"/>
              <w:jc w:val="both"/>
              <w:rPr>
                <w:rFonts w:ascii="Times New Roman" w:hAnsi="Times New Roman"/>
                <w:sz w:val="24"/>
                <w:szCs w:val="24"/>
              </w:rPr>
            </w:pPr>
            <w:r>
              <w:rPr>
                <w:rFonts w:ascii="Times New Roman" w:hAnsi="Times New Roman"/>
                <w:sz w:val="24"/>
              </w:rPr>
              <w:t>Insufficiency of the health information system and monitoring-evaluation.</w:t>
            </w:r>
          </w:p>
          <w:p w14:paraId="118A5D5A" w14:textId="70724AE3" w:rsidR="008B11C9" w:rsidRPr="00485D43" w:rsidRDefault="008B11C9" w:rsidP="00796629">
            <w:pPr>
              <w:numPr>
                <w:ilvl w:val="0"/>
                <w:numId w:val="37"/>
              </w:numPr>
              <w:shd w:val="clear" w:color="auto" w:fill="FFFFFF" w:themeFill="background1"/>
              <w:spacing w:before="120" w:after="120"/>
              <w:jc w:val="both"/>
              <w:rPr>
                <w:rFonts w:ascii="Times New Roman" w:hAnsi="Times New Roman"/>
                <w:sz w:val="24"/>
                <w:szCs w:val="24"/>
              </w:rPr>
            </w:pPr>
            <w:r>
              <w:rPr>
                <w:rFonts w:ascii="Times New Roman" w:hAnsi="Times New Roman"/>
                <w:sz w:val="24"/>
              </w:rPr>
              <w:t>Insufficient cold chain capacity and effective vaccine management</w:t>
            </w:r>
          </w:p>
          <w:p w14:paraId="042BF175" w14:textId="77777777" w:rsidR="00D03F2B" w:rsidRPr="00485D43" w:rsidRDefault="00D03F2B" w:rsidP="00796629">
            <w:pPr>
              <w:numPr>
                <w:ilvl w:val="0"/>
                <w:numId w:val="37"/>
              </w:numPr>
              <w:shd w:val="clear" w:color="auto" w:fill="FFFFFF" w:themeFill="background1"/>
              <w:spacing w:before="120" w:after="120"/>
              <w:jc w:val="both"/>
              <w:rPr>
                <w:rFonts w:ascii="Times New Roman" w:hAnsi="Times New Roman"/>
                <w:sz w:val="24"/>
                <w:szCs w:val="24"/>
              </w:rPr>
            </w:pPr>
            <w:r>
              <w:rPr>
                <w:rFonts w:ascii="Times New Roman" w:hAnsi="Times New Roman"/>
                <w:sz w:val="24"/>
              </w:rPr>
              <w:t>Insufficient financing for immunization</w:t>
            </w:r>
          </w:p>
        </w:tc>
      </w:tr>
    </w:tbl>
    <w:p w14:paraId="78D011AE" w14:textId="77777777" w:rsidR="00867FFD" w:rsidRPr="004B5884" w:rsidRDefault="00867FFD" w:rsidP="00226DF1">
      <w:pPr>
        <w:widowControl w:val="0"/>
        <w:tabs>
          <w:tab w:val="left" w:pos="4111"/>
        </w:tabs>
        <w:spacing w:before="120" w:after="120"/>
        <w:jc w:val="both"/>
        <w:rPr>
          <w:rFonts w:ascii="Times New Roman" w:eastAsia="Calibri" w:hAnsi="Times New Roman"/>
          <w:sz w:val="24"/>
          <w:szCs w:val="24"/>
        </w:rPr>
      </w:pPr>
    </w:p>
    <w:tbl>
      <w:tblPr>
        <w:tblpPr w:leftFromText="180" w:rightFromText="180" w:vertAnchor="text" w:horzAnchor="margin" w:tblpY="-106"/>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02"/>
        <w:gridCol w:w="7512"/>
      </w:tblGrid>
      <w:tr w:rsidR="00D13D00" w:rsidRPr="009316FF" w14:paraId="6A44C8B0" w14:textId="77777777" w:rsidTr="0070134E">
        <w:trPr>
          <w:trHeight w:val="407"/>
        </w:trPr>
        <w:tc>
          <w:tcPr>
            <w:tcW w:w="10314" w:type="dxa"/>
            <w:gridSpan w:val="2"/>
            <w:tcBorders>
              <w:bottom w:val="single" w:sz="6" w:space="0" w:color="215868"/>
            </w:tcBorders>
            <w:shd w:val="clear" w:color="auto" w:fill="006460"/>
          </w:tcPr>
          <w:p w14:paraId="61433493" w14:textId="77777777" w:rsidR="00D13D00" w:rsidRPr="004B5884" w:rsidRDefault="00D13D00" w:rsidP="00513AAF">
            <w:pPr>
              <w:pStyle w:val="Heading2"/>
              <w:rPr>
                <w:rFonts w:eastAsia="Calibri"/>
              </w:rPr>
            </w:pPr>
            <w:bookmarkStart w:id="56" w:name="_Toc398181092"/>
            <w:bookmarkStart w:id="57" w:name="_Toc276342221"/>
            <w:r>
              <w:rPr>
                <w:rFonts w:ascii="Times New Roman" w:hAnsi="Times New Roman"/>
                <w:sz w:val="24"/>
              </w:rPr>
              <w:t>10. Lessons Learned and Past Experience</w:t>
            </w:r>
            <w:bookmarkEnd w:id="56"/>
            <w:bookmarkEnd w:id="57"/>
          </w:p>
        </w:tc>
      </w:tr>
      <w:tr w:rsidR="00D13D00" w:rsidRPr="009316FF" w14:paraId="7EAA86FD" w14:textId="77777777" w:rsidTr="0070134E">
        <w:tc>
          <w:tcPr>
            <w:tcW w:w="10314" w:type="dxa"/>
            <w:gridSpan w:val="2"/>
            <w:shd w:val="clear" w:color="auto" w:fill="FFFFFF"/>
          </w:tcPr>
          <w:p w14:paraId="6BD3E73E" w14:textId="77777777" w:rsidR="00D13D00" w:rsidRPr="004B5884" w:rsidRDefault="00D13D00" w:rsidP="00226DF1">
            <w:pPr>
              <w:spacing w:before="120" w:after="120"/>
              <w:jc w:val="both"/>
              <w:rPr>
                <w:rFonts w:ascii="Times New Roman" w:hAnsi="Times New Roman"/>
                <w:i/>
                <w:color w:val="173E49"/>
                <w:sz w:val="24"/>
                <w:szCs w:val="24"/>
              </w:rPr>
            </w:pPr>
            <w:r>
              <w:rPr>
                <w:rFonts w:ascii="Times New Roman" w:hAnsi="Times New Roman"/>
                <w:i/>
                <w:color w:val="173E49"/>
                <w:sz w:val="24"/>
              </w:rPr>
              <w:t>This description will highlight to GAVI how lesson-learning has been incorporated into the design of the activities. It will provide the evidence base that demonstrates that the proposed activities will be effective, and that implementing them will achieve the desired intermediate results and immunisation outcomes.</w:t>
            </w:r>
          </w:p>
          <w:p w14:paraId="3B5B3786" w14:textId="77777777" w:rsidR="00D13D00" w:rsidRPr="004B5884" w:rsidRDefault="00D13D00"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use the table in the proposal form to summarise the evidence base and/or lessons learned related to each of the objectives in the proposal. Applicants are asked to detail the lessons learned from relevant interventions specific to their country that were successful. </w:t>
            </w:r>
          </w:p>
          <w:p w14:paraId="356DEF37" w14:textId="77777777" w:rsidR="00D13D00" w:rsidRPr="004B5884" w:rsidRDefault="00D13D00"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In addition, please illustrate the challenges to successful implementation. </w:t>
            </w:r>
          </w:p>
          <w:p w14:paraId="557EDB29" w14:textId="77777777" w:rsidR="00D13D00" w:rsidRPr="004B5884" w:rsidRDefault="00D13D00" w:rsidP="00226DF1">
            <w:pPr>
              <w:spacing w:before="120" w:after="120"/>
              <w:jc w:val="both"/>
              <w:rPr>
                <w:rFonts w:ascii="Times New Roman" w:eastAsia="Calibri" w:hAnsi="Times New Roman"/>
                <w:sz w:val="24"/>
                <w:szCs w:val="24"/>
              </w:rPr>
            </w:pPr>
            <w:r>
              <w:rPr>
                <w:rFonts w:ascii="Times New Roman" w:hAnsi="Times New Roman"/>
                <w:i/>
                <w:color w:val="173E49"/>
                <w:sz w:val="24"/>
              </w:rPr>
              <w:t>*Where possible, please provide evidence of this learning by providing a reference or a web-link to a published document related to the specific interventions.</w:t>
            </w:r>
          </w:p>
        </w:tc>
      </w:tr>
      <w:tr w:rsidR="00D13D00" w:rsidRPr="009316FF" w14:paraId="075CAE1A" w14:textId="77777777" w:rsidTr="0070134E">
        <w:trPr>
          <w:trHeight w:val="278"/>
        </w:trPr>
        <w:tc>
          <w:tcPr>
            <w:tcW w:w="2802" w:type="dxa"/>
            <w:shd w:val="clear" w:color="auto" w:fill="FFFFFF"/>
          </w:tcPr>
          <w:p w14:paraId="6F09829B" w14:textId="77777777" w:rsidR="00D13D00" w:rsidRPr="004B5884" w:rsidRDefault="00D13D00" w:rsidP="00226DF1">
            <w:pPr>
              <w:spacing w:before="120" w:after="120"/>
              <w:jc w:val="both"/>
              <w:rPr>
                <w:rFonts w:ascii="Times New Roman" w:hAnsi="Times New Roman"/>
                <w:b/>
                <w:sz w:val="24"/>
                <w:szCs w:val="24"/>
              </w:rPr>
            </w:pPr>
            <w:r>
              <w:rPr>
                <w:rFonts w:ascii="Times New Roman" w:hAnsi="Times New Roman"/>
                <w:b/>
                <w:sz w:val="24"/>
              </w:rPr>
              <w:t>Objective</w:t>
            </w:r>
          </w:p>
        </w:tc>
        <w:tc>
          <w:tcPr>
            <w:tcW w:w="7512" w:type="dxa"/>
            <w:shd w:val="clear" w:color="auto" w:fill="FFFFFF"/>
          </w:tcPr>
          <w:p w14:paraId="5AE46752" w14:textId="77777777" w:rsidR="00D13D00" w:rsidRPr="004B5884" w:rsidRDefault="00D13D00" w:rsidP="00226DF1">
            <w:pPr>
              <w:spacing w:before="120" w:after="120"/>
              <w:jc w:val="both"/>
              <w:rPr>
                <w:rFonts w:ascii="Times New Roman" w:hAnsi="Times New Roman"/>
                <w:b/>
                <w:sz w:val="24"/>
                <w:szCs w:val="24"/>
              </w:rPr>
            </w:pPr>
            <w:r>
              <w:rPr>
                <w:rFonts w:ascii="Times New Roman" w:hAnsi="Times New Roman"/>
                <w:b/>
                <w:sz w:val="24"/>
              </w:rPr>
              <w:t>Lessons learned, showing successes as well as difficulties; include any instruction drawn from the implementation of a grant.</w:t>
            </w:r>
          </w:p>
        </w:tc>
      </w:tr>
      <w:tr w:rsidR="00D13D00" w:rsidRPr="009316FF" w14:paraId="6B7006D6" w14:textId="77777777" w:rsidTr="0070134E">
        <w:trPr>
          <w:trHeight w:val="278"/>
        </w:trPr>
        <w:tc>
          <w:tcPr>
            <w:tcW w:w="2802" w:type="dxa"/>
            <w:shd w:val="clear" w:color="auto" w:fill="FFFFFF"/>
          </w:tcPr>
          <w:p w14:paraId="6D72205C" w14:textId="14DFB5DC" w:rsidR="00D13D00" w:rsidRPr="00485D43" w:rsidRDefault="00D13D00" w:rsidP="00226DF1">
            <w:pPr>
              <w:spacing w:before="120" w:after="120"/>
              <w:jc w:val="both"/>
              <w:rPr>
                <w:rFonts w:ascii="Times New Roman" w:eastAsia="Calibri" w:hAnsi="Times New Roman"/>
                <w:sz w:val="24"/>
                <w:szCs w:val="24"/>
              </w:rPr>
            </w:pPr>
            <w:r>
              <w:rPr>
                <w:rFonts w:ascii="Times New Roman" w:hAnsi="Times New Roman"/>
                <w:b/>
                <w:i/>
                <w:sz w:val="24"/>
              </w:rPr>
              <w:t>Objective 1:</w:t>
            </w:r>
            <w:r>
              <w:rPr>
                <w:rFonts w:ascii="Times New Roman" w:hAnsi="Times New Roman"/>
                <w:sz w:val="24"/>
              </w:rPr>
              <w:t xml:space="preserve"> By December 2019, increase vaccine coverage of fully immunized children in the country from 72% to 95%.</w:t>
            </w:r>
            <w:r>
              <w:rPr>
                <w:sz w:val="24"/>
              </w:rPr>
              <w:t> </w:t>
            </w:r>
          </w:p>
        </w:tc>
        <w:tc>
          <w:tcPr>
            <w:tcW w:w="7512" w:type="dxa"/>
            <w:shd w:val="clear" w:color="auto" w:fill="FFFFFF"/>
          </w:tcPr>
          <w:p w14:paraId="4E5061E8" w14:textId="50EE7909" w:rsidR="00D13D00" w:rsidRPr="004B5884" w:rsidRDefault="00D13D00" w:rsidP="00226DF1">
            <w:pPr>
              <w:numPr>
                <w:ilvl w:val="0"/>
                <w:numId w:val="19"/>
              </w:numPr>
              <w:spacing w:before="120" w:after="120"/>
              <w:jc w:val="both"/>
              <w:rPr>
                <w:rFonts w:ascii="Times New Roman" w:hAnsi="Times New Roman"/>
                <w:sz w:val="24"/>
                <w:szCs w:val="24"/>
              </w:rPr>
            </w:pPr>
            <w:r>
              <w:rPr>
                <w:rFonts w:ascii="Times New Roman" w:hAnsi="Times New Roman"/>
                <w:sz w:val="24"/>
              </w:rPr>
              <w:t>Evaluation of the pilot experience with Performance Based Funding in the health districts of Diolla, Fana and Banamba shows an improvement in availability, quality and use of health services. This experience will be extended to 3 regions (Kayes, Koulikoro  and Segou)with the support of GAVI-HSS.</w:t>
            </w:r>
          </w:p>
          <w:p w14:paraId="7CC8DE1D" w14:textId="77777777" w:rsidR="00D13D00" w:rsidRPr="004B5884" w:rsidRDefault="00D13D00" w:rsidP="00226DF1">
            <w:pPr>
              <w:numPr>
                <w:ilvl w:val="0"/>
                <w:numId w:val="19"/>
              </w:numPr>
              <w:spacing w:before="120" w:after="120"/>
              <w:jc w:val="both"/>
              <w:rPr>
                <w:rFonts w:ascii="Times New Roman" w:hAnsi="Times New Roman"/>
                <w:sz w:val="24"/>
                <w:szCs w:val="24"/>
              </w:rPr>
            </w:pPr>
            <w:r>
              <w:rPr>
                <w:rFonts w:ascii="Times New Roman" w:hAnsi="Times New Roman"/>
                <w:sz w:val="24"/>
              </w:rPr>
              <w:t>Experience has shown the need for strict external oversight of FBR indicators before the payment of bonuses, in order to avoid data manipulation.</w:t>
            </w:r>
          </w:p>
          <w:p w14:paraId="40FE00C3" w14:textId="77777777" w:rsidR="00D13D00" w:rsidRPr="004B5884" w:rsidRDefault="00D13D00" w:rsidP="00270F05">
            <w:pPr>
              <w:numPr>
                <w:ilvl w:val="0"/>
                <w:numId w:val="19"/>
              </w:numPr>
              <w:spacing w:before="120" w:after="120"/>
              <w:jc w:val="both"/>
              <w:rPr>
                <w:rFonts w:ascii="Times New Roman" w:hAnsi="Times New Roman"/>
                <w:sz w:val="24"/>
                <w:szCs w:val="24"/>
              </w:rPr>
            </w:pPr>
            <w:r>
              <w:rPr>
                <w:rFonts w:ascii="Times New Roman" w:hAnsi="Times New Roman"/>
                <w:sz w:val="24"/>
              </w:rPr>
              <w:t>The majority of immunization services are carried out by agents who are insufficiently trained in EPI management, and their skills will be improved by training funded through GAVI-HSS support.</w:t>
            </w:r>
          </w:p>
        </w:tc>
      </w:tr>
      <w:tr w:rsidR="00D13D00" w:rsidRPr="009316FF" w14:paraId="53D2A473" w14:textId="77777777" w:rsidTr="0070134E">
        <w:trPr>
          <w:trHeight w:val="1826"/>
        </w:trPr>
        <w:tc>
          <w:tcPr>
            <w:tcW w:w="2802" w:type="dxa"/>
            <w:shd w:val="clear" w:color="auto" w:fill="FFFFFF"/>
          </w:tcPr>
          <w:p w14:paraId="43C34351" w14:textId="77777777" w:rsidR="00D13D00" w:rsidRPr="00485D43" w:rsidRDefault="00D13D00" w:rsidP="00226DF1">
            <w:pPr>
              <w:spacing w:before="120" w:after="120"/>
              <w:jc w:val="both"/>
              <w:rPr>
                <w:rFonts w:ascii="Times New Roman" w:hAnsi="Times New Roman"/>
                <w:sz w:val="24"/>
                <w:szCs w:val="24"/>
              </w:rPr>
            </w:pPr>
            <w:r>
              <w:rPr>
                <w:rFonts w:ascii="Times New Roman" w:hAnsi="Times New Roman"/>
                <w:b/>
                <w:i/>
                <w:sz w:val="24"/>
              </w:rPr>
              <w:t>Objective 2:</w:t>
            </w:r>
            <w:r>
              <w:rPr>
                <w:rFonts w:ascii="Times New Roman" w:hAnsi="Times New Roman"/>
                <w:sz w:val="24"/>
              </w:rPr>
              <w:t xml:space="preserve"> Ensuring access to and availability of immunization in 100% of the priority districts.</w:t>
            </w:r>
          </w:p>
        </w:tc>
        <w:tc>
          <w:tcPr>
            <w:tcW w:w="7512" w:type="dxa"/>
            <w:shd w:val="clear" w:color="auto" w:fill="FFFFFF"/>
          </w:tcPr>
          <w:p w14:paraId="34FA52C4" w14:textId="77777777" w:rsidR="00D13D00" w:rsidRPr="004B5884" w:rsidRDefault="00D13D00" w:rsidP="00226DF1">
            <w:pPr>
              <w:numPr>
                <w:ilvl w:val="0"/>
                <w:numId w:val="20"/>
              </w:numPr>
              <w:spacing w:before="120" w:after="120"/>
              <w:jc w:val="both"/>
              <w:rPr>
                <w:rFonts w:ascii="Times New Roman" w:hAnsi="Times New Roman"/>
                <w:sz w:val="24"/>
                <w:szCs w:val="24"/>
              </w:rPr>
            </w:pPr>
            <w:r>
              <w:rPr>
                <w:rFonts w:ascii="Times New Roman" w:hAnsi="Times New Roman"/>
                <w:sz w:val="24"/>
              </w:rPr>
              <w:t>Experience from implementation of GAVI-HSS 2009 funding has shown that the awarding of the motivation / isolated location will make the agents in distance and unsafe zones have a greater commitment.</w:t>
            </w:r>
          </w:p>
          <w:p w14:paraId="024608F7" w14:textId="77777777" w:rsidR="00D13D00" w:rsidRPr="004B5884" w:rsidRDefault="00D13D00" w:rsidP="001A677A">
            <w:pPr>
              <w:numPr>
                <w:ilvl w:val="0"/>
                <w:numId w:val="20"/>
              </w:numPr>
              <w:spacing w:before="120" w:after="120"/>
              <w:jc w:val="both"/>
              <w:rPr>
                <w:rFonts w:ascii="Times New Roman" w:hAnsi="Times New Roman"/>
                <w:sz w:val="24"/>
                <w:szCs w:val="24"/>
              </w:rPr>
            </w:pPr>
            <w:r>
              <w:rPr>
                <w:rFonts w:ascii="Times New Roman" w:hAnsi="Times New Roman"/>
                <w:sz w:val="24"/>
              </w:rPr>
              <w:t>With the 2012 security crisis, contracts were signed with the NGOs and CSOs that were able to travel in zones occupied by armed groups to allow them to offer basic health services. This strategy will be continued in regions in the North where the situation is still unsafe, through GAVI-HSS funding.</w:t>
            </w:r>
          </w:p>
        </w:tc>
      </w:tr>
      <w:tr w:rsidR="00D13D00" w:rsidRPr="009316FF" w14:paraId="54E27C3B" w14:textId="77777777" w:rsidTr="0070134E">
        <w:trPr>
          <w:trHeight w:val="278"/>
        </w:trPr>
        <w:tc>
          <w:tcPr>
            <w:tcW w:w="2802" w:type="dxa"/>
            <w:shd w:val="clear" w:color="auto" w:fill="FFFFFF"/>
          </w:tcPr>
          <w:p w14:paraId="52FBBCE0" w14:textId="77777777" w:rsidR="00D13D00" w:rsidRPr="00485D43" w:rsidRDefault="00D13D00" w:rsidP="00226DF1">
            <w:pPr>
              <w:spacing w:before="120" w:after="120"/>
              <w:jc w:val="both"/>
              <w:rPr>
                <w:rFonts w:ascii="Times New Roman" w:hAnsi="Times New Roman"/>
                <w:sz w:val="24"/>
                <w:szCs w:val="24"/>
              </w:rPr>
            </w:pPr>
            <w:r>
              <w:rPr>
                <w:rFonts w:ascii="Times New Roman" w:hAnsi="Times New Roman"/>
                <w:b/>
                <w:i/>
                <w:sz w:val="24"/>
              </w:rPr>
              <w:t>Objective 3:</w:t>
            </w:r>
            <w:r>
              <w:rPr>
                <w:rFonts w:ascii="Times New Roman" w:hAnsi="Times New Roman"/>
                <w:b/>
                <w:sz w:val="24"/>
              </w:rPr>
              <w:t xml:space="preserve"> </w:t>
            </w:r>
            <w:r>
              <w:rPr>
                <w:rFonts w:ascii="Times New Roman" w:hAnsi="Times New Roman"/>
                <w:sz w:val="24"/>
              </w:rPr>
              <w:t>Strengthen the monitoring / evaluation system, including the health information system</w:t>
            </w:r>
            <w:r>
              <w:rPr>
                <w:rFonts w:ascii="Times New Roman" w:hAnsi="Times New Roman"/>
                <w:b/>
                <w:sz w:val="24"/>
              </w:rPr>
              <w:t xml:space="preserve"> </w:t>
            </w:r>
          </w:p>
        </w:tc>
        <w:tc>
          <w:tcPr>
            <w:tcW w:w="7512" w:type="dxa"/>
            <w:shd w:val="clear" w:color="auto" w:fill="FFFFFF"/>
          </w:tcPr>
          <w:p w14:paraId="1E89B9D7" w14:textId="77777777" w:rsidR="00D13D00" w:rsidRPr="004B5884" w:rsidRDefault="00D13D00" w:rsidP="00226DF1">
            <w:pPr>
              <w:numPr>
                <w:ilvl w:val="0"/>
                <w:numId w:val="21"/>
              </w:numPr>
              <w:spacing w:before="120" w:after="120"/>
              <w:jc w:val="both"/>
              <w:rPr>
                <w:rFonts w:ascii="Times New Roman" w:hAnsi="Times New Roman"/>
                <w:sz w:val="24"/>
                <w:szCs w:val="24"/>
              </w:rPr>
            </w:pPr>
            <w:r>
              <w:rPr>
                <w:rFonts w:ascii="Times New Roman" w:hAnsi="Times New Roman"/>
                <w:sz w:val="24"/>
              </w:rPr>
              <w:t>Quality control of data through the DQS and DQRC will allow the quality of the Local Health Information System (LHIS) to be improved and the discrepancy between administrative vaccine coverage data and the data from surveys to be decreased.</w:t>
            </w:r>
          </w:p>
          <w:p w14:paraId="24AB2621" w14:textId="77777777" w:rsidR="00D13D00" w:rsidRPr="004B5884" w:rsidRDefault="00D13D00" w:rsidP="00226DF1">
            <w:pPr>
              <w:numPr>
                <w:ilvl w:val="0"/>
                <w:numId w:val="21"/>
              </w:numPr>
              <w:spacing w:before="120" w:after="120"/>
              <w:jc w:val="both"/>
              <w:rPr>
                <w:rFonts w:ascii="Times New Roman" w:hAnsi="Times New Roman"/>
                <w:sz w:val="24"/>
                <w:szCs w:val="24"/>
              </w:rPr>
            </w:pPr>
            <w:r>
              <w:rPr>
                <w:rFonts w:ascii="Times New Roman" w:hAnsi="Times New Roman"/>
                <w:sz w:val="24"/>
              </w:rPr>
              <w:t xml:space="preserve">Experience using mobile telephones to send health information on the malaria, SR and blindness programs conducted in three regions has shown its effectiveness in improving the complete and promote transmission of information. This experience will be extended to all SLIS data in these regions and its effectiveness will be evaluated with the support of the GAVI-HSS proposal, before extending this approach to other regions of the country. </w:t>
            </w:r>
          </w:p>
        </w:tc>
      </w:tr>
      <w:tr w:rsidR="00D13D00" w:rsidRPr="009316FF" w14:paraId="638BE205" w14:textId="77777777" w:rsidTr="0070134E">
        <w:trPr>
          <w:trHeight w:val="1160"/>
        </w:trPr>
        <w:tc>
          <w:tcPr>
            <w:tcW w:w="2802" w:type="dxa"/>
            <w:shd w:val="clear" w:color="auto" w:fill="FFFFFF"/>
          </w:tcPr>
          <w:p w14:paraId="0FC4BEC6" w14:textId="558A475E" w:rsidR="00D13D00" w:rsidRPr="00485D43" w:rsidRDefault="00D13D00" w:rsidP="00226DF1">
            <w:pPr>
              <w:spacing w:before="120" w:after="120"/>
              <w:jc w:val="both"/>
              <w:rPr>
                <w:rFonts w:ascii="Times New Roman" w:hAnsi="Times New Roman"/>
                <w:sz w:val="24"/>
                <w:szCs w:val="24"/>
              </w:rPr>
            </w:pPr>
            <w:r>
              <w:rPr>
                <w:rFonts w:ascii="Times New Roman" w:hAnsi="Times New Roman"/>
                <w:b/>
                <w:i/>
                <w:sz w:val="24"/>
              </w:rPr>
              <w:t xml:space="preserve">Objective 4: </w:t>
            </w:r>
            <w:r>
              <w:rPr>
                <w:rFonts w:ascii="Times New Roman" w:hAnsi="Times New Roman"/>
                <w:sz w:val="24"/>
              </w:rPr>
              <w:t>Improve cold chain capacity and effective vaccine management</w:t>
            </w:r>
          </w:p>
        </w:tc>
        <w:tc>
          <w:tcPr>
            <w:tcW w:w="7512" w:type="dxa"/>
            <w:shd w:val="clear" w:color="auto" w:fill="FFFFFF"/>
          </w:tcPr>
          <w:p w14:paraId="09D77585" w14:textId="77777777" w:rsidR="00992291" w:rsidRDefault="00D13D00" w:rsidP="00992291">
            <w:pPr>
              <w:numPr>
                <w:ilvl w:val="0"/>
                <w:numId w:val="22"/>
              </w:numPr>
              <w:spacing w:before="120" w:after="120"/>
              <w:jc w:val="both"/>
              <w:rPr>
                <w:rFonts w:ascii="Times New Roman" w:hAnsi="Times New Roman"/>
                <w:sz w:val="24"/>
                <w:szCs w:val="24"/>
              </w:rPr>
            </w:pPr>
            <w:r>
              <w:rPr>
                <w:rFonts w:ascii="Times New Roman" w:hAnsi="Times New Roman"/>
                <w:sz w:val="24"/>
              </w:rPr>
              <w:t>Considering the problems encountered with availability and quality of oil and its high cost, the Ministry of Health has implemented a plan to replace oil-powered refrigerators with solar refrigerators with no battery. This plan will be funded by the State, the Mali Plan, UNICEF and Canadian Cooperation funds.</w:t>
            </w:r>
          </w:p>
          <w:p w14:paraId="29C41CA6" w14:textId="2EC272F1" w:rsidR="00D92E0D" w:rsidRPr="00DB1F90" w:rsidRDefault="00E768BA" w:rsidP="00417796">
            <w:pPr>
              <w:numPr>
                <w:ilvl w:val="0"/>
                <w:numId w:val="22"/>
              </w:numPr>
              <w:spacing w:before="120" w:after="120"/>
              <w:jc w:val="both"/>
              <w:rPr>
                <w:rFonts w:ascii="Times New Roman" w:hAnsi="Times New Roman"/>
                <w:sz w:val="24"/>
                <w:szCs w:val="24"/>
              </w:rPr>
            </w:pPr>
            <w:r>
              <w:rPr>
                <w:rFonts w:ascii="Times New Roman" w:hAnsi="Times New Roman"/>
                <w:sz w:val="24"/>
              </w:rPr>
              <w:t>The introduction of the new vaccines has shown the low storage capacity for vaccines and supplies in the regions and at the central level. This situation was worsened by insufficient cold chain equipment maintenance at all levels. This allocation will allow a dry warehouse to be built at the central level as well as 15 cold chambers in each regional capitals and in certain health districts.</w:t>
            </w:r>
          </w:p>
        </w:tc>
      </w:tr>
      <w:tr w:rsidR="00D13D00" w:rsidRPr="009316FF" w14:paraId="4ACF672C" w14:textId="77777777" w:rsidTr="0070134E">
        <w:trPr>
          <w:trHeight w:val="278"/>
        </w:trPr>
        <w:tc>
          <w:tcPr>
            <w:tcW w:w="2802" w:type="dxa"/>
            <w:shd w:val="clear" w:color="auto" w:fill="FFFFFF"/>
          </w:tcPr>
          <w:p w14:paraId="086AD23B" w14:textId="77777777" w:rsidR="00D13D00" w:rsidRPr="00485D43" w:rsidRDefault="00D13D00" w:rsidP="00226DF1">
            <w:pPr>
              <w:spacing w:before="120" w:after="120"/>
              <w:jc w:val="both"/>
              <w:rPr>
                <w:rFonts w:ascii="Times New Roman" w:hAnsi="Times New Roman"/>
                <w:b/>
                <w:i/>
                <w:sz w:val="24"/>
                <w:szCs w:val="24"/>
              </w:rPr>
            </w:pPr>
            <w:r>
              <w:rPr>
                <w:rFonts w:ascii="Times New Roman" w:hAnsi="Times New Roman"/>
                <w:b/>
                <w:i/>
                <w:sz w:val="24"/>
              </w:rPr>
              <w:t xml:space="preserve">Objective 5: </w:t>
            </w:r>
            <w:r>
              <w:rPr>
                <w:rFonts w:ascii="Times New Roman" w:hAnsi="Times New Roman"/>
                <w:sz w:val="24"/>
              </w:rPr>
              <w:t>Improve immunization financing by communities and municipalities.</w:t>
            </w:r>
          </w:p>
        </w:tc>
        <w:tc>
          <w:tcPr>
            <w:tcW w:w="7512" w:type="dxa"/>
            <w:shd w:val="clear" w:color="auto" w:fill="FFFFFF"/>
          </w:tcPr>
          <w:p w14:paraId="050FD0F1" w14:textId="2961E2E6" w:rsidR="00D13D00" w:rsidRPr="004B5884" w:rsidRDefault="00D13D00" w:rsidP="00AA2AF8">
            <w:pPr>
              <w:numPr>
                <w:ilvl w:val="0"/>
                <w:numId w:val="22"/>
              </w:numPr>
              <w:spacing w:before="120" w:after="120"/>
              <w:jc w:val="both"/>
              <w:rPr>
                <w:rFonts w:ascii="Times New Roman" w:hAnsi="Times New Roman"/>
                <w:sz w:val="24"/>
                <w:szCs w:val="24"/>
              </w:rPr>
            </w:pPr>
            <w:r>
              <w:rPr>
                <w:rFonts w:ascii="Times New Roman" w:hAnsi="Times New Roman"/>
                <w:sz w:val="24"/>
              </w:rPr>
              <w:t>In the context of decentralization, the Government transferred health funds to local municipalities, but these funds are not always used for immunization. The GAVI-HSS proposal will support advocacy activities for the mobilization of these funds in support of the EPI.</w:t>
            </w:r>
          </w:p>
        </w:tc>
      </w:tr>
      <w:tr w:rsidR="00D13D00" w:rsidRPr="009316FF" w14:paraId="0710D168" w14:textId="77777777" w:rsidTr="0070134E">
        <w:trPr>
          <w:trHeight w:val="278"/>
        </w:trPr>
        <w:tc>
          <w:tcPr>
            <w:tcW w:w="10314" w:type="dxa"/>
            <w:gridSpan w:val="2"/>
            <w:shd w:val="clear" w:color="auto" w:fill="FFFFFF"/>
          </w:tcPr>
          <w:p w14:paraId="5B83F58F" w14:textId="707062C9" w:rsidR="00D13D00" w:rsidRDefault="008B1CAD" w:rsidP="00226DF1">
            <w:pPr>
              <w:spacing w:before="120" w:after="120"/>
              <w:jc w:val="both"/>
              <w:rPr>
                <w:rFonts w:ascii="Times New Roman" w:hAnsi="Times New Roman"/>
                <w:b/>
                <w:i/>
                <w:sz w:val="24"/>
                <w:szCs w:val="24"/>
              </w:rPr>
            </w:pPr>
            <w:r>
              <w:rPr>
                <w:rFonts w:ascii="Times New Roman" w:hAnsi="Times New Roman"/>
                <w:b/>
                <w:i/>
                <w:sz w:val="24"/>
              </w:rPr>
              <w:t>TWO PAGES MAXIMUM</w:t>
            </w:r>
          </w:p>
          <w:p w14:paraId="11B5D09D" w14:textId="4804AF6E" w:rsidR="008B1CAD" w:rsidRPr="00584562" w:rsidRDefault="00F911E8" w:rsidP="00584562">
            <w:pPr>
              <w:spacing w:before="120" w:after="120"/>
              <w:jc w:val="both"/>
              <w:rPr>
                <w:rFonts w:ascii="Times New Roman" w:hAnsi="Times New Roman"/>
                <w:color w:val="00B150"/>
                <w:szCs w:val="22"/>
              </w:rPr>
            </w:pPr>
            <w:r>
              <w:rPr>
                <w:rFonts w:ascii="Times New Roman" w:hAnsi="Times New Roman"/>
                <w:sz w:val="24"/>
              </w:rPr>
              <w:t>Following the Financial Management Evaluation (FME) and the Audit conducted by GAVI in Mali, HSS support funds were frozen first in 2010.  They were released after exchanges between the government of Mali and GAVI to improve management procedures and the repayment of amounts owed. The recommendations that were made led to the preparation of a memorandum attached to the document) to assist with better financial management. Then, the institutional crisis led partners, including the GAVI Alliance, to suspend their cooperation. So, the implementation of the HSS suffered from these freezesbecause most of the loyal agents in isolated and unsafe areas had abandoned their positions.</w:t>
            </w:r>
            <w:r>
              <w:rPr>
                <w:rFonts w:ascii="Times New Roman" w:hAnsi="Times New Roman"/>
                <w:color w:val="00B150"/>
                <w:sz w:val="24"/>
              </w:rPr>
              <w:t xml:space="preserve">  </w:t>
            </w:r>
          </w:p>
        </w:tc>
      </w:tr>
    </w:tbl>
    <w:p w14:paraId="2B3E495E" w14:textId="77777777" w:rsidR="00867FFD" w:rsidRPr="004B5884" w:rsidRDefault="00867FFD" w:rsidP="00226DF1">
      <w:pPr>
        <w:widowControl w:val="0"/>
        <w:spacing w:before="120" w:after="120"/>
        <w:jc w:val="both"/>
        <w:rPr>
          <w:rFonts w:ascii="Times New Roman" w:eastAsia="Calibri" w:hAnsi="Times New Roman"/>
          <w:sz w:val="24"/>
          <w:szCs w:val="24"/>
        </w:rPr>
        <w:sectPr w:rsidR="00867FFD" w:rsidRPr="004B5884" w:rsidSect="00AB7BCC">
          <w:headerReference w:type="default" r:id="rId25"/>
          <w:footerReference w:type="even" r:id="rId26"/>
          <w:footerReference w:type="default" r:id="rId27"/>
          <w:pgSz w:w="11907" w:h="16839" w:code="9"/>
          <w:pgMar w:top="993" w:right="851" w:bottom="993" w:left="851" w:header="709" w:footer="709" w:gutter="0"/>
          <w:cols w:space="708"/>
          <w:docGrid w:linePitch="360"/>
        </w:sect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6231BE98" w14:textId="77777777" w:rsidTr="005D447F">
        <w:tc>
          <w:tcPr>
            <w:tcW w:w="10348" w:type="dxa"/>
            <w:tcBorders>
              <w:top w:val="nil"/>
              <w:left w:val="nil"/>
              <w:bottom w:val="nil"/>
              <w:right w:val="nil"/>
            </w:tcBorders>
            <w:shd w:val="clear" w:color="auto" w:fill="006460"/>
          </w:tcPr>
          <w:p w14:paraId="551D5AD0" w14:textId="542075EA" w:rsidR="00867FFD" w:rsidRPr="004B5884" w:rsidRDefault="00867FFD" w:rsidP="00226DF1">
            <w:pPr>
              <w:pStyle w:val="Heading1"/>
              <w:spacing w:before="120" w:after="120"/>
              <w:jc w:val="both"/>
              <w:rPr>
                <w:rFonts w:ascii="Times New Roman" w:eastAsia="Calibri" w:hAnsi="Times New Roman"/>
                <w:szCs w:val="24"/>
              </w:rPr>
            </w:pPr>
            <w:bookmarkStart w:id="58" w:name="_Toc278640075"/>
            <w:bookmarkStart w:id="59" w:name="_Toc283042943"/>
            <w:bookmarkEnd w:id="13"/>
            <w:bookmarkEnd w:id="14"/>
            <w:r>
              <w:br w:type="page"/>
            </w:r>
            <w:bookmarkStart w:id="60" w:name="_Toc346115524"/>
            <w:bookmarkStart w:id="61" w:name="_Toc346116641"/>
            <w:bookmarkStart w:id="62" w:name="_Toc398181093"/>
            <w:bookmarkStart w:id="63" w:name="_Toc276342222"/>
            <w:bookmarkEnd w:id="58"/>
            <w:bookmarkEnd w:id="59"/>
            <w:r>
              <w:rPr>
                <w:rFonts w:ascii="Times New Roman" w:hAnsi="Times New Roman"/>
              </w:rPr>
              <w:t>PART D - PROPOSAL DETAILS</w:t>
            </w:r>
            <w:bookmarkEnd w:id="60"/>
            <w:bookmarkEnd w:id="61"/>
            <w:bookmarkEnd w:id="62"/>
            <w:bookmarkEnd w:id="63"/>
            <w:r>
              <w:tab/>
            </w:r>
          </w:p>
        </w:tc>
      </w:tr>
    </w:tbl>
    <w:p w14:paraId="2969AFAD"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6547"/>
        <w:gridCol w:w="3766"/>
        <w:gridCol w:w="35"/>
      </w:tblGrid>
      <w:tr w:rsidR="00867FFD" w:rsidRPr="009316FF" w14:paraId="52F15C14" w14:textId="77777777" w:rsidTr="004904C0">
        <w:trPr>
          <w:trHeight w:val="211"/>
        </w:trPr>
        <w:tc>
          <w:tcPr>
            <w:tcW w:w="10348" w:type="dxa"/>
            <w:gridSpan w:val="3"/>
            <w:tcBorders>
              <w:top w:val="nil"/>
              <w:left w:val="nil"/>
              <w:bottom w:val="single" w:sz="6" w:space="0" w:color="215868"/>
              <w:right w:val="nil"/>
            </w:tcBorders>
            <w:shd w:val="clear" w:color="auto" w:fill="FFFFFF"/>
          </w:tcPr>
          <w:p w14:paraId="56854D3F" w14:textId="77777777" w:rsidR="00867FFD" w:rsidRPr="004B5884" w:rsidRDefault="00867FFD" w:rsidP="00226DF1">
            <w:pPr>
              <w:widowControl w:val="0"/>
              <w:spacing w:before="120" w:after="120"/>
              <w:jc w:val="both"/>
              <w:rPr>
                <w:rFonts w:ascii="Times New Roman" w:eastAsia="Calibri" w:hAnsi="Times New Roman"/>
                <w:sz w:val="24"/>
                <w:szCs w:val="24"/>
              </w:rPr>
            </w:pPr>
          </w:p>
        </w:tc>
      </w:tr>
      <w:tr w:rsidR="00867FFD" w:rsidRPr="009316FF" w14:paraId="3D6D7A61" w14:textId="77777777" w:rsidTr="004904C0">
        <w:tc>
          <w:tcPr>
            <w:tcW w:w="10348" w:type="dxa"/>
            <w:gridSpan w:val="3"/>
            <w:tcBorders>
              <w:bottom w:val="single" w:sz="6" w:space="0" w:color="215868"/>
            </w:tcBorders>
            <w:shd w:val="clear" w:color="auto" w:fill="auto"/>
            <w:vAlign w:val="center"/>
          </w:tcPr>
          <w:p w14:paraId="10663E37"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For further instructions, please refer to the Supplementary Guidelines for HSS Applications</w:t>
            </w:r>
          </w:p>
        </w:tc>
      </w:tr>
      <w:tr w:rsidR="00867FFD" w:rsidRPr="009316FF" w14:paraId="17FDDA7A" w14:textId="77777777" w:rsidTr="004904C0">
        <w:tc>
          <w:tcPr>
            <w:tcW w:w="10348" w:type="dxa"/>
            <w:gridSpan w:val="3"/>
            <w:tcBorders>
              <w:bottom w:val="single" w:sz="6" w:space="0" w:color="215868"/>
            </w:tcBorders>
            <w:shd w:val="clear" w:color="auto" w:fill="006460"/>
          </w:tcPr>
          <w:p w14:paraId="2BFCB022" w14:textId="77777777" w:rsidR="00867FFD" w:rsidRPr="004B5884" w:rsidRDefault="00867FFD" w:rsidP="00226DF1">
            <w:pPr>
              <w:pStyle w:val="Heading2"/>
              <w:rPr>
                <w:rFonts w:ascii="Times New Roman" w:eastAsia="Calibri" w:hAnsi="Times New Roman"/>
                <w:sz w:val="24"/>
                <w:szCs w:val="24"/>
              </w:rPr>
            </w:pPr>
            <w:bookmarkStart w:id="64" w:name="_Toc346116643"/>
            <w:bookmarkStart w:id="65" w:name="_Toc398181094"/>
            <w:bookmarkStart w:id="66" w:name="_Toc276342223"/>
            <w:r>
              <w:rPr>
                <w:rFonts w:ascii="Times New Roman" w:hAnsi="Times New Roman"/>
                <w:sz w:val="24"/>
              </w:rPr>
              <w:t>11. Proposal Objectives</w:t>
            </w:r>
            <w:bookmarkEnd w:id="64"/>
            <w:bookmarkEnd w:id="65"/>
            <w:bookmarkEnd w:id="66"/>
            <w:r>
              <w:tab/>
            </w:r>
          </w:p>
        </w:tc>
      </w:tr>
      <w:tr w:rsidR="00867FFD" w:rsidRPr="009316FF" w14:paraId="40EC9652" w14:textId="77777777" w:rsidTr="004904C0">
        <w:tc>
          <w:tcPr>
            <w:tcW w:w="10348" w:type="dxa"/>
            <w:gridSpan w:val="3"/>
            <w:shd w:val="clear" w:color="auto" w:fill="FFFFFF"/>
          </w:tcPr>
          <w:p w14:paraId="00B330CC" w14:textId="61AAA723"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section will be used to assess whether the proposed objectives are relevant, appropriate and aligned with the National Health Plan and cMYP, and contribute to improving immunisation outcomes. It will also ensure alignment with the bottleneck analysis above. </w:t>
            </w:r>
          </w:p>
          <w:p w14:paraId="7563B79B" w14:textId="66C7EFF1"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Please succinctly describe the immunisation and HSS objectives to be addressed in this proposal and explain how they relate to, and contribute to, reducing HSS and immunisation bottlenecks (identified in section C.5 above) and strengthening of the health system. Please describe how these objectives are aligned with those in the national health plan. </w:t>
            </w:r>
          </w:p>
          <w:p w14:paraId="0D87A9AD"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The objectives need to be aligned to and numbered in the same way in the HSS M&amp;E Framework (Attachment 5) and also in the detailed Budget, Gap Analysis and Workplan Template (Attachment 6). </w:t>
            </w:r>
          </w:p>
          <w:p w14:paraId="28851429"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For each objective, please describe: </w:t>
            </w:r>
          </w:p>
          <w:p w14:paraId="14633938"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Which immunization outcomes will be improved by implementing the activities and how will the activities contribute to their improvement? Please focus on the key activities related to each objective rather than every single activity. Please demonstrate this link in the next section on the results chain;</w:t>
            </w:r>
          </w:p>
          <w:p w14:paraId="3D96E865" w14:textId="630B0CD2"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Whether and how the proposed objectives relate to the equity and gender related barriers to access as identified in the bottleneck analysis and how the objectives will result in narrowing the equity gap in immunization coverage and contribute to reaching the unreached, under-served and marginalized populations? Countries are requested to consider gender related and geographic barriers to access of immunisation and other health services.</w:t>
            </w:r>
          </w:p>
          <w:p w14:paraId="615E365E"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list and describe all of the proposed activities in the Budget, Gap Analysis and Workplan Template. If GA VI funding is requested to go into pooled funds, please attach the Annual Workplan and Budget (A WPB) and related Terms of Reference (TORs). </w:t>
            </w:r>
          </w:p>
          <w:p w14:paraId="76589F85"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This description will be used to assess if the proposed key activities will be sufficient to achieve the identified immunisation outcomes.</w:t>
            </w:r>
          </w:p>
        </w:tc>
      </w:tr>
      <w:tr w:rsidR="00867FFD" w:rsidRPr="009316FF" w14:paraId="6EDC3688" w14:textId="77777777" w:rsidTr="004904C0">
        <w:trPr>
          <w:trHeight w:val="278"/>
        </w:trPr>
        <w:tc>
          <w:tcPr>
            <w:tcW w:w="10348" w:type="dxa"/>
            <w:gridSpan w:val="3"/>
            <w:shd w:val="clear" w:color="auto" w:fill="FFFFFF"/>
          </w:tcPr>
          <w:p w14:paraId="3C1DF8FD" w14:textId="268F52B3" w:rsidR="003C6634"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TWO PAGES MAXIMUM</w:t>
            </w:r>
          </w:p>
          <w:p w14:paraId="58AAF498" w14:textId="77777777" w:rsidR="00FF5E85" w:rsidRDefault="00A8491D" w:rsidP="00226DF1">
            <w:pPr>
              <w:spacing w:before="120" w:after="120"/>
              <w:jc w:val="both"/>
              <w:rPr>
                <w:rFonts w:eastAsia="Calibri" w:cs="Arial"/>
                <w:sz w:val="24"/>
              </w:rPr>
            </w:pPr>
            <w:r>
              <w:rPr>
                <w:rFonts w:ascii="Times New Roman" w:hAnsi="Times New Roman"/>
                <w:b/>
                <w:sz w:val="24"/>
              </w:rPr>
              <w:t>Objective 1: By December 2019, increase vaccine coverage of fully immunized children in the country from 72% to 95%.</w:t>
            </w:r>
            <w:r>
              <w:rPr>
                <w:sz w:val="24"/>
              </w:rPr>
              <w:t> </w:t>
            </w:r>
          </w:p>
          <w:p w14:paraId="620C5C55" w14:textId="31764BA7" w:rsidR="008B3DC5" w:rsidRDefault="00022F4B" w:rsidP="00226DF1">
            <w:pPr>
              <w:spacing w:before="120" w:after="120"/>
              <w:jc w:val="both"/>
              <w:rPr>
                <w:rFonts w:ascii="Times New Roman" w:eastAsia="Calibri" w:hAnsi="Times New Roman"/>
                <w:sz w:val="24"/>
                <w:szCs w:val="24"/>
              </w:rPr>
            </w:pPr>
            <w:r>
              <w:rPr>
                <w:rFonts w:ascii="Times New Roman" w:hAnsi="Times New Roman"/>
                <w:sz w:val="24"/>
              </w:rPr>
              <w:t xml:space="preserve">In order to attain this objectives, skills of personnel will also be improved through ongoing and long-duration training at all levels (national, regional, district, health area).  Logistics resources and adequate equipment will be made available to the priority structures based on needs, in order to strengthen their management capacities, delivery and transport of vaccines and the management of biomedical waste. </w:t>
            </w:r>
          </w:p>
          <w:p w14:paraId="0F3F1A19" w14:textId="77777777" w:rsidR="00107D23" w:rsidRDefault="00B16F43" w:rsidP="00226DF1">
            <w:pPr>
              <w:spacing w:before="120" w:after="120"/>
              <w:jc w:val="both"/>
              <w:rPr>
                <w:rFonts w:ascii="Times New Roman" w:eastAsia="Calibri" w:hAnsi="Times New Roman"/>
                <w:sz w:val="24"/>
                <w:szCs w:val="24"/>
              </w:rPr>
            </w:pPr>
            <w:r>
              <w:rPr>
                <w:rFonts w:ascii="Times New Roman" w:hAnsi="Times New Roman"/>
                <w:sz w:val="24"/>
              </w:rPr>
              <w:t>Performance Based Funding will be used in certain health districts to encourage attaining better results with regards to immunization.</w:t>
            </w:r>
          </w:p>
          <w:p w14:paraId="02D8F62C" w14:textId="6758DB90" w:rsidR="00B16F43" w:rsidRDefault="00107D23" w:rsidP="00226DF1">
            <w:pPr>
              <w:spacing w:before="120" w:after="120"/>
              <w:jc w:val="both"/>
              <w:rPr>
                <w:rFonts w:ascii="Times New Roman" w:eastAsia="Calibri" w:hAnsi="Times New Roman"/>
                <w:sz w:val="24"/>
                <w:szCs w:val="24"/>
              </w:rPr>
            </w:pPr>
            <w:r>
              <w:rPr>
                <w:rFonts w:ascii="Times New Roman" w:hAnsi="Times New Roman"/>
                <w:sz w:val="24"/>
              </w:rPr>
              <w:t>In accordance with the priority interventions to achieve Strategic result 7.7 of the Strategic Health Plan (HSDP) and the first three objectives of the cMYP, specific emphasis will be placed on health communication and more specifically on immunization.</w:t>
            </w:r>
          </w:p>
          <w:p w14:paraId="5868953A" w14:textId="50052503" w:rsidR="00BB500A" w:rsidRPr="004B5884" w:rsidRDefault="00952B72" w:rsidP="00BB500A">
            <w:pPr>
              <w:spacing w:before="120" w:after="120"/>
              <w:jc w:val="both"/>
              <w:rPr>
                <w:rFonts w:ascii="Times New Roman" w:eastAsia="Calibri" w:hAnsi="Times New Roman"/>
                <w:sz w:val="24"/>
                <w:szCs w:val="24"/>
              </w:rPr>
            </w:pPr>
            <w:r>
              <w:rPr>
                <w:rFonts w:ascii="Times New Roman" w:hAnsi="Times New Roman"/>
                <w:sz w:val="24"/>
              </w:rPr>
              <w:t>Objective 6 (Strategic Result 6.5) of the HSDP provides for an increase in the supply and use of quality health services, with equitable distribution, and meeting the needs of the population.</w:t>
            </w:r>
          </w:p>
          <w:p w14:paraId="3F31C876" w14:textId="77777777" w:rsidR="009859B2" w:rsidRDefault="007D0C6A" w:rsidP="00226DF1">
            <w:pPr>
              <w:spacing w:before="120"/>
              <w:jc w:val="both"/>
              <w:rPr>
                <w:rFonts w:ascii="Times New Roman" w:hAnsi="Times New Roman"/>
                <w:b/>
                <w:sz w:val="24"/>
                <w:szCs w:val="24"/>
              </w:rPr>
            </w:pPr>
            <w:r>
              <w:rPr>
                <w:rFonts w:ascii="Times New Roman" w:hAnsi="Times New Roman"/>
                <w:b/>
                <w:sz w:val="24"/>
              </w:rPr>
              <w:t>Objective 2: Ensuring access to and availability of immunization in 100% of the priority districts.</w:t>
            </w:r>
          </w:p>
          <w:p w14:paraId="6A5C450C" w14:textId="54D01603" w:rsidR="00B5269E" w:rsidRPr="001935D9" w:rsidRDefault="0028783E" w:rsidP="00226DF1">
            <w:pPr>
              <w:spacing w:before="120"/>
              <w:jc w:val="both"/>
              <w:rPr>
                <w:rFonts w:ascii="Times New Roman" w:hAnsi="Times New Roman"/>
                <w:b/>
                <w:sz w:val="36"/>
                <w:szCs w:val="24"/>
              </w:rPr>
            </w:pPr>
            <w:r>
              <w:rPr>
                <w:rFonts w:ascii="Times New Roman" w:hAnsi="Times New Roman"/>
                <w:sz w:val="24"/>
              </w:rPr>
              <w:t xml:space="preserve">Currently sixteen (16) health districts are prioritized for health system strengthening and for immunization in particular.  These districts present vaccine coverage statistics that are below 80% and a high dropout rate (greater than 10%). </w:t>
            </w:r>
          </w:p>
          <w:p w14:paraId="73E4210B" w14:textId="3AF61DD1" w:rsidR="00811466" w:rsidRDefault="00DB3211" w:rsidP="00226DF1">
            <w:pPr>
              <w:spacing w:before="120" w:after="120"/>
              <w:jc w:val="both"/>
              <w:rPr>
                <w:rFonts w:ascii="Times New Roman" w:eastAsia="Calibri" w:hAnsi="Times New Roman"/>
                <w:sz w:val="24"/>
                <w:szCs w:val="24"/>
              </w:rPr>
            </w:pPr>
            <w:r>
              <w:rPr>
                <w:rFonts w:ascii="Times New Roman" w:hAnsi="Times New Roman"/>
                <w:sz w:val="24"/>
              </w:rPr>
              <w:t>As noted in Objective 3 of the cMYP and Objectives 5 (Strategic Result 5.1) and 8 (Strategic Result 8.3) of the HSDP, attaining this objective will require, in addition to activities at stationary immunization centers, specific emphasis on alternative strategies (advanced strategies, mobile teams) for reaching populations not serviced by health centers (Geographic accessibility at a distance of 5 km is only 56%) and unsafe zones. So, performance contracts will be executed with community participants, from the private sector and NGOs in order to carry out these activities.</w:t>
            </w:r>
          </w:p>
          <w:p w14:paraId="11D49C75" w14:textId="77777777" w:rsidR="00811466" w:rsidRDefault="00811466" w:rsidP="00226DF1">
            <w:pPr>
              <w:spacing w:before="120" w:after="120"/>
              <w:jc w:val="both"/>
              <w:rPr>
                <w:rFonts w:ascii="Times New Roman" w:eastAsia="Calibri" w:hAnsi="Times New Roman"/>
                <w:sz w:val="24"/>
                <w:szCs w:val="24"/>
              </w:rPr>
            </w:pPr>
            <w:r>
              <w:rPr>
                <w:rFonts w:ascii="Times New Roman" w:hAnsi="Times New Roman"/>
                <w:sz w:val="24"/>
              </w:rPr>
              <w:t>Motivational/remote location bonuses will also be granted to agents working in zones that are difficult to access and in poor areas.</w:t>
            </w:r>
          </w:p>
          <w:p w14:paraId="2482F8EA" w14:textId="77777777" w:rsidR="009859B2" w:rsidRPr="00811466" w:rsidRDefault="00A8491D" w:rsidP="00226DF1">
            <w:pPr>
              <w:spacing w:before="120"/>
              <w:jc w:val="both"/>
              <w:rPr>
                <w:rFonts w:ascii="Times New Roman" w:eastAsia="Calibri" w:hAnsi="Times New Roman"/>
                <w:b/>
                <w:sz w:val="24"/>
                <w:szCs w:val="24"/>
              </w:rPr>
            </w:pPr>
            <w:r>
              <w:rPr>
                <w:rFonts w:ascii="Times New Roman" w:hAnsi="Times New Roman"/>
                <w:b/>
                <w:sz w:val="24"/>
              </w:rPr>
              <w:t xml:space="preserve">Objective 3: Strengthen the monitoring / evaluation system, including the health information system </w:t>
            </w:r>
          </w:p>
          <w:p w14:paraId="04C1246F" w14:textId="3F82EC37" w:rsidR="004237F0" w:rsidRDefault="004237F0" w:rsidP="00226DF1">
            <w:pPr>
              <w:spacing w:before="120" w:after="120"/>
              <w:jc w:val="both"/>
              <w:rPr>
                <w:rFonts w:ascii="Times New Roman" w:eastAsia="Calibri" w:hAnsi="Times New Roman"/>
                <w:sz w:val="24"/>
                <w:szCs w:val="24"/>
              </w:rPr>
            </w:pPr>
            <w:r>
              <w:rPr>
                <w:rFonts w:ascii="Times New Roman" w:hAnsi="Times New Roman"/>
                <w:sz w:val="24"/>
              </w:rPr>
              <w:t>This objective will be achieved by:</w:t>
            </w:r>
          </w:p>
          <w:p w14:paraId="22EF3657" w14:textId="0C1744BA" w:rsidR="004237F0" w:rsidRPr="00813060" w:rsidRDefault="004237F0" w:rsidP="00813060">
            <w:pPr>
              <w:pStyle w:val="ListParagraph"/>
              <w:numPr>
                <w:ilvl w:val="0"/>
                <w:numId w:val="22"/>
              </w:numPr>
              <w:spacing w:before="120" w:after="120"/>
              <w:jc w:val="both"/>
              <w:rPr>
                <w:rFonts w:ascii="Times New Roman" w:eastAsia="Calibri" w:hAnsi="Times New Roman"/>
                <w:sz w:val="24"/>
                <w:szCs w:val="24"/>
              </w:rPr>
            </w:pPr>
            <w:r>
              <w:rPr>
                <w:rFonts w:ascii="Times New Roman" w:hAnsi="Times New Roman"/>
                <w:sz w:val="24"/>
              </w:rPr>
              <w:t>Reviewing LHIS data collection tools, training agents to use these tools as well as support for the production and distribution of the annual statistical report.</w:t>
            </w:r>
          </w:p>
          <w:p w14:paraId="1FA10A53" w14:textId="74123579" w:rsidR="00F01463" w:rsidRDefault="004237F0" w:rsidP="00813060">
            <w:pPr>
              <w:pStyle w:val="ListParagraph"/>
              <w:numPr>
                <w:ilvl w:val="0"/>
                <w:numId w:val="22"/>
              </w:numPr>
              <w:spacing w:before="120" w:after="120"/>
              <w:jc w:val="both"/>
              <w:rPr>
                <w:rFonts w:ascii="Times New Roman" w:eastAsia="Calibri" w:hAnsi="Times New Roman"/>
                <w:sz w:val="24"/>
                <w:szCs w:val="24"/>
              </w:rPr>
            </w:pPr>
            <w:r>
              <w:rPr>
                <w:rFonts w:ascii="Times New Roman" w:hAnsi="Times New Roman"/>
                <w:sz w:val="24"/>
              </w:rPr>
              <w:t xml:space="preserve">The quality of LHIS data will also be improved through the annual evaluation of data quality at operational (DQS) and national (DQRC) levels, periodic evaluation of availability and the operational capacity of health services (SARA survey).  </w:t>
            </w:r>
          </w:p>
          <w:p w14:paraId="4F93FCA1" w14:textId="304B8B21" w:rsidR="00972117" w:rsidRPr="00813060" w:rsidRDefault="004237F0" w:rsidP="00813060">
            <w:pPr>
              <w:pStyle w:val="ListParagraph"/>
              <w:numPr>
                <w:ilvl w:val="0"/>
                <w:numId w:val="22"/>
              </w:numPr>
              <w:spacing w:before="120" w:after="120"/>
              <w:jc w:val="both"/>
              <w:rPr>
                <w:rFonts w:ascii="Times New Roman" w:eastAsia="Calibri" w:hAnsi="Times New Roman"/>
                <w:sz w:val="24"/>
                <w:szCs w:val="24"/>
              </w:rPr>
            </w:pPr>
            <w:r>
              <w:rPr>
                <w:rFonts w:ascii="Times New Roman" w:hAnsi="Times New Roman"/>
                <w:sz w:val="24"/>
              </w:rPr>
              <w:t>Support for evaluations and reviews (annual sector review and external review of the EPI) of the health sector in general and immunization in particular at the national scale, will allow interventions in this regard to be improved.</w:t>
            </w:r>
          </w:p>
          <w:p w14:paraId="41B9E89C" w14:textId="321FCED3" w:rsidR="00F01463" w:rsidRPr="00813060" w:rsidRDefault="00F01463" w:rsidP="00813060">
            <w:pPr>
              <w:pStyle w:val="ListParagraph"/>
              <w:numPr>
                <w:ilvl w:val="0"/>
                <w:numId w:val="22"/>
              </w:numPr>
              <w:spacing w:before="120" w:after="120"/>
              <w:jc w:val="both"/>
              <w:rPr>
                <w:rFonts w:ascii="Times New Roman" w:eastAsia="Calibri" w:hAnsi="Times New Roman"/>
                <w:sz w:val="24"/>
                <w:szCs w:val="24"/>
              </w:rPr>
            </w:pPr>
            <w:r>
              <w:rPr>
                <w:rFonts w:ascii="Times New Roman" w:hAnsi="Times New Roman"/>
                <w:sz w:val="24"/>
              </w:rPr>
              <w:t>Lastly, the performance of annual LQAS suveys will be supported and a vaccine coverage survey will be conducted in 2019.</w:t>
            </w:r>
          </w:p>
          <w:p w14:paraId="3337A954" w14:textId="29ED187F" w:rsidR="00F11851" w:rsidRPr="004B5884" w:rsidRDefault="00F11851" w:rsidP="00226DF1">
            <w:pPr>
              <w:spacing w:before="120" w:after="120"/>
              <w:jc w:val="both"/>
              <w:rPr>
                <w:rFonts w:ascii="Times New Roman" w:eastAsia="Calibri" w:hAnsi="Times New Roman"/>
                <w:sz w:val="24"/>
                <w:szCs w:val="24"/>
              </w:rPr>
            </w:pPr>
            <w:r>
              <w:rPr>
                <w:rFonts w:ascii="Times New Roman" w:hAnsi="Times New Roman"/>
                <w:sz w:val="24"/>
              </w:rPr>
              <w:t>These various interventions were taken into consideration for attainment of Objective 10 (Strategic result 10.2) of the HSDP and Objective 6 of the cMYP.</w:t>
            </w:r>
          </w:p>
          <w:p w14:paraId="7967D101" w14:textId="12961451" w:rsidR="009859B2" w:rsidRDefault="00D03F2B" w:rsidP="00226DF1">
            <w:pPr>
              <w:spacing w:before="120"/>
              <w:jc w:val="both"/>
              <w:rPr>
                <w:rFonts w:ascii="Times New Roman" w:hAnsi="Times New Roman"/>
                <w:b/>
                <w:sz w:val="24"/>
                <w:szCs w:val="24"/>
              </w:rPr>
            </w:pPr>
            <w:r>
              <w:rPr>
                <w:rFonts w:ascii="Times New Roman" w:hAnsi="Times New Roman"/>
                <w:b/>
                <w:sz w:val="24"/>
              </w:rPr>
              <w:t>Objective 4:</w:t>
            </w:r>
            <w:r>
              <w:rPr>
                <w:rFonts w:ascii="Times New Roman" w:hAnsi="Times New Roman"/>
                <w:sz w:val="24"/>
              </w:rPr>
              <w:t xml:space="preserve"> </w:t>
            </w:r>
            <w:r>
              <w:rPr>
                <w:rFonts w:ascii="Times New Roman" w:hAnsi="Times New Roman"/>
                <w:b/>
                <w:sz w:val="24"/>
              </w:rPr>
              <w:t>Improve cold chain capacity and effective vaccine management</w:t>
            </w:r>
          </w:p>
          <w:p w14:paraId="1ECA1D3C" w14:textId="0F071DC1" w:rsidR="00F013CF" w:rsidRDefault="00EB2B8B" w:rsidP="00226DF1">
            <w:pPr>
              <w:jc w:val="both"/>
              <w:rPr>
                <w:rFonts w:ascii="Times New Roman" w:eastAsia="Calibri" w:hAnsi="Times New Roman"/>
                <w:sz w:val="24"/>
                <w:szCs w:val="24"/>
              </w:rPr>
            </w:pPr>
            <w:r>
              <w:rPr>
                <w:rFonts w:ascii="Times New Roman" w:hAnsi="Times New Roman"/>
                <w:sz w:val="24"/>
              </w:rPr>
              <w:t>In order to improve storage, transport and vaccine conservation capacities, as defined in Objective 7 (Strategic Result 7.7) of the HSDP and Objective 5 of the cMYP, the health structures will be equipped with adequate logistics for vaccine management and vehicle logistics to ensure the centers' vaccine supply. In this context:</w:t>
            </w:r>
          </w:p>
          <w:p w14:paraId="4AD042AA" w14:textId="77777777" w:rsidR="00F013CF" w:rsidRDefault="00F013CF" w:rsidP="00226DF1">
            <w:pPr>
              <w:pStyle w:val="ListParagraph"/>
              <w:numPr>
                <w:ilvl w:val="0"/>
                <w:numId w:val="11"/>
              </w:numPr>
              <w:jc w:val="both"/>
              <w:rPr>
                <w:rFonts w:ascii="Times New Roman" w:eastAsia="Calibri" w:hAnsi="Times New Roman"/>
                <w:sz w:val="24"/>
                <w:szCs w:val="24"/>
              </w:rPr>
            </w:pPr>
            <w:r>
              <w:rPr>
                <w:rFonts w:ascii="Times New Roman" w:hAnsi="Times New Roman"/>
                <w:sz w:val="24"/>
              </w:rPr>
              <w:t xml:space="preserve">At the national level, a dry warehouse will be built for storing consumables; </w:t>
            </w:r>
          </w:p>
          <w:p w14:paraId="329A529E" w14:textId="77777777" w:rsidR="006B54DE" w:rsidRDefault="006B54DE" w:rsidP="00226DF1">
            <w:pPr>
              <w:pStyle w:val="ListParagraph"/>
              <w:numPr>
                <w:ilvl w:val="0"/>
                <w:numId w:val="11"/>
              </w:numPr>
              <w:jc w:val="both"/>
              <w:rPr>
                <w:rFonts w:ascii="Times New Roman" w:eastAsia="Calibri" w:hAnsi="Times New Roman"/>
                <w:sz w:val="24"/>
                <w:szCs w:val="24"/>
              </w:rPr>
            </w:pPr>
            <w:r>
              <w:rPr>
                <w:rFonts w:ascii="Times New Roman" w:hAnsi="Times New Roman"/>
                <w:sz w:val="24"/>
              </w:rPr>
              <w:t>At the regional level, a 20 m</w:t>
            </w:r>
            <w:r>
              <w:rPr>
                <w:rFonts w:ascii="Times New Roman" w:hAnsi="Times New Roman"/>
                <w:sz w:val="24"/>
                <w:vertAlign w:val="superscript"/>
              </w:rPr>
              <w:t xml:space="preserve">3 </w:t>
            </w:r>
            <w:r>
              <w:rPr>
                <w:rFonts w:ascii="Times New Roman" w:hAnsi="Times New Roman"/>
                <w:sz w:val="24"/>
              </w:rPr>
              <w:t>capacity cold chamber will be installed at all the regional departments and a cold chamber with a capacity of 10 m</w:t>
            </w:r>
            <w:r>
              <w:rPr>
                <w:rFonts w:ascii="Times New Roman" w:hAnsi="Times New Roman"/>
                <w:sz w:val="24"/>
                <w:vertAlign w:val="superscript"/>
              </w:rPr>
              <w:t>3</w:t>
            </w:r>
            <w:r>
              <w:rPr>
                <w:rFonts w:ascii="Times New Roman" w:hAnsi="Times New Roman"/>
                <w:sz w:val="24"/>
              </w:rPr>
              <w:t xml:space="preserve"> will be installed for storage in six large health districts (Bandiagara, Bougouni, Kati, Kita, Koutiala, San</w:t>
            </w:r>
            <w:r>
              <w:rPr>
                <w:sz w:val="20"/>
              </w:rPr>
              <w:t>)</w:t>
            </w:r>
            <w:r>
              <w:rPr>
                <w:rFonts w:ascii="Times New Roman" w:hAnsi="Times New Roman"/>
                <w:sz w:val="24"/>
              </w:rPr>
              <w:t>.</w:t>
            </w:r>
          </w:p>
          <w:p w14:paraId="65604F96" w14:textId="77777777" w:rsidR="00763E63" w:rsidRDefault="00763E63" w:rsidP="00226DF1">
            <w:pPr>
              <w:pStyle w:val="ListParagraph"/>
              <w:numPr>
                <w:ilvl w:val="0"/>
                <w:numId w:val="11"/>
              </w:numPr>
              <w:jc w:val="both"/>
              <w:rPr>
                <w:rFonts w:ascii="Times New Roman" w:eastAsia="Calibri" w:hAnsi="Times New Roman"/>
                <w:sz w:val="24"/>
                <w:szCs w:val="24"/>
              </w:rPr>
            </w:pPr>
            <w:r>
              <w:rPr>
                <w:rFonts w:ascii="Times New Roman" w:hAnsi="Times New Roman"/>
                <w:sz w:val="24"/>
              </w:rPr>
              <w:t>At the operational level, the facilities will be equipped with solar and electrical refrigerators, based on their varying needs.</w:t>
            </w:r>
          </w:p>
          <w:p w14:paraId="3ADA25AE" w14:textId="77777777" w:rsidR="00226DF1" w:rsidRPr="00B67BD8" w:rsidRDefault="00B67BD8" w:rsidP="00B67BD8">
            <w:pPr>
              <w:jc w:val="both"/>
              <w:rPr>
                <w:rFonts w:ascii="Times New Roman" w:eastAsia="Calibri" w:hAnsi="Times New Roman"/>
                <w:sz w:val="24"/>
                <w:szCs w:val="24"/>
              </w:rPr>
            </w:pPr>
            <w:r>
              <w:rPr>
                <w:rFonts w:ascii="Times New Roman" w:hAnsi="Times New Roman"/>
                <w:sz w:val="24"/>
              </w:rPr>
              <w:t>The effective management of these logistics will be provided by personnel with the appropriate training and equipment and material maintenance missions will be supported by the GAVI Alliance grant.</w:t>
            </w:r>
          </w:p>
          <w:p w14:paraId="5DE4452C" w14:textId="77777777" w:rsidR="009859B2" w:rsidRDefault="00A217B2" w:rsidP="00226DF1">
            <w:pPr>
              <w:spacing w:before="120"/>
              <w:jc w:val="both"/>
              <w:rPr>
                <w:rFonts w:ascii="Times New Roman" w:eastAsia="Calibri" w:hAnsi="Times New Roman"/>
                <w:sz w:val="24"/>
                <w:szCs w:val="24"/>
              </w:rPr>
            </w:pPr>
            <w:r>
              <w:rPr>
                <w:rFonts w:ascii="Times New Roman" w:hAnsi="Times New Roman"/>
                <w:b/>
                <w:sz w:val="24"/>
              </w:rPr>
              <w:t xml:space="preserve">Objective 5: </w:t>
            </w:r>
            <w:r>
              <w:rPr>
                <w:b/>
              </w:rPr>
              <w:t>Improve immunization financing by communities and municipalities.</w:t>
            </w:r>
          </w:p>
          <w:p w14:paraId="193E9555" w14:textId="77777777" w:rsidR="00022F4B" w:rsidRDefault="00047839" w:rsidP="00EE1AC5">
            <w:pPr>
              <w:spacing w:before="120"/>
              <w:jc w:val="both"/>
              <w:rPr>
                <w:rFonts w:ascii="Times New Roman" w:eastAsia="Calibri" w:hAnsi="Times New Roman"/>
                <w:sz w:val="24"/>
                <w:szCs w:val="24"/>
              </w:rPr>
            </w:pPr>
            <w:r>
              <w:rPr>
                <w:rFonts w:ascii="Times New Roman" w:hAnsi="Times New Roman"/>
                <w:sz w:val="24"/>
              </w:rPr>
              <w:t xml:space="preserve">In order to facilitate and encourage the mobilization of resources for immunization by the various actors (city government, ASACO, DTC, Municipalities, NGOs, etc.), advocacy meetings will be held quarterly in the health districts.  </w:t>
            </w:r>
          </w:p>
          <w:p w14:paraId="10F3AA62" w14:textId="5805ED14" w:rsidR="004F4318" w:rsidRPr="004B5884" w:rsidRDefault="004F4318" w:rsidP="005D445B">
            <w:pPr>
              <w:spacing w:before="120"/>
              <w:jc w:val="both"/>
              <w:rPr>
                <w:rFonts w:ascii="Times New Roman" w:eastAsia="Calibri" w:hAnsi="Times New Roman"/>
                <w:sz w:val="24"/>
                <w:szCs w:val="24"/>
              </w:rPr>
            </w:pPr>
            <w:r>
              <w:rPr>
                <w:rFonts w:ascii="Times New Roman" w:hAnsi="Times New Roman"/>
                <w:sz w:val="24"/>
              </w:rPr>
              <w:t>Objective 9 of the HSDP (Strategic Results 9.1 and 9.2 and Objectives 1 and 5 of the cMYP will contribute to attaining this objective of the proposal.</w:t>
            </w:r>
          </w:p>
        </w:tc>
      </w:tr>
      <w:tr w:rsidR="00107D23" w:rsidRPr="009316FF" w14:paraId="540FCE2D" w14:textId="77777777" w:rsidTr="004904C0">
        <w:trPr>
          <w:trHeight w:val="278"/>
        </w:trPr>
        <w:tc>
          <w:tcPr>
            <w:tcW w:w="10348" w:type="dxa"/>
            <w:gridSpan w:val="3"/>
            <w:shd w:val="clear" w:color="auto" w:fill="FFFFFF"/>
          </w:tcPr>
          <w:p w14:paraId="112503CF" w14:textId="77777777" w:rsidR="00107D23" w:rsidRPr="004B5884" w:rsidRDefault="00107D23" w:rsidP="00226DF1">
            <w:pPr>
              <w:spacing w:before="120" w:after="120"/>
              <w:jc w:val="both"/>
              <w:rPr>
                <w:rFonts w:ascii="Times New Roman" w:hAnsi="Times New Roman"/>
                <w:b/>
                <w:i/>
                <w:sz w:val="24"/>
                <w:szCs w:val="24"/>
              </w:rPr>
            </w:pPr>
          </w:p>
        </w:tc>
      </w:tr>
      <w:tr w:rsidR="00906119" w:rsidRPr="009316FF" w14:paraId="61F98EAA" w14:textId="77777777" w:rsidTr="004904C0">
        <w:trPr>
          <w:gridAfter w:val="1"/>
          <w:wAfter w:w="35" w:type="dxa"/>
        </w:trPr>
        <w:tc>
          <w:tcPr>
            <w:tcW w:w="10313" w:type="dxa"/>
            <w:gridSpan w:val="2"/>
            <w:shd w:val="clear" w:color="auto" w:fill="006460"/>
          </w:tcPr>
          <w:p w14:paraId="3C033448" w14:textId="5F6A8196" w:rsidR="00906119" w:rsidRPr="008D3452" w:rsidRDefault="00906119" w:rsidP="00C26D5F">
            <w:pPr>
              <w:pStyle w:val="Heading2"/>
              <w:jc w:val="left"/>
              <w:rPr>
                <w:rFonts w:ascii="Times New Roman" w:eastAsia="Calibri" w:hAnsi="Times New Roman"/>
                <w:sz w:val="24"/>
                <w:szCs w:val="24"/>
              </w:rPr>
            </w:pPr>
            <w:bookmarkStart w:id="67" w:name="_Toc346116645"/>
            <w:bookmarkStart w:id="68" w:name="_Toc349830263"/>
            <w:bookmarkStart w:id="69" w:name="_Toc372016102"/>
            <w:bookmarkStart w:id="70" w:name="_Toc374973346"/>
            <w:bookmarkStart w:id="71" w:name="_Toc398181095"/>
            <w:bookmarkStart w:id="72" w:name="_Toc276342224"/>
            <w:r>
              <w:rPr>
                <w:rFonts w:ascii="Times New Roman" w:hAnsi="Times New Roman"/>
                <w:sz w:val="24"/>
              </w:rPr>
              <w:t>12. Description of Activities</w:t>
            </w:r>
            <w:bookmarkEnd w:id="67"/>
            <w:bookmarkEnd w:id="68"/>
            <w:bookmarkEnd w:id="69"/>
            <w:bookmarkEnd w:id="70"/>
            <w:bookmarkEnd w:id="71"/>
            <w:bookmarkEnd w:id="72"/>
          </w:p>
        </w:tc>
      </w:tr>
      <w:tr w:rsidR="00906119" w:rsidRPr="009316FF" w14:paraId="2717AAA8" w14:textId="77777777" w:rsidTr="004904C0">
        <w:trPr>
          <w:gridAfter w:val="1"/>
          <w:wAfter w:w="35" w:type="dxa"/>
        </w:trPr>
        <w:tc>
          <w:tcPr>
            <w:tcW w:w="10313" w:type="dxa"/>
            <w:gridSpan w:val="2"/>
            <w:shd w:val="clear" w:color="auto" w:fill="FFFFFF"/>
          </w:tcPr>
          <w:p w14:paraId="0A67DCF9" w14:textId="77777777" w:rsidR="00906119" w:rsidRPr="004B5884" w:rsidRDefault="00906119" w:rsidP="00C26D5F">
            <w:pPr>
              <w:spacing w:before="120" w:after="120"/>
              <w:rPr>
                <w:rFonts w:ascii="Times New Roman" w:hAnsi="Times New Roman"/>
                <w:i/>
                <w:color w:val="173E49"/>
                <w:sz w:val="24"/>
                <w:szCs w:val="24"/>
              </w:rPr>
            </w:pPr>
            <w:r>
              <w:rPr>
                <w:rFonts w:ascii="Times New Roman" w:hAnsi="Times New Roman"/>
                <w:i/>
                <w:color w:val="173E49"/>
                <w:sz w:val="24"/>
              </w:rPr>
              <w:t xml:space="preserve">This description will be used to assess if the proposed key activities will be sufficient to achieve the identified immunisation outcomes. </w:t>
            </w:r>
          </w:p>
          <w:p w14:paraId="4D94F04F" w14:textId="77777777" w:rsidR="00906119" w:rsidRPr="004B5884" w:rsidRDefault="00906119" w:rsidP="00C26D5F">
            <w:pPr>
              <w:spacing w:before="120" w:after="120"/>
              <w:rPr>
                <w:rFonts w:ascii="Times New Roman" w:hAnsi="Times New Roman"/>
                <w:i/>
                <w:color w:val="173E49"/>
                <w:sz w:val="24"/>
                <w:szCs w:val="24"/>
              </w:rPr>
            </w:pPr>
            <w:r>
              <w:rPr>
                <w:rFonts w:ascii="Times New Roman" w:hAnsi="Times New Roman"/>
                <w:i/>
                <w:color w:val="173E49"/>
                <w:sz w:val="24"/>
              </w:rPr>
              <w:t xml:space="preserve">→ Please present a description of key activities organised according to the above specified objectives in the table below. Clearly explain how the proposed activity is linked to improving immunisation outcomes. Please ensure that activities described here are aligned with activities that are included in the Budget, Gap Analysis and Workplan Template. </w:t>
            </w:r>
          </w:p>
          <w:p w14:paraId="777D9059" w14:textId="65D3D4D9" w:rsidR="00906119" w:rsidRPr="004B5884" w:rsidRDefault="00906119" w:rsidP="00C26D5F">
            <w:pPr>
              <w:spacing w:before="120" w:after="120"/>
              <w:rPr>
                <w:rFonts w:ascii="Times New Roman" w:hAnsi="Times New Roman"/>
                <w:b/>
                <w:sz w:val="24"/>
                <w:szCs w:val="24"/>
              </w:rPr>
            </w:pPr>
            <w:r>
              <w:rPr>
                <w:rFonts w:ascii="Times New Roman" w:hAnsi="Times New Roman"/>
                <w:i/>
                <w:color w:val="173E49"/>
                <w:sz w:val="24"/>
              </w:rPr>
              <w:t>→ Countries should demonstrate alignment between HSS grant activities and activities funded through other GAVI cash support, including vaccine introduction grants and operational support for campaigns.</w:t>
            </w:r>
          </w:p>
        </w:tc>
      </w:tr>
      <w:tr w:rsidR="00906119" w:rsidRPr="009316FF" w14:paraId="0E056899" w14:textId="77777777" w:rsidTr="004904C0">
        <w:trPr>
          <w:gridAfter w:val="1"/>
          <w:wAfter w:w="35" w:type="dxa"/>
        </w:trPr>
        <w:tc>
          <w:tcPr>
            <w:tcW w:w="6547" w:type="dxa"/>
            <w:shd w:val="clear" w:color="auto" w:fill="FFFFFF"/>
          </w:tcPr>
          <w:p w14:paraId="2A7FA72D" w14:textId="77777777" w:rsidR="00906119" w:rsidRPr="004B5884" w:rsidRDefault="00906119" w:rsidP="00C26D5F">
            <w:pPr>
              <w:spacing w:before="120" w:after="120"/>
              <w:rPr>
                <w:rFonts w:ascii="Times New Roman" w:hAnsi="Times New Roman"/>
                <w:b/>
                <w:sz w:val="24"/>
                <w:szCs w:val="24"/>
              </w:rPr>
            </w:pPr>
            <w:r>
              <w:rPr>
                <w:rFonts w:ascii="Times New Roman" w:hAnsi="Times New Roman"/>
                <w:b/>
                <w:sz w:val="24"/>
              </w:rPr>
              <w:t>Objective / Activity</w:t>
            </w:r>
          </w:p>
        </w:tc>
        <w:tc>
          <w:tcPr>
            <w:tcW w:w="3766" w:type="dxa"/>
            <w:shd w:val="clear" w:color="auto" w:fill="FFFFFF"/>
          </w:tcPr>
          <w:p w14:paraId="7E3D3ACB" w14:textId="77777777" w:rsidR="00906119" w:rsidRPr="004B5884" w:rsidRDefault="00906119" w:rsidP="00C26D5F">
            <w:pPr>
              <w:spacing w:before="120" w:after="120"/>
              <w:rPr>
                <w:rFonts w:ascii="Times New Roman" w:hAnsi="Times New Roman"/>
                <w:b/>
                <w:sz w:val="24"/>
                <w:szCs w:val="24"/>
              </w:rPr>
            </w:pPr>
            <w:r>
              <w:rPr>
                <w:rFonts w:ascii="Times New Roman" w:hAnsi="Times New Roman"/>
                <w:b/>
                <w:sz w:val="24"/>
              </w:rPr>
              <w:t>Explanation of link to improving immunisation outcomes</w:t>
            </w:r>
          </w:p>
        </w:tc>
      </w:tr>
      <w:tr w:rsidR="00906119" w:rsidRPr="009316FF" w14:paraId="2768FE7A" w14:textId="77777777" w:rsidTr="004904C0">
        <w:trPr>
          <w:gridAfter w:val="1"/>
          <w:wAfter w:w="35" w:type="dxa"/>
          <w:trHeight w:val="461"/>
        </w:trPr>
        <w:tc>
          <w:tcPr>
            <w:tcW w:w="10313" w:type="dxa"/>
            <w:gridSpan w:val="2"/>
            <w:shd w:val="clear" w:color="auto" w:fill="D9D9D9" w:themeFill="background1" w:themeFillShade="D9"/>
          </w:tcPr>
          <w:p w14:paraId="0F3CB7EF" w14:textId="20FBCEA4" w:rsidR="00906119" w:rsidRPr="001379CF" w:rsidRDefault="00906119" w:rsidP="00C26D5F">
            <w:pPr>
              <w:rPr>
                <w:rFonts w:ascii="Times New Roman" w:hAnsi="Times New Roman"/>
                <w:sz w:val="24"/>
                <w:szCs w:val="24"/>
              </w:rPr>
            </w:pPr>
            <w:r>
              <w:rPr>
                <w:rFonts w:ascii="Times New Roman" w:hAnsi="Times New Roman"/>
                <w:b/>
                <w:sz w:val="24"/>
              </w:rPr>
              <w:t>Objective 1: By December 2019, increase vaccine coverage of fully immunized children in the country from 72% to 95%.</w:t>
            </w:r>
            <w:r>
              <w:rPr>
                <w:sz w:val="24"/>
              </w:rPr>
              <w:t> </w:t>
            </w:r>
          </w:p>
        </w:tc>
      </w:tr>
      <w:tr w:rsidR="00906119" w:rsidRPr="009316FF" w14:paraId="16F952ED" w14:textId="77777777" w:rsidTr="004904C0">
        <w:trPr>
          <w:gridAfter w:val="1"/>
          <w:wAfter w:w="35" w:type="dxa"/>
          <w:trHeight w:val="881"/>
        </w:trPr>
        <w:tc>
          <w:tcPr>
            <w:tcW w:w="6547" w:type="dxa"/>
            <w:shd w:val="clear" w:color="auto" w:fill="auto"/>
          </w:tcPr>
          <w:p w14:paraId="067EFF3B" w14:textId="77777777" w:rsidR="00373801" w:rsidRPr="00134D54" w:rsidRDefault="00906119" w:rsidP="00373801">
            <w:pPr>
              <w:rPr>
                <w:rFonts w:ascii="Times New Roman" w:hAnsi="Times New Roman"/>
                <w:sz w:val="24"/>
                <w:szCs w:val="24"/>
              </w:rPr>
            </w:pPr>
            <w:bookmarkStart w:id="73" w:name="RANGE!D6"/>
            <w:r>
              <w:rPr>
                <w:rFonts w:ascii="Times New Roman" w:hAnsi="Times New Roman"/>
                <w:b/>
                <w:sz w:val="24"/>
              </w:rPr>
              <w:t>Activity 1.1:</w:t>
            </w:r>
            <w:r>
              <w:rPr>
                <w:rFonts w:ascii="Times New Roman" w:hAnsi="Times New Roman"/>
                <w:sz w:val="24"/>
              </w:rPr>
              <w:t xml:space="preserve"> Training supervisory teams (3 agents) from the 28 health districts in performance based funding.</w:t>
            </w:r>
          </w:p>
          <w:p w14:paraId="44FF0BBE" w14:textId="77777777" w:rsidR="00373801" w:rsidRPr="00134D54" w:rsidRDefault="00373801" w:rsidP="00C26D5F">
            <w:pPr>
              <w:rPr>
                <w:rFonts w:ascii="Times New Roman" w:hAnsi="Times New Roman"/>
                <w:sz w:val="24"/>
                <w:szCs w:val="24"/>
              </w:rPr>
            </w:pPr>
          </w:p>
          <w:bookmarkEnd w:id="73"/>
          <w:p w14:paraId="6E023F8E" w14:textId="73657315" w:rsidR="00906119" w:rsidRPr="00134D54" w:rsidRDefault="00906119" w:rsidP="00C26D5F">
            <w:pPr>
              <w:rPr>
                <w:rFonts w:ascii="Times New Roman" w:hAnsi="Times New Roman"/>
                <w:sz w:val="24"/>
                <w:szCs w:val="24"/>
              </w:rPr>
            </w:pPr>
          </w:p>
        </w:tc>
        <w:tc>
          <w:tcPr>
            <w:tcW w:w="3766" w:type="dxa"/>
            <w:shd w:val="clear" w:color="auto" w:fill="auto"/>
          </w:tcPr>
          <w:p w14:paraId="674D2E62" w14:textId="77777777" w:rsidR="00906119" w:rsidRPr="004B5884" w:rsidRDefault="00906119" w:rsidP="00C26D5F">
            <w:pPr>
              <w:rPr>
                <w:rFonts w:ascii="Times New Roman" w:hAnsi="Times New Roman"/>
                <w:sz w:val="24"/>
                <w:szCs w:val="24"/>
              </w:rPr>
            </w:pPr>
            <w:r>
              <w:rPr>
                <w:rFonts w:ascii="Times New Roman" w:hAnsi="Times New Roman"/>
                <w:sz w:val="24"/>
              </w:rPr>
              <w:t>This training will allow the district-level participants to apply performance based funding for immunization and to improve them.</w:t>
            </w:r>
          </w:p>
        </w:tc>
      </w:tr>
      <w:tr w:rsidR="00906119" w:rsidRPr="009316FF" w14:paraId="72403599" w14:textId="77777777" w:rsidTr="004904C0">
        <w:trPr>
          <w:gridAfter w:val="1"/>
          <w:wAfter w:w="35" w:type="dxa"/>
        </w:trPr>
        <w:tc>
          <w:tcPr>
            <w:tcW w:w="6547" w:type="dxa"/>
            <w:shd w:val="clear" w:color="auto" w:fill="auto"/>
          </w:tcPr>
          <w:p w14:paraId="75EF0218" w14:textId="7CA8721B" w:rsidR="00906119" w:rsidRPr="00134D54" w:rsidRDefault="00906119" w:rsidP="00C26D5F">
            <w:pPr>
              <w:rPr>
                <w:rFonts w:ascii="Times New Roman" w:hAnsi="Times New Roman"/>
                <w:sz w:val="24"/>
                <w:szCs w:val="24"/>
              </w:rPr>
            </w:pPr>
            <w:r>
              <w:rPr>
                <w:rFonts w:ascii="Times New Roman" w:hAnsi="Times New Roman"/>
                <w:b/>
                <w:sz w:val="24"/>
              </w:rPr>
              <w:t>Activity 1.2:</w:t>
            </w:r>
            <w:r>
              <w:rPr>
                <w:rFonts w:ascii="Times New Roman" w:hAnsi="Times New Roman"/>
                <w:sz w:val="24"/>
              </w:rPr>
              <w:t xml:space="preserve"> Train and refresh 1500 vaccinating agents of the CSComs, private facilities and para-public facilities.</w:t>
            </w:r>
          </w:p>
        </w:tc>
        <w:tc>
          <w:tcPr>
            <w:tcW w:w="3766" w:type="dxa"/>
            <w:shd w:val="clear" w:color="auto" w:fill="auto"/>
          </w:tcPr>
          <w:p w14:paraId="6D30552B" w14:textId="77777777" w:rsidR="00906119" w:rsidRPr="004B5884" w:rsidRDefault="00906119" w:rsidP="00C26D5F">
            <w:pPr>
              <w:rPr>
                <w:rFonts w:ascii="Times New Roman" w:hAnsi="Times New Roman"/>
                <w:sz w:val="24"/>
                <w:szCs w:val="24"/>
              </w:rPr>
            </w:pPr>
            <w:r>
              <w:rPr>
                <w:rFonts w:ascii="Times New Roman" w:hAnsi="Times New Roman"/>
                <w:sz w:val="24"/>
              </w:rPr>
              <w:t>CSCom level participants will be able to better fulfill support for the EPI and to correctly provide vaccination services.</w:t>
            </w:r>
          </w:p>
        </w:tc>
      </w:tr>
      <w:tr w:rsidR="00906119" w:rsidRPr="009316FF" w14:paraId="6213CC67" w14:textId="77777777" w:rsidTr="004904C0">
        <w:trPr>
          <w:gridAfter w:val="1"/>
          <w:wAfter w:w="35" w:type="dxa"/>
        </w:trPr>
        <w:tc>
          <w:tcPr>
            <w:tcW w:w="6547" w:type="dxa"/>
            <w:shd w:val="clear" w:color="auto" w:fill="auto"/>
          </w:tcPr>
          <w:p w14:paraId="24552CD7" w14:textId="2AD0DF54" w:rsidR="00906119" w:rsidRPr="00134D54" w:rsidRDefault="00906119" w:rsidP="00C26D5F">
            <w:pPr>
              <w:rPr>
                <w:rFonts w:ascii="Times New Roman" w:hAnsi="Times New Roman"/>
                <w:sz w:val="24"/>
                <w:szCs w:val="24"/>
              </w:rPr>
            </w:pPr>
            <w:r>
              <w:rPr>
                <w:rFonts w:ascii="Times New Roman" w:hAnsi="Times New Roman"/>
                <w:b/>
                <w:sz w:val="24"/>
              </w:rPr>
              <w:t>Activity 1.3:</w:t>
            </w:r>
            <w:r>
              <w:rPr>
                <w:rFonts w:ascii="Times New Roman" w:hAnsi="Times New Roman"/>
                <w:sz w:val="24"/>
              </w:rPr>
              <w:t xml:space="preserve"> Train 3 people per CSCom in micro monitoring/planning in 1170 CSComs.</w:t>
            </w:r>
          </w:p>
        </w:tc>
        <w:tc>
          <w:tcPr>
            <w:tcW w:w="3766" w:type="dxa"/>
            <w:shd w:val="clear" w:color="auto" w:fill="auto"/>
          </w:tcPr>
          <w:p w14:paraId="72A5EA20" w14:textId="77777777" w:rsidR="00906119" w:rsidRPr="004B5884" w:rsidRDefault="00906119" w:rsidP="00C26D5F">
            <w:pPr>
              <w:rPr>
                <w:rFonts w:ascii="Times New Roman" w:eastAsia="Calibri" w:hAnsi="Times New Roman"/>
                <w:sz w:val="24"/>
                <w:szCs w:val="24"/>
              </w:rPr>
            </w:pPr>
            <w:r>
              <w:rPr>
                <w:rFonts w:ascii="Times New Roman" w:hAnsi="Times New Roman"/>
                <w:sz w:val="24"/>
              </w:rPr>
              <w:t>This activity will allow bottlenects for the implementation of immunization programs to be identified and corrective action to be planned in order to attain the established objectives.</w:t>
            </w:r>
          </w:p>
        </w:tc>
      </w:tr>
      <w:tr w:rsidR="00906119" w:rsidRPr="009316FF" w14:paraId="30DFA8D7" w14:textId="77777777" w:rsidTr="004904C0">
        <w:trPr>
          <w:gridAfter w:val="1"/>
          <w:wAfter w:w="35" w:type="dxa"/>
        </w:trPr>
        <w:tc>
          <w:tcPr>
            <w:tcW w:w="6547" w:type="dxa"/>
            <w:shd w:val="clear" w:color="auto" w:fill="auto"/>
          </w:tcPr>
          <w:p w14:paraId="2C957225" w14:textId="5D54C5B1" w:rsidR="00906119" w:rsidRPr="00134D54" w:rsidRDefault="00906119" w:rsidP="00C26D5F">
            <w:pPr>
              <w:rPr>
                <w:rFonts w:ascii="Times New Roman" w:hAnsi="Times New Roman"/>
                <w:sz w:val="24"/>
                <w:szCs w:val="24"/>
              </w:rPr>
            </w:pPr>
            <w:r>
              <w:rPr>
                <w:rFonts w:ascii="Times New Roman" w:hAnsi="Times New Roman"/>
                <w:b/>
                <w:sz w:val="24"/>
              </w:rPr>
              <w:t>Activity 1.4:</w:t>
            </w:r>
            <w:r>
              <w:rPr>
                <w:rFonts w:ascii="Times New Roman" w:hAnsi="Times New Roman"/>
                <w:sz w:val="24"/>
              </w:rPr>
              <w:t xml:space="preserve"> To support the advanced strategy in 1110 CSComs.</w:t>
            </w:r>
          </w:p>
        </w:tc>
        <w:tc>
          <w:tcPr>
            <w:tcW w:w="3766" w:type="dxa"/>
            <w:shd w:val="clear" w:color="auto" w:fill="auto"/>
          </w:tcPr>
          <w:p w14:paraId="7C48D067" w14:textId="77777777" w:rsidR="00906119" w:rsidRPr="004B5884" w:rsidRDefault="00906119" w:rsidP="00C26D5F">
            <w:pPr>
              <w:widowControl w:val="0"/>
              <w:rPr>
                <w:rFonts w:ascii="Times New Roman" w:eastAsia="Calibri" w:hAnsi="Times New Roman"/>
                <w:sz w:val="24"/>
                <w:szCs w:val="24"/>
              </w:rPr>
            </w:pPr>
            <w:r>
              <w:rPr>
                <w:rFonts w:ascii="Times New Roman" w:hAnsi="Times New Roman"/>
                <w:sz w:val="24"/>
              </w:rPr>
              <w:t>Personnel provide effective management of biomedical waste from immunization, which will limit infections related to this waste.</w:t>
            </w:r>
          </w:p>
          <w:p w14:paraId="106FECE4" w14:textId="77777777" w:rsidR="00906119" w:rsidRPr="004B5884" w:rsidRDefault="00906119" w:rsidP="00C26D5F">
            <w:pPr>
              <w:rPr>
                <w:rFonts w:ascii="Times New Roman" w:eastAsia="Calibri" w:hAnsi="Times New Roman"/>
                <w:sz w:val="24"/>
                <w:szCs w:val="24"/>
              </w:rPr>
            </w:pPr>
          </w:p>
        </w:tc>
      </w:tr>
      <w:tr w:rsidR="00906119" w:rsidRPr="009316FF" w14:paraId="4499DFF7" w14:textId="77777777" w:rsidTr="004904C0">
        <w:trPr>
          <w:gridAfter w:val="1"/>
          <w:wAfter w:w="35" w:type="dxa"/>
        </w:trPr>
        <w:tc>
          <w:tcPr>
            <w:tcW w:w="6547" w:type="dxa"/>
            <w:shd w:val="clear" w:color="auto" w:fill="auto"/>
          </w:tcPr>
          <w:p w14:paraId="0F5D1AEC" w14:textId="37B51C3D" w:rsidR="00906119" w:rsidRPr="00134D54" w:rsidRDefault="00906119" w:rsidP="00C26D5F">
            <w:pPr>
              <w:rPr>
                <w:rFonts w:ascii="Times New Roman" w:hAnsi="Times New Roman"/>
                <w:b/>
                <w:sz w:val="24"/>
                <w:szCs w:val="24"/>
              </w:rPr>
            </w:pPr>
            <w:r>
              <w:rPr>
                <w:rFonts w:ascii="Times New Roman" w:hAnsi="Times New Roman"/>
                <w:b/>
                <w:sz w:val="24"/>
              </w:rPr>
              <w:t>Activity 1.5:</w:t>
            </w:r>
            <w:r>
              <w:rPr>
                <w:rFonts w:ascii="Times New Roman" w:hAnsi="Times New Roman"/>
                <w:sz w:val="24"/>
              </w:rPr>
              <w:t xml:space="preserve"> Train 104 district agents in the regions of: Kayes, Koulikoro, Sikasso, Ségou, Mopti and the Bamako District in biomedical waste management</w:t>
            </w:r>
          </w:p>
        </w:tc>
        <w:tc>
          <w:tcPr>
            <w:tcW w:w="3766" w:type="dxa"/>
            <w:shd w:val="clear" w:color="auto" w:fill="auto"/>
          </w:tcPr>
          <w:p w14:paraId="01DE88E9" w14:textId="77777777" w:rsidR="00906119" w:rsidRPr="004B5884" w:rsidRDefault="00906119" w:rsidP="00C26D5F">
            <w:pPr>
              <w:rPr>
                <w:rFonts w:ascii="Times New Roman" w:eastAsia="Calibri" w:hAnsi="Times New Roman"/>
                <w:sz w:val="24"/>
                <w:szCs w:val="24"/>
              </w:rPr>
            </w:pPr>
            <w:r>
              <w:rPr>
                <w:rFonts w:ascii="Times New Roman" w:hAnsi="Times New Roman"/>
                <w:sz w:val="24"/>
              </w:rPr>
              <w:t>Communication for immunization is anchored in the health structures and the community is made more aware and has children immunized correctly.</w:t>
            </w:r>
          </w:p>
          <w:p w14:paraId="5136F676" w14:textId="77777777" w:rsidR="00906119" w:rsidRPr="004B5884" w:rsidRDefault="00906119" w:rsidP="00C26D5F">
            <w:pPr>
              <w:rPr>
                <w:rFonts w:ascii="Times New Roman" w:eastAsia="Calibri" w:hAnsi="Times New Roman"/>
                <w:sz w:val="24"/>
                <w:szCs w:val="24"/>
              </w:rPr>
            </w:pPr>
          </w:p>
        </w:tc>
      </w:tr>
      <w:tr w:rsidR="00906119" w:rsidRPr="009316FF" w14:paraId="2237EF52" w14:textId="77777777" w:rsidTr="004904C0">
        <w:trPr>
          <w:gridAfter w:val="1"/>
          <w:wAfter w:w="35" w:type="dxa"/>
          <w:trHeight w:val="799"/>
        </w:trPr>
        <w:tc>
          <w:tcPr>
            <w:tcW w:w="6547" w:type="dxa"/>
            <w:shd w:val="clear" w:color="auto" w:fill="auto"/>
          </w:tcPr>
          <w:p w14:paraId="5E31E211" w14:textId="2E06CCFC" w:rsidR="00906119" w:rsidRPr="00134D54" w:rsidRDefault="00906119" w:rsidP="001A55DF">
            <w:pPr>
              <w:rPr>
                <w:rFonts w:ascii="Times New Roman" w:hAnsi="Times New Roman"/>
                <w:sz w:val="24"/>
                <w:szCs w:val="24"/>
              </w:rPr>
            </w:pPr>
            <w:r>
              <w:rPr>
                <w:rFonts w:ascii="Times New Roman" w:hAnsi="Times New Roman"/>
                <w:b/>
                <w:sz w:val="24"/>
              </w:rPr>
              <w:t>Activity 1.6:</w:t>
            </w:r>
            <w:r>
              <w:rPr>
                <w:rFonts w:ascii="Times New Roman" w:hAnsi="Times New Roman"/>
                <w:sz w:val="24"/>
              </w:rPr>
              <w:t xml:space="preserve"> Equip 20 health districts with vehicles for supervision activities and mobile teams  (Koutiala, Yanfolila, Sikasso, Sélingué, Tominian, Ségou, Macina, Niono, Tenenkou, Douentza, Youwarou, Djéné, Nioro, Kayes, Kita, Diéma, Nara, Fana, Kati and Dioila) </w:t>
            </w:r>
          </w:p>
        </w:tc>
        <w:tc>
          <w:tcPr>
            <w:tcW w:w="3766" w:type="dxa"/>
            <w:shd w:val="clear" w:color="auto" w:fill="auto"/>
          </w:tcPr>
          <w:p w14:paraId="3ABA9020" w14:textId="77777777" w:rsidR="00906119" w:rsidRPr="004B5884" w:rsidRDefault="00906119" w:rsidP="00C26D5F">
            <w:pPr>
              <w:rPr>
                <w:rFonts w:ascii="Times New Roman" w:eastAsia="Calibri" w:hAnsi="Times New Roman"/>
                <w:sz w:val="24"/>
                <w:szCs w:val="24"/>
              </w:rPr>
            </w:pPr>
            <w:r>
              <w:rPr>
                <w:rFonts w:ascii="Times New Roman" w:hAnsi="Times New Roman"/>
                <w:sz w:val="24"/>
              </w:rPr>
              <w:t>Supervision activities for immunization and the perforamnce of mobile team strategies will be effective.</w:t>
            </w:r>
          </w:p>
        </w:tc>
      </w:tr>
      <w:tr w:rsidR="00906119" w:rsidRPr="009316FF" w14:paraId="0FAD4E4D" w14:textId="77777777" w:rsidTr="004904C0">
        <w:trPr>
          <w:gridAfter w:val="1"/>
          <w:wAfter w:w="35" w:type="dxa"/>
        </w:trPr>
        <w:tc>
          <w:tcPr>
            <w:tcW w:w="6547" w:type="dxa"/>
            <w:shd w:val="clear" w:color="auto" w:fill="auto"/>
          </w:tcPr>
          <w:p w14:paraId="56E4F282" w14:textId="71DABF79" w:rsidR="00906119" w:rsidRPr="00134D54" w:rsidRDefault="00906119" w:rsidP="00C26D5F">
            <w:pPr>
              <w:rPr>
                <w:rFonts w:ascii="Times New Roman" w:hAnsi="Times New Roman"/>
                <w:b/>
                <w:sz w:val="24"/>
                <w:szCs w:val="24"/>
              </w:rPr>
            </w:pPr>
            <w:r>
              <w:rPr>
                <w:rFonts w:ascii="Times New Roman" w:hAnsi="Times New Roman"/>
                <w:b/>
                <w:sz w:val="24"/>
              </w:rPr>
              <w:t xml:space="preserve">Activity 1.7 - </w:t>
            </w:r>
            <w:r>
              <w:rPr>
                <w:rFonts w:ascii="Times New Roman" w:hAnsi="Times New Roman"/>
                <w:sz w:val="24"/>
              </w:rPr>
              <w:t>Equip 200 CSComs with a motorbike for advanced strategy activities (list attached)</w:t>
            </w:r>
          </w:p>
        </w:tc>
        <w:tc>
          <w:tcPr>
            <w:tcW w:w="3766" w:type="dxa"/>
            <w:shd w:val="clear" w:color="auto" w:fill="auto"/>
          </w:tcPr>
          <w:p w14:paraId="28383746" w14:textId="77777777" w:rsidR="00906119" w:rsidRPr="004B5884" w:rsidRDefault="00906119" w:rsidP="00C26D5F">
            <w:pPr>
              <w:rPr>
                <w:rFonts w:ascii="Times New Roman" w:eastAsia="Calibri" w:hAnsi="Times New Roman"/>
                <w:sz w:val="24"/>
                <w:szCs w:val="24"/>
              </w:rPr>
            </w:pPr>
            <w:r>
              <w:rPr>
                <w:rFonts w:ascii="Times New Roman" w:hAnsi="Times New Roman"/>
                <w:sz w:val="24"/>
              </w:rPr>
              <w:t>Immunization activities are conducted using advanced strategies for good geographic accessibility and good vaccine coverage</w:t>
            </w:r>
          </w:p>
        </w:tc>
      </w:tr>
      <w:tr w:rsidR="00167F1D" w:rsidRPr="009316FF" w14:paraId="1BF5FC4F" w14:textId="77777777" w:rsidTr="004904C0">
        <w:trPr>
          <w:gridAfter w:val="1"/>
          <w:wAfter w:w="35" w:type="dxa"/>
        </w:trPr>
        <w:tc>
          <w:tcPr>
            <w:tcW w:w="6547" w:type="dxa"/>
            <w:shd w:val="clear" w:color="auto" w:fill="auto"/>
          </w:tcPr>
          <w:p w14:paraId="68E82433" w14:textId="16314307" w:rsidR="00167F1D" w:rsidRPr="00134D54" w:rsidRDefault="00167F1D" w:rsidP="00121711">
            <w:pPr>
              <w:rPr>
                <w:rFonts w:ascii="Times New Roman" w:hAnsi="Times New Roman"/>
                <w:sz w:val="24"/>
                <w:szCs w:val="24"/>
              </w:rPr>
            </w:pPr>
            <w:r>
              <w:rPr>
                <w:rFonts w:ascii="Times New Roman" w:hAnsi="Times New Roman"/>
                <w:b/>
                <w:sz w:val="24"/>
              </w:rPr>
              <w:t xml:space="preserve">Activity 1.8: </w:t>
            </w:r>
            <w:r>
              <w:rPr>
                <w:rFonts w:ascii="Times New Roman" w:hAnsi="Times New Roman"/>
                <w:sz w:val="24"/>
              </w:rPr>
              <w:t>Equip twenty-five (25) CSRefs with an AJA incinerator by late 2019 (Sélingué, Sikasso, Kadiolo,Kolondièba, Kigna, Niono, Bla, Macina, Ségou, San, Banamba, Koulikoro, Kalaban coro, Fana, Kati, Bandiagara, Koro, Douentza, Bankass, Djenné, Kita, Kéniéba, Kayes, Diéma, Oussoubidiagna</w:t>
            </w:r>
          </w:p>
        </w:tc>
        <w:tc>
          <w:tcPr>
            <w:tcW w:w="3766" w:type="dxa"/>
            <w:shd w:val="clear" w:color="auto" w:fill="auto"/>
          </w:tcPr>
          <w:p w14:paraId="2CC1A57A" w14:textId="77777777" w:rsidR="00167F1D" w:rsidRPr="004B5884" w:rsidRDefault="00167F1D" w:rsidP="00C26D5F">
            <w:pPr>
              <w:rPr>
                <w:rFonts w:ascii="Times New Roman" w:eastAsia="Calibri" w:hAnsi="Times New Roman"/>
                <w:sz w:val="24"/>
                <w:szCs w:val="24"/>
              </w:rPr>
            </w:pPr>
            <w:r>
              <w:rPr>
                <w:rFonts w:ascii="Times New Roman" w:hAnsi="Times New Roman"/>
                <w:sz w:val="24"/>
              </w:rPr>
              <w:t>Waste from immunization sessions will no longer present a danger to agents and the community.</w:t>
            </w:r>
          </w:p>
        </w:tc>
      </w:tr>
      <w:tr w:rsidR="00167F1D" w:rsidRPr="009316FF" w14:paraId="69D3158E" w14:textId="77777777" w:rsidTr="004904C0">
        <w:trPr>
          <w:gridAfter w:val="1"/>
          <w:wAfter w:w="35" w:type="dxa"/>
        </w:trPr>
        <w:tc>
          <w:tcPr>
            <w:tcW w:w="6547" w:type="dxa"/>
            <w:shd w:val="clear" w:color="auto" w:fill="auto"/>
          </w:tcPr>
          <w:p w14:paraId="46DD2503" w14:textId="642BA4B2" w:rsidR="00167F1D" w:rsidRPr="00134D54" w:rsidRDefault="00167F1D" w:rsidP="00C66D73">
            <w:pPr>
              <w:rPr>
                <w:rFonts w:ascii="Times New Roman" w:hAnsi="Times New Roman"/>
                <w:sz w:val="24"/>
                <w:szCs w:val="24"/>
              </w:rPr>
            </w:pPr>
            <w:r>
              <w:rPr>
                <w:rFonts w:ascii="Times New Roman" w:hAnsi="Times New Roman"/>
                <w:b/>
                <w:sz w:val="24"/>
              </w:rPr>
              <w:t>Activity 1.9:</w:t>
            </w:r>
            <w:r>
              <w:rPr>
                <w:rFonts w:ascii="Times New Roman" w:hAnsi="Times New Roman"/>
                <w:sz w:val="24"/>
              </w:rPr>
              <w:t xml:space="preserve"> Equip 25 health districts with biomedical waste management and collection material (Yorosso, Kignan, Sélingué, Sikasso, Kadiolo, Macina, Tominian, Baraouéli, San, Ségou, Nara, Banamba, Kalaban coro, Kati, Koulikoro, Bandiagara, Koro, Douentza, Bankass, Djenné, Kita, Kénièba, Kayes, Diéma, Oussoubidiagna</w:t>
            </w:r>
          </w:p>
        </w:tc>
        <w:tc>
          <w:tcPr>
            <w:tcW w:w="3766" w:type="dxa"/>
            <w:shd w:val="clear" w:color="auto" w:fill="auto"/>
          </w:tcPr>
          <w:p w14:paraId="2CE1B46A" w14:textId="77777777" w:rsidR="00167F1D" w:rsidRPr="004B5884" w:rsidRDefault="00167F1D" w:rsidP="00C26D5F">
            <w:pPr>
              <w:rPr>
                <w:rFonts w:ascii="Times New Roman" w:eastAsia="Calibri" w:hAnsi="Times New Roman"/>
                <w:sz w:val="24"/>
                <w:szCs w:val="24"/>
              </w:rPr>
            </w:pPr>
            <w:r>
              <w:rPr>
                <w:rFonts w:ascii="Times New Roman" w:hAnsi="Times New Roman"/>
                <w:sz w:val="24"/>
              </w:rPr>
              <w:t>Effective management of waste from immunization activities is operational in the various health districts</w:t>
            </w:r>
          </w:p>
        </w:tc>
      </w:tr>
      <w:tr w:rsidR="00906119" w:rsidRPr="009316FF" w14:paraId="53004824" w14:textId="77777777" w:rsidTr="004904C0">
        <w:trPr>
          <w:gridAfter w:val="1"/>
          <w:wAfter w:w="35" w:type="dxa"/>
        </w:trPr>
        <w:tc>
          <w:tcPr>
            <w:tcW w:w="6547" w:type="dxa"/>
            <w:shd w:val="clear" w:color="auto" w:fill="auto"/>
          </w:tcPr>
          <w:p w14:paraId="61EEDAA0" w14:textId="081140ED" w:rsidR="00906119" w:rsidRPr="00134D54" w:rsidRDefault="00906119" w:rsidP="00C26D5F">
            <w:pPr>
              <w:rPr>
                <w:rFonts w:ascii="Times New Roman" w:hAnsi="Times New Roman"/>
                <w:b/>
                <w:sz w:val="24"/>
                <w:szCs w:val="24"/>
              </w:rPr>
            </w:pPr>
            <w:r>
              <w:rPr>
                <w:rFonts w:ascii="Times New Roman" w:hAnsi="Times New Roman"/>
                <w:b/>
                <w:sz w:val="24"/>
              </w:rPr>
              <w:t>Activity 1.10:</w:t>
            </w:r>
            <w:r>
              <w:rPr>
                <w:rFonts w:ascii="Times New Roman" w:hAnsi="Times New Roman"/>
                <w:sz w:val="24"/>
              </w:rPr>
              <w:t xml:space="preserve"> Support specific semi-annual EPI supervision activities by the central level over the peripheral levels.</w:t>
            </w:r>
          </w:p>
        </w:tc>
        <w:tc>
          <w:tcPr>
            <w:tcW w:w="3766" w:type="dxa"/>
            <w:shd w:val="clear" w:color="auto" w:fill="auto"/>
          </w:tcPr>
          <w:p w14:paraId="23461780" w14:textId="77777777" w:rsidR="00906119" w:rsidRPr="004B5884" w:rsidRDefault="00906119" w:rsidP="00C26D5F">
            <w:pPr>
              <w:rPr>
                <w:rFonts w:ascii="Times New Roman" w:hAnsi="Times New Roman"/>
                <w:sz w:val="24"/>
                <w:szCs w:val="24"/>
              </w:rPr>
            </w:pPr>
            <w:r>
              <w:rPr>
                <w:rFonts w:ascii="Times New Roman" w:hAnsi="Times New Roman"/>
                <w:sz w:val="24"/>
              </w:rPr>
              <w:t>This activity will allow the implementation of activities to be monitored and solutions to be found for the problems identified with actors.</w:t>
            </w:r>
          </w:p>
        </w:tc>
      </w:tr>
      <w:tr w:rsidR="00906119" w:rsidRPr="009316FF" w14:paraId="0A4A6AB3" w14:textId="77777777" w:rsidTr="004904C0">
        <w:trPr>
          <w:gridAfter w:val="1"/>
          <w:wAfter w:w="35" w:type="dxa"/>
        </w:trPr>
        <w:tc>
          <w:tcPr>
            <w:tcW w:w="6547" w:type="dxa"/>
            <w:shd w:val="clear" w:color="auto" w:fill="auto"/>
          </w:tcPr>
          <w:p w14:paraId="4CDC6139" w14:textId="607FB389" w:rsidR="00906119" w:rsidRPr="00134D54" w:rsidRDefault="00906119" w:rsidP="00F539FC">
            <w:pPr>
              <w:rPr>
                <w:rFonts w:ascii="Times New Roman" w:hAnsi="Times New Roman"/>
                <w:sz w:val="24"/>
                <w:szCs w:val="24"/>
              </w:rPr>
            </w:pPr>
            <w:r>
              <w:rPr>
                <w:rFonts w:ascii="Times New Roman" w:hAnsi="Times New Roman"/>
                <w:b/>
                <w:sz w:val="24"/>
              </w:rPr>
              <w:t>Activity 1.11:</w:t>
            </w:r>
            <w:r>
              <w:rPr>
                <w:rFonts w:ascii="Times New Roman" w:hAnsi="Times New Roman"/>
                <w:sz w:val="24"/>
              </w:rPr>
              <w:t xml:space="preserve"> Support the mobile immunization team in 57 health districts</w:t>
            </w:r>
          </w:p>
        </w:tc>
        <w:tc>
          <w:tcPr>
            <w:tcW w:w="3766" w:type="dxa"/>
            <w:shd w:val="clear" w:color="auto" w:fill="auto"/>
          </w:tcPr>
          <w:p w14:paraId="3D8AA0DF" w14:textId="77777777" w:rsidR="00906119" w:rsidRPr="004B5884" w:rsidRDefault="00906119" w:rsidP="00C26D5F">
            <w:pPr>
              <w:rPr>
                <w:rFonts w:ascii="Times New Roman" w:hAnsi="Times New Roman"/>
                <w:sz w:val="24"/>
                <w:szCs w:val="24"/>
              </w:rPr>
            </w:pPr>
            <w:r>
              <w:rPr>
                <w:rFonts w:ascii="Times New Roman" w:hAnsi="Times New Roman"/>
                <w:sz w:val="24"/>
              </w:rPr>
              <w:t>Populations that are remote from health care structures will be provided with immunization services.</w:t>
            </w:r>
          </w:p>
        </w:tc>
      </w:tr>
      <w:tr w:rsidR="00906119" w:rsidRPr="009316FF" w14:paraId="7B9FCD86" w14:textId="77777777" w:rsidTr="004904C0">
        <w:trPr>
          <w:gridAfter w:val="1"/>
          <w:wAfter w:w="35" w:type="dxa"/>
          <w:trHeight w:val="1354"/>
        </w:trPr>
        <w:tc>
          <w:tcPr>
            <w:tcW w:w="6547" w:type="dxa"/>
            <w:shd w:val="clear" w:color="auto" w:fill="FFFFFF"/>
          </w:tcPr>
          <w:p w14:paraId="63EC06C7" w14:textId="422723EE" w:rsidR="00906119" w:rsidRPr="00134D54" w:rsidRDefault="00906119" w:rsidP="00C26D5F">
            <w:pPr>
              <w:rPr>
                <w:rFonts w:ascii="Times New Roman" w:hAnsi="Times New Roman"/>
                <w:sz w:val="24"/>
                <w:szCs w:val="24"/>
              </w:rPr>
            </w:pPr>
            <w:r>
              <w:rPr>
                <w:rFonts w:ascii="Times New Roman" w:hAnsi="Times New Roman"/>
                <w:b/>
                <w:sz w:val="24"/>
              </w:rPr>
              <w:t xml:space="preserve">Activity 1.12: </w:t>
            </w:r>
            <w:r>
              <w:rPr>
                <w:rFonts w:ascii="Times New Roman" w:hAnsi="Times New Roman"/>
                <w:sz w:val="24"/>
              </w:rPr>
              <w:t>Provide quarterly performance bonuses of 75,000 CFA francs to CSComs reaching 95% Penta3 and VAR coverage with a dropout rate of &lt; 10% in the districts within the regions of Mopti, Ségou, Koulikoro, Sikasso, Kayes and Bamako)</w:t>
            </w:r>
          </w:p>
        </w:tc>
        <w:tc>
          <w:tcPr>
            <w:tcW w:w="3766" w:type="dxa"/>
            <w:shd w:val="clear" w:color="auto" w:fill="FFFFFF"/>
          </w:tcPr>
          <w:p w14:paraId="72E5F974" w14:textId="30F7976D" w:rsidR="00906119" w:rsidRPr="004B5884" w:rsidRDefault="00906119" w:rsidP="000D2CAB">
            <w:pPr>
              <w:widowControl w:val="0"/>
              <w:rPr>
                <w:rFonts w:ascii="Times New Roman" w:eastAsia="Calibri" w:hAnsi="Times New Roman"/>
                <w:sz w:val="24"/>
                <w:szCs w:val="24"/>
              </w:rPr>
            </w:pPr>
            <w:r>
              <w:rPr>
                <w:rFonts w:ascii="Times New Roman" w:hAnsi="Times New Roman"/>
                <w:sz w:val="24"/>
              </w:rPr>
              <w:t>This would encourage EPI officials at the operational level to actively seek out missed opportunity situations and dropouts.</w:t>
            </w:r>
          </w:p>
        </w:tc>
      </w:tr>
      <w:tr w:rsidR="00906119" w:rsidRPr="009316FF" w14:paraId="5C0493C2" w14:textId="77777777" w:rsidTr="004904C0">
        <w:trPr>
          <w:gridAfter w:val="1"/>
          <w:wAfter w:w="35" w:type="dxa"/>
          <w:trHeight w:val="805"/>
        </w:trPr>
        <w:tc>
          <w:tcPr>
            <w:tcW w:w="6547" w:type="dxa"/>
            <w:shd w:val="clear" w:color="auto" w:fill="auto"/>
          </w:tcPr>
          <w:p w14:paraId="6462B8CA" w14:textId="3F0304C5" w:rsidR="00906119" w:rsidRPr="00134D54" w:rsidRDefault="00906119" w:rsidP="00782C36">
            <w:pPr>
              <w:rPr>
                <w:rFonts w:ascii="Times New Roman" w:hAnsi="Times New Roman"/>
                <w:sz w:val="24"/>
                <w:szCs w:val="24"/>
              </w:rPr>
            </w:pPr>
            <w:r>
              <w:rPr>
                <w:rFonts w:ascii="Times New Roman" w:hAnsi="Times New Roman"/>
                <w:b/>
                <w:sz w:val="24"/>
              </w:rPr>
              <w:t>Activity 1.13:</w:t>
            </w:r>
            <w:r>
              <w:rPr>
                <w:rFonts w:ascii="Times New Roman" w:hAnsi="Times New Roman"/>
                <w:sz w:val="24"/>
              </w:rPr>
              <w:t xml:space="preserve"> Continue the process of providing CSComs with physicians by recruiting and assuming responsibility for salaries and costs for 50 physicians per year.</w:t>
            </w:r>
          </w:p>
        </w:tc>
        <w:tc>
          <w:tcPr>
            <w:tcW w:w="3766" w:type="dxa"/>
            <w:shd w:val="clear" w:color="auto" w:fill="FFFFFF"/>
          </w:tcPr>
          <w:p w14:paraId="3A57F952" w14:textId="77777777" w:rsidR="00906119" w:rsidRPr="004B5884" w:rsidRDefault="00906119" w:rsidP="00C26D5F">
            <w:pPr>
              <w:widowControl w:val="0"/>
              <w:rPr>
                <w:rFonts w:ascii="Times New Roman" w:eastAsia="Calibri" w:hAnsi="Times New Roman"/>
                <w:sz w:val="24"/>
                <w:szCs w:val="24"/>
              </w:rPr>
            </w:pPr>
            <w:r>
              <w:rPr>
                <w:rFonts w:ascii="Times New Roman" w:hAnsi="Times New Roman"/>
                <w:sz w:val="24"/>
              </w:rPr>
              <w:t>Provision of physicians to CSComs has allowed an improvement in the quality of services, particularly in the context of immunization. It must be encouraged and continued in order to offset the problem of qualified human resources, from which our health system suffers.</w:t>
            </w:r>
          </w:p>
        </w:tc>
      </w:tr>
      <w:tr w:rsidR="00906119" w:rsidRPr="009316FF" w14:paraId="3BD4A191" w14:textId="77777777" w:rsidTr="004904C0">
        <w:trPr>
          <w:gridAfter w:val="1"/>
          <w:wAfter w:w="35" w:type="dxa"/>
          <w:trHeight w:val="697"/>
        </w:trPr>
        <w:tc>
          <w:tcPr>
            <w:tcW w:w="6547" w:type="dxa"/>
            <w:shd w:val="clear" w:color="auto" w:fill="FFFFFF"/>
          </w:tcPr>
          <w:p w14:paraId="731C8B69" w14:textId="70C2D5E1" w:rsidR="008B6438" w:rsidRPr="00134D54" w:rsidRDefault="00906119" w:rsidP="00C26D5F">
            <w:pPr>
              <w:rPr>
                <w:rFonts w:ascii="Times New Roman" w:hAnsi="Times New Roman"/>
                <w:sz w:val="24"/>
                <w:szCs w:val="24"/>
              </w:rPr>
            </w:pPr>
            <w:r>
              <w:rPr>
                <w:rFonts w:ascii="Times New Roman" w:hAnsi="Times New Roman"/>
                <w:b/>
                <w:sz w:val="24"/>
              </w:rPr>
              <w:t>Activity 1.14:</w:t>
            </w:r>
            <w:r>
              <w:rPr>
                <w:rFonts w:ascii="Times New Roman" w:hAnsi="Times New Roman"/>
                <w:sz w:val="24"/>
              </w:rPr>
              <w:t xml:space="preserve"> Implement a system for verifying PBR data through auto-assessment. </w:t>
            </w:r>
          </w:p>
          <w:p w14:paraId="36A55291" w14:textId="42C358F9" w:rsidR="00906119" w:rsidRPr="00134D54" w:rsidRDefault="00906119" w:rsidP="00C26D5F">
            <w:pPr>
              <w:rPr>
                <w:rFonts w:ascii="Times New Roman" w:hAnsi="Times New Roman"/>
                <w:sz w:val="24"/>
                <w:szCs w:val="24"/>
              </w:rPr>
            </w:pPr>
          </w:p>
        </w:tc>
        <w:tc>
          <w:tcPr>
            <w:tcW w:w="3766" w:type="dxa"/>
            <w:shd w:val="clear" w:color="auto" w:fill="FFFFFF"/>
          </w:tcPr>
          <w:p w14:paraId="7F5D5D63" w14:textId="77777777" w:rsidR="00906119" w:rsidRPr="004B5884" w:rsidRDefault="00906119" w:rsidP="00C26D5F">
            <w:pPr>
              <w:widowControl w:val="0"/>
              <w:rPr>
                <w:rFonts w:ascii="Times New Roman" w:eastAsia="Calibri" w:hAnsi="Times New Roman"/>
                <w:color w:val="FF0000"/>
                <w:sz w:val="24"/>
                <w:szCs w:val="24"/>
              </w:rPr>
            </w:pPr>
            <w:r>
              <w:rPr>
                <w:rFonts w:ascii="Times New Roman" w:hAnsi="Times New Roman"/>
                <w:sz w:val="24"/>
              </w:rPr>
              <w:t xml:space="preserve">This external assessment will impartially verify the data presented by the health facilities that are part of the PBR system. </w:t>
            </w:r>
          </w:p>
        </w:tc>
      </w:tr>
      <w:tr w:rsidR="00906119" w:rsidRPr="009316FF" w14:paraId="13BA1831" w14:textId="77777777" w:rsidTr="004904C0">
        <w:trPr>
          <w:gridAfter w:val="1"/>
          <w:wAfter w:w="35" w:type="dxa"/>
        </w:trPr>
        <w:tc>
          <w:tcPr>
            <w:tcW w:w="6547" w:type="dxa"/>
            <w:shd w:val="clear" w:color="auto" w:fill="auto"/>
          </w:tcPr>
          <w:p w14:paraId="29EF5FD2" w14:textId="7118846F" w:rsidR="00906119" w:rsidRPr="00134D54" w:rsidRDefault="00906119" w:rsidP="00C26D5F">
            <w:pPr>
              <w:rPr>
                <w:rFonts w:ascii="Times New Roman" w:hAnsi="Times New Roman"/>
                <w:sz w:val="24"/>
                <w:szCs w:val="24"/>
              </w:rPr>
            </w:pPr>
            <w:r>
              <w:rPr>
                <w:rFonts w:ascii="Times New Roman" w:hAnsi="Times New Roman"/>
                <w:b/>
                <w:sz w:val="24"/>
              </w:rPr>
              <w:t>Activity 1.15:</w:t>
            </w:r>
            <w:r>
              <w:rPr>
                <w:rFonts w:ascii="Times New Roman" w:hAnsi="Times New Roman"/>
                <w:sz w:val="24"/>
              </w:rPr>
              <w:t xml:space="preserve"> Prepare communication plans regarding routine immunization in the 3 prioritized health districts with low vaccine coverage.</w:t>
            </w:r>
          </w:p>
        </w:tc>
        <w:tc>
          <w:tcPr>
            <w:tcW w:w="3766" w:type="dxa"/>
            <w:shd w:val="clear" w:color="auto" w:fill="auto"/>
          </w:tcPr>
          <w:p w14:paraId="5F3BC9D0" w14:textId="77777777" w:rsidR="00906119" w:rsidRPr="004B5884" w:rsidRDefault="00906119" w:rsidP="00C26D5F">
            <w:pPr>
              <w:rPr>
                <w:rFonts w:ascii="Times New Roman" w:eastAsia="Calibri" w:hAnsi="Times New Roman"/>
                <w:sz w:val="24"/>
                <w:szCs w:val="24"/>
              </w:rPr>
            </w:pPr>
            <w:r>
              <w:rPr>
                <w:rFonts w:ascii="Times New Roman" w:hAnsi="Times New Roman"/>
                <w:sz w:val="24"/>
              </w:rPr>
              <w:t>This activity is important in order that each health district has a permanent communication plan for the EPI, considering the specific features and details of the districts.</w:t>
            </w:r>
          </w:p>
        </w:tc>
      </w:tr>
      <w:tr w:rsidR="00906119" w:rsidRPr="009316FF" w14:paraId="016109B0" w14:textId="77777777" w:rsidTr="004904C0">
        <w:trPr>
          <w:gridAfter w:val="1"/>
          <w:wAfter w:w="35" w:type="dxa"/>
        </w:trPr>
        <w:tc>
          <w:tcPr>
            <w:tcW w:w="6547" w:type="dxa"/>
            <w:shd w:val="clear" w:color="auto" w:fill="auto"/>
          </w:tcPr>
          <w:p w14:paraId="3509DEA1" w14:textId="24A36AD2" w:rsidR="00906119" w:rsidRPr="00134D54" w:rsidRDefault="00906119" w:rsidP="00C26D5F">
            <w:pPr>
              <w:rPr>
                <w:rFonts w:ascii="Times New Roman" w:hAnsi="Times New Roman"/>
                <w:sz w:val="24"/>
                <w:szCs w:val="24"/>
              </w:rPr>
            </w:pPr>
            <w:r>
              <w:rPr>
                <w:rFonts w:ascii="Times New Roman" w:hAnsi="Times New Roman"/>
                <w:b/>
                <w:sz w:val="24"/>
              </w:rPr>
              <w:t>Activity 1.16:</w:t>
            </w:r>
            <w:r>
              <w:rPr>
                <w:rFonts w:ascii="Times New Roman" w:hAnsi="Times New Roman"/>
                <w:sz w:val="24"/>
              </w:rPr>
              <w:t xml:space="preserve"> Implement routine immunization communication plans in 3 health districts.</w:t>
            </w:r>
          </w:p>
        </w:tc>
        <w:tc>
          <w:tcPr>
            <w:tcW w:w="3766" w:type="dxa"/>
            <w:shd w:val="clear" w:color="auto" w:fill="auto"/>
          </w:tcPr>
          <w:p w14:paraId="56AE8CEB" w14:textId="77777777" w:rsidR="00906119" w:rsidRPr="004B5884" w:rsidRDefault="00906119" w:rsidP="00C26D5F">
            <w:pPr>
              <w:rPr>
                <w:rFonts w:ascii="Times New Roman" w:eastAsia="Calibri" w:hAnsi="Times New Roman"/>
                <w:sz w:val="24"/>
                <w:szCs w:val="24"/>
              </w:rPr>
            </w:pPr>
            <w:r>
              <w:rPr>
                <w:rFonts w:ascii="Times New Roman" w:hAnsi="Times New Roman"/>
                <w:sz w:val="24"/>
              </w:rPr>
              <w:t>The purpose of this activity is to ensure permanent communication regarding immunization (Importance, compliance with immunization schedule)</w:t>
            </w:r>
          </w:p>
        </w:tc>
      </w:tr>
      <w:tr w:rsidR="00906119" w:rsidRPr="009316FF" w14:paraId="072D2636" w14:textId="77777777" w:rsidTr="004904C0">
        <w:trPr>
          <w:gridAfter w:val="1"/>
          <w:wAfter w:w="35" w:type="dxa"/>
        </w:trPr>
        <w:tc>
          <w:tcPr>
            <w:tcW w:w="6547" w:type="dxa"/>
            <w:shd w:val="clear" w:color="auto" w:fill="auto"/>
          </w:tcPr>
          <w:p w14:paraId="02BD5126" w14:textId="53201629" w:rsidR="00906119" w:rsidRPr="00134D54" w:rsidRDefault="00906119" w:rsidP="008435B1">
            <w:pPr>
              <w:rPr>
                <w:rFonts w:ascii="Times New Roman" w:hAnsi="Times New Roman"/>
                <w:sz w:val="24"/>
                <w:szCs w:val="24"/>
              </w:rPr>
            </w:pPr>
            <w:r>
              <w:rPr>
                <w:rFonts w:ascii="Times New Roman" w:hAnsi="Times New Roman"/>
                <w:b/>
                <w:sz w:val="24"/>
              </w:rPr>
              <w:t>Activity 1.17:</w:t>
            </w:r>
            <w:r>
              <w:rPr>
                <w:rFonts w:ascii="Times New Roman" w:hAnsi="Times New Roman"/>
                <w:sz w:val="24"/>
              </w:rPr>
              <w:t xml:space="preserve"> Continue the accreditation process for CSRefs in the Kayes Region (Bafoulabé, Diéma, Kayes, Kéniéba, Kita, Nioro, Yélimané, Oussoubidiagnan)</w:t>
            </w:r>
          </w:p>
        </w:tc>
        <w:tc>
          <w:tcPr>
            <w:tcW w:w="3766" w:type="dxa"/>
            <w:shd w:val="clear" w:color="auto" w:fill="auto"/>
          </w:tcPr>
          <w:p w14:paraId="33DED8BA" w14:textId="64D0B844" w:rsidR="00906119" w:rsidRPr="004B5884" w:rsidRDefault="00906119" w:rsidP="00C26D5F">
            <w:pPr>
              <w:rPr>
                <w:rFonts w:ascii="Times New Roman" w:eastAsia="Calibri" w:hAnsi="Times New Roman"/>
                <w:sz w:val="24"/>
                <w:szCs w:val="24"/>
              </w:rPr>
            </w:pPr>
            <w:r>
              <w:rPr>
                <w:rFonts w:ascii="Times New Roman" w:hAnsi="Times New Roman"/>
                <w:sz w:val="24"/>
              </w:rPr>
              <w:t xml:space="preserve">Competition among the various health </w:t>
            </w:r>
            <w:r w:rsidR="007D38B4">
              <w:rPr>
                <w:rFonts w:ascii="Times New Roman" w:hAnsi="Times New Roman"/>
                <w:sz w:val="24"/>
              </w:rPr>
              <w:t>districts</w:t>
            </w:r>
            <w:r>
              <w:rPr>
                <w:rFonts w:ascii="Times New Roman" w:hAnsi="Times New Roman"/>
                <w:sz w:val="24"/>
              </w:rPr>
              <w:t xml:space="preserve"> may contribute to improving their performance and specifically immunization data.</w:t>
            </w:r>
          </w:p>
        </w:tc>
      </w:tr>
      <w:tr w:rsidR="00906119" w:rsidRPr="009316FF" w14:paraId="099F84E1" w14:textId="77777777" w:rsidTr="004904C0">
        <w:trPr>
          <w:gridAfter w:val="1"/>
          <w:wAfter w:w="35" w:type="dxa"/>
        </w:trPr>
        <w:tc>
          <w:tcPr>
            <w:tcW w:w="6547" w:type="dxa"/>
            <w:shd w:val="clear" w:color="auto" w:fill="auto"/>
          </w:tcPr>
          <w:p w14:paraId="1E55CA0F" w14:textId="16333A87" w:rsidR="00906119" w:rsidRPr="00134D54" w:rsidRDefault="00906119" w:rsidP="00C26D5F">
            <w:pPr>
              <w:rPr>
                <w:rFonts w:ascii="Times New Roman" w:hAnsi="Times New Roman"/>
                <w:b/>
                <w:sz w:val="24"/>
                <w:szCs w:val="24"/>
              </w:rPr>
            </w:pPr>
            <w:r>
              <w:rPr>
                <w:rFonts w:ascii="Times New Roman" w:hAnsi="Times New Roman"/>
                <w:b/>
                <w:sz w:val="24"/>
              </w:rPr>
              <w:t>Activity 1.18:</w:t>
            </w:r>
            <w:r>
              <w:rPr>
                <w:rFonts w:ascii="Times New Roman" w:hAnsi="Times New Roman"/>
                <w:sz w:val="24"/>
              </w:rPr>
              <w:t xml:space="preserve"> Implement a system for monitoring accredited districts in the Kayes region (Bafoulabé, Diéma, Kayes, Kéniéba, Kita, Nioro, Yélimané, Oussoubidiagnan)</w:t>
            </w:r>
          </w:p>
        </w:tc>
        <w:tc>
          <w:tcPr>
            <w:tcW w:w="3766" w:type="dxa"/>
            <w:shd w:val="clear" w:color="auto" w:fill="auto"/>
          </w:tcPr>
          <w:p w14:paraId="5C357392" w14:textId="745A8F8B" w:rsidR="00906119" w:rsidRPr="004B5884" w:rsidRDefault="00906119" w:rsidP="00C26D5F">
            <w:pPr>
              <w:rPr>
                <w:rFonts w:ascii="Times New Roman" w:hAnsi="Times New Roman"/>
                <w:sz w:val="24"/>
                <w:szCs w:val="24"/>
              </w:rPr>
            </w:pPr>
            <w:r>
              <w:rPr>
                <w:rFonts w:ascii="Times New Roman" w:hAnsi="Times New Roman"/>
                <w:sz w:val="24"/>
              </w:rPr>
              <w:t>It will allow accredited structures to maintain their status.</w:t>
            </w:r>
          </w:p>
        </w:tc>
      </w:tr>
      <w:tr w:rsidR="00906119" w:rsidRPr="009316FF" w14:paraId="6D62AB5D" w14:textId="77777777" w:rsidTr="004904C0">
        <w:trPr>
          <w:gridAfter w:val="1"/>
          <w:wAfter w:w="35" w:type="dxa"/>
        </w:trPr>
        <w:tc>
          <w:tcPr>
            <w:tcW w:w="6547" w:type="dxa"/>
            <w:shd w:val="clear" w:color="auto" w:fill="auto"/>
          </w:tcPr>
          <w:p w14:paraId="02B267F2" w14:textId="48C2CBED" w:rsidR="00906119" w:rsidRPr="00134D54" w:rsidRDefault="00906119" w:rsidP="00C26D5F">
            <w:pPr>
              <w:rPr>
                <w:rFonts w:ascii="Times New Roman" w:hAnsi="Times New Roman"/>
                <w:sz w:val="24"/>
                <w:szCs w:val="24"/>
              </w:rPr>
            </w:pPr>
            <w:r>
              <w:rPr>
                <w:rFonts w:ascii="Times New Roman" w:hAnsi="Times New Roman"/>
                <w:b/>
                <w:sz w:val="24"/>
              </w:rPr>
              <w:t>Activity 1.19:</w:t>
            </w:r>
            <w:r>
              <w:rPr>
                <w:rFonts w:ascii="Times New Roman" w:hAnsi="Times New Roman"/>
                <w:sz w:val="24"/>
              </w:rPr>
              <w:t xml:space="preserve"> Set up a system for external verification of PBR data.  </w:t>
            </w:r>
          </w:p>
        </w:tc>
        <w:tc>
          <w:tcPr>
            <w:tcW w:w="3766" w:type="dxa"/>
            <w:shd w:val="clear" w:color="auto" w:fill="auto"/>
          </w:tcPr>
          <w:p w14:paraId="114A6072" w14:textId="77777777" w:rsidR="00906119" w:rsidRPr="004B5884" w:rsidRDefault="00906119" w:rsidP="00C26D5F">
            <w:pPr>
              <w:rPr>
                <w:rFonts w:ascii="Times New Roman" w:eastAsia="Calibri" w:hAnsi="Times New Roman"/>
                <w:sz w:val="24"/>
                <w:szCs w:val="24"/>
              </w:rPr>
            </w:pPr>
            <w:r>
              <w:rPr>
                <w:rFonts w:ascii="Times New Roman" w:hAnsi="Times New Roman"/>
                <w:sz w:val="24"/>
              </w:rPr>
              <w:t>Sustained district performance to attain the objectives, in particular with regard to immunization, was evaluated.</w:t>
            </w:r>
          </w:p>
        </w:tc>
      </w:tr>
      <w:tr w:rsidR="00F871FF" w:rsidRPr="0048111D" w14:paraId="3B2C3E6D" w14:textId="77777777" w:rsidTr="004904C0">
        <w:trPr>
          <w:gridAfter w:val="1"/>
          <w:wAfter w:w="35" w:type="dxa"/>
          <w:trHeight w:val="553"/>
        </w:trPr>
        <w:tc>
          <w:tcPr>
            <w:tcW w:w="10313" w:type="dxa"/>
            <w:gridSpan w:val="2"/>
            <w:shd w:val="clear" w:color="auto" w:fill="D9D9D9" w:themeFill="background1" w:themeFillShade="D9"/>
          </w:tcPr>
          <w:p w14:paraId="31B656CA" w14:textId="05EE85C2" w:rsidR="00F871FF" w:rsidRPr="00134D54" w:rsidRDefault="00F871FF" w:rsidP="00C26D5F">
            <w:pPr>
              <w:spacing w:before="120" w:after="120"/>
              <w:rPr>
                <w:rFonts w:ascii="Times New Roman" w:hAnsi="Times New Roman"/>
                <w:b/>
                <w:sz w:val="24"/>
                <w:szCs w:val="24"/>
              </w:rPr>
            </w:pPr>
            <w:r>
              <w:rPr>
                <w:rFonts w:ascii="Times New Roman" w:hAnsi="Times New Roman"/>
                <w:b/>
                <w:sz w:val="24"/>
              </w:rPr>
              <w:t>Objective 2: Ensuring access to and availability of immunization in 100% of the priority districts.</w:t>
            </w:r>
          </w:p>
        </w:tc>
      </w:tr>
      <w:tr w:rsidR="00F871FF" w:rsidRPr="0048111D" w14:paraId="7B09102A" w14:textId="77777777" w:rsidTr="004904C0">
        <w:trPr>
          <w:gridAfter w:val="1"/>
          <w:wAfter w:w="35" w:type="dxa"/>
          <w:trHeight w:val="553"/>
        </w:trPr>
        <w:tc>
          <w:tcPr>
            <w:tcW w:w="6547" w:type="dxa"/>
            <w:shd w:val="clear" w:color="auto" w:fill="auto"/>
          </w:tcPr>
          <w:p w14:paraId="1D419CF0" w14:textId="449351CB" w:rsidR="00A83F3B" w:rsidRPr="00134D54" w:rsidRDefault="00D618AD" w:rsidP="002D3196">
            <w:pPr>
              <w:rPr>
                <w:rFonts w:ascii="Times New Roman" w:hAnsi="Times New Roman"/>
                <w:sz w:val="24"/>
                <w:szCs w:val="24"/>
              </w:rPr>
            </w:pPr>
            <w:r>
              <w:rPr>
                <w:rFonts w:ascii="Times New Roman" w:hAnsi="Times New Roman"/>
                <w:b/>
                <w:sz w:val="24"/>
              </w:rPr>
              <w:t>Activity 2.1:</w:t>
            </w:r>
            <w:r>
              <w:rPr>
                <w:rFonts w:ascii="Times New Roman" w:hAnsi="Times New Roman"/>
                <w:sz w:val="24"/>
              </w:rPr>
              <w:t xml:space="preserve"> Granting remote / distance bonuses to 90 new men/month (30 nurses, 30 midwives and 30 vaccinating agents) working in disadvantaged areas of Zone I (Regions of Koulikoro, Sikasso, Segou and Mopti) and Zone II (Regions of Kayes, Tombouctou, Gao) that have been impoverished for five years.</w:t>
            </w:r>
          </w:p>
          <w:p w14:paraId="6C969731" w14:textId="77777777" w:rsidR="00A83F3B" w:rsidRPr="00134D54" w:rsidRDefault="00A83F3B" w:rsidP="002D3196">
            <w:pPr>
              <w:rPr>
                <w:rFonts w:ascii="Times New Roman" w:hAnsi="Times New Roman"/>
                <w:sz w:val="24"/>
                <w:szCs w:val="24"/>
              </w:rPr>
            </w:pPr>
          </w:p>
          <w:p w14:paraId="1C3FFB41" w14:textId="12CC5423" w:rsidR="00A83F3B" w:rsidRPr="00134D54" w:rsidRDefault="00A83F3B" w:rsidP="002D3196">
            <w:pPr>
              <w:rPr>
                <w:rFonts w:ascii="Times New Roman" w:hAnsi="Times New Roman"/>
                <w:sz w:val="24"/>
                <w:szCs w:val="24"/>
              </w:rPr>
            </w:pPr>
          </w:p>
        </w:tc>
        <w:tc>
          <w:tcPr>
            <w:tcW w:w="3766" w:type="dxa"/>
            <w:shd w:val="clear" w:color="auto" w:fill="auto"/>
          </w:tcPr>
          <w:p w14:paraId="5D96BE22" w14:textId="6B6E93A4" w:rsidR="00F871FF" w:rsidRPr="0048111D" w:rsidRDefault="00F871FF" w:rsidP="00C26D5F">
            <w:pPr>
              <w:spacing w:before="120" w:after="120"/>
              <w:rPr>
                <w:rFonts w:ascii="Times New Roman" w:hAnsi="Times New Roman"/>
                <w:sz w:val="24"/>
                <w:szCs w:val="24"/>
              </w:rPr>
            </w:pPr>
            <w:r>
              <w:rPr>
                <w:rFonts w:ascii="Times New Roman" w:hAnsi="Times New Roman"/>
                <w:sz w:val="24"/>
              </w:rPr>
              <w:t>Certain locations, the region of Kidal and the Districts of Menaka, Tombouctou, Goundam, Niafounké, have been deprived of health services since the crisis broke out, and only the humanitarian NGOs and CSOs have been able to provide services there.  Interventions will allow access to immunization services in these various areas to be provided.</w:t>
            </w:r>
          </w:p>
        </w:tc>
      </w:tr>
      <w:tr w:rsidR="00F871FF" w:rsidRPr="0048111D" w14:paraId="3B079D71" w14:textId="77777777" w:rsidTr="004904C0">
        <w:trPr>
          <w:gridAfter w:val="1"/>
          <w:wAfter w:w="35" w:type="dxa"/>
          <w:trHeight w:val="1340"/>
        </w:trPr>
        <w:tc>
          <w:tcPr>
            <w:tcW w:w="6547" w:type="dxa"/>
            <w:shd w:val="clear" w:color="auto" w:fill="FFFFFF"/>
          </w:tcPr>
          <w:p w14:paraId="25BE1817" w14:textId="6EC24714" w:rsidR="00F871FF" w:rsidRPr="00134D54" w:rsidRDefault="00D618AD" w:rsidP="009B077F">
            <w:pPr>
              <w:rPr>
                <w:rFonts w:ascii="Times New Roman" w:hAnsi="Times New Roman"/>
                <w:sz w:val="24"/>
                <w:szCs w:val="24"/>
              </w:rPr>
            </w:pPr>
            <w:r>
              <w:rPr>
                <w:rFonts w:ascii="Times New Roman" w:hAnsi="Times New Roman"/>
                <w:b/>
                <w:sz w:val="24"/>
              </w:rPr>
              <w:t xml:space="preserve">Activity 2.2: </w:t>
            </w:r>
            <w:r>
              <w:rPr>
                <w:rFonts w:ascii="Times New Roman" w:hAnsi="Times New Roman"/>
                <w:sz w:val="24"/>
              </w:rPr>
              <w:t>Sign a contract for services every year with the CSOs/NGOs after calling for bids based on the Reference Terms and Conditions, in order to provide care services, in particular immunization, in zones that are under the control of armed groups (the region of Kidal and the districts of Menaka, Tombouctou, Goundam and Niafounke).</w:t>
            </w:r>
          </w:p>
        </w:tc>
        <w:tc>
          <w:tcPr>
            <w:tcW w:w="3766" w:type="dxa"/>
            <w:shd w:val="clear" w:color="auto" w:fill="FFFFFF"/>
          </w:tcPr>
          <w:p w14:paraId="08AEF55D" w14:textId="77777777"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Keeping qualified personnel at structures by awarding motivational bonuses will allow better care for patients and better EPI management.</w:t>
            </w:r>
          </w:p>
        </w:tc>
      </w:tr>
      <w:tr w:rsidR="00F871FF" w:rsidRPr="0048111D" w14:paraId="2A7F7538" w14:textId="77777777" w:rsidTr="004904C0">
        <w:trPr>
          <w:gridAfter w:val="1"/>
          <w:wAfter w:w="35" w:type="dxa"/>
          <w:trHeight w:val="267"/>
        </w:trPr>
        <w:tc>
          <w:tcPr>
            <w:tcW w:w="10313" w:type="dxa"/>
            <w:gridSpan w:val="2"/>
            <w:shd w:val="clear" w:color="auto" w:fill="D9D9D9" w:themeFill="background1" w:themeFillShade="D9"/>
          </w:tcPr>
          <w:p w14:paraId="3AB77139" w14:textId="2398DC4E" w:rsidR="00F871FF" w:rsidRPr="00134D54" w:rsidRDefault="00F871FF" w:rsidP="00C26D5F">
            <w:pPr>
              <w:widowControl w:val="0"/>
              <w:spacing w:before="120" w:after="120"/>
              <w:rPr>
                <w:rFonts w:ascii="Times New Roman" w:hAnsi="Times New Roman"/>
                <w:b/>
                <w:sz w:val="24"/>
                <w:szCs w:val="24"/>
              </w:rPr>
            </w:pPr>
            <w:r>
              <w:rPr>
                <w:rFonts w:ascii="Times New Roman" w:hAnsi="Times New Roman"/>
                <w:b/>
                <w:sz w:val="24"/>
              </w:rPr>
              <w:t>Objective 3: Strengthen the monitoring / evaluation system, including the health information system</w:t>
            </w:r>
          </w:p>
        </w:tc>
      </w:tr>
      <w:tr w:rsidR="00F871FF" w:rsidRPr="0048111D" w14:paraId="0C43526C" w14:textId="77777777" w:rsidTr="004904C0">
        <w:trPr>
          <w:gridAfter w:val="1"/>
          <w:wAfter w:w="35" w:type="dxa"/>
          <w:trHeight w:val="743"/>
        </w:trPr>
        <w:tc>
          <w:tcPr>
            <w:tcW w:w="6547" w:type="dxa"/>
            <w:shd w:val="clear" w:color="auto" w:fill="FFFFFF"/>
          </w:tcPr>
          <w:p w14:paraId="4E75BF90" w14:textId="0F4BA81C" w:rsidR="002E1374" w:rsidRPr="00134D54" w:rsidRDefault="00D618AD" w:rsidP="00C26D5F">
            <w:pPr>
              <w:rPr>
                <w:rFonts w:ascii="Times New Roman" w:hAnsi="Times New Roman"/>
                <w:sz w:val="24"/>
                <w:szCs w:val="24"/>
              </w:rPr>
            </w:pPr>
            <w:r>
              <w:rPr>
                <w:rFonts w:ascii="Times New Roman" w:hAnsi="Times New Roman"/>
                <w:b/>
                <w:sz w:val="24"/>
              </w:rPr>
              <w:t>Activity 3.1:</w:t>
            </w:r>
            <w:r>
              <w:rPr>
                <w:rFonts w:ascii="Times New Roman" w:hAnsi="Times New Roman"/>
                <w:sz w:val="24"/>
              </w:rPr>
              <w:t xml:space="preserve"> Review PBF tools to consider prioritized indicators for immunization for structure performance. </w:t>
            </w:r>
          </w:p>
          <w:p w14:paraId="50C04675" w14:textId="1E6D76CD" w:rsidR="002E1374" w:rsidRPr="00134D54" w:rsidRDefault="002E1374" w:rsidP="00C26D5F">
            <w:pPr>
              <w:rPr>
                <w:rFonts w:ascii="Times New Roman" w:hAnsi="Times New Roman"/>
                <w:sz w:val="24"/>
                <w:szCs w:val="24"/>
              </w:rPr>
            </w:pPr>
          </w:p>
        </w:tc>
        <w:tc>
          <w:tcPr>
            <w:tcW w:w="3766" w:type="dxa"/>
            <w:shd w:val="clear" w:color="auto" w:fill="FFFFFF"/>
          </w:tcPr>
          <w:p w14:paraId="7B5BCFE4" w14:textId="77777777"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The availability of appropriate tools will facilitate the implementation of performance based funding, in particular for immunization.</w:t>
            </w:r>
          </w:p>
        </w:tc>
      </w:tr>
      <w:tr w:rsidR="00F871FF" w:rsidRPr="0048111D" w14:paraId="4C4D5FEA" w14:textId="77777777" w:rsidTr="004904C0">
        <w:trPr>
          <w:gridAfter w:val="1"/>
          <w:wAfter w:w="35" w:type="dxa"/>
        </w:trPr>
        <w:tc>
          <w:tcPr>
            <w:tcW w:w="6547" w:type="dxa"/>
            <w:shd w:val="clear" w:color="auto" w:fill="auto"/>
          </w:tcPr>
          <w:p w14:paraId="3E7B2C1A" w14:textId="1BA2A752" w:rsidR="00F871FF" w:rsidRPr="00134D54" w:rsidRDefault="00D618AD" w:rsidP="00C26D5F">
            <w:pPr>
              <w:rPr>
                <w:rFonts w:ascii="Times New Roman" w:hAnsi="Times New Roman"/>
                <w:sz w:val="24"/>
                <w:szCs w:val="24"/>
              </w:rPr>
            </w:pPr>
            <w:r>
              <w:rPr>
                <w:rFonts w:ascii="Times New Roman" w:hAnsi="Times New Roman"/>
                <w:b/>
                <w:sz w:val="24"/>
              </w:rPr>
              <w:t>Activity 3.2:</w:t>
            </w:r>
            <w:r>
              <w:rPr>
                <w:rFonts w:ascii="Times New Roman" w:hAnsi="Times New Roman"/>
                <w:sz w:val="24"/>
              </w:rPr>
              <w:t xml:space="preserve"> Organize a national immunization coverage survey</w:t>
            </w:r>
          </w:p>
          <w:p w14:paraId="1657C255" w14:textId="77777777" w:rsidR="00F871FF" w:rsidRPr="00134D54" w:rsidRDefault="00F871FF" w:rsidP="00C26D5F">
            <w:pPr>
              <w:rPr>
                <w:rFonts w:ascii="Times New Roman" w:hAnsi="Times New Roman"/>
                <w:sz w:val="24"/>
                <w:szCs w:val="24"/>
              </w:rPr>
            </w:pPr>
          </w:p>
        </w:tc>
        <w:tc>
          <w:tcPr>
            <w:tcW w:w="3766" w:type="dxa"/>
            <w:shd w:val="clear" w:color="auto" w:fill="auto"/>
          </w:tcPr>
          <w:p w14:paraId="3FC6E509" w14:textId="77777777" w:rsidR="00F871FF" w:rsidRPr="0048111D" w:rsidRDefault="00F871FF" w:rsidP="00C26D5F">
            <w:pPr>
              <w:spacing w:before="120" w:after="120"/>
              <w:rPr>
                <w:rFonts w:ascii="Times New Roman" w:hAnsi="Times New Roman"/>
                <w:sz w:val="24"/>
                <w:szCs w:val="24"/>
              </w:rPr>
            </w:pPr>
            <w:r>
              <w:rPr>
                <w:rFonts w:ascii="Times New Roman" w:hAnsi="Times New Roman"/>
                <w:sz w:val="24"/>
              </w:rPr>
              <w:t>This activity will allow an objective analysis to be conducted of the contribution of the program to improving immunization indicators.</w:t>
            </w:r>
          </w:p>
        </w:tc>
      </w:tr>
      <w:tr w:rsidR="00F871FF" w:rsidRPr="0048111D" w14:paraId="644884CA" w14:textId="77777777" w:rsidTr="004904C0">
        <w:trPr>
          <w:gridAfter w:val="1"/>
          <w:wAfter w:w="35" w:type="dxa"/>
          <w:trHeight w:val="745"/>
        </w:trPr>
        <w:tc>
          <w:tcPr>
            <w:tcW w:w="6547" w:type="dxa"/>
            <w:shd w:val="clear" w:color="auto" w:fill="FFFFFF"/>
          </w:tcPr>
          <w:p w14:paraId="4F655F16" w14:textId="171E2720" w:rsidR="00F871FF" w:rsidRPr="00134D54" w:rsidRDefault="00D618AD" w:rsidP="00C26D5F">
            <w:pPr>
              <w:rPr>
                <w:rFonts w:ascii="Times New Roman" w:hAnsi="Times New Roman"/>
                <w:sz w:val="24"/>
                <w:szCs w:val="24"/>
              </w:rPr>
            </w:pPr>
            <w:r>
              <w:rPr>
                <w:rFonts w:ascii="Times New Roman" w:hAnsi="Times New Roman"/>
                <w:b/>
                <w:sz w:val="24"/>
              </w:rPr>
              <w:t>Activity 3.3:</w:t>
            </w:r>
            <w:r>
              <w:rPr>
                <w:rFonts w:ascii="Times New Roman" w:hAnsi="Times New Roman"/>
                <w:sz w:val="24"/>
              </w:rPr>
              <w:t xml:space="preserve"> Support updating of health human resources mapping and specifically those responsible for the EPI.</w:t>
            </w:r>
          </w:p>
        </w:tc>
        <w:tc>
          <w:tcPr>
            <w:tcW w:w="3766" w:type="dxa"/>
            <w:shd w:val="clear" w:color="auto" w:fill="FFFFFF"/>
          </w:tcPr>
          <w:p w14:paraId="7EFDA8FA" w14:textId="77777777"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Information regarding human resources, specifically for those responsible for immunization, in order to support decision-making</w:t>
            </w:r>
          </w:p>
        </w:tc>
      </w:tr>
      <w:tr w:rsidR="00F871FF" w:rsidRPr="0048111D" w14:paraId="1CC03403" w14:textId="77777777" w:rsidTr="004904C0">
        <w:trPr>
          <w:gridAfter w:val="1"/>
          <w:wAfter w:w="35" w:type="dxa"/>
          <w:trHeight w:val="731"/>
        </w:trPr>
        <w:tc>
          <w:tcPr>
            <w:tcW w:w="6547" w:type="dxa"/>
            <w:shd w:val="clear" w:color="auto" w:fill="FFFFFF"/>
          </w:tcPr>
          <w:p w14:paraId="272F902B" w14:textId="4605EA74" w:rsidR="00F871FF" w:rsidRPr="00134D54" w:rsidRDefault="00D618AD" w:rsidP="00C26D5F">
            <w:pPr>
              <w:rPr>
                <w:rFonts w:ascii="Times New Roman" w:hAnsi="Times New Roman"/>
                <w:sz w:val="24"/>
                <w:szCs w:val="24"/>
              </w:rPr>
            </w:pPr>
            <w:r>
              <w:rPr>
                <w:rFonts w:ascii="Times New Roman" w:hAnsi="Times New Roman"/>
                <w:b/>
                <w:sz w:val="24"/>
              </w:rPr>
              <w:t>Activity 3.4:</w:t>
            </w:r>
            <w:r>
              <w:rPr>
                <w:rFonts w:ascii="Times New Roman" w:hAnsi="Times New Roman"/>
                <w:sz w:val="24"/>
              </w:rPr>
              <w:t xml:space="preserve"> Train 130 agents in DQS techniques in 65 health districts.</w:t>
            </w:r>
          </w:p>
        </w:tc>
        <w:tc>
          <w:tcPr>
            <w:tcW w:w="3766" w:type="dxa"/>
            <w:shd w:val="clear" w:color="auto" w:fill="FFFFFF"/>
          </w:tcPr>
          <w:p w14:paraId="66BA8654" w14:textId="77777777" w:rsidR="00F871FF" w:rsidRPr="0048111D" w:rsidRDefault="00F871FF" w:rsidP="00C26D5F">
            <w:pPr>
              <w:widowControl w:val="0"/>
              <w:spacing w:before="120" w:after="120"/>
              <w:rPr>
                <w:rFonts w:ascii="Times New Roman" w:hAnsi="Times New Roman"/>
                <w:sz w:val="24"/>
                <w:szCs w:val="24"/>
              </w:rPr>
            </w:pPr>
            <w:r>
              <w:rPr>
                <w:rFonts w:ascii="Times New Roman" w:hAnsi="Times New Roman"/>
                <w:sz w:val="24"/>
              </w:rPr>
              <w:t>The immunization data verification surveys will be conducted systematically at the level of health structures.</w:t>
            </w:r>
          </w:p>
        </w:tc>
      </w:tr>
      <w:tr w:rsidR="00F871FF" w:rsidRPr="0048111D" w14:paraId="61D6D5A1" w14:textId="77777777" w:rsidTr="004904C0">
        <w:trPr>
          <w:gridAfter w:val="1"/>
          <w:wAfter w:w="35" w:type="dxa"/>
        </w:trPr>
        <w:tc>
          <w:tcPr>
            <w:tcW w:w="6547" w:type="dxa"/>
            <w:shd w:val="clear" w:color="auto" w:fill="FFFFFF"/>
          </w:tcPr>
          <w:p w14:paraId="29781BBA" w14:textId="6115C529" w:rsidR="00F871FF" w:rsidRPr="00134D54" w:rsidRDefault="00820C70" w:rsidP="00C26D5F">
            <w:pPr>
              <w:rPr>
                <w:rFonts w:ascii="Times New Roman" w:hAnsi="Times New Roman"/>
                <w:sz w:val="24"/>
                <w:szCs w:val="24"/>
              </w:rPr>
            </w:pPr>
            <w:r>
              <w:rPr>
                <w:rFonts w:ascii="Times New Roman" w:hAnsi="Times New Roman"/>
                <w:b/>
                <w:sz w:val="24"/>
              </w:rPr>
              <w:t>Activity 3.5:</w:t>
            </w:r>
            <w:r>
              <w:rPr>
                <w:rFonts w:ascii="Times New Roman" w:hAnsi="Times New Roman"/>
                <w:sz w:val="24"/>
              </w:rPr>
              <w:t xml:space="preserve"> train 1170 Technical Center Directors in LQAS methods.</w:t>
            </w:r>
          </w:p>
        </w:tc>
        <w:tc>
          <w:tcPr>
            <w:tcW w:w="3766" w:type="dxa"/>
            <w:shd w:val="clear" w:color="auto" w:fill="FFFFFF"/>
          </w:tcPr>
          <w:p w14:paraId="7FCC75F9" w14:textId="77777777" w:rsidR="00F871FF" w:rsidRPr="0048111D" w:rsidRDefault="00F871FF" w:rsidP="00C26D5F">
            <w:pPr>
              <w:widowControl w:val="0"/>
              <w:spacing w:before="120" w:after="120"/>
              <w:rPr>
                <w:rFonts w:ascii="Times New Roman" w:hAnsi="Times New Roman"/>
                <w:sz w:val="24"/>
                <w:szCs w:val="24"/>
              </w:rPr>
            </w:pPr>
            <w:r>
              <w:rPr>
                <w:rFonts w:ascii="Times New Roman" w:hAnsi="Times New Roman"/>
                <w:sz w:val="24"/>
              </w:rPr>
              <w:t>The immunization coverage surveys will be conducted systematically in the health areas.</w:t>
            </w:r>
          </w:p>
        </w:tc>
      </w:tr>
      <w:tr w:rsidR="00F871FF" w:rsidRPr="0048111D" w14:paraId="2FFD0F3B" w14:textId="77777777" w:rsidTr="004904C0">
        <w:trPr>
          <w:gridAfter w:val="1"/>
          <w:wAfter w:w="35" w:type="dxa"/>
          <w:trHeight w:val="671"/>
        </w:trPr>
        <w:tc>
          <w:tcPr>
            <w:tcW w:w="6547" w:type="dxa"/>
            <w:shd w:val="clear" w:color="auto" w:fill="FFFFFF"/>
          </w:tcPr>
          <w:p w14:paraId="4EF3DBC5" w14:textId="4335985F" w:rsidR="00F871FF" w:rsidRPr="00134D54" w:rsidRDefault="00820C70" w:rsidP="00C26D5F">
            <w:pPr>
              <w:rPr>
                <w:rFonts w:ascii="Times New Roman" w:hAnsi="Times New Roman"/>
                <w:sz w:val="24"/>
                <w:szCs w:val="24"/>
              </w:rPr>
            </w:pPr>
            <w:r>
              <w:rPr>
                <w:rFonts w:ascii="Times New Roman" w:hAnsi="Times New Roman"/>
                <w:b/>
                <w:sz w:val="24"/>
              </w:rPr>
              <w:t>Activity 3.6:</w:t>
            </w:r>
            <w:r>
              <w:rPr>
                <w:rFonts w:ascii="Times New Roman" w:hAnsi="Times New Roman"/>
                <w:sz w:val="24"/>
              </w:rPr>
              <w:t xml:space="preserve"> Conduct LQAS surveys every quarter at the level of health areas for immunization. </w:t>
            </w:r>
          </w:p>
        </w:tc>
        <w:tc>
          <w:tcPr>
            <w:tcW w:w="3766" w:type="dxa"/>
            <w:shd w:val="clear" w:color="auto" w:fill="FFFFFF"/>
          </w:tcPr>
          <w:p w14:paraId="7C42F6A5" w14:textId="77777777" w:rsidR="00F871FF" w:rsidRPr="0048111D" w:rsidRDefault="00F871FF" w:rsidP="00C26D5F">
            <w:pPr>
              <w:widowControl w:val="0"/>
              <w:spacing w:before="120" w:after="120"/>
              <w:rPr>
                <w:rFonts w:ascii="Times New Roman" w:hAnsi="Times New Roman"/>
                <w:sz w:val="24"/>
                <w:szCs w:val="24"/>
              </w:rPr>
            </w:pPr>
            <w:r>
              <w:rPr>
                <w:rFonts w:ascii="Times New Roman" w:hAnsi="Times New Roman"/>
                <w:sz w:val="24"/>
              </w:rPr>
              <w:t>The purpose of this activity is to improve data quality and to reduce discrepancies between administrative coverage and survey coverage.</w:t>
            </w:r>
          </w:p>
        </w:tc>
      </w:tr>
      <w:tr w:rsidR="00F871FF" w:rsidRPr="0048111D" w14:paraId="1D07CAFF" w14:textId="77777777" w:rsidTr="004904C0">
        <w:trPr>
          <w:gridAfter w:val="1"/>
          <w:wAfter w:w="35" w:type="dxa"/>
          <w:trHeight w:val="671"/>
        </w:trPr>
        <w:tc>
          <w:tcPr>
            <w:tcW w:w="6547" w:type="dxa"/>
            <w:shd w:val="clear" w:color="auto" w:fill="FFFFFF"/>
          </w:tcPr>
          <w:p w14:paraId="4A337702" w14:textId="62700977" w:rsidR="00BB0C44" w:rsidRPr="00134D54" w:rsidRDefault="00820C70" w:rsidP="00C26D5F">
            <w:pPr>
              <w:rPr>
                <w:rFonts w:ascii="Times New Roman" w:hAnsi="Times New Roman"/>
                <w:sz w:val="24"/>
                <w:szCs w:val="24"/>
              </w:rPr>
            </w:pPr>
            <w:r>
              <w:rPr>
                <w:rFonts w:ascii="Times New Roman" w:hAnsi="Times New Roman"/>
                <w:b/>
                <w:sz w:val="24"/>
              </w:rPr>
              <w:t>Activity 3.7:</w:t>
            </w:r>
            <w:r>
              <w:rPr>
                <w:rFonts w:ascii="Times New Roman" w:hAnsi="Times New Roman"/>
                <w:sz w:val="24"/>
              </w:rPr>
              <w:t xml:space="preserve"> Finalize the review of LHIS data collection tools. </w:t>
            </w:r>
          </w:p>
          <w:p w14:paraId="7F281602" w14:textId="77777777" w:rsidR="00BB0C44" w:rsidRPr="00134D54" w:rsidRDefault="00BB0C44" w:rsidP="00C26D5F">
            <w:pPr>
              <w:rPr>
                <w:rFonts w:ascii="Times New Roman" w:hAnsi="Times New Roman"/>
                <w:sz w:val="24"/>
                <w:szCs w:val="24"/>
              </w:rPr>
            </w:pPr>
          </w:p>
          <w:p w14:paraId="583F99EF" w14:textId="0744DCE0" w:rsidR="00BB0C44" w:rsidRPr="00134D54" w:rsidRDefault="00BB0C44" w:rsidP="00C26D5F">
            <w:pPr>
              <w:rPr>
                <w:rFonts w:ascii="Times New Roman" w:hAnsi="Times New Roman"/>
                <w:sz w:val="24"/>
                <w:szCs w:val="24"/>
              </w:rPr>
            </w:pPr>
          </w:p>
        </w:tc>
        <w:tc>
          <w:tcPr>
            <w:tcW w:w="3766" w:type="dxa"/>
            <w:shd w:val="clear" w:color="auto" w:fill="FFFFFF"/>
          </w:tcPr>
          <w:p w14:paraId="1B015432" w14:textId="77777777"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Quality tools will facilitate the collection of immunization data.</w:t>
            </w:r>
          </w:p>
        </w:tc>
      </w:tr>
      <w:tr w:rsidR="00F871FF" w:rsidRPr="0048111D" w14:paraId="7F5D3197" w14:textId="77777777" w:rsidTr="004904C0">
        <w:trPr>
          <w:gridAfter w:val="1"/>
          <w:wAfter w:w="35" w:type="dxa"/>
        </w:trPr>
        <w:tc>
          <w:tcPr>
            <w:tcW w:w="6547" w:type="dxa"/>
            <w:shd w:val="clear" w:color="auto" w:fill="FFFFFF"/>
          </w:tcPr>
          <w:p w14:paraId="4F036164" w14:textId="0312D67E" w:rsidR="00F871FF" w:rsidRPr="00134D54" w:rsidRDefault="00820C70" w:rsidP="00C26D5F">
            <w:pPr>
              <w:rPr>
                <w:rFonts w:ascii="Times New Roman" w:hAnsi="Times New Roman"/>
                <w:sz w:val="24"/>
                <w:szCs w:val="24"/>
              </w:rPr>
            </w:pPr>
            <w:r>
              <w:rPr>
                <w:rFonts w:ascii="Times New Roman" w:hAnsi="Times New Roman"/>
                <w:b/>
                <w:sz w:val="24"/>
              </w:rPr>
              <w:t>Activity 3.8:</w:t>
            </w:r>
            <w:r>
              <w:rPr>
                <w:rFonts w:ascii="Times New Roman" w:hAnsi="Times New Roman"/>
                <w:sz w:val="24"/>
              </w:rPr>
              <w:t xml:space="preserve"> Update the data management portal weekly.  </w:t>
            </w:r>
          </w:p>
        </w:tc>
        <w:tc>
          <w:tcPr>
            <w:tcW w:w="3766" w:type="dxa"/>
            <w:shd w:val="clear" w:color="auto" w:fill="FFFFFF"/>
          </w:tcPr>
          <w:p w14:paraId="4FBC217A" w14:textId="77777777"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Data regarding immunization will be updated on an ongoing basis.</w:t>
            </w:r>
          </w:p>
        </w:tc>
      </w:tr>
      <w:tr w:rsidR="00F871FF" w:rsidRPr="0048111D" w14:paraId="5976F148" w14:textId="77777777" w:rsidTr="004904C0">
        <w:trPr>
          <w:gridAfter w:val="1"/>
          <w:wAfter w:w="35" w:type="dxa"/>
        </w:trPr>
        <w:tc>
          <w:tcPr>
            <w:tcW w:w="6547" w:type="dxa"/>
            <w:shd w:val="clear" w:color="auto" w:fill="FFFFFF"/>
          </w:tcPr>
          <w:p w14:paraId="354459C1" w14:textId="6728EDA3" w:rsidR="00F871FF" w:rsidRPr="00134D54" w:rsidRDefault="00820C70" w:rsidP="00C26D5F">
            <w:pPr>
              <w:rPr>
                <w:rFonts w:ascii="Times New Roman" w:hAnsi="Times New Roman"/>
                <w:sz w:val="24"/>
                <w:szCs w:val="24"/>
              </w:rPr>
            </w:pPr>
            <w:r>
              <w:rPr>
                <w:rFonts w:ascii="Times New Roman" w:hAnsi="Times New Roman"/>
                <w:b/>
                <w:sz w:val="24"/>
              </w:rPr>
              <w:t>Activity 3.9:</w:t>
            </w:r>
            <w:r>
              <w:rPr>
                <w:rFonts w:ascii="Times New Roman" w:hAnsi="Times New Roman"/>
                <w:sz w:val="24"/>
              </w:rPr>
              <w:t xml:space="preserve"> Conduct external evaluation of the GAVI-HSS program at its mid-point and end.</w:t>
            </w:r>
          </w:p>
        </w:tc>
        <w:tc>
          <w:tcPr>
            <w:tcW w:w="3766" w:type="dxa"/>
            <w:shd w:val="clear" w:color="auto" w:fill="FFFFFF"/>
          </w:tcPr>
          <w:p w14:paraId="1A340A2C" w14:textId="77777777"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Useful information will be available to demonstrate the impact of the program and to direct intervention activities.</w:t>
            </w:r>
          </w:p>
        </w:tc>
      </w:tr>
      <w:tr w:rsidR="00F871FF" w:rsidRPr="0048111D" w14:paraId="677A093E" w14:textId="77777777" w:rsidTr="004904C0">
        <w:trPr>
          <w:gridAfter w:val="1"/>
          <w:wAfter w:w="35" w:type="dxa"/>
        </w:trPr>
        <w:tc>
          <w:tcPr>
            <w:tcW w:w="6547" w:type="dxa"/>
            <w:shd w:val="clear" w:color="auto" w:fill="FFFFFF"/>
          </w:tcPr>
          <w:p w14:paraId="431332F2" w14:textId="6B85BED3" w:rsidR="00F871FF" w:rsidRPr="00134D54" w:rsidRDefault="00820C70" w:rsidP="00C26D5F">
            <w:pPr>
              <w:rPr>
                <w:rFonts w:ascii="Times New Roman" w:hAnsi="Times New Roman"/>
                <w:sz w:val="24"/>
                <w:szCs w:val="24"/>
              </w:rPr>
            </w:pPr>
            <w:r>
              <w:rPr>
                <w:rFonts w:ascii="Times New Roman" w:hAnsi="Times New Roman"/>
                <w:b/>
                <w:sz w:val="24"/>
              </w:rPr>
              <w:t>Activity 3.10:</w:t>
            </w:r>
            <w:r>
              <w:rPr>
                <w:rFonts w:ascii="Times New Roman" w:hAnsi="Times New Roman"/>
                <w:sz w:val="24"/>
              </w:rPr>
              <w:t xml:space="preserve"> Organize a workshop to train trainers from the regional and district levels (74 agents) in revised collection tools.</w:t>
            </w:r>
          </w:p>
        </w:tc>
        <w:tc>
          <w:tcPr>
            <w:tcW w:w="3766" w:type="dxa"/>
            <w:shd w:val="clear" w:color="auto" w:fill="FFFFFF"/>
          </w:tcPr>
          <w:p w14:paraId="529634F2" w14:textId="63F67BCC"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The agents will be able to correctly fill out the data collection tools.</w:t>
            </w:r>
          </w:p>
        </w:tc>
      </w:tr>
      <w:tr w:rsidR="00F871FF" w:rsidRPr="0048111D" w14:paraId="74D060A5" w14:textId="77777777" w:rsidTr="004904C0">
        <w:trPr>
          <w:gridAfter w:val="1"/>
          <w:wAfter w:w="35" w:type="dxa"/>
        </w:trPr>
        <w:tc>
          <w:tcPr>
            <w:tcW w:w="6547" w:type="dxa"/>
            <w:shd w:val="clear" w:color="auto" w:fill="FFFFFF"/>
          </w:tcPr>
          <w:p w14:paraId="4FC18DDA" w14:textId="3A81B8B6" w:rsidR="00F871FF" w:rsidRPr="00134D54" w:rsidRDefault="00820C70" w:rsidP="00C26D5F">
            <w:pPr>
              <w:rPr>
                <w:rFonts w:ascii="Times New Roman" w:hAnsi="Times New Roman"/>
                <w:sz w:val="24"/>
                <w:szCs w:val="24"/>
              </w:rPr>
            </w:pPr>
            <w:r>
              <w:rPr>
                <w:rFonts w:ascii="Times New Roman" w:hAnsi="Times New Roman"/>
                <w:b/>
                <w:sz w:val="24"/>
              </w:rPr>
              <w:t>Activity 3.11:</w:t>
            </w:r>
            <w:r>
              <w:rPr>
                <w:rFonts w:ascii="Times New Roman" w:hAnsi="Times New Roman"/>
                <w:sz w:val="24"/>
              </w:rPr>
              <w:t xml:space="preserve"> Support the organization of the preparation and validation workshop for the regional statistical bulletin.</w:t>
            </w:r>
          </w:p>
        </w:tc>
        <w:tc>
          <w:tcPr>
            <w:tcW w:w="3766" w:type="dxa"/>
            <w:shd w:val="clear" w:color="auto" w:fill="FFFFFF"/>
          </w:tcPr>
          <w:p w14:paraId="4F6BC77A" w14:textId="798ACA4E"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Thus the teams will conduct their scheduling in function of the regional details.</w:t>
            </w:r>
          </w:p>
        </w:tc>
      </w:tr>
      <w:tr w:rsidR="00F871FF" w:rsidRPr="0048111D" w14:paraId="318CF37C" w14:textId="77777777" w:rsidTr="004904C0">
        <w:trPr>
          <w:gridAfter w:val="1"/>
          <w:wAfter w:w="35" w:type="dxa"/>
        </w:trPr>
        <w:tc>
          <w:tcPr>
            <w:tcW w:w="6547" w:type="dxa"/>
            <w:shd w:val="clear" w:color="auto" w:fill="FFFFFF"/>
          </w:tcPr>
          <w:p w14:paraId="79188529" w14:textId="4E2BEB7B" w:rsidR="00F871FF" w:rsidRPr="00134D54" w:rsidRDefault="00D618AD" w:rsidP="00C26D5F">
            <w:pPr>
              <w:rPr>
                <w:rFonts w:ascii="Times New Roman" w:hAnsi="Times New Roman"/>
                <w:sz w:val="24"/>
                <w:szCs w:val="24"/>
              </w:rPr>
            </w:pPr>
            <w:r>
              <w:rPr>
                <w:rFonts w:ascii="Times New Roman" w:hAnsi="Times New Roman"/>
                <w:b/>
                <w:sz w:val="24"/>
              </w:rPr>
              <w:t>Activity 3.12:</w:t>
            </w:r>
            <w:r>
              <w:rPr>
                <w:rFonts w:ascii="Times New Roman" w:hAnsi="Times New Roman"/>
                <w:sz w:val="24"/>
              </w:rPr>
              <w:t xml:space="preserve"> Support the preparation of the annual DQRC.</w:t>
            </w:r>
          </w:p>
        </w:tc>
        <w:tc>
          <w:tcPr>
            <w:tcW w:w="3766" w:type="dxa"/>
            <w:shd w:val="clear" w:color="auto" w:fill="FFFFFF"/>
          </w:tcPr>
          <w:p w14:paraId="3CB97366" w14:textId="77777777" w:rsidR="00F871FF" w:rsidRPr="0048111D" w:rsidRDefault="00F871FF" w:rsidP="00C26D5F">
            <w:pPr>
              <w:widowControl w:val="0"/>
              <w:spacing w:before="120" w:after="120"/>
              <w:rPr>
                <w:rFonts w:ascii="Times New Roman" w:eastAsia="Calibri" w:hAnsi="Times New Roman"/>
                <w:sz w:val="24"/>
                <w:szCs w:val="24"/>
              </w:rPr>
            </w:pPr>
          </w:p>
        </w:tc>
      </w:tr>
      <w:tr w:rsidR="00F871FF" w:rsidRPr="0048111D" w14:paraId="0E8FCF08" w14:textId="77777777" w:rsidTr="004904C0">
        <w:trPr>
          <w:gridAfter w:val="1"/>
          <w:wAfter w:w="35" w:type="dxa"/>
        </w:trPr>
        <w:tc>
          <w:tcPr>
            <w:tcW w:w="6547" w:type="dxa"/>
            <w:shd w:val="clear" w:color="auto" w:fill="FFFFFF"/>
          </w:tcPr>
          <w:p w14:paraId="0765B750" w14:textId="3B612AF3" w:rsidR="00F871FF" w:rsidRPr="00134D54" w:rsidRDefault="00D618AD" w:rsidP="00C26D5F">
            <w:pPr>
              <w:rPr>
                <w:rFonts w:ascii="Times New Roman" w:hAnsi="Times New Roman"/>
                <w:sz w:val="24"/>
                <w:szCs w:val="24"/>
              </w:rPr>
            </w:pPr>
            <w:r>
              <w:rPr>
                <w:rFonts w:ascii="Times New Roman" w:hAnsi="Times New Roman"/>
                <w:b/>
                <w:sz w:val="24"/>
              </w:rPr>
              <w:t>Activity 3.13:</w:t>
            </w:r>
            <w:r>
              <w:rPr>
                <w:rFonts w:ascii="Times New Roman" w:hAnsi="Times New Roman"/>
                <w:sz w:val="24"/>
              </w:rPr>
              <w:t xml:space="preserve"> Support the performance of the SARA survey every 2 years.</w:t>
            </w:r>
          </w:p>
        </w:tc>
        <w:tc>
          <w:tcPr>
            <w:tcW w:w="3766" w:type="dxa"/>
            <w:shd w:val="clear" w:color="auto" w:fill="FFFFFF"/>
          </w:tcPr>
          <w:p w14:paraId="643634AD" w14:textId="7C887E2D" w:rsidR="00F871FF" w:rsidRPr="0048111D" w:rsidRDefault="00F871FF" w:rsidP="00C26D5F">
            <w:pPr>
              <w:widowControl w:val="0"/>
              <w:spacing w:before="120" w:after="120"/>
              <w:rPr>
                <w:rFonts w:ascii="Times New Roman" w:eastAsia="Calibri" w:hAnsi="Times New Roman"/>
                <w:sz w:val="24"/>
                <w:szCs w:val="24"/>
              </w:rPr>
            </w:pPr>
            <w:r>
              <w:rPr>
                <w:rFonts w:ascii="Times New Roman" w:hAnsi="Times New Roman"/>
                <w:sz w:val="24"/>
              </w:rPr>
              <w:t xml:space="preserve">This activity will allow the availability and operational capacitieis to distribute basic health and immunization services to be evaluated, in particular, and it will thus provide a factual basis for identifying bottlenecks, taking measures to alleviate them and monitor progress for improving the provision of services. </w:t>
            </w:r>
          </w:p>
        </w:tc>
      </w:tr>
      <w:tr w:rsidR="00F871FF" w:rsidRPr="009316FF" w14:paraId="0AF90362" w14:textId="77777777" w:rsidTr="004904C0">
        <w:trPr>
          <w:gridAfter w:val="1"/>
          <w:wAfter w:w="35" w:type="dxa"/>
        </w:trPr>
        <w:tc>
          <w:tcPr>
            <w:tcW w:w="6547" w:type="dxa"/>
            <w:shd w:val="clear" w:color="auto" w:fill="FFFFFF"/>
          </w:tcPr>
          <w:p w14:paraId="3E0614E3" w14:textId="5ACE1407" w:rsidR="00F871FF" w:rsidRPr="00134D54" w:rsidRDefault="00D618AD" w:rsidP="00073AF0">
            <w:pPr>
              <w:rPr>
                <w:rFonts w:ascii="Times New Roman" w:hAnsi="Times New Roman"/>
                <w:sz w:val="24"/>
                <w:szCs w:val="24"/>
              </w:rPr>
            </w:pPr>
            <w:r>
              <w:rPr>
                <w:rFonts w:ascii="Times New Roman" w:hAnsi="Times New Roman"/>
                <w:b/>
                <w:sz w:val="24"/>
              </w:rPr>
              <w:t>Activity 3.14:</w:t>
            </w:r>
            <w:r>
              <w:rPr>
                <w:rFonts w:ascii="Times New Roman" w:hAnsi="Times New Roman"/>
                <w:sz w:val="24"/>
              </w:rPr>
              <w:t xml:space="preserve"> Support the organization of the external EPI review in 2016 in order to prepare the new 2017-2021 cMYP.</w:t>
            </w:r>
          </w:p>
        </w:tc>
        <w:tc>
          <w:tcPr>
            <w:tcW w:w="3766" w:type="dxa"/>
            <w:shd w:val="clear" w:color="auto" w:fill="FFFFFF"/>
          </w:tcPr>
          <w:p w14:paraId="0A5C1E09" w14:textId="6B6CF71E"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This will provide an objective and impartial opinion of the Mali EPI and will lead to the preparation of the cMYP.</w:t>
            </w:r>
          </w:p>
        </w:tc>
      </w:tr>
      <w:tr w:rsidR="00F871FF" w:rsidRPr="009316FF" w14:paraId="7ED54EF5" w14:textId="77777777" w:rsidTr="004904C0">
        <w:trPr>
          <w:gridAfter w:val="1"/>
          <w:wAfter w:w="35" w:type="dxa"/>
          <w:trHeight w:val="487"/>
        </w:trPr>
        <w:tc>
          <w:tcPr>
            <w:tcW w:w="10313" w:type="dxa"/>
            <w:gridSpan w:val="2"/>
            <w:shd w:val="clear" w:color="auto" w:fill="D9D9D9" w:themeFill="background1" w:themeFillShade="D9"/>
          </w:tcPr>
          <w:p w14:paraId="4E1460E0" w14:textId="71FAB3F4" w:rsidR="00F871FF" w:rsidRPr="00134D54" w:rsidRDefault="00F871FF" w:rsidP="00C26D5F">
            <w:pPr>
              <w:widowControl w:val="0"/>
              <w:spacing w:before="120" w:after="120"/>
              <w:rPr>
                <w:rFonts w:ascii="Times New Roman" w:eastAsia="Calibri" w:hAnsi="Times New Roman"/>
                <w:b/>
                <w:sz w:val="24"/>
                <w:szCs w:val="24"/>
              </w:rPr>
            </w:pPr>
            <w:r>
              <w:rPr>
                <w:rFonts w:ascii="Times New Roman" w:hAnsi="Times New Roman"/>
                <w:b/>
                <w:sz w:val="24"/>
              </w:rPr>
              <w:t>Objective 4: Improve cold chain capacity and effective vaccine management</w:t>
            </w:r>
          </w:p>
        </w:tc>
      </w:tr>
      <w:tr w:rsidR="00F871FF" w:rsidRPr="009316FF" w14:paraId="1D98F923" w14:textId="77777777" w:rsidTr="004904C0">
        <w:trPr>
          <w:gridAfter w:val="1"/>
          <w:wAfter w:w="35" w:type="dxa"/>
          <w:trHeight w:val="711"/>
        </w:trPr>
        <w:tc>
          <w:tcPr>
            <w:tcW w:w="6547" w:type="dxa"/>
            <w:shd w:val="clear" w:color="auto" w:fill="FFFFFF"/>
          </w:tcPr>
          <w:p w14:paraId="017CFB76" w14:textId="74F350E0" w:rsidR="00F871FF" w:rsidRPr="00134D54" w:rsidRDefault="00D618AD" w:rsidP="00C26D5F">
            <w:pPr>
              <w:rPr>
                <w:rFonts w:ascii="Times New Roman" w:hAnsi="Times New Roman"/>
                <w:sz w:val="24"/>
                <w:szCs w:val="24"/>
              </w:rPr>
            </w:pPr>
            <w:r>
              <w:rPr>
                <w:rFonts w:ascii="Times New Roman" w:hAnsi="Times New Roman"/>
                <w:b/>
                <w:sz w:val="24"/>
              </w:rPr>
              <w:t>Activity 4.1:</w:t>
            </w:r>
            <w:r>
              <w:rPr>
                <w:rFonts w:ascii="Times New Roman" w:hAnsi="Times New Roman"/>
                <w:sz w:val="24"/>
              </w:rPr>
              <w:t xml:space="preserve"> Construction of a dry warehouse at the central level</w:t>
            </w:r>
          </w:p>
          <w:p w14:paraId="32C78355" w14:textId="77777777" w:rsidR="003D656B" w:rsidRPr="00134D54" w:rsidRDefault="003D656B" w:rsidP="00C26D5F">
            <w:pPr>
              <w:rPr>
                <w:rFonts w:ascii="Times New Roman" w:hAnsi="Times New Roman"/>
                <w:sz w:val="24"/>
                <w:szCs w:val="24"/>
              </w:rPr>
            </w:pPr>
          </w:p>
          <w:p w14:paraId="6E49BE58" w14:textId="6A764302" w:rsidR="003D656B" w:rsidRPr="00134D54" w:rsidRDefault="003D656B" w:rsidP="00C26D5F">
            <w:pPr>
              <w:rPr>
                <w:rFonts w:ascii="Times New Roman" w:hAnsi="Times New Roman"/>
                <w:sz w:val="24"/>
                <w:szCs w:val="24"/>
              </w:rPr>
            </w:pPr>
          </w:p>
        </w:tc>
        <w:tc>
          <w:tcPr>
            <w:tcW w:w="3766" w:type="dxa"/>
            <w:shd w:val="clear" w:color="auto" w:fill="FFFFFF"/>
          </w:tcPr>
          <w:p w14:paraId="1E18198D" w14:textId="77777777"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Storage capacities for consumables will be improved, which will allow better storage of said consumables.</w:t>
            </w:r>
          </w:p>
        </w:tc>
      </w:tr>
      <w:tr w:rsidR="00F871FF" w:rsidRPr="009316FF" w14:paraId="1C7F9A73" w14:textId="77777777" w:rsidTr="004904C0">
        <w:trPr>
          <w:gridAfter w:val="1"/>
          <w:wAfter w:w="35" w:type="dxa"/>
          <w:trHeight w:val="1019"/>
        </w:trPr>
        <w:tc>
          <w:tcPr>
            <w:tcW w:w="6547" w:type="dxa"/>
            <w:shd w:val="clear" w:color="auto" w:fill="FFFFFF"/>
          </w:tcPr>
          <w:p w14:paraId="0AAF2DDF" w14:textId="08D14928" w:rsidR="00F871FF" w:rsidRPr="00134D54" w:rsidRDefault="00820C70" w:rsidP="00820C70">
            <w:pPr>
              <w:rPr>
                <w:rFonts w:ascii="Times New Roman" w:hAnsi="Times New Roman"/>
                <w:sz w:val="24"/>
                <w:szCs w:val="24"/>
              </w:rPr>
            </w:pPr>
            <w:r>
              <w:rPr>
                <w:rFonts w:ascii="Times New Roman" w:hAnsi="Times New Roman"/>
                <w:b/>
                <w:sz w:val="24"/>
              </w:rPr>
              <w:t>Activity 4.2:</w:t>
            </w:r>
            <w:r>
              <w:rPr>
                <w:rFonts w:ascii="Times New Roman" w:hAnsi="Times New Roman"/>
                <w:sz w:val="24"/>
              </w:rPr>
              <w:t xml:space="preserve"> Supply and install 20m3 cold chambers at 9 regional departments and 5 districts of Bougouni, Kita, Kati, Koutiala, San, Bandiagara.</w:t>
            </w:r>
          </w:p>
        </w:tc>
        <w:tc>
          <w:tcPr>
            <w:tcW w:w="3766" w:type="dxa"/>
            <w:shd w:val="clear" w:color="auto" w:fill="FFFFFF"/>
          </w:tcPr>
          <w:p w14:paraId="7D7F6CD8" w14:textId="77777777"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Problems with vaccine storage and cold chain interruptions will be corrected. This will facilitate supplying neighboring districts with vaccines.</w:t>
            </w:r>
          </w:p>
        </w:tc>
      </w:tr>
      <w:tr w:rsidR="00F871FF" w:rsidRPr="009316FF" w14:paraId="1760B05B" w14:textId="77777777" w:rsidTr="004904C0">
        <w:trPr>
          <w:gridAfter w:val="1"/>
          <w:wAfter w:w="35" w:type="dxa"/>
        </w:trPr>
        <w:tc>
          <w:tcPr>
            <w:tcW w:w="6547" w:type="dxa"/>
            <w:shd w:val="clear" w:color="auto" w:fill="auto"/>
          </w:tcPr>
          <w:p w14:paraId="6654EA8B" w14:textId="30110262" w:rsidR="00F871FF" w:rsidRPr="00134D54" w:rsidRDefault="004F6736" w:rsidP="004F6736">
            <w:pPr>
              <w:rPr>
                <w:rFonts w:ascii="Times New Roman" w:hAnsi="Times New Roman"/>
                <w:sz w:val="24"/>
                <w:szCs w:val="24"/>
              </w:rPr>
            </w:pPr>
            <w:r>
              <w:rPr>
                <w:rFonts w:ascii="Times New Roman" w:hAnsi="Times New Roman"/>
                <w:b/>
                <w:sz w:val="24"/>
              </w:rPr>
              <w:t>Activity 4.3:</w:t>
            </w:r>
            <w:r>
              <w:rPr>
                <w:rFonts w:ascii="Times New Roman" w:hAnsi="Times New Roman"/>
                <w:sz w:val="24"/>
              </w:rPr>
              <w:t xml:space="preserve"> Training mid-level supervisors in immunization logistics (3 immunization sections, 18 regional, 63 districts).</w:t>
            </w:r>
          </w:p>
        </w:tc>
        <w:tc>
          <w:tcPr>
            <w:tcW w:w="3766" w:type="dxa"/>
            <w:shd w:val="clear" w:color="auto" w:fill="auto"/>
          </w:tcPr>
          <w:p w14:paraId="62B6BC3F" w14:textId="77777777" w:rsidR="00F871FF" w:rsidRPr="004B5884" w:rsidRDefault="00F871FF" w:rsidP="00C26D5F">
            <w:pPr>
              <w:spacing w:before="120" w:after="120"/>
              <w:rPr>
                <w:rFonts w:ascii="Times New Roman" w:hAnsi="Times New Roman"/>
                <w:sz w:val="24"/>
                <w:szCs w:val="24"/>
              </w:rPr>
            </w:pPr>
            <w:r>
              <w:rPr>
                <w:rFonts w:ascii="Times New Roman" w:hAnsi="Times New Roman"/>
                <w:sz w:val="24"/>
              </w:rPr>
              <w:t>Immunization logistics will be appropriately managed at the national level and the regional level.</w:t>
            </w:r>
          </w:p>
        </w:tc>
      </w:tr>
      <w:tr w:rsidR="00F871FF" w:rsidRPr="009316FF" w14:paraId="11F6CA9F" w14:textId="77777777" w:rsidTr="004904C0">
        <w:trPr>
          <w:gridAfter w:val="1"/>
          <w:wAfter w:w="35" w:type="dxa"/>
        </w:trPr>
        <w:tc>
          <w:tcPr>
            <w:tcW w:w="6547" w:type="dxa"/>
            <w:shd w:val="clear" w:color="auto" w:fill="FFFFFF"/>
          </w:tcPr>
          <w:p w14:paraId="68C9AD84" w14:textId="76DC1602" w:rsidR="00F871FF" w:rsidRPr="00134D54" w:rsidRDefault="004F6736" w:rsidP="004F6736">
            <w:pPr>
              <w:rPr>
                <w:rFonts w:ascii="Times New Roman" w:hAnsi="Times New Roman"/>
                <w:sz w:val="24"/>
                <w:szCs w:val="24"/>
              </w:rPr>
            </w:pPr>
            <w:r>
              <w:rPr>
                <w:rFonts w:ascii="Times New Roman" w:hAnsi="Times New Roman"/>
                <w:b/>
                <w:sz w:val="24"/>
              </w:rPr>
              <w:t>Activity 4.4:</w:t>
            </w:r>
            <w:r>
              <w:rPr>
                <w:rFonts w:ascii="Times New Roman" w:hAnsi="Times New Roman"/>
                <w:sz w:val="24"/>
              </w:rPr>
              <w:t xml:space="preserve"> Awareness promotion of customs and traffic agents regarding vaccine management.</w:t>
            </w:r>
          </w:p>
        </w:tc>
        <w:tc>
          <w:tcPr>
            <w:tcW w:w="3766" w:type="dxa"/>
            <w:shd w:val="clear" w:color="auto" w:fill="FFFFFF"/>
          </w:tcPr>
          <w:p w14:paraId="1C12A2A8" w14:textId="77777777"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This awareness will allow agents to acquire the skills for management of vaccines and to facilitate their passage through customs and traffic stations.</w:t>
            </w:r>
          </w:p>
        </w:tc>
      </w:tr>
      <w:tr w:rsidR="00F871FF" w:rsidRPr="009316FF" w14:paraId="6221C12A" w14:textId="77777777" w:rsidTr="004904C0">
        <w:trPr>
          <w:gridAfter w:val="1"/>
          <w:wAfter w:w="35" w:type="dxa"/>
        </w:trPr>
        <w:tc>
          <w:tcPr>
            <w:tcW w:w="6547" w:type="dxa"/>
            <w:shd w:val="clear" w:color="auto" w:fill="FFFFFF"/>
          </w:tcPr>
          <w:p w14:paraId="665FE56F" w14:textId="71AADE2C" w:rsidR="00F871FF" w:rsidRPr="00134D54" w:rsidRDefault="004F6736" w:rsidP="004F6736">
            <w:pPr>
              <w:rPr>
                <w:rFonts w:ascii="Times New Roman" w:hAnsi="Times New Roman"/>
                <w:sz w:val="24"/>
                <w:szCs w:val="24"/>
              </w:rPr>
            </w:pPr>
            <w:r>
              <w:rPr>
                <w:rFonts w:ascii="Times New Roman" w:hAnsi="Times New Roman"/>
                <w:b/>
                <w:sz w:val="24"/>
              </w:rPr>
              <w:t>Activity 4.5:</w:t>
            </w:r>
            <w:r>
              <w:rPr>
                <w:rFonts w:ascii="Times New Roman" w:hAnsi="Times New Roman"/>
                <w:sz w:val="24"/>
              </w:rPr>
              <w:t xml:space="preserve"> Support cold chain maintenance missions at the central and regional level by SEPAUMAT.</w:t>
            </w:r>
          </w:p>
        </w:tc>
        <w:tc>
          <w:tcPr>
            <w:tcW w:w="3766" w:type="dxa"/>
            <w:shd w:val="clear" w:color="auto" w:fill="FFFFFF"/>
          </w:tcPr>
          <w:p w14:paraId="07F1CBBD" w14:textId="77777777"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This will allow the ongoing operation of the cold chain and will allow better preservation of vaccines.</w:t>
            </w:r>
          </w:p>
        </w:tc>
      </w:tr>
      <w:tr w:rsidR="00F871FF" w:rsidRPr="009316FF" w14:paraId="72CABEB6" w14:textId="77777777" w:rsidTr="004904C0">
        <w:trPr>
          <w:gridAfter w:val="1"/>
          <w:wAfter w:w="35" w:type="dxa"/>
        </w:trPr>
        <w:tc>
          <w:tcPr>
            <w:tcW w:w="6547" w:type="dxa"/>
            <w:shd w:val="clear" w:color="auto" w:fill="FFFFFF"/>
          </w:tcPr>
          <w:p w14:paraId="406C4026" w14:textId="1B74B7F0" w:rsidR="00F871FF" w:rsidRPr="00134D54" w:rsidRDefault="004F6736" w:rsidP="004F6736">
            <w:pPr>
              <w:rPr>
                <w:rFonts w:ascii="Times New Roman" w:hAnsi="Times New Roman"/>
                <w:sz w:val="24"/>
                <w:szCs w:val="24"/>
              </w:rPr>
            </w:pPr>
            <w:r>
              <w:rPr>
                <w:rFonts w:ascii="Times New Roman" w:hAnsi="Times New Roman"/>
                <w:b/>
                <w:sz w:val="24"/>
              </w:rPr>
              <w:t>Activity 4.6:</w:t>
            </w:r>
            <w:r>
              <w:rPr>
                <w:rFonts w:ascii="Times New Roman" w:hAnsi="Times New Roman"/>
                <w:sz w:val="24"/>
              </w:rPr>
              <w:t xml:space="preserve"> Conduct an EVM assessment in 2017.</w:t>
            </w:r>
          </w:p>
        </w:tc>
        <w:tc>
          <w:tcPr>
            <w:tcW w:w="3766" w:type="dxa"/>
            <w:shd w:val="clear" w:color="auto" w:fill="FFFFFF"/>
          </w:tcPr>
          <w:p w14:paraId="13E5D28A" w14:textId="77777777"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The use of the conclusions and implementation of the recommendations from that evaluation will allow vaccine management to be improved.</w:t>
            </w:r>
          </w:p>
        </w:tc>
      </w:tr>
      <w:tr w:rsidR="00F871FF" w:rsidRPr="009316FF" w14:paraId="0849DBB9" w14:textId="77777777" w:rsidTr="004904C0">
        <w:trPr>
          <w:gridAfter w:val="1"/>
          <w:wAfter w:w="35" w:type="dxa"/>
        </w:trPr>
        <w:tc>
          <w:tcPr>
            <w:tcW w:w="10313" w:type="dxa"/>
            <w:gridSpan w:val="2"/>
            <w:shd w:val="clear" w:color="auto" w:fill="D9D9D9" w:themeFill="background1" w:themeFillShade="D9"/>
          </w:tcPr>
          <w:p w14:paraId="26FE63DD" w14:textId="530A5E72" w:rsidR="00F871FF" w:rsidRPr="00134D54" w:rsidRDefault="00F871FF" w:rsidP="00C26D5F">
            <w:pPr>
              <w:widowControl w:val="0"/>
              <w:spacing w:before="120" w:after="120"/>
              <w:rPr>
                <w:rFonts w:ascii="Times New Roman" w:eastAsia="Calibri" w:hAnsi="Times New Roman"/>
                <w:sz w:val="24"/>
                <w:szCs w:val="24"/>
              </w:rPr>
            </w:pPr>
            <w:r>
              <w:rPr>
                <w:rFonts w:ascii="Times New Roman" w:hAnsi="Times New Roman"/>
                <w:b/>
                <w:sz w:val="24"/>
              </w:rPr>
              <w:t>Objective 5: Improve immunization financing by communities and municipalities.</w:t>
            </w:r>
          </w:p>
        </w:tc>
      </w:tr>
      <w:tr w:rsidR="00F871FF" w:rsidRPr="009316FF" w14:paraId="2567A91C" w14:textId="77777777" w:rsidTr="004904C0">
        <w:trPr>
          <w:gridAfter w:val="1"/>
          <w:wAfter w:w="35" w:type="dxa"/>
        </w:trPr>
        <w:tc>
          <w:tcPr>
            <w:tcW w:w="6547" w:type="dxa"/>
            <w:shd w:val="clear" w:color="auto" w:fill="FFFFFF"/>
          </w:tcPr>
          <w:p w14:paraId="4CD31E0B" w14:textId="1188CFE0" w:rsidR="00F871FF" w:rsidRPr="00134D54" w:rsidRDefault="00F871FF" w:rsidP="00C26D5F">
            <w:pPr>
              <w:rPr>
                <w:rFonts w:ascii="Times New Roman" w:hAnsi="Times New Roman"/>
                <w:sz w:val="24"/>
                <w:szCs w:val="24"/>
              </w:rPr>
            </w:pPr>
            <w:r>
              <w:rPr>
                <w:rFonts w:ascii="Times New Roman" w:hAnsi="Times New Roman"/>
                <w:b/>
                <w:sz w:val="24"/>
              </w:rPr>
              <w:t>Activity 5.1:</w:t>
            </w:r>
            <w:r>
              <w:rPr>
                <w:rFonts w:ascii="Times New Roman" w:hAnsi="Times New Roman"/>
                <w:sz w:val="24"/>
              </w:rPr>
              <w:t xml:space="preserve"> Organize meetings in 63 health districts every 2 years with all participants (city government, ASACO, DTC, etc.) in the EPI for the mobilization of resources allocated to immunization.</w:t>
            </w:r>
          </w:p>
        </w:tc>
        <w:tc>
          <w:tcPr>
            <w:tcW w:w="3766" w:type="dxa"/>
            <w:shd w:val="clear" w:color="auto" w:fill="FFFFFF"/>
          </w:tcPr>
          <w:p w14:paraId="5A3459D8" w14:textId="77777777" w:rsidR="00F871FF" w:rsidRPr="004B5884" w:rsidRDefault="00F871FF" w:rsidP="00C26D5F">
            <w:pPr>
              <w:widowControl w:val="0"/>
              <w:spacing w:before="120" w:after="120"/>
              <w:rPr>
                <w:rFonts w:ascii="Times New Roman" w:eastAsia="Calibri" w:hAnsi="Times New Roman"/>
                <w:sz w:val="24"/>
                <w:szCs w:val="24"/>
              </w:rPr>
            </w:pPr>
            <w:r>
              <w:rPr>
                <w:rFonts w:ascii="Times New Roman" w:hAnsi="Times New Roman"/>
                <w:sz w:val="24"/>
              </w:rPr>
              <w:t>The resources will be mobilized for financing immunization at the operational level.</w:t>
            </w:r>
          </w:p>
        </w:tc>
      </w:tr>
      <w:tr w:rsidR="00CC5D51" w:rsidRPr="009316FF" w14:paraId="31CC6516" w14:textId="77777777" w:rsidTr="004904C0">
        <w:trPr>
          <w:gridAfter w:val="1"/>
          <w:wAfter w:w="35" w:type="dxa"/>
        </w:trPr>
        <w:tc>
          <w:tcPr>
            <w:tcW w:w="10313" w:type="dxa"/>
            <w:gridSpan w:val="2"/>
            <w:shd w:val="clear" w:color="auto" w:fill="FFFFFF"/>
          </w:tcPr>
          <w:p w14:paraId="03B0D447" w14:textId="6CE31AE8" w:rsidR="00CC5D51" w:rsidRPr="004B5884" w:rsidRDefault="00CC5D51" w:rsidP="00C26D5F">
            <w:pPr>
              <w:widowControl w:val="0"/>
              <w:spacing w:before="120" w:after="120"/>
              <w:rPr>
                <w:rFonts w:ascii="Times New Roman" w:eastAsia="Calibri" w:hAnsi="Times New Roman"/>
                <w:sz w:val="24"/>
                <w:szCs w:val="24"/>
              </w:rPr>
            </w:pPr>
            <w:r>
              <w:rPr>
                <w:rFonts w:ascii="Times New Roman" w:hAnsi="Times New Roman"/>
                <w:b/>
                <w:i/>
                <w:sz w:val="24"/>
              </w:rPr>
              <w:t>THREE PAGES MAXIMUM</w:t>
            </w:r>
          </w:p>
        </w:tc>
      </w:tr>
    </w:tbl>
    <w:p w14:paraId="4FEC3FD9" w14:textId="77777777" w:rsidR="00887ED2" w:rsidRDefault="00887ED2" w:rsidP="00226DF1">
      <w:pPr>
        <w:widowControl w:val="0"/>
        <w:spacing w:before="120" w:after="120"/>
        <w:jc w:val="both"/>
        <w:rPr>
          <w:rFonts w:ascii="Times New Roman" w:eastAsia="Calibri" w:hAnsi="Times New Roman"/>
          <w:sz w:val="24"/>
          <w:szCs w:val="24"/>
        </w:rPr>
        <w:sectPr w:rsidR="00887ED2" w:rsidSect="00556887">
          <w:pgSz w:w="11907" w:h="16839" w:code="9"/>
          <w:pgMar w:top="992" w:right="851" w:bottom="992" w:left="851" w:header="709" w:footer="709" w:gutter="0"/>
          <w:cols w:space="708"/>
          <w:docGrid w:linePitch="360"/>
        </w:sectPr>
      </w:pPr>
    </w:p>
    <w:p w14:paraId="6B4DF15E" w14:textId="3CBD943A" w:rsidR="00867FFD" w:rsidRPr="004B5884" w:rsidRDefault="00867FFD" w:rsidP="00226DF1">
      <w:pPr>
        <w:widowControl w:val="0"/>
        <w:spacing w:before="120" w:after="120"/>
        <w:jc w:val="both"/>
        <w:rPr>
          <w:rFonts w:ascii="Times New Roman" w:eastAsia="Calibri" w:hAnsi="Times New Roman"/>
          <w:sz w:val="24"/>
          <w:szCs w:val="24"/>
        </w:rPr>
      </w:pPr>
    </w:p>
    <w:tbl>
      <w:tblPr>
        <w:tblW w:w="15026"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4"/>
        <w:gridCol w:w="5386"/>
        <w:gridCol w:w="426"/>
        <w:gridCol w:w="4394"/>
        <w:gridCol w:w="283"/>
        <w:gridCol w:w="3969"/>
        <w:gridCol w:w="284"/>
      </w:tblGrid>
      <w:tr w:rsidR="00867FFD" w:rsidRPr="0003136C" w14:paraId="67D47A73" w14:textId="77777777" w:rsidTr="005D447F">
        <w:tc>
          <w:tcPr>
            <w:tcW w:w="15026" w:type="dxa"/>
            <w:gridSpan w:val="7"/>
            <w:tcBorders>
              <w:bottom w:val="single" w:sz="6" w:space="0" w:color="215868"/>
            </w:tcBorders>
            <w:shd w:val="clear" w:color="auto" w:fill="006460"/>
          </w:tcPr>
          <w:p w14:paraId="2126C807" w14:textId="77777777" w:rsidR="00867FFD" w:rsidRPr="0003136C" w:rsidRDefault="00867FFD" w:rsidP="00226DF1">
            <w:pPr>
              <w:pStyle w:val="Heading2"/>
              <w:rPr>
                <w:rFonts w:ascii="Times New Roman" w:eastAsia="Calibri" w:hAnsi="Times New Roman"/>
                <w:sz w:val="24"/>
                <w:szCs w:val="24"/>
              </w:rPr>
            </w:pPr>
            <w:bookmarkStart w:id="74" w:name="_Toc346116644"/>
            <w:bookmarkStart w:id="75" w:name="_Toc398181096"/>
            <w:bookmarkStart w:id="76" w:name="_Toc276342225"/>
            <w:r>
              <w:rPr>
                <w:rFonts w:ascii="Times New Roman" w:hAnsi="Times New Roman"/>
                <w:sz w:val="24"/>
              </w:rPr>
              <w:t>13. Results Chain</w:t>
            </w:r>
            <w:bookmarkEnd w:id="74"/>
            <w:bookmarkEnd w:id="75"/>
            <w:bookmarkEnd w:id="76"/>
            <w:r>
              <w:tab/>
            </w:r>
          </w:p>
        </w:tc>
      </w:tr>
      <w:tr w:rsidR="00867FFD" w:rsidRPr="0003136C" w14:paraId="30A1C69A" w14:textId="77777777" w:rsidTr="005D447F">
        <w:tc>
          <w:tcPr>
            <w:tcW w:w="15026" w:type="dxa"/>
            <w:gridSpan w:val="7"/>
            <w:shd w:val="clear" w:color="auto" w:fill="FFFFFF"/>
          </w:tcPr>
          <w:p w14:paraId="5D6A79AC" w14:textId="77777777" w:rsidR="00867FFD" w:rsidRPr="0003136C"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description will detail to GAVI how the proposed activities will result in improved immunisation outcomes. </w:t>
            </w:r>
          </w:p>
          <w:p w14:paraId="58CAAAE7" w14:textId="1CB3DA36" w:rsidR="00867FFD" w:rsidRPr="0003136C"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present a Results Chain using the template provided in the application form for each objective. This diagram should demonstrate how activities contribute to achieving intermediate results and how these intermediate results contribute to achieving immunisation outcomes. The intermediate results should link directly to the HSS bottlenecks identified in Section 9 and should address or contribute to addressing the selected bottlenecks for the GA VI HSS proposal. </w:t>
            </w:r>
          </w:p>
          <w:p w14:paraId="720B3D93" w14:textId="77777777" w:rsidR="00867FFD" w:rsidRPr="0003136C"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(Please only include the key 4-5 activities for each objective that are central to delivery of intermediate results and immunisation outcomes. It is not necessary to list all activities for each objective as these are listed in Section 12 Description of Activities and in Section 15 Detailed Budget and Workplan Narrative.)</w:t>
            </w:r>
          </w:p>
          <w:p w14:paraId="3446328E" w14:textId="77777777" w:rsidR="00867FFD" w:rsidRPr="0003136C"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The Results Chain should be consistent with the HSS M&amp;E Framework. For every activity, intermediate result and immunisation outcome listed in the Results Chain, there should be corresponding indicators to measure achievement detailed in the box below. These should align to indicators detailed in the HSS M&amp;E Framework and should include the six mandatory immunisation outcome indicators listed in the Key Terms Section of the Supplementary Guidelines for HSS Applications. Applicants are encouraged to include other immunisation outcome indicators as well which relate specifically to the part of the health system where funds will be used. </w:t>
            </w:r>
          </w:p>
          <w:p w14:paraId="040E38B2" w14:textId="77777777" w:rsidR="00867FFD" w:rsidRPr="0003136C"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Please note that a GAVI HSS proposal must include an independent and systematic data quality assessment and an improvement plan described in the Supplementary HSS Guidelines Key Terms Section. Applicants must include specific data quality problem areas where funds will be used.</w:t>
            </w:r>
          </w:p>
        </w:tc>
      </w:tr>
      <w:tr w:rsidR="00867FFD" w:rsidRPr="0003136C" w14:paraId="23B28A0A" w14:textId="77777777" w:rsidTr="005D447F">
        <w:trPr>
          <w:trHeight w:val="663"/>
        </w:trPr>
        <w:tc>
          <w:tcPr>
            <w:tcW w:w="15026" w:type="dxa"/>
            <w:gridSpan w:val="7"/>
            <w:tcBorders>
              <w:bottom w:val="single" w:sz="4" w:space="0" w:color="auto"/>
            </w:tcBorders>
            <w:shd w:val="clear" w:color="auto" w:fill="FFFFFF"/>
          </w:tcPr>
          <w:p w14:paraId="494CD5CA" w14:textId="747B6DE1" w:rsidR="00867FFD" w:rsidRPr="0003136C"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Objective 1: By December 2019, increase vaccine coverage of fully immunized children in the country from 72% to 95%.</w:t>
            </w:r>
            <w:r>
              <w:rPr>
                <w:sz w:val="24"/>
              </w:rPr>
              <w:t> </w:t>
            </w:r>
          </w:p>
        </w:tc>
      </w:tr>
      <w:tr w:rsidR="00196AEB" w:rsidRPr="0003136C" w14:paraId="16B6F8F4" w14:textId="77777777" w:rsidTr="005D447F">
        <w:trPr>
          <w:trHeight w:val="1366"/>
        </w:trPr>
        <w:tc>
          <w:tcPr>
            <w:tcW w:w="284" w:type="dxa"/>
            <w:vMerge w:val="restart"/>
            <w:tcBorders>
              <w:top w:val="nil"/>
              <w:left w:val="single" w:sz="4" w:space="0" w:color="auto"/>
              <w:right w:val="single" w:sz="4" w:space="0" w:color="auto"/>
            </w:tcBorders>
            <w:shd w:val="clear" w:color="auto" w:fill="FFFFFF"/>
          </w:tcPr>
          <w:p w14:paraId="13666B71" w14:textId="77777777" w:rsidR="00196AEB" w:rsidRPr="0003136C" w:rsidRDefault="00196AEB"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5B347E4E" w14:textId="77777777" w:rsidR="00D166BA" w:rsidRPr="00C83401" w:rsidRDefault="00D166BA" w:rsidP="00226DF1">
            <w:pPr>
              <w:widowControl w:val="0"/>
              <w:spacing w:before="120" w:after="120"/>
              <w:jc w:val="both"/>
              <w:rPr>
                <w:rFonts w:ascii="Times New Roman" w:eastAsia="Calibri" w:hAnsi="Times New Roman"/>
                <w:b/>
                <w:sz w:val="24"/>
                <w:szCs w:val="24"/>
              </w:rPr>
            </w:pPr>
            <w:r>
              <w:rPr>
                <w:rFonts w:ascii="Times New Roman" w:hAnsi="Times New Roman"/>
                <w:b/>
                <w:sz w:val="24"/>
              </w:rPr>
              <w:t>Key activities:</w:t>
            </w:r>
          </w:p>
          <w:p w14:paraId="07DE4F48" w14:textId="77777777" w:rsidR="00EF36A1" w:rsidRPr="0003136C" w:rsidRDefault="00A87FEC" w:rsidP="00226DF1">
            <w:pPr>
              <w:numPr>
                <w:ilvl w:val="0"/>
                <w:numId w:val="26"/>
              </w:numPr>
              <w:spacing w:before="120" w:after="120"/>
              <w:jc w:val="both"/>
              <w:rPr>
                <w:rFonts w:ascii="Times New Roman" w:hAnsi="Times New Roman"/>
                <w:sz w:val="24"/>
                <w:szCs w:val="24"/>
              </w:rPr>
            </w:pPr>
            <w:r>
              <w:rPr>
                <w:rFonts w:ascii="Times New Roman" w:hAnsi="Times New Roman"/>
                <w:sz w:val="24"/>
              </w:rPr>
              <w:t>Increasing the skills of human resources in health care.</w:t>
            </w:r>
          </w:p>
          <w:p w14:paraId="76942192" w14:textId="77777777" w:rsidR="006A30D4" w:rsidRPr="0003136C" w:rsidRDefault="00EF36A1" w:rsidP="00226DF1">
            <w:pPr>
              <w:numPr>
                <w:ilvl w:val="0"/>
                <w:numId w:val="26"/>
              </w:numPr>
              <w:spacing w:before="120" w:after="120"/>
              <w:jc w:val="both"/>
              <w:rPr>
                <w:rFonts w:ascii="Times New Roman" w:hAnsi="Times New Roman"/>
                <w:sz w:val="24"/>
                <w:szCs w:val="24"/>
              </w:rPr>
            </w:pPr>
            <w:r>
              <w:rPr>
                <w:rFonts w:ascii="Times New Roman" w:hAnsi="Times New Roman"/>
                <w:sz w:val="24"/>
              </w:rPr>
              <w:t>Contribution of logistics resources for district supervisory teams and advanced and mobile strategies.</w:t>
            </w:r>
          </w:p>
          <w:p w14:paraId="2BD8C285" w14:textId="77777777" w:rsidR="00EF36A1" w:rsidRPr="0003136C" w:rsidRDefault="006A30D4" w:rsidP="00226DF1">
            <w:pPr>
              <w:numPr>
                <w:ilvl w:val="0"/>
                <w:numId w:val="26"/>
              </w:numPr>
              <w:spacing w:before="120" w:after="120"/>
              <w:jc w:val="both"/>
              <w:rPr>
                <w:rFonts w:ascii="Times New Roman" w:hAnsi="Times New Roman"/>
                <w:sz w:val="24"/>
                <w:szCs w:val="24"/>
              </w:rPr>
            </w:pPr>
            <w:r>
              <w:rPr>
                <w:rFonts w:ascii="Times New Roman" w:hAnsi="Times New Roman"/>
                <w:sz w:val="24"/>
              </w:rPr>
              <w:t xml:space="preserve"> Providing equipment for the management of biomedical waste.</w:t>
            </w:r>
          </w:p>
          <w:p w14:paraId="35AB321F" w14:textId="77777777" w:rsidR="00EF36A1" w:rsidRPr="0003136C" w:rsidRDefault="00EF36A1" w:rsidP="00226DF1">
            <w:pPr>
              <w:numPr>
                <w:ilvl w:val="0"/>
                <w:numId w:val="26"/>
              </w:numPr>
              <w:spacing w:before="120" w:after="120"/>
              <w:jc w:val="both"/>
              <w:rPr>
                <w:rFonts w:ascii="Times New Roman" w:hAnsi="Times New Roman"/>
                <w:sz w:val="24"/>
                <w:szCs w:val="24"/>
              </w:rPr>
            </w:pPr>
            <w:r>
              <w:rPr>
                <w:rFonts w:ascii="Times New Roman" w:hAnsi="Times New Roman"/>
                <w:sz w:val="24"/>
              </w:rPr>
              <w:t>Support for supervisory and advanced strategy activities.</w:t>
            </w:r>
          </w:p>
          <w:p w14:paraId="03AEA5E2" w14:textId="5FF98203" w:rsidR="006A30D4" w:rsidRPr="0003136C" w:rsidRDefault="006A30D4" w:rsidP="00226DF1">
            <w:pPr>
              <w:numPr>
                <w:ilvl w:val="0"/>
                <w:numId w:val="26"/>
              </w:numPr>
              <w:spacing w:before="120" w:after="120"/>
              <w:jc w:val="both"/>
              <w:rPr>
                <w:rFonts w:ascii="Times New Roman" w:hAnsi="Times New Roman"/>
                <w:sz w:val="24"/>
                <w:szCs w:val="24"/>
              </w:rPr>
            </w:pPr>
            <w:r>
              <w:rPr>
                <w:rFonts w:ascii="Times New Roman" w:hAnsi="Times New Roman"/>
                <w:sz w:val="24"/>
              </w:rPr>
              <w:t xml:space="preserve">Implementation of a performance based funding system in 3 Regions. </w:t>
            </w:r>
          </w:p>
          <w:p w14:paraId="5E1E81AD" w14:textId="77777777" w:rsidR="00EF36A1" w:rsidRPr="0003136C" w:rsidRDefault="006A30D4" w:rsidP="00226DF1">
            <w:pPr>
              <w:numPr>
                <w:ilvl w:val="0"/>
                <w:numId w:val="26"/>
              </w:numPr>
              <w:spacing w:before="120" w:after="120"/>
              <w:jc w:val="both"/>
              <w:rPr>
                <w:rFonts w:ascii="Times New Roman" w:hAnsi="Times New Roman"/>
                <w:sz w:val="24"/>
                <w:szCs w:val="24"/>
              </w:rPr>
            </w:pPr>
            <w:r>
              <w:rPr>
                <w:rFonts w:ascii="Times New Roman" w:hAnsi="Times New Roman"/>
                <w:sz w:val="24"/>
              </w:rPr>
              <w:t>Support for social mobilization and community participation in support of immunization.</w:t>
            </w:r>
          </w:p>
          <w:p w14:paraId="5361BAFD" w14:textId="77777777" w:rsidR="00196AEB" w:rsidRPr="0003136C" w:rsidRDefault="00196AEB" w:rsidP="00226DF1">
            <w:pPr>
              <w:spacing w:before="120" w:after="120"/>
              <w:jc w:val="both"/>
              <w:rPr>
                <w:rFonts w:ascii="Times New Roman" w:hAnsi="Times New Roman"/>
                <w:sz w:val="24"/>
                <w:szCs w:val="24"/>
              </w:rPr>
            </w:pPr>
          </w:p>
        </w:tc>
        <w:tc>
          <w:tcPr>
            <w:tcW w:w="426" w:type="dxa"/>
            <w:vMerge w:val="restart"/>
            <w:tcBorders>
              <w:top w:val="nil"/>
              <w:left w:val="single" w:sz="4" w:space="0" w:color="auto"/>
              <w:right w:val="single" w:sz="4" w:space="0" w:color="auto"/>
            </w:tcBorders>
            <w:shd w:val="clear" w:color="auto" w:fill="FFFFFF"/>
          </w:tcPr>
          <w:p w14:paraId="674F6063" w14:textId="77777777" w:rsidR="00196AEB" w:rsidRPr="0003136C" w:rsidRDefault="00E32BC9" w:rsidP="00226DF1">
            <w:pPr>
              <w:widowControl w:val="0"/>
              <w:spacing w:before="120" w:after="120"/>
              <w:jc w:val="both"/>
              <w:rPr>
                <w:rFonts w:ascii="Times New Roman" w:eastAsia="Calibri" w:hAnsi="Times New Roman"/>
                <w:sz w:val="24"/>
                <w:szCs w:val="24"/>
              </w:rPr>
            </w:pPr>
            <w:r>
              <w:rPr>
                <w:rFonts w:ascii="Times New Roman" w:hAnsi="Times New Roman"/>
                <w:noProof/>
                <w:sz w:val="24"/>
                <w:szCs w:val="24"/>
                <w:lang w:bidi="ar-SA"/>
              </w:rPr>
              <mc:AlternateContent>
                <mc:Choice Requires="wps">
                  <w:drawing>
                    <wp:anchor distT="4294967293" distB="4294967293" distL="114300" distR="114300" simplePos="0" relativeHeight="251697152" behindDoc="0" locked="0" layoutInCell="1" allowOverlap="1" wp14:anchorId="73EB5297" wp14:editId="25CC6B0F">
                      <wp:simplePos x="0" y="0"/>
                      <wp:positionH relativeFrom="column">
                        <wp:posOffset>-17145</wp:posOffset>
                      </wp:positionH>
                      <wp:positionV relativeFrom="paragraph">
                        <wp:posOffset>153034</wp:posOffset>
                      </wp:positionV>
                      <wp:extent cx="187325" cy="0"/>
                      <wp:effectExtent l="0" t="76200" r="22225" b="95250"/>
                      <wp:wrapNone/>
                      <wp:docPr id="17"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32" coordsize="21600,21600" o:spt="32" o:oned="t" path="m,l21600,21600e" filled="f">
                      <v:path arrowok="t" fillok="f" o:connecttype="none"/>
                      <o:lock v:ext="edit" shapetype="t"/>
                    </v:shapetype>
                    <v:shape xmlns:o="urn:schemas-microsoft-com:office:office" xmlns:v="urn:schemas-microsoft-com:vml" id="AutoShape 186" o:spid="_x0000_s1026" type="#_x0000_t32" style="position:absolute;margin-left:-1.35pt;margin-top:12.05pt;width:14.75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vG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">
                      <v:stroke endarrow="block"/>
                    </v:shape>
                  </w:pict>
                </mc:Fallback>
              </mc:AlternateContent>
            </w:r>
          </w:p>
        </w:tc>
        <w:tc>
          <w:tcPr>
            <w:tcW w:w="4394" w:type="dxa"/>
            <w:tcBorders>
              <w:top w:val="single" w:sz="4" w:space="0" w:color="auto"/>
              <w:left w:val="single" w:sz="4" w:space="0" w:color="auto"/>
              <w:right w:val="single" w:sz="4" w:space="0" w:color="auto"/>
            </w:tcBorders>
            <w:shd w:val="clear" w:color="auto" w:fill="DBE5F1"/>
          </w:tcPr>
          <w:p w14:paraId="6B31A60E" w14:textId="77777777" w:rsidR="006F01B8" w:rsidRPr="00C83401" w:rsidRDefault="00196AEB" w:rsidP="00226DF1">
            <w:pPr>
              <w:spacing w:before="120" w:after="120"/>
              <w:jc w:val="both"/>
              <w:rPr>
                <w:rFonts w:ascii="Times New Roman" w:hAnsi="Times New Roman"/>
                <w:b/>
                <w:sz w:val="24"/>
                <w:szCs w:val="24"/>
              </w:rPr>
            </w:pPr>
            <w:r>
              <w:rPr>
                <w:rFonts w:ascii="Times New Roman" w:hAnsi="Times New Roman"/>
                <w:b/>
                <w:sz w:val="24"/>
              </w:rPr>
              <w:t>Intermediate Results:</w:t>
            </w:r>
          </w:p>
          <w:p w14:paraId="6ABC5D19" w14:textId="77777777" w:rsidR="008265B0" w:rsidRPr="0003136C" w:rsidRDefault="008265B0" w:rsidP="00226DF1">
            <w:pPr>
              <w:numPr>
                <w:ilvl w:val="0"/>
                <w:numId w:val="27"/>
              </w:numPr>
              <w:spacing w:before="120" w:after="120"/>
              <w:jc w:val="both"/>
              <w:rPr>
                <w:rFonts w:ascii="Times New Roman" w:hAnsi="Times New Roman"/>
                <w:sz w:val="24"/>
                <w:szCs w:val="24"/>
              </w:rPr>
            </w:pPr>
            <w:r>
              <w:rPr>
                <w:rFonts w:ascii="Times New Roman" w:hAnsi="Times New Roman"/>
                <w:sz w:val="24"/>
              </w:rPr>
              <w:t>Population accessibility to immunization services was improved;</w:t>
            </w:r>
          </w:p>
          <w:p w14:paraId="574C6538" w14:textId="77777777" w:rsidR="003619ED" w:rsidRPr="0003136C" w:rsidRDefault="003619ED" w:rsidP="00226DF1">
            <w:pPr>
              <w:numPr>
                <w:ilvl w:val="0"/>
                <w:numId w:val="27"/>
              </w:numPr>
              <w:spacing w:before="120" w:after="120"/>
              <w:jc w:val="both"/>
              <w:rPr>
                <w:rFonts w:ascii="Times New Roman" w:hAnsi="Times New Roman"/>
                <w:sz w:val="24"/>
                <w:szCs w:val="24"/>
              </w:rPr>
            </w:pPr>
            <w:r>
              <w:rPr>
                <w:rFonts w:ascii="Times New Roman" w:hAnsi="Times New Roman"/>
                <w:sz w:val="24"/>
              </w:rPr>
              <w:t>Operating capacity of the CSComs and CSRefs was improved;</w:t>
            </w:r>
          </w:p>
          <w:p w14:paraId="28D3E6B8" w14:textId="77777777" w:rsidR="00EB4A91" w:rsidRPr="0003136C" w:rsidRDefault="00EB4A91" w:rsidP="00226DF1">
            <w:pPr>
              <w:numPr>
                <w:ilvl w:val="0"/>
                <w:numId w:val="27"/>
              </w:numPr>
              <w:spacing w:before="120" w:after="120"/>
              <w:jc w:val="both"/>
              <w:rPr>
                <w:rFonts w:ascii="Times New Roman" w:hAnsi="Times New Roman"/>
                <w:sz w:val="24"/>
                <w:szCs w:val="24"/>
              </w:rPr>
            </w:pPr>
            <w:r>
              <w:rPr>
                <w:rFonts w:ascii="Times New Roman" w:hAnsi="Times New Roman"/>
                <w:sz w:val="24"/>
              </w:rPr>
              <w:t>The population is better informed/aware and participate more often in immunization activities</w:t>
            </w:r>
          </w:p>
          <w:p w14:paraId="6446DE5C" w14:textId="77777777" w:rsidR="002241D5" w:rsidRPr="0003136C" w:rsidRDefault="002241D5" w:rsidP="00226DF1">
            <w:pPr>
              <w:numPr>
                <w:ilvl w:val="0"/>
                <w:numId w:val="27"/>
              </w:numPr>
              <w:spacing w:before="120" w:after="120"/>
              <w:jc w:val="both"/>
              <w:rPr>
                <w:rFonts w:ascii="Times New Roman" w:hAnsi="Times New Roman"/>
                <w:sz w:val="24"/>
                <w:szCs w:val="24"/>
              </w:rPr>
            </w:pPr>
            <w:r>
              <w:rPr>
                <w:rFonts w:ascii="Times New Roman" w:hAnsi="Times New Roman"/>
                <w:sz w:val="24"/>
              </w:rPr>
              <w:t>Community participation in immunization activities increased.</w:t>
            </w:r>
          </w:p>
          <w:p w14:paraId="0DCD4E22" w14:textId="77777777" w:rsidR="00196AEB" w:rsidRPr="0003136C" w:rsidRDefault="00196AEB" w:rsidP="00226DF1">
            <w:pPr>
              <w:spacing w:before="120" w:after="120"/>
              <w:ind w:left="502"/>
              <w:jc w:val="both"/>
              <w:rPr>
                <w:rFonts w:ascii="Times New Roman" w:hAnsi="Times New Roman"/>
                <w:sz w:val="24"/>
                <w:szCs w:val="24"/>
              </w:rPr>
            </w:pPr>
          </w:p>
        </w:tc>
        <w:tc>
          <w:tcPr>
            <w:tcW w:w="283" w:type="dxa"/>
            <w:vMerge w:val="restart"/>
            <w:tcBorders>
              <w:top w:val="nil"/>
              <w:left w:val="single" w:sz="4" w:space="0" w:color="auto"/>
              <w:right w:val="single" w:sz="4" w:space="0" w:color="auto"/>
            </w:tcBorders>
            <w:shd w:val="clear" w:color="auto" w:fill="FFFFFF"/>
          </w:tcPr>
          <w:p w14:paraId="183B389C" w14:textId="77777777" w:rsidR="00196AEB" w:rsidRPr="00C83401" w:rsidRDefault="00E32BC9" w:rsidP="00226DF1">
            <w:pPr>
              <w:pStyle w:val="ListParagraph"/>
              <w:widowControl w:val="0"/>
              <w:numPr>
                <w:ilvl w:val="0"/>
                <w:numId w:val="27"/>
              </w:numPr>
              <w:spacing w:before="120" w:after="120"/>
              <w:jc w:val="both"/>
              <w:rPr>
                <w:rFonts w:ascii="Times New Roman" w:eastAsia="Calibri" w:hAnsi="Times New Roman"/>
                <w:sz w:val="24"/>
                <w:szCs w:val="24"/>
              </w:rPr>
            </w:pPr>
            <w:r>
              <w:rPr>
                <w:noProof/>
                <w:lang w:bidi="ar-SA"/>
              </w:rPr>
              <mc:AlternateContent>
                <mc:Choice Requires="wps">
                  <w:drawing>
                    <wp:anchor distT="0" distB="0" distL="114300" distR="114300" simplePos="0" relativeHeight="251698176" behindDoc="0" locked="0" layoutInCell="1" allowOverlap="1" wp14:anchorId="3F9179CA" wp14:editId="4AFA08E8">
                      <wp:simplePos x="0" y="0"/>
                      <wp:positionH relativeFrom="column">
                        <wp:posOffset>-34925</wp:posOffset>
                      </wp:positionH>
                      <wp:positionV relativeFrom="paragraph">
                        <wp:posOffset>457835</wp:posOffset>
                      </wp:positionV>
                      <wp:extent cx="125730" cy="635"/>
                      <wp:effectExtent l="0" t="76200" r="26670" b="94615"/>
                      <wp:wrapNone/>
                      <wp:docPr id="1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187" o:spid="_x0000_s1026" type="#_x0000_t32" style="position:absolute;margin-left:-2.75pt;margin-top:36.05pt;width:9.9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3CNwIAAGE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">
                      <v:stroke endarrow="block"/>
                    </v:shape>
                  </w:pict>
                </mc:Fallback>
              </mc:AlternateContent>
            </w:r>
          </w:p>
        </w:tc>
        <w:tc>
          <w:tcPr>
            <w:tcW w:w="3969" w:type="dxa"/>
            <w:tcBorders>
              <w:top w:val="single" w:sz="4" w:space="0" w:color="auto"/>
              <w:left w:val="single" w:sz="4" w:space="0" w:color="auto"/>
              <w:right w:val="single" w:sz="4" w:space="0" w:color="auto"/>
            </w:tcBorders>
            <w:shd w:val="clear" w:color="auto" w:fill="F2DBDB"/>
          </w:tcPr>
          <w:p w14:paraId="32F76C60" w14:textId="77777777" w:rsidR="00DF28C3" w:rsidRPr="00C83401" w:rsidRDefault="00196AEB" w:rsidP="00226DF1">
            <w:pPr>
              <w:widowControl w:val="0"/>
              <w:spacing w:before="120" w:after="120"/>
              <w:jc w:val="both"/>
              <w:rPr>
                <w:rFonts w:ascii="Times New Roman" w:eastAsia="Calibri" w:hAnsi="Times New Roman"/>
                <w:b/>
                <w:sz w:val="24"/>
                <w:szCs w:val="24"/>
              </w:rPr>
            </w:pPr>
            <w:r>
              <w:rPr>
                <w:rFonts w:ascii="Times New Roman" w:hAnsi="Times New Roman"/>
                <w:b/>
                <w:sz w:val="24"/>
              </w:rPr>
              <w:t>Immunization outcomes:</w:t>
            </w:r>
          </w:p>
          <w:p w14:paraId="59055F16" w14:textId="77777777" w:rsidR="00E55000" w:rsidRPr="0003136C" w:rsidRDefault="00E42851" w:rsidP="00226DF1">
            <w:pPr>
              <w:numPr>
                <w:ilvl w:val="0"/>
                <w:numId w:val="27"/>
              </w:numPr>
              <w:spacing w:before="120" w:after="120"/>
              <w:jc w:val="both"/>
              <w:rPr>
                <w:rFonts w:ascii="Times New Roman" w:hAnsi="Times New Roman"/>
                <w:sz w:val="24"/>
                <w:szCs w:val="24"/>
              </w:rPr>
            </w:pPr>
            <w:r>
              <w:rPr>
                <w:rFonts w:ascii="Times New Roman" w:hAnsi="Times New Roman"/>
                <w:sz w:val="24"/>
              </w:rPr>
              <w:t xml:space="preserve">Effective vaccine coverage was equitably improved. </w:t>
            </w:r>
          </w:p>
        </w:tc>
        <w:tc>
          <w:tcPr>
            <w:tcW w:w="284" w:type="dxa"/>
            <w:vMerge w:val="restart"/>
            <w:tcBorders>
              <w:top w:val="nil"/>
              <w:left w:val="single" w:sz="4" w:space="0" w:color="auto"/>
              <w:right w:val="single" w:sz="4" w:space="0" w:color="auto"/>
            </w:tcBorders>
            <w:shd w:val="clear" w:color="auto" w:fill="FFFFFF"/>
          </w:tcPr>
          <w:p w14:paraId="3E1DC262" w14:textId="77777777" w:rsidR="00196AEB" w:rsidRPr="0003136C" w:rsidRDefault="00196AEB" w:rsidP="00226DF1">
            <w:pPr>
              <w:widowControl w:val="0"/>
              <w:spacing w:before="120" w:after="120"/>
              <w:jc w:val="both"/>
              <w:rPr>
                <w:rFonts w:ascii="Times New Roman" w:eastAsia="Calibri" w:hAnsi="Times New Roman"/>
                <w:sz w:val="24"/>
                <w:szCs w:val="24"/>
              </w:rPr>
            </w:pPr>
          </w:p>
        </w:tc>
      </w:tr>
      <w:tr w:rsidR="00196AEB" w:rsidRPr="0003136C" w14:paraId="5208A9B1" w14:textId="77777777" w:rsidTr="005D447F">
        <w:trPr>
          <w:trHeight w:val="1365"/>
        </w:trPr>
        <w:tc>
          <w:tcPr>
            <w:tcW w:w="284" w:type="dxa"/>
            <w:vMerge/>
            <w:tcBorders>
              <w:left w:val="single" w:sz="4" w:space="0" w:color="auto"/>
              <w:bottom w:val="nil"/>
              <w:right w:val="single" w:sz="4" w:space="0" w:color="auto"/>
            </w:tcBorders>
            <w:shd w:val="clear" w:color="auto" w:fill="FFFFFF"/>
          </w:tcPr>
          <w:p w14:paraId="047969D5" w14:textId="77777777" w:rsidR="00196AEB" w:rsidRPr="0003136C" w:rsidRDefault="00196AEB"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40DDC4E7" w14:textId="77777777" w:rsidR="00935758" w:rsidRPr="007E4C30" w:rsidRDefault="00935758"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Key Activities Indicators:</w:t>
            </w:r>
          </w:p>
          <w:p w14:paraId="16D7B86C" w14:textId="77777777" w:rsidR="008265B0" w:rsidRPr="0003136C" w:rsidRDefault="00A87FEC" w:rsidP="00226DF1">
            <w:pPr>
              <w:numPr>
                <w:ilvl w:val="0"/>
                <w:numId w:val="26"/>
              </w:numPr>
              <w:spacing w:before="120" w:after="120"/>
              <w:jc w:val="both"/>
              <w:rPr>
                <w:rFonts w:ascii="Times New Roman" w:hAnsi="Times New Roman"/>
                <w:sz w:val="24"/>
                <w:szCs w:val="24"/>
              </w:rPr>
            </w:pPr>
            <w:r>
              <w:rPr>
                <w:rFonts w:ascii="Times New Roman" w:hAnsi="Times New Roman"/>
                <w:sz w:val="24"/>
              </w:rPr>
              <w:t>Proportion of personnel trained by type of training;</w:t>
            </w:r>
          </w:p>
          <w:p w14:paraId="6CCACD4A" w14:textId="77777777" w:rsidR="00A87FEC" w:rsidRPr="0003136C" w:rsidRDefault="00A87FEC" w:rsidP="00226DF1">
            <w:pPr>
              <w:numPr>
                <w:ilvl w:val="0"/>
                <w:numId w:val="26"/>
              </w:numPr>
              <w:spacing w:before="120" w:after="120"/>
              <w:jc w:val="both"/>
              <w:rPr>
                <w:rFonts w:ascii="Times New Roman" w:hAnsi="Times New Roman"/>
                <w:sz w:val="24"/>
                <w:szCs w:val="24"/>
              </w:rPr>
            </w:pPr>
            <w:r>
              <w:rPr>
                <w:rFonts w:ascii="Times New Roman" w:hAnsi="Times New Roman"/>
                <w:sz w:val="24"/>
              </w:rPr>
              <w:t>Number of structures equipped with a motorbike, vehicles and incinerators;</w:t>
            </w:r>
          </w:p>
          <w:p w14:paraId="3B3289B8" w14:textId="77777777" w:rsidR="00196AEB" w:rsidRPr="0003136C" w:rsidRDefault="008265B0" w:rsidP="00226DF1">
            <w:pPr>
              <w:numPr>
                <w:ilvl w:val="0"/>
                <w:numId w:val="26"/>
              </w:numPr>
              <w:spacing w:before="120" w:after="120"/>
              <w:jc w:val="both"/>
              <w:rPr>
                <w:rFonts w:ascii="Times New Roman" w:hAnsi="Times New Roman"/>
                <w:sz w:val="24"/>
                <w:szCs w:val="24"/>
              </w:rPr>
            </w:pPr>
            <w:r>
              <w:rPr>
                <w:rFonts w:ascii="Times New Roman" w:hAnsi="Times New Roman"/>
                <w:sz w:val="24"/>
              </w:rPr>
              <w:t>Number of monitorings/oversights conducted;</w:t>
            </w:r>
          </w:p>
          <w:p w14:paraId="1CDA18A9" w14:textId="77777777" w:rsidR="008265B0" w:rsidRPr="0003136C" w:rsidRDefault="00161B03" w:rsidP="00226DF1">
            <w:pPr>
              <w:numPr>
                <w:ilvl w:val="0"/>
                <w:numId w:val="26"/>
              </w:numPr>
              <w:spacing w:before="120" w:after="120"/>
              <w:jc w:val="both"/>
              <w:rPr>
                <w:rFonts w:ascii="Times New Roman" w:hAnsi="Times New Roman"/>
                <w:sz w:val="24"/>
                <w:szCs w:val="24"/>
              </w:rPr>
            </w:pPr>
            <w:r>
              <w:rPr>
                <w:rFonts w:ascii="Times New Roman" w:hAnsi="Times New Roman"/>
                <w:sz w:val="24"/>
              </w:rPr>
              <w:t>Number of structures supported for advanced and mobile strategies;</w:t>
            </w:r>
          </w:p>
          <w:p w14:paraId="75F0C370" w14:textId="77777777" w:rsidR="00282BE3" w:rsidRPr="0003136C" w:rsidRDefault="00282BE3" w:rsidP="00226DF1">
            <w:pPr>
              <w:numPr>
                <w:ilvl w:val="0"/>
                <w:numId w:val="26"/>
              </w:numPr>
              <w:spacing w:before="120" w:after="120"/>
              <w:jc w:val="both"/>
              <w:rPr>
                <w:rFonts w:ascii="Times New Roman" w:hAnsi="Times New Roman"/>
                <w:sz w:val="24"/>
                <w:szCs w:val="24"/>
              </w:rPr>
            </w:pPr>
            <w:r>
              <w:rPr>
                <w:rFonts w:ascii="Times New Roman" w:hAnsi="Times New Roman"/>
                <w:sz w:val="24"/>
              </w:rPr>
              <w:t>Number of districts that implemented PBR;</w:t>
            </w:r>
          </w:p>
          <w:p w14:paraId="30869ACC" w14:textId="77777777" w:rsidR="00282BE3" w:rsidRPr="0003136C" w:rsidRDefault="00282BE3" w:rsidP="00226DF1">
            <w:pPr>
              <w:numPr>
                <w:ilvl w:val="0"/>
                <w:numId w:val="26"/>
              </w:numPr>
              <w:spacing w:before="120" w:after="120"/>
              <w:jc w:val="both"/>
              <w:rPr>
                <w:rFonts w:ascii="Times New Roman" w:hAnsi="Times New Roman"/>
                <w:sz w:val="24"/>
                <w:szCs w:val="24"/>
              </w:rPr>
            </w:pPr>
            <w:r>
              <w:rPr>
                <w:rFonts w:ascii="Times New Roman" w:hAnsi="Times New Roman"/>
                <w:sz w:val="24"/>
              </w:rPr>
              <w:t>Number of districts that prepared and implemented an immunization communication plan.</w:t>
            </w:r>
          </w:p>
          <w:p w14:paraId="36ED485F" w14:textId="77777777" w:rsidR="00196AEB" w:rsidRPr="0003136C" w:rsidRDefault="00196AEB" w:rsidP="00226DF1">
            <w:pPr>
              <w:spacing w:before="120" w:after="120"/>
              <w:jc w:val="both"/>
              <w:rPr>
                <w:rFonts w:ascii="Times New Roman" w:hAnsi="Times New Roman"/>
                <w:sz w:val="24"/>
                <w:szCs w:val="24"/>
              </w:rPr>
            </w:pPr>
          </w:p>
        </w:tc>
        <w:tc>
          <w:tcPr>
            <w:tcW w:w="426" w:type="dxa"/>
            <w:vMerge/>
            <w:tcBorders>
              <w:left w:val="single" w:sz="4" w:space="0" w:color="auto"/>
              <w:bottom w:val="nil"/>
              <w:right w:val="single" w:sz="4" w:space="0" w:color="auto"/>
            </w:tcBorders>
            <w:shd w:val="clear" w:color="auto" w:fill="FFFFFF"/>
          </w:tcPr>
          <w:p w14:paraId="47FE2A32" w14:textId="77777777" w:rsidR="00196AEB" w:rsidRPr="0003136C" w:rsidRDefault="00196AEB" w:rsidP="00226DF1">
            <w:pPr>
              <w:widowControl w:val="0"/>
              <w:spacing w:before="120" w:after="120"/>
              <w:jc w:val="both"/>
              <w:rPr>
                <w:rFonts w:ascii="Times New Roman" w:eastAsia="Calibri" w:hAnsi="Times New Roman"/>
                <w:sz w:val="24"/>
                <w:szCs w:val="24"/>
              </w:rPr>
            </w:pPr>
          </w:p>
        </w:tc>
        <w:tc>
          <w:tcPr>
            <w:tcW w:w="4394" w:type="dxa"/>
            <w:tcBorders>
              <w:left w:val="single" w:sz="4" w:space="0" w:color="auto"/>
              <w:bottom w:val="single" w:sz="4" w:space="0" w:color="auto"/>
              <w:right w:val="single" w:sz="4" w:space="0" w:color="auto"/>
            </w:tcBorders>
            <w:shd w:val="clear" w:color="auto" w:fill="DBE5F1"/>
          </w:tcPr>
          <w:p w14:paraId="7CA59727" w14:textId="77777777" w:rsidR="00196AEB" w:rsidRPr="007A2241" w:rsidRDefault="00196AEB"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Intermediate Results Indicators:</w:t>
            </w:r>
          </w:p>
          <w:p w14:paraId="77A4AEF2" w14:textId="08CC29A4" w:rsidR="00400E0E" w:rsidRPr="007A2241" w:rsidRDefault="00282BE3" w:rsidP="009F1B7C">
            <w:pPr>
              <w:numPr>
                <w:ilvl w:val="0"/>
                <w:numId w:val="27"/>
              </w:numPr>
              <w:spacing w:before="120" w:after="120"/>
              <w:jc w:val="both"/>
              <w:rPr>
                <w:rFonts w:ascii="Times New Roman" w:hAnsi="Times New Roman"/>
                <w:sz w:val="24"/>
                <w:szCs w:val="24"/>
              </w:rPr>
            </w:pPr>
            <w:r>
              <w:rPr>
                <w:rFonts w:ascii="Times New Roman" w:hAnsi="Times New Roman"/>
                <w:sz w:val="24"/>
              </w:rPr>
              <w:t xml:space="preserve">Proportion of the population having access to immunization through fixed, advanced and mobile strategies; </w:t>
            </w:r>
          </w:p>
          <w:p w14:paraId="03D87CD1" w14:textId="317961A0" w:rsidR="00400E0E" w:rsidRPr="007A2241" w:rsidRDefault="00400E0E" w:rsidP="00226DF1">
            <w:pPr>
              <w:numPr>
                <w:ilvl w:val="0"/>
                <w:numId w:val="27"/>
              </w:numPr>
              <w:spacing w:before="120" w:after="120"/>
              <w:jc w:val="both"/>
              <w:rPr>
                <w:rFonts w:ascii="Times New Roman" w:hAnsi="Times New Roman"/>
                <w:sz w:val="24"/>
                <w:szCs w:val="24"/>
              </w:rPr>
            </w:pPr>
            <w:r>
              <w:rPr>
                <w:rFonts w:ascii="Times New Roman" w:hAnsi="Times New Roman"/>
                <w:sz w:val="24"/>
              </w:rPr>
              <w:t>Proportion of CSComs and CSRefs fulfilling operational capacity criteria;</w:t>
            </w:r>
          </w:p>
          <w:p w14:paraId="23391DFE" w14:textId="77777777" w:rsidR="00161B03" w:rsidRPr="007A2241" w:rsidRDefault="0082717E" w:rsidP="00226DF1">
            <w:pPr>
              <w:numPr>
                <w:ilvl w:val="0"/>
                <w:numId w:val="27"/>
              </w:numPr>
              <w:spacing w:before="120" w:after="120"/>
              <w:jc w:val="both"/>
              <w:rPr>
                <w:rFonts w:ascii="Times New Roman" w:hAnsi="Times New Roman"/>
                <w:sz w:val="24"/>
                <w:szCs w:val="24"/>
              </w:rPr>
            </w:pPr>
            <w:r>
              <w:rPr>
                <w:rFonts w:ascii="Times New Roman" w:hAnsi="Times New Roman"/>
                <w:sz w:val="24"/>
              </w:rPr>
              <w:t>Proportion of non-immunization due to parents (mothers) lacking information;</w:t>
            </w:r>
          </w:p>
        </w:tc>
        <w:tc>
          <w:tcPr>
            <w:tcW w:w="283" w:type="dxa"/>
            <w:vMerge/>
            <w:tcBorders>
              <w:left w:val="single" w:sz="4" w:space="0" w:color="auto"/>
              <w:bottom w:val="nil"/>
              <w:right w:val="single" w:sz="4" w:space="0" w:color="auto"/>
            </w:tcBorders>
            <w:shd w:val="clear" w:color="auto" w:fill="FFFFFF"/>
          </w:tcPr>
          <w:p w14:paraId="6140585D" w14:textId="77777777" w:rsidR="00196AEB" w:rsidRPr="00C83401" w:rsidRDefault="00196AEB" w:rsidP="00226DF1">
            <w:pPr>
              <w:pStyle w:val="ListParagraph"/>
              <w:widowControl w:val="0"/>
              <w:numPr>
                <w:ilvl w:val="0"/>
                <w:numId w:val="27"/>
              </w:numPr>
              <w:spacing w:before="120" w:after="120"/>
              <w:jc w:val="both"/>
              <w:rPr>
                <w:rFonts w:ascii="Times New Roman" w:eastAsia="Calibri" w:hAnsi="Times New Roman"/>
                <w:sz w:val="24"/>
                <w:szCs w:val="24"/>
              </w:rPr>
            </w:pPr>
          </w:p>
        </w:tc>
        <w:tc>
          <w:tcPr>
            <w:tcW w:w="3969" w:type="dxa"/>
            <w:tcBorders>
              <w:left w:val="single" w:sz="4" w:space="0" w:color="auto"/>
              <w:bottom w:val="single" w:sz="4" w:space="0" w:color="auto"/>
              <w:right w:val="single" w:sz="4" w:space="0" w:color="auto"/>
            </w:tcBorders>
            <w:shd w:val="clear" w:color="auto" w:fill="F2DBDB"/>
          </w:tcPr>
          <w:p w14:paraId="7C8ABF5F" w14:textId="77777777" w:rsidR="00196AEB" w:rsidRPr="007E4C30" w:rsidRDefault="00196AEB"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Immunisations Outcome Indicators:</w:t>
            </w:r>
          </w:p>
          <w:p w14:paraId="71DCACAD" w14:textId="77777777" w:rsidR="007F3CCB" w:rsidRPr="0003136C" w:rsidRDefault="007F3CCB" w:rsidP="00226DF1">
            <w:pPr>
              <w:autoSpaceDE w:val="0"/>
              <w:autoSpaceDN w:val="0"/>
              <w:adjustRightInd w:val="0"/>
              <w:spacing w:before="120" w:after="120"/>
              <w:jc w:val="both"/>
              <w:rPr>
                <w:rFonts w:ascii="Times New Roman" w:hAnsi="Times New Roman"/>
                <w:color w:val="000000"/>
                <w:sz w:val="24"/>
                <w:szCs w:val="24"/>
              </w:rPr>
            </w:pPr>
          </w:p>
          <w:p w14:paraId="39D94AC8" w14:textId="77777777" w:rsidR="007F3CCB" w:rsidRPr="0003136C" w:rsidRDefault="007F3CCB" w:rsidP="00226DF1">
            <w:pPr>
              <w:numPr>
                <w:ilvl w:val="0"/>
                <w:numId w:val="27"/>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Penta3 coverage </w:t>
            </w:r>
          </w:p>
          <w:p w14:paraId="60169DB7" w14:textId="77777777" w:rsidR="007F3CCB" w:rsidRPr="0003136C" w:rsidRDefault="007F3CCB" w:rsidP="00226DF1">
            <w:pPr>
              <w:numPr>
                <w:ilvl w:val="0"/>
                <w:numId w:val="27"/>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Measles coverage - </w:t>
            </w:r>
          </w:p>
          <w:p w14:paraId="5EAD651F" w14:textId="77777777" w:rsidR="007F3CCB" w:rsidRPr="0003136C" w:rsidRDefault="007F3CCB" w:rsidP="00226DF1">
            <w:pPr>
              <w:numPr>
                <w:ilvl w:val="0"/>
                <w:numId w:val="27"/>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Percent of districts with Penta3 coverage ≥80% </w:t>
            </w:r>
          </w:p>
          <w:p w14:paraId="3D0D48D4" w14:textId="77777777" w:rsidR="007F3CCB" w:rsidRPr="0003136C" w:rsidRDefault="00864E75" w:rsidP="00226DF1">
            <w:pPr>
              <w:numPr>
                <w:ilvl w:val="0"/>
                <w:numId w:val="27"/>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Difference in Penta3 coverage between lowest and highest wealth quintile. </w:t>
            </w:r>
          </w:p>
          <w:p w14:paraId="41AFBC71" w14:textId="77777777" w:rsidR="007F3CCB" w:rsidRPr="0003136C" w:rsidRDefault="007F3CCB" w:rsidP="00226DF1">
            <w:pPr>
              <w:numPr>
                <w:ilvl w:val="0"/>
                <w:numId w:val="27"/>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Drop-out rate for Penta1/Penta3</w:t>
            </w:r>
          </w:p>
          <w:p w14:paraId="0DDD0336" w14:textId="77777777" w:rsidR="00196AEB" w:rsidRPr="0003136C" w:rsidRDefault="00864E75" w:rsidP="00226DF1">
            <w:pPr>
              <w:numPr>
                <w:ilvl w:val="0"/>
                <w:numId w:val="27"/>
              </w:numPr>
              <w:autoSpaceDE w:val="0"/>
              <w:autoSpaceDN w:val="0"/>
              <w:adjustRightInd w:val="0"/>
              <w:spacing w:before="120" w:after="120"/>
              <w:jc w:val="both"/>
              <w:rPr>
                <w:rFonts w:ascii="Times New Roman" w:hAnsi="Times New Roman"/>
                <w:sz w:val="24"/>
                <w:szCs w:val="24"/>
              </w:rPr>
            </w:pPr>
            <w:r>
              <w:rPr>
                <w:rFonts w:ascii="Times New Roman" w:hAnsi="Times New Roman"/>
                <w:color w:val="000000"/>
                <w:sz w:val="24"/>
              </w:rPr>
              <w:t xml:space="preserve">Fully immunized child </w:t>
            </w:r>
          </w:p>
        </w:tc>
        <w:tc>
          <w:tcPr>
            <w:tcW w:w="284" w:type="dxa"/>
            <w:vMerge/>
            <w:tcBorders>
              <w:left w:val="single" w:sz="4" w:space="0" w:color="auto"/>
              <w:bottom w:val="nil"/>
              <w:right w:val="single" w:sz="4" w:space="0" w:color="auto"/>
            </w:tcBorders>
            <w:shd w:val="clear" w:color="auto" w:fill="FFFFFF"/>
          </w:tcPr>
          <w:p w14:paraId="72D0DF05" w14:textId="77777777" w:rsidR="00196AEB" w:rsidRPr="0003136C" w:rsidRDefault="00196AEB" w:rsidP="00226DF1">
            <w:pPr>
              <w:widowControl w:val="0"/>
              <w:spacing w:before="120" w:after="120"/>
              <w:jc w:val="both"/>
              <w:rPr>
                <w:rFonts w:ascii="Times New Roman" w:eastAsia="Calibri" w:hAnsi="Times New Roman"/>
                <w:sz w:val="24"/>
                <w:szCs w:val="24"/>
              </w:rPr>
            </w:pPr>
          </w:p>
        </w:tc>
      </w:tr>
      <w:tr w:rsidR="00196AEB" w:rsidRPr="0003136C" w14:paraId="5558780D" w14:textId="77777777" w:rsidTr="004B5884">
        <w:trPr>
          <w:trHeight w:val="381"/>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14:paraId="03E3B3F6" w14:textId="77777777" w:rsidR="00C46E30" w:rsidRDefault="00C46E30" w:rsidP="00226DF1">
            <w:pPr>
              <w:spacing w:before="120" w:after="120"/>
              <w:jc w:val="both"/>
              <w:rPr>
                <w:rFonts w:ascii="Times New Roman" w:eastAsia="Calibri" w:hAnsi="Times New Roman"/>
                <w:b/>
                <w:sz w:val="24"/>
                <w:szCs w:val="24"/>
              </w:rPr>
            </w:pPr>
          </w:p>
          <w:p w14:paraId="517B894E" w14:textId="77777777" w:rsidR="00C46E30" w:rsidRDefault="00C46E30" w:rsidP="00226DF1">
            <w:pPr>
              <w:spacing w:before="120" w:after="120"/>
              <w:jc w:val="both"/>
              <w:rPr>
                <w:rFonts w:ascii="Times New Roman" w:eastAsia="Calibri" w:hAnsi="Times New Roman"/>
                <w:b/>
                <w:sz w:val="24"/>
                <w:szCs w:val="24"/>
              </w:rPr>
            </w:pPr>
          </w:p>
          <w:p w14:paraId="0B4F643C" w14:textId="77777777" w:rsidR="00C46E30" w:rsidRDefault="00C46E30" w:rsidP="00226DF1">
            <w:pPr>
              <w:spacing w:before="120" w:after="120"/>
              <w:jc w:val="both"/>
              <w:rPr>
                <w:rFonts w:ascii="Times New Roman" w:eastAsia="Calibri" w:hAnsi="Times New Roman"/>
                <w:b/>
                <w:sz w:val="24"/>
                <w:szCs w:val="24"/>
              </w:rPr>
            </w:pPr>
          </w:p>
          <w:p w14:paraId="7FC4FEAD" w14:textId="77777777" w:rsidR="00C46E30" w:rsidRDefault="00C46E30" w:rsidP="00226DF1">
            <w:pPr>
              <w:spacing w:before="120" w:after="120"/>
              <w:jc w:val="both"/>
              <w:rPr>
                <w:rFonts w:ascii="Times New Roman" w:eastAsia="Calibri" w:hAnsi="Times New Roman"/>
                <w:b/>
                <w:sz w:val="24"/>
                <w:szCs w:val="24"/>
              </w:rPr>
            </w:pPr>
          </w:p>
          <w:p w14:paraId="3162D447" w14:textId="77777777" w:rsidR="00196AEB" w:rsidRPr="0003136C" w:rsidRDefault="00196AEB" w:rsidP="00226DF1">
            <w:pPr>
              <w:spacing w:before="120" w:after="120"/>
              <w:jc w:val="both"/>
              <w:rPr>
                <w:rFonts w:ascii="Times New Roman" w:hAnsi="Times New Roman"/>
                <w:b/>
                <w:sz w:val="24"/>
                <w:szCs w:val="24"/>
              </w:rPr>
            </w:pPr>
            <w:r>
              <w:rPr>
                <w:rFonts w:ascii="Times New Roman" w:hAnsi="Times New Roman"/>
                <w:b/>
                <w:sz w:val="24"/>
              </w:rPr>
              <w:t>Objective 2: Ensuring access to and availability of immunization in 100% of the priority districts.</w:t>
            </w:r>
            <w:r>
              <w:rPr>
                <w:rFonts w:ascii="Times New Roman" w:hAnsi="Times New Roman"/>
                <w:sz w:val="24"/>
              </w:rPr>
              <w:t xml:space="preserve"> </w:t>
            </w:r>
          </w:p>
        </w:tc>
        <w:tc>
          <w:tcPr>
            <w:tcW w:w="284" w:type="dxa"/>
            <w:tcBorders>
              <w:top w:val="nil"/>
              <w:left w:val="single" w:sz="4" w:space="0" w:color="auto"/>
              <w:bottom w:val="nil"/>
              <w:right w:val="single" w:sz="4" w:space="0" w:color="auto"/>
            </w:tcBorders>
            <w:shd w:val="clear" w:color="auto" w:fill="FFFFFF"/>
          </w:tcPr>
          <w:p w14:paraId="37766DA1" w14:textId="77777777" w:rsidR="00196AEB" w:rsidRPr="0003136C" w:rsidRDefault="00196AEB" w:rsidP="00226DF1">
            <w:pPr>
              <w:widowControl w:val="0"/>
              <w:spacing w:before="120" w:after="120"/>
              <w:jc w:val="both"/>
              <w:rPr>
                <w:rFonts w:ascii="Times New Roman" w:eastAsia="Calibri" w:hAnsi="Times New Roman"/>
                <w:sz w:val="24"/>
                <w:szCs w:val="24"/>
              </w:rPr>
            </w:pPr>
          </w:p>
        </w:tc>
      </w:tr>
      <w:tr w:rsidR="00196AEB" w:rsidRPr="0003136C" w14:paraId="1773CA1A" w14:textId="77777777" w:rsidTr="00967483">
        <w:trPr>
          <w:trHeight w:val="56"/>
        </w:trPr>
        <w:tc>
          <w:tcPr>
            <w:tcW w:w="284" w:type="dxa"/>
            <w:vMerge w:val="restart"/>
            <w:tcBorders>
              <w:top w:val="nil"/>
              <w:left w:val="single" w:sz="4" w:space="0" w:color="auto"/>
              <w:right w:val="single" w:sz="4" w:space="0" w:color="auto"/>
            </w:tcBorders>
            <w:shd w:val="clear" w:color="auto" w:fill="FFFFFF"/>
          </w:tcPr>
          <w:p w14:paraId="3E027E43" w14:textId="77777777" w:rsidR="00196AEB" w:rsidRPr="0003136C" w:rsidRDefault="00196AEB"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00B2ADA1" w14:textId="77777777" w:rsidR="00D166BA" w:rsidRPr="00C83401" w:rsidRDefault="00D166BA" w:rsidP="00226DF1">
            <w:pPr>
              <w:widowControl w:val="0"/>
              <w:spacing w:before="120" w:after="120"/>
              <w:jc w:val="both"/>
              <w:rPr>
                <w:rFonts w:ascii="Times New Roman" w:eastAsia="Calibri" w:hAnsi="Times New Roman"/>
                <w:b/>
                <w:sz w:val="24"/>
                <w:szCs w:val="24"/>
              </w:rPr>
            </w:pPr>
            <w:r>
              <w:rPr>
                <w:rFonts w:ascii="Times New Roman" w:hAnsi="Times New Roman"/>
                <w:b/>
                <w:sz w:val="24"/>
              </w:rPr>
              <w:t>Key activities:</w:t>
            </w:r>
          </w:p>
          <w:p w14:paraId="61BBB26F" w14:textId="77777777" w:rsidR="006A30D4" w:rsidRPr="0003136C" w:rsidRDefault="006A30D4" w:rsidP="00226DF1">
            <w:pPr>
              <w:numPr>
                <w:ilvl w:val="0"/>
                <w:numId w:val="28"/>
              </w:numPr>
              <w:spacing w:before="120" w:after="120"/>
              <w:jc w:val="both"/>
              <w:rPr>
                <w:rFonts w:ascii="Times New Roman" w:hAnsi="Times New Roman"/>
                <w:sz w:val="24"/>
                <w:szCs w:val="24"/>
              </w:rPr>
            </w:pPr>
            <w:r>
              <w:rPr>
                <w:rFonts w:ascii="Times New Roman" w:hAnsi="Times New Roman"/>
                <w:sz w:val="24"/>
              </w:rPr>
              <w:t>Signature of services contracts with CSOs to cover unsafe zones.</w:t>
            </w:r>
          </w:p>
          <w:p w14:paraId="78B927F6" w14:textId="77777777" w:rsidR="006A30D4" w:rsidRPr="0003136C" w:rsidRDefault="006A30D4" w:rsidP="00226DF1">
            <w:pPr>
              <w:numPr>
                <w:ilvl w:val="0"/>
                <w:numId w:val="28"/>
              </w:numPr>
              <w:spacing w:before="120" w:after="120"/>
              <w:jc w:val="both"/>
              <w:rPr>
                <w:rFonts w:ascii="Times New Roman" w:hAnsi="Times New Roman"/>
                <w:sz w:val="24"/>
                <w:szCs w:val="24"/>
              </w:rPr>
            </w:pPr>
            <w:r>
              <w:rPr>
                <w:rFonts w:ascii="Times New Roman" w:hAnsi="Times New Roman"/>
                <w:sz w:val="24"/>
              </w:rPr>
              <w:t>Granting of remote/distant/unsafe bonuses to healthcare personnel</w:t>
            </w:r>
          </w:p>
          <w:p w14:paraId="723EF34A" w14:textId="77777777" w:rsidR="00196AEB" w:rsidRPr="0003136C" w:rsidRDefault="00196AEB" w:rsidP="00226DF1">
            <w:pPr>
              <w:spacing w:before="120" w:after="120"/>
              <w:jc w:val="both"/>
              <w:rPr>
                <w:rFonts w:ascii="Times New Roman" w:hAnsi="Times New Roman"/>
                <w:sz w:val="24"/>
                <w:szCs w:val="24"/>
              </w:rPr>
            </w:pPr>
          </w:p>
        </w:tc>
        <w:tc>
          <w:tcPr>
            <w:tcW w:w="426" w:type="dxa"/>
            <w:vMerge w:val="restart"/>
            <w:tcBorders>
              <w:top w:val="nil"/>
              <w:left w:val="single" w:sz="4" w:space="0" w:color="auto"/>
              <w:right w:val="single" w:sz="4" w:space="0" w:color="auto"/>
            </w:tcBorders>
            <w:shd w:val="clear" w:color="auto" w:fill="FFFFFF"/>
          </w:tcPr>
          <w:p w14:paraId="74083F83" w14:textId="77777777" w:rsidR="00196AEB" w:rsidRPr="00C83401" w:rsidRDefault="00E32BC9" w:rsidP="00226DF1">
            <w:pPr>
              <w:pStyle w:val="ListParagraph"/>
              <w:widowControl w:val="0"/>
              <w:numPr>
                <w:ilvl w:val="0"/>
                <w:numId w:val="28"/>
              </w:numPr>
              <w:spacing w:before="120" w:after="120"/>
              <w:jc w:val="both"/>
              <w:rPr>
                <w:rFonts w:ascii="Times New Roman" w:eastAsia="Calibri" w:hAnsi="Times New Roman"/>
                <w:sz w:val="24"/>
                <w:szCs w:val="24"/>
              </w:rPr>
            </w:pPr>
            <w:r>
              <w:rPr>
                <w:noProof/>
                <w:lang w:bidi="ar-SA"/>
              </w:rPr>
              <mc:AlternateContent>
                <mc:Choice Requires="wps">
                  <w:drawing>
                    <wp:anchor distT="4294967293" distB="4294967293" distL="114300" distR="114300" simplePos="0" relativeHeight="251699200" behindDoc="0" locked="0" layoutInCell="1" allowOverlap="1" wp14:anchorId="5EFDF626" wp14:editId="4FD8FC26">
                      <wp:simplePos x="0" y="0"/>
                      <wp:positionH relativeFrom="column">
                        <wp:posOffset>-17145</wp:posOffset>
                      </wp:positionH>
                      <wp:positionV relativeFrom="paragraph">
                        <wp:posOffset>399414</wp:posOffset>
                      </wp:positionV>
                      <wp:extent cx="187325" cy="0"/>
                      <wp:effectExtent l="0" t="76200" r="22225" b="95250"/>
                      <wp:wrapNone/>
                      <wp:docPr id="15"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12" o:spid="_x0000_s1026" type="#_x0000_t32" style="position:absolute;margin-left:-1.35pt;margin-top:31.45pt;width:14.75pt;height:0;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">
                      <v:stroke endarrow="block"/>
                    </v:shape>
                  </w:pict>
                </mc:Fallback>
              </mc:AlternateContent>
            </w:r>
          </w:p>
        </w:tc>
        <w:tc>
          <w:tcPr>
            <w:tcW w:w="4394" w:type="dxa"/>
            <w:tcBorders>
              <w:top w:val="single" w:sz="4" w:space="0" w:color="auto"/>
              <w:left w:val="single" w:sz="4" w:space="0" w:color="auto"/>
              <w:right w:val="single" w:sz="4" w:space="0" w:color="auto"/>
            </w:tcBorders>
            <w:shd w:val="clear" w:color="auto" w:fill="DBE5F1"/>
          </w:tcPr>
          <w:p w14:paraId="7B797880" w14:textId="77777777" w:rsidR="00967483" w:rsidRPr="00C83401" w:rsidRDefault="00196AEB" w:rsidP="00226DF1">
            <w:pPr>
              <w:widowControl w:val="0"/>
              <w:spacing w:before="120" w:after="120"/>
              <w:jc w:val="both"/>
              <w:rPr>
                <w:rFonts w:ascii="Times New Roman" w:eastAsia="Calibri" w:hAnsi="Times New Roman"/>
                <w:b/>
                <w:sz w:val="24"/>
                <w:szCs w:val="24"/>
              </w:rPr>
            </w:pPr>
            <w:r>
              <w:rPr>
                <w:rFonts w:ascii="Times New Roman" w:hAnsi="Times New Roman"/>
                <w:b/>
                <w:sz w:val="24"/>
              </w:rPr>
              <w:t>Intermediate Results:</w:t>
            </w:r>
          </w:p>
          <w:p w14:paraId="7E10C6B3" w14:textId="53FB05E9" w:rsidR="00A3607B" w:rsidRPr="00B43AE9" w:rsidRDefault="00C06A65" w:rsidP="00226DF1">
            <w:pPr>
              <w:numPr>
                <w:ilvl w:val="0"/>
                <w:numId w:val="28"/>
              </w:numPr>
              <w:spacing w:before="120" w:after="120"/>
              <w:jc w:val="both"/>
              <w:rPr>
                <w:rFonts w:ascii="Times New Roman" w:hAnsi="Times New Roman"/>
                <w:sz w:val="24"/>
                <w:szCs w:val="24"/>
              </w:rPr>
            </w:pPr>
            <w:r>
              <w:rPr>
                <w:rFonts w:ascii="Times New Roman" w:hAnsi="Times New Roman"/>
                <w:sz w:val="24"/>
              </w:rPr>
              <w:t>Immunization services are available at all CSCons in the sixteen (16) prioritized districts</w:t>
            </w:r>
          </w:p>
          <w:p w14:paraId="64A3B923" w14:textId="77777777" w:rsidR="00196AEB" w:rsidRPr="0003136C" w:rsidRDefault="00B30E14" w:rsidP="00226DF1">
            <w:pPr>
              <w:numPr>
                <w:ilvl w:val="0"/>
                <w:numId w:val="28"/>
              </w:numPr>
              <w:spacing w:before="120" w:after="120"/>
              <w:jc w:val="both"/>
              <w:rPr>
                <w:rFonts w:ascii="Times New Roman" w:hAnsi="Times New Roman"/>
                <w:sz w:val="24"/>
                <w:szCs w:val="24"/>
              </w:rPr>
            </w:pPr>
            <w:r>
              <w:rPr>
                <w:rFonts w:ascii="Times New Roman" w:hAnsi="Times New Roman"/>
                <w:sz w:val="24"/>
              </w:rPr>
              <w:t>CSConms in remote/distant/unsafe zones have qualified personnel to provide care according to national standards.</w:t>
            </w:r>
          </w:p>
        </w:tc>
        <w:tc>
          <w:tcPr>
            <w:tcW w:w="283" w:type="dxa"/>
            <w:vMerge w:val="restart"/>
            <w:tcBorders>
              <w:top w:val="nil"/>
              <w:left w:val="single" w:sz="4" w:space="0" w:color="auto"/>
              <w:right w:val="single" w:sz="4" w:space="0" w:color="auto"/>
            </w:tcBorders>
            <w:shd w:val="clear" w:color="auto" w:fill="FFFFFF"/>
          </w:tcPr>
          <w:p w14:paraId="78025425" w14:textId="77777777" w:rsidR="00196AEB" w:rsidRPr="00C83401" w:rsidRDefault="00196AEB" w:rsidP="00226DF1">
            <w:pPr>
              <w:pStyle w:val="ListParagraph"/>
              <w:widowControl w:val="0"/>
              <w:numPr>
                <w:ilvl w:val="0"/>
                <w:numId w:val="28"/>
              </w:numPr>
              <w:spacing w:before="120" w:after="120"/>
              <w:jc w:val="both"/>
              <w:rPr>
                <w:rFonts w:ascii="Times New Roman" w:eastAsia="Calibri" w:hAnsi="Times New Roman"/>
                <w:sz w:val="24"/>
                <w:szCs w:val="24"/>
              </w:rPr>
            </w:pPr>
          </w:p>
        </w:tc>
        <w:tc>
          <w:tcPr>
            <w:tcW w:w="3969" w:type="dxa"/>
            <w:tcBorders>
              <w:top w:val="single" w:sz="4" w:space="0" w:color="auto"/>
              <w:left w:val="single" w:sz="4" w:space="0" w:color="auto"/>
              <w:right w:val="single" w:sz="4" w:space="0" w:color="auto"/>
            </w:tcBorders>
            <w:shd w:val="clear" w:color="auto" w:fill="F2DBDB"/>
          </w:tcPr>
          <w:p w14:paraId="0C6306E1" w14:textId="77777777" w:rsidR="00C83401" w:rsidRPr="00C83401" w:rsidRDefault="00C83401" w:rsidP="00226DF1">
            <w:pPr>
              <w:widowControl w:val="0"/>
              <w:spacing w:before="120" w:after="120"/>
              <w:jc w:val="both"/>
              <w:rPr>
                <w:rFonts w:ascii="Times New Roman" w:eastAsia="Calibri" w:hAnsi="Times New Roman"/>
                <w:b/>
                <w:sz w:val="24"/>
                <w:szCs w:val="24"/>
              </w:rPr>
            </w:pPr>
            <w:r>
              <w:rPr>
                <w:rFonts w:ascii="Times New Roman" w:hAnsi="Times New Roman"/>
                <w:b/>
                <w:sz w:val="24"/>
              </w:rPr>
              <w:t>Immunization outcomes:</w:t>
            </w:r>
          </w:p>
          <w:p w14:paraId="4E0BADBE" w14:textId="77777777" w:rsidR="00196AEB" w:rsidRPr="0003136C" w:rsidRDefault="00E42851" w:rsidP="00226DF1">
            <w:pPr>
              <w:numPr>
                <w:ilvl w:val="0"/>
                <w:numId w:val="28"/>
              </w:numPr>
              <w:spacing w:before="120" w:after="120"/>
              <w:jc w:val="both"/>
              <w:rPr>
                <w:rFonts w:ascii="Times New Roman" w:hAnsi="Times New Roman"/>
                <w:sz w:val="24"/>
                <w:szCs w:val="24"/>
              </w:rPr>
            </w:pPr>
            <w:r>
              <w:rPr>
                <w:rFonts w:ascii="Times New Roman" w:hAnsi="Times New Roman"/>
                <w:sz w:val="24"/>
              </w:rPr>
              <w:t>Effective vaccine coverage was equitably improved.</w:t>
            </w:r>
          </w:p>
        </w:tc>
        <w:tc>
          <w:tcPr>
            <w:tcW w:w="284" w:type="dxa"/>
            <w:vMerge w:val="restart"/>
            <w:tcBorders>
              <w:top w:val="nil"/>
              <w:left w:val="single" w:sz="4" w:space="0" w:color="auto"/>
              <w:right w:val="single" w:sz="4" w:space="0" w:color="auto"/>
            </w:tcBorders>
            <w:shd w:val="clear" w:color="auto" w:fill="FFFFFF"/>
          </w:tcPr>
          <w:p w14:paraId="31154138" w14:textId="77777777" w:rsidR="00196AEB" w:rsidRPr="0003136C" w:rsidRDefault="00196AEB" w:rsidP="00226DF1">
            <w:pPr>
              <w:widowControl w:val="0"/>
              <w:spacing w:before="120" w:after="120"/>
              <w:jc w:val="both"/>
              <w:rPr>
                <w:rFonts w:ascii="Times New Roman" w:eastAsia="Calibri" w:hAnsi="Times New Roman"/>
                <w:sz w:val="24"/>
                <w:szCs w:val="24"/>
              </w:rPr>
            </w:pPr>
          </w:p>
        </w:tc>
      </w:tr>
      <w:tr w:rsidR="00196AEB" w:rsidRPr="0003136C" w14:paraId="34198521" w14:textId="77777777" w:rsidTr="005D447F">
        <w:trPr>
          <w:trHeight w:val="1134"/>
        </w:trPr>
        <w:tc>
          <w:tcPr>
            <w:tcW w:w="284" w:type="dxa"/>
            <w:vMerge/>
            <w:tcBorders>
              <w:left w:val="single" w:sz="4" w:space="0" w:color="auto"/>
              <w:bottom w:val="nil"/>
              <w:right w:val="single" w:sz="4" w:space="0" w:color="auto"/>
            </w:tcBorders>
            <w:shd w:val="clear" w:color="auto" w:fill="FFFFFF"/>
          </w:tcPr>
          <w:p w14:paraId="501D093B" w14:textId="77777777" w:rsidR="00196AEB" w:rsidRPr="0003136C" w:rsidRDefault="00196AEB"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04F808B5" w14:textId="77777777" w:rsidR="00967483" w:rsidRPr="00C83401" w:rsidRDefault="00967483"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Key Activities Indicators:</w:t>
            </w:r>
          </w:p>
          <w:p w14:paraId="3A72CD4A" w14:textId="77777777" w:rsidR="00282BE3" w:rsidRPr="0003136C" w:rsidRDefault="00282BE3" w:rsidP="00226DF1">
            <w:pPr>
              <w:numPr>
                <w:ilvl w:val="0"/>
                <w:numId w:val="28"/>
              </w:numPr>
              <w:spacing w:before="120" w:after="120"/>
              <w:jc w:val="both"/>
              <w:rPr>
                <w:rFonts w:ascii="Times New Roman" w:hAnsi="Times New Roman"/>
                <w:sz w:val="24"/>
                <w:szCs w:val="24"/>
              </w:rPr>
            </w:pPr>
            <w:r>
              <w:rPr>
                <w:rFonts w:ascii="Times New Roman" w:hAnsi="Times New Roman"/>
                <w:sz w:val="24"/>
              </w:rPr>
              <w:t>Number of services agreements executed with CSOs for services at structures in unsafe zones.</w:t>
            </w:r>
          </w:p>
          <w:p w14:paraId="613A58F0" w14:textId="77777777" w:rsidR="00196AEB" w:rsidRPr="0003136C" w:rsidRDefault="00AC4D60" w:rsidP="00226DF1">
            <w:pPr>
              <w:numPr>
                <w:ilvl w:val="0"/>
                <w:numId w:val="28"/>
              </w:numPr>
              <w:spacing w:before="120" w:after="120"/>
              <w:jc w:val="both"/>
              <w:rPr>
                <w:rFonts w:ascii="Times New Roman" w:hAnsi="Times New Roman"/>
                <w:sz w:val="24"/>
                <w:szCs w:val="24"/>
              </w:rPr>
            </w:pPr>
            <w:r>
              <w:rPr>
                <w:rFonts w:ascii="Times New Roman" w:hAnsi="Times New Roman"/>
                <w:sz w:val="24"/>
              </w:rPr>
              <w:t>Number of personnel receiving remote/distant/unsafe bonuses.</w:t>
            </w:r>
          </w:p>
        </w:tc>
        <w:tc>
          <w:tcPr>
            <w:tcW w:w="426" w:type="dxa"/>
            <w:vMerge/>
            <w:tcBorders>
              <w:left w:val="single" w:sz="4" w:space="0" w:color="auto"/>
              <w:bottom w:val="nil"/>
              <w:right w:val="single" w:sz="4" w:space="0" w:color="auto"/>
            </w:tcBorders>
            <w:shd w:val="clear" w:color="auto" w:fill="FFFFFF"/>
          </w:tcPr>
          <w:p w14:paraId="1672CCDA" w14:textId="77777777" w:rsidR="00196AEB" w:rsidRPr="00C83401" w:rsidRDefault="00196AEB" w:rsidP="00226DF1">
            <w:pPr>
              <w:pStyle w:val="ListParagraph"/>
              <w:widowControl w:val="0"/>
              <w:numPr>
                <w:ilvl w:val="0"/>
                <w:numId w:val="28"/>
              </w:numPr>
              <w:spacing w:before="120" w:after="120"/>
              <w:jc w:val="both"/>
              <w:rPr>
                <w:rFonts w:ascii="Times New Roman" w:eastAsia="Calibri" w:hAnsi="Times New Roman"/>
                <w:sz w:val="24"/>
                <w:szCs w:val="24"/>
              </w:rPr>
            </w:pPr>
          </w:p>
        </w:tc>
        <w:tc>
          <w:tcPr>
            <w:tcW w:w="4394" w:type="dxa"/>
            <w:tcBorders>
              <w:left w:val="single" w:sz="4" w:space="0" w:color="auto"/>
              <w:bottom w:val="single" w:sz="4" w:space="0" w:color="auto"/>
              <w:right w:val="single" w:sz="4" w:space="0" w:color="auto"/>
            </w:tcBorders>
            <w:shd w:val="clear" w:color="auto" w:fill="DBE5F1"/>
          </w:tcPr>
          <w:p w14:paraId="4D297C9E" w14:textId="77777777" w:rsidR="00967483" w:rsidRPr="007A2241" w:rsidRDefault="00967483"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Intermediate Results Indicators:</w:t>
            </w:r>
          </w:p>
          <w:p w14:paraId="4B9EA6CB" w14:textId="77777777" w:rsidR="00A3607B" w:rsidRPr="007A2241" w:rsidRDefault="00A3607B" w:rsidP="00226DF1">
            <w:pPr>
              <w:numPr>
                <w:ilvl w:val="0"/>
                <w:numId w:val="28"/>
              </w:numPr>
              <w:spacing w:before="120" w:after="120"/>
              <w:jc w:val="both"/>
              <w:rPr>
                <w:rFonts w:ascii="Times New Roman" w:hAnsi="Times New Roman"/>
                <w:sz w:val="24"/>
                <w:szCs w:val="24"/>
              </w:rPr>
            </w:pPr>
            <w:r>
              <w:rPr>
                <w:rFonts w:ascii="Times New Roman" w:hAnsi="Times New Roman"/>
                <w:sz w:val="24"/>
              </w:rPr>
              <w:t>Proportion of CSComs that offer routine immunization services in unsafe zones and distant zones.</w:t>
            </w:r>
          </w:p>
          <w:p w14:paraId="20719B15" w14:textId="77777777" w:rsidR="00196AEB" w:rsidRPr="007A2241" w:rsidRDefault="00253922" w:rsidP="00226DF1">
            <w:pPr>
              <w:numPr>
                <w:ilvl w:val="0"/>
                <w:numId w:val="28"/>
              </w:numPr>
              <w:spacing w:before="120" w:after="120"/>
              <w:jc w:val="both"/>
              <w:rPr>
                <w:rFonts w:ascii="Times New Roman" w:hAnsi="Times New Roman"/>
                <w:sz w:val="24"/>
                <w:szCs w:val="24"/>
              </w:rPr>
            </w:pPr>
            <w:r>
              <w:rPr>
                <w:rFonts w:ascii="Times New Roman" w:hAnsi="Times New Roman"/>
                <w:sz w:val="24"/>
              </w:rPr>
              <w:t>Proportion of CSComs in remote/distant/unsafe zones that have personnel complying with national standards.</w:t>
            </w:r>
          </w:p>
        </w:tc>
        <w:tc>
          <w:tcPr>
            <w:tcW w:w="283" w:type="dxa"/>
            <w:vMerge/>
            <w:tcBorders>
              <w:left w:val="single" w:sz="4" w:space="0" w:color="auto"/>
              <w:bottom w:val="nil"/>
              <w:right w:val="single" w:sz="4" w:space="0" w:color="auto"/>
            </w:tcBorders>
            <w:shd w:val="clear" w:color="auto" w:fill="FFFFFF"/>
          </w:tcPr>
          <w:p w14:paraId="4157263B" w14:textId="77777777" w:rsidR="00196AEB" w:rsidRPr="00C83401" w:rsidRDefault="00196AEB" w:rsidP="00226DF1">
            <w:pPr>
              <w:pStyle w:val="ListParagraph"/>
              <w:widowControl w:val="0"/>
              <w:numPr>
                <w:ilvl w:val="0"/>
                <w:numId w:val="28"/>
              </w:numPr>
              <w:spacing w:before="120" w:after="120"/>
              <w:jc w:val="both"/>
              <w:rPr>
                <w:rFonts w:ascii="Times New Roman" w:eastAsia="Calibri" w:hAnsi="Times New Roman"/>
                <w:sz w:val="24"/>
                <w:szCs w:val="24"/>
              </w:rPr>
            </w:pPr>
          </w:p>
        </w:tc>
        <w:tc>
          <w:tcPr>
            <w:tcW w:w="3969" w:type="dxa"/>
            <w:tcBorders>
              <w:left w:val="single" w:sz="4" w:space="0" w:color="auto"/>
              <w:bottom w:val="single" w:sz="4" w:space="0" w:color="auto"/>
              <w:right w:val="single" w:sz="4" w:space="0" w:color="auto"/>
            </w:tcBorders>
            <w:shd w:val="clear" w:color="auto" w:fill="F2DBDB"/>
          </w:tcPr>
          <w:p w14:paraId="476288B7" w14:textId="77777777" w:rsidR="00196AEB" w:rsidRPr="00C83401" w:rsidRDefault="00196AEB"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Immunisations Outcome Indicators:</w:t>
            </w:r>
          </w:p>
          <w:p w14:paraId="2A23A1CF" w14:textId="77777777" w:rsidR="00864E75" w:rsidRPr="0003136C" w:rsidRDefault="00864E75" w:rsidP="00226DF1">
            <w:pPr>
              <w:numPr>
                <w:ilvl w:val="0"/>
                <w:numId w:val="28"/>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Penta3 coverage </w:t>
            </w:r>
          </w:p>
          <w:p w14:paraId="3403470F" w14:textId="77777777" w:rsidR="00864E75" w:rsidRPr="0003136C" w:rsidRDefault="00864E75" w:rsidP="00226DF1">
            <w:pPr>
              <w:numPr>
                <w:ilvl w:val="0"/>
                <w:numId w:val="28"/>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Measles coverage - </w:t>
            </w:r>
          </w:p>
          <w:p w14:paraId="7CC9E183" w14:textId="77777777" w:rsidR="00864E75" w:rsidRPr="0003136C" w:rsidRDefault="00864E75" w:rsidP="00226DF1">
            <w:pPr>
              <w:numPr>
                <w:ilvl w:val="0"/>
                <w:numId w:val="28"/>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Percent of districts with PENTA3 coverage ≥80% </w:t>
            </w:r>
          </w:p>
          <w:p w14:paraId="67DD6156" w14:textId="77777777" w:rsidR="00864E75" w:rsidRPr="0003136C" w:rsidRDefault="00864E75" w:rsidP="00226DF1">
            <w:pPr>
              <w:numPr>
                <w:ilvl w:val="0"/>
                <w:numId w:val="28"/>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Difference in Penta3 coverage between lowest and highest wealth quintile. </w:t>
            </w:r>
          </w:p>
          <w:p w14:paraId="32EC1F19" w14:textId="77777777" w:rsidR="00864E75" w:rsidRPr="0003136C" w:rsidRDefault="00864E75" w:rsidP="00226DF1">
            <w:pPr>
              <w:numPr>
                <w:ilvl w:val="0"/>
                <w:numId w:val="28"/>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Drop-out rate for Penta1/Penta3</w:t>
            </w:r>
          </w:p>
          <w:p w14:paraId="2771C96A" w14:textId="77777777" w:rsidR="00A3607B" w:rsidRPr="0003136C" w:rsidRDefault="00864E75" w:rsidP="00226DF1">
            <w:pPr>
              <w:numPr>
                <w:ilvl w:val="0"/>
                <w:numId w:val="28"/>
              </w:numPr>
              <w:spacing w:before="120" w:after="120"/>
              <w:jc w:val="both"/>
              <w:rPr>
                <w:rFonts w:ascii="Times New Roman" w:hAnsi="Times New Roman"/>
                <w:sz w:val="24"/>
                <w:szCs w:val="24"/>
              </w:rPr>
            </w:pPr>
            <w:r>
              <w:rPr>
                <w:rFonts w:ascii="Times New Roman" w:hAnsi="Times New Roman"/>
                <w:color w:val="000000"/>
                <w:sz w:val="24"/>
              </w:rPr>
              <w:t>Fully immunized child</w:t>
            </w:r>
          </w:p>
          <w:p w14:paraId="5348BE59" w14:textId="77777777" w:rsidR="00196AEB" w:rsidRPr="0003136C" w:rsidRDefault="00196AEB" w:rsidP="00226DF1">
            <w:pPr>
              <w:spacing w:before="120" w:after="120"/>
              <w:jc w:val="both"/>
              <w:rPr>
                <w:rFonts w:ascii="Times New Roman" w:hAnsi="Times New Roman"/>
                <w:sz w:val="24"/>
                <w:szCs w:val="24"/>
              </w:rPr>
            </w:pPr>
          </w:p>
        </w:tc>
        <w:tc>
          <w:tcPr>
            <w:tcW w:w="284" w:type="dxa"/>
            <w:vMerge/>
            <w:tcBorders>
              <w:left w:val="single" w:sz="4" w:space="0" w:color="auto"/>
              <w:bottom w:val="nil"/>
              <w:right w:val="single" w:sz="4" w:space="0" w:color="auto"/>
            </w:tcBorders>
            <w:shd w:val="clear" w:color="auto" w:fill="FFFFFF"/>
          </w:tcPr>
          <w:p w14:paraId="28BB4A2E" w14:textId="77777777" w:rsidR="00196AEB" w:rsidRPr="0003136C" w:rsidRDefault="00196AEB" w:rsidP="00226DF1">
            <w:pPr>
              <w:widowControl w:val="0"/>
              <w:spacing w:before="120" w:after="120"/>
              <w:jc w:val="both"/>
              <w:rPr>
                <w:rFonts w:ascii="Times New Roman" w:eastAsia="Calibri" w:hAnsi="Times New Roman"/>
                <w:sz w:val="24"/>
                <w:szCs w:val="24"/>
              </w:rPr>
            </w:pPr>
          </w:p>
        </w:tc>
      </w:tr>
      <w:tr w:rsidR="00196AEB" w:rsidRPr="0003136C" w14:paraId="1937DC25" w14:textId="77777777" w:rsidTr="00040C67">
        <w:trPr>
          <w:trHeight w:val="237"/>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14:paraId="436B2B7B" w14:textId="77777777" w:rsidR="00C46E30" w:rsidRDefault="00C46E30" w:rsidP="00226DF1">
            <w:pPr>
              <w:spacing w:before="120" w:after="120"/>
              <w:jc w:val="both"/>
              <w:rPr>
                <w:rFonts w:ascii="Times New Roman" w:eastAsia="Calibri" w:hAnsi="Times New Roman"/>
                <w:b/>
                <w:sz w:val="24"/>
                <w:szCs w:val="24"/>
              </w:rPr>
            </w:pPr>
          </w:p>
          <w:p w14:paraId="5215023A" w14:textId="77777777" w:rsidR="00196AEB" w:rsidRPr="0003136C" w:rsidRDefault="00196AEB" w:rsidP="00226DF1">
            <w:pPr>
              <w:spacing w:before="120" w:after="120"/>
              <w:jc w:val="both"/>
              <w:rPr>
                <w:rFonts w:ascii="Times New Roman" w:hAnsi="Times New Roman"/>
                <w:b/>
                <w:sz w:val="24"/>
                <w:szCs w:val="24"/>
              </w:rPr>
            </w:pPr>
            <w:r>
              <w:rPr>
                <w:rFonts w:ascii="Times New Roman" w:hAnsi="Times New Roman"/>
                <w:b/>
                <w:sz w:val="24"/>
              </w:rPr>
              <w:t>Objective 3: Strengthen the monitoring / evaluation system, including the health information system</w:t>
            </w:r>
          </w:p>
        </w:tc>
        <w:tc>
          <w:tcPr>
            <w:tcW w:w="284" w:type="dxa"/>
            <w:tcBorders>
              <w:top w:val="nil"/>
              <w:left w:val="single" w:sz="4" w:space="0" w:color="auto"/>
              <w:bottom w:val="nil"/>
              <w:right w:val="single" w:sz="4" w:space="0" w:color="auto"/>
            </w:tcBorders>
            <w:shd w:val="clear" w:color="auto" w:fill="FFFFFF"/>
          </w:tcPr>
          <w:p w14:paraId="0B03509A" w14:textId="77777777" w:rsidR="00196AEB" w:rsidRPr="0003136C" w:rsidRDefault="00196AEB" w:rsidP="00226DF1">
            <w:pPr>
              <w:widowControl w:val="0"/>
              <w:spacing w:before="120" w:after="120"/>
              <w:jc w:val="both"/>
              <w:rPr>
                <w:rFonts w:ascii="Times New Roman" w:eastAsia="Calibri" w:hAnsi="Times New Roman"/>
                <w:sz w:val="24"/>
                <w:szCs w:val="24"/>
              </w:rPr>
            </w:pPr>
          </w:p>
        </w:tc>
      </w:tr>
      <w:tr w:rsidR="002D3BEA" w:rsidRPr="0003136C" w14:paraId="5FA4A9A5" w14:textId="77777777" w:rsidTr="005D447F">
        <w:trPr>
          <w:trHeight w:val="1134"/>
        </w:trPr>
        <w:tc>
          <w:tcPr>
            <w:tcW w:w="284" w:type="dxa"/>
            <w:tcBorders>
              <w:top w:val="nil"/>
              <w:left w:val="single" w:sz="4" w:space="0" w:color="auto"/>
              <w:right w:val="single" w:sz="4" w:space="0" w:color="auto"/>
            </w:tcBorders>
            <w:shd w:val="clear" w:color="auto" w:fill="FFFFFF"/>
          </w:tcPr>
          <w:p w14:paraId="0F0533C3"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559F7BC8"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Key activities:</w:t>
            </w:r>
          </w:p>
          <w:p w14:paraId="625C8D7B" w14:textId="77777777" w:rsidR="006A30D4" w:rsidRPr="0003136C" w:rsidRDefault="006A30D4" w:rsidP="00226DF1">
            <w:pPr>
              <w:numPr>
                <w:ilvl w:val="0"/>
                <w:numId w:val="29"/>
              </w:numPr>
              <w:spacing w:before="120" w:after="120"/>
              <w:jc w:val="both"/>
              <w:rPr>
                <w:rFonts w:ascii="Times New Roman" w:hAnsi="Times New Roman"/>
                <w:sz w:val="24"/>
                <w:szCs w:val="24"/>
              </w:rPr>
            </w:pPr>
            <w:r>
              <w:rPr>
                <w:rFonts w:ascii="Times New Roman" w:hAnsi="Times New Roman"/>
                <w:sz w:val="24"/>
              </w:rPr>
              <w:t>Improvement of skills of health care personnel for monitoring-evaluation (DQS, LQAS).</w:t>
            </w:r>
          </w:p>
          <w:p w14:paraId="13ACA21F" w14:textId="77777777" w:rsidR="006A30D4" w:rsidRPr="0003136C" w:rsidRDefault="006A30D4" w:rsidP="00226DF1">
            <w:pPr>
              <w:numPr>
                <w:ilvl w:val="0"/>
                <w:numId w:val="29"/>
              </w:numPr>
              <w:spacing w:before="120" w:after="120"/>
              <w:jc w:val="both"/>
              <w:rPr>
                <w:rFonts w:ascii="Times New Roman" w:hAnsi="Times New Roman"/>
                <w:sz w:val="24"/>
                <w:szCs w:val="24"/>
              </w:rPr>
            </w:pPr>
            <w:r>
              <w:rPr>
                <w:rFonts w:ascii="Times New Roman" w:hAnsi="Times New Roman"/>
                <w:sz w:val="24"/>
              </w:rPr>
              <w:t>Review of data collection tools and the PBR tool.</w:t>
            </w:r>
          </w:p>
          <w:p w14:paraId="60D42B18" w14:textId="77777777" w:rsidR="006A30D4" w:rsidRPr="0003136C" w:rsidRDefault="006A30D4" w:rsidP="00226DF1">
            <w:pPr>
              <w:numPr>
                <w:ilvl w:val="0"/>
                <w:numId w:val="29"/>
              </w:numPr>
              <w:spacing w:before="120" w:after="120"/>
              <w:jc w:val="both"/>
              <w:rPr>
                <w:rFonts w:ascii="Times New Roman" w:hAnsi="Times New Roman"/>
                <w:sz w:val="24"/>
                <w:szCs w:val="24"/>
              </w:rPr>
            </w:pPr>
            <w:r>
              <w:rPr>
                <w:rFonts w:ascii="Times New Roman" w:hAnsi="Times New Roman"/>
                <w:sz w:val="24"/>
              </w:rPr>
              <w:t>Performance of a specific assessment and survey (SARA, DQRC, DQS, LQAS and vaccine coverage survey).</w:t>
            </w:r>
          </w:p>
          <w:p w14:paraId="46861B86" w14:textId="77777777" w:rsidR="006A30D4" w:rsidRPr="0003136C" w:rsidRDefault="00C83401" w:rsidP="00226DF1">
            <w:pPr>
              <w:numPr>
                <w:ilvl w:val="0"/>
                <w:numId w:val="29"/>
              </w:numPr>
              <w:spacing w:before="120" w:after="120"/>
              <w:jc w:val="both"/>
              <w:rPr>
                <w:rFonts w:ascii="Times New Roman" w:hAnsi="Times New Roman"/>
                <w:sz w:val="24"/>
                <w:szCs w:val="24"/>
              </w:rPr>
            </w:pPr>
            <w:r>
              <w:rPr>
                <w:rFonts w:ascii="Times New Roman" w:hAnsi="Times New Roman"/>
                <w:sz w:val="24"/>
              </w:rPr>
              <w:t>Mid-point and final GAVI-HSS evaluation.</w:t>
            </w:r>
          </w:p>
          <w:p w14:paraId="21DABB6C" w14:textId="77777777" w:rsidR="006A30D4" w:rsidRPr="0003136C" w:rsidRDefault="00C83401" w:rsidP="00226DF1">
            <w:pPr>
              <w:numPr>
                <w:ilvl w:val="0"/>
                <w:numId w:val="29"/>
              </w:numPr>
              <w:spacing w:before="120" w:after="120"/>
              <w:jc w:val="both"/>
              <w:rPr>
                <w:rFonts w:ascii="Times New Roman" w:hAnsi="Times New Roman"/>
                <w:sz w:val="24"/>
                <w:szCs w:val="24"/>
              </w:rPr>
            </w:pPr>
            <w:r>
              <w:rPr>
                <w:rFonts w:ascii="Times New Roman" w:hAnsi="Times New Roman"/>
                <w:sz w:val="24"/>
              </w:rPr>
              <w:t xml:space="preserve">External EPI review </w:t>
            </w:r>
          </w:p>
          <w:p w14:paraId="5F54EC9C" w14:textId="77777777" w:rsidR="006A30D4" w:rsidRPr="0003136C" w:rsidRDefault="006A30D4" w:rsidP="00226DF1">
            <w:pPr>
              <w:numPr>
                <w:ilvl w:val="0"/>
                <w:numId w:val="29"/>
              </w:numPr>
              <w:spacing w:before="120" w:after="120"/>
              <w:jc w:val="both"/>
              <w:rPr>
                <w:rFonts w:ascii="Times New Roman" w:hAnsi="Times New Roman"/>
                <w:sz w:val="24"/>
                <w:szCs w:val="24"/>
              </w:rPr>
            </w:pPr>
            <w:r>
              <w:rPr>
                <w:rFonts w:ascii="Times New Roman" w:hAnsi="Times New Roman"/>
                <w:sz w:val="24"/>
              </w:rPr>
              <w:t>Grant for the production of SIS data</w:t>
            </w:r>
          </w:p>
          <w:p w14:paraId="5805F65C" w14:textId="77777777" w:rsidR="002D3BEA" w:rsidRPr="00C83401" w:rsidRDefault="006A30D4" w:rsidP="00226DF1">
            <w:pPr>
              <w:numPr>
                <w:ilvl w:val="0"/>
                <w:numId w:val="29"/>
              </w:numPr>
              <w:spacing w:before="120" w:after="120"/>
              <w:jc w:val="both"/>
              <w:rPr>
                <w:rFonts w:ascii="Times New Roman" w:hAnsi="Times New Roman"/>
                <w:sz w:val="24"/>
                <w:szCs w:val="24"/>
              </w:rPr>
            </w:pPr>
            <w:r>
              <w:rPr>
                <w:rFonts w:ascii="Times New Roman" w:hAnsi="Times New Roman"/>
                <w:sz w:val="24"/>
              </w:rPr>
              <w:t xml:space="preserve">Grant for the computerization of data collection at the CSCOM level in 3 regions. </w:t>
            </w:r>
          </w:p>
        </w:tc>
        <w:tc>
          <w:tcPr>
            <w:tcW w:w="426" w:type="dxa"/>
            <w:tcBorders>
              <w:top w:val="nil"/>
              <w:left w:val="single" w:sz="4" w:space="0" w:color="auto"/>
              <w:right w:val="single" w:sz="4" w:space="0" w:color="auto"/>
            </w:tcBorders>
            <w:shd w:val="clear" w:color="auto" w:fill="FFFFFF"/>
          </w:tcPr>
          <w:p w14:paraId="77C91184" w14:textId="77777777" w:rsidR="002D3BEA" w:rsidRPr="00C83401" w:rsidRDefault="00E32BC9" w:rsidP="00226DF1">
            <w:pPr>
              <w:pStyle w:val="ListParagraph"/>
              <w:widowControl w:val="0"/>
              <w:numPr>
                <w:ilvl w:val="0"/>
                <w:numId w:val="29"/>
              </w:numPr>
              <w:spacing w:before="120" w:after="120"/>
              <w:jc w:val="both"/>
              <w:rPr>
                <w:rFonts w:ascii="Times New Roman" w:eastAsia="Calibri" w:hAnsi="Times New Roman"/>
                <w:sz w:val="24"/>
                <w:szCs w:val="24"/>
              </w:rPr>
            </w:pPr>
            <w:r>
              <w:rPr>
                <w:noProof/>
                <w:lang w:bidi="ar-SA"/>
              </w:rPr>
              <mc:AlternateContent>
                <mc:Choice Requires="wps">
                  <w:drawing>
                    <wp:anchor distT="4294967293" distB="4294967293" distL="114300" distR="114300" simplePos="0" relativeHeight="251706368" behindDoc="0" locked="0" layoutInCell="1" allowOverlap="1" wp14:anchorId="1E185EC3" wp14:editId="27F814DD">
                      <wp:simplePos x="0" y="0"/>
                      <wp:positionH relativeFrom="column">
                        <wp:posOffset>-17145</wp:posOffset>
                      </wp:positionH>
                      <wp:positionV relativeFrom="paragraph">
                        <wp:posOffset>408304</wp:posOffset>
                      </wp:positionV>
                      <wp:extent cx="187325" cy="0"/>
                      <wp:effectExtent l="0" t="76200" r="22225" b="95250"/>
                      <wp:wrapNone/>
                      <wp:docPr id="4"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36" o:spid="_x0000_s1026" type="#_x0000_t32" style="position:absolute;margin-left:-1.35pt;margin-top:32.15pt;width:14.75pt;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kMwIAAF4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">
                      <v:stroke endarrow="block"/>
                    </v:shape>
                  </w:pict>
                </mc:Fallback>
              </mc:AlternateContent>
            </w:r>
          </w:p>
        </w:tc>
        <w:tc>
          <w:tcPr>
            <w:tcW w:w="4394" w:type="dxa"/>
            <w:tcBorders>
              <w:top w:val="single" w:sz="4" w:space="0" w:color="auto"/>
              <w:left w:val="single" w:sz="4" w:space="0" w:color="auto"/>
              <w:right w:val="single" w:sz="4" w:space="0" w:color="auto"/>
            </w:tcBorders>
            <w:shd w:val="clear" w:color="auto" w:fill="DBE5F1"/>
          </w:tcPr>
          <w:p w14:paraId="77B1FCF2"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 xml:space="preserve">Outputs / Intermediate outcomes: </w:t>
            </w:r>
          </w:p>
          <w:p w14:paraId="0241C3D5" w14:textId="77777777" w:rsidR="002D3BEA" w:rsidRPr="0003136C" w:rsidRDefault="003D3E49" w:rsidP="00226DF1">
            <w:pPr>
              <w:numPr>
                <w:ilvl w:val="0"/>
                <w:numId w:val="29"/>
              </w:numPr>
              <w:spacing w:before="120" w:after="120"/>
              <w:jc w:val="both"/>
              <w:rPr>
                <w:rFonts w:ascii="Times New Roman" w:hAnsi="Times New Roman"/>
                <w:sz w:val="24"/>
                <w:szCs w:val="24"/>
              </w:rPr>
            </w:pPr>
            <w:r>
              <w:rPr>
                <w:rFonts w:ascii="Times New Roman" w:hAnsi="Times New Roman"/>
                <w:sz w:val="24"/>
              </w:rPr>
              <w:t>Routine health information is available and its quality is improved.</w:t>
            </w:r>
          </w:p>
          <w:p w14:paraId="300275DB" w14:textId="77777777" w:rsidR="003D3E49" w:rsidRPr="0003136C" w:rsidRDefault="00C83401" w:rsidP="00226DF1">
            <w:pPr>
              <w:numPr>
                <w:ilvl w:val="0"/>
                <w:numId w:val="29"/>
              </w:numPr>
              <w:spacing w:before="120" w:after="120"/>
              <w:jc w:val="both"/>
              <w:rPr>
                <w:rFonts w:ascii="Times New Roman" w:hAnsi="Times New Roman"/>
                <w:sz w:val="24"/>
                <w:szCs w:val="24"/>
              </w:rPr>
            </w:pPr>
            <w:r>
              <w:rPr>
                <w:rFonts w:ascii="Times New Roman" w:hAnsi="Times New Roman"/>
                <w:sz w:val="24"/>
              </w:rPr>
              <w:t>Existence of a factual data basis regarding the health system, including immunization.</w:t>
            </w:r>
          </w:p>
          <w:p w14:paraId="6970243B" w14:textId="77777777" w:rsidR="003D3E49" w:rsidRPr="0003136C" w:rsidRDefault="003D3E49" w:rsidP="00226DF1">
            <w:pPr>
              <w:numPr>
                <w:ilvl w:val="0"/>
                <w:numId w:val="29"/>
              </w:numPr>
              <w:spacing w:before="120" w:after="120"/>
              <w:jc w:val="both"/>
              <w:rPr>
                <w:rFonts w:ascii="Times New Roman" w:hAnsi="Times New Roman"/>
                <w:sz w:val="24"/>
                <w:szCs w:val="24"/>
              </w:rPr>
            </w:pPr>
            <w:r>
              <w:rPr>
                <w:rFonts w:ascii="Times New Roman" w:hAnsi="Times New Roman"/>
                <w:sz w:val="24"/>
              </w:rPr>
              <w:t xml:space="preserve">The information is used for strategic planning and action.  </w:t>
            </w:r>
          </w:p>
          <w:p w14:paraId="0E2ADBD4" w14:textId="77777777" w:rsidR="003D3E49" w:rsidRPr="0003136C" w:rsidRDefault="003D3E49" w:rsidP="00226DF1">
            <w:pPr>
              <w:spacing w:before="120" w:after="120"/>
              <w:jc w:val="both"/>
              <w:rPr>
                <w:rFonts w:ascii="Times New Roman" w:hAnsi="Times New Roman"/>
                <w:sz w:val="24"/>
                <w:szCs w:val="24"/>
              </w:rPr>
            </w:pPr>
          </w:p>
        </w:tc>
        <w:tc>
          <w:tcPr>
            <w:tcW w:w="283" w:type="dxa"/>
            <w:tcBorders>
              <w:top w:val="nil"/>
              <w:left w:val="single" w:sz="4" w:space="0" w:color="auto"/>
              <w:right w:val="single" w:sz="4" w:space="0" w:color="auto"/>
            </w:tcBorders>
            <w:shd w:val="clear" w:color="auto" w:fill="FFFFFF"/>
          </w:tcPr>
          <w:p w14:paraId="1D40192D" w14:textId="77777777" w:rsidR="002D3BEA" w:rsidRPr="00C83401" w:rsidRDefault="00E32BC9" w:rsidP="00226DF1">
            <w:pPr>
              <w:pStyle w:val="ListParagraph"/>
              <w:widowControl w:val="0"/>
              <w:numPr>
                <w:ilvl w:val="0"/>
                <w:numId w:val="29"/>
              </w:numPr>
              <w:spacing w:before="120" w:after="120"/>
              <w:jc w:val="both"/>
              <w:rPr>
                <w:rFonts w:ascii="Times New Roman" w:eastAsia="Calibri" w:hAnsi="Times New Roman"/>
                <w:sz w:val="24"/>
                <w:szCs w:val="24"/>
              </w:rPr>
            </w:pPr>
            <w:r>
              <w:rPr>
                <w:noProof/>
                <w:lang w:bidi="ar-SA"/>
              </w:rPr>
              <mc:AlternateContent>
                <mc:Choice Requires="wps">
                  <w:drawing>
                    <wp:anchor distT="0" distB="0" distL="114300" distR="114300" simplePos="0" relativeHeight="251707392" behindDoc="0" locked="0" layoutInCell="1" allowOverlap="1" wp14:anchorId="73453AB3" wp14:editId="41E9CBC1">
                      <wp:simplePos x="0" y="0"/>
                      <wp:positionH relativeFrom="column">
                        <wp:posOffset>-34925</wp:posOffset>
                      </wp:positionH>
                      <wp:positionV relativeFrom="paragraph">
                        <wp:posOffset>408305</wp:posOffset>
                      </wp:positionV>
                      <wp:extent cx="125730" cy="635"/>
                      <wp:effectExtent l="0" t="76200" r="26670" b="94615"/>
                      <wp:wrapNone/>
                      <wp:docPr id="3"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37" o:spid="_x0000_s1026" type="#_x0000_t32" style="position:absolute;margin-left:-2.75pt;margin-top:32.15pt;width:9.9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">
                      <v:stroke endarrow="block"/>
                    </v:shape>
                  </w:pict>
                </mc:Fallback>
              </mc:AlternateContent>
            </w:r>
          </w:p>
        </w:tc>
        <w:tc>
          <w:tcPr>
            <w:tcW w:w="3969" w:type="dxa"/>
            <w:tcBorders>
              <w:top w:val="single" w:sz="4" w:space="0" w:color="auto"/>
              <w:left w:val="single" w:sz="4" w:space="0" w:color="auto"/>
              <w:right w:val="single" w:sz="4" w:space="0" w:color="auto"/>
            </w:tcBorders>
            <w:shd w:val="clear" w:color="auto" w:fill="F2DBDB"/>
          </w:tcPr>
          <w:p w14:paraId="3F129FED"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Immunization outcomes:</w:t>
            </w:r>
          </w:p>
          <w:p w14:paraId="488E1300" w14:textId="77777777" w:rsidR="002D3BEA" w:rsidRPr="0003136C" w:rsidRDefault="00E42851" w:rsidP="00226DF1">
            <w:pPr>
              <w:numPr>
                <w:ilvl w:val="0"/>
                <w:numId w:val="29"/>
              </w:numPr>
              <w:spacing w:before="120" w:after="120"/>
              <w:jc w:val="both"/>
              <w:rPr>
                <w:rFonts w:ascii="Times New Roman" w:hAnsi="Times New Roman"/>
                <w:sz w:val="24"/>
                <w:szCs w:val="24"/>
              </w:rPr>
            </w:pPr>
            <w:r>
              <w:rPr>
                <w:rFonts w:ascii="Times New Roman" w:hAnsi="Times New Roman"/>
                <w:sz w:val="24"/>
              </w:rPr>
              <w:t>Effective vaccine coverage was equitably improved.</w:t>
            </w:r>
          </w:p>
        </w:tc>
        <w:tc>
          <w:tcPr>
            <w:tcW w:w="284" w:type="dxa"/>
            <w:tcBorders>
              <w:top w:val="nil"/>
              <w:left w:val="single" w:sz="4" w:space="0" w:color="auto"/>
              <w:right w:val="single" w:sz="4" w:space="0" w:color="auto"/>
            </w:tcBorders>
            <w:shd w:val="clear" w:color="auto" w:fill="FFFFFF"/>
          </w:tcPr>
          <w:p w14:paraId="0D7BC0EB"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42BDC525" w14:textId="77777777" w:rsidTr="005D447F">
        <w:trPr>
          <w:trHeight w:val="1134"/>
        </w:trPr>
        <w:tc>
          <w:tcPr>
            <w:tcW w:w="284" w:type="dxa"/>
            <w:tcBorders>
              <w:top w:val="nil"/>
              <w:left w:val="single" w:sz="4" w:space="0" w:color="auto"/>
              <w:right w:val="single" w:sz="4" w:space="0" w:color="auto"/>
            </w:tcBorders>
            <w:shd w:val="clear" w:color="auto" w:fill="FFFFFF"/>
          </w:tcPr>
          <w:p w14:paraId="4B0D1A93"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50C14800"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Key Activities Indicators:</w:t>
            </w:r>
          </w:p>
          <w:p w14:paraId="21F41699" w14:textId="77777777" w:rsidR="00167EC5" w:rsidRPr="0003136C" w:rsidRDefault="00A51068" w:rsidP="00226DF1">
            <w:pPr>
              <w:numPr>
                <w:ilvl w:val="0"/>
                <w:numId w:val="29"/>
              </w:numPr>
              <w:spacing w:before="120" w:after="120"/>
              <w:jc w:val="both"/>
              <w:rPr>
                <w:rFonts w:ascii="Times New Roman" w:hAnsi="Times New Roman"/>
                <w:sz w:val="24"/>
                <w:szCs w:val="24"/>
              </w:rPr>
            </w:pPr>
            <w:r>
              <w:rPr>
                <w:rFonts w:ascii="Times New Roman" w:hAnsi="Times New Roman"/>
                <w:sz w:val="24"/>
              </w:rPr>
              <w:t>Proportion of personnel trained by type of training;</w:t>
            </w:r>
          </w:p>
          <w:p w14:paraId="2C13A2F5" w14:textId="77777777" w:rsidR="00167EC5" w:rsidRPr="0003136C" w:rsidRDefault="00167EC5" w:rsidP="00226DF1">
            <w:pPr>
              <w:numPr>
                <w:ilvl w:val="0"/>
                <w:numId w:val="29"/>
              </w:numPr>
              <w:spacing w:before="120" w:after="120"/>
              <w:jc w:val="both"/>
              <w:rPr>
                <w:rFonts w:ascii="Times New Roman" w:hAnsi="Times New Roman"/>
                <w:sz w:val="24"/>
                <w:szCs w:val="24"/>
              </w:rPr>
            </w:pPr>
            <w:r>
              <w:rPr>
                <w:rFonts w:ascii="Times New Roman" w:hAnsi="Times New Roman"/>
                <w:sz w:val="24"/>
              </w:rPr>
              <w:t xml:space="preserve">Survey/assessment number carried out. </w:t>
            </w:r>
          </w:p>
          <w:p w14:paraId="085F4D66" w14:textId="77777777" w:rsidR="00167EC5" w:rsidRPr="0003136C" w:rsidRDefault="00167EC5" w:rsidP="00226DF1">
            <w:pPr>
              <w:numPr>
                <w:ilvl w:val="0"/>
                <w:numId w:val="29"/>
              </w:numPr>
              <w:spacing w:before="120" w:after="120"/>
              <w:jc w:val="both"/>
              <w:rPr>
                <w:rFonts w:ascii="Times New Roman" w:hAnsi="Times New Roman"/>
                <w:sz w:val="24"/>
                <w:szCs w:val="24"/>
              </w:rPr>
            </w:pPr>
            <w:r>
              <w:rPr>
                <w:rFonts w:ascii="Times New Roman" w:hAnsi="Times New Roman"/>
                <w:sz w:val="24"/>
              </w:rPr>
              <w:t>Revised number of tools.</w:t>
            </w:r>
          </w:p>
          <w:p w14:paraId="4B2904F7" w14:textId="77777777" w:rsidR="00AC716E" w:rsidRPr="0003136C" w:rsidRDefault="0003136C" w:rsidP="00226DF1">
            <w:pPr>
              <w:numPr>
                <w:ilvl w:val="0"/>
                <w:numId w:val="29"/>
              </w:numPr>
              <w:spacing w:before="120" w:after="120"/>
              <w:jc w:val="both"/>
              <w:rPr>
                <w:rFonts w:ascii="Times New Roman" w:hAnsi="Times New Roman"/>
                <w:sz w:val="24"/>
                <w:szCs w:val="24"/>
              </w:rPr>
            </w:pPr>
            <w:r>
              <w:rPr>
                <w:rFonts w:ascii="Times New Roman" w:hAnsi="Times New Roman"/>
                <w:sz w:val="24"/>
              </w:rPr>
              <w:t>Number of CSComs having a mobile network for SIS data collection.</w:t>
            </w:r>
          </w:p>
          <w:p w14:paraId="7FB0596F" w14:textId="77777777" w:rsidR="002D3BEA" w:rsidRPr="0003136C" w:rsidRDefault="00AC716E" w:rsidP="00226DF1">
            <w:pPr>
              <w:numPr>
                <w:ilvl w:val="0"/>
                <w:numId w:val="29"/>
              </w:numPr>
              <w:spacing w:before="120" w:after="120"/>
              <w:jc w:val="both"/>
              <w:rPr>
                <w:rFonts w:ascii="Times New Roman" w:hAnsi="Times New Roman"/>
                <w:sz w:val="24"/>
                <w:szCs w:val="24"/>
              </w:rPr>
            </w:pPr>
            <w:r>
              <w:rPr>
                <w:rFonts w:ascii="Times New Roman" w:hAnsi="Times New Roman"/>
                <w:sz w:val="24"/>
              </w:rPr>
              <w:t xml:space="preserve">Number of regions produicing a statistical report.  </w:t>
            </w:r>
          </w:p>
        </w:tc>
        <w:tc>
          <w:tcPr>
            <w:tcW w:w="426" w:type="dxa"/>
            <w:tcBorders>
              <w:top w:val="nil"/>
              <w:left w:val="single" w:sz="4" w:space="0" w:color="auto"/>
              <w:right w:val="single" w:sz="4" w:space="0" w:color="auto"/>
            </w:tcBorders>
            <w:shd w:val="clear" w:color="auto" w:fill="FFFFFF"/>
          </w:tcPr>
          <w:p w14:paraId="2B63F222" w14:textId="77777777" w:rsidR="002D3BEA" w:rsidRPr="00C83401" w:rsidRDefault="002D3BEA" w:rsidP="00226DF1">
            <w:pPr>
              <w:pStyle w:val="ListParagraph"/>
              <w:widowControl w:val="0"/>
              <w:numPr>
                <w:ilvl w:val="0"/>
                <w:numId w:val="29"/>
              </w:numPr>
              <w:spacing w:before="120" w:after="120"/>
              <w:jc w:val="both"/>
              <w:rPr>
                <w:rFonts w:ascii="Times New Roman" w:eastAsia="Calibri" w:hAnsi="Times New Roman"/>
                <w:sz w:val="24"/>
                <w:szCs w:val="24"/>
              </w:rPr>
            </w:pPr>
          </w:p>
        </w:tc>
        <w:tc>
          <w:tcPr>
            <w:tcW w:w="4394" w:type="dxa"/>
            <w:tcBorders>
              <w:top w:val="single" w:sz="4" w:space="0" w:color="auto"/>
              <w:left w:val="single" w:sz="4" w:space="0" w:color="auto"/>
              <w:right w:val="single" w:sz="4" w:space="0" w:color="auto"/>
            </w:tcBorders>
            <w:shd w:val="clear" w:color="auto" w:fill="DBE5F1"/>
          </w:tcPr>
          <w:p w14:paraId="344CD11A"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Intermediate Results Indicators:</w:t>
            </w:r>
          </w:p>
          <w:p w14:paraId="01FEA89E" w14:textId="77777777" w:rsidR="003D5C1E" w:rsidRPr="0003136C" w:rsidRDefault="003D5C1E" w:rsidP="00226DF1">
            <w:pPr>
              <w:numPr>
                <w:ilvl w:val="0"/>
                <w:numId w:val="29"/>
              </w:numPr>
              <w:spacing w:before="120" w:after="120"/>
              <w:jc w:val="both"/>
              <w:rPr>
                <w:rFonts w:ascii="Times New Roman" w:hAnsi="Times New Roman"/>
                <w:sz w:val="24"/>
                <w:szCs w:val="24"/>
              </w:rPr>
            </w:pPr>
            <w:r>
              <w:rPr>
                <w:rFonts w:ascii="Times New Roman" w:hAnsi="Times New Roman"/>
                <w:sz w:val="24"/>
              </w:rPr>
              <w:t xml:space="preserve">LHIS data completeness rate </w:t>
            </w:r>
          </w:p>
          <w:p w14:paraId="21976488" w14:textId="77777777" w:rsidR="003D5C1E" w:rsidRPr="0003136C" w:rsidRDefault="003D5C1E" w:rsidP="00226DF1">
            <w:pPr>
              <w:numPr>
                <w:ilvl w:val="0"/>
                <w:numId w:val="29"/>
              </w:numPr>
              <w:spacing w:before="120" w:after="120"/>
              <w:jc w:val="both"/>
              <w:rPr>
                <w:rFonts w:ascii="Times New Roman" w:hAnsi="Times New Roman"/>
                <w:sz w:val="24"/>
                <w:szCs w:val="24"/>
              </w:rPr>
            </w:pPr>
            <w:r>
              <w:rPr>
                <w:rFonts w:ascii="Times New Roman" w:hAnsi="Times New Roman"/>
                <w:sz w:val="24"/>
              </w:rPr>
              <w:t>LHIS data concordance rate</w:t>
            </w:r>
          </w:p>
          <w:p w14:paraId="47F8728D" w14:textId="77777777" w:rsidR="00E8371D" w:rsidRPr="0003136C" w:rsidRDefault="00E8371D" w:rsidP="00226DF1">
            <w:pPr>
              <w:numPr>
                <w:ilvl w:val="0"/>
                <w:numId w:val="29"/>
              </w:numPr>
              <w:spacing w:before="120" w:after="120"/>
              <w:jc w:val="both"/>
              <w:rPr>
                <w:rFonts w:ascii="Times New Roman" w:hAnsi="Times New Roman"/>
                <w:sz w:val="24"/>
                <w:szCs w:val="24"/>
              </w:rPr>
            </w:pPr>
            <w:r>
              <w:rPr>
                <w:rFonts w:ascii="Times New Roman" w:hAnsi="Times New Roman"/>
                <w:sz w:val="24"/>
              </w:rPr>
              <w:t>Proportion of the operational plan of districts, based on regional statistical annual information.</w:t>
            </w:r>
          </w:p>
        </w:tc>
        <w:tc>
          <w:tcPr>
            <w:tcW w:w="283" w:type="dxa"/>
            <w:tcBorders>
              <w:top w:val="nil"/>
              <w:left w:val="single" w:sz="4" w:space="0" w:color="auto"/>
              <w:right w:val="single" w:sz="4" w:space="0" w:color="auto"/>
            </w:tcBorders>
            <w:shd w:val="clear" w:color="auto" w:fill="FFFFFF"/>
          </w:tcPr>
          <w:p w14:paraId="214F5E18" w14:textId="77777777" w:rsidR="002D3BEA" w:rsidRPr="00C83401" w:rsidRDefault="002D3BEA" w:rsidP="00226DF1">
            <w:pPr>
              <w:pStyle w:val="ListParagraph"/>
              <w:widowControl w:val="0"/>
              <w:numPr>
                <w:ilvl w:val="0"/>
                <w:numId w:val="29"/>
              </w:numPr>
              <w:spacing w:before="120" w:after="120"/>
              <w:jc w:val="both"/>
              <w:rPr>
                <w:rFonts w:ascii="Times New Roman" w:eastAsia="Calibri" w:hAnsi="Times New Roman"/>
                <w:sz w:val="24"/>
                <w:szCs w:val="24"/>
              </w:rPr>
            </w:pPr>
          </w:p>
        </w:tc>
        <w:tc>
          <w:tcPr>
            <w:tcW w:w="3969" w:type="dxa"/>
            <w:tcBorders>
              <w:top w:val="single" w:sz="4" w:space="0" w:color="auto"/>
              <w:left w:val="single" w:sz="4" w:space="0" w:color="auto"/>
              <w:right w:val="single" w:sz="4" w:space="0" w:color="auto"/>
            </w:tcBorders>
            <w:shd w:val="clear" w:color="auto" w:fill="F2DBDB"/>
          </w:tcPr>
          <w:p w14:paraId="7CD99482"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Immunisations Outcome Indicators:</w:t>
            </w:r>
          </w:p>
          <w:p w14:paraId="42233E9B" w14:textId="77777777" w:rsidR="00864E75" w:rsidRPr="0003136C" w:rsidRDefault="00864E75" w:rsidP="00226DF1">
            <w:pPr>
              <w:numPr>
                <w:ilvl w:val="0"/>
                <w:numId w:val="29"/>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Penta3 coverage </w:t>
            </w:r>
          </w:p>
          <w:p w14:paraId="5D25920E" w14:textId="77777777" w:rsidR="00864E75" w:rsidRPr="0003136C" w:rsidRDefault="00864E75" w:rsidP="00226DF1">
            <w:pPr>
              <w:numPr>
                <w:ilvl w:val="0"/>
                <w:numId w:val="29"/>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Measles coverage - </w:t>
            </w:r>
          </w:p>
          <w:p w14:paraId="05610373" w14:textId="77777777" w:rsidR="00864E75" w:rsidRPr="0003136C" w:rsidRDefault="00864E75" w:rsidP="00226DF1">
            <w:pPr>
              <w:numPr>
                <w:ilvl w:val="0"/>
                <w:numId w:val="29"/>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Percent of districts with PENTA3 coverage ≥80% </w:t>
            </w:r>
          </w:p>
          <w:p w14:paraId="75CDF684" w14:textId="77777777" w:rsidR="00864E75" w:rsidRPr="0003136C" w:rsidRDefault="00864E75" w:rsidP="00226DF1">
            <w:pPr>
              <w:numPr>
                <w:ilvl w:val="0"/>
                <w:numId w:val="29"/>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Difference in Penta3 coverage between lowest and highest wealth quintile. </w:t>
            </w:r>
          </w:p>
          <w:p w14:paraId="79771871" w14:textId="77777777" w:rsidR="00864E75" w:rsidRPr="0003136C" w:rsidRDefault="00864E75" w:rsidP="00226DF1">
            <w:pPr>
              <w:numPr>
                <w:ilvl w:val="0"/>
                <w:numId w:val="29"/>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Drop-out rate for Penta1/Penta3</w:t>
            </w:r>
          </w:p>
          <w:p w14:paraId="68F195DE" w14:textId="77777777" w:rsidR="002D3BEA" w:rsidRPr="0003136C" w:rsidRDefault="00864E75" w:rsidP="00226DF1">
            <w:pPr>
              <w:numPr>
                <w:ilvl w:val="0"/>
                <w:numId w:val="29"/>
              </w:numPr>
              <w:spacing w:before="120" w:after="120"/>
              <w:jc w:val="both"/>
              <w:rPr>
                <w:rFonts w:ascii="Times New Roman" w:hAnsi="Times New Roman"/>
                <w:sz w:val="24"/>
                <w:szCs w:val="24"/>
              </w:rPr>
            </w:pPr>
            <w:r>
              <w:rPr>
                <w:rFonts w:ascii="Times New Roman" w:hAnsi="Times New Roman"/>
                <w:color w:val="000000"/>
                <w:sz w:val="24"/>
              </w:rPr>
              <w:t>Fully immunized child</w:t>
            </w:r>
          </w:p>
        </w:tc>
        <w:tc>
          <w:tcPr>
            <w:tcW w:w="284" w:type="dxa"/>
            <w:tcBorders>
              <w:top w:val="nil"/>
              <w:left w:val="single" w:sz="4" w:space="0" w:color="auto"/>
              <w:right w:val="single" w:sz="4" w:space="0" w:color="auto"/>
            </w:tcBorders>
            <w:shd w:val="clear" w:color="auto" w:fill="FFFFFF"/>
          </w:tcPr>
          <w:p w14:paraId="170F585E"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31AE4CAB" w14:textId="77777777" w:rsidTr="00E74DEE">
        <w:trPr>
          <w:trHeight w:val="726"/>
        </w:trPr>
        <w:tc>
          <w:tcPr>
            <w:tcW w:w="284" w:type="dxa"/>
            <w:tcBorders>
              <w:top w:val="nil"/>
              <w:left w:val="single" w:sz="4" w:space="0" w:color="auto"/>
              <w:right w:val="single" w:sz="4" w:space="0" w:color="auto"/>
            </w:tcBorders>
            <w:shd w:val="clear" w:color="auto" w:fill="FFFFFF"/>
          </w:tcPr>
          <w:p w14:paraId="054102B9"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14458" w:type="dxa"/>
            <w:gridSpan w:val="5"/>
            <w:tcBorders>
              <w:top w:val="single" w:sz="4" w:space="0" w:color="auto"/>
              <w:left w:val="single" w:sz="4" w:space="0" w:color="auto"/>
              <w:bottom w:val="single" w:sz="4" w:space="0" w:color="auto"/>
              <w:right w:val="single" w:sz="4" w:space="0" w:color="auto"/>
            </w:tcBorders>
            <w:shd w:val="clear" w:color="auto" w:fill="auto"/>
          </w:tcPr>
          <w:p w14:paraId="2A12245D" w14:textId="53A3CE09" w:rsidR="002D3BEA" w:rsidRPr="0003136C" w:rsidRDefault="002D3BEA" w:rsidP="00226DF1">
            <w:pPr>
              <w:spacing w:before="120" w:after="120"/>
              <w:jc w:val="both"/>
              <w:rPr>
                <w:rFonts w:ascii="Times New Roman" w:hAnsi="Times New Roman"/>
                <w:b/>
                <w:sz w:val="24"/>
                <w:szCs w:val="24"/>
              </w:rPr>
            </w:pPr>
            <w:r>
              <w:rPr>
                <w:rFonts w:ascii="Times New Roman" w:hAnsi="Times New Roman"/>
                <w:b/>
                <w:sz w:val="24"/>
              </w:rPr>
              <w:t>Objective 4: Improve cold chain capacity and effective vaccine management</w:t>
            </w:r>
          </w:p>
        </w:tc>
        <w:tc>
          <w:tcPr>
            <w:tcW w:w="284" w:type="dxa"/>
            <w:tcBorders>
              <w:top w:val="nil"/>
              <w:left w:val="single" w:sz="4" w:space="0" w:color="auto"/>
              <w:right w:val="single" w:sz="4" w:space="0" w:color="auto"/>
            </w:tcBorders>
            <w:shd w:val="clear" w:color="auto" w:fill="FFFFFF"/>
          </w:tcPr>
          <w:p w14:paraId="1509BD42"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17DB88EC" w14:textId="77777777" w:rsidTr="005D447F">
        <w:trPr>
          <w:trHeight w:val="1134"/>
        </w:trPr>
        <w:tc>
          <w:tcPr>
            <w:tcW w:w="284" w:type="dxa"/>
            <w:vMerge w:val="restart"/>
            <w:tcBorders>
              <w:top w:val="nil"/>
              <w:left w:val="single" w:sz="4" w:space="0" w:color="auto"/>
              <w:right w:val="single" w:sz="4" w:space="0" w:color="auto"/>
            </w:tcBorders>
            <w:shd w:val="clear" w:color="auto" w:fill="FFFFFF"/>
          </w:tcPr>
          <w:p w14:paraId="06BFFEBC"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0E9C3822"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Key activities:</w:t>
            </w:r>
          </w:p>
          <w:p w14:paraId="1A222EEB" w14:textId="77777777" w:rsidR="00C551E6" w:rsidRPr="0003136C" w:rsidRDefault="00C551E6" w:rsidP="00226DF1">
            <w:pPr>
              <w:numPr>
                <w:ilvl w:val="0"/>
                <w:numId w:val="30"/>
              </w:numPr>
              <w:spacing w:before="120" w:after="120"/>
              <w:jc w:val="both"/>
              <w:rPr>
                <w:rFonts w:ascii="Times New Roman" w:hAnsi="Times New Roman"/>
                <w:sz w:val="24"/>
                <w:szCs w:val="24"/>
              </w:rPr>
            </w:pPr>
            <w:r>
              <w:rPr>
                <w:rFonts w:ascii="Times New Roman" w:hAnsi="Times New Roman"/>
                <w:sz w:val="24"/>
              </w:rPr>
              <w:t>Construction of a dry warehouse at the central level</w:t>
            </w:r>
          </w:p>
          <w:p w14:paraId="2C6EBA8C" w14:textId="77777777" w:rsidR="00C551E6" w:rsidRPr="0003136C" w:rsidRDefault="00C551E6" w:rsidP="00226DF1">
            <w:pPr>
              <w:numPr>
                <w:ilvl w:val="0"/>
                <w:numId w:val="30"/>
              </w:numPr>
              <w:spacing w:before="120" w:after="120"/>
              <w:jc w:val="both"/>
              <w:rPr>
                <w:rFonts w:ascii="Times New Roman" w:hAnsi="Times New Roman"/>
                <w:sz w:val="24"/>
                <w:szCs w:val="24"/>
              </w:rPr>
            </w:pPr>
            <w:r>
              <w:rPr>
                <w:rFonts w:ascii="Times New Roman" w:hAnsi="Times New Roman"/>
                <w:sz w:val="24"/>
              </w:rPr>
              <w:t>Contribution and installation of cold rooms</w:t>
            </w:r>
          </w:p>
          <w:p w14:paraId="2EF76A25" w14:textId="77777777" w:rsidR="00C551E6" w:rsidRPr="0003136C" w:rsidRDefault="00C551E6" w:rsidP="00226DF1">
            <w:pPr>
              <w:numPr>
                <w:ilvl w:val="0"/>
                <w:numId w:val="30"/>
              </w:numPr>
              <w:spacing w:before="120" w:after="120"/>
              <w:jc w:val="both"/>
              <w:rPr>
                <w:rFonts w:ascii="Times New Roman" w:hAnsi="Times New Roman"/>
                <w:sz w:val="24"/>
                <w:szCs w:val="24"/>
              </w:rPr>
            </w:pPr>
            <w:r>
              <w:rPr>
                <w:rFonts w:ascii="Times New Roman" w:hAnsi="Times New Roman"/>
                <w:sz w:val="24"/>
              </w:rPr>
              <w:t>Improvement of skills of personnel for effective vaccine management.</w:t>
            </w:r>
          </w:p>
          <w:p w14:paraId="64AFECC0" w14:textId="58FC97A4" w:rsidR="00C551E6" w:rsidRPr="0003136C" w:rsidRDefault="00C551E6" w:rsidP="00226DF1">
            <w:pPr>
              <w:numPr>
                <w:ilvl w:val="0"/>
                <w:numId w:val="30"/>
              </w:numPr>
              <w:spacing w:before="120" w:after="120"/>
              <w:jc w:val="both"/>
              <w:rPr>
                <w:rFonts w:ascii="Times New Roman" w:hAnsi="Times New Roman"/>
                <w:sz w:val="24"/>
                <w:szCs w:val="24"/>
              </w:rPr>
            </w:pPr>
            <w:r>
              <w:rPr>
                <w:rFonts w:ascii="Times New Roman" w:hAnsi="Times New Roman"/>
                <w:sz w:val="24"/>
              </w:rPr>
              <w:t>Support for cold chain maintenance by SEPAMAUT</w:t>
            </w:r>
          </w:p>
          <w:p w14:paraId="4C1A5D63" w14:textId="77777777" w:rsidR="002D3BEA" w:rsidRPr="0003136C" w:rsidRDefault="002D3BEA" w:rsidP="00226DF1">
            <w:pPr>
              <w:numPr>
                <w:ilvl w:val="0"/>
                <w:numId w:val="30"/>
              </w:numPr>
              <w:spacing w:before="120" w:after="120"/>
              <w:jc w:val="both"/>
              <w:rPr>
                <w:rFonts w:ascii="Times New Roman" w:hAnsi="Times New Roman"/>
                <w:sz w:val="24"/>
                <w:szCs w:val="24"/>
              </w:rPr>
            </w:pPr>
          </w:p>
        </w:tc>
        <w:tc>
          <w:tcPr>
            <w:tcW w:w="426" w:type="dxa"/>
            <w:vMerge w:val="restart"/>
            <w:tcBorders>
              <w:top w:val="nil"/>
              <w:left w:val="single" w:sz="4" w:space="0" w:color="auto"/>
              <w:right w:val="single" w:sz="4" w:space="0" w:color="auto"/>
            </w:tcBorders>
            <w:shd w:val="clear" w:color="auto" w:fill="FFFFFF"/>
          </w:tcPr>
          <w:p w14:paraId="2A7D7E6D" w14:textId="77777777" w:rsidR="002D3BEA" w:rsidRPr="00C83401" w:rsidRDefault="00E32BC9" w:rsidP="00226DF1">
            <w:pPr>
              <w:pStyle w:val="ListParagraph"/>
              <w:widowControl w:val="0"/>
              <w:numPr>
                <w:ilvl w:val="0"/>
                <w:numId w:val="30"/>
              </w:numPr>
              <w:spacing w:before="120" w:after="120"/>
              <w:jc w:val="both"/>
              <w:rPr>
                <w:rFonts w:ascii="Times New Roman" w:eastAsia="Calibri" w:hAnsi="Times New Roman"/>
                <w:sz w:val="24"/>
                <w:szCs w:val="24"/>
              </w:rPr>
            </w:pPr>
            <w:r>
              <w:rPr>
                <w:noProof/>
                <w:lang w:bidi="ar-SA"/>
              </w:rPr>
              <mc:AlternateContent>
                <mc:Choice Requires="wps">
                  <w:drawing>
                    <wp:anchor distT="4294967293" distB="4294967293" distL="114300" distR="114300" simplePos="0" relativeHeight="251704320" behindDoc="0" locked="0" layoutInCell="1" allowOverlap="1" wp14:anchorId="3B5222D7" wp14:editId="590F6114">
                      <wp:simplePos x="0" y="0"/>
                      <wp:positionH relativeFrom="column">
                        <wp:posOffset>-17145</wp:posOffset>
                      </wp:positionH>
                      <wp:positionV relativeFrom="paragraph">
                        <wp:posOffset>408304</wp:posOffset>
                      </wp:positionV>
                      <wp:extent cx="187325" cy="0"/>
                      <wp:effectExtent l="0" t="76200" r="22225" b="95250"/>
                      <wp:wrapNone/>
                      <wp:docPr id="2"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36" o:spid="_x0000_s1026" type="#_x0000_t32" style="position:absolute;margin-left:-1.35pt;margin-top:32.15pt;width:14.75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">
                      <v:stroke endarrow="block"/>
                    </v:shape>
                  </w:pict>
                </mc:Fallback>
              </mc:AlternateContent>
            </w:r>
          </w:p>
        </w:tc>
        <w:tc>
          <w:tcPr>
            <w:tcW w:w="4394" w:type="dxa"/>
            <w:tcBorders>
              <w:top w:val="single" w:sz="4" w:space="0" w:color="auto"/>
              <w:left w:val="single" w:sz="4" w:space="0" w:color="auto"/>
              <w:right w:val="single" w:sz="4" w:space="0" w:color="auto"/>
            </w:tcBorders>
            <w:shd w:val="clear" w:color="auto" w:fill="DBE5F1"/>
          </w:tcPr>
          <w:p w14:paraId="2B67DECF"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 xml:space="preserve">Outputs / Intermediate outcomes: </w:t>
            </w:r>
          </w:p>
          <w:p w14:paraId="4ADB826A" w14:textId="77777777" w:rsidR="002D3BEA" w:rsidRPr="0003136C" w:rsidRDefault="00D61771" w:rsidP="00226DF1">
            <w:pPr>
              <w:numPr>
                <w:ilvl w:val="0"/>
                <w:numId w:val="30"/>
              </w:numPr>
              <w:spacing w:before="120" w:after="120"/>
              <w:jc w:val="both"/>
              <w:rPr>
                <w:rFonts w:ascii="Times New Roman" w:hAnsi="Times New Roman"/>
                <w:sz w:val="24"/>
                <w:szCs w:val="24"/>
              </w:rPr>
            </w:pPr>
            <w:r>
              <w:rPr>
                <w:rFonts w:ascii="Times New Roman" w:hAnsi="Times New Roman"/>
                <w:sz w:val="24"/>
              </w:rPr>
              <w:t>EPI supply storage capacity improved at the central level.</w:t>
            </w:r>
          </w:p>
          <w:p w14:paraId="622706D4" w14:textId="0CB8F41E" w:rsidR="00D61771" w:rsidRPr="0003136C" w:rsidRDefault="00D61771" w:rsidP="00226DF1">
            <w:pPr>
              <w:numPr>
                <w:ilvl w:val="0"/>
                <w:numId w:val="30"/>
              </w:numPr>
              <w:spacing w:before="120" w:after="120"/>
              <w:jc w:val="both"/>
              <w:rPr>
                <w:rFonts w:ascii="Times New Roman" w:hAnsi="Times New Roman"/>
                <w:sz w:val="24"/>
                <w:szCs w:val="24"/>
              </w:rPr>
            </w:pPr>
            <w:r>
              <w:rPr>
                <w:rFonts w:ascii="Times New Roman" w:hAnsi="Times New Roman"/>
                <w:sz w:val="24"/>
              </w:rPr>
              <w:t xml:space="preserve">Cold chain capacity at the intermediate level complies with current and new vaccine storage needs. </w:t>
            </w:r>
          </w:p>
          <w:p w14:paraId="0E3DE98E" w14:textId="77777777" w:rsidR="009551D2" w:rsidRPr="0003136C" w:rsidRDefault="009551D2" w:rsidP="00226DF1">
            <w:pPr>
              <w:numPr>
                <w:ilvl w:val="0"/>
                <w:numId w:val="30"/>
              </w:numPr>
              <w:spacing w:before="120" w:after="120"/>
              <w:jc w:val="both"/>
              <w:rPr>
                <w:rFonts w:ascii="Times New Roman" w:hAnsi="Times New Roman"/>
                <w:sz w:val="24"/>
                <w:szCs w:val="24"/>
              </w:rPr>
            </w:pPr>
            <w:r>
              <w:rPr>
                <w:rFonts w:ascii="Times New Roman" w:hAnsi="Times New Roman"/>
                <w:sz w:val="24"/>
              </w:rPr>
              <w:t>Effective management of vaccines is improved.</w:t>
            </w:r>
          </w:p>
        </w:tc>
        <w:tc>
          <w:tcPr>
            <w:tcW w:w="283" w:type="dxa"/>
            <w:vMerge w:val="restart"/>
            <w:tcBorders>
              <w:top w:val="nil"/>
              <w:left w:val="single" w:sz="4" w:space="0" w:color="auto"/>
              <w:right w:val="single" w:sz="4" w:space="0" w:color="auto"/>
            </w:tcBorders>
            <w:shd w:val="clear" w:color="auto" w:fill="FFFFFF"/>
          </w:tcPr>
          <w:p w14:paraId="7835ADB2" w14:textId="77777777" w:rsidR="002D3BEA" w:rsidRPr="00C83401" w:rsidRDefault="00E32BC9" w:rsidP="00226DF1">
            <w:pPr>
              <w:pStyle w:val="ListParagraph"/>
              <w:widowControl w:val="0"/>
              <w:numPr>
                <w:ilvl w:val="0"/>
                <w:numId w:val="30"/>
              </w:numPr>
              <w:spacing w:before="120" w:after="120"/>
              <w:jc w:val="both"/>
              <w:rPr>
                <w:rFonts w:ascii="Times New Roman" w:eastAsia="Calibri" w:hAnsi="Times New Roman"/>
                <w:sz w:val="24"/>
                <w:szCs w:val="24"/>
              </w:rPr>
            </w:pPr>
            <w:r>
              <w:rPr>
                <w:noProof/>
                <w:lang w:bidi="ar-SA"/>
              </w:rPr>
              <mc:AlternateContent>
                <mc:Choice Requires="wps">
                  <w:drawing>
                    <wp:anchor distT="0" distB="0" distL="114300" distR="114300" simplePos="0" relativeHeight="251705344" behindDoc="0" locked="0" layoutInCell="1" allowOverlap="1" wp14:anchorId="3E0C2757" wp14:editId="734DFDBC">
                      <wp:simplePos x="0" y="0"/>
                      <wp:positionH relativeFrom="column">
                        <wp:posOffset>-34925</wp:posOffset>
                      </wp:positionH>
                      <wp:positionV relativeFrom="paragraph">
                        <wp:posOffset>408305</wp:posOffset>
                      </wp:positionV>
                      <wp:extent cx="125730" cy="635"/>
                      <wp:effectExtent l="0" t="76200" r="26670" b="94615"/>
                      <wp:wrapNone/>
                      <wp:docPr id="1"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37" o:spid="_x0000_s1026" type="#_x0000_t32" style="position:absolute;margin-left:-2.75pt;margin-top:32.15pt;width:9.9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">
                      <v:stroke endarrow="block"/>
                    </v:shape>
                  </w:pict>
                </mc:Fallback>
              </mc:AlternateContent>
            </w:r>
          </w:p>
        </w:tc>
        <w:tc>
          <w:tcPr>
            <w:tcW w:w="3969" w:type="dxa"/>
            <w:tcBorders>
              <w:top w:val="single" w:sz="4" w:space="0" w:color="auto"/>
              <w:left w:val="single" w:sz="4" w:space="0" w:color="auto"/>
              <w:right w:val="single" w:sz="4" w:space="0" w:color="auto"/>
            </w:tcBorders>
            <w:shd w:val="clear" w:color="auto" w:fill="F2DBDB"/>
          </w:tcPr>
          <w:p w14:paraId="3E557FF3"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Immunization outcomes:</w:t>
            </w:r>
          </w:p>
          <w:p w14:paraId="711A5189" w14:textId="77777777" w:rsidR="002D3BEA" w:rsidRPr="0003136C" w:rsidRDefault="00E42851" w:rsidP="00226DF1">
            <w:pPr>
              <w:numPr>
                <w:ilvl w:val="0"/>
                <w:numId w:val="30"/>
              </w:numPr>
              <w:spacing w:before="120" w:after="120"/>
              <w:jc w:val="both"/>
              <w:rPr>
                <w:rFonts w:ascii="Times New Roman" w:hAnsi="Times New Roman"/>
                <w:sz w:val="24"/>
                <w:szCs w:val="24"/>
              </w:rPr>
            </w:pPr>
            <w:r>
              <w:rPr>
                <w:rFonts w:ascii="Times New Roman" w:hAnsi="Times New Roman"/>
                <w:sz w:val="24"/>
              </w:rPr>
              <w:t>Effective vaccine coverage was equitably improved.</w:t>
            </w:r>
          </w:p>
        </w:tc>
        <w:tc>
          <w:tcPr>
            <w:tcW w:w="284" w:type="dxa"/>
            <w:vMerge w:val="restart"/>
            <w:tcBorders>
              <w:top w:val="nil"/>
              <w:left w:val="single" w:sz="4" w:space="0" w:color="auto"/>
              <w:right w:val="single" w:sz="4" w:space="0" w:color="auto"/>
            </w:tcBorders>
            <w:shd w:val="clear" w:color="auto" w:fill="FFFFFF"/>
          </w:tcPr>
          <w:p w14:paraId="19B6E0D2"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7198CE65" w14:textId="77777777" w:rsidTr="005D447F">
        <w:trPr>
          <w:trHeight w:val="1134"/>
        </w:trPr>
        <w:tc>
          <w:tcPr>
            <w:tcW w:w="284" w:type="dxa"/>
            <w:vMerge/>
            <w:tcBorders>
              <w:left w:val="single" w:sz="4" w:space="0" w:color="auto"/>
              <w:bottom w:val="nil"/>
              <w:right w:val="single" w:sz="4" w:space="0" w:color="auto"/>
            </w:tcBorders>
            <w:shd w:val="clear" w:color="auto" w:fill="FFFFFF"/>
          </w:tcPr>
          <w:p w14:paraId="5C2074CA"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642D45EB"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Key Activities Indicators:</w:t>
            </w:r>
          </w:p>
          <w:p w14:paraId="37E02EB9" w14:textId="77777777" w:rsidR="00AD7A13" w:rsidRPr="0003136C" w:rsidRDefault="00EC35A1" w:rsidP="00226DF1">
            <w:pPr>
              <w:numPr>
                <w:ilvl w:val="0"/>
                <w:numId w:val="30"/>
              </w:numPr>
              <w:spacing w:before="120" w:after="120"/>
              <w:jc w:val="both"/>
              <w:rPr>
                <w:rFonts w:ascii="Times New Roman" w:hAnsi="Times New Roman"/>
                <w:sz w:val="24"/>
                <w:szCs w:val="24"/>
              </w:rPr>
            </w:pPr>
            <w:r>
              <w:rPr>
                <w:rFonts w:ascii="Times New Roman" w:hAnsi="Times New Roman"/>
                <w:sz w:val="24"/>
              </w:rPr>
              <w:t>Availability of a dry warehouse at the central level</w:t>
            </w:r>
          </w:p>
          <w:p w14:paraId="2E6D4DB1" w14:textId="77777777" w:rsidR="00AD7A13" w:rsidRPr="0003136C" w:rsidRDefault="00AD7A13" w:rsidP="00226DF1">
            <w:pPr>
              <w:numPr>
                <w:ilvl w:val="0"/>
                <w:numId w:val="30"/>
              </w:numPr>
              <w:spacing w:before="120" w:after="120"/>
              <w:jc w:val="both"/>
              <w:rPr>
                <w:rFonts w:ascii="Times New Roman" w:hAnsi="Times New Roman"/>
                <w:sz w:val="24"/>
                <w:szCs w:val="24"/>
              </w:rPr>
            </w:pPr>
            <w:r>
              <w:rPr>
                <w:rFonts w:ascii="Times New Roman" w:hAnsi="Times New Roman"/>
                <w:sz w:val="24"/>
              </w:rPr>
              <w:t>Number of cold chambers installed</w:t>
            </w:r>
          </w:p>
          <w:p w14:paraId="324A5B04" w14:textId="77777777" w:rsidR="00AD7A13" w:rsidRPr="0003136C" w:rsidRDefault="00AD7A13" w:rsidP="00226DF1">
            <w:pPr>
              <w:numPr>
                <w:ilvl w:val="0"/>
                <w:numId w:val="30"/>
              </w:numPr>
              <w:spacing w:before="120" w:after="120"/>
              <w:jc w:val="both"/>
              <w:rPr>
                <w:rFonts w:ascii="Times New Roman" w:hAnsi="Times New Roman"/>
                <w:sz w:val="24"/>
                <w:szCs w:val="24"/>
              </w:rPr>
            </w:pPr>
            <w:r>
              <w:rPr>
                <w:rFonts w:ascii="Times New Roman" w:hAnsi="Times New Roman"/>
                <w:sz w:val="24"/>
              </w:rPr>
              <w:t>Number of agents trained in Immunization Logistics</w:t>
            </w:r>
          </w:p>
          <w:p w14:paraId="69926884" w14:textId="77777777" w:rsidR="00AD7A13" w:rsidRPr="0003136C" w:rsidRDefault="00AD7A13" w:rsidP="00226DF1">
            <w:pPr>
              <w:numPr>
                <w:ilvl w:val="0"/>
                <w:numId w:val="30"/>
              </w:numPr>
              <w:spacing w:before="120" w:after="120"/>
              <w:jc w:val="both"/>
              <w:rPr>
                <w:rFonts w:ascii="Times New Roman" w:hAnsi="Times New Roman"/>
                <w:sz w:val="24"/>
                <w:szCs w:val="24"/>
              </w:rPr>
            </w:pPr>
            <w:r>
              <w:rPr>
                <w:rFonts w:ascii="Times New Roman" w:hAnsi="Times New Roman"/>
                <w:sz w:val="24"/>
              </w:rPr>
              <w:t>Number of maintenance missions conducted.</w:t>
            </w:r>
          </w:p>
        </w:tc>
        <w:tc>
          <w:tcPr>
            <w:tcW w:w="426" w:type="dxa"/>
            <w:vMerge/>
            <w:tcBorders>
              <w:left w:val="single" w:sz="4" w:space="0" w:color="auto"/>
              <w:bottom w:val="nil"/>
              <w:right w:val="single" w:sz="4" w:space="0" w:color="auto"/>
            </w:tcBorders>
            <w:shd w:val="clear" w:color="auto" w:fill="FFFFFF"/>
          </w:tcPr>
          <w:p w14:paraId="30C07568" w14:textId="77777777" w:rsidR="002D3BEA" w:rsidRPr="00C83401" w:rsidRDefault="002D3BEA" w:rsidP="00226DF1">
            <w:pPr>
              <w:pStyle w:val="ListParagraph"/>
              <w:widowControl w:val="0"/>
              <w:numPr>
                <w:ilvl w:val="0"/>
                <w:numId w:val="30"/>
              </w:numPr>
              <w:spacing w:before="120" w:after="120"/>
              <w:jc w:val="both"/>
              <w:rPr>
                <w:rFonts w:ascii="Times New Roman" w:eastAsia="Calibri" w:hAnsi="Times New Roman"/>
                <w:sz w:val="24"/>
                <w:szCs w:val="24"/>
              </w:rPr>
            </w:pPr>
          </w:p>
        </w:tc>
        <w:tc>
          <w:tcPr>
            <w:tcW w:w="4394" w:type="dxa"/>
            <w:tcBorders>
              <w:left w:val="single" w:sz="4" w:space="0" w:color="auto"/>
              <w:bottom w:val="single" w:sz="4" w:space="0" w:color="auto"/>
              <w:right w:val="single" w:sz="4" w:space="0" w:color="auto"/>
            </w:tcBorders>
            <w:shd w:val="clear" w:color="auto" w:fill="DBE5F1"/>
          </w:tcPr>
          <w:p w14:paraId="6264EE5F" w14:textId="77777777" w:rsidR="002D3BEA" w:rsidRPr="007A224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Intermediate Results Indicators:</w:t>
            </w:r>
          </w:p>
          <w:p w14:paraId="55199950" w14:textId="77777777" w:rsidR="002D3BEA" w:rsidRPr="007A2241" w:rsidRDefault="00AD7A13" w:rsidP="00226DF1">
            <w:pPr>
              <w:numPr>
                <w:ilvl w:val="0"/>
                <w:numId w:val="30"/>
              </w:numPr>
              <w:spacing w:before="120" w:after="120"/>
              <w:jc w:val="both"/>
              <w:rPr>
                <w:rFonts w:ascii="Times New Roman" w:hAnsi="Times New Roman"/>
                <w:sz w:val="24"/>
                <w:szCs w:val="24"/>
              </w:rPr>
            </w:pPr>
            <w:r>
              <w:rPr>
                <w:rFonts w:ascii="Times New Roman" w:hAnsi="Times New Roman"/>
                <w:sz w:val="24"/>
              </w:rPr>
              <w:t>EPI supply storage capacity coverage rates at the central level.</w:t>
            </w:r>
          </w:p>
          <w:p w14:paraId="521B73FE" w14:textId="77777777" w:rsidR="00C25A32" w:rsidRPr="007A2241" w:rsidRDefault="00C25A32" w:rsidP="00226DF1">
            <w:pPr>
              <w:numPr>
                <w:ilvl w:val="0"/>
                <w:numId w:val="30"/>
              </w:numPr>
              <w:spacing w:before="120" w:after="120"/>
              <w:jc w:val="both"/>
              <w:rPr>
                <w:rFonts w:ascii="Times New Roman" w:hAnsi="Times New Roman"/>
                <w:sz w:val="24"/>
                <w:szCs w:val="24"/>
              </w:rPr>
            </w:pPr>
            <w:r>
              <w:rPr>
                <w:rFonts w:ascii="Times New Roman" w:hAnsi="Times New Roman"/>
                <w:sz w:val="24"/>
              </w:rPr>
              <w:t>EPI supply storage capacity coverage rates at the intermediate level.</w:t>
            </w:r>
          </w:p>
          <w:p w14:paraId="023DC0A0" w14:textId="30D45B8A" w:rsidR="00984085" w:rsidRPr="007A2241" w:rsidRDefault="00C25A32" w:rsidP="00984085">
            <w:pPr>
              <w:numPr>
                <w:ilvl w:val="0"/>
                <w:numId w:val="30"/>
              </w:numPr>
              <w:spacing w:before="120" w:after="120"/>
              <w:jc w:val="both"/>
              <w:rPr>
                <w:rFonts w:ascii="Times New Roman" w:hAnsi="Times New Roman"/>
                <w:sz w:val="24"/>
                <w:szCs w:val="24"/>
              </w:rPr>
            </w:pPr>
            <w:r>
              <w:rPr>
                <w:rFonts w:ascii="Times New Roman" w:hAnsi="Times New Roman"/>
                <w:sz w:val="24"/>
              </w:rPr>
              <w:t>Proportion of EVM criteria greater than 80%.</w:t>
            </w:r>
          </w:p>
        </w:tc>
        <w:tc>
          <w:tcPr>
            <w:tcW w:w="283" w:type="dxa"/>
            <w:vMerge/>
            <w:tcBorders>
              <w:left w:val="single" w:sz="4" w:space="0" w:color="auto"/>
              <w:bottom w:val="nil"/>
              <w:right w:val="single" w:sz="4" w:space="0" w:color="auto"/>
            </w:tcBorders>
            <w:shd w:val="clear" w:color="auto" w:fill="FFFFFF"/>
          </w:tcPr>
          <w:p w14:paraId="16137C70" w14:textId="77777777" w:rsidR="002D3BEA" w:rsidRPr="00C83401" w:rsidRDefault="002D3BEA" w:rsidP="00226DF1">
            <w:pPr>
              <w:pStyle w:val="ListParagraph"/>
              <w:widowControl w:val="0"/>
              <w:numPr>
                <w:ilvl w:val="0"/>
                <w:numId w:val="30"/>
              </w:numPr>
              <w:spacing w:before="120" w:after="120"/>
              <w:jc w:val="both"/>
              <w:rPr>
                <w:rFonts w:ascii="Times New Roman" w:eastAsia="Calibri" w:hAnsi="Times New Roman"/>
                <w:sz w:val="24"/>
                <w:szCs w:val="24"/>
              </w:rPr>
            </w:pPr>
          </w:p>
        </w:tc>
        <w:tc>
          <w:tcPr>
            <w:tcW w:w="3969" w:type="dxa"/>
            <w:tcBorders>
              <w:left w:val="single" w:sz="4" w:space="0" w:color="auto"/>
              <w:bottom w:val="single" w:sz="4" w:space="0" w:color="auto"/>
              <w:right w:val="single" w:sz="4" w:space="0" w:color="auto"/>
            </w:tcBorders>
            <w:shd w:val="clear" w:color="auto" w:fill="F2DBDB"/>
          </w:tcPr>
          <w:p w14:paraId="0499A504"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Immunisations Outcome Indicators:</w:t>
            </w:r>
          </w:p>
          <w:p w14:paraId="155C4A25" w14:textId="77777777" w:rsidR="00864E75" w:rsidRPr="0003136C" w:rsidRDefault="00864E75" w:rsidP="00226DF1">
            <w:pPr>
              <w:numPr>
                <w:ilvl w:val="0"/>
                <w:numId w:val="30"/>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Penta3 coverage </w:t>
            </w:r>
          </w:p>
          <w:p w14:paraId="1095300E" w14:textId="77777777" w:rsidR="00864E75" w:rsidRPr="0003136C" w:rsidRDefault="00864E75" w:rsidP="00226DF1">
            <w:pPr>
              <w:numPr>
                <w:ilvl w:val="0"/>
                <w:numId w:val="30"/>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Measles coverage - </w:t>
            </w:r>
          </w:p>
          <w:p w14:paraId="46614EEB" w14:textId="77777777" w:rsidR="00864E75" w:rsidRPr="0003136C" w:rsidRDefault="00864E75" w:rsidP="00226DF1">
            <w:pPr>
              <w:numPr>
                <w:ilvl w:val="0"/>
                <w:numId w:val="30"/>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Percent of districts with PENTA3 coverage ≥80% </w:t>
            </w:r>
          </w:p>
          <w:p w14:paraId="1E1D724D" w14:textId="77777777" w:rsidR="00864E75" w:rsidRPr="0003136C" w:rsidRDefault="00864E75" w:rsidP="00226DF1">
            <w:pPr>
              <w:numPr>
                <w:ilvl w:val="0"/>
                <w:numId w:val="30"/>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Difference in Penta3 coverage between lowest and highest wealth quintile. </w:t>
            </w:r>
          </w:p>
          <w:p w14:paraId="6AB6C126" w14:textId="77777777" w:rsidR="00864E75" w:rsidRPr="0003136C" w:rsidRDefault="00864E75" w:rsidP="00226DF1">
            <w:pPr>
              <w:numPr>
                <w:ilvl w:val="0"/>
                <w:numId w:val="30"/>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Drop-out rate for Penta1/Penta3</w:t>
            </w:r>
          </w:p>
          <w:p w14:paraId="001CAC18" w14:textId="77777777" w:rsidR="002D3BEA" w:rsidRPr="0003136C" w:rsidRDefault="00864E75" w:rsidP="00226DF1">
            <w:pPr>
              <w:numPr>
                <w:ilvl w:val="0"/>
                <w:numId w:val="30"/>
              </w:numPr>
              <w:spacing w:before="120" w:after="120"/>
              <w:jc w:val="both"/>
              <w:rPr>
                <w:rFonts w:ascii="Times New Roman" w:hAnsi="Times New Roman"/>
                <w:sz w:val="24"/>
                <w:szCs w:val="24"/>
              </w:rPr>
            </w:pPr>
            <w:r>
              <w:rPr>
                <w:rFonts w:ascii="Times New Roman" w:hAnsi="Times New Roman"/>
                <w:color w:val="000000"/>
                <w:sz w:val="24"/>
              </w:rPr>
              <w:t>Fully immunized child</w:t>
            </w:r>
          </w:p>
        </w:tc>
        <w:tc>
          <w:tcPr>
            <w:tcW w:w="284" w:type="dxa"/>
            <w:vMerge/>
            <w:tcBorders>
              <w:left w:val="single" w:sz="4" w:space="0" w:color="auto"/>
              <w:bottom w:val="nil"/>
              <w:right w:val="single" w:sz="4" w:space="0" w:color="auto"/>
            </w:tcBorders>
            <w:shd w:val="clear" w:color="auto" w:fill="FFFFFF"/>
          </w:tcPr>
          <w:p w14:paraId="6702CDAA"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28553E66" w14:textId="77777777" w:rsidTr="00E74DEE">
        <w:trPr>
          <w:trHeight w:val="312"/>
        </w:trPr>
        <w:tc>
          <w:tcPr>
            <w:tcW w:w="284" w:type="dxa"/>
            <w:tcBorders>
              <w:left w:val="single" w:sz="4" w:space="0" w:color="auto"/>
              <w:bottom w:val="nil"/>
              <w:right w:val="single" w:sz="4" w:space="0" w:color="auto"/>
            </w:tcBorders>
            <w:shd w:val="clear" w:color="auto" w:fill="FFFFFF"/>
          </w:tcPr>
          <w:p w14:paraId="0E32E68A"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14458" w:type="dxa"/>
            <w:gridSpan w:val="5"/>
            <w:tcBorders>
              <w:top w:val="single" w:sz="4" w:space="0" w:color="auto"/>
              <w:left w:val="single" w:sz="4" w:space="0" w:color="auto"/>
              <w:bottom w:val="single" w:sz="4" w:space="0" w:color="auto"/>
              <w:right w:val="single" w:sz="4" w:space="0" w:color="auto"/>
            </w:tcBorders>
            <w:shd w:val="clear" w:color="auto" w:fill="auto"/>
          </w:tcPr>
          <w:p w14:paraId="51C2FA8C" w14:textId="77777777" w:rsidR="002D3BEA" w:rsidRPr="0003136C" w:rsidRDefault="002D3BEA" w:rsidP="00226DF1">
            <w:pPr>
              <w:spacing w:before="120" w:after="120"/>
              <w:jc w:val="both"/>
              <w:rPr>
                <w:rFonts w:ascii="Times New Roman" w:hAnsi="Times New Roman"/>
                <w:b/>
                <w:sz w:val="24"/>
                <w:szCs w:val="24"/>
              </w:rPr>
            </w:pPr>
            <w:r>
              <w:rPr>
                <w:rFonts w:ascii="Times New Roman" w:hAnsi="Times New Roman"/>
                <w:b/>
                <w:sz w:val="24"/>
              </w:rPr>
              <w:t>Objective 5: Improve immunization financing by communities and municipalities.</w:t>
            </w:r>
          </w:p>
        </w:tc>
        <w:tc>
          <w:tcPr>
            <w:tcW w:w="284" w:type="dxa"/>
            <w:tcBorders>
              <w:left w:val="single" w:sz="4" w:space="0" w:color="auto"/>
              <w:bottom w:val="nil"/>
              <w:right w:val="single" w:sz="4" w:space="0" w:color="auto"/>
            </w:tcBorders>
            <w:shd w:val="clear" w:color="auto" w:fill="FFFFFF"/>
          </w:tcPr>
          <w:p w14:paraId="4012B276"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098BC8C9" w14:textId="77777777" w:rsidTr="005D447F">
        <w:trPr>
          <w:trHeight w:val="1134"/>
        </w:trPr>
        <w:tc>
          <w:tcPr>
            <w:tcW w:w="284" w:type="dxa"/>
            <w:tcBorders>
              <w:left w:val="single" w:sz="4" w:space="0" w:color="auto"/>
              <w:bottom w:val="nil"/>
              <w:right w:val="single" w:sz="4" w:space="0" w:color="auto"/>
            </w:tcBorders>
            <w:shd w:val="clear" w:color="auto" w:fill="FFFFFF"/>
          </w:tcPr>
          <w:p w14:paraId="69478740"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781C84ED"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Key activities:</w:t>
            </w:r>
          </w:p>
          <w:p w14:paraId="792480C4" w14:textId="77777777" w:rsidR="00CF038E" w:rsidRPr="0003136C" w:rsidRDefault="00303CA1" w:rsidP="00226DF1">
            <w:pPr>
              <w:numPr>
                <w:ilvl w:val="0"/>
                <w:numId w:val="31"/>
              </w:numPr>
              <w:spacing w:before="120" w:after="120"/>
              <w:jc w:val="both"/>
              <w:rPr>
                <w:rFonts w:ascii="Times New Roman" w:hAnsi="Times New Roman"/>
                <w:sz w:val="24"/>
                <w:szCs w:val="24"/>
              </w:rPr>
            </w:pPr>
            <w:r>
              <w:rPr>
                <w:rFonts w:ascii="Times New Roman" w:hAnsi="Times New Roman"/>
                <w:sz w:val="24"/>
              </w:rPr>
              <w:t>Organization of advocacy meetings to mobilize resources at the level of local municipalities and communities.</w:t>
            </w:r>
          </w:p>
          <w:p w14:paraId="086CC509" w14:textId="77777777" w:rsidR="002D3BEA" w:rsidRPr="0003136C" w:rsidRDefault="002D3BEA" w:rsidP="00226DF1">
            <w:pPr>
              <w:numPr>
                <w:ilvl w:val="0"/>
                <w:numId w:val="31"/>
              </w:numPr>
              <w:spacing w:before="120" w:after="120"/>
              <w:jc w:val="both"/>
              <w:rPr>
                <w:rFonts w:ascii="Times New Roman" w:hAnsi="Times New Roman"/>
                <w:sz w:val="24"/>
                <w:szCs w:val="24"/>
              </w:rPr>
            </w:pPr>
          </w:p>
        </w:tc>
        <w:tc>
          <w:tcPr>
            <w:tcW w:w="426" w:type="dxa"/>
            <w:tcBorders>
              <w:left w:val="single" w:sz="4" w:space="0" w:color="auto"/>
              <w:bottom w:val="nil"/>
              <w:right w:val="single" w:sz="4" w:space="0" w:color="auto"/>
            </w:tcBorders>
            <w:shd w:val="clear" w:color="auto" w:fill="FFFFFF"/>
          </w:tcPr>
          <w:p w14:paraId="4FCF980D" w14:textId="77777777" w:rsidR="002D3BEA" w:rsidRPr="00C83401" w:rsidRDefault="00E32BC9" w:rsidP="00226DF1">
            <w:pPr>
              <w:pStyle w:val="ListParagraph"/>
              <w:widowControl w:val="0"/>
              <w:numPr>
                <w:ilvl w:val="0"/>
                <w:numId w:val="31"/>
              </w:numPr>
              <w:spacing w:before="120" w:after="120"/>
              <w:jc w:val="both"/>
              <w:rPr>
                <w:rFonts w:ascii="Times New Roman" w:eastAsia="Calibri" w:hAnsi="Times New Roman"/>
                <w:sz w:val="24"/>
                <w:szCs w:val="24"/>
              </w:rPr>
            </w:pPr>
            <w:r>
              <w:rPr>
                <w:noProof/>
                <w:lang w:bidi="ar-SA"/>
              </w:rPr>
              <mc:AlternateContent>
                <mc:Choice Requires="wps">
                  <w:drawing>
                    <wp:anchor distT="4294967293" distB="4294967293" distL="114300" distR="114300" simplePos="0" relativeHeight="251709440" behindDoc="0" locked="0" layoutInCell="1" allowOverlap="1" wp14:anchorId="120BF9EE" wp14:editId="707FD0D6">
                      <wp:simplePos x="0" y="0"/>
                      <wp:positionH relativeFrom="column">
                        <wp:posOffset>-17145</wp:posOffset>
                      </wp:positionH>
                      <wp:positionV relativeFrom="paragraph">
                        <wp:posOffset>408304</wp:posOffset>
                      </wp:positionV>
                      <wp:extent cx="187325" cy="0"/>
                      <wp:effectExtent l="0" t="76200" r="22225" b="95250"/>
                      <wp:wrapNone/>
                      <wp:docPr id="13"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36" o:spid="_x0000_s1026" type="#_x0000_t32" style="position:absolute;margin-left:-1.35pt;margin-top:32.15pt;width:14.75pt;height:0;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0NAIAAF8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">
                      <v:stroke endarrow="block"/>
                    </v:shape>
                  </w:pict>
                </mc:Fallback>
              </mc:AlternateContent>
            </w:r>
          </w:p>
        </w:tc>
        <w:tc>
          <w:tcPr>
            <w:tcW w:w="4394" w:type="dxa"/>
            <w:tcBorders>
              <w:left w:val="single" w:sz="4" w:space="0" w:color="auto"/>
              <w:bottom w:val="single" w:sz="4" w:space="0" w:color="auto"/>
              <w:right w:val="single" w:sz="4" w:space="0" w:color="auto"/>
            </w:tcBorders>
            <w:shd w:val="clear" w:color="auto" w:fill="DBE5F1"/>
          </w:tcPr>
          <w:p w14:paraId="6A0903E3"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 xml:space="preserve">Outputs / Intermediate outcomes: </w:t>
            </w:r>
          </w:p>
          <w:p w14:paraId="76E6FB25" w14:textId="77777777" w:rsidR="00B03197" w:rsidRPr="0003136C" w:rsidRDefault="00B03197" w:rsidP="00226DF1">
            <w:pPr>
              <w:numPr>
                <w:ilvl w:val="0"/>
                <w:numId w:val="31"/>
              </w:numPr>
              <w:spacing w:before="120" w:after="120"/>
              <w:jc w:val="both"/>
              <w:rPr>
                <w:rFonts w:ascii="Times New Roman" w:hAnsi="Times New Roman"/>
                <w:sz w:val="24"/>
                <w:szCs w:val="24"/>
              </w:rPr>
            </w:pPr>
            <w:r>
              <w:rPr>
                <w:rFonts w:ascii="Times New Roman" w:hAnsi="Times New Roman"/>
                <w:sz w:val="24"/>
              </w:rPr>
              <w:t>The resources are mobilized for financing immunization at the operational level.</w:t>
            </w:r>
          </w:p>
          <w:p w14:paraId="163DB8EC" w14:textId="77777777" w:rsidR="00556EC7" w:rsidRPr="0003136C" w:rsidRDefault="00556EC7" w:rsidP="00226DF1">
            <w:pPr>
              <w:spacing w:before="120" w:after="120"/>
              <w:ind w:left="360"/>
              <w:jc w:val="both"/>
              <w:rPr>
                <w:rFonts w:ascii="Times New Roman" w:hAnsi="Times New Roman"/>
                <w:sz w:val="24"/>
                <w:szCs w:val="24"/>
              </w:rPr>
            </w:pPr>
          </w:p>
        </w:tc>
        <w:tc>
          <w:tcPr>
            <w:tcW w:w="283" w:type="dxa"/>
            <w:tcBorders>
              <w:left w:val="single" w:sz="4" w:space="0" w:color="auto"/>
              <w:bottom w:val="nil"/>
              <w:right w:val="single" w:sz="4" w:space="0" w:color="auto"/>
            </w:tcBorders>
            <w:shd w:val="clear" w:color="auto" w:fill="FFFFFF"/>
          </w:tcPr>
          <w:p w14:paraId="58EC0096" w14:textId="77777777" w:rsidR="002D3BEA" w:rsidRPr="00C83401" w:rsidRDefault="00E32BC9" w:rsidP="00226DF1">
            <w:pPr>
              <w:pStyle w:val="ListParagraph"/>
              <w:widowControl w:val="0"/>
              <w:numPr>
                <w:ilvl w:val="0"/>
                <w:numId w:val="31"/>
              </w:numPr>
              <w:spacing w:before="120" w:after="120"/>
              <w:jc w:val="both"/>
              <w:rPr>
                <w:rFonts w:ascii="Times New Roman" w:eastAsia="Calibri" w:hAnsi="Times New Roman"/>
                <w:sz w:val="24"/>
                <w:szCs w:val="24"/>
              </w:rPr>
            </w:pPr>
            <w:r>
              <w:rPr>
                <w:noProof/>
                <w:lang w:bidi="ar-SA"/>
              </w:rPr>
              <mc:AlternateContent>
                <mc:Choice Requires="wps">
                  <w:drawing>
                    <wp:anchor distT="0" distB="0" distL="114300" distR="114300" simplePos="0" relativeHeight="251710464" behindDoc="0" locked="0" layoutInCell="1" allowOverlap="1" wp14:anchorId="727B967A" wp14:editId="0A48C660">
                      <wp:simplePos x="0" y="0"/>
                      <wp:positionH relativeFrom="column">
                        <wp:posOffset>-34925</wp:posOffset>
                      </wp:positionH>
                      <wp:positionV relativeFrom="paragraph">
                        <wp:posOffset>408305</wp:posOffset>
                      </wp:positionV>
                      <wp:extent cx="125730" cy="635"/>
                      <wp:effectExtent l="0" t="76200" r="26670" b="94615"/>
                      <wp:wrapNone/>
                      <wp:docPr id="12"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AutoShape 237" o:spid="_x0000_s1026" type="#_x0000_t32" style="position:absolute;margin-left:-2.75pt;margin-top:32.15pt;width:9.9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">
                      <v:stroke endarrow="block"/>
                    </v:shape>
                  </w:pict>
                </mc:Fallback>
              </mc:AlternateContent>
            </w:r>
          </w:p>
        </w:tc>
        <w:tc>
          <w:tcPr>
            <w:tcW w:w="3969" w:type="dxa"/>
            <w:tcBorders>
              <w:left w:val="single" w:sz="4" w:space="0" w:color="auto"/>
              <w:bottom w:val="single" w:sz="4" w:space="0" w:color="auto"/>
              <w:right w:val="single" w:sz="4" w:space="0" w:color="auto"/>
            </w:tcBorders>
            <w:shd w:val="clear" w:color="auto" w:fill="F2DBDB"/>
          </w:tcPr>
          <w:p w14:paraId="70DF65F0"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Immunization outcomes:</w:t>
            </w:r>
          </w:p>
          <w:p w14:paraId="45569429" w14:textId="77777777" w:rsidR="002D3BEA" w:rsidRPr="0003136C" w:rsidRDefault="00E42851" w:rsidP="00226DF1">
            <w:pPr>
              <w:numPr>
                <w:ilvl w:val="0"/>
                <w:numId w:val="31"/>
              </w:numPr>
              <w:spacing w:before="120" w:after="120"/>
              <w:jc w:val="both"/>
              <w:rPr>
                <w:rFonts w:ascii="Times New Roman" w:hAnsi="Times New Roman"/>
                <w:sz w:val="24"/>
                <w:szCs w:val="24"/>
              </w:rPr>
            </w:pPr>
            <w:r>
              <w:rPr>
                <w:rFonts w:ascii="Times New Roman" w:hAnsi="Times New Roman"/>
                <w:sz w:val="24"/>
              </w:rPr>
              <w:t>Effective vaccine coverage was equitably improved.</w:t>
            </w:r>
          </w:p>
        </w:tc>
        <w:tc>
          <w:tcPr>
            <w:tcW w:w="284" w:type="dxa"/>
            <w:tcBorders>
              <w:left w:val="single" w:sz="4" w:space="0" w:color="auto"/>
              <w:bottom w:val="nil"/>
              <w:right w:val="single" w:sz="4" w:space="0" w:color="auto"/>
            </w:tcBorders>
            <w:shd w:val="clear" w:color="auto" w:fill="FFFFFF"/>
          </w:tcPr>
          <w:p w14:paraId="257EB8FF"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0E94F9E0" w14:textId="77777777" w:rsidTr="005D447F">
        <w:trPr>
          <w:trHeight w:val="1134"/>
        </w:trPr>
        <w:tc>
          <w:tcPr>
            <w:tcW w:w="284" w:type="dxa"/>
            <w:tcBorders>
              <w:left w:val="single" w:sz="4" w:space="0" w:color="auto"/>
              <w:bottom w:val="nil"/>
              <w:right w:val="single" w:sz="4" w:space="0" w:color="auto"/>
            </w:tcBorders>
            <w:shd w:val="clear" w:color="auto" w:fill="FFFFFF"/>
          </w:tcPr>
          <w:p w14:paraId="52A278B2" w14:textId="77777777" w:rsidR="002D3BEA" w:rsidRPr="0003136C" w:rsidRDefault="002D3BEA" w:rsidP="00226DF1">
            <w:pPr>
              <w:widowControl w:val="0"/>
              <w:spacing w:before="120" w:after="120"/>
              <w:jc w:val="both"/>
              <w:rPr>
                <w:rFonts w:ascii="Times New Roman" w:eastAsia="Calibri" w:hAnsi="Times New Roman"/>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14:paraId="3DFD2EEA"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Key Activities Indicators:</w:t>
            </w:r>
          </w:p>
          <w:p w14:paraId="34FD9037" w14:textId="77777777" w:rsidR="002D3BEA" w:rsidRPr="0003136C" w:rsidRDefault="00556EC7" w:rsidP="007706E8">
            <w:pPr>
              <w:numPr>
                <w:ilvl w:val="0"/>
                <w:numId w:val="31"/>
              </w:numPr>
              <w:spacing w:before="120" w:after="120"/>
              <w:jc w:val="both"/>
              <w:rPr>
                <w:rFonts w:ascii="Times New Roman" w:hAnsi="Times New Roman"/>
                <w:sz w:val="24"/>
                <w:szCs w:val="24"/>
              </w:rPr>
            </w:pPr>
            <w:r>
              <w:rPr>
                <w:rFonts w:ascii="Times New Roman" w:hAnsi="Times New Roman"/>
                <w:sz w:val="24"/>
              </w:rPr>
              <w:t>Number of meeting minutes available.</w:t>
            </w:r>
          </w:p>
        </w:tc>
        <w:tc>
          <w:tcPr>
            <w:tcW w:w="426" w:type="dxa"/>
            <w:tcBorders>
              <w:left w:val="single" w:sz="4" w:space="0" w:color="auto"/>
              <w:bottom w:val="nil"/>
              <w:right w:val="single" w:sz="4" w:space="0" w:color="auto"/>
            </w:tcBorders>
            <w:shd w:val="clear" w:color="auto" w:fill="FFFFFF"/>
          </w:tcPr>
          <w:p w14:paraId="7E925336" w14:textId="77777777" w:rsidR="002D3BEA" w:rsidRPr="00C83401" w:rsidRDefault="002D3BEA" w:rsidP="00226DF1">
            <w:pPr>
              <w:pStyle w:val="ListParagraph"/>
              <w:widowControl w:val="0"/>
              <w:numPr>
                <w:ilvl w:val="0"/>
                <w:numId w:val="31"/>
              </w:numPr>
              <w:spacing w:before="120" w:after="120"/>
              <w:jc w:val="both"/>
              <w:rPr>
                <w:rFonts w:ascii="Times New Roman" w:eastAsia="Calibri" w:hAnsi="Times New Roman"/>
                <w:sz w:val="24"/>
                <w:szCs w:val="24"/>
              </w:rPr>
            </w:pPr>
          </w:p>
        </w:tc>
        <w:tc>
          <w:tcPr>
            <w:tcW w:w="4394" w:type="dxa"/>
            <w:tcBorders>
              <w:left w:val="single" w:sz="4" w:space="0" w:color="auto"/>
              <w:bottom w:val="single" w:sz="4" w:space="0" w:color="auto"/>
              <w:right w:val="single" w:sz="4" w:space="0" w:color="auto"/>
            </w:tcBorders>
            <w:shd w:val="clear" w:color="auto" w:fill="DBE5F1"/>
          </w:tcPr>
          <w:p w14:paraId="4E8F3886"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Intermediate Results Indicators:</w:t>
            </w:r>
          </w:p>
          <w:p w14:paraId="67785AE6" w14:textId="77777777" w:rsidR="00556EC7" w:rsidRPr="0003136C" w:rsidRDefault="00556EC7" w:rsidP="00226DF1">
            <w:pPr>
              <w:numPr>
                <w:ilvl w:val="0"/>
                <w:numId w:val="31"/>
              </w:numPr>
              <w:spacing w:before="120" w:after="120"/>
              <w:jc w:val="both"/>
              <w:rPr>
                <w:rFonts w:ascii="Times New Roman" w:hAnsi="Times New Roman"/>
                <w:sz w:val="24"/>
                <w:szCs w:val="24"/>
              </w:rPr>
            </w:pPr>
            <w:r>
              <w:rPr>
                <w:rFonts w:ascii="Times New Roman" w:hAnsi="Times New Roman"/>
                <w:sz w:val="24"/>
              </w:rPr>
              <w:t>Proportion of towns that mobilize resources for immunization.</w:t>
            </w:r>
          </w:p>
          <w:p w14:paraId="0F440AD1" w14:textId="77777777" w:rsidR="00556EC7" w:rsidRPr="0003136C" w:rsidRDefault="00556EC7" w:rsidP="00226DF1">
            <w:pPr>
              <w:spacing w:before="120" w:after="120"/>
              <w:ind w:left="751"/>
              <w:jc w:val="both"/>
              <w:rPr>
                <w:rFonts w:ascii="Times New Roman" w:hAnsi="Times New Roman"/>
                <w:sz w:val="24"/>
                <w:szCs w:val="24"/>
              </w:rPr>
            </w:pPr>
          </w:p>
        </w:tc>
        <w:tc>
          <w:tcPr>
            <w:tcW w:w="283" w:type="dxa"/>
            <w:tcBorders>
              <w:left w:val="single" w:sz="4" w:space="0" w:color="auto"/>
              <w:bottom w:val="nil"/>
              <w:right w:val="single" w:sz="4" w:space="0" w:color="auto"/>
            </w:tcBorders>
            <w:shd w:val="clear" w:color="auto" w:fill="FFFFFF"/>
          </w:tcPr>
          <w:p w14:paraId="405F9E8F" w14:textId="77777777" w:rsidR="002D3BEA" w:rsidRPr="00C83401" w:rsidRDefault="002D3BEA" w:rsidP="00226DF1">
            <w:pPr>
              <w:pStyle w:val="ListParagraph"/>
              <w:widowControl w:val="0"/>
              <w:numPr>
                <w:ilvl w:val="0"/>
                <w:numId w:val="31"/>
              </w:numPr>
              <w:spacing w:before="120" w:after="120"/>
              <w:jc w:val="both"/>
              <w:rPr>
                <w:rFonts w:ascii="Times New Roman" w:eastAsia="Calibri" w:hAnsi="Times New Roman"/>
                <w:sz w:val="24"/>
                <w:szCs w:val="24"/>
              </w:rPr>
            </w:pPr>
          </w:p>
        </w:tc>
        <w:tc>
          <w:tcPr>
            <w:tcW w:w="3969" w:type="dxa"/>
            <w:tcBorders>
              <w:left w:val="single" w:sz="4" w:space="0" w:color="auto"/>
              <w:bottom w:val="single" w:sz="4" w:space="0" w:color="auto"/>
              <w:right w:val="single" w:sz="4" w:space="0" w:color="auto"/>
            </w:tcBorders>
            <w:shd w:val="clear" w:color="auto" w:fill="F2DBDB"/>
          </w:tcPr>
          <w:p w14:paraId="2F52BB5A" w14:textId="77777777" w:rsidR="002D3BEA" w:rsidRPr="00C83401"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Related Immunisation Outcome Indicators:</w:t>
            </w:r>
          </w:p>
          <w:p w14:paraId="13EA38A6" w14:textId="77777777" w:rsidR="00864E75" w:rsidRPr="0003136C" w:rsidRDefault="00864E75" w:rsidP="00226DF1">
            <w:pPr>
              <w:numPr>
                <w:ilvl w:val="0"/>
                <w:numId w:val="31"/>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Penta3 coverage </w:t>
            </w:r>
          </w:p>
          <w:p w14:paraId="1B8C00B0" w14:textId="77777777" w:rsidR="00864E75" w:rsidRPr="0003136C" w:rsidRDefault="00864E75" w:rsidP="00226DF1">
            <w:pPr>
              <w:numPr>
                <w:ilvl w:val="0"/>
                <w:numId w:val="31"/>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Measles coverage - </w:t>
            </w:r>
          </w:p>
          <w:p w14:paraId="6503253F" w14:textId="77777777" w:rsidR="00864E75" w:rsidRPr="0003136C" w:rsidRDefault="00864E75" w:rsidP="00226DF1">
            <w:pPr>
              <w:numPr>
                <w:ilvl w:val="0"/>
                <w:numId w:val="31"/>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Percent of districts with PENTA3 coverage ≥80% </w:t>
            </w:r>
          </w:p>
          <w:p w14:paraId="44B8BC66" w14:textId="77777777" w:rsidR="00864E75" w:rsidRPr="0003136C" w:rsidRDefault="00864E75" w:rsidP="00226DF1">
            <w:pPr>
              <w:numPr>
                <w:ilvl w:val="0"/>
                <w:numId w:val="31"/>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 xml:space="preserve">Difference in Penta3 coverage between lowest and highest wealth quintile. </w:t>
            </w:r>
          </w:p>
          <w:p w14:paraId="7E207F13" w14:textId="77777777" w:rsidR="00864E75" w:rsidRPr="0003136C" w:rsidRDefault="00864E75" w:rsidP="00226DF1">
            <w:pPr>
              <w:numPr>
                <w:ilvl w:val="0"/>
                <w:numId w:val="31"/>
              </w:num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rPr>
              <w:t>Drop-out rate for Penta1/Penta3</w:t>
            </w:r>
          </w:p>
          <w:p w14:paraId="3FB7FCEE" w14:textId="77777777" w:rsidR="002D3BEA" w:rsidRPr="0003136C" w:rsidRDefault="00864E75" w:rsidP="00226DF1">
            <w:pPr>
              <w:numPr>
                <w:ilvl w:val="0"/>
                <w:numId w:val="31"/>
              </w:numPr>
              <w:spacing w:before="120" w:after="120"/>
              <w:jc w:val="both"/>
              <w:rPr>
                <w:rFonts w:ascii="Times New Roman" w:hAnsi="Times New Roman"/>
                <w:sz w:val="24"/>
                <w:szCs w:val="24"/>
              </w:rPr>
            </w:pPr>
            <w:r>
              <w:rPr>
                <w:rFonts w:ascii="Times New Roman" w:hAnsi="Times New Roman"/>
                <w:color w:val="000000"/>
                <w:sz w:val="24"/>
              </w:rPr>
              <w:t>Fully immunized child</w:t>
            </w:r>
          </w:p>
        </w:tc>
        <w:tc>
          <w:tcPr>
            <w:tcW w:w="284" w:type="dxa"/>
            <w:tcBorders>
              <w:left w:val="single" w:sz="4" w:space="0" w:color="auto"/>
              <w:bottom w:val="nil"/>
              <w:right w:val="single" w:sz="4" w:space="0" w:color="auto"/>
            </w:tcBorders>
            <w:shd w:val="clear" w:color="auto" w:fill="FFFFFF"/>
          </w:tcPr>
          <w:p w14:paraId="106F0810" w14:textId="77777777" w:rsidR="002D3BEA" w:rsidRPr="0003136C" w:rsidRDefault="002D3BEA" w:rsidP="00226DF1">
            <w:pPr>
              <w:widowControl w:val="0"/>
              <w:spacing w:before="120" w:after="120"/>
              <w:jc w:val="both"/>
              <w:rPr>
                <w:rFonts w:ascii="Times New Roman" w:eastAsia="Calibri" w:hAnsi="Times New Roman"/>
                <w:sz w:val="24"/>
                <w:szCs w:val="24"/>
              </w:rPr>
            </w:pPr>
          </w:p>
        </w:tc>
      </w:tr>
      <w:tr w:rsidR="002D3BEA" w:rsidRPr="0003136C" w14:paraId="6751D2BE" w14:textId="77777777" w:rsidTr="005D447F">
        <w:trPr>
          <w:trHeight w:val="642"/>
        </w:trPr>
        <w:tc>
          <w:tcPr>
            <w:tcW w:w="15026" w:type="dxa"/>
            <w:gridSpan w:val="7"/>
            <w:tcBorders>
              <w:top w:val="single" w:sz="4" w:space="0" w:color="auto"/>
            </w:tcBorders>
            <w:shd w:val="clear" w:color="auto" w:fill="FFFFFF"/>
          </w:tcPr>
          <w:p w14:paraId="0442B25D" w14:textId="77777777" w:rsidR="003776EF" w:rsidRPr="0003136C" w:rsidRDefault="003776EF" w:rsidP="00226DF1">
            <w:pPr>
              <w:spacing w:before="120" w:after="120"/>
              <w:jc w:val="both"/>
              <w:rPr>
                <w:rFonts w:ascii="Times New Roman" w:hAnsi="Times New Roman"/>
                <w:b/>
                <w:sz w:val="24"/>
                <w:szCs w:val="24"/>
                <w:u w:val="single"/>
              </w:rPr>
            </w:pPr>
          </w:p>
          <w:p w14:paraId="0DC13ECE" w14:textId="77777777" w:rsidR="002D3BEA" w:rsidRPr="0003136C" w:rsidRDefault="002D3BEA" w:rsidP="00226DF1">
            <w:pPr>
              <w:spacing w:before="120" w:after="120"/>
              <w:jc w:val="both"/>
              <w:rPr>
                <w:rFonts w:ascii="Times New Roman" w:hAnsi="Times New Roman"/>
                <w:b/>
                <w:sz w:val="24"/>
                <w:szCs w:val="24"/>
              </w:rPr>
            </w:pPr>
            <w:r>
              <w:rPr>
                <w:rFonts w:ascii="Times New Roman" w:hAnsi="Times New Roman"/>
                <w:b/>
                <w:sz w:val="24"/>
                <w:u w:val="single"/>
              </w:rPr>
              <w:t xml:space="preserve">IMPACT: </w:t>
            </w:r>
            <w:r>
              <w:rPr>
                <w:rFonts w:ascii="Times New Roman" w:hAnsi="Times New Roman"/>
                <w:b/>
                <w:sz w:val="24"/>
              </w:rPr>
              <w:t>Please provide an impact statement and indicator(s)</w:t>
            </w:r>
          </w:p>
          <w:p w14:paraId="49930DF9" w14:textId="77777777" w:rsidR="003776EF" w:rsidRPr="0003136C" w:rsidRDefault="006B7A76" w:rsidP="00226DF1">
            <w:pPr>
              <w:spacing w:before="120" w:after="120"/>
              <w:jc w:val="both"/>
              <w:rPr>
                <w:rFonts w:ascii="Times New Roman" w:hAnsi="Times New Roman"/>
                <w:b/>
                <w:sz w:val="24"/>
                <w:szCs w:val="24"/>
              </w:rPr>
            </w:pPr>
            <w:r>
              <w:rPr>
                <w:rFonts w:ascii="Times New Roman" w:hAnsi="Times New Roman"/>
                <w:b/>
                <w:sz w:val="24"/>
              </w:rPr>
              <w:t xml:space="preserve">Impact: </w:t>
            </w:r>
          </w:p>
          <w:p w14:paraId="298BD895" w14:textId="77777777" w:rsidR="004C0478" w:rsidRPr="0003136C" w:rsidRDefault="009E4C4E" w:rsidP="00226DF1">
            <w:pPr>
              <w:numPr>
                <w:ilvl w:val="0"/>
                <w:numId w:val="18"/>
              </w:numPr>
              <w:spacing w:before="120" w:after="120"/>
              <w:jc w:val="both"/>
              <w:rPr>
                <w:rFonts w:ascii="Times New Roman" w:hAnsi="Times New Roman"/>
                <w:sz w:val="24"/>
                <w:szCs w:val="24"/>
              </w:rPr>
            </w:pPr>
            <w:r>
              <w:rPr>
                <w:rFonts w:ascii="Times New Roman" w:hAnsi="Times New Roman"/>
                <w:sz w:val="24"/>
              </w:rPr>
              <w:t>Contribute to reducing infant and child mortality</w:t>
            </w:r>
          </w:p>
          <w:p w14:paraId="75009EC6" w14:textId="77777777" w:rsidR="004205D3" w:rsidRPr="0003136C" w:rsidRDefault="004C0478" w:rsidP="00226DF1">
            <w:pPr>
              <w:numPr>
                <w:ilvl w:val="0"/>
                <w:numId w:val="18"/>
              </w:numPr>
              <w:spacing w:before="120" w:after="120"/>
              <w:jc w:val="both"/>
              <w:rPr>
                <w:rFonts w:ascii="Times New Roman" w:hAnsi="Times New Roman"/>
                <w:sz w:val="24"/>
                <w:szCs w:val="24"/>
              </w:rPr>
            </w:pPr>
            <w:r>
              <w:rPr>
                <w:rFonts w:ascii="Times New Roman" w:hAnsi="Times New Roman"/>
                <w:sz w:val="24"/>
              </w:rPr>
              <w:t>Reduce the incidence of vaccine-preventable diseases.</w:t>
            </w:r>
          </w:p>
          <w:p w14:paraId="33D7F92F" w14:textId="77777777" w:rsidR="004C0478" w:rsidRPr="0003136C" w:rsidRDefault="004205D3" w:rsidP="00226DF1">
            <w:pPr>
              <w:spacing w:before="120" w:after="120"/>
              <w:jc w:val="both"/>
              <w:rPr>
                <w:rFonts w:ascii="Times New Roman" w:hAnsi="Times New Roman"/>
                <w:sz w:val="24"/>
                <w:szCs w:val="24"/>
              </w:rPr>
            </w:pPr>
            <w:r>
              <w:rPr>
                <w:rFonts w:ascii="Times New Roman" w:hAnsi="Times New Roman"/>
                <w:b/>
                <w:sz w:val="24"/>
              </w:rPr>
              <w:t>Impact indicators:</w:t>
            </w:r>
            <w:r>
              <w:rPr>
                <w:rFonts w:ascii="Times New Roman" w:hAnsi="Times New Roman"/>
                <w:sz w:val="24"/>
              </w:rPr>
              <w:t xml:space="preserve"> </w:t>
            </w:r>
          </w:p>
          <w:p w14:paraId="7F7F3F16" w14:textId="77777777" w:rsidR="009E4C4E" w:rsidRPr="0003136C" w:rsidRDefault="009E4C4E" w:rsidP="00226DF1">
            <w:pPr>
              <w:numPr>
                <w:ilvl w:val="0"/>
                <w:numId w:val="13"/>
              </w:numPr>
              <w:spacing w:before="120" w:after="120"/>
              <w:jc w:val="both"/>
              <w:rPr>
                <w:rFonts w:ascii="Times New Roman" w:hAnsi="Times New Roman"/>
                <w:sz w:val="24"/>
                <w:szCs w:val="24"/>
              </w:rPr>
            </w:pPr>
            <w:r>
              <w:rPr>
                <w:rFonts w:ascii="Times New Roman" w:hAnsi="Times New Roman"/>
                <w:sz w:val="24"/>
              </w:rPr>
              <w:t>Under-five mortality rates</w:t>
            </w:r>
          </w:p>
          <w:p w14:paraId="4FA425FA" w14:textId="77777777" w:rsidR="00B36ABC" w:rsidRPr="0003136C" w:rsidRDefault="009E4C4E" w:rsidP="00226DF1">
            <w:pPr>
              <w:numPr>
                <w:ilvl w:val="0"/>
                <w:numId w:val="13"/>
              </w:numPr>
              <w:spacing w:before="120" w:after="120"/>
              <w:jc w:val="both"/>
              <w:rPr>
                <w:rFonts w:ascii="Times New Roman" w:hAnsi="Times New Roman"/>
                <w:sz w:val="24"/>
                <w:szCs w:val="24"/>
              </w:rPr>
            </w:pPr>
            <w:r>
              <w:rPr>
                <w:rFonts w:ascii="Times New Roman" w:hAnsi="Times New Roman"/>
                <w:sz w:val="24"/>
              </w:rPr>
              <w:t xml:space="preserve">Incidence of measles. </w:t>
            </w:r>
          </w:p>
        </w:tc>
      </w:tr>
      <w:tr w:rsidR="002D3BEA" w:rsidRPr="0003136C" w14:paraId="373D8DF9" w14:textId="77777777" w:rsidTr="005D447F">
        <w:trPr>
          <w:trHeight w:val="642"/>
        </w:trPr>
        <w:tc>
          <w:tcPr>
            <w:tcW w:w="15026" w:type="dxa"/>
            <w:gridSpan w:val="7"/>
            <w:shd w:val="clear" w:color="auto" w:fill="FFFFFF"/>
          </w:tcPr>
          <w:p w14:paraId="490EA494" w14:textId="77777777" w:rsidR="002D3BEA" w:rsidRPr="0003136C" w:rsidRDefault="002D3BEA" w:rsidP="00226DF1">
            <w:pPr>
              <w:spacing w:before="120" w:after="120"/>
              <w:jc w:val="both"/>
              <w:rPr>
                <w:rFonts w:ascii="Times New Roman" w:hAnsi="Times New Roman"/>
                <w:b/>
                <w:sz w:val="24"/>
                <w:szCs w:val="24"/>
                <w:u w:val="single"/>
              </w:rPr>
            </w:pPr>
            <w:r>
              <w:rPr>
                <w:rFonts w:ascii="Times New Roman" w:hAnsi="Times New Roman"/>
                <w:b/>
                <w:sz w:val="24"/>
                <w:u w:val="single"/>
              </w:rPr>
              <w:t>HYPOTHESES:</w:t>
            </w:r>
          </w:p>
          <w:p w14:paraId="51CCAEA3" w14:textId="77777777" w:rsidR="001C4F9C" w:rsidRPr="0003136C" w:rsidRDefault="001C4F9C" w:rsidP="00226DF1">
            <w:pPr>
              <w:numPr>
                <w:ilvl w:val="0"/>
                <w:numId w:val="4"/>
              </w:numPr>
              <w:spacing w:before="120" w:after="120"/>
              <w:jc w:val="both"/>
              <w:rPr>
                <w:rFonts w:ascii="Times New Roman" w:hAnsi="Times New Roman"/>
                <w:sz w:val="24"/>
                <w:szCs w:val="24"/>
              </w:rPr>
            </w:pPr>
            <w:r>
              <w:rPr>
                <w:rFonts w:ascii="Times New Roman" w:hAnsi="Times New Roman"/>
                <w:sz w:val="24"/>
              </w:rPr>
              <w:t>Political and institutional stability maintained;</w:t>
            </w:r>
          </w:p>
          <w:p w14:paraId="34547A22" w14:textId="77777777" w:rsidR="006E1FE5" w:rsidRPr="0003136C" w:rsidRDefault="001C4F9C" w:rsidP="00226DF1">
            <w:pPr>
              <w:numPr>
                <w:ilvl w:val="0"/>
                <w:numId w:val="4"/>
              </w:numPr>
              <w:spacing w:before="120" w:after="120"/>
              <w:jc w:val="both"/>
              <w:rPr>
                <w:rFonts w:ascii="Times New Roman" w:hAnsi="Times New Roman"/>
                <w:sz w:val="24"/>
                <w:szCs w:val="24"/>
              </w:rPr>
            </w:pPr>
            <w:r>
              <w:rPr>
                <w:rFonts w:ascii="Times New Roman" w:hAnsi="Times New Roman"/>
                <w:sz w:val="24"/>
              </w:rPr>
              <w:t>Strengthening the budget resources allocated by the Government to immunization;</w:t>
            </w:r>
          </w:p>
          <w:p w14:paraId="27DE38CE" w14:textId="77777777" w:rsidR="001C4F9C" w:rsidRPr="0003136C" w:rsidRDefault="005370BD" w:rsidP="00226DF1">
            <w:pPr>
              <w:numPr>
                <w:ilvl w:val="0"/>
                <w:numId w:val="4"/>
              </w:numPr>
              <w:spacing w:before="120" w:after="120"/>
              <w:jc w:val="both"/>
              <w:rPr>
                <w:rFonts w:ascii="Times New Roman" w:hAnsi="Times New Roman"/>
                <w:sz w:val="24"/>
                <w:szCs w:val="24"/>
              </w:rPr>
            </w:pPr>
            <w:r>
              <w:rPr>
                <w:rFonts w:ascii="Times New Roman" w:hAnsi="Times New Roman"/>
                <w:sz w:val="24"/>
              </w:rPr>
              <w:t>Conclusion of the security crisis;</w:t>
            </w:r>
          </w:p>
          <w:p w14:paraId="1335F122" w14:textId="77777777" w:rsidR="00AA62FE" w:rsidRPr="0003136C" w:rsidRDefault="00AA62FE" w:rsidP="00226DF1">
            <w:pPr>
              <w:numPr>
                <w:ilvl w:val="0"/>
                <w:numId w:val="4"/>
              </w:numPr>
              <w:spacing w:before="120" w:after="120"/>
              <w:jc w:val="both"/>
              <w:rPr>
                <w:rFonts w:ascii="Times New Roman" w:hAnsi="Times New Roman"/>
                <w:sz w:val="24"/>
                <w:szCs w:val="24"/>
              </w:rPr>
            </w:pPr>
            <w:r>
              <w:rPr>
                <w:rFonts w:ascii="Times New Roman" w:hAnsi="Times New Roman"/>
                <w:sz w:val="24"/>
              </w:rPr>
              <w:t>Good governance of financing allocated to health;</w:t>
            </w:r>
          </w:p>
          <w:p w14:paraId="177064F8" w14:textId="77777777" w:rsidR="00C918D7" w:rsidRPr="0003136C" w:rsidRDefault="005370BD" w:rsidP="00226DF1">
            <w:pPr>
              <w:numPr>
                <w:ilvl w:val="0"/>
                <w:numId w:val="4"/>
              </w:numPr>
              <w:spacing w:before="120" w:after="120"/>
              <w:jc w:val="both"/>
              <w:rPr>
                <w:rFonts w:ascii="Times New Roman" w:hAnsi="Times New Roman"/>
                <w:sz w:val="24"/>
                <w:szCs w:val="24"/>
              </w:rPr>
            </w:pPr>
            <w:r>
              <w:rPr>
                <w:rFonts w:ascii="Times New Roman" w:hAnsi="Times New Roman"/>
                <w:sz w:val="24"/>
              </w:rPr>
              <w:t>Effective recovery and continuation of bilateral and multilateral cooperation.</w:t>
            </w:r>
          </w:p>
          <w:p w14:paraId="4DDE39BC" w14:textId="77777777" w:rsidR="00C918D7" w:rsidRPr="0003136C" w:rsidRDefault="00C918D7" w:rsidP="00226DF1">
            <w:pPr>
              <w:spacing w:before="120" w:after="120"/>
              <w:jc w:val="both"/>
              <w:rPr>
                <w:rFonts w:ascii="Times New Roman" w:hAnsi="Times New Roman"/>
                <w:b/>
                <w:sz w:val="24"/>
                <w:szCs w:val="24"/>
                <w:u w:val="single"/>
              </w:rPr>
            </w:pPr>
            <w:r>
              <w:rPr>
                <w:rFonts w:ascii="Times New Roman" w:hAnsi="Times New Roman"/>
                <w:b/>
                <w:sz w:val="24"/>
                <w:u w:val="single"/>
              </w:rPr>
              <w:t>Risks:</w:t>
            </w:r>
          </w:p>
          <w:p w14:paraId="6159D19D" w14:textId="77777777" w:rsidR="00C918D7" w:rsidRPr="0003136C" w:rsidRDefault="00C918D7" w:rsidP="00226DF1">
            <w:pPr>
              <w:numPr>
                <w:ilvl w:val="0"/>
                <w:numId w:val="4"/>
              </w:numPr>
              <w:spacing w:before="120" w:after="120"/>
              <w:jc w:val="both"/>
              <w:rPr>
                <w:rFonts w:ascii="Times New Roman" w:hAnsi="Times New Roman"/>
                <w:sz w:val="24"/>
                <w:szCs w:val="24"/>
              </w:rPr>
            </w:pPr>
            <w:r>
              <w:rPr>
                <w:rFonts w:ascii="Times New Roman" w:hAnsi="Times New Roman"/>
                <w:sz w:val="24"/>
              </w:rPr>
              <w:t>Degradation of the security situation;</w:t>
            </w:r>
          </w:p>
          <w:p w14:paraId="4DCB5897" w14:textId="77777777" w:rsidR="00C918D7" w:rsidRPr="0003136C" w:rsidRDefault="00C918D7" w:rsidP="00226DF1">
            <w:pPr>
              <w:numPr>
                <w:ilvl w:val="0"/>
                <w:numId w:val="4"/>
              </w:numPr>
              <w:spacing w:before="120" w:after="120"/>
              <w:jc w:val="both"/>
              <w:rPr>
                <w:rFonts w:ascii="Times New Roman" w:hAnsi="Times New Roman"/>
                <w:sz w:val="24"/>
                <w:szCs w:val="24"/>
              </w:rPr>
            </w:pPr>
            <w:r>
              <w:rPr>
                <w:rFonts w:ascii="Times New Roman" w:hAnsi="Times New Roman"/>
                <w:sz w:val="24"/>
              </w:rPr>
              <w:t>Insufficient availability of certain vaccines on the global market;</w:t>
            </w:r>
          </w:p>
          <w:p w14:paraId="0D12698F" w14:textId="77777777" w:rsidR="00C918D7" w:rsidRPr="0003136C" w:rsidRDefault="00C918D7" w:rsidP="00226DF1">
            <w:pPr>
              <w:numPr>
                <w:ilvl w:val="0"/>
                <w:numId w:val="4"/>
              </w:numPr>
              <w:spacing w:before="120" w:after="120"/>
              <w:jc w:val="both"/>
              <w:rPr>
                <w:rFonts w:ascii="Times New Roman" w:hAnsi="Times New Roman"/>
                <w:sz w:val="24"/>
                <w:szCs w:val="24"/>
              </w:rPr>
            </w:pPr>
            <w:r>
              <w:rPr>
                <w:rFonts w:ascii="Times New Roman" w:hAnsi="Times New Roman"/>
                <w:sz w:val="24"/>
              </w:rPr>
              <w:t>Outbreaks of an epidemic or a natural catastrophe;</w:t>
            </w:r>
          </w:p>
          <w:p w14:paraId="1668381E" w14:textId="77777777" w:rsidR="000E6842" w:rsidRPr="0003136C" w:rsidRDefault="00A50814" w:rsidP="00226DF1">
            <w:pPr>
              <w:numPr>
                <w:ilvl w:val="0"/>
                <w:numId w:val="4"/>
              </w:numPr>
              <w:spacing w:before="120" w:after="120"/>
              <w:jc w:val="both"/>
              <w:rPr>
                <w:rFonts w:ascii="Times New Roman" w:hAnsi="Times New Roman"/>
                <w:sz w:val="24"/>
                <w:szCs w:val="24"/>
              </w:rPr>
            </w:pPr>
            <w:r>
              <w:rPr>
                <w:rFonts w:ascii="Times New Roman" w:hAnsi="Times New Roman"/>
                <w:sz w:val="24"/>
              </w:rPr>
              <w:t>Failure of stakeholders to respect their commitments.</w:t>
            </w:r>
          </w:p>
        </w:tc>
      </w:tr>
      <w:tr w:rsidR="002D3BEA" w:rsidRPr="0003136C" w14:paraId="6F22ED00" w14:textId="77777777" w:rsidTr="005D447F">
        <w:trPr>
          <w:trHeight w:val="278"/>
        </w:trPr>
        <w:tc>
          <w:tcPr>
            <w:tcW w:w="15026" w:type="dxa"/>
            <w:gridSpan w:val="7"/>
            <w:shd w:val="clear" w:color="auto" w:fill="FFFFFF"/>
          </w:tcPr>
          <w:p w14:paraId="4F7C5057" w14:textId="77777777" w:rsidR="002D3BEA" w:rsidRPr="0003136C" w:rsidRDefault="002D3BEA" w:rsidP="00226DF1">
            <w:pPr>
              <w:widowControl w:val="0"/>
              <w:spacing w:before="120" w:after="120"/>
              <w:jc w:val="both"/>
              <w:rPr>
                <w:rFonts w:ascii="Times New Roman" w:eastAsia="Calibri" w:hAnsi="Times New Roman"/>
                <w:b/>
                <w:sz w:val="24"/>
                <w:szCs w:val="24"/>
              </w:rPr>
            </w:pPr>
            <w:r>
              <w:rPr>
                <w:rFonts w:ascii="Times New Roman" w:hAnsi="Times New Roman"/>
                <w:b/>
                <w:sz w:val="24"/>
              </w:rPr>
              <w:t>FOUR PAGES MAXIMUM</w:t>
            </w:r>
          </w:p>
        </w:tc>
      </w:tr>
    </w:tbl>
    <w:p w14:paraId="29EAF936" w14:textId="77777777" w:rsidR="00867FFD" w:rsidRPr="004B5884" w:rsidRDefault="00867FFD" w:rsidP="00226DF1">
      <w:pPr>
        <w:widowControl w:val="0"/>
        <w:spacing w:before="120" w:after="120"/>
        <w:jc w:val="both"/>
        <w:rPr>
          <w:rFonts w:ascii="Times New Roman" w:eastAsia="Calibri" w:hAnsi="Times New Roman"/>
          <w:sz w:val="24"/>
          <w:szCs w:val="24"/>
        </w:rPr>
      </w:pPr>
    </w:p>
    <w:p w14:paraId="366748C9" w14:textId="77777777" w:rsidR="00867FFD" w:rsidRPr="004B5884" w:rsidRDefault="00867FFD" w:rsidP="00226DF1">
      <w:pPr>
        <w:widowControl w:val="0"/>
        <w:spacing w:before="120" w:after="120"/>
        <w:jc w:val="both"/>
        <w:rPr>
          <w:rFonts w:ascii="Times New Roman" w:eastAsia="Calibri" w:hAnsi="Times New Roman"/>
          <w:sz w:val="24"/>
          <w:szCs w:val="24"/>
        </w:rPr>
        <w:sectPr w:rsidR="00867FFD" w:rsidRPr="004B5884" w:rsidSect="00887ED2">
          <w:pgSz w:w="16839" w:h="11907" w:orient="landscape" w:code="9"/>
          <w:pgMar w:top="851" w:right="992" w:bottom="851" w:left="992" w:header="709" w:footer="709" w:gutter="0"/>
          <w:cols w:space="708"/>
          <w:docGrid w:linePitch="360"/>
        </w:sectPr>
      </w:pPr>
    </w:p>
    <w:tbl>
      <w:tblPr>
        <w:tblW w:w="10369"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69"/>
      </w:tblGrid>
      <w:tr w:rsidR="00867FFD" w:rsidRPr="009316FF" w14:paraId="0907930A" w14:textId="77777777" w:rsidTr="00F34CAD">
        <w:trPr>
          <w:trHeight w:val="146"/>
        </w:trPr>
        <w:tc>
          <w:tcPr>
            <w:tcW w:w="10369" w:type="dxa"/>
            <w:tcBorders>
              <w:bottom w:val="single" w:sz="6" w:space="0" w:color="215868"/>
            </w:tcBorders>
            <w:shd w:val="clear" w:color="auto" w:fill="auto"/>
            <w:vAlign w:val="center"/>
          </w:tcPr>
          <w:p w14:paraId="33601B64"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For further instructions, please refer to the Supplementary Guidelines for HSS Applications</w:t>
            </w:r>
          </w:p>
        </w:tc>
      </w:tr>
      <w:tr w:rsidR="00867FFD" w:rsidRPr="009316FF" w14:paraId="654AE118" w14:textId="77777777" w:rsidTr="00F34CAD">
        <w:trPr>
          <w:trHeight w:val="146"/>
        </w:trPr>
        <w:tc>
          <w:tcPr>
            <w:tcW w:w="10369" w:type="dxa"/>
            <w:tcBorders>
              <w:bottom w:val="single" w:sz="6" w:space="0" w:color="215868"/>
            </w:tcBorders>
            <w:shd w:val="clear" w:color="auto" w:fill="006666"/>
          </w:tcPr>
          <w:p w14:paraId="02A09398" w14:textId="77777777" w:rsidR="00867FFD" w:rsidRPr="004B5884" w:rsidRDefault="00867FFD" w:rsidP="00226DF1">
            <w:pPr>
              <w:pStyle w:val="Heading2"/>
              <w:rPr>
                <w:rFonts w:ascii="Times New Roman" w:eastAsia="Calibri" w:hAnsi="Times New Roman"/>
                <w:sz w:val="24"/>
                <w:szCs w:val="24"/>
              </w:rPr>
            </w:pPr>
            <w:bookmarkStart w:id="77" w:name="_Toc346116657"/>
            <w:bookmarkStart w:id="78" w:name="_Toc398181097"/>
            <w:bookmarkStart w:id="79" w:name="_Toc276342226"/>
            <w:r>
              <w:rPr>
                <w:rFonts w:ascii="Times New Roman" w:hAnsi="Times New Roman"/>
                <w:sz w:val="24"/>
              </w:rPr>
              <w:t xml:space="preserve">14. Monitoring and </w:t>
            </w:r>
            <w:bookmarkEnd w:id="77"/>
            <w:r>
              <w:rPr>
                <w:rFonts w:ascii="Times New Roman" w:hAnsi="Times New Roman"/>
                <w:sz w:val="24"/>
              </w:rPr>
              <w:t>Evaluation</w:t>
            </w:r>
            <w:bookmarkEnd w:id="78"/>
            <w:bookmarkEnd w:id="79"/>
          </w:p>
        </w:tc>
      </w:tr>
      <w:tr w:rsidR="00867FFD" w:rsidRPr="009316FF" w14:paraId="40A42E28" w14:textId="77777777" w:rsidTr="00F34CAD">
        <w:trPr>
          <w:trHeight w:val="146"/>
        </w:trPr>
        <w:tc>
          <w:tcPr>
            <w:tcW w:w="10369" w:type="dxa"/>
            <w:shd w:val="clear" w:color="auto" w:fill="FFFFFF"/>
          </w:tcPr>
          <w:p w14:paraId="04AA3C60"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This description will enable GAVI to assess how programme performance will be monitored and to ensure alignment with National M&amp;E arrangements. The proposed M&amp;E framework for the HSS grant should link to the proposed Results Chain. While the Results Chain provides the rationale for how the proposed activities will result in improved immunisation outcomes, this section provides details of how the monitoring and evaluation will be undertaken.</w:t>
            </w:r>
          </w:p>
          <w:p w14:paraId="11DAF383"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xml:space="preserve">Please note that the detail on activities, intermediate results and immunisation outcomes and their related indicators represents only a portion of what Monitoring and Evaluation consists of. As highlighted by the IHP+ Common M&amp;E Framework diagram (Figure 3 in the Supplementary HSS Guidelines), the additional elements of data collection, analysis and synthesis, and communication and use are equally important. This section should therefore focus on providing a detailed description of how this proposal intends to tackle these elements. </w:t>
            </w:r>
          </w:p>
          <w:p w14:paraId="17BCAAC1"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xml:space="preserve">*Where possible, GAVI asks for both country administrative data as well as data from ‘other’ sources. "Other" recommended data sources are DHS/MICS or recent coverage estimates from WHO/UNICEF. If the difference between these reported data are more than 5% points, the country should include an explanation as to how they plan to strengthen data quality as part of the M&amp;E Framework of the HSS grant. Even if the discrepancy is less than 5 percentage points, countries should institutionalize a periodic process of data verification that has an independent (national or external) component. </w:t>
            </w:r>
          </w:p>
          <w:p w14:paraId="3BEF7080"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Please provide an HSS grant Monitoring &amp; Evaluation Framework as Attachment 3 (please complete the GAVI template).</w:t>
            </w:r>
          </w:p>
          <w:p w14:paraId="6BBBB5CA"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Please provide a description of how the monitoring and evaluation will be carried out for the grant, indicating how M&amp;E is aligned with the national health plan results framework.</w:t>
            </w:r>
          </w:p>
          <w:p w14:paraId="1B39F7AD"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Which sources of data will be used? Please provide an explanation of any disparities between administrative statistics and ‘other’ statistics and details of any plans to improve data quality to address these disparities. Please detail whether these plans are being implemented or if their resourcing and implementation are to be covered in the current HSS application.</w:t>
            </w:r>
          </w:p>
          <w:p w14:paraId="19DF73E7"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xml:space="preserve">→ How much budget will be allocated to monitoring and evaluation, which will include M&amp;E for this grant as well as for national M&amp;E systems strengthening? </w:t>
            </w:r>
          </w:p>
          <w:p w14:paraId="2C6E2668"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Please describe the M&amp;E system strengthening activities to be funded through this proposal.</w:t>
            </w:r>
          </w:p>
          <w:p w14:paraId="18C4342F"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identify one or more immunisation outcomes for each objective. </w:t>
            </w:r>
          </w:p>
          <w:p w14:paraId="3A129EBB" w14:textId="77777777" w:rsidR="00867FFD" w:rsidRPr="004B5884" w:rsidRDefault="00867FFD" w:rsidP="00226DF1">
            <w:pPr>
              <w:shd w:val="clear" w:color="auto" w:fill="FFFFFF"/>
              <w:spacing w:before="120" w:after="120"/>
              <w:jc w:val="both"/>
              <w:rPr>
                <w:rFonts w:ascii="Times New Roman" w:hAnsi="Times New Roman"/>
                <w:i/>
                <w:color w:val="173E49"/>
                <w:sz w:val="24"/>
                <w:szCs w:val="24"/>
              </w:rPr>
            </w:pPr>
            <w:r>
              <w:rPr>
                <w:rFonts w:ascii="Times New Roman" w:hAnsi="Times New Roman"/>
                <w:i/>
                <w:color w:val="173E49"/>
                <w:sz w:val="24"/>
              </w:rPr>
              <w:t>→ Please identify a number of intermediate results indicators related to each objective of the grant that shall be used for tracking the overall progress of the grant implementation (these will be used for PBF’s programmable section - see Figure 2 in the Supplementary HSS Guidelines). These are the same intermediate results indicators that are included in the Monitoring &amp; Evaluation Framework, and will be used to measure the outputs / intermediate results that are included in the results chain in Section D.13.</w:t>
            </w:r>
          </w:p>
          <w:p w14:paraId="7760337D" w14:textId="77777777" w:rsidR="00867FFD" w:rsidRPr="004B5884" w:rsidRDefault="00867FFD" w:rsidP="00226DF1">
            <w:pPr>
              <w:shd w:val="clear" w:color="auto" w:fill="FFFFFF"/>
              <w:spacing w:before="120" w:after="120"/>
              <w:jc w:val="both"/>
              <w:rPr>
                <w:rFonts w:ascii="Times New Roman" w:eastAsia="Calibri" w:hAnsi="Times New Roman"/>
                <w:sz w:val="24"/>
                <w:szCs w:val="24"/>
              </w:rPr>
            </w:pPr>
            <w:r>
              <w:rPr>
                <w:rFonts w:ascii="Times New Roman" w:hAnsi="Times New Roman"/>
                <w:i/>
                <w:color w:val="173E49"/>
                <w:sz w:val="24"/>
              </w:rPr>
              <w:t xml:space="preserve">Please note that GAVI requires that each proposal includes an end of grant evaluation in their M&amp;E Framework. </w:t>
            </w:r>
          </w:p>
        </w:tc>
      </w:tr>
      <w:tr w:rsidR="00867FFD" w:rsidRPr="009316FF" w14:paraId="6850578E" w14:textId="77777777" w:rsidTr="00F34CAD">
        <w:trPr>
          <w:trHeight w:val="281"/>
        </w:trPr>
        <w:tc>
          <w:tcPr>
            <w:tcW w:w="10369" w:type="dxa"/>
            <w:tcBorders>
              <w:bottom w:val="single" w:sz="4" w:space="0" w:color="auto"/>
            </w:tcBorders>
            <w:shd w:val="clear" w:color="auto" w:fill="FFFFFF"/>
          </w:tcPr>
          <w:p w14:paraId="758B9603" w14:textId="77777777"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TWO PAGES MAXIMUM</w:t>
            </w:r>
          </w:p>
          <w:p w14:paraId="17419964" w14:textId="77777777" w:rsidR="00B555BD" w:rsidRDefault="00B555BD" w:rsidP="00226DF1">
            <w:pPr>
              <w:spacing w:before="120" w:after="120"/>
              <w:jc w:val="both"/>
              <w:rPr>
                <w:rFonts w:ascii="Times New Roman" w:hAnsi="Times New Roman"/>
                <w:sz w:val="24"/>
                <w:szCs w:val="24"/>
              </w:rPr>
            </w:pPr>
            <w:r>
              <w:rPr>
                <w:rFonts w:ascii="Times New Roman" w:hAnsi="Times New Roman"/>
                <w:sz w:val="24"/>
              </w:rPr>
              <w:t xml:space="preserve">Monitoring-evaluation of the GAVI-HSS grant rests on the monitoring-evaluation mechanisms of the PRODESS III instances. </w:t>
            </w:r>
          </w:p>
          <w:p w14:paraId="5B66B4BD" w14:textId="77777777" w:rsidR="008630E0" w:rsidRPr="00714D7E" w:rsidRDefault="00B555BD" w:rsidP="00714D7E">
            <w:pPr>
              <w:pStyle w:val="ListParagraph"/>
              <w:numPr>
                <w:ilvl w:val="0"/>
                <w:numId w:val="38"/>
              </w:numPr>
              <w:spacing w:before="120" w:after="120"/>
              <w:jc w:val="both"/>
              <w:rPr>
                <w:rFonts w:ascii="Times New Roman" w:hAnsi="Times New Roman"/>
                <w:b/>
                <w:sz w:val="24"/>
                <w:szCs w:val="24"/>
              </w:rPr>
            </w:pPr>
            <w:r>
              <w:rPr>
                <w:rFonts w:ascii="Times New Roman" w:hAnsi="Times New Roman"/>
                <w:b/>
                <w:sz w:val="24"/>
              </w:rPr>
              <w:t xml:space="preserve">National level: </w:t>
            </w:r>
          </w:p>
          <w:p w14:paraId="0EA56381" w14:textId="7E1097D4" w:rsidR="008630E0" w:rsidRPr="00714D7E" w:rsidRDefault="008630E0" w:rsidP="00714D7E">
            <w:pPr>
              <w:pStyle w:val="ListParagraph"/>
              <w:numPr>
                <w:ilvl w:val="0"/>
                <w:numId w:val="40"/>
              </w:numPr>
            </w:pPr>
            <w:r>
              <w:rPr>
                <w:rFonts w:ascii="Times New Roman" w:hAnsi="Times New Roman"/>
                <w:sz w:val="24"/>
              </w:rPr>
              <w:t>Monitoring committee: Chaired by three (3) ministers responsible for PRODESS and the civil society representative; it meets once per year.</w:t>
            </w:r>
          </w:p>
          <w:p w14:paraId="1B2ED109" w14:textId="5E3BFE8A" w:rsidR="00A60DCC" w:rsidRPr="00714D7E" w:rsidRDefault="008630E0" w:rsidP="00714D7E">
            <w:pPr>
              <w:pStyle w:val="ListParagraph"/>
              <w:numPr>
                <w:ilvl w:val="0"/>
                <w:numId w:val="40"/>
              </w:numPr>
            </w:pPr>
            <w:r>
              <w:rPr>
                <w:rFonts w:ascii="Times New Roman" w:hAnsi="Times New Roman"/>
                <w:sz w:val="24"/>
              </w:rPr>
              <w:t>Technical Committee of PRODESS: Chaired by the general secretaries of the three (3) departments responsible for PRODESS and the civil society representative; it meets semi-annually.</w:t>
            </w:r>
          </w:p>
          <w:p w14:paraId="2F0F3092" w14:textId="455D7611" w:rsidR="008630E0" w:rsidRPr="00714D7E" w:rsidRDefault="008630E0" w:rsidP="00714D7E">
            <w:pPr>
              <w:pStyle w:val="ListParagraph"/>
              <w:numPr>
                <w:ilvl w:val="0"/>
                <w:numId w:val="40"/>
              </w:numPr>
            </w:pPr>
            <w:r>
              <w:rPr>
                <w:rFonts w:ascii="Times New Roman" w:hAnsi="Times New Roman"/>
                <w:sz w:val="24"/>
              </w:rPr>
              <w:t>PRODESS Steering Committee: Also chaired by the general secretaries of the three (3) departments responsible for PRODESS, this committee meets as often as necessary, when announced by one of the chairs.</w:t>
            </w:r>
          </w:p>
          <w:p w14:paraId="2D87552D" w14:textId="1CAE46A6" w:rsidR="00844820" w:rsidRDefault="00B555BD" w:rsidP="00714D7E">
            <w:pPr>
              <w:pStyle w:val="ListParagraph"/>
              <w:numPr>
                <w:ilvl w:val="0"/>
                <w:numId w:val="38"/>
              </w:numPr>
              <w:spacing w:before="120" w:after="120"/>
              <w:jc w:val="both"/>
              <w:rPr>
                <w:rFonts w:ascii="Times New Roman" w:hAnsi="Times New Roman"/>
                <w:sz w:val="24"/>
                <w:szCs w:val="24"/>
              </w:rPr>
            </w:pPr>
            <w:r>
              <w:rPr>
                <w:rFonts w:ascii="Times New Roman" w:hAnsi="Times New Roman"/>
                <w:b/>
                <w:sz w:val="24"/>
              </w:rPr>
              <w:t>Intermediate levels:</w:t>
            </w:r>
            <w:r>
              <w:rPr>
                <w:rFonts w:ascii="Times New Roman" w:hAnsi="Times New Roman"/>
                <w:sz w:val="24"/>
              </w:rPr>
              <w:t xml:space="preserve"> This is the Regional Steering, Coordination and Evaluation Committee for PRODESS (CROCEP), the annual organization of which allows operational plans, projects and programs implemented in a region to be monitored.</w:t>
            </w:r>
          </w:p>
          <w:p w14:paraId="733D4502" w14:textId="3115FA28" w:rsidR="00CC1E95" w:rsidRDefault="00CC1E95" w:rsidP="00CC1E95">
            <w:pPr>
              <w:pStyle w:val="ListParagraph"/>
              <w:numPr>
                <w:ilvl w:val="0"/>
                <w:numId w:val="38"/>
              </w:numPr>
              <w:spacing w:before="120" w:after="120"/>
              <w:jc w:val="both"/>
              <w:rPr>
                <w:rFonts w:ascii="Times New Roman" w:hAnsi="Times New Roman"/>
                <w:sz w:val="24"/>
                <w:szCs w:val="24"/>
              </w:rPr>
            </w:pPr>
            <w:r>
              <w:rPr>
                <w:rFonts w:ascii="Times New Roman" w:hAnsi="Times New Roman"/>
                <w:b/>
                <w:sz w:val="24"/>
              </w:rPr>
              <w:t>Operational level:</w:t>
            </w:r>
            <w:r>
              <w:rPr>
                <w:rFonts w:ascii="Times New Roman" w:hAnsi="Times New Roman"/>
                <w:sz w:val="24"/>
              </w:rPr>
              <w:t xml:space="preserve"> The management council, at the level of the health districts, meets every six months in the context of the monitoring and evaluation of activities carried out in the districts. It is chaired by the prefect of the circle. </w:t>
            </w:r>
          </w:p>
          <w:p w14:paraId="57AF5426" w14:textId="1A8698BC" w:rsidR="00714D7E" w:rsidRDefault="00B555BD" w:rsidP="00714D7E">
            <w:pPr>
              <w:spacing w:before="120" w:after="120"/>
              <w:jc w:val="both"/>
              <w:rPr>
                <w:rFonts w:ascii="Times New Roman" w:hAnsi="Times New Roman"/>
                <w:sz w:val="24"/>
                <w:szCs w:val="24"/>
              </w:rPr>
            </w:pPr>
            <w:r>
              <w:rPr>
                <w:rFonts w:ascii="Times New Roman" w:hAnsi="Times New Roman"/>
                <w:sz w:val="24"/>
              </w:rPr>
              <w:t xml:space="preserve">It is also based on administrative data from the NHIS and on the results of the following specific evaluations and surveys: </w:t>
            </w:r>
          </w:p>
          <w:p w14:paraId="3B8D0565" w14:textId="1C77DFE3" w:rsidR="00B555BD" w:rsidRPr="00C7597E" w:rsidRDefault="00C7597E" w:rsidP="00C7597E">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 xml:space="preserve">EVM assessment in 2017. </w:t>
            </w:r>
          </w:p>
          <w:p w14:paraId="2C14D04E" w14:textId="7F5AD19C" w:rsidR="00B555BD" w:rsidRDefault="00B555BD" w:rsidP="00DB778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Survey of vaccine coverage in 2019</w:t>
            </w:r>
          </w:p>
          <w:p w14:paraId="3588074B" w14:textId="210F0380" w:rsidR="00B555BD" w:rsidRDefault="005D5FF1" w:rsidP="00DB778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2016 and 2018 SARA Survey</w:t>
            </w:r>
          </w:p>
          <w:p w14:paraId="2640F362" w14:textId="1E6EEA1C" w:rsidR="00B555BD" w:rsidRPr="00DB7781" w:rsidRDefault="00B555BD" w:rsidP="00B555BD">
            <w:pPr>
              <w:spacing w:before="120" w:after="120"/>
              <w:jc w:val="both"/>
              <w:rPr>
                <w:rFonts w:ascii="Times New Roman" w:hAnsi="Times New Roman"/>
                <w:sz w:val="24"/>
                <w:szCs w:val="24"/>
              </w:rPr>
            </w:pPr>
            <w:r>
              <w:rPr>
                <w:rFonts w:ascii="Times New Roman" w:hAnsi="Times New Roman"/>
                <w:sz w:val="24"/>
              </w:rPr>
              <w:t>The annual progress report for the proposal will be prepared by the coordination focal team of the Statistical Planning Cell of the Ministry of Health and validated by the PRODESS steering committee.</w:t>
            </w:r>
          </w:p>
          <w:p w14:paraId="0706D6FF" w14:textId="77777777" w:rsidR="00CA59FF" w:rsidRPr="004B5884" w:rsidRDefault="002E6F0C" w:rsidP="00226DF1">
            <w:pPr>
              <w:spacing w:before="120" w:after="120"/>
              <w:jc w:val="both"/>
              <w:rPr>
                <w:rFonts w:ascii="Times New Roman" w:hAnsi="Times New Roman"/>
                <w:sz w:val="24"/>
                <w:szCs w:val="24"/>
              </w:rPr>
            </w:pPr>
            <w:r>
              <w:rPr>
                <w:rFonts w:ascii="Times New Roman" w:hAnsi="Times New Roman"/>
                <w:sz w:val="24"/>
              </w:rPr>
              <w:t>In the context of the monitoring-evaluation of activities, the HSDP and its first five-year phase provides for the performance of quarterly supervisions to monitor the implementation of operational plans and semi-annual monitoring of activities at the local level.</w:t>
            </w:r>
          </w:p>
          <w:p w14:paraId="2C72A950" w14:textId="77777777" w:rsidR="00CA59FF" w:rsidRPr="004B5884" w:rsidRDefault="00CA59FF" w:rsidP="00226DF1">
            <w:pPr>
              <w:spacing w:before="120" w:after="120"/>
              <w:jc w:val="both"/>
              <w:rPr>
                <w:rFonts w:ascii="Times New Roman" w:hAnsi="Times New Roman"/>
                <w:sz w:val="24"/>
                <w:szCs w:val="24"/>
              </w:rPr>
            </w:pPr>
            <w:r>
              <w:rPr>
                <w:rFonts w:ascii="Times New Roman" w:hAnsi="Times New Roman"/>
                <w:sz w:val="24"/>
              </w:rPr>
              <w:t>Monitoring-evaluation of this proposal falls in line with supervision and monitoring activities. Thus, supervision, monitoring and quarterly activity reports will be the sources for monitoring the evolution of indicators and vaccine coverage surveys.</w:t>
            </w:r>
          </w:p>
          <w:p w14:paraId="45D63023" w14:textId="77777777" w:rsidR="00D85629" w:rsidRPr="004B5884" w:rsidRDefault="002E6F0C" w:rsidP="00226DF1">
            <w:pPr>
              <w:spacing w:before="120" w:after="120"/>
              <w:jc w:val="both"/>
              <w:rPr>
                <w:rFonts w:ascii="Times New Roman" w:hAnsi="Times New Roman"/>
                <w:sz w:val="24"/>
                <w:szCs w:val="24"/>
              </w:rPr>
            </w:pPr>
            <w:r>
              <w:rPr>
                <w:rFonts w:ascii="Times New Roman" w:hAnsi="Times New Roman"/>
                <w:sz w:val="24"/>
              </w:rPr>
              <w:t xml:space="preserve">Furthermore, disagreements were observed between the data from administrative sources and those resulting from surveys.  In order to confront this situation, it was anticipated, in this proposal, that the DQS and LQAS would be carried out periodically (monthly, quarterly and annually) in function of the level of the health pyramid.  The development of a Web application for real-time immunization data management will also allow the health information system, specifically with regards to immunization, to be improved. </w:t>
            </w:r>
          </w:p>
          <w:p w14:paraId="450192E5" w14:textId="77777777" w:rsidR="0098447E" w:rsidRPr="004B5884" w:rsidRDefault="0098447E" w:rsidP="00226DF1">
            <w:pPr>
              <w:spacing w:before="120" w:after="120"/>
              <w:jc w:val="both"/>
              <w:rPr>
                <w:rFonts w:ascii="Times New Roman" w:hAnsi="Times New Roman"/>
                <w:sz w:val="24"/>
                <w:szCs w:val="24"/>
              </w:rPr>
            </w:pPr>
            <w:r>
              <w:rPr>
                <w:rFonts w:ascii="Times New Roman" w:hAnsi="Times New Roman"/>
                <w:sz w:val="24"/>
              </w:rPr>
              <w:t>Thus, the intermediate results sought by the implementation of the various activities included in this proposal will constitute monitoring and evaluation components of the proposal. The various indicators that will be evaluated based on the defined objectives are:</w:t>
            </w:r>
          </w:p>
          <w:p w14:paraId="686D2F69" w14:textId="31CA3614" w:rsidR="000C225A" w:rsidRDefault="005B1EDB" w:rsidP="00226DF1">
            <w:pPr>
              <w:jc w:val="both"/>
            </w:pPr>
            <w:r>
              <w:rPr>
                <w:rFonts w:ascii="Times New Roman" w:hAnsi="Times New Roman"/>
                <w:b/>
                <w:sz w:val="24"/>
              </w:rPr>
              <w:t>Objective 1: By December 2019, increase vaccine coverage of fully immunized children in the country from 72% to 95%.</w:t>
            </w:r>
            <w:r>
              <w:rPr>
                <w:sz w:val="24"/>
              </w:rPr>
              <w:t> </w:t>
            </w:r>
            <w:r>
              <w:rPr>
                <w:rFonts w:ascii="Times New Roman" w:hAnsi="Times New Roman"/>
                <w:sz w:val="24"/>
              </w:rPr>
              <w:t xml:space="preserve"> </w:t>
            </w:r>
          </w:p>
          <w:p w14:paraId="3FC0AF47" w14:textId="4D6B1AA8" w:rsidR="002754AA" w:rsidRPr="000C4F63" w:rsidRDefault="002754AA" w:rsidP="00226DF1">
            <w:pPr>
              <w:numPr>
                <w:ilvl w:val="0"/>
                <w:numId w:val="14"/>
              </w:numPr>
              <w:spacing w:before="120" w:after="120"/>
              <w:jc w:val="both"/>
              <w:rPr>
                <w:rFonts w:ascii="Times New Roman" w:hAnsi="Times New Roman"/>
                <w:sz w:val="24"/>
                <w:szCs w:val="24"/>
              </w:rPr>
            </w:pPr>
            <w:r>
              <w:rPr>
                <w:rFonts w:ascii="Times New Roman" w:hAnsi="Times New Roman"/>
                <w:sz w:val="24"/>
              </w:rPr>
              <w:t xml:space="preserve">Proportion of the population having access to immunization through fixed, advanced and mobile strategies: Current media are not suited to the collection of said information, but the revision of tools will allow them to be considered as of the first year of implementation of the proposal; </w:t>
            </w:r>
          </w:p>
          <w:p w14:paraId="5E11125B" w14:textId="17CDD311" w:rsidR="002754AA" w:rsidRPr="000C4F63" w:rsidRDefault="002754AA" w:rsidP="00226DF1">
            <w:pPr>
              <w:numPr>
                <w:ilvl w:val="0"/>
                <w:numId w:val="14"/>
              </w:numPr>
              <w:spacing w:before="120" w:after="120"/>
              <w:jc w:val="both"/>
              <w:rPr>
                <w:rFonts w:ascii="Times New Roman" w:hAnsi="Times New Roman"/>
                <w:sz w:val="24"/>
                <w:szCs w:val="24"/>
              </w:rPr>
            </w:pPr>
            <w:r>
              <w:rPr>
                <w:rFonts w:ascii="Times New Roman" w:hAnsi="Times New Roman"/>
                <w:sz w:val="24"/>
              </w:rPr>
              <w:t>Proportion of CSComs and CSRefs fulfilling operational capacity criteria: Current media are not suited to the collection of said information, but the revision of tools will allow them to be considered as of the first year of implementation of the proposal;</w:t>
            </w:r>
          </w:p>
          <w:p w14:paraId="4FFA058C" w14:textId="77777777" w:rsidR="002754AA" w:rsidRPr="000C4F63" w:rsidRDefault="002754AA" w:rsidP="00226DF1">
            <w:pPr>
              <w:pStyle w:val="ListParagraph"/>
              <w:numPr>
                <w:ilvl w:val="0"/>
                <w:numId w:val="14"/>
              </w:numPr>
              <w:jc w:val="both"/>
              <w:rPr>
                <w:rFonts w:ascii="Times New Roman" w:hAnsi="Times New Roman"/>
                <w:sz w:val="24"/>
                <w:szCs w:val="24"/>
              </w:rPr>
            </w:pPr>
            <w:r>
              <w:rPr>
                <w:rFonts w:ascii="Times New Roman" w:hAnsi="Times New Roman"/>
                <w:sz w:val="24"/>
              </w:rPr>
              <w:t>Proportion of non-immunization due to parents (mothers) lacking information.</w:t>
            </w:r>
          </w:p>
          <w:p w14:paraId="4E26E11B" w14:textId="77777777" w:rsidR="008D39B3" w:rsidRPr="000C4F63" w:rsidRDefault="008D39B3" w:rsidP="008D39B3">
            <w:pPr>
              <w:pStyle w:val="ListParagraph"/>
              <w:jc w:val="both"/>
              <w:rPr>
                <w:rFonts w:ascii="Times New Roman" w:hAnsi="Times New Roman"/>
                <w:sz w:val="24"/>
                <w:szCs w:val="24"/>
              </w:rPr>
            </w:pPr>
          </w:p>
          <w:p w14:paraId="45B3B98E" w14:textId="77777777" w:rsidR="000C225A" w:rsidRPr="000C4F63" w:rsidRDefault="000C225A" w:rsidP="00226DF1">
            <w:pPr>
              <w:jc w:val="both"/>
            </w:pPr>
            <w:r>
              <w:rPr>
                <w:rFonts w:ascii="Times New Roman" w:hAnsi="Times New Roman"/>
                <w:b/>
                <w:sz w:val="24"/>
              </w:rPr>
              <w:t>Objective 2: Ensuring access to and availability of immunization in 100% of the priority districts.</w:t>
            </w:r>
            <w:r>
              <w:rPr>
                <w:rFonts w:ascii="Times New Roman" w:hAnsi="Times New Roman"/>
                <w:sz w:val="24"/>
              </w:rPr>
              <w:t xml:space="preserve"> </w:t>
            </w:r>
          </w:p>
          <w:p w14:paraId="1AE2536E" w14:textId="77777777" w:rsidR="00C11C74" w:rsidRPr="000C4F63"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Proportion of CSComs that offer routine immunization services in unsafe zones.</w:t>
            </w:r>
          </w:p>
          <w:p w14:paraId="77A76A71" w14:textId="72883002" w:rsidR="00D53A8E" w:rsidRPr="000C4F63"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Proportion of CSComs in remote/distant/unsafe zones that have personnel complying with national standards: Current media are not suited to the collection of said information, but the revision of tools will allow them to be considered as of the first year of implementation of the proposal.</w:t>
            </w:r>
            <w:r>
              <w:tab/>
            </w:r>
            <w:r>
              <w:tab/>
            </w:r>
            <w:r>
              <w:tab/>
            </w:r>
          </w:p>
          <w:p w14:paraId="6CAB55D4" w14:textId="77777777" w:rsidR="007E4C30" w:rsidRDefault="007E4C30" w:rsidP="00226DF1">
            <w:pPr>
              <w:jc w:val="both"/>
            </w:pPr>
            <w:r>
              <w:rPr>
                <w:rFonts w:ascii="Times New Roman" w:hAnsi="Times New Roman"/>
                <w:b/>
                <w:sz w:val="24"/>
              </w:rPr>
              <w:t>Objective 3: Strengthen the monitoring / evaluation system, including the health information system</w:t>
            </w:r>
          </w:p>
          <w:p w14:paraId="04088BB3" w14:textId="77777777" w:rsidR="00C11C74" w:rsidRPr="0003136C"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LHIS data completeness rate;</w:t>
            </w:r>
          </w:p>
          <w:p w14:paraId="56E3F1DF" w14:textId="77777777" w:rsidR="00C11C74" w:rsidRPr="0003136C"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LHIS data concordance rate;</w:t>
            </w:r>
          </w:p>
          <w:p w14:paraId="01C2D96C" w14:textId="77777777" w:rsidR="00D53A8E" w:rsidRPr="00D7053F"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Proportion of the operational plan of districts, based on regional statistical annual information.</w:t>
            </w:r>
          </w:p>
          <w:p w14:paraId="2B1BBCCF" w14:textId="1594965B" w:rsidR="007E4C30" w:rsidRDefault="007E4C30" w:rsidP="00226DF1">
            <w:pPr>
              <w:jc w:val="both"/>
            </w:pPr>
            <w:r>
              <w:rPr>
                <w:rFonts w:ascii="Times New Roman" w:hAnsi="Times New Roman"/>
                <w:b/>
                <w:sz w:val="24"/>
              </w:rPr>
              <w:t>Objective 4: Improve cold chain capacity and effective vaccine management</w:t>
            </w:r>
          </w:p>
          <w:p w14:paraId="622709FF" w14:textId="1DA333D8" w:rsidR="00C11C74" w:rsidRPr="000C4F63"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EPI supply storage capacity coverage rates at the central level;</w:t>
            </w:r>
          </w:p>
          <w:p w14:paraId="0EB76058" w14:textId="77777777" w:rsidR="00C11C74" w:rsidRPr="000C4F63"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EPI supply storage capacity coverage rates at the intermediate level.</w:t>
            </w:r>
          </w:p>
          <w:p w14:paraId="2BF7C83E" w14:textId="77777777" w:rsidR="00D53A8E" w:rsidRPr="004B5884" w:rsidRDefault="00C11C74" w:rsidP="00226DF1">
            <w:pPr>
              <w:numPr>
                <w:ilvl w:val="0"/>
                <w:numId w:val="14"/>
              </w:numPr>
              <w:spacing w:before="120" w:after="120"/>
              <w:jc w:val="both"/>
              <w:rPr>
                <w:rFonts w:ascii="Times New Roman" w:hAnsi="Times New Roman"/>
                <w:sz w:val="24"/>
                <w:szCs w:val="24"/>
              </w:rPr>
            </w:pPr>
            <w:r>
              <w:rPr>
                <w:rFonts w:ascii="Times New Roman" w:hAnsi="Times New Roman"/>
                <w:sz w:val="24"/>
              </w:rPr>
              <w:t>Proportion of EVM criteria greater than 80%.</w:t>
            </w:r>
          </w:p>
          <w:p w14:paraId="5BC9B5CF" w14:textId="77777777" w:rsidR="00D53A8E" w:rsidRPr="004B5884" w:rsidRDefault="007E4C30" w:rsidP="00226DF1">
            <w:pPr>
              <w:spacing w:before="120" w:after="120"/>
              <w:jc w:val="both"/>
              <w:rPr>
                <w:rFonts w:ascii="Times New Roman" w:hAnsi="Times New Roman"/>
                <w:sz w:val="24"/>
                <w:szCs w:val="24"/>
              </w:rPr>
            </w:pPr>
            <w:r>
              <w:rPr>
                <w:rFonts w:ascii="Times New Roman" w:hAnsi="Times New Roman"/>
                <w:b/>
                <w:sz w:val="24"/>
              </w:rPr>
              <w:t>Objective 5: Improve immunization financing by communities and municipalities.</w:t>
            </w:r>
          </w:p>
          <w:p w14:paraId="6450A462" w14:textId="77777777" w:rsidR="00513CE8" w:rsidRPr="0015785D" w:rsidRDefault="0015785D" w:rsidP="00226DF1">
            <w:pPr>
              <w:numPr>
                <w:ilvl w:val="0"/>
                <w:numId w:val="14"/>
              </w:numPr>
              <w:spacing w:before="120" w:after="120"/>
              <w:jc w:val="both"/>
              <w:rPr>
                <w:rFonts w:ascii="Times New Roman" w:hAnsi="Times New Roman"/>
                <w:sz w:val="24"/>
                <w:szCs w:val="24"/>
              </w:rPr>
            </w:pPr>
            <w:r>
              <w:rPr>
                <w:rFonts w:ascii="Times New Roman" w:hAnsi="Times New Roman"/>
                <w:sz w:val="24"/>
              </w:rPr>
              <w:t>Proportion of towns that mobilize resources for immunization.</w:t>
            </w:r>
          </w:p>
          <w:p w14:paraId="04BF29CF" w14:textId="24C5C774" w:rsidR="00FE159A" w:rsidRPr="004B5884" w:rsidRDefault="008E1C85" w:rsidP="00226DF1">
            <w:pPr>
              <w:spacing w:before="120" w:after="120"/>
              <w:ind w:left="34"/>
              <w:jc w:val="both"/>
              <w:rPr>
                <w:rFonts w:ascii="Times New Roman" w:eastAsia="Calibri" w:hAnsi="Times New Roman"/>
                <w:sz w:val="24"/>
                <w:szCs w:val="24"/>
              </w:rPr>
            </w:pPr>
            <w:r>
              <w:rPr>
                <w:rFonts w:ascii="Times New Roman" w:hAnsi="Times New Roman"/>
                <w:sz w:val="24"/>
              </w:rPr>
              <w:t>It must also be noted that external mid-point and final evaluations of the program are planned.</w:t>
            </w:r>
          </w:p>
          <w:p w14:paraId="4483A1D5" w14:textId="122EBB08" w:rsidR="00D057B9" w:rsidRDefault="00AC6172" w:rsidP="00FC571B">
            <w:pPr>
              <w:spacing w:before="120" w:after="120"/>
              <w:ind w:left="34"/>
              <w:jc w:val="both"/>
              <w:rPr>
                <w:rFonts w:ascii="Times New Roman" w:eastAsia="Calibri" w:hAnsi="Times New Roman"/>
                <w:sz w:val="24"/>
                <w:szCs w:val="24"/>
              </w:rPr>
            </w:pPr>
            <w:r>
              <w:rPr>
                <w:rFonts w:ascii="Times New Roman" w:hAnsi="Times New Roman"/>
                <w:sz w:val="24"/>
              </w:rPr>
              <w:t xml:space="preserve">The amount allocated to monitoring/evaluation of the grant is </w:t>
            </w:r>
            <w:r>
              <w:rPr>
                <w:rFonts w:ascii="Times New Roman" w:hAnsi="Times New Roman"/>
                <w:b/>
                <w:color w:val="403151"/>
                <w:sz w:val="24"/>
              </w:rPr>
              <w:t>792,469</w:t>
            </w:r>
            <w:r>
              <w:rPr>
                <w:rFonts w:ascii="Times New Roman" w:hAnsi="Times New Roman"/>
                <w:b/>
                <w:color w:val="660066"/>
                <w:sz w:val="28"/>
              </w:rPr>
              <w:t xml:space="preserve"> </w:t>
            </w:r>
            <w:r>
              <w:rPr>
                <w:rFonts w:ascii="Times New Roman" w:hAnsi="Times New Roman"/>
                <w:b/>
                <w:color w:val="660066"/>
                <w:sz w:val="24"/>
              </w:rPr>
              <w:t>$</w:t>
            </w:r>
            <w:r>
              <w:rPr>
                <w:rFonts w:ascii="Times New Roman" w:hAnsi="Times New Roman"/>
                <w:sz w:val="24"/>
              </w:rPr>
              <w:t xml:space="preserve"> US, and the management cost is estimated at </w:t>
            </w:r>
            <w:r>
              <w:rPr>
                <w:rFonts w:ascii="Times New Roman" w:hAnsi="Times New Roman"/>
                <w:b/>
                <w:color w:val="000000"/>
                <w:sz w:val="24"/>
              </w:rPr>
              <w:t>845,846</w:t>
            </w:r>
            <w:r>
              <w:rPr>
                <w:rFonts w:ascii="Times New Roman" w:hAnsi="Times New Roman"/>
                <w:sz w:val="24"/>
              </w:rPr>
              <w:t xml:space="preserve"> $ US, i.e. </w:t>
            </w:r>
            <w:r>
              <w:rPr>
                <w:rFonts w:ascii="Times New Roman" w:hAnsi="Times New Roman"/>
                <w:b/>
                <w:sz w:val="24"/>
              </w:rPr>
              <w:t>4.2 %</w:t>
            </w:r>
            <w:r>
              <w:rPr>
                <w:rFonts w:ascii="Times New Roman" w:hAnsi="Times New Roman"/>
                <w:sz w:val="24"/>
              </w:rPr>
              <w:t xml:space="preserve"> of the total amount. </w:t>
            </w:r>
          </w:p>
          <w:p w14:paraId="34B39463" w14:textId="72A97E44" w:rsidR="00BB79BE" w:rsidRPr="00C42B81" w:rsidRDefault="00B63C8C" w:rsidP="00C42B81">
            <w:pPr>
              <w:spacing w:before="120" w:after="120"/>
              <w:ind w:left="34"/>
              <w:jc w:val="both"/>
              <w:rPr>
                <w:rFonts w:ascii="Times New Roman" w:hAnsi="Times New Roman"/>
                <w:b/>
                <w:bCs/>
                <w:color w:val="660066"/>
                <w:sz w:val="24"/>
                <w:szCs w:val="24"/>
              </w:rPr>
            </w:pPr>
            <w:r>
              <w:rPr>
                <w:noProof/>
                <w:lang w:bidi="ar-SA"/>
              </w:rPr>
              <w:drawing>
                <wp:inline distT="0" distB="0" distL="0" distR="0" wp14:anchorId="6B5DFCBF" wp14:editId="0FB629F2">
                  <wp:extent cx="6326373" cy="5784112"/>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9410" t="11815" r="6642" b="6468"/>
                          <a:stretch/>
                        </pic:blipFill>
                        <pic:spPr bwMode="auto">
                          <a:xfrm>
                            <a:off x="0" y="0"/>
                            <a:ext cx="6326373" cy="5784112"/>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pPr w:leftFromText="141" w:rightFromText="141" w:vertAnchor="text" w:horzAnchor="margin" w:tblpY="856"/>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DD7B49" w:rsidRPr="009316FF" w14:paraId="59032E58" w14:textId="77777777" w:rsidTr="003C2512">
        <w:tc>
          <w:tcPr>
            <w:tcW w:w="10348" w:type="dxa"/>
            <w:tcBorders>
              <w:bottom w:val="single" w:sz="6" w:space="0" w:color="215868"/>
            </w:tcBorders>
            <w:shd w:val="clear" w:color="auto" w:fill="006460"/>
          </w:tcPr>
          <w:p w14:paraId="30521BD9" w14:textId="61D91DEF" w:rsidR="00DD7B49" w:rsidRPr="001D614C" w:rsidRDefault="00DD7B49" w:rsidP="001D614C">
            <w:pPr>
              <w:pStyle w:val="Heading1"/>
              <w:rPr>
                <w:rFonts w:ascii="Times New Roman" w:eastAsia="Calibri" w:hAnsi="Times New Roman"/>
              </w:rPr>
            </w:pPr>
            <w:bookmarkStart w:id="80" w:name="_Toc357677794"/>
            <w:bookmarkStart w:id="81" w:name="_Toc391387929"/>
            <w:bookmarkStart w:id="82" w:name="_Toc398181098"/>
            <w:bookmarkStart w:id="83" w:name="_Toc276342227"/>
            <w:r>
              <w:rPr>
                <w:rFonts w:ascii="Times New Roman" w:hAnsi="Times New Roman"/>
              </w:rPr>
              <w:t>PART E – BUDGET, GAP ANALYSIS AND WORKPLAN</w:t>
            </w:r>
            <w:bookmarkEnd w:id="80"/>
            <w:bookmarkEnd w:id="81"/>
            <w:bookmarkEnd w:id="82"/>
            <w:bookmarkEnd w:id="83"/>
          </w:p>
        </w:tc>
      </w:tr>
      <w:tr w:rsidR="00DD7B49" w:rsidRPr="009316FF" w14:paraId="3936BF70" w14:textId="77777777" w:rsidTr="00DD7B49">
        <w:tc>
          <w:tcPr>
            <w:tcW w:w="10348" w:type="dxa"/>
            <w:tcBorders>
              <w:bottom w:val="single" w:sz="6" w:space="0" w:color="215868"/>
            </w:tcBorders>
            <w:shd w:val="clear" w:color="auto" w:fill="auto"/>
          </w:tcPr>
          <w:p w14:paraId="67761CAB" w14:textId="77777777" w:rsidR="00DD7B49" w:rsidRPr="00DD7B49" w:rsidRDefault="00DD7B49" w:rsidP="00DD7B49">
            <w:pPr>
              <w:rPr>
                <w:rFonts w:eastAsia="Calibri"/>
              </w:rPr>
            </w:pPr>
          </w:p>
        </w:tc>
      </w:tr>
      <w:tr w:rsidR="003C2512" w:rsidRPr="009316FF" w14:paraId="3A12DAF5" w14:textId="77777777" w:rsidTr="003C2512">
        <w:tc>
          <w:tcPr>
            <w:tcW w:w="10348" w:type="dxa"/>
            <w:tcBorders>
              <w:bottom w:val="single" w:sz="6" w:space="0" w:color="215868"/>
            </w:tcBorders>
            <w:shd w:val="clear" w:color="auto" w:fill="006460"/>
          </w:tcPr>
          <w:p w14:paraId="66E353CD" w14:textId="77777777" w:rsidR="003C2512" w:rsidRPr="004B5884" w:rsidRDefault="003C2512" w:rsidP="003C2512">
            <w:pPr>
              <w:pStyle w:val="Heading2"/>
              <w:rPr>
                <w:rFonts w:ascii="Times New Roman" w:eastAsia="Calibri" w:hAnsi="Times New Roman"/>
                <w:sz w:val="24"/>
                <w:szCs w:val="24"/>
              </w:rPr>
            </w:pPr>
            <w:bookmarkStart w:id="84" w:name="_Toc398181099"/>
            <w:bookmarkStart w:id="85" w:name="_Toc276342228"/>
            <w:r>
              <w:rPr>
                <w:rFonts w:ascii="Times New Roman" w:hAnsi="Times New Roman"/>
                <w:sz w:val="24"/>
              </w:rPr>
              <w:t>15. Detailed Budget and Workplan Narrative</w:t>
            </w:r>
            <w:bookmarkEnd w:id="84"/>
            <w:bookmarkEnd w:id="85"/>
          </w:p>
        </w:tc>
      </w:tr>
      <w:tr w:rsidR="003C2512" w:rsidRPr="009316FF" w14:paraId="22A8A45C" w14:textId="77777777" w:rsidTr="003C2512">
        <w:tc>
          <w:tcPr>
            <w:tcW w:w="10348" w:type="dxa"/>
            <w:shd w:val="clear" w:color="auto" w:fill="FFFFFF"/>
          </w:tcPr>
          <w:p w14:paraId="0066A9AC" w14:textId="77777777" w:rsidR="003C2512" w:rsidRPr="004B5884" w:rsidRDefault="003C2512" w:rsidP="003C2512">
            <w:pPr>
              <w:spacing w:before="120" w:after="120"/>
              <w:jc w:val="both"/>
              <w:rPr>
                <w:rFonts w:ascii="Times New Roman" w:hAnsi="Times New Roman"/>
                <w:i/>
                <w:color w:val="173E49"/>
                <w:sz w:val="24"/>
                <w:szCs w:val="24"/>
              </w:rPr>
            </w:pPr>
            <w:r>
              <w:rPr>
                <w:rFonts w:ascii="Times New Roman" w:hAnsi="Times New Roman"/>
                <w:i/>
                <w:color w:val="173E49"/>
                <w:sz w:val="24"/>
              </w:rPr>
              <w:t>This description will be used to assess if the proposed budget shows sufficient justification for the proposed activities and activity costs within the HSS grant.</w:t>
            </w:r>
          </w:p>
          <w:p w14:paraId="7D87D597" w14:textId="222CDCC7" w:rsidR="003C2512" w:rsidRPr="004B5884" w:rsidRDefault="003C2512" w:rsidP="003C2512">
            <w:pPr>
              <w:spacing w:before="120" w:after="120"/>
              <w:jc w:val="both"/>
              <w:rPr>
                <w:rFonts w:ascii="Times New Roman" w:hAnsi="Times New Roman"/>
                <w:i/>
                <w:color w:val="173E49"/>
                <w:sz w:val="24"/>
                <w:szCs w:val="24"/>
              </w:rPr>
            </w:pPr>
            <w:r>
              <w:rPr>
                <w:rFonts w:ascii="Times New Roman" w:hAnsi="Times New Roman"/>
                <w:i/>
                <w:color w:val="173E49"/>
                <w:sz w:val="24"/>
              </w:rPr>
              <w:t>→ Please provide a detailed budget and work</w:t>
            </w:r>
            <w:r w:rsidR="007D38B4">
              <w:rPr>
                <w:rFonts w:ascii="Times New Roman" w:hAnsi="Times New Roman"/>
                <w:i/>
                <w:color w:val="173E49"/>
                <w:sz w:val="24"/>
              </w:rPr>
              <w:t xml:space="preserve"> </w:t>
            </w:r>
            <w:r>
              <w:rPr>
                <w:rFonts w:ascii="Times New Roman" w:hAnsi="Times New Roman"/>
                <w:i/>
                <w:color w:val="173E49"/>
                <w:sz w:val="24"/>
              </w:rPr>
              <w:t>plan as Attachment 6 to this proposal. Please refer to the Supplementary HSS Guidelines for the list of items required from the budget and work</w:t>
            </w:r>
            <w:r w:rsidR="007D38B4">
              <w:rPr>
                <w:rFonts w:ascii="Times New Roman" w:hAnsi="Times New Roman"/>
                <w:i/>
                <w:color w:val="173E49"/>
                <w:sz w:val="24"/>
              </w:rPr>
              <w:t xml:space="preserve"> </w:t>
            </w:r>
            <w:r>
              <w:rPr>
                <w:rFonts w:ascii="Times New Roman" w:hAnsi="Times New Roman"/>
                <w:i/>
                <w:color w:val="173E49"/>
                <w:sz w:val="24"/>
              </w:rPr>
              <w:t>plan. It is highly recommended that applicants use the GAVI HSS Budget, Gap Analysis and Work</w:t>
            </w:r>
            <w:r w:rsidR="007D38B4">
              <w:rPr>
                <w:rFonts w:ascii="Times New Roman" w:hAnsi="Times New Roman"/>
                <w:i/>
                <w:color w:val="173E49"/>
                <w:sz w:val="24"/>
              </w:rPr>
              <w:t xml:space="preserve"> </w:t>
            </w:r>
            <w:r>
              <w:rPr>
                <w:rFonts w:ascii="Times New Roman" w:hAnsi="Times New Roman"/>
                <w:i/>
                <w:color w:val="173E49"/>
                <w:sz w:val="24"/>
              </w:rPr>
              <w:t xml:space="preserve">plan template as Attachment 6. However, countries can also provide this information in the format of an existing national Annual Operational Plan (AOP) or equivalent document. </w:t>
            </w:r>
          </w:p>
          <w:p w14:paraId="5F1A0534" w14:textId="77777777" w:rsidR="003C2512" w:rsidRPr="004B5884" w:rsidRDefault="003C2512" w:rsidP="003C2512">
            <w:pPr>
              <w:spacing w:before="120" w:after="120"/>
              <w:jc w:val="both"/>
              <w:rPr>
                <w:rFonts w:ascii="Times New Roman" w:hAnsi="Times New Roman"/>
                <w:i/>
                <w:color w:val="173E49"/>
                <w:sz w:val="24"/>
                <w:szCs w:val="24"/>
              </w:rPr>
            </w:pPr>
            <w:r>
              <w:rPr>
                <w:rFonts w:ascii="Times New Roman" w:hAnsi="Times New Roman"/>
                <w:i/>
                <w:color w:val="173E49"/>
                <w:sz w:val="24"/>
              </w:rPr>
              <w:t>→ Please include additional information on the assumptions within the budget and justification of unit costs to demonstrate that they are reasonable and supported by in-country planning. These assumptions and unit cost justifications may be inserted here or attached as separate documentation.</w:t>
            </w:r>
          </w:p>
          <w:p w14:paraId="04469401" w14:textId="0E8D516B" w:rsidR="003C2512" w:rsidRPr="004B5884" w:rsidRDefault="003C2512" w:rsidP="003C2512">
            <w:pPr>
              <w:spacing w:before="120" w:after="120"/>
              <w:jc w:val="both"/>
              <w:rPr>
                <w:rFonts w:ascii="Times New Roman" w:eastAsia="Calibri" w:hAnsi="Times New Roman"/>
                <w:sz w:val="24"/>
                <w:szCs w:val="24"/>
              </w:rPr>
            </w:pPr>
            <w:r>
              <w:rPr>
                <w:rFonts w:ascii="Times New Roman" w:hAnsi="Times New Roman"/>
                <w:i/>
                <w:color w:val="173E49"/>
                <w:sz w:val="24"/>
              </w:rPr>
              <w:t>→ Please provide a detailed Procurement Plan (PP) for the acquisition of goods, works and consultant’s services covering the first 18 months of programme implementation. This should be submitted as Attachment 7 together with the work</w:t>
            </w:r>
            <w:r w:rsidR="007D38B4">
              <w:rPr>
                <w:rFonts w:ascii="Times New Roman" w:hAnsi="Times New Roman"/>
                <w:i/>
                <w:color w:val="173E49"/>
                <w:sz w:val="24"/>
              </w:rPr>
              <w:t xml:space="preserve"> </w:t>
            </w:r>
            <w:r>
              <w:rPr>
                <w:rFonts w:ascii="Times New Roman" w:hAnsi="Times New Roman"/>
                <w:i/>
                <w:color w:val="173E49"/>
                <w:sz w:val="24"/>
              </w:rPr>
              <w:t>plan and budget (Attachment 6). This PP shall be reviewed and approved together with the work</w:t>
            </w:r>
            <w:r w:rsidR="007D38B4">
              <w:rPr>
                <w:rFonts w:ascii="Times New Roman" w:hAnsi="Times New Roman"/>
                <w:i/>
                <w:color w:val="173E49"/>
                <w:sz w:val="24"/>
              </w:rPr>
              <w:t xml:space="preserve"> </w:t>
            </w:r>
            <w:r>
              <w:rPr>
                <w:rFonts w:ascii="Times New Roman" w:hAnsi="Times New Roman"/>
                <w:i/>
                <w:color w:val="173E49"/>
                <w:sz w:val="24"/>
              </w:rPr>
              <w:t>plan and budget by the HSCC/ ICC of the country.</w:t>
            </w:r>
          </w:p>
        </w:tc>
      </w:tr>
      <w:tr w:rsidR="003C2512" w:rsidRPr="009316FF" w14:paraId="704B2113" w14:textId="77777777" w:rsidTr="003C2512">
        <w:trPr>
          <w:trHeight w:val="278"/>
        </w:trPr>
        <w:tc>
          <w:tcPr>
            <w:tcW w:w="10348" w:type="dxa"/>
            <w:shd w:val="clear" w:color="auto" w:fill="FFFFFF"/>
          </w:tcPr>
          <w:p w14:paraId="3AB62787" w14:textId="77777777" w:rsidR="003C2512" w:rsidRDefault="003C2512" w:rsidP="003C2512">
            <w:pPr>
              <w:spacing w:before="120" w:after="120"/>
              <w:jc w:val="both"/>
              <w:rPr>
                <w:rFonts w:ascii="Times New Roman" w:hAnsi="Times New Roman"/>
                <w:b/>
                <w:i/>
                <w:sz w:val="24"/>
                <w:szCs w:val="24"/>
              </w:rPr>
            </w:pPr>
            <w:r>
              <w:rPr>
                <w:rFonts w:ascii="Times New Roman" w:hAnsi="Times New Roman"/>
                <w:b/>
                <w:i/>
                <w:sz w:val="24"/>
              </w:rPr>
              <w:t>TWO PAGES MAXIMUM</w:t>
            </w:r>
          </w:p>
          <w:p w14:paraId="602CEE61" w14:textId="2BCDEB10" w:rsidR="002953D3" w:rsidRPr="00DB063D" w:rsidRDefault="005F63BF" w:rsidP="002953D3">
            <w:pPr>
              <w:rPr>
                <w:rFonts w:ascii="Times New Roman" w:hAnsi="Times New Roman"/>
                <w:sz w:val="24"/>
              </w:rPr>
            </w:pPr>
            <w:r>
              <w:rPr>
                <w:rFonts w:ascii="Times New Roman" w:hAnsi="Times New Roman"/>
                <w:sz w:val="24"/>
              </w:rPr>
              <w:t>For preparation of the budget, national reference documents, in particular the breakdown of prices, decisions, decrees and rulings by the ministries were used to determine unit costs, per diem rates, travel, lodging and fuel expenses.</w:t>
            </w:r>
          </w:p>
          <w:p w14:paraId="47C84DE2" w14:textId="05C32AC3" w:rsidR="002953D3" w:rsidRPr="00DB063D" w:rsidRDefault="00A80390" w:rsidP="00A80390">
            <w:pPr>
              <w:widowControl w:val="0"/>
              <w:spacing w:before="120" w:after="120"/>
              <w:rPr>
                <w:rFonts w:ascii="Times New Roman" w:hAnsi="Times New Roman"/>
                <w:sz w:val="24"/>
              </w:rPr>
            </w:pPr>
            <w:r>
              <w:rPr>
                <w:rFonts w:ascii="Times New Roman" w:hAnsi="Times New Roman"/>
                <w:sz w:val="24"/>
              </w:rPr>
              <w:t>The process of procurement of materials and equipment will be carried out according to Government procedures. The following table presents the amount relative to each objective, and the others the attached activities planning sheet.</w:t>
            </w:r>
          </w:p>
          <w:p w14:paraId="2A0D6D75" w14:textId="093335C5" w:rsidR="002953D3" w:rsidRDefault="002953D3" w:rsidP="002953D3">
            <w:pPr>
              <w:spacing w:before="120" w:after="120"/>
              <w:jc w:val="both"/>
              <w:rPr>
                <w:rFonts w:ascii="Times New Roman" w:hAnsi="Times New Roman"/>
                <w:sz w:val="24"/>
                <w:szCs w:val="24"/>
              </w:rPr>
            </w:pPr>
            <w:r>
              <w:rPr>
                <w:rFonts w:ascii="Times New Roman" w:hAnsi="Times New Roman"/>
                <w:b/>
                <w:sz w:val="24"/>
                <w:u w:val="single"/>
              </w:rPr>
              <w:t>Tables:</w:t>
            </w:r>
            <w:r>
              <w:rPr>
                <w:rFonts w:ascii="Times New Roman" w:hAnsi="Times New Roman"/>
                <w:b/>
                <w:i/>
                <w:sz w:val="24"/>
              </w:rPr>
              <w:t xml:space="preserve"> </w:t>
            </w:r>
            <w:r>
              <w:rPr>
                <w:rFonts w:ascii="Times New Roman" w:hAnsi="Times New Roman"/>
                <w:sz w:val="24"/>
              </w:rPr>
              <w:t>Distribution of the budget according to the objectives of the proposal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410"/>
              <w:gridCol w:w="1842"/>
            </w:tblGrid>
            <w:tr w:rsidR="003C2512" w:rsidRPr="000C4F63" w14:paraId="258FD992" w14:textId="77777777" w:rsidTr="00CB1717">
              <w:trPr>
                <w:trHeight w:val="478"/>
              </w:trPr>
              <w:tc>
                <w:tcPr>
                  <w:tcW w:w="4820" w:type="dxa"/>
                  <w:shd w:val="solid" w:color="FFFFFF" w:fill="auto"/>
                  <w:vAlign w:val="center"/>
                </w:tcPr>
                <w:p w14:paraId="09EC8A72" w14:textId="77777777" w:rsidR="003C2512" w:rsidRPr="000C4F63" w:rsidRDefault="003C2512" w:rsidP="008F0EDC">
                  <w:pPr>
                    <w:framePr w:hSpace="141" w:wrap="around" w:vAnchor="text" w:hAnchor="margin" w:y="856"/>
                    <w:autoSpaceDE w:val="0"/>
                    <w:autoSpaceDN w:val="0"/>
                    <w:adjustRightInd w:val="0"/>
                    <w:rPr>
                      <w:rFonts w:ascii="Times New Roman" w:hAnsi="Times New Roman"/>
                      <w:color w:val="000000"/>
                      <w:sz w:val="24"/>
                      <w:szCs w:val="24"/>
                    </w:rPr>
                  </w:pPr>
                  <w:r>
                    <w:rPr>
                      <w:rFonts w:ascii="Times New Roman" w:hAnsi="Times New Roman"/>
                      <w:b/>
                      <w:color w:val="000000"/>
                      <w:sz w:val="24"/>
                    </w:rPr>
                    <w:t xml:space="preserve">Objectives of the HSS proposal </w:t>
                  </w:r>
                </w:p>
              </w:tc>
              <w:tc>
                <w:tcPr>
                  <w:tcW w:w="2410" w:type="dxa"/>
                  <w:shd w:val="solid" w:color="FFFFFF" w:fill="auto"/>
                  <w:vAlign w:val="center"/>
                </w:tcPr>
                <w:p w14:paraId="5287DD67" w14:textId="77777777" w:rsidR="003C2512" w:rsidRPr="000C4F63" w:rsidRDefault="003C2512"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403151"/>
                      <w:sz w:val="24"/>
                    </w:rPr>
                    <w:t xml:space="preserve">Amount for objectives </w:t>
                  </w:r>
                </w:p>
              </w:tc>
              <w:tc>
                <w:tcPr>
                  <w:tcW w:w="1842" w:type="dxa"/>
                  <w:vAlign w:val="center"/>
                </w:tcPr>
                <w:p w14:paraId="414595C7" w14:textId="77777777" w:rsidR="003C2512" w:rsidRPr="000C4F63" w:rsidRDefault="003C2512" w:rsidP="008F0EDC">
                  <w:pPr>
                    <w:framePr w:hSpace="141" w:wrap="around" w:vAnchor="text" w:hAnchor="margin" w:y="856"/>
                    <w:jc w:val="center"/>
                    <w:rPr>
                      <w:rFonts w:ascii="Times New Roman" w:hAnsi="Times New Roman"/>
                      <w:b/>
                      <w:bCs/>
                      <w:color w:val="660066"/>
                      <w:sz w:val="24"/>
                      <w:szCs w:val="24"/>
                    </w:rPr>
                  </w:pPr>
                  <w:r>
                    <w:rPr>
                      <w:rFonts w:ascii="Times New Roman" w:hAnsi="Times New Roman"/>
                      <w:b/>
                      <w:color w:val="660066"/>
                      <w:sz w:val="24"/>
                    </w:rPr>
                    <w:t>Percentage</w:t>
                  </w:r>
                </w:p>
              </w:tc>
            </w:tr>
            <w:tr w:rsidR="00037285" w:rsidRPr="000C4F63" w14:paraId="57CF1CB5" w14:textId="77777777" w:rsidTr="004904C0">
              <w:trPr>
                <w:trHeight w:val="478"/>
              </w:trPr>
              <w:tc>
                <w:tcPr>
                  <w:tcW w:w="4820" w:type="dxa"/>
                  <w:shd w:val="solid" w:color="FFFFFF" w:fill="auto"/>
                  <w:vAlign w:val="bottom"/>
                </w:tcPr>
                <w:p w14:paraId="1A9A8D8F" w14:textId="67179CBB" w:rsidR="00037285" w:rsidRPr="000C4F63" w:rsidRDefault="00037285" w:rsidP="008F0EDC">
                  <w:pPr>
                    <w:framePr w:hSpace="141" w:wrap="around" w:vAnchor="text" w:hAnchor="margin" w:y="856"/>
                    <w:autoSpaceDE w:val="0"/>
                    <w:autoSpaceDN w:val="0"/>
                    <w:adjustRightInd w:val="0"/>
                    <w:rPr>
                      <w:rFonts w:ascii="Times New Roman" w:hAnsi="Times New Roman"/>
                      <w:color w:val="000000"/>
                      <w:sz w:val="24"/>
                      <w:szCs w:val="24"/>
                    </w:rPr>
                  </w:pPr>
                  <w:r>
                    <w:t>Objective 1: By December 2019, increase vaccine coverage of fully immunized children in the country from 72% to 95%.</w:t>
                  </w:r>
                  <w:r>
                    <w:rPr>
                      <w:rFonts w:ascii="Times New Roman" w:hAnsi="Times New Roman"/>
                      <w:sz w:val="24"/>
                    </w:rPr>
                    <w:t> </w:t>
                  </w:r>
                </w:p>
              </w:tc>
              <w:tc>
                <w:tcPr>
                  <w:tcW w:w="2410" w:type="dxa"/>
                  <w:shd w:val="solid" w:color="FFFFFF" w:fill="auto"/>
                  <w:vAlign w:val="bottom"/>
                </w:tcPr>
                <w:p w14:paraId="3635606C" w14:textId="4852A659" w:rsidR="00037285" w:rsidRPr="00037285" w:rsidRDefault="00037285"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000000"/>
                      <w:sz w:val="24"/>
                    </w:rPr>
                    <w:t>12,312,253.7</w:t>
                  </w:r>
                  <w:r w:rsidR="007D38B4">
                    <w:rPr>
                      <w:rFonts w:ascii="Times New Roman" w:hAnsi="Times New Roman"/>
                      <w:b/>
                      <w:color w:val="000000"/>
                      <w:sz w:val="24"/>
                    </w:rPr>
                    <w:t>0</w:t>
                  </w:r>
                </w:p>
              </w:tc>
              <w:tc>
                <w:tcPr>
                  <w:tcW w:w="1842" w:type="dxa"/>
                  <w:vAlign w:val="bottom"/>
                </w:tcPr>
                <w:p w14:paraId="38C0CEED" w14:textId="61059CC4" w:rsidR="00037285" w:rsidRPr="00037285" w:rsidRDefault="00037285" w:rsidP="008F0EDC">
                  <w:pPr>
                    <w:framePr w:hSpace="141" w:wrap="around" w:vAnchor="text" w:hAnchor="margin" w:y="856"/>
                    <w:jc w:val="center"/>
                    <w:rPr>
                      <w:rFonts w:ascii="Times New Roman" w:hAnsi="Times New Roman"/>
                      <w:b/>
                      <w:bCs/>
                      <w:color w:val="000000"/>
                      <w:sz w:val="24"/>
                      <w:szCs w:val="24"/>
                    </w:rPr>
                  </w:pPr>
                  <w:r>
                    <w:rPr>
                      <w:rFonts w:ascii="Times New Roman" w:hAnsi="Times New Roman"/>
                      <w:b/>
                      <w:color w:val="000000"/>
                      <w:sz w:val="24"/>
                    </w:rPr>
                    <w:t>63.7%</w:t>
                  </w:r>
                </w:p>
              </w:tc>
            </w:tr>
            <w:tr w:rsidR="00037285" w:rsidRPr="000C4F63" w14:paraId="1D9E7940" w14:textId="77777777" w:rsidTr="004904C0">
              <w:trPr>
                <w:trHeight w:val="470"/>
              </w:trPr>
              <w:tc>
                <w:tcPr>
                  <w:tcW w:w="4820" w:type="dxa"/>
                  <w:shd w:val="solid" w:color="FFFFFF" w:fill="auto"/>
                  <w:vAlign w:val="bottom"/>
                </w:tcPr>
                <w:p w14:paraId="3F8D37F3" w14:textId="16D4D3EF" w:rsidR="00037285" w:rsidRPr="000C4F63" w:rsidRDefault="00037285" w:rsidP="008F0EDC">
                  <w:pPr>
                    <w:framePr w:hSpace="141" w:wrap="around" w:vAnchor="text" w:hAnchor="margin" w:y="856"/>
                    <w:autoSpaceDE w:val="0"/>
                    <w:autoSpaceDN w:val="0"/>
                    <w:adjustRightInd w:val="0"/>
                    <w:rPr>
                      <w:rFonts w:ascii="Times New Roman" w:hAnsi="Times New Roman"/>
                      <w:color w:val="000000"/>
                      <w:sz w:val="24"/>
                      <w:szCs w:val="24"/>
                    </w:rPr>
                  </w:pPr>
                  <w:r>
                    <w:rPr>
                      <w:rFonts w:ascii="Times New Roman" w:hAnsi="Times New Roman"/>
                      <w:color w:val="000000"/>
                      <w:sz w:val="24"/>
                    </w:rPr>
                    <w:t>Objective 2: Ensuring access to and availability of immunization in 100 % of the priority districts.</w:t>
                  </w:r>
                </w:p>
              </w:tc>
              <w:tc>
                <w:tcPr>
                  <w:tcW w:w="2410" w:type="dxa"/>
                  <w:shd w:val="solid" w:color="FFFFFF" w:fill="auto"/>
                  <w:vAlign w:val="bottom"/>
                </w:tcPr>
                <w:p w14:paraId="27A84A35" w14:textId="4AF8D5A6" w:rsidR="00037285" w:rsidRPr="00037285" w:rsidRDefault="00037285"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000000"/>
                      <w:sz w:val="24"/>
                    </w:rPr>
                    <w:t>3,117,074.9</w:t>
                  </w:r>
                  <w:r w:rsidR="007D38B4">
                    <w:rPr>
                      <w:rFonts w:ascii="Times New Roman" w:hAnsi="Times New Roman"/>
                      <w:b/>
                      <w:color w:val="000000"/>
                      <w:sz w:val="24"/>
                    </w:rPr>
                    <w:t>0</w:t>
                  </w:r>
                </w:p>
              </w:tc>
              <w:tc>
                <w:tcPr>
                  <w:tcW w:w="1842" w:type="dxa"/>
                  <w:vAlign w:val="bottom"/>
                </w:tcPr>
                <w:p w14:paraId="7E33A06D" w14:textId="15F82860" w:rsidR="00037285" w:rsidRPr="00037285" w:rsidRDefault="00037285" w:rsidP="008F0EDC">
                  <w:pPr>
                    <w:framePr w:hSpace="141" w:wrap="around" w:vAnchor="text" w:hAnchor="margin" w:y="856"/>
                    <w:jc w:val="center"/>
                    <w:rPr>
                      <w:rFonts w:ascii="Times New Roman" w:hAnsi="Times New Roman"/>
                      <w:b/>
                      <w:bCs/>
                      <w:color w:val="660066"/>
                      <w:sz w:val="24"/>
                      <w:szCs w:val="24"/>
                    </w:rPr>
                  </w:pPr>
                  <w:r>
                    <w:rPr>
                      <w:rFonts w:ascii="Times New Roman" w:hAnsi="Times New Roman"/>
                      <w:b/>
                      <w:color w:val="000000"/>
                      <w:sz w:val="24"/>
                    </w:rPr>
                    <w:t>16.1%</w:t>
                  </w:r>
                </w:p>
              </w:tc>
            </w:tr>
            <w:tr w:rsidR="00037285" w:rsidRPr="000C4F63" w14:paraId="1C6AF93D" w14:textId="77777777" w:rsidTr="004904C0">
              <w:trPr>
                <w:trHeight w:val="470"/>
              </w:trPr>
              <w:tc>
                <w:tcPr>
                  <w:tcW w:w="4820" w:type="dxa"/>
                  <w:shd w:val="solid" w:color="FFFFFF" w:fill="auto"/>
                  <w:vAlign w:val="bottom"/>
                </w:tcPr>
                <w:p w14:paraId="639E4545" w14:textId="2EA9F90F" w:rsidR="00037285" w:rsidRPr="000C4F63" w:rsidRDefault="00037285" w:rsidP="008F0EDC">
                  <w:pPr>
                    <w:framePr w:hSpace="141" w:wrap="around" w:vAnchor="text" w:hAnchor="margin" w:y="856"/>
                    <w:autoSpaceDE w:val="0"/>
                    <w:autoSpaceDN w:val="0"/>
                    <w:adjustRightInd w:val="0"/>
                    <w:rPr>
                      <w:rFonts w:ascii="Times New Roman" w:hAnsi="Times New Roman"/>
                      <w:color w:val="000000"/>
                      <w:sz w:val="24"/>
                      <w:szCs w:val="24"/>
                    </w:rPr>
                  </w:pPr>
                  <w:r>
                    <w:rPr>
                      <w:rFonts w:ascii="Times New Roman" w:hAnsi="Times New Roman"/>
                      <w:color w:val="000000"/>
                      <w:sz w:val="24"/>
                    </w:rPr>
                    <w:t>Objective 3: Strengthen the monitoring / evaluation system, including the health information system</w:t>
                  </w:r>
                </w:p>
              </w:tc>
              <w:tc>
                <w:tcPr>
                  <w:tcW w:w="2410" w:type="dxa"/>
                  <w:shd w:val="solid" w:color="FFFFFF" w:fill="auto"/>
                  <w:vAlign w:val="bottom"/>
                </w:tcPr>
                <w:p w14:paraId="49D44AAC" w14:textId="25C46D9D" w:rsidR="00037285" w:rsidRPr="00037285" w:rsidRDefault="00037285"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000000"/>
                      <w:sz w:val="24"/>
                    </w:rPr>
                    <w:t>2,236,010.0</w:t>
                  </w:r>
                  <w:r w:rsidR="007D38B4">
                    <w:rPr>
                      <w:rFonts w:ascii="Times New Roman" w:hAnsi="Times New Roman"/>
                      <w:b/>
                      <w:color w:val="000000"/>
                      <w:sz w:val="24"/>
                    </w:rPr>
                    <w:t>0</w:t>
                  </w:r>
                </w:p>
              </w:tc>
              <w:tc>
                <w:tcPr>
                  <w:tcW w:w="1842" w:type="dxa"/>
                  <w:vAlign w:val="bottom"/>
                </w:tcPr>
                <w:p w14:paraId="704183D2" w14:textId="1728BCCC" w:rsidR="00037285" w:rsidRPr="00037285" w:rsidRDefault="00037285" w:rsidP="008F0EDC">
                  <w:pPr>
                    <w:framePr w:hSpace="141" w:wrap="around" w:vAnchor="text" w:hAnchor="margin" w:y="856"/>
                    <w:jc w:val="center"/>
                    <w:rPr>
                      <w:rFonts w:ascii="Times New Roman" w:hAnsi="Times New Roman"/>
                      <w:b/>
                      <w:bCs/>
                      <w:color w:val="660066"/>
                      <w:sz w:val="24"/>
                      <w:szCs w:val="24"/>
                    </w:rPr>
                  </w:pPr>
                  <w:r>
                    <w:rPr>
                      <w:rFonts w:ascii="Times New Roman" w:hAnsi="Times New Roman"/>
                      <w:b/>
                      <w:color w:val="000000"/>
                      <w:sz w:val="24"/>
                    </w:rPr>
                    <w:t>11.6%</w:t>
                  </w:r>
                </w:p>
              </w:tc>
            </w:tr>
            <w:tr w:rsidR="00037285" w:rsidRPr="000C4F63" w14:paraId="351DC9F9" w14:textId="77777777" w:rsidTr="004904C0">
              <w:trPr>
                <w:trHeight w:val="314"/>
              </w:trPr>
              <w:tc>
                <w:tcPr>
                  <w:tcW w:w="4820" w:type="dxa"/>
                  <w:shd w:val="solid" w:color="FFFFFF" w:fill="auto"/>
                  <w:vAlign w:val="bottom"/>
                </w:tcPr>
                <w:p w14:paraId="4EE86CDB" w14:textId="5D0EBD3D" w:rsidR="00037285" w:rsidRPr="000C4F63" w:rsidRDefault="00037285" w:rsidP="008F0EDC">
                  <w:pPr>
                    <w:framePr w:hSpace="141" w:wrap="around" w:vAnchor="text" w:hAnchor="margin" w:y="856"/>
                    <w:autoSpaceDE w:val="0"/>
                    <w:autoSpaceDN w:val="0"/>
                    <w:adjustRightInd w:val="0"/>
                    <w:rPr>
                      <w:rFonts w:ascii="Times New Roman" w:hAnsi="Times New Roman"/>
                      <w:color w:val="000000"/>
                      <w:sz w:val="24"/>
                      <w:szCs w:val="24"/>
                    </w:rPr>
                  </w:pPr>
                  <w:r>
                    <w:rPr>
                      <w:rFonts w:ascii="Times New Roman" w:hAnsi="Times New Roman"/>
                      <w:color w:val="000000"/>
                      <w:sz w:val="24"/>
                    </w:rPr>
                    <w:t>Objective 4: Improve cold chain capacity and effective vaccine management</w:t>
                  </w:r>
                </w:p>
              </w:tc>
              <w:tc>
                <w:tcPr>
                  <w:tcW w:w="2410" w:type="dxa"/>
                  <w:shd w:val="solid" w:color="FFFFFF" w:fill="auto"/>
                  <w:vAlign w:val="bottom"/>
                </w:tcPr>
                <w:p w14:paraId="45A4E347" w14:textId="7BADEC3C" w:rsidR="00037285" w:rsidRPr="00037285" w:rsidRDefault="00037285"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000000"/>
                      <w:sz w:val="24"/>
                    </w:rPr>
                    <w:t>912,019.0</w:t>
                  </w:r>
                  <w:r w:rsidR="007D38B4">
                    <w:rPr>
                      <w:rFonts w:ascii="Times New Roman" w:hAnsi="Times New Roman"/>
                      <w:b/>
                      <w:color w:val="000000"/>
                      <w:sz w:val="24"/>
                    </w:rPr>
                    <w:t>0</w:t>
                  </w:r>
                </w:p>
              </w:tc>
              <w:tc>
                <w:tcPr>
                  <w:tcW w:w="1842" w:type="dxa"/>
                  <w:vAlign w:val="bottom"/>
                </w:tcPr>
                <w:p w14:paraId="61AFECD6" w14:textId="04D3AD03" w:rsidR="00037285" w:rsidRPr="00037285" w:rsidRDefault="00037285" w:rsidP="008F0EDC">
                  <w:pPr>
                    <w:framePr w:hSpace="141" w:wrap="around" w:vAnchor="text" w:hAnchor="margin" w:y="856"/>
                    <w:jc w:val="center"/>
                    <w:rPr>
                      <w:rFonts w:ascii="Times New Roman" w:hAnsi="Times New Roman"/>
                      <w:b/>
                      <w:bCs/>
                      <w:color w:val="660066"/>
                      <w:sz w:val="24"/>
                      <w:szCs w:val="24"/>
                    </w:rPr>
                  </w:pPr>
                  <w:r>
                    <w:rPr>
                      <w:rFonts w:ascii="Times New Roman" w:hAnsi="Times New Roman"/>
                      <w:b/>
                      <w:color w:val="000000"/>
                      <w:sz w:val="24"/>
                    </w:rPr>
                    <w:t>4.7%</w:t>
                  </w:r>
                </w:p>
              </w:tc>
            </w:tr>
            <w:tr w:rsidR="00037285" w:rsidRPr="000C4F63" w14:paraId="037938B7" w14:textId="77777777" w:rsidTr="004904C0">
              <w:trPr>
                <w:trHeight w:val="314"/>
              </w:trPr>
              <w:tc>
                <w:tcPr>
                  <w:tcW w:w="4820" w:type="dxa"/>
                  <w:shd w:val="solid" w:color="FFFFFF" w:fill="auto"/>
                  <w:vAlign w:val="bottom"/>
                </w:tcPr>
                <w:p w14:paraId="52DA3570" w14:textId="74757E4C" w:rsidR="00037285" w:rsidRPr="000C4F63" w:rsidRDefault="00037285" w:rsidP="008F0EDC">
                  <w:pPr>
                    <w:framePr w:hSpace="141" w:wrap="around" w:vAnchor="text" w:hAnchor="margin" w:y="856"/>
                    <w:autoSpaceDE w:val="0"/>
                    <w:autoSpaceDN w:val="0"/>
                    <w:adjustRightInd w:val="0"/>
                    <w:rPr>
                      <w:rFonts w:ascii="Times New Roman" w:hAnsi="Times New Roman"/>
                      <w:color w:val="000000"/>
                      <w:sz w:val="24"/>
                      <w:szCs w:val="24"/>
                    </w:rPr>
                  </w:pPr>
                  <w:r>
                    <w:rPr>
                      <w:rFonts w:ascii="Times New Roman" w:hAnsi="Times New Roman"/>
                      <w:color w:val="000000"/>
                      <w:sz w:val="24"/>
                    </w:rPr>
                    <w:t>Objective 5:  Improve immunization financing by communities and municipalities.</w:t>
                  </w:r>
                </w:p>
              </w:tc>
              <w:tc>
                <w:tcPr>
                  <w:tcW w:w="2410" w:type="dxa"/>
                  <w:shd w:val="solid" w:color="FFFFFF" w:fill="auto"/>
                  <w:vAlign w:val="bottom"/>
                </w:tcPr>
                <w:p w14:paraId="1840FDAE" w14:textId="5A4CAF95" w:rsidR="00037285" w:rsidRPr="00037285" w:rsidRDefault="00037285"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000000"/>
                      <w:sz w:val="24"/>
                    </w:rPr>
                    <w:t>736,796.3</w:t>
                  </w:r>
                  <w:r w:rsidR="007D38B4">
                    <w:rPr>
                      <w:rFonts w:ascii="Times New Roman" w:hAnsi="Times New Roman"/>
                      <w:b/>
                      <w:color w:val="000000"/>
                      <w:sz w:val="24"/>
                    </w:rPr>
                    <w:t>0</w:t>
                  </w:r>
                </w:p>
              </w:tc>
              <w:tc>
                <w:tcPr>
                  <w:tcW w:w="1842" w:type="dxa"/>
                  <w:vAlign w:val="bottom"/>
                </w:tcPr>
                <w:p w14:paraId="1050B695" w14:textId="35FFC63E" w:rsidR="00037285" w:rsidRPr="00037285" w:rsidRDefault="00037285" w:rsidP="008F0EDC">
                  <w:pPr>
                    <w:framePr w:hSpace="141" w:wrap="around" w:vAnchor="text" w:hAnchor="margin" w:y="856"/>
                    <w:jc w:val="center"/>
                    <w:rPr>
                      <w:rFonts w:ascii="Times New Roman" w:hAnsi="Times New Roman"/>
                      <w:b/>
                      <w:bCs/>
                      <w:color w:val="660066"/>
                      <w:sz w:val="24"/>
                      <w:szCs w:val="24"/>
                    </w:rPr>
                  </w:pPr>
                  <w:r>
                    <w:rPr>
                      <w:rFonts w:ascii="Times New Roman" w:hAnsi="Times New Roman"/>
                      <w:b/>
                      <w:color w:val="000000"/>
                      <w:sz w:val="24"/>
                    </w:rPr>
                    <w:t>3.8%</w:t>
                  </w:r>
                </w:p>
              </w:tc>
            </w:tr>
            <w:tr w:rsidR="00CC3EA2" w:rsidRPr="000C4F63" w14:paraId="5773E669" w14:textId="77777777" w:rsidTr="004904C0">
              <w:trPr>
                <w:trHeight w:val="314"/>
              </w:trPr>
              <w:tc>
                <w:tcPr>
                  <w:tcW w:w="4820" w:type="dxa"/>
                  <w:shd w:val="clear" w:color="auto" w:fill="C6D9F1" w:themeFill="text2" w:themeFillTint="33"/>
                  <w:vAlign w:val="bottom"/>
                </w:tcPr>
                <w:p w14:paraId="5C817C00" w14:textId="0FA8F7E9" w:rsidR="00CC3EA2" w:rsidRPr="000C4F63" w:rsidRDefault="00CC3EA2" w:rsidP="008F0EDC">
                  <w:pPr>
                    <w:framePr w:hSpace="141" w:wrap="around" w:vAnchor="text" w:hAnchor="margin" w:y="856"/>
                    <w:autoSpaceDE w:val="0"/>
                    <w:autoSpaceDN w:val="0"/>
                    <w:adjustRightInd w:val="0"/>
                    <w:rPr>
                      <w:rFonts w:ascii="Times New Roman" w:hAnsi="Times New Roman"/>
                      <w:b/>
                      <w:color w:val="000000"/>
                      <w:sz w:val="24"/>
                      <w:szCs w:val="24"/>
                    </w:rPr>
                  </w:pPr>
                  <w:r>
                    <w:rPr>
                      <w:rFonts w:ascii="Times New Roman" w:hAnsi="Times New Roman"/>
                      <w:color w:val="C5D9F1"/>
                      <w:sz w:val="24"/>
                    </w:rPr>
                    <w:t> </w:t>
                  </w:r>
                </w:p>
              </w:tc>
              <w:tc>
                <w:tcPr>
                  <w:tcW w:w="2410" w:type="dxa"/>
                  <w:shd w:val="clear" w:color="auto" w:fill="C6D9F1" w:themeFill="text2" w:themeFillTint="33"/>
                  <w:vAlign w:val="bottom"/>
                </w:tcPr>
                <w:p w14:paraId="6E7EFCB1" w14:textId="639CA07A" w:rsidR="00CC3EA2" w:rsidRPr="000C4F63" w:rsidRDefault="00CC3EA2" w:rsidP="008F0EDC">
                  <w:pPr>
                    <w:framePr w:hSpace="141" w:wrap="around" w:vAnchor="text" w:hAnchor="margin" w:y="856"/>
                    <w:autoSpaceDE w:val="0"/>
                    <w:autoSpaceDN w:val="0"/>
                    <w:adjustRightInd w:val="0"/>
                    <w:jc w:val="center"/>
                    <w:rPr>
                      <w:rFonts w:ascii="Times New Roman" w:hAnsi="Times New Roman"/>
                      <w:b/>
                      <w:bCs/>
                      <w:color w:val="660066"/>
                      <w:sz w:val="24"/>
                      <w:szCs w:val="24"/>
                    </w:rPr>
                  </w:pPr>
                  <w:r>
                    <w:rPr>
                      <w:rFonts w:ascii="Times New Roman" w:hAnsi="Times New Roman"/>
                      <w:b/>
                      <w:color w:val="C5D9F1"/>
                      <w:sz w:val="24"/>
                    </w:rPr>
                    <w:t> </w:t>
                  </w:r>
                </w:p>
              </w:tc>
              <w:tc>
                <w:tcPr>
                  <w:tcW w:w="1842" w:type="dxa"/>
                  <w:shd w:val="clear" w:color="auto" w:fill="C6D9F1" w:themeFill="text2" w:themeFillTint="33"/>
                  <w:vAlign w:val="bottom"/>
                </w:tcPr>
                <w:p w14:paraId="18B0F356" w14:textId="2B50F5BC" w:rsidR="00CC3EA2" w:rsidRPr="000C4F63" w:rsidRDefault="00CC3EA2" w:rsidP="008F0EDC">
                  <w:pPr>
                    <w:framePr w:hSpace="141" w:wrap="around" w:vAnchor="text" w:hAnchor="margin" w:y="856"/>
                    <w:jc w:val="center"/>
                    <w:rPr>
                      <w:rFonts w:ascii="Times New Roman" w:hAnsi="Times New Roman"/>
                      <w:b/>
                      <w:bCs/>
                      <w:color w:val="000000"/>
                      <w:sz w:val="24"/>
                      <w:szCs w:val="24"/>
                    </w:rPr>
                  </w:pPr>
                  <w:r>
                    <w:rPr>
                      <w:rFonts w:ascii="Times New Roman" w:hAnsi="Times New Roman"/>
                      <w:color w:val="C5D9F1"/>
                      <w:sz w:val="24"/>
                    </w:rPr>
                    <w:t> </w:t>
                  </w:r>
                </w:p>
              </w:tc>
            </w:tr>
            <w:tr w:rsidR="00660238" w:rsidRPr="000C4F63" w14:paraId="7802F0B8" w14:textId="77777777" w:rsidTr="004904C0">
              <w:trPr>
                <w:trHeight w:val="314"/>
              </w:trPr>
              <w:tc>
                <w:tcPr>
                  <w:tcW w:w="4820" w:type="dxa"/>
                  <w:shd w:val="clear" w:color="auto" w:fill="FBD4B4" w:themeFill="accent6" w:themeFillTint="66"/>
                  <w:vAlign w:val="center"/>
                </w:tcPr>
                <w:p w14:paraId="145B1E84" w14:textId="77777777" w:rsidR="00660238" w:rsidRPr="000C4F63" w:rsidRDefault="00660238" w:rsidP="008F0EDC">
                  <w:pPr>
                    <w:framePr w:hSpace="141" w:wrap="around" w:vAnchor="text" w:hAnchor="margin" w:y="856"/>
                    <w:autoSpaceDE w:val="0"/>
                    <w:autoSpaceDN w:val="0"/>
                    <w:adjustRightInd w:val="0"/>
                    <w:rPr>
                      <w:rFonts w:ascii="Times New Roman" w:hAnsi="Times New Roman"/>
                      <w:b/>
                      <w:color w:val="000000"/>
                      <w:sz w:val="24"/>
                      <w:szCs w:val="24"/>
                    </w:rPr>
                  </w:pPr>
                  <w:r>
                    <w:rPr>
                      <w:rFonts w:ascii="Times New Roman" w:hAnsi="Times New Roman"/>
                      <w:b/>
                      <w:color w:val="000000"/>
                      <w:sz w:val="24"/>
                    </w:rPr>
                    <w:t>Program Management Cost</w:t>
                  </w:r>
                </w:p>
              </w:tc>
              <w:tc>
                <w:tcPr>
                  <w:tcW w:w="2410" w:type="dxa"/>
                  <w:shd w:val="clear" w:color="auto" w:fill="FBD4B4" w:themeFill="accent6" w:themeFillTint="66"/>
                  <w:vAlign w:val="bottom"/>
                </w:tcPr>
                <w:p w14:paraId="06AE75AA" w14:textId="2524BBC2" w:rsidR="00906C63" w:rsidRPr="00906C63" w:rsidRDefault="00906C63" w:rsidP="008F0EDC">
                  <w:pPr>
                    <w:framePr w:hSpace="141" w:wrap="around" w:vAnchor="text" w:hAnchor="margin" w:y="856"/>
                    <w:autoSpaceDE w:val="0"/>
                    <w:autoSpaceDN w:val="0"/>
                    <w:adjustRightInd w:val="0"/>
                    <w:jc w:val="center"/>
                    <w:rPr>
                      <w:rFonts w:ascii="Times New Roman" w:hAnsi="Times New Roman"/>
                      <w:b/>
                      <w:bCs/>
                      <w:color w:val="000000"/>
                      <w:sz w:val="24"/>
                      <w:szCs w:val="22"/>
                    </w:rPr>
                  </w:pPr>
                  <w:r>
                    <w:rPr>
                      <w:rFonts w:ascii="Times New Roman" w:hAnsi="Times New Roman"/>
                      <w:b/>
                      <w:color w:val="000000"/>
                      <w:sz w:val="24"/>
                    </w:rPr>
                    <w:t>845,846</w:t>
                  </w:r>
                </w:p>
              </w:tc>
              <w:tc>
                <w:tcPr>
                  <w:tcW w:w="1842" w:type="dxa"/>
                  <w:shd w:val="clear" w:color="auto" w:fill="FBD4B4" w:themeFill="accent6" w:themeFillTint="66"/>
                  <w:vAlign w:val="bottom"/>
                </w:tcPr>
                <w:p w14:paraId="6DE4A7B6" w14:textId="334C06BA" w:rsidR="00660238" w:rsidRPr="000C4F63" w:rsidRDefault="00906C63" w:rsidP="008F0EDC">
                  <w:pPr>
                    <w:framePr w:hSpace="141" w:wrap="around" w:vAnchor="text" w:hAnchor="margin" w:y="856"/>
                    <w:jc w:val="center"/>
                    <w:rPr>
                      <w:rFonts w:ascii="Times New Roman" w:hAnsi="Times New Roman"/>
                      <w:b/>
                      <w:bCs/>
                      <w:color w:val="000000"/>
                      <w:sz w:val="24"/>
                      <w:szCs w:val="24"/>
                    </w:rPr>
                  </w:pPr>
                  <w:r>
                    <w:rPr>
                      <w:rFonts w:ascii="Times New Roman" w:hAnsi="Times New Roman"/>
                      <w:b/>
                      <w:color w:val="000000"/>
                      <w:sz w:val="24"/>
                    </w:rPr>
                    <w:t>4.2%</w:t>
                  </w:r>
                </w:p>
              </w:tc>
            </w:tr>
          </w:tbl>
          <w:p w14:paraId="23D9A993" w14:textId="77777777" w:rsidR="003C2512" w:rsidRPr="004B5884" w:rsidRDefault="003C2512" w:rsidP="003C2512">
            <w:pPr>
              <w:spacing w:before="120" w:after="120"/>
              <w:jc w:val="both"/>
              <w:rPr>
                <w:rFonts w:ascii="Times New Roman" w:eastAsia="Calibri" w:hAnsi="Times New Roman"/>
                <w:sz w:val="24"/>
                <w:szCs w:val="24"/>
              </w:rPr>
            </w:pPr>
          </w:p>
        </w:tc>
      </w:tr>
    </w:tbl>
    <w:p w14:paraId="3193C88F"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W w:w="5271" w:type="pct"/>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ook w:val="0000" w:firstRow="0" w:lastRow="0" w:firstColumn="0" w:lastColumn="0" w:noHBand="0" w:noVBand="0"/>
      </w:tblPr>
      <w:tblGrid>
        <w:gridCol w:w="10986"/>
      </w:tblGrid>
      <w:tr w:rsidR="00867FFD" w:rsidRPr="009316FF" w14:paraId="4AA58367" w14:textId="77777777" w:rsidTr="005D4FDC">
        <w:trPr>
          <w:trHeight w:val="272"/>
        </w:trPr>
        <w:tc>
          <w:tcPr>
            <w:tcW w:w="5000" w:type="pct"/>
            <w:tcBorders>
              <w:bottom w:val="single" w:sz="4" w:space="0" w:color="173E49"/>
            </w:tcBorders>
            <w:shd w:val="clear" w:color="auto" w:fill="006460"/>
          </w:tcPr>
          <w:p w14:paraId="0D81E11B" w14:textId="77777777" w:rsidR="00867FFD" w:rsidRPr="004B5884" w:rsidRDefault="00867FFD" w:rsidP="00226DF1">
            <w:pPr>
              <w:pStyle w:val="Heading2"/>
              <w:rPr>
                <w:rFonts w:ascii="Times New Roman" w:eastAsia="Calibri" w:hAnsi="Times New Roman"/>
                <w:sz w:val="24"/>
                <w:szCs w:val="24"/>
              </w:rPr>
            </w:pPr>
            <w:bookmarkStart w:id="86" w:name="_Toc346116646"/>
            <w:bookmarkStart w:id="87" w:name="_Toc398181100"/>
            <w:bookmarkStart w:id="88" w:name="_Toc276342229"/>
            <w:r>
              <w:rPr>
                <w:rFonts w:ascii="Times New Roman" w:hAnsi="Times New Roman"/>
                <w:sz w:val="24"/>
              </w:rPr>
              <w:t>16. Gap Analysis and Complementarity</w:t>
            </w:r>
            <w:bookmarkEnd w:id="86"/>
            <w:bookmarkEnd w:id="87"/>
            <w:bookmarkEnd w:id="88"/>
          </w:p>
        </w:tc>
      </w:tr>
      <w:tr w:rsidR="00867FFD" w:rsidRPr="009316FF" w14:paraId="5597CA0C" w14:textId="77777777" w:rsidTr="005D4FDC">
        <w:trPr>
          <w:trHeight w:val="699"/>
        </w:trPr>
        <w:tc>
          <w:tcPr>
            <w:tcW w:w="5000" w:type="pct"/>
            <w:tcBorders>
              <w:top w:val="single" w:sz="4" w:space="0" w:color="173E49"/>
              <w:left w:val="single" w:sz="4" w:space="0" w:color="173E49"/>
              <w:bottom w:val="single" w:sz="4" w:space="0" w:color="173E49"/>
              <w:right w:val="single" w:sz="4" w:space="0" w:color="173E49"/>
            </w:tcBorders>
            <w:shd w:val="clear" w:color="auto" w:fill="FFFFFF"/>
          </w:tcPr>
          <w:p w14:paraId="4AAEE1E8"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description will ensure that GAVI is aware of support provided by other donors, thereby avoiding overlap or duplication. It will also highlight the added value of the support requested from GAVI. </w:t>
            </w:r>
          </w:p>
          <w:p w14:paraId="321D52CE" w14:textId="189A93A4"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complete a gap analysis that is related to each of the GAVI HSS proposal objectives. The gap analysis should use information as available in National Health Sector Strategy/Plan, cMYP, or other gap analysis conducted, to show the total resource requirements for Health System Strengthening related to each of the proposal objectives. Applicants are encouraged to use the GAVI HSS Budget, Gap Analysis and Workplan Template but can alternatively choose an existing country template.</w:t>
            </w:r>
          </w:p>
          <w:p w14:paraId="29FE744A"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For each of the objectives, applicants should list different resources for HSS financing already in place that contribute to the proposal objective, including government and external donor contributions, the project name if applicable (or indicate budget support), duration of support, funding amount provided (in US$), and geographic location covered by the support. The Supplementary HSS Guidelines provide more detail on the key required elements of the gap analysis.</w:t>
            </w:r>
          </w:p>
          <w:p w14:paraId="21C0115A" w14:textId="02A2A875"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In the box below, please provide a narrative description of other efforts by the Government or development partners that focus on the bottlenecks that are addressed by the proposed objectives, including the timeframe and the geographic location of this support, thereby highlighting the value-added of GAVI support and how the current proposal complements those efforts. </w:t>
            </w:r>
          </w:p>
          <w:p w14:paraId="606674B2"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GAVI encourages the use of data from existing gap analyses, rather than undertaking a new gap analysis.</w:t>
            </w:r>
          </w:p>
        </w:tc>
      </w:tr>
    </w:tbl>
    <w:p w14:paraId="11BED646" w14:textId="77777777" w:rsidR="00CD2066" w:rsidRDefault="00CD2066" w:rsidP="00226DF1">
      <w:pPr>
        <w:spacing w:before="120" w:after="120"/>
        <w:jc w:val="both"/>
        <w:rPr>
          <w:rFonts w:ascii="Times New Roman" w:hAnsi="Times New Roman"/>
          <w:b/>
          <w:i/>
          <w:sz w:val="24"/>
          <w:szCs w:val="24"/>
        </w:rPr>
        <w:sectPr w:rsidR="00CD2066" w:rsidSect="00AB7BCC">
          <w:pgSz w:w="11907" w:h="16839" w:code="9"/>
          <w:pgMar w:top="993" w:right="851" w:bottom="993" w:left="85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9"/>
      </w:tblGrid>
      <w:tr w:rsidR="00867FFD" w:rsidRPr="009316FF" w14:paraId="7953A5CE" w14:textId="77777777" w:rsidTr="00BA23D4">
        <w:trPr>
          <w:trHeight w:val="557"/>
        </w:trPr>
        <w:tc>
          <w:tcPr>
            <w:tcW w:w="5000" w:type="pct"/>
            <w:tcBorders>
              <w:top w:val="single" w:sz="4" w:space="0" w:color="173E49"/>
              <w:left w:val="single" w:sz="4" w:space="0" w:color="173E49"/>
              <w:bottom w:val="nil"/>
              <w:right w:val="single" w:sz="4" w:space="0" w:color="173E49"/>
            </w:tcBorders>
            <w:shd w:val="clear" w:color="auto" w:fill="auto"/>
            <w:vAlign w:val="center"/>
          </w:tcPr>
          <w:p w14:paraId="3B2F1217" w14:textId="67E851DB" w:rsidR="00867FFD" w:rsidRDefault="00867FFD" w:rsidP="00226DF1">
            <w:pPr>
              <w:spacing w:before="120" w:after="120"/>
              <w:jc w:val="both"/>
              <w:rPr>
                <w:rFonts w:ascii="Times New Roman" w:hAnsi="Times New Roman"/>
                <w:b/>
                <w:i/>
                <w:sz w:val="24"/>
                <w:szCs w:val="24"/>
              </w:rPr>
            </w:pPr>
            <w:r>
              <w:rPr>
                <w:rFonts w:ascii="Times New Roman" w:hAnsi="Times New Roman"/>
                <w:b/>
                <w:i/>
                <w:sz w:val="24"/>
              </w:rPr>
              <w:t>TWO PAGES MAXIMUM</w:t>
            </w:r>
          </w:p>
          <w:p w14:paraId="1485356D" w14:textId="77777777" w:rsidR="00FA0363" w:rsidRDefault="00FA0363" w:rsidP="003B4F95">
            <w:pPr>
              <w:spacing w:before="120" w:after="120"/>
              <w:jc w:val="both"/>
              <w:rPr>
                <w:rFonts w:ascii="Times New Roman" w:hAnsi="Times New Roman"/>
                <w:b/>
                <w:sz w:val="24"/>
                <w:szCs w:val="24"/>
                <w:u w:val="single"/>
              </w:rPr>
            </w:pPr>
          </w:p>
          <w:p w14:paraId="0121AADA" w14:textId="268D866C" w:rsidR="00E55B33" w:rsidRPr="0023208F" w:rsidRDefault="007F4D6B" w:rsidP="003B4F95">
            <w:pPr>
              <w:spacing w:before="120" w:after="120"/>
              <w:jc w:val="both"/>
              <w:rPr>
                <w:rFonts w:ascii="Times New Roman" w:hAnsi="Times New Roman"/>
                <w:sz w:val="24"/>
                <w:szCs w:val="24"/>
              </w:rPr>
            </w:pPr>
            <w:r>
              <w:rPr>
                <w:rFonts w:ascii="Times New Roman" w:hAnsi="Times New Roman"/>
                <w:sz w:val="24"/>
              </w:rPr>
              <w:t>Mali prepared its strategic health plan (HSDP) for the 2014-2023 period and its first phase of implementation for PRODESS III (2014-2018) the total cost of which for priority interventions is estimated at 786,910,416,000 CFA francs distributed over five (5) years, at an amount of 157,382,083,200 CFA francs per year.</w:t>
            </w:r>
            <w:r>
              <w:rPr>
                <w:rFonts w:ascii="Times New Roman" w:hAnsi="Times New Roman"/>
                <w:color w:val="000000"/>
                <w:sz w:val="24"/>
              </w:rPr>
              <w:t xml:space="preserve"> The national budget will be able to cover this annual cost since 15% is allocated to health (Abuja Accord). Mali is posed to adopt these principles of the Abuja accord.</w:t>
            </w:r>
          </w:p>
          <w:p w14:paraId="002B3D7D" w14:textId="72FC2BBF" w:rsidR="004F77E0" w:rsidRPr="0023208F" w:rsidRDefault="004F77E0" w:rsidP="007F4D6B">
            <w:pPr>
              <w:spacing w:before="120" w:after="120"/>
              <w:jc w:val="both"/>
              <w:rPr>
                <w:rFonts w:ascii="Times New Roman" w:hAnsi="Times New Roman"/>
                <w:sz w:val="24"/>
                <w:szCs w:val="24"/>
              </w:rPr>
            </w:pPr>
            <w:r>
              <w:rPr>
                <w:rFonts w:ascii="Times New Roman" w:hAnsi="Times New Roman"/>
                <w:sz w:val="24"/>
              </w:rPr>
              <w:t>Following the socio-political and security crisis of 2012 with the suspension of most bilateral and multilateral cooperation agreements, said program has not yet received a partner commitment for financing, and their replies are reserved.</w:t>
            </w:r>
          </w:p>
          <w:p w14:paraId="0C508E3E" w14:textId="77777777" w:rsidR="00BF4E3D" w:rsidRPr="0023208F" w:rsidRDefault="00BF4E3D" w:rsidP="00BF4E3D">
            <w:pPr>
              <w:spacing w:before="120" w:after="120"/>
              <w:jc w:val="both"/>
              <w:rPr>
                <w:rFonts w:ascii="Times New Roman" w:hAnsi="Times New Roman"/>
                <w:sz w:val="24"/>
                <w:szCs w:val="24"/>
              </w:rPr>
            </w:pPr>
            <w:r>
              <w:rPr>
                <w:rFonts w:ascii="Times New Roman" w:hAnsi="Times New Roman"/>
                <w:sz w:val="24"/>
              </w:rPr>
              <w:t xml:space="preserve">Financial analysis shows that there are gaps between (i) the package of available financial resources; and (ii) the minimum budget necessary to cover the cost of the selected priority interventions. </w:t>
            </w:r>
          </w:p>
          <w:p w14:paraId="096D88D7" w14:textId="41DD11EC" w:rsidR="00BF4E3D" w:rsidRPr="0023208F" w:rsidRDefault="00BF4E3D" w:rsidP="00BF4E3D">
            <w:pPr>
              <w:spacing w:before="120" w:after="120"/>
              <w:jc w:val="both"/>
              <w:rPr>
                <w:rFonts w:ascii="Times New Roman" w:hAnsi="Times New Roman"/>
                <w:sz w:val="24"/>
                <w:szCs w:val="24"/>
              </w:rPr>
            </w:pPr>
            <w:r>
              <w:rPr>
                <w:rFonts w:ascii="Times New Roman" w:hAnsi="Times New Roman"/>
                <w:sz w:val="24"/>
              </w:rPr>
              <w:t xml:space="preserve">It is therefore important to select certain principles for management of these gaps, for example during the annual PO validation process. The PRODESS-III document proposes the principles for this management. In the new procedures manual that will be prepared, these principles are supplemented with detailed procedures. </w:t>
            </w:r>
          </w:p>
          <w:p w14:paraId="0DB8C8B9" w14:textId="4375827B" w:rsidR="00BF4E3D" w:rsidRPr="0023208F" w:rsidRDefault="00BF4E3D" w:rsidP="00BF4E3D">
            <w:pPr>
              <w:spacing w:before="120" w:after="120"/>
              <w:jc w:val="both"/>
              <w:rPr>
                <w:rFonts w:ascii="Times New Roman" w:hAnsi="Times New Roman"/>
                <w:sz w:val="24"/>
                <w:szCs w:val="24"/>
              </w:rPr>
            </w:pPr>
            <w:r>
              <w:rPr>
                <w:rFonts w:ascii="Times New Roman" w:hAnsi="Times New Roman"/>
                <w:sz w:val="24"/>
              </w:rPr>
              <w:t xml:space="preserve">The management of gaps will rest on the principle of non-fungibility of the allocated resources to finance the targeted activities. This involves respecting budget allocations intended for interventions. </w:t>
            </w:r>
          </w:p>
          <w:p w14:paraId="53EF2BDD" w14:textId="77777777" w:rsidR="00F54585" w:rsidRDefault="00F54585" w:rsidP="00C5532C">
            <w:pPr>
              <w:spacing w:before="120" w:after="120"/>
              <w:jc w:val="both"/>
              <w:rPr>
                <w:rFonts w:ascii="Times New Roman" w:hAnsi="Times New Roman"/>
                <w:b/>
                <w:sz w:val="24"/>
                <w:u w:val="single"/>
              </w:rPr>
            </w:pPr>
          </w:p>
          <w:p w14:paraId="19729182" w14:textId="77777777" w:rsidR="00F54585" w:rsidRDefault="00F54585" w:rsidP="00C5532C">
            <w:pPr>
              <w:spacing w:before="120" w:after="120"/>
              <w:jc w:val="both"/>
              <w:rPr>
                <w:rFonts w:ascii="Times New Roman" w:hAnsi="Times New Roman"/>
                <w:b/>
                <w:sz w:val="24"/>
                <w:u w:val="single"/>
              </w:rPr>
            </w:pPr>
          </w:p>
          <w:p w14:paraId="5B44E1FF" w14:textId="77777777" w:rsidR="00F54585" w:rsidRDefault="00F54585" w:rsidP="00C5532C">
            <w:pPr>
              <w:spacing w:before="120" w:after="120"/>
              <w:jc w:val="both"/>
              <w:rPr>
                <w:rFonts w:ascii="Times New Roman" w:hAnsi="Times New Roman"/>
                <w:b/>
                <w:sz w:val="24"/>
                <w:u w:val="single"/>
              </w:rPr>
            </w:pPr>
          </w:p>
          <w:p w14:paraId="7C9ECF32" w14:textId="77777777" w:rsidR="00F54585" w:rsidRDefault="00F54585" w:rsidP="00C5532C">
            <w:pPr>
              <w:spacing w:before="120" w:after="120"/>
              <w:jc w:val="both"/>
              <w:rPr>
                <w:rFonts w:ascii="Times New Roman" w:hAnsi="Times New Roman"/>
                <w:b/>
                <w:sz w:val="24"/>
                <w:u w:val="single"/>
              </w:rPr>
            </w:pPr>
          </w:p>
          <w:p w14:paraId="737FB004" w14:textId="77777777" w:rsidR="00F54585" w:rsidRDefault="00F54585" w:rsidP="00C5532C">
            <w:pPr>
              <w:spacing w:before="120" w:after="120"/>
              <w:jc w:val="both"/>
              <w:rPr>
                <w:rFonts w:ascii="Times New Roman" w:hAnsi="Times New Roman"/>
                <w:b/>
                <w:sz w:val="24"/>
                <w:u w:val="single"/>
              </w:rPr>
            </w:pPr>
          </w:p>
          <w:p w14:paraId="0490773A" w14:textId="77777777" w:rsidR="00F54585" w:rsidRDefault="00F54585" w:rsidP="00C5532C">
            <w:pPr>
              <w:spacing w:before="120" w:after="120"/>
              <w:jc w:val="both"/>
              <w:rPr>
                <w:rFonts w:ascii="Times New Roman" w:hAnsi="Times New Roman"/>
                <w:b/>
                <w:sz w:val="24"/>
                <w:u w:val="single"/>
              </w:rPr>
            </w:pPr>
          </w:p>
          <w:p w14:paraId="353AA398" w14:textId="77777777" w:rsidR="00F54585" w:rsidRDefault="00F54585" w:rsidP="00C5532C">
            <w:pPr>
              <w:spacing w:before="120" w:after="120"/>
              <w:jc w:val="both"/>
              <w:rPr>
                <w:rFonts w:ascii="Times New Roman" w:hAnsi="Times New Roman"/>
                <w:b/>
                <w:sz w:val="24"/>
                <w:u w:val="single"/>
              </w:rPr>
            </w:pPr>
          </w:p>
          <w:p w14:paraId="25A2C88D" w14:textId="77777777" w:rsidR="00F54585" w:rsidRDefault="00F54585" w:rsidP="00C5532C">
            <w:pPr>
              <w:spacing w:before="120" w:after="120"/>
              <w:jc w:val="both"/>
              <w:rPr>
                <w:rFonts w:ascii="Times New Roman" w:hAnsi="Times New Roman"/>
                <w:b/>
                <w:sz w:val="24"/>
                <w:u w:val="single"/>
              </w:rPr>
            </w:pPr>
          </w:p>
          <w:p w14:paraId="70F483E4" w14:textId="77777777" w:rsidR="00F54585" w:rsidRDefault="00F54585" w:rsidP="00C5532C">
            <w:pPr>
              <w:spacing w:before="120" w:after="120"/>
              <w:jc w:val="both"/>
              <w:rPr>
                <w:rFonts w:ascii="Times New Roman" w:hAnsi="Times New Roman"/>
                <w:b/>
                <w:sz w:val="24"/>
                <w:u w:val="single"/>
              </w:rPr>
            </w:pPr>
          </w:p>
          <w:p w14:paraId="6F74A448" w14:textId="77777777" w:rsidR="00F54585" w:rsidRDefault="00F54585" w:rsidP="00C5532C">
            <w:pPr>
              <w:spacing w:before="120" w:after="120"/>
              <w:jc w:val="both"/>
              <w:rPr>
                <w:rFonts w:ascii="Times New Roman" w:hAnsi="Times New Roman"/>
                <w:b/>
                <w:sz w:val="24"/>
                <w:u w:val="single"/>
              </w:rPr>
            </w:pPr>
          </w:p>
          <w:p w14:paraId="68CF51EB" w14:textId="77777777" w:rsidR="00F54585" w:rsidRDefault="00F54585" w:rsidP="00C5532C">
            <w:pPr>
              <w:spacing w:before="120" w:after="120"/>
              <w:jc w:val="both"/>
              <w:rPr>
                <w:rFonts w:ascii="Times New Roman" w:hAnsi="Times New Roman"/>
                <w:b/>
                <w:sz w:val="24"/>
                <w:u w:val="single"/>
              </w:rPr>
            </w:pPr>
          </w:p>
          <w:p w14:paraId="621AE61B" w14:textId="40D817E4" w:rsidR="00C5532C" w:rsidRDefault="009665C9" w:rsidP="00C5532C">
            <w:pPr>
              <w:spacing w:before="120" w:after="120"/>
              <w:jc w:val="both"/>
              <w:rPr>
                <w:rFonts w:ascii="Times New Roman" w:hAnsi="Times New Roman"/>
                <w:b/>
                <w:sz w:val="24"/>
              </w:rPr>
            </w:pPr>
            <w:r>
              <w:rPr>
                <w:rFonts w:ascii="Times New Roman" w:hAnsi="Times New Roman"/>
                <w:b/>
                <w:sz w:val="24"/>
                <w:u w:val="single"/>
              </w:rPr>
              <w:t>Detail of amounts necessary to attain objectives:</w:t>
            </w:r>
          </w:p>
          <w:p w14:paraId="75437703" w14:textId="77777777" w:rsidR="003F20B5" w:rsidRDefault="003F20B5" w:rsidP="00C5532C">
            <w:pPr>
              <w:spacing w:before="120" w:after="120"/>
              <w:jc w:val="both"/>
              <w:rPr>
                <w:rFonts w:ascii="Times New Roman" w:hAnsi="Times New Roman"/>
                <w:b/>
                <w:sz w:val="24"/>
              </w:rPr>
            </w:pPr>
          </w:p>
          <w:tbl>
            <w:tblPr>
              <w:tblStyle w:val="TableGrid"/>
              <w:tblW w:w="0" w:type="auto"/>
              <w:tblLook w:val="04A0" w:firstRow="1" w:lastRow="0" w:firstColumn="1" w:lastColumn="0" w:noHBand="0" w:noVBand="1"/>
            </w:tblPr>
            <w:tblGrid>
              <w:gridCol w:w="11128"/>
              <w:gridCol w:w="3710"/>
            </w:tblGrid>
            <w:tr w:rsidR="003F20B5" w14:paraId="4AD4170C" w14:textId="77777777" w:rsidTr="003F20B5">
              <w:trPr>
                <w:trHeight w:val="432"/>
              </w:trPr>
              <w:tc>
                <w:tcPr>
                  <w:tcW w:w="11128" w:type="dxa"/>
                </w:tcPr>
                <w:p w14:paraId="55A0117F" w14:textId="731C4802" w:rsidR="003F20B5" w:rsidRPr="003F20B5" w:rsidRDefault="003F20B5" w:rsidP="003F20B5">
                  <w:pPr>
                    <w:jc w:val="both"/>
                    <w:rPr>
                      <w:rFonts w:ascii="Times New Roman" w:hAnsi="Times New Roman"/>
                      <w:b/>
                      <w:szCs w:val="24"/>
                    </w:rPr>
                  </w:pPr>
                  <w:r>
                    <w:rPr>
                      <w:rFonts w:ascii="Times New Roman" w:hAnsi="Times New Roman"/>
                      <w:b/>
                      <w:szCs w:val="24"/>
                    </w:rPr>
                    <w:t>HSS Application Objectives</w:t>
                  </w:r>
                </w:p>
              </w:tc>
              <w:tc>
                <w:tcPr>
                  <w:tcW w:w="3710" w:type="dxa"/>
                </w:tcPr>
                <w:p w14:paraId="78CC25D3" w14:textId="1F036B31" w:rsidR="003F20B5" w:rsidRPr="003F20B5" w:rsidRDefault="003F20B5" w:rsidP="003F20B5">
                  <w:pPr>
                    <w:jc w:val="center"/>
                    <w:rPr>
                      <w:rFonts w:ascii="Times New Roman" w:hAnsi="Times New Roman"/>
                      <w:b/>
                      <w:szCs w:val="24"/>
                    </w:rPr>
                  </w:pPr>
                  <w:r>
                    <w:rPr>
                      <w:rFonts w:ascii="Times New Roman" w:hAnsi="Times New Roman"/>
                      <w:b/>
                      <w:szCs w:val="24"/>
                    </w:rPr>
                    <w:t>Funds Needed</w:t>
                  </w:r>
                </w:p>
              </w:tc>
            </w:tr>
            <w:tr w:rsidR="003F20B5" w14:paraId="47E4DB06" w14:textId="77777777" w:rsidTr="003F20B5">
              <w:trPr>
                <w:trHeight w:val="432"/>
              </w:trPr>
              <w:tc>
                <w:tcPr>
                  <w:tcW w:w="11128" w:type="dxa"/>
                </w:tcPr>
                <w:p w14:paraId="6E4823C7" w14:textId="52DC6468" w:rsidR="003F20B5" w:rsidRDefault="003F20B5" w:rsidP="003F20B5">
                  <w:pPr>
                    <w:tabs>
                      <w:tab w:val="left" w:pos="337"/>
                    </w:tabs>
                    <w:jc w:val="both"/>
                    <w:rPr>
                      <w:rFonts w:ascii="Times New Roman" w:hAnsi="Times New Roman"/>
                      <w:b/>
                      <w:szCs w:val="24"/>
                    </w:rPr>
                  </w:pPr>
                  <w:r>
                    <w:rPr>
                      <w:rFonts w:cs="Arial"/>
                      <w:b/>
                      <w:sz w:val="20"/>
                    </w:rPr>
                    <w:t>1.</w:t>
                  </w:r>
                  <w:r>
                    <w:rPr>
                      <w:rFonts w:cs="Arial"/>
                      <w:b/>
                      <w:sz w:val="20"/>
                    </w:rPr>
                    <w:tab/>
                    <w:t>Objective 1 – By December 2019, increase vaccine coverage for fully immunized children in the country from 72% to 95%.</w:t>
                  </w:r>
                </w:p>
              </w:tc>
              <w:tc>
                <w:tcPr>
                  <w:tcW w:w="3710" w:type="dxa"/>
                </w:tcPr>
                <w:p w14:paraId="6091793C" w14:textId="220D7AD7" w:rsidR="003F20B5" w:rsidRDefault="003F20B5" w:rsidP="003F20B5">
                  <w:pPr>
                    <w:jc w:val="right"/>
                    <w:rPr>
                      <w:rFonts w:ascii="Times New Roman" w:hAnsi="Times New Roman"/>
                      <w:b/>
                      <w:szCs w:val="24"/>
                    </w:rPr>
                  </w:pPr>
                  <w:r>
                    <w:rPr>
                      <w:rFonts w:ascii="Times New Roman" w:hAnsi="Times New Roman"/>
                      <w:b/>
                      <w:szCs w:val="24"/>
                    </w:rPr>
                    <w:t>531,682,054</w:t>
                  </w:r>
                </w:p>
              </w:tc>
            </w:tr>
            <w:tr w:rsidR="003F20B5" w14:paraId="78EC3F2F" w14:textId="77777777" w:rsidTr="003F20B5">
              <w:trPr>
                <w:trHeight w:val="432"/>
              </w:trPr>
              <w:tc>
                <w:tcPr>
                  <w:tcW w:w="11128" w:type="dxa"/>
                </w:tcPr>
                <w:p w14:paraId="7B999D87" w14:textId="6C04C5F1" w:rsidR="003F20B5" w:rsidRDefault="003F20B5" w:rsidP="003F20B5">
                  <w:pPr>
                    <w:tabs>
                      <w:tab w:val="left" w:pos="337"/>
                    </w:tabs>
                    <w:jc w:val="both"/>
                    <w:rPr>
                      <w:rFonts w:ascii="Times New Roman" w:hAnsi="Times New Roman"/>
                      <w:b/>
                      <w:szCs w:val="24"/>
                    </w:rPr>
                  </w:pPr>
                  <w:r>
                    <w:rPr>
                      <w:rFonts w:cs="Arial"/>
                      <w:b/>
                      <w:sz w:val="20"/>
                    </w:rPr>
                    <w:t>2.</w:t>
                  </w:r>
                  <w:r>
                    <w:rPr>
                      <w:rFonts w:cs="Arial"/>
                      <w:b/>
                      <w:sz w:val="20"/>
                    </w:rPr>
                    <w:tab/>
                    <w:t>Objective 2 – Ensure accessibility and availability of immunization services in 100% of prioritized districts</w:t>
                  </w:r>
                </w:p>
              </w:tc>
              <w:tc>
                <w:tcPr>
                  <w:tcW w:w="3710" w:type="dxa"/>
                </w:tcPr>
                <w:p w14:paraId="4F3D2CCB" w14:textId="7A2E3D81" w:rsidR="003F20B5" w:rsidRDefault="003F20B5" w:rsidP="003F20B5">
                  <w:pPr>
                    <w:jc w:val="right"/>
                    <w:rPr>
                      <w:rFonts w:ascii="Times New Roman" w:hAnsi="Times New Roman"/>
                      <w:b/>
                      <w:szCs w:val="24"/>
                    </w:rPr>
                  </w:pPr>
                  <w:r>
                    <w:rPr>
                      <w:rFonts w:ascii="Times New Roman" w:hAnsi="Times New Roman"/>
                      <w:b/>
                      <w:szCs w:val="24"/>
                    </w:rPr>
                    <w:t>29,380,530</w:t>
                  </w:r>
                </w:p>
              </w:tc>
            </w:tr>
            <w:tr w:rsidR="003F20B5" w14:paraId="74031858" w14:textId="77777777" w:rsidTr="003F20B5">
              <w:trPr>
                <w:trHeight w:val="432"/>
              </w:trPr>
              <w:tc>
                <w:tcPr>
                  <w:tcW w:w="11128" w:type="dxa"/>
                </w:tcPr>
                <w:p w14:paraId="73256CC8" w14:textId="0E2A986E" w:rsidR="003F20B5" w:rsidRDefault="003F20B5" w:rsidP="003F20B5">
                  <w:pPr>
                    <w:tabs>
                      <w:tab w:val="left" w:pos="337"/>
                    </w:tabs>
                    <w:jc w:val="both"/>
                    <w:rPr>
                      <w:rFonts w:ascii="Times New Roman" w:hAnsi="Times New Roman"/>
                      <w:b/>
                      <w:szCs w:val="24"/>
                    </w:rPr>
                  </w:pPr>
                  <w:r>
                    <w:rPr>
                      <w:rFonts w:cs="Arial"/>
                      <w:b/>
                      <w:sz w:val="20"/>
                    </w:rPr>
                    <w:t xml:space="preserve">3. </w:t>
                  </w:r>
                  <w:r>
                    <w:rPr>
                      <w:rFonts w:cs="Arial"/>
                      <w:b/>
                      <w:sz w:val="20"/>
                    </w:rPr>
                    <w:tab/>
                    <w:t>Objective 3 – Strengthen the monitoring/evaluation system, including the health information system</w:t>
                  </w:r>
                </w:p>
              </w:tc>
              <w:tc>
                <w:tcPr>
                  <w:tcW w:w="3710" w:type="dxa"/>
                </w:tcPr>
                <w:p w14:paraId="7DCB1C21" w14:textId="5AFA6EEE" w:rsidR="003F20B5" w:rsidRDefault="003F20B5" w:rsidP="003F20B5">
                  <w:pPr>
                    <w:jc w:val="right"/>
                    <w:rPr>
                      <w:rFonts w:ascii="Times New Roman" w:hAnsi="Times New Roman"/>
                      <w:b/>
                      <w:szCs w:val="24"/>
                    </w:rPr>
                  </w:pPr>
                  <w:r>
                    <w:rPr>
                      <w:rFonts w:ascii="Times New Roman" w:hAnsi="Times New Roman"/>
                      <w:b/>
                      <w:szCs w:val="24"/>
                    </w:rPr>
                    <w:t>16,193,102</w:t>
                  </w:r>
                </w:p>
              </w:tc>
            </w:tr>
            <w:tr w:rsidR="003F20B5" w14:paraId="7F7DA93C" w14:textId="77777777" w:rsidTr="003F20B5">
              <w:trPr>
                <w:trHeight w:val="432"/>
              </w:trPr>
              <w:tc>
                <w:tcPr>
                  <w:tcW w:w="11128" w:type="dxa"/>
                </w:tcPr>
                <w:p w14:paraId="253EF481" w14:textId="13265A67" w:rsidR="003F20B5" w:rsidRDefault="003F20B5" w:rsidP="003F20B5">
                  <w:pPr>
                    <w:tabs>
                      <w:tab w:val="left" w:pos="337"/>
                    </w:tabs>
                    <w:jc w:val="both"/>
                    <w:rPr>
                      <w:rFonts w:ascii="Times New Roman" w:hAnsi="Times New Roman"/>
                      <w:b/>
                      <w:szCs w:val="24"/>
                    </w:rPr>
                  </w:pPr>
                  <w:r>
                    <w:rPr>
                      <w:rFonts w:cs="Arial"/>
                      <w:b/>
                      <w:sz w:val="20"/>
                    </w:rPr>
                    <w:t>4.</w:t>
                  </w:r>
                  <w:r>
                    <w:rPr>
                      <w:rFonts w:cs="Arial"/>
                      <w:b/>
                      <w:sz w:val="20"/>
                    </w:rPr>
                    <w:tab/>
                    <w:t>Objective 4 – Strengthen cold chain capacity and effective vaccine management</w:t>
                  </w:r>
                </w:p>
              </w:tc>
              <w:tc>
                <w:tcPr>
                  <w:tcW w:w="3710" w:type="dxa"/>
                </w:tcPr>
                <w:p w14:paraId="7B36C703" w14:textId="547E7E0C" w:rsidR="003F20B5" w:rsidRDefault="003F20B5" w:rsidP="003F20B5">
                  <w:pPr>
                    <w:jc w:val="right"/>
                    <w:rPr>
                      <w:rFonts w:ascii="Times New Roman" w:hAnsi="Times New Roman"/>
                      <w:b/>
                      <w:szCs w:val="24"/>
                    </w:rPr>
                  </w:pPr>
                  <w:r>
                    <w:rPr>
                      <w:rFonts w:ascii="Times New Roman" w:hAnsi="Times New Roman"/>
                      <w:b/>
                      <w:szCs w:val="24"/>
                    </w:rPr>
                    <w:t>377,535,356</w:t>
                  </w:r>
                </w:p>
              </w:tc>
            </w:tr>
            <w:tr w:rsidR="003F20B5" w14:paraId="36CCC2AC" w14:textId="77777777" w:rsidTr="003F20B5">
              <w:trPr>
                <w:trHeight w:val="432"/>
              </w:trPr>
              <w:tc>
                <w:tcPr>
                  <w:tcW w:w="11128" w:type="dxa"/>
                </w:tcPr>
                <w:p w14:paraId="29E935BE" w14:textId="4166DBDD" w:rsidR="003F20B5" w:rsidRDefault="003F20B5" w:rsidP="003F20B5">
                  <w:pPr>
                    <w:tabs>
                      <w:tab w:val="left" w:pos="337"/>
                    </w:tabs>
                    <w:jc w:val="both"/>
                    <w:rPr>
                      <w:rFonts w:ascii="Times New Roman" w:hAnsi="Times New Roman"/>
                      <w:b/>
                      <w:szCs w:val="24"/>
                    </w:rPr>
                  </w:pPr>
                  <w:r>
                    <w:rPr>
                      <w:rFonts w:cs="Arial"/>
                      <w:b/>
                      <w:sz w:val="20"/>
                    </w:rPr>
                    <w:t>5.</w:t>
                  </w:r>
                  <w:r>
                    <w:rPr>
                      <w:rFonts w:cs="Arial"/>
                      <w:b/>
                      <w:sz w:val="20"/>
                    </w:rPr>
                    <w:tab/>
                    <w:t>Objective 5 – Strengthen immunization financing by municipalities and communities</w:t>
                  </w:r>
                </w:p>
              </w:tc>
              <w:tc>
                <w:tcPr>
                  <w:tcW w:w="3710" w:type="dxa"/>
                </w:tcPr>
                <w:p w14:paraId="72BF7A89" w14:textId="13B6672E" w:rsidR="003F20B5" w:rsidRDefault="003F20B5" w:rsidP="003F20B5">
                  <w:pPr>
                    <w:jc w:val="right"/>
                    <w:rPr>
                      <w:rFonts w:ascii="Times New Roman" w:hAnsi="Times New Roman"/>
                      <w:b/>
                      <w:szCs w:val="24"/>
                    </w:rPr>
                  </w:pPr>
                  <w:r>
                    <w:rPr>
                      <w:rFonts w:ascii="Times New Roman" w:hAnsi="Times New Roman"/>
                      <w:b/>
                      <w:szCs w:val="24"/>
                    </w:rPr>
                    <w:t>331790,428</w:t>
                  </w:r>
                </w:p>
              </w:tc>
            </w:tr>
          </w:tbl>
          <w:p w14:paraId="38399531" w14:textId="77777777" w:rsidR="003F20B5" w:rsidRPr="003F20B5" w:rsidRDefault="003F20B5" w:rsidP="00C5532C">
            <w:pPr>
              <w:spacing w:before="120" w:after="120"/>
              <w:jc w:val="both"/>
              <w:rPr>
                <w:rFonts w:ascii="Times New Roman" w:hAnsi="Times New Roman"/>
                <w:b/>
                <w:sz w:val="28"/>
                <w:szCs w:val="24"/>
              </w:rPr>
            </w:pPr>
          </w:p>
          <w:p w14:paraId="7FB4E866" w14:textId="174189DD" w:rsidR="00825169" w:rsidRDefault="00825169" w:rsidP="00C5532C">
            <w:pPr>
              <w:spacing w:before="120" w:after="120"/>
              <w:jc w:val="both"/>
              <w:rPr>
                <w:rFonts w:ascii="Times New Roman" w:hAnsi="Times New Roman"/>
                <w:sz w:val="24"/>
                <w:szCs w:val="24"/>
              </w:rPr>
            </w:pPr>
          </w:p>
          <w:p w14:paraId="3660F7CE" w14:textId="77777777" w:rsidR="002B13FA" w:rsidRDefault="002B13FA" w:rsidP="002B13FA">
            <w:pPr>
              <w:jc w:val="both"/>
              <w:rPr>
                <w:rFonts w:ascii="Times New Roman" w:hAnsi="Times New Roman"/>
                <w:sz w:val="24"/>
                <w:szCs w:val="24"/>
              </w:rPr>
            </w:pPr>
          </w:p>
          <w:p w14:paraId="17AAEACD" w14:textId="44BAC62C" w:rsidR="00A8145D" w:rsidRPr="007A7D95" w:rsidRDefault="006B7E51" w:rsidP="003E550A">
            <w:pPr>
              <w:spacing w:before="120" w:after="120"/>
              <w:jc w:val="both"/>
              <w:rPr>
                <w:rFonts w:ascii="Times New Roman" w:hAnsi="Times New Roman"/>
                <w:sz w:val="28"/>
                <w:szCs w:val="24"/>
              </w:rPr>
            </w:pPr>
            <w:r>
              <w:rPr>
                <w:rFonts w:ascii="Times New Roman" w:hAnsi="Times New Roman"/>
                <w:sz w:val="24"/>
              </w:rPr>
              <w:t xml:space="preserve">In relation to Objective 1, the State anticipates allocating </w:t>
            </w:r>
            <w:r>
              <w:rPr>
                <w:rFonts w:ascii="Times New Roman" w:hAnsi="Times New Roman"/>
                <w:b/>
                <w:sz w:val="24"/>
              </w:rPr>
              <w:t>404,190,665 US</w:t>
            </w:r>
            <w:r>
              <w:rPr>
                <w:rFonts w:ascii="Times New Roman" w:hAnsi="Times New Roman"/>
                <w:sz w:val="24"/>
              </w:rPr>
              <w:t>$ over five [years] to ensure the availability of health and immunization services, in particular throughout the entire country.</w:t>
            </w:r>
            <w:r>
              <w:rPr>
                <w:rFonts w:ascii="Times New Roman" w:hAnsi="Times New Roman"/>
                <w:b/>
                <w:sz w:val="24"/>
              </w:rPr>
              <w:t xml:space="preserve"> </w:t>
            </w:r>
            <w:r>
              <w:rPr>
                <w:rFonts w:ascii="Times New Roman" w:hAnsi="Times New Roman"/>
                <w:sz w:val="24"/>
              </w:rPr>
              <w:t xml:space="preserve"> In the context of improvement of reproductive health, World Bank intends to support the country over a period of three [years] with a plan totaling </w:t>
            </w:r>
            <w:r>
              <w:rPr>
                <w:rFonts w:ascii="Times New Roman" w:hAnsi="Times New Roman"/>
                <w:b/>
                <w:sz w:val="24"/>
              </w:rPr>
              <w:t>25,000,000 US$</w:t>
            </w:r>
            <w:r>
              <w:rPr>
                <w:rFonts w:ascii="Times New Roman" w:hAnsi="Times New Roman"/>
                <w:sz w:val="24"/>
              </w:rPr>
              <w:t xml:space="preserve"> throughout the country. Spanish cooperation will contribute to implementation of the reproductive health policy with </w:t>
            </w:r>
            <w:r>
              <w:rPr>
                <w:rFonts w:ascii="Times New Roman" w:hAnsi="Times New Roman"/>
                <w:b/>
                <w:sz w:val="24"/>
              </w:rPr>
              <w:t>3,288,00 US$</w:t>
            </w:r>
            <w:r>
              <w:rPr>
                <w:rFonts w:ascii="Times New Roman" w:hAnsi="Times New Roman"/>
                <w:sz w:val="24"/>
              </w:rPr>
              <w:t xml:space="preserve"> in the Kayes region, over five (5) years.  For management of biomedical waste, UNICEF will make adequate material available to the structures with financial assistance from Canadian Cooperation. A portion of the GAVI grant </w:t>
            </w:r>
            <w:r>
              <w:rPr>
                <w:rFonts w:ascii="Times New Roman" w:hAnsi="Times New Roman"/>
                <w:b/>
                <w:sz w:val="24"/>
              </w:rPr>
              <w:t>(12,312,253.90 US$)</w:t>
            </w:r>
            <w:r>
              <w:rPr>
                <w:rFonts w:ascii="Times New Roman" w:hAnsi="Times New Roman"/>
                <w:sz w:val="24"/>
              </w:rPr>
              <w:t xml:space="preserve"> will allow a portion of the financial gap to be closed.  Subsequent negotiations with the other partners will cover the rest of the amount. </w:t>
            </w:r>
          </w:p>
          <w:p w14:paraId="083C6339" w14:textId="68A2DFB2" w:rsidR="00EF5A19" w:rsidRDefault="00EF5A19" w:rsidP="003E550A">
            <w:pPr>
              <w:spacing w:before="120" w:after="120"/>
              <w:jc w:val="both"/>
              <w:rPr>
                <w:rFonts w:ascii="Times New Roman" w:hAnsi="Times New Roman"/>
                <w:sz w:val="24"/>
                <w:szCs w:val="24"/>
              </w:rPr>
            </w:pPr>
            <w:r>
              <w:rPr>
                <w:rFonts w:ascii="Times New Roman" w:hAnsi="Times New Roman"/>
                <w:sz w:val="24"/>
              </w:rPr>
              <w:t xml:space="preserve">With regard to objectives 2 and 3, the amounts to be mobilized through the national budget over the five [years] of the HSDP are respectively </w:t>
            </w:r>
            <w:r>
              <w:rPr>
                <w:rFonts w:ascii="Times New Roman" w:hAnsi="Times New Roman"/>
                <w:b/>
                <w:sz w:val="24"/>
              </w:rPr>
              <w:t>23,775,921 US$</w:t>
            </w:r>
            <w:r>
              <w:rPr>
                <w:rFonts w:ascii="Times New Roman" w:hAnsi="Times New Roman"/>
                <w:sz w:val="24"/>
              </w:rPr>
              <w:t xml:space="preserve"> and </w:t>
            </w:r>
            <w:r>
              <w:rPr>
                <w:rFonts w:ascii="Times New Roman" w:hAnsi="Times New Roman"/>
                <w:b/>
                <w:sz w:val="24"/>
              </w:rPr>
              <w:t>11,887,961 US$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They have not yet announced their financing.  GAVI will contribute to closing the gap with </w:t>
            </w:r>
            <w:r>
              <w:rPr>
                <w:rFonts w:ascii="Times New Roman" w:hAnsi="Times New Roman"/>
                <w:b/>
                <w:sz w:val="24"/>
              </w:rPr>
              <w:t>3,117,075 US$</w:t>
            </w:r>
            <w:r>
              <w:rPr>
                <w:rFonts w:ascii="Times New Roman" w:hAnsi="Times New Roman"/>
                <w:sz w:val="24"/>
              </w:rPr>
              <w:t xml:space="preserve"> for Objective 2 and </w:t>
            </w:r>
            <w:r>
              <w:rPr>
                <w:rFonts w:ascii="Times New Roman" w:hAnsi="Times New Roman"/>
                <w:b/>
                <w:sz w:val="24"/>
              </w:rPr>
              <w:t>2,236,010 US$</w:t>
            </w:r>
            <w:r>
              <w:rPr>
                <w:rFonts w:ascii="Times New Roman" w:hAnsi="Times New Roman"/>
                <w:sz w:val="24"/>
              </w:rPr>
              <w:t xml:space="preserve"> for Objective 3. The partner agreements will allow the rest of the gap to be closed. </w:t>
            </w:r>
          </w:p>
          <w:p w14:paraId="7EA35526" w14:textId="2C7A9218" w:rsidR="00F4198A" w:rsidRPr="003A60D9" w:rsidRDefault="008C0A56" w:rsidP="00F4198A">
            <w:pPr>
              <w:spacing w:before="120" w:after="120"/>
              <w:jc w:val="both"/>
              <w:rPr>
                <w:rFonts w:ascii="Times New Roman" w:hAnsi="Times New Roman"/>
                <w:sz w:val="24"/>
                <w:szCs w:val="24"/>
              </w:rPr>
            </w:pPr>
            <w:r>
              <w:rPr>
                <w:rFonts w:ascii="Times New Roman" w:hAnsi="Times New Roman"/>
                <w:sz w:val="24"/>
              </w:rPr>
              <w:t>As for Objective 4, in order to strengthen the supply chain, UNICEF has plann</w:t>
            </w:r>
            <w:r w:rsidR="003F20B5">
              <w:rPr>
                <w:rFonts w:ascii="Times New Roman" w:hAnsi="Times New Roman"/>
                <w:sz w:val="24"/>
              </w:rPr>
              <w:t>ed</w:t>
            </w:r>
            <w:r>
              <w:rPr>
                <w:rFonts w:ascii="Times New Roman" w:hAnsi="Times New Roman"/>
                <w:sz w:val="24"/>
              </w:rPr>
              <w:t xml:space="preserve"> to contribute 2 refrigerated trucks to the Immunization Section of the National Health Directorate as well as 148 electrical refrigerators, 400 solar refrigerators and 400 motorbikes to structures at the national level. Canadian cooperation has also signed a financing agreement with UNICEF for the purchase and delivery of eight hundred (800) solar refrigerators to structures totaling nineteen million (19,000,000) US dollars. The Government and other partners propose closing the gap for structures.  In context, the GAVI grant </w:t>
            </w:r>
            <w:r>
              <w:rPr>
                <w:rFonts w:ascii="Times New Roman" w:hAnsi="Times New Roman"/>
                <w:b/>
                <w:sz w:val="24"/>
              </w:rPr>
              <w:t>(912,019 USD)</w:t>
            </w:r>
            <w:r>
              <w:rPr>
                <w:rFonts w:ascii="Times New Roman" w:hAnsi="Times New Roman"/>
                <w:sz w:val="24"/>
              </w:rPr>
              <w:t xml:space="preserve"> will close the gap for the purchase and installation of cold chambers in the nine (9) regions and the ten (10) health districts.  The Government of Mali will itself contribute 285,311,058 US$ over five (5) years.</w:t>
            </w:r>
          </w:p>
          <w:p w14:paraId="1F136AC4" w14:textId="4A82D3CE" w:rsidR="00EF7438" w:rsidRPr="00EF7438" w:rsidRDefault="00F35EB6" w:rsidP="005A72EC">
            <w:pPr>
              <w:tabs>
                <w:tab w:val="left" w:pos="2915"/>
              </w:tabs>
              <w:spacing w:before="120" w:after="120"/>
              <w:jc w:val="both"/>
              <w:rPr>
                <w:rFonts w:ascii="Times New Roman" w:hAnsi="Times New Roman"/>
                <w:b/>
                <w:sz w:val="28"/>
                <w:szCs w:val="24"/>
              </w:rPr>
            </w:pPr>
            <w:r>
              <w:rPr>
                <w:rFonts w:ascii="Times New Roman" w:hAnsi="Times New Roman"/>
                <w:sz w:val="24"/>
              </w:rPr>
              <w:t xml:space="preserve">Lastly, for Objective 5, of a total amount of </w:t>
            </w:r>
            <w:r>
              <w:rPr>
                <w:rFonts w:ascii="Times New Roman" w:hAnsi="Times New Roman"/>
                <w:b/>
                <w:sz w:val="24"/>
              </w:rPr>
              <w:t>331,790,428 US$</w:t>
            </w:r>
            <w:r>
              <w:rPr>
                <w:rFonts w:ascii="Times New Roman" w:hAnsi="Times New Roman"/>
                <w:sz w:val="24"/>
              </w:rPr>
              <w:t xml:space="preserve">, the State will invest </w:t>
            </w:r>
            <w:r>
              <w:rPr>
                <w:rFonts w:ascii="Times New Roman" w:hAnsi="Times New Roman"/>
                <w:b/>
                <w:sz w:val="24"/>
              </w:rPr>
              <w:t>249,647,176 US$</w:t>
            </w:r>
            <w:r>
              <w:rPr>
                <w:rFonts w:ascii="Times New Roman" w:hAnsi="Times New Roman"/>
                <w:sz w:val="24"/>
              </w:rPr>
              <w:t xml:space="preserve"> over five (5) years, GAVI </w:t>
            </w:r>
            <w:r>
              <w:rPr>
                <w:rFonts w:ascii="Times New Roman" w:hAnsi="Times New Roman"/>
                <w:b/>
                <w:sz w:val="24"/>
              </w:rPr>
              <w:t>736,796 US$.</w:t>
            </w:r>
            <w:r>
              <w:rPr>
                <w:rFonts w:ascii="Times New Roman" w:hAnsi="Times New Roman"/>
                <w:sz w:val="24"/>
              </w:rPr>
              <w:t xml:space="preserve"> The remainder of the gap will be closed through government exchanges with its partners.</w:t>
            </w:r>
          </w:p>
          <w:p w14:paraId="3048F109" w14:textId="38EE63E1" w:rsidR="00397F7A" w:rsidRPr="004B5884" w:rsidRDefault="00397F7A" w:rsidP="00F31E96">
            <w:pPr>
              <w:spacing w:before="120" w:after="120"/>
              <w:jc w:val="both"/>
              <w:rPr>
                <w:rFonts w:ascii="Times New Roman" w:eastAsia="Calibri" w:hAnsi="Times New Roman"/>
                <w:sz w:val="24"/>
                <w:szCs w:val="24"/>
              </w:rPr>
            </w:pPr>
          </w:p>
        </w:tc>
      </w:tr>
      <w:tr w:rsidR="00BA23D4" w:rsidRPr="00BA23D4" w14:paraId="6BD4FE5A" w14:textId="77777777" w:rsidTr="00BA23D4">
        <w:trPr>
          <w:trHeight w:val="557"/>
        </w:trPr>
        <w:tc>
          <w:tcPr>
            <w:tcW w:w="5000" w:type="pct"/>
            <w:tcBorders>
              <w:top w:val="nil"/>
              <w:left w:val="nil"/>
              <w:bottom w:val="nil"/>
              <w:right w:val="nil"/>
            </w:tcBorders>
            <w:shd w:val="clear" w:color="auto" w:fill="auto"/>
            <w:vAlign w:val="center"/>
          </w:tcPr>
          <w:p w14:paraId="49E8320D" w14:textId="2C99C6FE" w:rsidR="00BA23D4" w:rsidRPr="00BA23D4" w:rsidRDefault="00BA23D4" w:rsidP="00BA23D4">
            <w:pPr>
              <w:jc w:val="both"/>
              <w:rPr>
                <w:rFonts w:cs="Arial"/>
                <w:b/>
                <w:i/>
                <w:sz w:val="20"/>
              </w:rPr>
            </w:pPr>
            <w:r w:rsidRPr="00BA23D4">
              <w:rPr>
                <w:rFonts w:cs="Arial"/>
                <w:b/>
                <w:i/>
                <w:sz w:val="20"/>
              </w:rPr>
              <w:t>Summary of the analysis of discrepancies</w:t>
            </w:r>
          </w:p>
        </w:tc>
      </w:tr>
      <w:tr w:rsidR="006B7E51" w:rsidRPr="00BA23D4" w14:paraId="312440F4" w14:textId="77777777" w:rsidTr="00BA23D4">
        <w:trPr>
          <w:trHeight w:val="557"/>
        </w:trPr>
        <w:tc>
          <w:tcPr>
            <w:tcW w:w="5000" w:type="pct"/>
            <w:tcBorders>
              <w:top w:val="nil"/>
              <w:left w:val="nil"/>
              <w:bottom w:val="nil"/>
              <w:right w:val="nil"/>
            </w:tcBorders>
            <w:shd w:val="clear" w:color="auto" w:fill="auto"/>
            <w:vAlign w:val="center"/>
          </w:tcPr>
          <w:tbl>
            <w:tblPr>
              <w:tblStyle w:val="TableGrid"/>
              <w:tblW w:w="0" w:type="auto"/>
              <w:tblLook w:val="04A0" w:firstRow="1" w:lastRow="0" w:firstColumn="1" w:lastColumn="0" w:noHBand="0" w:noVBand="1"/>
            </w:tblPr>
            <w:tblGrid>
              <w:gridCol w:w="6358"/>
              <w:gridCol w:w="2120"/>
              <w:gridCol w:w="2120"/>
              <w:gridCol w:w="2120"/>
              <w:gridCol w:w="2120"/>
            </w:tblGrid>
            <w:tr w:rsidR="00BA23D4" w:rsidRPr="00BA23D4" w14:paraId="74F83140" w14:textId="77777777" w:rsidTr="00BA23D4">
              <w:tc>
                <w:tcPr>
                  <w:tcW w:w="6358" w:type="dxa"/>
                </w:tcPr>
                <w:p w14:paraId="55E1F8DD" w14:textId="2273DB1D" w:rsidR="00BA23D4" w:rsidRPr="00BA23D4" w:rsidRDefault="00BA23D4" w:rsidP="00BA23D4">
                  <w:pPr>
                    <w:jc w:val="both"/>
                    <w:rPr>
                      <w:rFonts w:cs="Arial"/>
                      <w:b/>
                      <w:sz w:val="20"/>
                      <w:szCs w:val="20"/>
                    </w:rPr>
                  </w:pPr>
                  <w:r w:rsidRPr="00BA23D4">
                    <w:rPr>
                      <w:rFonts w:cs="Arial"/>
                      <w:b/>
                      <w:sz w:val="20"/>
                      <w:szCs w:val="20"/>
                    </w:rPr>
                    <w:t>Objectives of the HSS Proposal</w:t>
                  </w:r>
                </w:p>
              </w:tc>
              <w:tc>
                <w:tcPr>
                  <w:tcW w:w="2120" w:type="dxa"/>
                </w:tcPr>
                <w:p w14:paraId="59152314" w14:textId="51A9AB6B" w:rsidR="00BA23D4" w:rsidRPr="00BA23D4" w:rsidRDefault="00BA23D4" w:rsidP="00BA23D4">
                  <w:pPr>
                    <w:jc w:val="right"/>
                    <w:rPr>
                      <w:rFonts w:cs="Arial"/>
                      <w:b/>
                      <w:sz w:val="20"/>
                      <w:szCs w:val="20"/>
                    </w:rPr>
                  </w:pPr>
                  <w:r w:rsidRPr="00BA23D4">
                    <w:rPr>
                      <w:rFonts w:cs="Arial"/>
                      <w:b/>
                      <w:sz w:val="20"/>
                      <w:szCs w:val="20"/>
                    </w:rPr>
                    <w:t>Required funds</w:t>
                  </w:r>
                </w:p>
              </w:tc>
              <w:tc>
                <w:tcPr>
                  <w:tcW w:w="2120" w:type="dxa"/>
                </w:tcPr>
                <w:p w14:paraId="1AEFAC94" w14:textId="75221770" w:rsidR="00BA23D4" w:rsidRPr="00BA23D4" w:rsidRDefault="00BA23D4" w:rsidP="00BA23D4">
                  <w:pPr>
                    <w:jc w:val="right"/>
                    <w:rPr>
                      <w:rFonts w:cs="Arial"/>
                      <w:b/>
                      <w:sz w:val="20"/>
                      <w:szCs w:val="20"/>
                    </w:rPr>
                  </w:pPr>
                  <w:r w:rsidRPr="00BA23D4">
                    <w:rPr>
                      <w:rFonts w:cs="Arial"/>
                      <w:b/>
                      <w:sz w:val="20"/>
                      <w:szCs w:val="20"/>
                    </w:rPr>
                    <w:t>Total funding</w:t>
                  </w:r>
                </w:p>
              </w:tc>
              <w:tc>
                <w:tcPr>
                  <w:tcW w:w="2120" w:type="dxa"/>
                </w:tcPr>
                <w:p w14:paraId="77BC7C55" w14:textId="37EA0F49" w:rsidR="00BA23D4" w:rsidRPr="00BA23D4" w:rsidRDefault="00BA23D4" w:rsidP="00BA23D4">
                  <w:pPr>
                    <w:jc w:val="right"/>
                    <w:rPr>
                      <w:rFonts w:cs="Arial"/>
                      <w:b/>
                      <w:sz w:val="20"/>
                      <w:szCs w:val="20"/>
                    </w:rPr>
                  </w:pPr>
                  <w:r w:rsidRPr="00BA23D4">
                    <w:rPr>
                      <w:rFonts w:cs="Arial"/>
                      <w:b/>
                      <w:sz w:val="20"/>
                      <w:szCs w:val="20"/>
                    </w:rPr>
                    <w:t>Funding gap</w:t>
                  </w:r>
                </w:p>
              </w:tc>
              <w:tc>
                <w:tcPr>
                  <w:tcW w:w="2120" w:type="dxa"/>
                </w:tcPr>
                <w:p w14:paraId="14FACF87" w14:textId="29593711" w:rsidR="00BA23D4" w:rsidRPr="00BA23D4" w:rsidRDefault="00BA23D4" w:rsidP="00BA23D4">
                  <w:pPr>
                    <w:jc w:val="right"/>
                    <w:rPr>
                      <w:rFonts w:cs="Arial"/>
                      <w:b/>
                      <w:sz w:val="20"/>
                      <w:szCs w:val="20"/>
                    </w:rPr>
                  </w:pPr>
                  <w:r w:rsidRPr="00BA23D4">
                    <w:rPr>
                      <w:rFonts w:cs="Arial"/>
                      <w:b/>
                      <w:sz w:val="20"/>
                      <w:szCs w:val="20"/>
                    </w:rPr>
                    <w:t>GAVI HSS</w:t>
                  </w:r>
                </w:p>
              </w:tc>
            </w:tr>
            <w:tr w:rsidR="00BA23D4" w:rsidRPr="00BA23D4" w14:paraId="64FDEE5D" w14:textId="77777777" w:rsidTr="00BA23D4">
              <w:tc>
                <w:tcPr>
                  <w:tcW w:w="6358" w:type="dxa"/>
                </w:tcPr>
                <w:p w14:paraId="0561B942" w14:textId="1A0DFA02" w:rsidR="00BA23D4" w:rsidRPr="00BA23D4" w:rsidRDefault="00BA23D4" w:rsidP="00BA23D4">
                  <w:pPr>
                    <w:tabs>
                      <w:tab w:val="left" w:pos="337"/>
                    </w:tabs>
                    <w:jc w:val="both"/>
                    <w:rPr>
                      <w:rFonts w:cs="Arial"/>
                      <w:b/>
                      <w:sz w:val="20"/>
                    </w:rPr>
                  </w:pPr>
                  <w:r>
                    <w:rPr>
                      <w:rFonts w:cs="Arial"/>
                      <w:b/>
                      <w:sz w:val="20"/>
                    </w:rPr>
                    <w:t>1.</w:t>
                  </w:r>
                  <w:r>
                    <w:rPr>
                      <w:rFonts w:cs="Arial"/>
                      <w:b/>
                      <w:sz w:val="20"/>
                    </w:rPr>
                    <w:tab/>
                    <w:t>Objective 1 – By December 2019, increase vaccine coverage for fully immunized children in the country from 72% to 95%.</w:t>
                  </w:r>
                </w:p>
              </w:tc>
              <w:tc>
                <w:tcPr>
                  <w:tcW w:w="2120" w:type="dxa"/>
                </w:tcPr>
                <w:p w14:paraId="110CDC7D" w14:textId="253CED54" w:rsidR="00BA23D4" w:rsidRPr="00BA23D4" w:rsidRDefault="00BA23D4" w:rsidP="00BA23D4">
                  <w:pPr>
                    <w:jc w:val="right"/>
                    <w:rPr>
                      <w:rFonts w:cs="Arial"/>
                      <w:b/>
                      <w:sz w:val="20"/>
                    </w:rPr>
                  </w:pPr>
                  <w:r>
                    <w:rPr>
                      <w:rFonts w:cs="Arial"/>
                      <w:b/>
                      <w:sz w:val="20"/>
                    </w:rPr>
                    <w:t>531,682,054</w:t>
                  </w:r>
                </w:p>
              </w:tc>
              <w:tc>
                <w:tcPr>
                  <w:tcW w:w="2120" w:type="dxa"/>
                </w:tcPr>
                <w:p w14:paraId="35737423" w14:textId="2D6977BF" w:rsidR="00BA23D4" w:rsidRPr="00BA23D4" w:rsidRDefault="00BA23D4" w:rsidP="00BA23D4">
                  <w:pPr>
                    <w:jc w:val="right"/>
                    <w:rPr>
                      <w:rFonts w:cs="Arial"/>
                      <w:b/>
                      <w:sz w:val="20"/>
                    </w:rPr>
                  </w:pPr>
                  <w:r>
                    <w:rPr>
                      <w:rFonts w:cs="Arial"/>
                      <w:b/>
                      <w:sz w:val="20"/>
                    </w:rPr>
                    <w:t>433,478,665</w:t>
                  </w:r>
                </w:p>
              </w:tc>
              <w:tc>
                <w:tcPr>
                  <w:tcW w:w="2120" w:type="dxa"/>
                </w:tcPr>
                <w:p w14:paraId="293B3C8E" w14:textId="4223B81F" w:rsidR="00BA23D4" w:rsidRPr="00BA23D4" w:rsidRDefault="00BA23D4" w:rsidP="00BA23D4">
                  <w:pPr>
                    <w:jc w:val="right"/>
                    <w:rPr>
                      <w:rFonts w:cs="Arial"/>
                      <w:b/>
                      <w:sz w:val="20"/>
                    </w:rPr>
                  </w:pPr>
                  <w:r>
                    <w:rPr>
                      <w:rFonts w:cs="Arial"/>
                      <w:b/>
                      <w:sz w:val="20"/>
                    </w:rPr>
                    <w:t>98,203,389</w:t>
                  </w:r>
                </w:p>
              </w:tc>
              <w:tc>
                <w:tcPr>
                  <w:tcW w:w="2120" w:type="dxa"/>
                </w:tcPr>
                <w:p w14:paraId="608EE542" w14:textId="6F5B6004" w:rsidR="00BA23D4" w:rsidRPr="00BA23D4" w:rsidRDefault="00BA23D4" w:rsidP="00BA23D4">
                  <w:pPr>
                    <w:jc w:val="right"/>
                    <w:rPr>
                      <w:rFonts w:cs="Arial"/>
                      <w:b/>
                      <w:sz w:val="20"/>
                    </w:rPr>
                  </w:pPr>
                  <w:r>
                    <w:rPr>
                      <w:rFonts w:cs="Arial"/>
                      <w:b/>
                      <w:sz w:val="20"/>
                    </w:rPr>
                    <w:t>12,312,254</w:t>
                  </w:r>
                </w:p>
              </w:tc>
            </w:tr>
            <w:tr w:rsidR="00BA23D4" w:rsidRPr="00BA23D4" w14:paraId="608A5090" w14:textId="77777777" w:rsidTr="00BA23D4">
              <w:tc>
                <w:tcPr>
                  <w:tcW w:w="6358" w:type="dxa"/>
                </w:tcPr>
                <w:p w14:paraId="784BD388" w14:textId="520A42B1" w:rsidR="00BA23D4" w:rsidRDefault="00BA23D4" w:rsidP="00BA23D4">
                  <w:pPr>
                    <w:tabs>
                      <w:tab w:val="left" w:pos="337"/>
                    </w:tabs>
                    <w:jc w:val="both"/>
                    <w:rPr>
                      <w:rFonts w:cs="Arial"/>
                      <w:b/>
                      <w:sz w:val="20"/>
                    </w:rPr>
                  </w:pPr>
                  <w:r>
                    <w:rPr>
                      <w:rFonts w:cs="Arial"/>
                      <w:b/>
                      <w:sz w:val="20"/>
                    </w:rPr>
                    <w:t>2.</w:t>
                  </w:r>
                  <w:r>
                    <w:rPr>
                      <w:rFonts w:cs="Arial"/>
                      <w:b/>
                      <w:sz w:val="20"/>
                    </w:rPr>
                    <w:tab/>
                    <w:t>Objective 2 – Ensure accessibility and availability of immunization services in 100% of prioritized districts</w:t>
                  </w:r>
                </w:p>
              </w:tc>
              <w:tc>
                <w:tcPr>
                  <w:tcW w:w="2120" w:type="dxa"/>
                </w:tcPr>
                <w:p w14:paraId="0FFEFD4C" w14:textId="19532088" w:rsidR="00BA23D4" w:rsidRDefault="00BA23D4" w:rsidP="00BA23D4">
                  <w:pPr>
                    <w:jc w:val="right"/>
                    <w:rPr>
                      <w:rFonts w:cs="Arial"/>
                      <w:b/>
                      <w:sz w:val="20"/>
                    </w:rPr>
                  </w:pPr>
                  <w:r>
                    <w:rPr>
                      <w:rFonts w:cs="Arial"/>
                      <w:b/>
                      <w:sz w:val="20"/>
                    </w:rPr>
                    <w:t>29,380,530</w:t>
                  </w:r>
                </w:p>
              </w:tc>
              <w:tc>
                <w:tcPr>
                  <w:tcW w:w="2120" w:type="dxa"/>
                </w:tcPr>
                <w:p w14:paraId="44481969" w14:textId="00990D92" w:rsidR="00BA23D4" w:rsidRDefault="00BA23D4" w:rsidP="00BA23D4">
                  <w:pPr>
                    <w:jc w:val="right"/>
                    <w:rPr>
                      <w:rFonts w:cs="Arial"/>
                      <w:b/>
                      <w:sz w:val="20"/>
                    </w:rPr>
                  </w:pPr>
                  <w:r>
                    <w:rPr>
                      <w:rFonts w:cs="Arial"/>
                      <w:b/>
                      <w:sz w:val="20"/>
                    </w:rPr>
                    <w:t>23,775,921</w:t>
                  </w:r>
                </w:p>
              </w:tc>
              <w:tc>
                <w:tcPr>
                  <w:tcW w:w="2120" w:type="dxa"/>
                </w:tcPr>
                <w:p w14:paraId="1D03B1F4" w14:textId="41755DC0" w:rsidR="00BA23D4" w:rsidRDefault="00BA23D4" w:rsidP="00BA23D4">
                  <w:pPr>
                    <w:jc w:val="right"/>
                    <w:rPr>
                      <w:rFonts w:cs="Arial"/>
                      <w:b/>
                      <w:sz w:val="20"/>
                    </w:rPr>
                  </w:pPr>
                  <w:r>
                    <w:rPr>
                      <w:rFonts w:cs="Arial"/>
                      <w:b/>
                      <w:sz w:val="20"/>
                    </w:rPr>
                    <w:t>5,604,609</w:t>
                  </w:r>
                </w:p>
              </w:tc>
              <w:tc>
                <w:tcPr>
                  <w:tcW w:w="2120" w:type="dxa"/>
                </w:tcPr>
                <w:p w14:paraId="31CEAB31" w14:textId="11F229EE" w:rsidR="00BA23D4" w:rsidRDefault="00BA23D4" w:rsidP="00BA23D4">
                  <w:pPr>
                    <w:jc w:val="right"/>
                    <w:rPr>
                      <w:rFonts w:cs="Arial"/>
                      <w:b/>
                      <w:sz w:val="20"/>
                    </w:rPr>
                  </w:pPr>
                  <w:r>
                    <w:rPr>
                      <w:rFonts w:cs="Arial"/>
                      <w:b/>
                      <w:sz w:val="20"/>
                    </w:rPr>
                    <w:t>3,117,075</w:t>
                  </w:r>
                </w:p>
              </w:tc>
            </w:tr>
            <w:tr w:rsidR="00BA23D4" w:rsidRPr="00BA23D4" w14:paraId="52758D9D" w14:textId="77777777" w:rsidTr="00BA23D4">
              <w:tc>
                <w:tcPr>
                  <w:tcW w:w="6358" w:type="dxa"/>
                </w:tcPr>
                <w:p w14:paraId="40A3A926" w14:textId="78F9EFA8" w:rsidR="00BA23D4" w:rsidRDefault="003F20B5" w:rsidP="00BA23D4">
                  <w:pPr>
                    <w:tabs>
                      <w:tab w:val="left" w:pos="337"/>
                    </w:tabs>
                    <w:jc w:val="both"/>
                    <w:rPr>
                      <w:rFonts w:cs="Arial"/>
                      <w:b/>
                      <w:sz w:val="20"/>
                    </w:rPr>
                  </w:pPr>
                  <w:r>
                    <w:rPr>
                      <w:rFonts w:cs="Arial"/>
                      <w:b/>
                      <w:sz w:val="20"/>
                    </w:rPr>
                    <w:t xml:space="preserve">3. </w:t>
                  </w:r>
                  <w:r>
                    <w:rPr>
                      <w:rFonts w:cs="Arial"/>
                      <w:b/>
                      <w:sz w:val="20"/>
                    </w:rPr>
                    <w:tab/>
                    <w:t>Objective 3 – Strengthen the monitoring/evaluation system, including the health information system</w:t>
                  </w:r>
                </w:p>
              </w:tc>
              <w:tc>
                <w:tcPr>
                  <w:tcW w:w="2120" w:type="dxa"/>
                </w:tcPr>
                <w:p w14:paraId="619CE960" w14:textId="72F34AC1" w:rsidR="00BA23D4" w:rsidRDefault="003F20B5" w:rsidP="00BA23D4">
                  <w:pPr>
                    <w:jc w:val="right"/>
                    <w:rPr>
                      <w:rFonts w:cs="Arial"/>
                      <w:b/>
                      <w:sz w:val="20"/>
                    </w:rPr>
                  </w:pPr>
                  <w:r>
                    <w:rPr>
                      <w:rFonts w:cs="Arial"/>
                      <w:b/>
                      <w:sz w:val="20"/>
                    </w:rPr>
                    <w:t>16,193,102</w:t>
                  </w:r>
                </w:p>
              </w:tc>
              <w:tc>
                <w:tcPr>
                  <w:tcW w:w="2120" w:type="dxa"/>
                </w:tcPr>
                <w:p w14:paraId="5BB1E828" w14:textId="45060223" w:rsidR="00BA23D4" w:rsidRDefault="003F20B5" w:rsidP="00BA23D4">
                  <w:pPr>
                    <w:jc w:val="right"/>
                    <w:rPr>
                      <w:rFonts w:cs="Arial"/>
                      <w:b/>
                      <w:sz w:val="20"/>
                    </w:rPr>
                  </w:pPr>
                  <w:r>
                    <w:rPr>
                      <w:rFonts w:cs="Arial"/>
                      <w:b/>
                      <w:sz w:val="20"/>
                    </w:rPr>
                    <w:t>11,887,961</w:t>
                  </w:r>
                </w:p>
              </w:tc>
              <w:tc>
                <w:tcPr>
                  <w:tcW w:w="2120" w:type="dxa"/>
                </w:tcPr>
                <w:p w14:paraId="53243008" w14:textId="4192CAF2" w:rsidR="00BA23D4" w:rsidRDefault="003F20B5" w:rsidP="00BA23D4">
                  <w:pPr>
                    <w:jc w:val="right"/>
                    <w:rPr>
                      <w:rFonts w:cs="Arial"/>
                      <w:b/>
                      <w:sz w:val="20"/>
                    </w:rPr>
                  </w:pPr>
                  <w:r>
                    <w:rPr>
                      <w:rFonts w:cs="Arial"/>
                      <w:b/>
                      <w:sz w:val="20"/>
                    </w:rPr>
                    <w:t>4,305,141</w:t>
                  </w:r>
                </w:p>
              </w:tc>
              <w:tc>
                <w:tcPr>
                  <w:tcW w:w="2120" w:type="dxa"/>
                </w:tcPr>
                <w:p w14:paraId="2E537328" w14:textId="56812E7E" w:rsidR="00BA23D4" w:rsidRDefault="003F20B5" w:rsidP="00BA23D4">
                  <w:pPr>
                    <w:jc w:val="right"/>
                    <w:rPr>
                      <w:rFonts w:cs="Arial"/>
                      <w:b/>
                      <w:sz w:val="20"/>
                    </w:rPr>
                  </w:pPr>
                  <w:r>
                    <w:rPr>
                      <w:rFonts w:cs="Arial"/>
                      <w:b/>
                      <w:sz w:val="20"/>
                    </w:rPr>
                    <w:t>2,236,010</w:t>
                  </w:r>
                </w:p>
              </w:tc>
            </w:tr>
            <w:tr w:rsidR="003F20B5" w:rsidRPr="00BA23D4" w14:paraId="595D3914" w14:textId="77777777" w:rsidTr="00BA23D4">
              <w:tc>
                <w:tcPr>
                  <w:tcW w:w="6358" w:type="dxa"/>
                </w:tcPr>
                <w:p w14:paraId="43E99D77" w14:textId="711E174F" w:rsidR="003F20B5" w:rsidRDefault="003F20B5" w:rsidP="00BA23D4">
                  <w:pPr>
                    <w:tabs>
                      <w:tab w:val="left" w:pos="337"/>
                    </w:tabs>
                    <w:jc w:val="both"/>
                    <w:rPr>
                      <w:rFonts w:cs="Arial"/>
                      <w:b/>
                      <w:sz w:val="20"/>
                    </w:rPr>
                  </w:pPr>
                  <w:r>
                    <w:rPr>
                      <w:rFonts w:cs="Arial"/>
                      <w:b/>
                      <w:sz w:val="20"/>
                    </w:rPr>
                    <w:t>4.</w:t>
                  </w:r>
                  <w:r>
                    <w:rPr>
                      <w:rFonts w:cs="Arial"/>
                      <w:b/>
                      <w:sz w:val="20"/>
                    </w:rPr>
                    <w:tab/>
                    <w:t>Objective 4 – Strengthen cold chain capacity and effective vaccine management</w:t>
                  </w:r>
                </w:p>
              </w:tc>
              <w:tc>
                <w:tcPr>
                  <w:tcW w:w="2120" w:type="dxa"/>
                </w:tcPr>
                <w:p w14:paraId="744AAE1A" w14:textId="2A713520" w:rsidR="003F20B5" w:rsidRDefault="003F20B5" w:rsidP="00BA23D4">
                  <w:pPr>
                    <w:jc w:val="right"/>
                    <w:rPr>
                      <w:rFonts w:cs="Arial"/>
                      <w:b/>
                      <w:sz w:val="20"/>
                    </w:rPr>
                  </w:pPr>
                  <w:r>
                    <w:rPr>
                      <w:rFonts w:cs="Arial"/>
                      <w:b/>
                      <w:sz w:val="20"/>
                    </w:rPr>
                    <w:t>377,535,356</w:t>
                  </w:r>
                </w:p>
              </w:tc>
              <w:tc>
                <w:tcPr>
                  <w:tcW w:w="2120" w:type="dxa"/>
                </w:tcPr>
                <w:p w14:paraId="70060D69" w14:textId="540FD72E" w:rsidR="003F20B5" w:rsidRDefault="003F20B5" w:rsidP="00BA23D4">
                  <w:pPr>
                    <w:jc w:val="right"/>
                    <w:rPr>
                      <w:rFonts w:cs="Arial"/>
                      <w:b/>
                      <w:sz w:val="20"/>
                    </w:rPr>
                  </w:pPr>
                  <w:r>
                    <w:rPr>
                      <w:rFonts w:cs="Arial"/>
                      <w:b/>
                      <w:sz w:val="20"/>
                    </w:rPr>
                    <w:t>304,311,058</w:t>
                  </w:r>
                </w:p>
              </w:tc>
              <w:tc>
                <w:tcPr>
                  <w:tcW w:w="2120" w:type="dxa"/>
                </w:tcPr>
                <w:p w14:paraId="333D59A0" w14:textId="7EBECF48" w:rsidR="003F20B5" w:rsidRDefault="003F20B5" w:rsidP="00BA23D4">
                  <w:pPr>
                    <w:jc w:val="right"/>
                    <w:rPr>
                      <w:rFonts w:cs="Arial"/>
                      <w:b/>
                      <w:sz w:val="20"/>
                    </w:rPr>
                  </w:pPr>
                  <w:r>
                    <w:rPr>
                      <w:rFonts w:cs="Arial"/>
                      <w:b/>
                      <w:sz w:val="20"/>
                    </w:rPr>
                    <w:t>73,224,298</w:t>
                  </w:r>
                </w:p>
              </w:tc>
              <w:tc>
                <w:tcPr>
                  <w:tcW w:w="2120" w:type="dxa"/>
                </w:tcPr>
                <w:p w14:paraId="53A418EE" w14:textId="7922F99C" w:rsidR="003F20B5" w:rsidRDefault="003F20B5" w:rsidP="00BA23D4">
                  <w:pPr>
                    <w:jc w:val="right"/>
                    <w:rPr>
                      <w:rFonts w:cs="Arial"/>
                      <w:b/>
                      <w:sz w:val="20"/>
                    </w:rPr>
                  </w:pPr>
                  <w:r>
                    <w:rPr>
                      <w:rFonts w:cs="Arial"/>
                      <w:b/>
                      <w:sz w:val="20"/>
                    </w:rPr>
                    <w:t>912,019</w:t>
                  </w:r>
                </w:p>
              </w:tc>
            </w:tr>
            <w:tr w:rsidR="003F20B5" w:rsidRPr="00BA23D4" w14:paraId="5F57096B" w14:textId="77777777" w:rsidTr="003F20B5">
              <w:tc>
                <w:tcPr>
                  <w:tcW w:w="6358" w:type="dxa"/>
                  <w:tcBorders>
                    <w:bottom w:val="single" w:sz="4" w:space="0" w:color="auto"/>
                  </w:tcBorders>
                </w:tcPr>
                <w:p w14:paraId="23E0F8A8" w14:textId="511FB872" w:rsidR="003F20B5" w:rsidRDefault="003F20B5" w:rsidP="00BA23D4">
                  <w:pPr>
                    <w:tabs>
                      <w:tab w:val="left" w:pos="337"/>
                    </w:tabs>
                    <w:jc w:val="both"/>
                    <w:rPr>
                      <w:rFonts w:cs="Arial"/>
                      <w:b/>
                      <w:sz w:val="20"/>
                    </w:rPr>
                  </w:pPr>
                  <w:r>
                    <w:rPr>
                      <w:rFonts w:cs="Arial"/>
                      <w:b/>
                      <w:sz w:val="20"/>
                    </w:rPr>
                    <w:t>5.</w:t>
                  </w:r>
                  <w:r>
                    <w:rPr>
                      <w:rFonts w:cs="Arial"/>
                      <w:b/>
                      <w:sz w:val="20"/>
                    </w:rPr>
                    <w:tab/>
                    <w:t>Objective 5 – Strengthen immunization financing by municipalities and communities</w:t>
                  </w:r>
                </w:p>
              </w:tc>
              <w:tc>
                <w:tcPr>
                  <w:tcW w:w="2120" w:type="dxa"/>
                  <w:tcBorders>
                    <w:bottom w:val="single" w:sz="4" w:space="0" w:color="auto"/>
                  </w:tcBorders>
                </w:tcPr>
                <w:p w14:paraId="08B000C1" w14:textId="48F3DCD5" w:rsidR="003F20B5" w:rsidRDefault="003F20B5" w:rsidP="00BA23D4">
                  <w:pPr>
                    <w:jc w:val="right"/>
                    <w:rPr>
                      <w:rFonts w:cs="Arial"/>
                      <w:b/>
                      <w:sz w:val="20"/>
                    </w:rPr>
                  </w:pPr>
                  <w:r>
                    <w:rPr>
                      <w:rFonts w:cs="Arial"/>
                      <w:b/>
                      <w:sz w:val="20"/>
                    </w:rPr>
                    <w:t>331,790,428</w:t>
                  </w:r>
                </w:p>
              </w:tc>
              <w:tc>
                <w:tcPr>
                  <w:tcW w:w="2120" w:type="dxa"/>
                  <w:tcBorders>
                    <w:bottom w:val="single" w:sz="4" w:space="0" w:color="auto"/>
                  </w:tcBorders>
                </w:tcPr>
                <w:p w14:paraId="631996AC" w14:textId="4E6BB50A" w:rsidR="003F20B5" w:rsidRDefault="003F20B5" w:rsidP="00BA23D4">
                  <w:pPr>
                    <w:jc w:val="right"/>
                    <w:rPr>
                      <w:rFonts w:cs="Arial"/>
                      <w:b/>
                      <w:sz w:val="20"/>
                    </w:rPr>
                  </w:pPr>
                  <w:r>
                    <w:rPr>
                      <w:rFonts w:cs="Arial"/>
                      <w:b/>
                      <w:sz w:val="20"/>
                    </w:rPr>
                    <w:t>249,647,176</w:t>
                  </w:r>
                </w:p>
              </w:tc>
              <w:tc>
                <w:tcPr>
                  <w:tcW w:w="2120" w:type="dxa"/>
                  <w:tcBorders>
                    <w:bottom w:val="single" w:sz="4" w:space="0" w:color="auto"/>
                  </w:tcBorders>
                </w:tcPr>
                <w:p w14:paraId="67B624EA" w14:textId="150D1C6C" w:rsidR="003F20B5" w:rsidRDefault="003F20B5" w:rsidP="00BA23D4">
                  <w:pPr>
                    <w:jc w:val="right"/>
                    <w:rPr>
                      <w:rFonts w:cs="Arial"/>
                      <w:b/>
                      <w:sz w:val="20"/>
                    </w:rPr>
                  </w:pPr>
                  <w:r>
                    <w:rPr>
                      <w:rFonts w:cs="Arial"/>
                      <w:b/>
                      <w:sz w:val="20"/>
                    </w:rPr>
                    <w:t>82,143,252</w:t>
                  </w:r>
                </w:p>
              </w:tc>
              <w:tc>
                <w:tcPr>
                  <w:tcW w:w="2120" w:type="dxa"/>
                  <w:tcBorders>
                    <w:bottom w:val="single" w:sz="4" w:space="0" w:color="auto"/>
                  </w:tcBorders>
                </w:tcPr>
                <w:p w14:paraId="51B31C71" w14:textId="33082244" w:rsidR="003F20B5" w:rsidRDefault="003F20B5" w:rsidP="00BA23D4">
                  <w:pPr>
                    <w:jc w:val="right"/>
                    <w:rPr>
                      <w:rFonts w:cs="Arial"/>
                      <w:b/>
                      <w:sz w:val="20"/>
                    </w:rPr>
                  </w:pPr>
                  <w:r>
                    <w:rPr>
                      <w:rFonts w:cs="Arial"/>
                      <w:b/>
                      <w:sz w:val="20"/>
                    </w:rPr>
                    <w:t>736,796</w:t>
                  </w:r>
                </w:p>
              </w:tc>
            </w:tr>
            <w:tr w:rsidR="003F20B5" w:rsidRPr="00BA23D4" w14:paraId="64423D76" w14:textId="77777777" w:rsidTr="003F20B5">
              <w:tc>
                <w:tcPr>
                  <w:tcW w:w="6358" w:type="dxa"/>
                  <w:shd w:val="clear" w:color="auto" w:fill="99CCFF"/>
                </w:tcPr>
                <w:p w14:paraId="4BC91B78" w14:textId="77777777" w:rsidR="003F20B5" w:rsidRDefault="003F20B5" w:rsidP="00BA23D4">
                  <w:pPr>
                    <w:tabs>
                      <w:tab w:val="left" w:pos="337"/>
                    </w:tabs>
                    <w:jc w:val="both"/>
                    <w:rPr>
                      <w:rFonts w:cs="Arial"/>
                      <w:b/>
                      <w:sz w:val="20"/>
                    </w:rPr>
                  </w:pPr>
                </w:p>
                <w:p w14:paraId="7D2FB058" w14:textId="77777777" w:rsidR="003F20B5" w:rsidRDefault="003F20B5" w:rsidP="00BA23D4">
                  <w:pPr>
                    <w:tabs>
                      <w:tab w:val="left" w:pos="337"/>
                    </w:tabs>
                    <w:jc w:val="both"/>
                    <w:rPr>
                      <w:rFonts w:cs="Arial"/>
                      <w:b/>
                      <w:sz w:val="20"/>
                    </w:rPr>
                  </w:pPr>
                </w:p>
                <w:p w14:paraId="5C464055" w14:textId="77777777" w:rsidR="003F20B5" w:rsidRDefault="003F20B5" w:rsidP="00BA23D4">
                  <w:pPr>
                    <w:tabs>
                      <w:tab w:val="left" w:pos="337"/>
                    </w:tabs>
                    <w:jc w:val="both"/>
                    <w:rPr>
                      <w:rFonts w:cs="Arial"/>
                      <w:b/>
                      <w:sz w:val="20"/>
                    </w:rPr>
                  </w:pPr>
                </w:p>
              </w:tc>
              <w:tc>
                <w:tcPr>
                  <w:tcW w:w="2120" w:type="dxa"/>
                  <w:shd w:val="clear" w:color="auto" w:fill="99CCFF"/>
                </w:tcPr>
                <w:p w14:paraId="0E1ED945" w14:textId="77777777" w:rsidR="003F20B5" w:rsidRDefault="003F20B5" w:rsidP="00BA23D4">
                  <w:pPr>
                    <w:jc w:val="right"/>
                    <w:rPr>
                      <w:rFonts w:cs="Arial"/>
                      <w:b/>
                      <w:sz w:val="20"/>
                    </w:rPr>
                  </w:pPr>
                </w:p>
              </w:tc>
              <w:tc>
                <w:tcPr>
                  <w:tcW w:w="2120" w:type="dxa"/>
                  <w:shd w:val="clear" w:color="auto" w:fill="99CCFF"/>
                </w:tcPr>
                <w:p w14:paraId="5081DE1E" w14:textId="77777777" w:rsidR="003F20B5" w:rsidRDefault="003F20B5" w:rsidP="00BA23D4">
                  <w:pPr>
                    <w:jc w:val="right"/>
                    <w:rPr>
                      <w:rFonts w:cs="Arial"/>
                      <w:b/>
                      <w:sz w:val="20"/>
                    </w:rPr>
                  </w:pPr>
                </w:p>
              </w:tc>
              <w:tc>
                <w:tcPr>
                  <w:tcW w:w="2120" w:type="dxa"/>
                  <w:shd w:val="clear" w:color="auto" w:fill="99CCFF"/>
                </w:tcPr>
                <w:p w14:paraId="21330BA1" w14:textId="77777777" w:rsidR="003F20B5" w:rsidRDefault="003F20B5" w:rsidP="00BA23D4">
                  <w:pPr>
                    <w:jc w:val="right"/>
                    <w:rPr>
                      <w:rFonts w:cs="Arial"/>
                      <w:b/>
                      <w:sz w:val="20"/>
                    </w:rPr>
                  </w:pPr>
                </w:p>
              </w:tc>
              <w:tc>
                <w:tcPr>
                  <w:tcW w:w="2120" w:type="dxa"/>
                  <w:shd w:val="clear" w:color="auto" w:fill="99CCFF"/>
                </w:tcPr>
                <w:p w14:paraId="3E51D417" w14:textId="77777777" w:rsidR="003F20B5" w:rsidRDefault="003F20B5" w:rsidP="00BA23D4">
                  <w:pPr>
                    <w:jc w:val="right"/>
                    <w:rPr>
                      <w:rFonts w:cs="Arial"/>
                      <w:b/>
                      <w:sz w:val="20"/>
                    </w:rPr>
                  </w:pPr>
                </w:p>
              </w:tc>
            </w:tr>
            <w:tr w:rsidR="003F20B5" w:rsidRPr="00BA23D4" w14:paraId="42651743" w14:textId="77777777" w:rsidTr="00BA23D4">
              <w:tc>
                <w:tcPr>
                  <w:tcW w:w="6358" w:type="dxa"/>
                </w:tcPr>
                <w:p w14:paraId="272BD684" w14:textId="3B3A2FBF" w:rsidR="003F20B5" w:rsidRDefault="003F20B5" w:rsidP="003F20B5">
                  <w:pPr>
                    <w:tabs>
                      <w:tab w:val="left" w:pos="337"/>
                    </w:tabs>
                    <w:ind w:left="337" w:hanging="337"/>
                    <w:jc w:val="right"/>
                    <w:rPr>
                      <w:rFonts w:cs="Arial"/>
                      <w:b/>
                      <w:sz w:val="20"/>
                    </w:rPr>
                  </w:pPr>
                  <w:r>
                    <w:rPr>
                      <w:rFonts w:cs="Arial"/>
                      <w:b/>
                      <w:sz w:val="20"/>
                    </w:rPr>
                    <w:t>TOTAL</w:t>
                  </w:r>
                </w:p>
              </w:tc>
              <w:tc>
                <w:tcPr>
                  <w:tcW w:w="2120" w:type="dxa"/>
                </w:tcPr>
                <w:p w14:paraId="57D150BB" w14:textId="42467F7D" w:rsidR="003F20B5" w:rsidRDefault="003F20B5" w:rsidP="00BA23D4">
                  <w:pPr>
                    <w:jc w:val="right"/>
                    <w:rPr>
                      <w:rFonts w:cs="Arial"/>
                      <w:b/>
                      <w:sz w:val="20"/>
                    </w:rPr>
                  </w:pPr>
                  <w:r>
                    <w:rPr>
                      <w:rFonts w:cs="Arial"/>
                      <w:b/>
                      <w:sz w:val="20"/>
                    </w:rPr>
                    <w:t>1,286,581,470</w:t>
                  </w:r>
                </w:p>
              </w:tc>
              <w:tc>
                <w:tcPr>
                  <w:tcW w:w="2120" w:type="dxa"/>
                </w:tcPr>
                <w:p w14:paraId="1412FA6A" w14:textId="2595B4BB" w:rsidR="003F20B5" w:rsidRDefault="003F20B5" w:rsidP="00BA23D4">
                  <w:pPr>
                    <w:jc w:val="right"/>
                    <w:rPr>
                      <w:rFonts w:cs="Arial"/>
                      <w:b/>
                      <w:sz w:val="20"/>
                    </w:rPr>
                  </w:pPr>
                  <w:r>
                    <w:rPr>
                      <w:rFonts w:cs="Arial"/>
                      <w:b/>
                      <w:sz w:val="20"/>
                    </w:rPr>
                    <w:t>1,023,100,781</w:t>
                  </w:r>
                </w:p>
              </w:tc>
              <w:tc>
                <w:tcPr>
                  <w:tcW w:w="2120" w:type="dxa"/>
                </w:tcPr>
                <w:p w14:paraId="371D7E3D" w14:textId="7B4326FF" w:rsidR="003F20B5" w:rsidRDefault="003F20B5" w:rsidP="00BA23D4">
                  <w:pPr>
                    <w:jc w:val="right"/>
                    <w:rPr>
                      <w:rFonts w:cs="Arial"/>
                      <w:b/>
                      <w:sz w:val="20"/>
                    </w:rPr>
                  </w:pPr>
                  <w:r>
                    <w:rPr>
                      <w:rFonts w:cs="Arial"/>
                      <w:b/>
                      <w:sz w:val="20"/>
                    </w:rPr>
                    <w:t>363,480,689</w:t>
                  </w:r>
                </w:p>
              </w:tc>
              <w:tc>
                <w:tcPr>
                  <w:tcW w:w="2120" w:type="dxa"/>
                </w:tcPr>
                <w:p w14:paraId="0180B9D0" w14:textId="5A3C0643" w:rsidR="003F20B5" w:rsidRDefault="003F20B5" w:rsidP="00BA23D4">
                  <w:pPr>
                    <w:jc w:val="right"/>
                    <w:rPr>
                      <w:rFonts w:cs="Arial"/>
                      <w:b/>
                      <w:sz w:val="20"/>
                    </w:rPr>
                  </w:pPr>
                  <w:r>
                    <w:rPr>
                      <w:rFonts w:cs="Arial"/>
                      <w:b/>
                      <w:sz w:val="20"/>
                    </w:rPr>
                    <w:t>19,314,154</w:t>
                  </w:r>
                </w:p>
              </w:tc>
            </w:tr>
          </w:tbl>
          <w:p w14:paraId="5A4C0337" w14:textId="77777777" w:rsidR="006B7E51" w:rsidRPr="00BA23D4" w:rsidRDefault="006B7E51" w:rsidP="00226DF1">
            <w:pPr>
              <w:spacing w:before="120" w:after="120"/>
              <w:jc w:val="both"/>
              <w:rPr>
                <w:rFonts w:cs="Arial"/>
                <w:b/>
                <w:i/>
                <w:sz w:val="20"/>
              </w:rPr>
            </w:pPr>
          </w:p>
        </w:tc>
      </w:tr>
    </w:tbl>
    <w:p w14:paraId="4CB70D78" w14:textId="77777777" w:rsidR="00D96E09" w:rsidRDefault="00D96E09" w:rsidP="00226DF1">
      <w:pPr>
        <w:widowControl w:val="0"/>
        <w:spacing w:before="120" w:after="120"/>
        <w:jc w:val="both"/>
        <w:rPr>
          <w:rFonts w:ascii="Times New Roman" w:eastAsia="Calibri" w:hAnsi="Times New Roman"/>
          <w:sz w:val="24"/>
          <w:szCs w:val="24"/>
        </w:rPr>
        <w:sectPr w:rsidR="00D96E09" w:rsidSect="005D4FDC">
          <w:pgSz w:w="16839" w:h="11907" w:orient="landscape" w:code="9"/>
          <w:pgMar w:top="851" w:right="993" w:bottom="851" w:left="993" w:header="709" w:footer="709" w:gutter="0"/>
          <w:cols w:space="708"/>
          <w:docGrid w:linePitch="360"/>
        </w:sectPr>
      </w:pPr>
    </w:p>
    <w:p w14:paraId="16C472F0" w14:textId="77777777" w:rsidR="00880154" w:rsidRPr="004B5884" w:rsidRDefault="00880154" w:rsidP="00226DF1">
      <w:pPr>
        <w:widowControl w:val="0"/>
        <w:spacing w:before="120" w:after="120"/>
        <w:jc w:val="both"/>
        <w:rPr>
          <w:rFonts w:ascii="Times New Roman" w:eastAsia="Calibri" w:hAnsi="Times New Roman"/>
          <w:sz w:val="24"/>
          <w:szCs w:val="24"/>
        </w:rPr>
      </w:pPr>
    </w:p>
    <w:tbl>
      <w:tblPr>
        <w:tblpPr w:leftFromText="180" w:rightFromText="180" w:vertAnchor="text" w:horzAnchor="margin" w:tblpX="108" w:tblpY="13"/>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14"/>
      </w:tblGrid>
      <w:tr w:rsidR="00867FFD" w:rsidRPr="009316FF" w14:paraId="445AC4D9" w14:textId="77777777" w:rsidTr="005D447F">
        <w:tc>
          <w:tcPr>
            <w:tcW w:w="10314" w:type="dxa"/>
            <w:tcBorders>
              <w:bottom w:val="single" w:sz="6" w:space="0" w:color="215868"/>
            </w:tcBorders>
            <w:shd w:val="clear" w:color="auto" w:fill="006460"/>
          </w:tcPr>
          <w:p w14:paraId="1BC3DF50" w14:textId="77777777" w:rsidR="00867FFD" w:rsidRPr="004B5884" w:rsidRDefault="00867FFD" w:rsidP="00226DF1">
            <w:pPr>
              <w:pStyle w:val="Heading2"/>
              <w:rPr>
                <w:rFonts w:ascii="Times New Roman" w:eastAsia="Calibri" w:hAnsi="Times New Roman"/>
                <w:sz w:val="24"/>
                <w:szCs w:val="24"/>
              </w:rPr>
            </w:pPr>
            <w:bookmarkStart w:id="89" w:name="_Toc346116648"/>
            <w:bookmarkStart w:id="90" w:name="_Toc398181101"/>
            <w:bookmarkStart w:id="91" w:name="_Toc276342230"/>
            <w:r>
              <w:rPr>
                <w:rFonts w:ascii="Times New Roman" w:hAnsi="Times New Roman"/>
                <w:sz w:val="24"/>
              </w:rPr>
              <w:t>17. Viability</w:t>
            </w:r>
            <w:bookmarkEnd w:id="89"/>
            <w:bookmarkEnd w:id="90"/>
            <w:bookmarkEnd w:id="91"/>
          </w:p>
        </w:tc>
      </w:tr>
      <w:tr w:rsidR="00867FFD" w:rsidRPr="00DF5EC2" w14:paraId="0DFFBE9A" w14:textId="77777777" w:rsidTr="005D447F">
        <w:tc>
          <w:tcPr>
            <w:tcW w:w="10314" w:type="dxa"/>
            <w:shd w:val="clear" w:color="auto" w:fill="FFFFFF"/>
          </w:tcPr>
          <w:p w14:paraId="693E88EE" w14:textId="77777777" w:rsidR="00867FFD" w:rsidRPr="00DF5EC2"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description will enable GAVI to assess whether issues of sustainability have been adequately addressed. </w:t>
            </w:r>
          </w:p>
          <w:p w14:paraId="1F17F2F9" w14:textId="77777777" w:rsidR="00867FFD" w:rsidRPr="00DF5EC2"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describe how the government is going to ensure sustainability of the results achieved by the GAVI grant after its completion. This should encompass sustainability of financing for immunisation services and health system strengthening, as well as programmatic sustainability of results.</w:t>
            </w:r>
          </w:p>
          <w:p w14:paraId="74D0EC22" w14:textId="77777777" w:rsidR="00867FFD" w:rsidRPr="00DF5EC2"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If there are other recurrent costs included in this proposal please describe how the country will cover these costs after the funding finishes.</w:t>
            </w:r>
          </w:p>
        </w:tc>
      </w:tr>
      <w:tr w:rsidR="00867FFD" w:rsidRPr="00EA1D65" w14:paraId="4F68D340" w14:textId="77777777" w:rsidTr="005D447F">
        <w:trPr>
          <w:trHeight w:val="278"/>
        </w:trPr>
        <w:tc>
          <w:tcPr>
            <w:tcW w:w="10314" w:type="dxa"/>
            <w:shd w:val="clear" w:color="auto" w:fill="FFFFFF"/>
          </w:tcPr>
          <w:p w14:paraId="273FE327" w14:textId="77777777" w:rsidR="00867FFD" w:rsidRPr="00EA1D65" w:rsidRDefault="00867FFD" w:rsidP="00EA1D65">
            <w:pPr>
              <w:spacing w:before="120" w:after="120"/>
              <w:jc w:val="both"/>
              <w:rPr>
                <w:rFonts w:ascii="Times New Roman" w:hAnsi="Times New Roman"/>
                <w:b/>
                <w:i/>
                <w:sz w:val="24"/>
                <w:szCs w:val="24"/>
              </w:rPr>
            </w:pPr>
            <w:r>
              <w:rPr>
                <w:rFonts w:ascii="Times New Roman" w:hAnsi="Times New Roman"/>
                <w:b/>
                <w:i/>
                <w:sz w:val="24"/>
              </w:rPr>
              <w:t>TWO PAGES MAXIMUM</w:t>
            </w:r>
          </w:p>
          <w:p w14:paraId="5596B0D6" w14:textId="225495ED" w:rsidR="00EA1D65" w:rsidRDefault="00B67AF3" w:rsidP="00EA1D65">
            <w:pPr>
              <w:spacing w:before="120" w:after="120"/>
              <w:rPr>
                <w:rFonts w:ascii="Times New Roman" w:eastAsia="Calibri" w:hAnsi="Times New Roman"/>
                <w:sz w:val="24"/>
                <w:szCs w:val="24"/>
              </w:rPr>
            </w:pPr>
            <w:r>
              <w:rPr>
                <w:rFonts w:ascii="Times New Roman" w:hAnsi="Times New Roman"/>
                <w:sz w:val="24"/>
              </w:rPr>
              <w:t>The objectives of this proposal fall in line with those of the new Ten-year Health and Social Development Plan (2014-2023), for its first five-year period (2014-2018), (PRODESS III) and the cMYP.</w:t>
            </w:r>
          </w:p>
          <w:p w14:paraId="0787F006" w14:textId="1CE1F5B7" w:rsidR="00C62524" w:rsidRPr="00EA1D65" w:rsidRDefault="00DF5EC2" w:rsidP="00EA1D65">
            <w:pPr>
              <w:spacing w:before="120" w:after="120"/>
              <w:rPr>
                <w:rFonts w:ascii="Times New Roman" w:eastAsia="Calibri" w:hAnsi="Times New Roman"/>
                <w:sz w:val="24"/>
                <w:szCs w:val="24"/>
              </w:rPr>
            </w:pPr>
            <w:r>
              <w:rPr>
                <w:rFonts w:ascii="Times New Roman" w:hAnsi="Times New Roman"/>
                <w:sz w:val="24"/>
              </w:rPr>
              <w:t>Regarding the strengthening of human health resources by recruitment of qualified health personnel, personnel motivation and recruitment plans had been attached to the National Strategic Development Plans for Human Health Resources (2009-2015). These plans will be revised and will take perpetuation into consideration after GAVI support in this area. Said plan will be financed through the national budget, the contribution of territorial municipalities and the technical and financial partners. The possibility of transfers of personnel hired with GAVI funding to government service after an intake competition must also be noted, given that the government considers the provision of physicians to CSComs to be a national priority.</w:t>
            </w:r>
          </w:p>
          <w:p w14:paraId="21C03D46" w14:textId="646107B5" w:rsidR="00490B2E" w:rsidRPr="00EA1D65" w:rsidRDefault="00F02A60" w:rsidP="00EA1D65">
            <w:pPr>
              <w:spacing w:before="120" w:after="120"/>
              <w:rPr>
                <w:rFonts w:ascii="Times New Roman" w:eastAsia="Calibri" w:hAnsi="Times New Roman"/>
                <w:sz w:val="24"/>
                <w:szCs w:val="24"/>
              </w:rPr>
            </w:pPr>
            <w:r>
              <w:rPr>
                <w:rFonts w:ascii="Times New Roman" w:hAnsi="Times New Roman"/>
                <w:sz w:val="24"/>
              </w:rPr>
              <w:t>The National Strategic Plan for the development of Human Resources in Health (2009-2015) also anticipates the payment of zone bonuses to agents, in particular the physicians working in zones that are difficult to access, remote or unsafe. Its implementation will allow the coverage of agents receiving motivational bonuses from the GAVI grant.</w:t>
            </w:r>
          </w:p>
          <w:p w14:paraId="3372C267" w14:textId="26F37B72" w:rsidR="00A8665C" w:rsidRPr="00DF5EC2" w:rsidRDefault="009F0CA1" w:rsidP="00EA1D65">
            <w:pPr>
              <w:spacing w:before="120" w:after="120"/>
              <w:rPr>
                <w:rFonts w:ascii="Times New Roman" w:eastAsia="Calibri" w:hAnsi="Times New Roman"/>
                <w:sz w:val="24"/>
                <w:szCs w:val="24"/>
              </w:rPr>
            </w:pPr>
            <w:r>
              <w:rPr>
                <w:rFonts w:ascii="Times New Roman" w:hAnsi="Times New Roman"/>
                <w:sz w:val="24"/>
              </w:rPr>
              <w:t>Also, in the context of decentralization, the Government transferred a portion of its responsibilities to the territorial municipalities with regard to health; thus the municipalities are subsidized for the performance of advanced strategy activities and mobile immunization teams. This subsidy will be increased with the adoption of the law to create a budget line item for immunization, currently being adopted.</w:t>
            </w:r>
          </w:p>
          <w:p w14:paraId="56FBA12F" w14:textId="2A62B208" w:rsidR="0019078B" w:rsidRPr="00EA1D65" w:rsidRDefault="0019078B" w:rsidP="00EA1D65">
            <w:pPr>
              <w:spacing w:before="120" w:after="120"/>
              <w:rPr>
                <w:rFonts w:ascii="Times New Roman" w:eastAsia="Calibri" w:hAnsi="Times New Roman"/>
                <w:sz w:val="24"/>
                <w:szCs w:val="24"/>
              </w:rPr>
            </w:pPr>
            <w:r>
              <w:rPr>
                <w:rFonts w:ascii="Times New Roman" w:hAnsi="Times New Roman"/>
                <w:sz w:val="24"/>
              </w:rPr>
              <w:t>The PBR strategy is part of the PRODESS III strategy; it will be scaled up based on the experience gained in the Koulikoro region. Other partners anticipate directing their activities in this regard and also in the context of the accreditation of health structures in order to ensure quality health services.</w:t>
            </w:r>
          </w:p>
          <w:p w14:paraId="0E6359AD" w14:textId="6FABBC46" w:rsidR="0019078B" w:rsidRPr="00EA1D65" w:rsidRDefault="0019078B" w:rsidP="00EA1D65">
            <w:pPr>
              <w:spacing w:before="120" w:after="120"/>
              <w:rPr>
                <w:rFonts w:ascii="Times New Roman" w:eastAsia="Calibri" w:hAnsi="Times New Roman"/>
                <w:sz w:val="24"/>
                <w:szCs w:val="24"/>
              </w:rPr>
            </w:pPr>
            <w:r>
              <w:rPr>
                <w:rFonts w:ascii="Times New Roman" w:hAnsi="Times New Roman"/>
                <w:sz w:val="24"/>
              </w:rPr>
              <w:t xml:space="preserve">For ongoing training of personnel, the districts annual record activities in their Operational Plan to include the new agents made available. </w:t>
            </w:r>
          </w:p>
          <w:p w14:paraId="53B99C25" w14:textId="77777777" w:rsidR="0019078B" w:rsidRPr="00EA1D65" w:rsidRDefault="0019078B" w:rsidP="00EA1D65">
            <w:pPr>
              <w:spacing w:before="120" w:after="120"/>
              <w:rPr>
                <w:rFonts w:ascii="Times New Roman" w:eastAsia="Calibri" w:hAnsi="Times New Roman"/>
                <w:sz w:val="24"/>
                <w:szCs w:val="24"/>
              </w:rPr>
            </w:pPr>
            <w:r>
              <w:rPr>
                <w:rFonts w:ascii="Times New Roman" w:hAnsi="Times New Roman"/>
                <w:sz w:val="24"/>
              </w:rPr>
              <w:t>Correct management of funds transferred to municipalities to fight disease will provide for regular implementation of alternative strategies to reach populations.</w:t>
            </w:r>
          </w:p>
          <w:p w14:paraId="02FA179F" w14:textId="40DF604B" w:rsidR="00D8350E" w:rsidRPr="00DF5EC2" w:rsidRDefault="0019078B" w:rsidP="000868E6">
            <w:pPr>
              <w:spacing w:before="120" w:after="120"/>
              <w:rPr>
                <w:rFonts w:ascii="Times New Roman" w:eastAsia="Calibri" w:hAnsi="Times New Roman"/>
                <w:sz w:val="24"/>
                <w:szCs w:val="24"/>
              </w:rPr>
            </w:pPr>
            <w:r>
              <w:rPr>
                <w:rFonts w:ascii="Times New Roman" w:hAnsi="Times New Roman"/>
                <w:sz w:val="24"/>
              </w:rPr>
              <w:t>It must be noted that there is a renewal policy for immunization logistics and vehicles, the implementation of which will be monitored by certain partners.</w:t>
            </w:r>
          </w:p>
        </w:tc>
      </w:tr>
    </w:tbl>
    <w:p w14:paraId="037D29B4" w14:textId="77777777" w:rsidR="00867FFD" w:rsidRDefault="00867FFD" w:rsidP="00226DF1">
      <w:pPr>
        <w:widowControl w:val="0"/>
        <w:spacing w:before="120" w:after="120"/>
        <w:jc w:val="both"/>
        <w:rPr>
          <w:rFonts w:ascii="Times New Roman" w:eastAsia="Calibri" w:hAnsi="Times New Roman"/>
          <w:sz w:val="24"/>
          <w:szCs w:val="24"/>
        </w:rPr>
      </w:pPr>
    </w:p>
    <w:p w14:paraId="547DE5DA" w14:textId="77777777" w:rsidR="000868E6" w:rsidRPr="004B5884" w:rsidRDefault="000868E6" w:rsidP="00226DF1">
      <w:pPr>
        <w:widowControl w:val="0"/>
        <w:spacing w:before="120" w:after="120"/>
        <w:jc w:val="both"/>
        <w:rPr>
          <w:rFonts w:ascii="Times New Roman" w:eastAsia="Calibri" w:hAnsi="Times New Roman"/>
          <w:sz w:val="24"/>
          <w:szCs w:val="24"/>
        </w:rPr>
      </w:pPr>
    </w:p>
    <w:tbl>
      <w:tblPr>
        <w:tblW w:w="10348" w:type="dxa"/>
        <w:tblInd w:w="108" w:type="dxa"/>
        <w:shd w:val="clear" w:color="auto" w:fill="006460"/>
        <w:tblLayout w:type="fixed"/>
        <w:tblLook w:val="0000" w:firstRow="0" w:lastRow="0" w:firstColumn="0" w:lastColumn="0" w:noHBand="0" w:noVBand="0"/>
      </w:tblPr>
      <w:tblGrid>
        <w:gridCol w:w="10348"/>
      </w:tblGrid>
      <w:tr w:rsidR="00867FFD" w:rsidRPr="009316FF" w14:paraId="18141E8A" w14:textId="77777777" w:rsidTr="005D447F">
        <w:tc>
          <w:tcPr>
            <w:tcW w:w="10348" w:type="dxa"/>
            <w:shd w:val="clear" w:color="auto" w:fill="006460"/>
          </w:tcPr>
          <w:p w14:paraId="73B594A3" w14:textId="77777777" w:rsidR="00867FFD" w:rsidRPr="004B5884" w:rsidRDefault="00867FFD" w:rsidP="00226DF1">
            <w:pPr>
              <w:pStyle w:val="Heading1"/>
              <w:spacing w:before="120" w:after="120"/>
              <w:jc w:val="both"/>
              <w:rPr>
                <w:rFonts w:ascii="Times New Roman" w:eastAsia="Calibri" w:hAnsi="Times New Roman"/>
                <w:szCs w:val="24"/>
              </w:rPr>
            </w:pPr>
            <w:bookmarkStart w:id="92" w:name="_Toc346115525"/>
            <w:bookmarkStart w:id="93" w:name="_Toc346116650"/>
            <w:bookmarkStart w:id="94" w:name="_Toc398181102"/>
            <w:bookmarkStart w:id="95" w:name="_Toc276342231"/>
            <w:r>
              <w:rPr>
                <w:rFonts w:ascii="Times New Roman" w:hAnsi="Times New Roman"/>
              </w:rPr>
              <w:t>PART F – IMPLEMENTATION ARRANGEMENTS AND RISK MITIGATION</w:t>
            </w:r>
            <w:bookmarkEnd w:id="92"/>
            <w:bookmarkEnd w:id="93"/>
            <w:bookmarkEnd w:id="94"/>
            <w:bookmarkEnd w:id="95"/>
          </w:p>
        </w:tc>
      </w:tr>
    </w:tbl>
    <w:p w14:paraId="56E44835"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0386417D" w14:textId="77777777" w:rsidTr="005D447F">
        <w:tc>
          <w:tcPr>
            <w:tcW w:w="10348" w:type="dxa"/>
            <w:tcBorders>
              <w:bottom w:val="single" w:sz="6" w:space="0" w:color="215868"/>
            </w:tcBorders>
            <w:shd w:val="clear" w:color="auto" w:fill="auto"/>
            <w:vAlign w:val="center"/>
          </w:tcPr>
          <w:p w14:paraId="0EB2FC50"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For further instructions, please refer to the Supplementary Guidelines for HSS Applications</w:t>
            </w:r>
          </w:p>
        </w:tc>
      </w:tr>
      <w:tr w:rsidR="00867FFD" w:rsidRPr="009316FF" w14:paraId="00094403" w14:textId="77777777" w:rsidTr="005D447F">
        <w:tc>
          <w:tcPr>
            <w:tcW w:w="10348" w:type="dxa"/>
            <w:tcBorders>
              <w:bottom w:val="single" w:sz="6" w:space="0" w:color="215868"/>
            </w:tcBorders>
            <w:shd w:val="clear" w:color="auto" w:fill="006460"/>
          </w:tcPr>
          <w:p w14:paraId="508B0345" w14:textId="77777777" w:rsidR="00867FFD" w:rsidRPr="004B5884" w:rsidRDefault="00867FFD" w:rsidP="00226DF1">
            <w:pPr>
              <w:pStyle w:val="Heading2"/>
              <w:rPr>
                <w:rFonts w:ascii="Times New Roman" w:eastAsia="Calibri" w:hAnsi="Times New Roman"/>
                <w:sz w:val="24"/>
                <w:szCs w:val="24"/>
              </w:rPr>
            </w:pPr>
            <w:bookmarkStart w:id="96" w:name="_Toc346116651"/>
            <w:bookmarkStart w:id="97" w:name="_Toc398181103"/>
            <w:bookmarkStart w:id="98" w:name="_Toc276342232"/>
            <w:r>
              <w:rPr>
                <w:rFonts w:ascii="Times New Roman" w:hAnsi="Times New Roman"/>
                <w:sz w:val="24"/>
              </w:rPr>
              <w:t>18. Implementation Arrangements</w:t>
            </w:r>
            <w:bookmarkEnd w:id="96"/>
            <w:bookmarkEnd w:id="97"/>
            <w:bookmarkEnd w:id="98"/>
          </w:p>
        </w:tc>
      </w:tr>
      <w:tr w:rsidR="00867FFD" w:rsidRPr="009316FF" w14:paraId="54FAD02A" w14:textId="77777777" w:rsidTr="005D447F">
        <w:tc>
          <w:tcPr>
            <w:tcW w:w="10348" w:type="dxa"/>
            <w:shd w:val="clear" w:color="auto" w:fill="FFFFFF"/>
          </w:tcPr>
          <w:p w14:paraId="7E82E7AD"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section will be used to determine if the necessary arrangements and responsibilities for management, coordination, and technical assistance inputs of the implementing parties have been put in place to ensure that programme activities will be implemented. </w:t>
            </w:r>
          </w:p>
          <w:p w14:paraId="7EFEC7B7"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Please describe: </w:t>
            </w:r>
          </w:p>
          <w:p w14:paraId="0F40A64D"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how will implementation of the grant be managed; identify key implementing entities and their responsibilities with regard to governance and auditing;</w:t>
            </w:r>
          </w:p>
          <w:p w14:paraId="3E38A453"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mechanisms which will ensure coordination among the implementing entities;</w:t>
            </w:r>
          </w:p>
          <w:p w14:paraId="1E04E184"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financial resources from the grant proceeds that will be allocated to grant management and implementation;</w:t>
            </w:r>
          </w:p>
          <w:p w14:paraId="3C4C44DE"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The role of development partners in supporting the country in grant implementation.</w:t>
            </w:r>
          </w:p>
        </w:tc>
      </w:tr>
      <w:tr w:rsidR="00867FFD" w:rsidRPr="009316FF" w14:paraId="7CEB1B84" w14:textId="77777777" w:rsidTr="005D447F">
        <w:trPr>
          <w:trHeight w:val="278"/>
        </w:trPr>
        <w:tc>
          <w:tcPr>
            <w:tcW w:w="10348" w:type="dxa"/>
            <w:shd w:val="clear" w:color="auto" w:fill="FFFFFF"/>
          </w:tcPr>
          <w:p w14:paraId="65720B15" w14:textId="54CE8FF9" w:rsidR="0011380A" w:rsidRDefault="0011380A" w:rsidP="004662CE">
            <w:pPr>
              <w:spacing w:before="120" w:after="120"/>
              <w:jc w:val="both"/>
              <w:rPr>
                <w:rFonts w:ascii="Times New Roman" w:hAnsi="Times New Roman"/>
                <w:sz w:val="24"/>
                <w:szCs w:val="24"/>
              </w:rPr>
            </w:pPr>
            <w:r>
              <w:rPr>
                <w:rFonts w:ascii="Times New Roman" w:hAnsi="Times New Roman"/>
                <w:sz w:val="24"/>
              </w:rPr>
              <w:t>The proposal will be implemented in accordance with the provisions of the GAVI-Mali convention signed on 14 June 2013.</w:t>
            </w:r>
          </w:p>
          <w:p w14:paraId="035EC368" w14:textId="77777777" w:rsidR="004662CE" w:rsidRPr="00B3038C" w:rsidRDefault="004662CE" w:rsidP="004662CE">
            <w:pPr>
              <w:spacing w:before="120" w:after="120"/>
              <w:jc w:val="both"/>
              <w:rPr>
                <w:rFonts w:ascii="Times New Roman" w:hAnsi="Times New Roman"/>
                <w:sz w:val="24"/>
                <w:szCs w:val="24"/>
              </w:rPr>
            </w:pPr>
            <w:r>
              <w:rPr>
                <w:rFonts w:ascii="Times New Roman" w:hAnsi="Times New Roman"/>
                <w:sz w:val="24"/>
              </w:rPr>
              <w:t>The program will be implemented taking into consideration the three levels of the health pyramid. Thus the primary structures involved will be the National Directorate of Health and its decentralized facilities, the Provincial Health Center, the Dept. of Human Resources, the National Center for Health Education, Information and Communication, the Directorate of Finance and Equipment, health. The other structures (DNDS, DNPSES, professional associations; CNAM, FENASCOM, UTM, GP/SP, etc.) will contribute their support to various levels of the health pyramid.</w:t>
            </w:r>
          </w:p>
          <w:p w14:paraId="657B18E9" w14:textId="44B7A8AB" w:rsidR="004662CE" w:rsidRPr="00B3038C" w:rsidRDefault="004662CE" w:rsidP="004662CE">
            <w:pPr>
              <w:spacing w:before="120" w:after="120"/>
              <w:jc w:val="both"/>
              <w:rPr>
                <w:rFonts w:ascii="Times New Roman" w:hAnsi="Times New Roman"/>
                <w:sz w:val="24"/>
                <w:szCs w:val="24"/>
              </w:rPr>
            </w:pPr>
            <w:r>
              <w:rPr>
                <w:rFonts w:ascii="Times New Roman" w:hAnsi="Times New Roman"/>
                <w:sz w:val="24"/>
              </w:rPr>
              <w:t>An annual work plan will be prepared at the central level under the aegis of the Planning and Statistics Cells/SS-DS-PF and it will be made available to participants. Based on this plan, applications will be prepared.</w:t>
            </w:r>
          </w:p>
          <w:p w14:paraId="3E77A253" w14:textId="77777777" w:rsidR="004662CE" w:rsidRPr="00B3038C" w:rsidRDefault="004662CE" w:rsidP="004662CE">
            <w:pPr>
              <w:spacing w:before="120" w:after="120"/>
              <w:jc w:val="both"/>
              <w:rPr>
                <w:rFonts w:ascii="Times New Roman" w:hAnsi="Times New Roman"/>
                <w:sz w:val="24"/>
                <w:szCs w:val="24"/>
              </w:rPr>
            </w:pPr>
            <w:r>
              <w:rPr>
                <w:rFonts w:ascii="Times New Roman" w:hAnsi="Times New Roman"/>
                <w:sz w:val="24"/>
              </w:rPr>
              <w:t>The role of the participants is summarized as follows:</w:t>
            </w:r>
          </w:p>
          <w:p w14:paraId="0E9B116A" w14:textId="77777777" w:rsidR="004662CE" w:rsidRPr="00B3038C" w:rsidRDefault="004662CE" w:rsidP="004662CE">
            <w:pPr>
              <w:pStyle w:val="ListParagraph"/>
              <w:numPr>
                <w:ilvl w:val="0"/>
                <w:numId w:val="33"/>
              </w:numPr>
              <w:spacing w:before="120" w:after="120"/>
              <w:jc w:val="both"/>
              <w:rPr>
                <w:rFonts w:ascii="Times New Roman" w:hAnsi="Times New Roman"/>
                <w:b/>
                <w:sz w:val="24"/>
                <w:szCs w:val="24"/>
              </w:rPr>
            </w:pPr>
            <w:r>
              <w:rPr>
                <w:rFonts w:ascii="Times New Roman" w:hAnsi="Times New Roman"/>
                <w:b/>
                <w:sz w:val="24"/>
              </w:rPr>
              <w:t xml:space="preserve">Structures responsible for the activity: </w:t>
            </w:r>
            <w:r>
              <w:rPr>
                <w:rFonts w:ascii="Times New Roman" w:hAnsi="Times New Roman"/>
                <w:sz w:val="24"/>
              </w:rPr>
              <w:t>Each structure will prepare its application in accordance with the program. Once prepared, these applications will be forwarded to the Planning and Statistics Cells/SS-DS-PF. It will verify that the applications are in compliance and will forward them to the Offices of the Ministry of Health and Public Hygiene.</w:t>
            </w:r>
          </w:p>
          <w:p w14:paraId="6DF7B904" w14:textId="77777777" w:rsidR="004662CE" w:rsidRPr="00B3038C" w:rsidRDefault="004662CE" w:rsidP="004662CE">
            <w:pPr>
              <w:pStyle w:val="ListParagraph"/>
              <w:numPr>
                <w:ilvl w:val="0"/>
                <w:numId w:val="33"/>
              </w:numPr>
              <w:spacing w:before="120" w:after="120"/>
              <w:jc w:val="both"/>
              <w:rPr>
                <w:rFonts w:ascii="Times New Roman" w:hAnsi="Times New Roman"/>
                <w:b/>
                <w:sz w:val="24"/>
                <w:szCs w:val="24"/>
              </w:rPr>
            </w:pPr>
            <w:r>
              <w:rPr>
                <w:rFonts w:ascii="Times New Roman" w:hAnsi="Times New Roman"/>
                <w:b/>
                <w:sz w:val="24"/>
              </w:rPr>
              <w:t xml:space="preserve">The Office of the Ministry of Health and Public Hygiene: </w:t>
            </w:r>
            <w:r>
              <w:rPr>
                <w:rFonts w:ascii="Times New Roman" w:hAnsi="Times New Roman"/>
                <w:sz w:val="24"/>
              </w:rPr>
              <w:t>validates applications received from the various structures and forwards them to the Health Department for Equipment and Finance (DFM) which will manage the funds.</w:t>
            </w:r>
          </w:p>
          <w:p w14:paraId="5381C06B" w14:textId="77777777" w:rsidR="004662CE" w:rsidRPr="00B3038C" w:rsidRDefault="004662CE" w:rsidP="004662CE">
            <w:pPr>
              <w:pStyle w:val="ListParagraph"/>
              <w:numPr>
                <w:ilvl w:val="0"/>
                <w:numId w:val="33"/>
              </w:numPr>
              <w:spacing w:before="120" w:after="120"/>
              <w:jc w:val="both"/>
              <w:rPr>
                <w:rFonts w:ascii="Times New Roman" w:hAnsi="Times New Roman"/>
                <w:b/>
                <w:sz w:val="24"/>
                <w:szCs w:val="24"/>
              </w:rPr>
            </w:pPr>
            <w:r>
              <w:rPr>
                <w:rFonts w:ascii="Times New Roman" w:hAnsi="Times New Roman"/>
                <w:b/>
                <w:sz w:val="24"/>
              </w:rPr>
              <w:t xml:space="preserve">The Health DFM: </w:t>
            </w:r>
            <w:r>
              <w:rPr>
                <w:rFonts w:ascii="Times New Roman" w:hAnsi="Times New Roman"/>
                <w:sz w:val="24"/>
              </w:rPr>
              <w:t>Verifies compliance of the allocated amounts with the schedule and releases the funds through the accounts of the responsible structures for planned activities, collects justifying documents, and credits the accounts of the structures involved. It controls the use of funds through audits.</w:t>
            </w:r>
          </w:p>
          <w:p w14:paraId="33BFAD5A" w14:textId="77777777" w:rsidR="004662CE" w:rsidRPr="00B3038C" w:rsidRDefault="004662CE" w:rsidP="004662CE">
            <w:pPr>
              <w:spacing w:before="120" w:after="120"/>
              <w:jc w:val="both"/>
              <w:rPr>
                <w:rFonts w:ascii="Times New Roman" w:hAnsi="Times New Roman"/>
                <w:sz w:val="24"/>
                <w:szCs w:val="24"/>
              </w:rPr>
            </w:pPr>
            <w:r>
              <w:rPr>
                <w:rFonts w:ascii="Times New Roman" w:hAnsi="Times New Roman"/>
                <w:sz w:val="24"/>
              </w:rPr>
              <w:t>Under the leadership of the Planning and Statistics Cells/SS-DS-PF, coordination meetings will be held at the various levels of the health pyramid:</w:t>
            </w:r>
          </w:p>
          <w:p w14:paraId="5B6A1F6C" w14:textId="77777777" w:rsidR="004662CE" w:rsidRPr="00B3038C" w:rsidRDefault="004662CE" w:rsidP="004662CE">
            <w:pPr>
              <w:pStyle w:val="ListParagraph"/>
              <w:numPr>
                <w:ilvl w:val="0"/>
                <w:numId w:val="32"/>
              </w:numPr>
              <w:spacing w:before="120" w:after="120"/>
              <w:jc w:val="both"/>
              <w:rPr>
                <w:rFonts w:ascii="Times New Roman" w:hAnsi="Times New Roman"/>
                <w:b/>
                <w:sz w:val="24"/>
                <w:szCs w:val="24"/>
              </w:rPr>
            </w:pPr>
            <w:r>
              <w:rPr>
                <w:rFonts w:ascii="Times New Roman" w:hAnsi="Times New Roman"/>
                <w:b/>
                <w:sz w:val="24"/>
              </w:rPr>
              <w:t xml:space="preserve">At the operational level: </w:t>
            </w:r>
            <w:r>
              <w:rPr>
                <w:rFonts w:ascii="Times New Roman" w:hAnsi="Times New Roman"/>
                <w:sz w:val="24"/>
              </w:rPr>
              <w:t>Coordination will be provided through holding meetings of the management council, with participation of all the stakeholders (local government, decentralized municipalities; CSOs, private structures, etc.).</w:t>
            </w:r>
          </w:p>
          <w:p w14:paraId="11446840" w14:textId="77777777" w:rsidR="004662CE" w:rsidRPr="00B3038C" w:rsidRDefault="004662CE" w:rsidP="004662CE">
            <w:pPr>
              <w:pStyle w:val="ListParagraph"/>
              <w:numPr>
                <w:ilvl w:val="0"/>
                <w:numId w:val="32"/>
              </w:numPr>
              <w:spacing w:before="120" w:after="120"/>
              <w:jc w:val="both"/>
              <w:rPr>
                <w:rFonts w:ascii="Times New Roman" w:hAnsi="Times New Roman"/>
                <w:b/>
                <w:sz w:val="24"/>
                <w:szCs w:val="24"/>
              </w:rPr>
            </w:pPr>
            <w:r>
              <w:rPr>
                <w:rFonts w:ascii="Times New Roman" w:hAnsi="Times New Roman"/>
                <w:b/>
                <w:sz w:val="24"/>
              </w:rPr>
              <w:t xml:space="preserve">At the regional level: </w:t>
            </w:r>
            <w:r>
              <w:rPr>
                <w:rFonts w:ascii="Times New Roman" w:hAnsi="Times New Roman"/>
                <w:sz w:val="24"/>
              </w:rPr>
              <w:t>Coordination will be provided through holding quarterly or semi-annual oversight meetings, or through CROCEP.</w:t>
            </w:r>
          </w:p>
          <w:p w14:paraId="086015F4" w14:textId="77777777" w:rsidR="004662CE" w:rsidRPr="00B3038C" w:rsidRDefault="004662CE" w:rsidP="004662CE">
            <w:pPr>
              <w:pStyle w:val="ListParagraph"/>
              <w:numPr>
                <w:ilvl w:val="0"/>
                <w:numId w:val="32"/>
              </w:numPr>
              <w:spacing w:before="120" w:after="120"/>
              <w:jc w:val="both"/>
              <w:rPr>
                <w:rFonts w:ascii="Times New Roman" w:hAnsi="Times New Roman"/>
                <w:b/>
                <w:sz w:val="24"/>
                <w:szCs w:val="24"/>
              </w:rPr>
            </w:pPr>
            <w:r>
              <w:rPr>
                <w:rFonts w:ascii="Times New Roman" w:hAnsi="Times New Roman"/>
                <w:b/>
                <w:sz w:val="24"/>
              </w:rPr>
              <w:t>At the national level: </w:t>
            </w:r>
            <w:r>
              <w:rPr>
                <w:rFonts w:ascii="Times New Roman" w:hAnsi="Times New Roman"/>
                <w:sz w:val="24"/>
              </w:rPr>
              <w:t>Coordination meetings will be held through the PRODESS monitoring mechanisms (Steering Committee, Technical Committee, Monitoring Committee). In addition to these statutory meetings, periodic specific meetings will be held among the key participants (CPS, DNS, DFM, Technical and Financial Partners, CNIECS, DRH, DNDS, Professional Associations, CSOs, etc.).</w:t>
            </w:r>
          </w:p>
          <w:p w14:paraId="6936D5AE" w14:textId="5BEE0A9F" w:rsidR="004662CE" w:rsidRPr="00A9330C" w:rsidRDefault="004662CE" w:rsidP="004662CE">
            <w:pPr>
              <w:spacing w:before="120" w:after="120"/>
              <w:jc w:val="both"/>
              <w:rPr>
                <w:rFonts w:ascii="Times New Roman" w:hAnsi="Times New Roman"/>
                <w:sz w:val="24"/>
                <w:szCs w:val="24"/>
              </w:rPr>
            </w:pPr>
            <w:r>
              <w:rPr>
                <w:rFonts w:ascii="Times New Roman" w:hAnsi="Times New Roman"/>
                <w:sz w:val="24"/>
              </w:rPr>
              <w:t>In order to ensure the proper implementation of the allocation of joint missions, the Government-partners and civil society oversight missions will be organized twice per year from the central level in the health districts and regions.</w:t>
            </w:r>
          </w:p>
          <w:p w14:paraId="7C55A6C0" w14:textId="77B05C35" w:rsidR="000108A0" w:rsidRPr="00A9330C" w:rsidRDefault="004662CE" w:rsidP="004662CE">
            <w:pPr>
              <w:spacing w:before="120" w:after="120"/>
              <w:jc w:val="both"/>
              <w:rPr>
                <w:rFonts w:ascii="Times New Roman" w:eastAsia="Calibri" w:hAnsi="Times New Roman"/>
                <w:sz w:val="24"/>
                <w:szCs w:val="24"/>
              </w:rPr>
            </w:pPr>
            <w:r>
              <w:rPr>
                <w:rFonts w:ascii="Times New Roman" w:hAnsi="Times New Roman"/>
                <w:sz w:val="24"/>
              </w:rPr>
              <w:t>Activities financed by GAVI funds are part of the package of activities scheduled and financed by other development partners and the State. Financing from the Government and other partners will contribute to bridging the gap and ensuring the ongoing sustainability of the actions taken.</w:t>
            </w:r>
          </w:p>
        </w:tc>
      </w:tr>
    </w:tbl>
    <w:p w14:paraId="60CD7483" w14:textId="77777777" w:rsidR="001D5BD9" w:rsidRPr="004B5884" w:rsidRDefault="001D5BD9" w:rsidP="00226DF1">
      <w:pPr>
        <w:widowControl w:val="0"/>
        <w:spacing w:before="120" w:after="120"/>
        <w:jc w:val="both"/>
        <w:rPr>
          <w:rFonts w:ascii="Times New Roman" w:eastAsia="Calibri" w:hAnsi="Times New Roman"/>
          <w:sz w:val="24"/>
          <w:szCs w:val="24"/>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1D95C3B8" w14:textId="77777777" w:rsidTr="005D447F">
        <w:tc>
          <w:tcPr>
            <w:tcW w:w="10348" w:type="dxa"/>
            <w:tcBorders>
              <w:bottom w:val="single" w:sz="6" w:space="0" w:color="215868"/>
            </w:tcBorders>
            <w:shd w:val="clear" w:color="auto" w:fill="006460"/>
          </w:tcPr>
          <w:p w14:paraId="20F6227C" w14:textId="77777777" w:rsidR="00867FFD" w:rsidRPr="004B5884" w:rsidRDefault="00867FFD" w:rsidP="00226DF1">
            <w:pPr>
              <w:pStyle w:val="Heading2"/>
              <w:rPr>
                <w:rFonts w:ascii="Times New Roman" w:eastAsia="Calibri" w:hAnsi="Times New Roman"/>
                <w:sz w:val="24"/>
                <w:szCs w:val="24"/>
              </w:rPr>
            </w:pPr>
            <w:bookmarkStart w:id="99" w:name="_Toc346116652"/>
            <w:bookmarkStart w:id="100" w:name="_Toc398181104"/>
            <w:bookmarkStart w:id="101" w:name="_Toc276342233"/>
            <w:r>
              <w:rPr>
                <w:rFonts w:ascii="Times New Roman" w:hAnsi="Times New Roman"/>
                <w:sz w:val="24"/>
              </w:rPr>
              <w:t>19. Involvement of CSOs</w:t>
            </w:r>
            <w:bookmarkEnd w:id="99"/>
            <w:bookmarkEnd w:id="100"/>
            <w:bookmarkEnd w:id="101"/>
          </w:p>
        </w:tc>
      </w:tr>
      <w:tr w:rsidR="00867FFD" w:rsidRPr="009316FF" w14:paraId="6A479A9C" w14:textId="77777777" w:rsidTr="005D447F">
        <w:tc>
          <w:tcPr>
            <w:tcW w:w="10348" w:type="dxa"/>
            <w:shd w:val="clear" w:color="auto" w:fill="FFFFFF"/>
          </w:tcPr>
          <w:p w14:paraId="15822710"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This description will be used to assess the involvement of CSOs in implementation of the proposed activities. CSOs can receive GAVI funding through GAVI HSS grants going to the MoH and then transferred to the CSO</w:t>
            </w:r>
            <w:r>
              <w:rPr>
                <w:rFonts w:ascii="Times New Roman" w:hAnsi="Times New Roman"/>
                <w:i/>
                <w:color w:val="173E49"/>
                <w:sz w:val="24"/>
              </w:rPr>
              <w:footnoteReference w:id="2"/>
            </w:r>
            <w:r>
              <w:rPr>
                <w:rFonts w:ascii="Times New Roman" w:hAnsi="Times New Roman"/>
                <w:i/>
                <w:color w:val="173E49"/>
                <w:sz w:val="24"/>
              </w:rPr>
              <w:t xml:space="preserve">. </w:t>
            </w:r>
          </w:p>
          <w:p w14:paraId="3D2153A6" w14:textId="1043314C"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describe how CSOs will be involved in the implementation of the grant activities, indicating the approximate budget allocated to CSOs.</w:t>
            </w:r>
          </w:p>
          <w:p w14:paraId="4292E20B"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If CSOs will not be involved in implementation please provide an explanation of why they are not involved and what steps will be taken to facilitate future involvement of CSOs in GAVI HSS activities. </w:t>
            </w:r>
          </w:p>
          <w:p w14:paraId="17F69890" w14:textId="7B299D6A"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Please ensure that any CSO implementation details are reflected within the detailed budget and work</w:t>
            </w:r>
            <w:r w:rsidR="00BA23D4">
              <w:rPr>
                <w:rFonts w:ascii="Times New Roman" w:hAnsi="Times New Roman"/>
                <w:i/>
                <w:color w:val="173E49"/>
                <w:sz w:val="24"/>
              </w:rPr>
              <w:t xml:space="preserve"> </w:t>
            </w:r>
            <w:r>
              <w:rPr>
                <w:rFonts w:ascii="Times New Roman" w:hAnsi="Times New Roman"/>
                <w:i/>
                <w:color w:val="173E49"/>
                <w:sz w:val="24"/>
              </w:rPr>
              <w:t>plan.</w:t>
            </w:r>
          </w:p>
        </w:tc>
      </w:tr>
      <w:tr w:rsidR="00867FFD" w:rsidRPr="009316FF" w14:paraId="047B8130" w14:textId="77777777" w:rsidTr="005D447F">
        <w:trPr>
          <w:trHeight w:val="278"/>
        </w:trPr>
        <w:tc>
          <w:tcPr>
            <w:tcW w:w="10348" w:type="dxa"/>
            <w:shd w:val="clear" w:color="auto" w:fill="FFFFFF"/>
          </w:tcPr>
          <w:p w14:paraId="58034BC1" w14:textId="6047DC96" w:rsidR="00867FFD" w:rsidRDefault="00867FFD" w:rsidP="00226DF1">
            <w:pPr>
              <w:spacing w:before="120" w:after="120"/>
              <w:jc w:val="both"/>
              <w:rPr>
                <w:rFonts w:ascii="Times New Roman" w:hAnsi="Times New Roman"/>
                <w:b/>
                <w:i/>
                <w:sz w:val="24"/>
                <w:szCs w:val="24"/>
              </w:rPr>
            </w:pPr>
            <w:r>
              <w:rPr>
                <w:rFonts w:ascii="Times New Roman" w:hAnsi="Times New Roman"/>
                <w:b/>
                <w:i/>
                <w:sz w:val="24"/>
              </w:rPr>
              <w:t>TWO PAGES MAXIMUM</w:t>
            </w:r>
          </w:p>
          <w:p w14:paraId="27C96DFD" w14:textId="77777777" w:rsidR="000F0DA7" w:rsidRDefault="000F0DA7" w:rsidP="00226DF1">
            <w:pPr>
              <w:spacing w:before="120" w:after="120"/>
              <w:jc w:val="both"/>
              <w:rPr>
                <w:rFonts w:ascii="Times New Roman" w:hAnsi="Times New Roman"/>
                <w:b/>
                <w:i/>
                <w:sz w:val="24"/>
                <w:szCs w:val="24"/>
              </w:rPr>
            </w:pPr>
          </w:p>
          <w:p w14:paraId="117E1956" w14:textId="152B9EB5" w:rsidR="00F928DF" w:rsidRPr="00B23D50" w:rsidRDefault="00C73F57" w:rsidP="00226DF1">
            <w:pPr>
              <w:spacing w:before="120" w:after="120"/>
              <w:jc w:val="both"/>
              <w:rPr>
                <w:rFonts w:ascii="Times New Roman" w:hAnsi="Times New Roman"/>
                <w:sz w:val="24"/>
                <w:szCs w:val="24"/>
              </w:rPr>
            </w:pPr>
            <w:r>
              <w:rPr>
                <w:rFonts w:ascii="Times New Roman" w:hAnsi="Times New Roman"/>
                <w:sz w:val="24"/>
              </w:rPr>
              <w:t>The CSOs are involved in the implementation of health district communication plans regarding immunization and advocacy for the mobilization of resources.</w:t>
            </w:r>
          </w:p>
          <w:p w14:paraId="2D9EB323" w14:textId="566B4ABA" w:rsidR="00F928DF" w:rsidRPr="00B23D50" w:rsidRDefault="00691812" w:rsidP="00226DF1">
            <w:pPr>
              <w:spacing w:before="120" w:after="120"/>
              <w:jc w:val="both"/>
              <w:rPr>
                <w:rFonts w:ascii="Times New Roman" w:hAnsi="Times New Roman"/>
                <w:sz w:val="24"/>
                <w:szCs w:val="24"/>
              </w:rPr>
            </w:pPr>
            <w:r>
              <w:rPr>
                <w:rFonts w:ascii="Times New Roman" w:hAnsi="Times New Roman"/>
                <w:sz w:val="24"/>
              </w:rPr>
              <w:t>The NGOs will be responsible for the provision of basic health services in highly unsafe zones through service and resources contracts (Objective 2).</w:t>
            </w:r>
          </w:p>
          <w:p w14:paraId="3C4B16B6" w14:textId="14DDE593" w:rsidR="00C73F57" w:rsidRPr="00B23D50" w:rsidRDefault="00F928DF" w:rsidP="00226DF1">
            <w:pPr>
              <w:spacing w:before="120" w:after="120"/>
              <w:jc w:val="both"/>
              <w:rPr>
                <w:rFonts w:ascii="Times New Roman" w:hAnsi="Times New Roman"/>
                <w:sz w:val="24"/>
                <w:szCs w:val="24"/>
              </w:rPr>
            </w:pPr>
            <w:r>
              <w:rPr>
                <w:rFonts w:ascii="Times New Roman" w:hAnsi="Times New Roman"/>
                <w:sz w:val="24"/>
              </w:rPr>
              <w:t>In Mali, the community health centers (CSComs) are managed by the communities through Community Health Associations (ASACOs). The latter participate in the production of performance based results indicators and benefit from these grants.</w:t>
            </w:r>
          </w:p>
          <w:p w14:paraId="27B32B85" w14:textId="7DE97506" w:rsidR="003E4FA0" w:rsidRPr="00B23D50" w:rsidRDefault="003E4FA0" w:rsidP="003E4FA0">
            <w:pPr>
              <w:spacing w:before="120" w:after="120"/>
              <w:jc w:val="both"/>
              <w:rPr>
                <w:rFonts w:ascii="Times New Roman" w:hAnsi="Times New Roman"/>
                <w:sz w:val="24"/>
                <w:szCs w:val="24"/>
              </w:rPr>
            </w:pPr>
            <w:r>
              <w:rPr>
                <w:rFonts w:ascii="Times New Roman" w:hAnsi="Times New Roman"/>
                <w:sz w:val="24"/>
              </w:rPr>
              <w:t>CSO's participation will be accomplished through:</w:t>
            </w:r>
          </w:p>
          <w:p w14:paraId="1F995A45" w14:textId="680F9544" w:rsidR="003E4FA0" w:rsidRPr="00B23D50" w:rsidRDefault="003E4FA0" w:rsidP="003E4FA0">
            <w:pPr>
              <w:pStyle w:val="ListParagraph"/>
              <w:numPr>
                <w:ilvl w:val="0"/>
                <w:numId w:val="34"/>
              </w:numPr>
              <w:spacing w:before="120" w:after="120"/>
              <w:jc w:val="both"/>
              <w:rPr>
                <w:rFonts w:ascii="Times New Roman" w:hAnsi="Times New Roman"/>
                <w:b/>
                <w:sz w:val="24"/>
                <w:szCs w:val="24"/>
              </w:rPr>
            </w:pPr>
            <w:r>
              <w:rPr>
                <w:rFonts w:ascii="Times New Roman" w:hAnsi="Times New Roman"/>
                <w:b/>
                <w:sz w:val="24"/>
              </w:rPr>
              <w:t xml:space="preserve">Performance based financing at the ASACO level: </w:t>
            </w:r>
          </w:p>
          <w:p w14:paraId="0DF7EE17" w14:textId="19C3CB52" w:rsidR="003E4FA0" w:rsidRPr="00B23D50" w:rsidRDefault="003E4FA0" w:rsidP="009B0C92">
            <w:pPr>
              <w:spacing w:before="120" w:after="120"/>
              <w:jc w:val="both"/>
              <w:rPr>
                <w:rFonts w:ascii="Times New Roman" w:hAnsi="Times New Roman"/>
                <w:sz w:val="24"/>
                <w:szCs w:val="24"/>
              </w:rPr>
            </w:pPr>
            <w:r>
              <w:rPr>
                <w:rFonts w:ascii="Times New Roman" w:hAnsi="Times New Roman"/>
                <w:sz w:val="24"/>
              </w:rPr>
              <w:t>In Mali, the community health centers (CSCom) that are the first level of the provis</w:t>
            </w:r>
            <w:r w:rsidR="008F0EDC">
              <w:rPr>
                <w:rFonts w:ascii="Times New Roman" w:hAnsi="Times New Roman"/>
                <w:sz w:val="24"/>
              </w:rPr>
              <w:t>ion of care services are manage</w:t>
            </w:r>
            <w:r>
              <w:rPr>
                <w:rFonts w:ascii="Times New Roman" w:hAnsi="Times New Roman"/>
                <w:sz w:val="24"/>
              </w:rPr>
              <w:t xml:space="preserve">d by communities through the ASACOs. The latter participate in the production of performance based results indicators and will benefit from these grants. The periodic evaluation of ASACO interventions via CSCom performance indicators allow the continued allocation of financial resources for immunization. This financing system has the advantage of improving performance of the CSComs and beyond at the level of HSS support program indicators. Performance based funding has already been implemented in three health districts in the Koulikoro region with encouraging results, which has allowed its adoption for the reproductive health project of the Ministry of Health financed by the World Bank in the regions of Koulikoro, Sikasso, Ségou and Mopti. The experience will be continued in the context of the implementation of this HSS, GAVI funding application. </w:t>
            </w:r>
          </w:p>
          <w:p w14:paraId="7B759C81" w14:textId="77777777" w:rsidR="003E4FA0" w:rsidRPr="00B23D50" w:rsidRDefault="003E4FA0" w:rsidP="003E4FA0">
            <w:pPr>
              <w:pStyle w:val="ListParagraph"/>
              <w:numPr>
                <w:ilvl w:val="0"/>
                <w:numId w:val="34"/>
              </w:numPr>
              <w:spacing w:before="120" w:after="120"/>
              <w:jc w:val="both"/>
              <w:rPr>
                <w:rFonts w:ascii="Times New Roman" w:hAnsi="Times New Roman"/>
                <w:b/>
                <w:sz w:val="24"/>
                <w:szCs w:val="24"/>
              </w:rPr>
            </w:pPr>
            <w:r>
              <w:rPr>
                <w:rFonts w:ascii="Times New Roman" w:hAnsi="Times New Roman"/>
                <w:b/>
                <w:sz w:val="24"/>
              </w:rPr>
              <w:t xml:space="preserve">The execution of services contracts with NGOs in unsafe zones. </w:t>
            </w:r>
          </w:p>
          <w:p w14:paraId="6A01EAE2" w14:textId="7E418326" w:rsidR="003E4FA0" w:rsidRPr="00B23D50" w:rsidRDefault="003E4FA0" w:rsidP="009B0C92">
            <w:pPr>
              <w:keepLines/>
              <w:autoSpaceDE w:val="0"/>
              <w:autoSpaceDN w:val="0"/>
              <w:adjustRightInd w:val="0"/>
              <w:jc w:val="both"/>
              <w:rPr>
                <w:sz w:val="24"/>
                <w:szCs w:val="24"/>
              </w:rPr>
            </w:pPr>
            <w:r>
              <w:rPr>
                <w:rFonts w:ascii="Times New Roman" w:hAnsi="Times New Roman"/>
                <w:sz w:val="24"/>
              </w:rPr>
              <w:t xml:space="preserve">The NGOs will be responsible for the provision of basic health services in highly unsafe zones through service contracts. During the occupations of regions in the North, the Pivot Group/Santé Population and FENASCOM received financing from UNICEF to conduct an immunization campaign in the regions of Tombouctou and Gao. The international </w:t>
            </w:r>
            <w:r w:rsidR="008F0EDC">
              <w:rPr>
                <w:rFonts w:ascii="Times New Roman" w:hAnsi="Times New Roman"/>
                <w:sz w:val="24"/>
              </w:rPr>
              <w:t>NGOs (Red Cross, Médecins du Monde</w:t>
            </w:r>
            <w:r>
              <w:rPr>
                <w:rFonts w:ascii="Times New Roman" w:hAnsi="Times New Roman"/>
                <w:sz w:val="24"/>
              </w:rPr>
              <w:t xml:space="preserve"> Belgique, ALIMA, MSF, etc.) provided health services and the operation of health centers in the health districts of the occupied zones. With this experience, CSOs will continue the activities assigned to them through:</w:t>
            </w:r>
          </w:p>
          <w:p w14:paraId="669CE133"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Social negotiation (in particular with armed groups)</w:t>
            </w:r>
          </w:p>
          <w:p w14:paraId="2B786075"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 xml:space="preserve">Targeting strategy </w:t>
            </w:r>
          </w:p>
          <w:p w14:paraId="441936CE"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Participation by beneficiaries</w:t>
            </w:r>
          </w:p>
          <w:p w14:paraId="16584F8F"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 xml:space="preserve">Involvement of local authorities </w:t>
            </w:r>
          </w:p>
          <w:p w14:paraId="54F0E8CE"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Community awareness</w:t>
            </w:r>
          </w:p>
          <w:p w14:paraId="39200818"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Immunisation campaign coordination</w:t>
            </w:r>
          </w:p>
          <w:p w14:paraId="57C2C0E1" w14:textId="67A7433D" w:rsidR="003E4FA0" w:rsidRPr="006665E1" w:rsidRDefault="003E4FA0" w:rsidP="006665E1">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Immunisation campaign oversight</w:t>
            </w:r>
          </w:p>
          <w:p w14:paraId="656E6B0D" w14:textId="0E5BA987" w:rsidR="003E4FA0" w:rsidRPr="006665E1" w:rsidRDefault="003E4FA0" w:rsidP="003E4FA0">
            <w:pPr>
              <w:pStyle w:val="ListParagraph"/>
              <w:numPr>
                <w:ilvl w:val="0"/>
                <w:numId w:val="34"/>
              </w:numPr>
              <w:spacing w:before="120" w:after="120"/>
              <w:jc w:val="both"/>
              <w:rPr>
                <w:rFonts w:ascii="Times New Roman" w:hAnsi="Times New Roman"/>
                <w:b/>
                <w:sz w:val="24"/>
                <w:szCs w:val="24"/>
              </w:rPr>
            </w:pPr>
            <w:r>
              <w:rPr>
                <w:rFonts w:ascii="Times New Roman" w:hAnsi="Times New Roman"/>
                <w:b/>
                <w:sz w:val="24"/>
              </w:rPr>
              <w:t>Support for CSOs for social mobilization at the community level:</w:t>
            </w:r>
          </w:p>
          <w:p w14:paraId="580DC077" w14:textId="4BD59CC1" w:rsidR="003E4FA0" w:rsidRPr="006665E1" w:rsidRDefault="003E4FA0" w:rsidP="006665E1">
            <w:pPr>
              <w:spacing w:before="120" w:after="120"/>
              <w:jc w:val="both"/>
              <w:rPr>
                <w:rFonts w:ascii="Times New Roman" w:hAnsi="Times New Roman"/>
                <w:sz w:val="24"/>
                <w:szCs w:val="24"/>
              </w:rPr>
            </w:pPr>
            <w:r>
              <w:rPr>
                <w:rFonts w:ascii="Times New Roman" w:hAnsi="Times New Roman"/>
                <w:sz w:val="24"/>
              </w:rPr>
              <w:t>The CSOs are involved in the implementation of health district communication plans regarding immunization. To this end, the Traditional Community Network (RECOTRAD), elected officials, religious leaders, celebrities, ASACOs, NGO Supervisors and traditional healers will contribute to the information and social mobilization through:</w:t>
            </w:r>
          </w:p>
          <w:p w14:paraId="229D80E8" w14:textId="5748258D" w:rsidR="003E4FA0" w:rsidRPr="00B23D50" w:rsidRDefault="00FD7D8F" w:rsidP="003E4FA0">
            <w:pPr>
              <w:pStyle w:val="ListParagraph"/>
              <w:numPr>
                <w:ilvl w:val="0"/>
                <w:numId w:val="35"/>
              </w:numPr>
              <w:spacing w:before="120" w:after="120"/>
              <w:contextualSpacing w:val="0"/>
              <w:jc w:val="both"/>
              <w:rPr>
                <w:sz w:val="24"/>
                <w:szCs w:val="24"/>
              </w:rPr>
            </w:pPr>
            <w:r>
              <w:rPr>
                <w:rFonts w:ascii="Times New Roman" w:hAnsi="Times New Roman"/>
                <w:sz w:val="24"/>
              </w:rPr>
              <w:t>Mosques and social ceremonies;</w:t>
            </w:r>
          </w:p>
          <w:p w14:paraId="0F66F86F" w14:textId="77777777" w:rsidR="003E4FA0" w:rsidRPr="00B23D50" w:rsidRDefault="003E4FA0" w:rsidP="003E4FA0">
            <w:pPr>
              <w:pStyle w:val="ListParagraph"/>
              <w:numPr>
                <w:ilvl w:val="0"/>
                <w:numId w:val="35"/>
              </w:numPr>
              <w:spacing w:before="120" w:after="120"/>
              <w:contextualSpacing w:val="0"/>
              <w:jc w:val="both"/>
              <w:rPr>
                <w:rFonts w:ascii="Times New Roman" w:hAnsi="Times New Roman"/>
                <w:sz w:val="24"/>
                <w:szCs w:val="24"/>
              </w:rPr>
            </w:pPr>
            <w:r>
              <w:t>Short-range radios</w:t>
            </w:r>
            <w:r>
              <w:rPr>
                <w:rFonts w:ascii="Times New Roman" w:hAnsi="Times New Roman"/>
                <w:sz w:val="24"/>
              </w:rPr>
              <w:t xml:space="preserve"> </w:t>
            </w:r>
          </w:p>
          <w:p w14:paraId="76CF0735" w14:textId="12B12384" w:rsidR="003E4FA0" w:rsidRPr="00BC5B2A" w:rsidRDefault="003E4FA0" w:rsidP="00BC5B2A">
            <w:pPr>
              <w:pStyle w:val="ListParagraph"/>
              <w:numPr>
                <w:ilvl w:val="0"/>
                <w:numId w:val="35"/>
              </w:numPr>
              <w:spacing w:before="120" w:after="120"/>
              <w:contextualSpacing w:val="0"/>
              <w:jc w:val="both"/>
              <w:rPr>
                <w:rFonts w:ascii="Times New Roman" w:hAnsi="Times New Roman"/>
                <w:sz w:val="24"/>
                <w:szCs w:val="24"/>
              </w:rPr>
            </w:pPr>
            <w:r>
              <w:rPr>
                <w:rFonts w:ascii="Times New Roman" w:hAnsi="Times New Roman"/>
                <w:sz w:val="24"/>
              </w:rPr>
              <w:t xml:space="preserve">Town criers </w:t>
            </w:r>
          </w:p>
          <w:p w14:paraId="7F547436" w14:textId="77777777" w:rsidR="003E4FA0" w:rsidRPr="00C1766D" w:rsidRDefault="003E4FA0" w:rsidP="003E4FA0">
            <w:pPr>
              <w:pStyle w:val="ListParagraph"/>
              <w:numPr>
                <w:ilvl w:val="0"/>
                <w:numId w:val="34"/>
              </w:numPr>
              <w:spacing w:before="120" w:after="120"/>
              <w:contextualSpacing w:val="0"/>
              <w:jc w:val="both"/>
              <w:rPr>
                <w:rFonts w:ascii="Times New Roman" w:hAnsi="Times New Roman"/>
                <w:b/>
                <w:sz w:val="24"/>
                <w:szCs w:val="24"/>
              </w:rPr>
            </w:pPr>
            <w:r>
              <w:rPr>
                <w:rFonts w:ascii="Times New Roman" w:hAnsi="Times New Roman"/>
                <w:b/>
                <w:sz w:val="24"/>
              </w:rPr>
              <w:t>Advocacy for the mobilization of financial resources transferred to communities for the benefit of ASACOs for immunization activities.</w:t>
            </w:r>
          </w:p>
          <w:p w14:paraId="65FB3479" w14:textId="77777777" w:rsidR="003E4FA0" w:rsidRPr="00C1766D" w:rsidRDefault="003E4FA0" w:rsidP="003E4FA0">
            <w:pPr>
              <w:pStyle w:val="ListParagraph"/>
              <w:numPr>
                <w:ilvl w:val="0"/>
                <w:numId w:val="34"/>
              </w:numPr>
              <w:spacing w:before="120" w:after="120"/>
              <w:contextualSpacing w:val="0"/>
              <w:jc w:val="both"/>
              <w:rPr>
                <w:rFonts w:ascii="Times New Roman" w:hAnsi="Times New Roman"/>
                <w:b/>
                <w:sz w:val="24"/>
                <w:szCs w:val="24"/>
              </w:rPr>
            </w:pPr>
            <w:r>
              <w:rPr>
                <w:rFonts w:ascii="Times New Roman" w:hAnsi="Times New Roman"/>
                <w:b/>
                <w:sz w:val="24"/>
              </w:rPr>
              <w:t>Involvement in the monitoring device for implementation of immunization activities at all levels of the health pyramid.</w:t>
            </w:r>
          </w:p>
          <w:p w14:paraId="6BF72CB8" w14:textId="1F313CAA" w:rsidR="00446CC9" w:rsidRPr="00B23D50" w:rsidRDefault="00000A8F" w:rsidP="00A45A01">
            <w:pPr>
              <w:spacing w:before="120" w:after="120"/>
              <w:jc w:val="both"/>
              <w:rPr>
                <w:rFonts w:ascii="Times New Roman" w:hAnsi="Times New Roman"/>
                <w:sz w:val="24"/>
                <w:szCs w:val="24"/>
              </w:rPr>
            </w:pPr>
            <w:r>
              <w:rPr>
                <w:rFonts w:ascii="Times New Roman" w:hAnsi="Times New Roman"/>
                <w:sz w:val="24"/>
              </w:rPr>
              <w:t xml:space="preserve">In addition to this support for implementing structures for the implementation of the proposal, the GAVI Alliance plans to fund social mobilization activities of a consortium of CSOs (CSOs Platform) with regards to immunization. Said project will be funded through the NGO Catholic Relief Service (CRS) over three years, totaling </w:t>
            </w:r>
            <w:r>
              <w:rPr>
                <w:rFonts w:ascii="Times New Roman" w:hAnsi="Times New Roman"/>
                <w:b/>
                <w:sz w:val="24"/>
              </w:rPr>
              <w:t>70,000 US$</w:t>
            </w:r>
            <w:r>
              <w:rPr>
                <w:rFonts w:ascii="Times New Roman" w:hAnsi="Times New Roman"/>
                <w:sz w:val="24"/>
              </w:rPr>
              <w:t xml:space="preserve"> (35,000,000 CFA francs)</w:t>
            </w:r>
          </w:p>
        </w:tc>
      </w:tr>
    </w:tbl>
    <w:p w14:paraId="3D06483B"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9316FF" w14:paraId="6F5AE3D7" w14:textId="77777777" w:rsidTr="005D447F">
        <w:tc>
          <w:tcPr>
            <w:tcW w:w="10348" w:type="dxa"/>
            <w:tcBorders>
              <w:bottom w:val="single" w:sz="6" w:space="0" w:color="215868"/>
            </w:tcBorders>
            <w:shd w:val="clear" w:color="auto" w:fill="006460"/>
          </w:tcPr>
          <w:p w14:paraId="350DD96C" w14:textId="77777777" w:rsidR="00867FFD" w:rsidRPr="004B5884" w:rsidRDefault="00867FFD" w:rsidP="00226DF1">
            <w:pPr>
              <w:pStyle w:val="Heading2"/>
              <w:rPr>
                <w:rFonts w:ascii="Times New Roman" w:eastAsia="Calibri" w:hAnsi="Times New Roman"/>
                <w:sz w:val="24"/>
                <w:szCs w:val="24"/>
              </w:rPr>
            </w:pPr>
            <w:bookmarkStart w:id="102" w:name="_Toc346116653"/>
            <w:bookmarkStart w:id="103" w:name="_Toc398181105"/>
            <w:bookmarkStart w:id="104" w:name="_Toc276342234"/>
            <w:r>
              <w:rPr>
                <w:rFonts w:ascii="Times New Roman" w:hAnsi="Times New Roman"/>
                <w:sz w:val="24"/>
              </w:rPr>
              <w:t>20. Technical Assistance</w:t>
            </w:r>
            <w:bookmarkEnd w:id="102"/>
            <w:bookmarkEnd w:id="103"/>
            <w:bookmarkEnd w:id="104"/>
          </w:p>
        </w:tc>
      </w:tr>
      <w:tr w:rsidR="00867FFD" w:rsidRPr="009316FF" w14:paraId="6FE2AB3B" w14:textId="77777777" w:rsidTr="005D447F">
        <w:tc>
          <w:tcPr>
            <w:tcW w:w="10348" w:type="dxa"/>
            <w:shd w:val="clear" w:color="auto" w:fill="FFFFFF"/>
          </w:tcPr>
          <w:p w14:paraId="0CE3A69F"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description will outline to GAVI how technical assistance and National Institutions will support implementation of the proposed activities. </w:t>
            </w:r>
          </w:p>
          <w:p w14:paraId="147BCA73" w14:textId="73E35E0A"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Please describe technical assistance (consultancy services) included in the grant activities. Please describe how this technical assistance will improve the way health systems and </w:t>
            </w:r>
            <w:r w:rsidR="008F0EDC">
              <w:rPr>
                <w:rFonts w:ascii="Times New Roman" w:hAnsi="Times New Roman"/>
                <w:i/>
                <w:color w:val="173E49"/>
                <w:sz w:val="24"/>
              </w:rPr>
              <w:t>immunization</w:t>
            </w:r>
            <w:r>
              <w:rPr>
                <w:rFonts w:ascii="Times New Roman" w:hAnsi="Times New Roman"/>
                <w:i/>
                <w:color w:val="173E49"/>
                <w:sz w:val="24"/>
              </w:rPr>
              <w:t xml:space="preserve"> programme function.</w:t>
            </w:r>
          </w:p>
          <w:p w14:paraId="6C126974"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outline how technical assistance will improve institutional capacities of government agencies and CSOs and contribute to sustainability.</w:t>
            </w:r>
          </w:p>
          <w:p w14:paraId="19647284"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Please explain the role that any National Institutions will be given. This could be for a research or training institution with expertise in data quality assessments and monitoring.</w:t>
            </w:r>
          </w:p>
          <w:p w14:paraId="3D89F0AB"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If no technical assistance is planned to support implementation of this HSS grant please provide an explanation of why it is not planned.</w:t>
            </w:r>
          </w:p>
        </w:tc>
      </w:tr>
      <w:tr w:rsidR="00867FFD" w:rsidRPr="009316FF" w14:paraId="0DB23114" w14:textId="77777777" w:rsidTr="005D447F">
        <w:trPr>
          <w:trHeight w:val="278"/>
        </w:trPr>
        <w:tc>
          <w:tcPr>
            <w:tcW w:w="10348" w:type="dxa"/>
            <w:shd w:val="clear" w:color="auto" w:fill="FFFFFF"/>
          </w:tcPr>
          <w:p w14:paraId="65CFF1D7" w14:textId="2D8A68CB"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ONE PAGE MAXIMUM</w:t>
            </w:r>
          </w:p>
          <w:p w14:paraId="7FD02E1F" w14:textId="088EE4F4" w:rsidR="005B234E" w:rsidRPr="007A0795" w:rsidRDefault="00A5553F" w:rsidP="00226DF1">
            <w:pPr>
              <w:spacing w:before="120" w:after="120"/>
              <w:jc w:val="both"/>
              <w:rPr>
                <w:rFonts w:ascii="Times New Roman" w:hAnsi="Times New Roman"/>
                <w:sz w:val="24"/>
                <w:szCs w:val="24"/>
              </w:rPr>
            </w:pPr>
            <w:r>
              <w:rPr>
                <w:rFonts w:ascii="Times New Roman" w:hAnsi="Times New Roman"/>
                <w:sz w:val="24"/>
              </w:rPr>
              <w:t>With regard to technical assistance, certain activities within this proposal will be implemented in the context of technical support or expert evaluation exchanges. All of this expertise will be funded by HSS funding from GAVI. In this context:</w:t>
            </w:r>
          </w:p>
          <w:p w14:paraId="0F95D241" w14:textId="4BAD9C45" w:rsidR="00C34A10" w:rsidRPr="007A0795" w:rsidRDefault="00DE379E" w:rsidP="00226DF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for the review of results based funding tools and the training of personnel in results based funding, technical assistance will be requested.  This support will be provided with the National Directorate of Health for transfer of competence to the Ministry of Health. So, study and support trips will be carried out at the national level, among the most high performing districts and those with lesser performance; and between Mali and the experienced countries in the sub-region.</w:t>
            </w:r>
          </w:p>
          <w:p w14:paraId="6971E2F3" w14:textId="6792E602" w:rsidR="00F81DF9" w:rsidRPr="007A0795" w:rsidRDefault="00DE379E" w:rsidP="00F81DF9">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for carrying out the SARA evaluation (2016-2018) and the preparation of the annual DQRC, technical assistance will be requested. This will work in cooperation with the National Statistics Institute (INSAT) of Mali for strengthening national competence in this area.</w:t>
            </w:r>
          </w:p>
          <w:p w14:paraId="2096920F" w14:textId="222B88BE" w:rsidR="009A2C46" w:rsidRPr="007A0795" w:rsidRDefault="00F81DF9" w:rsidP="00226DF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 xml:space="preserve">for the external review of hte EPI, the immunization section of the National Directorate of Health will apply to the monitoring-support structures of the sector, in </w:t>
            </w:r>
            <w:r w:rsidR="00BA23D4">
              <w:rPr>
                <w:rFonts w:ascii="Times New Roman" w:hAnsi="Times New Roman"/>
                <w:sz w:val="24"/>
              </w:rPr>
              <w:t>particular</w:t>
            </w:r>
            <w:r>
              <w:rPr>
                <w:rFonts w:ascii="Times New Roman" w:hAnsi="Times New Roman"/>
                <w:sz w:val="24"/>
              </w:rPr>
              <w:t xml:space="preserve"> the health inspectorate, the national hospital evaluation agency and CPS/SS, DS, PF for performance of the activity.</w:t>
            </w:r>
          </w:p>
          <w:p w14:paraId="4DB1CC7A" w14:textId="1F85CFCA" w:rsidR="008641B7" w:rsidRPr="007A0795" w:rsidRDefault="009A2C46" w:rsidP="00226DF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for evaluation of EVM, technical assistance will be requested to support national supervisors in performance of the survey. This will contribute to strengthening national competencies for evaluation and effective vaccine management.</w:t>
            </w:r>
          </w:p>
          <w:p w14:paraId="42A96E3A" w14:textId="5628E0D5" w:rsidR="008C2C9E" w:rsidRPr="007A0795" w:rsidRDefault="008C2C9E" w:rsidP="00226DF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in order to perform the mid-point and final evaluation of HSS funding from GAVI, the skills of the CPS/SS, DS, PF will be strengthened with the support of an expert which will technically be provided by the partners (UNICEF/WHO), but which will be financed by HSS funding from GAVI.</w:t>
            </w:r>
          </w:p>
          <w:p w14:paraId="5C69A020" w14:textId="3ACAF75E" w:rsidR="001D067D" w:rsidRPr="007A0795" w:rsidRDefault="001D067D" w:rsidP="00226DF1">
            <w:pPr>
              <w:pStyle w:val="ListParagraph"/>
              <w:numPr>
                <w:ilvl w:val="0"/>
                <w:numId w:val="39"/>
              </w:numPr>
              <w:spacing w:before="120" w:after="120"/>
              <w:jc w:val="both"/>
              <w:rPr>
                <w:rFonts w:ascii="Times New Roman" w:hAnsi="Times New Roman"/>
                <w:sz w:val="24"/>
                <w:szCs w:val="24"/>
              </w:rPr>
            </w:pPr>
            <w:r>
              <w:rPr>
                <w:rFonts w:ascii="Times New Roman" w:hAnsi="Times New Roman"/>
                <w:sz w:val="24"/>
              </w:rPr>
              <w:t>for the annual audit of financial management, the Directorate of Finance and Equipment (DFM) of the Ministry of Health and Public Hygiene will recruit a national auditing firm.</w:t>
            </w:r>
          </w:p>
          <w:p w14:paraId="01CD0B58" w14:textId="3F4C3002" w:rsidR="00301620" w:rsidRDefault="00BA23D4" w:rsidP="00DC502C">
            <w:pPr>
              <w:spacing w:before="120" w:after="120"/>
              <w:jc w:val="both"/>
              <w:rPr>
                <w:rFonts w:ascii="Times New Roman" w:hAnsi="Times New Roman"/>
                <w:sz w:val="24"/>
                <w:szCs w:val="24"/>
              </w:rPr>
            </w:pPr>
            <w:r>
              <w:rPr>
                <w:rFonts w:ascii="Times New Roman" w:hAnsi="Times New Roman"/>
                <w:sz w:val="24"/>
              </w:rPr>
              <w:t>In genera</w:t>
            </w:r>
            <w:r w:rsidR="00A66ACB">
              <w:rPr>
                <w:rFonts w:ascii="Times New Roman" w:hAnsi="Times New Roman"/>
                <w:sz w:val="24"/>
              </w:rPr>
              <w:t>l, all of this assistance will allow the skills of the executives to be strengthened through knowledge transfer.</w:t>
            </w:r>
          </w:p>
          <w:p w14:paraId="3E80C2A2" w14:textId="4C4DAB91" w:rsidR="00D932CA" w:rsidRPr="007A0795" w:rsidRDefault="00D932CA" w:rsidP="00DC502C">
            <w:pPr>
              <w:spacing w:before="120" w:after="120"/>
              <w:jc w:val="both"/>
              <w:rPr>
                <w:rFonts w:ascii="Times New Roman" w:hAnsi="Times New Roman"/>
                <w:b/>
                <w:sz w:val="24"/>
                <w:szCs w:val="24"/>
                <w:u w:val="single"/>
              </w:rPr>
            </w:pPr>
            <w:r>
              <w:rPr>
                <w:rFonts w:ascii="Times New Roman" w:hAnsi="Times New Roman"/>
                <w:b/>
                <w:sz w:val="24"/>
                <w:u w:val="single"/>
              </w:rPr>
              <w:t>Planning table for technical assistance needs:</w:t>
            </w:r>
          </w:p>
          <w:tbl>
            <w:tblPr>
              <w:tblpPr w:leftFromText="181" w:rightFromText="181" w:vertAnchor="text" w:horzAnchor="margin" w:tblpX="-284" w:tblpY="221"/>
              <w:tblW w:w="9923"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CellMar>
                <w:left w:w="142" w:type="dxa"/>
                <w:right w:w="142" w:type="dxa"/>
              </w:tblCellMar>
              <w:tblLook w:val="00A0" w:firstRow="1" w:lastRow="0" w:firstColumn="1" w:lastColumn="0" w:noHBand="0" w:noVBand="0"/>
            </w:tblPr>
            <w:tblGrid>
              <w:gridCol w:w="6238"/>
              <w:gridCol w:w="1417"/>
              <w:gridCol w:w="2268"/>
            </w:tblGrid>
            <w:tr w:rsidR="00D932CA" w:rsidRPr="00360B9C" w14:paraId="16E65627" w14:textId="77777777" w:rsidTr="00E0192E">
              <w:trPr>
                <w:trHeight w:val="503"/>
              </w:trPr>
              <w:tc>
                <w:tcPr>
                  <w:tcW w:w="6238" w:type="dxa"/>
                  <w:shd w:val="clear" w:color="auto" w:fill="B6DDE8"/>
                  <w:vAlign w:val="center"/>
                </w:tcPr>
                <w:p w14:paraId="3238D2EF" w14:textId="77777777" w:rsidR="00D932CA" w:rsidRPr="00360B9C" w:rsidRDefault="00D932CA" w:rsidP="00D932CA">
                  <w:pPr>
                    <w:spacing w:before="120" w:after="120"/>
                    <w:rPr>
                      <w:rFonts w:ascii="Times New Roman" w:hAnsi="Times New Roman"/>
                      <w:b/>
                      <w:sz w:val="24"/>
                      <w:szCs w:val="24"/>
                    </w:rPr>
                  </w:pPr>
                  <w:r>
                    <w:rPr>
                      <w:rFonts w:ascii="Times New Roman" w:hAnsi="Times New Roman"/>
                      <w:b/>
                      <w:sz w:val="24"/>
                    </w:rPr>
                    <w:t xml:space="preserve">OBJECTIVE </w:t>
                  </w:r>
                </w:p>
              </w:tc>
              <w:tc>
                <w:tcPr>
                  <w:tcW w:w="1417" w:type="dxa"/>
                  <w:shd w:val="clear" w:color="auto" w:fill="B6DDE8"/>
                  <w:vAlign w:val="center"/>
                </w:tcPr>
                <w:p w14:paraId="4900FBDC" w14:textId="77777777" w:rsidR="00D932CA" w:rsidRPr="00360B9C" w:rsidRDefault="00D932CA" w:rsidP="00D932CA">
                  <w:pPr>
                    <w:spacing w:before="120" w:after="120"/>
                    <w:rPr>
                      <w:rFonts w:ascii="Times New Roman" w:hAnsi="Times New Roman"/>
                      <w:b/>
                      <w:sz w:val="24"/>
                      <w:szCs w:val="24"/>
                    </w:rPr>
                  </w:pPr>
                  <w:r>
                    <w:rPr>
                      <w:rFonts w:ascii="Times New Roman" w:hAnsi="Times New Roman"/>
                      <w:b/>
                      <w:sz w:val="24"/>
                    </w:rPr>
                    <w:t>Estimated timeline</w:t>
                  </w:r>
                </w:p>
              </w:tc>
              <w:tc>
                <w:tcPr>
                  <w:tcW w:w="2268" w:type="dxa"/>
                  <w:shd w:val="clear" w:color="auto" w:fill="B6DDE8"/>
                  <w:vAlign w:val="center"/>
                </w:tcPr>
                <w:p w14:paraId="45CAFA04" w14:textId="77777777" w:rsidR="00D932CA" w:rsidRPr="00360B9C" w:rsidRDefault="00D932CA" w:rsidP="00D932CA">
                  <w:pPr>
                    <w:spacing w:before="120" w:after="120"/>
                    <w:rPr>
                      <w:rFonts w:ascii="Times New Roman" w:hAnsi="Times New Roman"/>
                      <w:b/>
                      <w:sz w:val="24"/>
                      <w:szCs w:val="24"/>
                    </w:rPr>
                  </w:pPr>
                  <w:r>
                    <w:rPr>
                      <w:rFonts w:ascii="Times New Roman" w:hAnsi="Times New Roman"/>
                      <w:b/>
                      <w:sz w:val="24"/>
                    </w:rPr>
                    <w:t>Start Year</w:t>
                  </w:r>
                </w:p>
              </w:tc>
            </w:tr>
            <w:tr w:rsidR="00D932CA" w:rsidRPr="00360B9C" w14:paraId="227157F4" w14:textId="77777777" w:rsidTr="00E0192E">
              <w:trPr>
                <w:trHeight w:val="991"/>
              </w:trPr>
              <w:tc>
                <w:tcPr>
                  <w:tcW w:w="6238" w:type="dxa"/>
                  <w:vAlign w:val="center"/>
                </w:tcPr>
                <w:p w14:paraId="1D83E2D2"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Support the review of results based funding tools and the training of personnel in results based funding.</w:t>
                  </w:r>
                </w:p>
              </w:tc>
              <w:tc>
                <w:tcPr>
                  <w:tcW w:w="1417" w:type="dxa"/>
                </w:tcPr>
                <w:p w14:paraId="67A16528"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15 days</w:t>
                  </w:r>
                </w:p>
              </w:tc>
              <w:tc>
                <w:tcPr>
                  <w:tcW w:w="2268" w:type="dxa"/>
                  <w:vAlign w:val="center"/>
                </w:tcPr>
                <w:p w14:paraId="35B2ABB0"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2015.</w:t>
                  </w:r>
                </w:p>
              </w:tc>
            </w:tr>
            <w:tr w:rsidR="00D932CA" w:rsidRPr="00360B9C" w14:paraId="350C992E" w14:textId="77777777" w:rsidTr="00E0192E">
              <w:trPr>
                <w:trHeight w:val="503"/>
              </w:trPr>
              <w:tc>
                <w:tcPr>
                  <w:tcW w:w="6238" w:type="dxa"/>
                  <w:vAlign w:val="center"/>
                </w:tcPr>
                <w:p w14:paraId="7147FD62" w14:textId="77777777" w:rsidR="00D932CA" w:rsidRPr="00360B9C" w:rsidRDefault="00D932CA" w:rsidP="00D932CA">
                  <w:pPr>
                    <w:spacing w:before="120" w:after="120"/>
                    <w:rPr>
                      <w:rFonts w:ascii="Times New Roman" w:hAnsi="Times New Roman"/>
                      <w:i/>
                      <w:sz w:val="24"/>
                      <w:szCs w:val="24"/>
                    </w:rPr>
                  </w:pPr>
                  <w:r>
                    <w:rPr>
                      <w:rFonts w:ascii="Times New Roman" w:hAnsi="Times New Roman"/>
                      <w:sz w:val="24"/>
                    </w:rPr>
                    <w:t>Support national study trips from inexperienced districts to districts experienced in results based funding.</w:t>
                  </w:r>
                </w:p>
              </w:tc>
              <w:tc>
                <w:tcPr>
                  <w:tcW w:w="1417" w:type="dxa"/>
                </w:tcPr>
                <w:p w14:paraId="71D09F52"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7 days</w:t>
                  </w:r>
                </w:p>
              </w:tc>
              <w:tc>
                <w:tcPr>
                  <w:tcW w:w="2268" w:type="dxa"/>
                  <w:vAlign w:val="center"/>
                </w:tcPr>
                <w:p w14:paraId="6B7CFD41"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2015.</w:t>
                  </w:r>
                </w:p>
              </w:tc>
            </w:tr>
            <w:tr w:rsidR="00D932CA" w:rsidRPr="00360B9C" w14:paraId="2E59C973" w14:textId="77777777" w:rsidTr="00E0192E">
              <w:trPr>
                <w:trHeight w:val="503"/>
              </w:trPr>
              <w:tc>
                <w:tcPr>
                  <w:tcW w:w="6238" w:type="dxa"/>
                  <w:vAlign w:val="center"/>
                </w:tcPr>
                <w:p w14:paraId="3F5D4936"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Support study trips to Benin regarding results based funding.</w:t>
                  </w:r>
                </w:p>
              </w:tc>
              <w:tc>
                <w:tcPr>
                  <w:tcW w:w="1417" w:type="dxa"/>
                </w:tcPr>
                <w:p w14:paraId="78CE6BBD"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10 days</w:t>
                  </w:r>
                </w:p>
              </w:tc>
              <w:tc>
                <w:tcPr>
                  <w:tcW w:w="2268" w:type="dxa"/>
                  <w:vAlign w:val="center"/>
                </w:tcPr>
                <w:p w14:paraId="22082AAC"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2015.</w:t>
                  </w:r>
                </w:p>
              </w:tc>
            </w:tr>
            <w:tr w:rsidR="00D932CA" w:rsidRPr="00360B9C" w14:paraId="450E2AF4" w14:textId="77777777" w:rsidTr="00E0192E">
              <w:trPr>
                <w:trHeight w:val="985"/>
              </w:trPr>
              <w:tc>
                <w:tcPr>
                  <w:tcW w:w="6238" w:type="dxa"/>
                  <w:vAlign w:val="center"/>
                </w:tcPr>
                <w:p w14:paraId="459206C3"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Conduct the SARA evaluation (2016 and 2018) and preparation of the annual DQRC with national executives for transfer of skills.</w:t>
                  </w:r>
                </w:p>
              </w:tc>
              <w:tc>
                <w:tcPr>
                  <w:tcW w:w="1417" w:type="dxa"/>
                </w:tcPr>
                <w:p w14:paraId="0E1A3358"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21 days per year</w:t>
                  </w:r>
                </w:p>
              </w:tc>
              <w:tc>
                <w:tcPr>
                  <w:tcW w:w="2268" w:type="dxa"/>
                  <w:vAlign w:val="center"/>
                </w:tcPr>
                <w:p w14:paraId="1E307BE8" w14:textId="77777777" w:rsidR="00D932CA" w:rsidRPr="00360B9C" w:rsidRDefault="00D932CA" w:rsidP="00D932CA">
                  <w:pPr>
                    <w:spacing w:before="120" w:after="120"/>
                    <w:rPr>
                      <w:rFonts w:ascii="Times New Roman" w:hAnsi="Times New Roman"/>
                      <w:sz w:val="24"/>
                      <w:szCs w:val="24"/>
                    </w:rPr>
                  </w:pPr>
                  <w:r>
                    <w:rPr>
                      <w:rFonts w:ascii="Times New Roman" w:hAnsi="Times New Roman"/>
                      <w:sz w:val="24"/>
                    </w:rPr>
                    <w:t>2016 and 2018.</w:t>
                  </w:r>
                </w:p>
              </w:tc>
            </w:tr>
            <w:tr w:rsidR="00D932CA" w:rsidRPr="00360B9C" w14:paraId="0EE91DBF" w14:textId="77777777" w:rsidTr="00E0192E">
              <w:trPr>
                <w:trHeight w:val="985"/>
              </w:trPr>
              <w:tc>
                <w:tcPr>
                  <w:tcW w:w="6238" w:type="dxa"/>
                  <w:vAlign w:val="center"/>
                </w:tcPr>
                <w:p w14:paraId="4B92AAE8"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sz w:val="24"/>
                    </w:rPr>
                    <w:t>Strengthen skills while performing the external EPI review.</w:t>
                  </w:r>
                </w:p>
              </w:tc>
              <w:tc>
                <w:tcPr>
                  <w:tcW w:w="1417" w:type="dxa"/>
                </w:tcPr>
                <w:p w14:paraId="54B35F12"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15 days</w:t>
                  </w:r>
                </w:p>
              </w:tc>
              <w:tc>
                <w:tcPr>
                  <w:tcW w:w="2268" w:type="dxa"/>
                  <w:vAlign w:val="center"/>
                </w:tcPr>
                <w:p w14:paraId="005318C0"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2016.</w:t>
                  </w:r>
                </w:p>
              </w:tc>
            </w:tr>
            <w:tr w:rsidR="00D932CA" w:rsidRPr="00360B9C" w14:paraId="31A7A19D" w14:textId="77777777" w:rsidTr="00E0192E">
              <w:trPr>
                <w:trHeight w:val="985"/>
              </w:trPr>
              <w:tc>
                <w:tcPr>
                  <w:tcW w:w="6238" w:type="dxa"/>
                  <w:vAlign w:val="center"/>
                </w:tcPr>
                <w:p w14:paraId="2026F15F"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sz w:val="24"/>
                    </w:rPr>
                    <w:t>Strengthen national skills for evaluation of Effective Vaccine Management</w:t>
                  </w:r>
                </w:p>
              </w:tc>
              <w:tc>
                <w:tcPr>
                  <w:tcW w:w="1417" w:type="dxa"/>
                </w:tcPr>
                <w:p w14:paraId="11068836"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15 days</w:t>
                  </w:r>
                </w:p>
              </w:tc>
              <w:tc>
                <w:tcPr>
                  <w:tcW w:w="2268" w:type="dxa"/>
                  <w:vAlign w:val="center"/>
                </w:tcPr>
                <w:p w14:paraId="42A43C3C"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2017.</w:t>
                  </w:r>
                </w:p>
              </w:tc>
            </w:tr>
            <w:tr w:rsidR="00D932CA" w:rsidRPr="00360B9C" w14:paraId="77F0C4CE" w14:textId="77777777" w:rsidTr="00E0192E">
              <w:trPr>
                <w:trHeight w:val="985"/>
              </w:trPr>
              <w:tc>
                <w:tcPr>
                  <w:tcW w:w="6238" w:type="dxa"/>
                  <w:vAlign w:val="center"/>
                </w:tcPr>
                <w:p w14:paraId="06EFD962"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sz w:val="24"/>
                    </w:rPr>
                    <w:t>Support the performance of the mid-point and final evaluation of HSS, GAVI.</w:t>
                  </w:r>
                </w:p>
              </w:tc>
              <w:tc>
                <w:tcPr>
                  <w:tcW w:w="1417" w:type="dxa"/>
                </w:tcPr>
                <w:p w14:paraId="3A7333CF"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60 days</w:t>
                  </w:r>
                </w:p>
              </w:tc>
              <w:tc>
                <w:tcPr>
                  <w:tcW w:w="2268" w:type="dxa"/>
                  <w:vAlign w:val="center"/>
                </w:tcPr>
                <w:p w14:paraId="7097504E"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2017 and 2019.</w:t>
                  </w:r>
                </w:p>
              </w:tc>
            </w:tr>
            <w:tr w:rsidR="00D932CA" w:rsidRPr="00360B9C" w14:paraId="17AF634A" w14:textId="77777777" w:rsidTr="00E0192E">
              <w:trPr>
                <w:trHeight w:val="985"/>
              </w:trPr>
              <w:tc>
                <w:tcPr>
                  <w:tcW w:w="6238" w:type="dxa"/>
                  <w:vAlign w:val="center"/>
                </w:tcPr>
                <w:p w14:paraId="6ABB186E"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sz w:val="24"/>
                    </w:rPr>
                    <w:t>Support the performance of the annual financial management audit</w:t>
                  </w:r>
                </w:p>
              </w:tc>
              <w:tc>
                <w:tcPr>
                  <w:tcW w:w="1417" w:type="dxa"/>
                </w:tcPr>
                <w:p w14:paraId="26A52F12"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21 days</w:t>
                  </w:r>
                </w:p>
              </w:tc>
              <w:tc>
                <w:tcPr>
                  <w:tcW w:w="2268" w:type="dxa"/>
                  <w:vAlign w:val="center"/>
                </w:tcPr>
                <w:p w14:paraId="2A0B89BA" w14:textId="77777777" w:rsidR="00D932CA" w:rsidRPr="00360B9C" w:rsidRDefault="00D932CA" w:rsidP="00D932CA">
                  <w:pPr>
                    <w:spacing w:before="120" w:after="120"/>
                    <w:rPr>
                      <w:rFonts w:ascii="Times New Roman" w:hAnsi="Times New Roman"/>
                      <w:color w:val="000000"/>
                      <w:sz w:val="24"/>
                      <w:szCs w:val="24"/>
                    </w:rPr>
                  </w:pPr>
                  <w:r>
                    <w:rPr>
                      <w:rFonts w:ascii="Times New Roman" w:hAnsi="Times New Roman"/>
                      <w:color w:val="000000"/>
                      <w:sz w:val="24"/>
                    </w:rPr>
                    <w:t>2015, 2016, 2017, 2018, 2019</w:t>
                  </w:r>
                </w:p>
              </w:tc>
            </w:tr>
          </w:tbl>
          <w:p w14:paraId="4ADFFB22" w14:textId="3B909F8E" w:rsidR="00D932CA" w:rsidRPr="00296D57" w:rsidRDefault="00D932CA" w:rsidP="00DC502C">
            <w:pPr>
              <w:spacing w:before="120" w:after="120"/>
              <w:jc w:val="both"/>
              <w:rPr>
                <w:rFonts w:ascii="Times New Roman" w:hAnsi="Times New Roman"/>
                <w:sz w:val="24"/>
                <w:szCs w:val="24"/>
              </w:rPr>
            </w:pPr>
          </w:p>
        </w:tc>
      </w:tr>
    </w:tbl>
    <w:p w14:paraId="08118B0F" w14:textId="77777777" w:rsidR="00867FFD" w:rsidRPr="004B5884" w:rsidRDefault="00867FFD" w:rsidP="00226DF1">
      <w:pPr>
        <w:widowControl w:val="0"/>
        <w:spacing w:before="120" w:after="120"/>
        <w:jc w:val="both"/>
        <w:rPr>
          <w:rFonts w:ascii="Times New Roman" w:eastAsia="Calibri" w:hAnsi="Times New Roman"/>
          <w:sz w:val="24"/>
          <w:szCs w:val="24"/>
        </w:rPr>
      </w:pPr>
    </w:p>
    <w:p w14:paraId="24107A2B" w14:textId="77777777" w:rsidR="00867FFD" w:rsidRPr="004B5884" w:rsidRDefault="00867FFD" w:rsidP="00226DF1">
      <w:pPr>
        <w:widowControl w:val="0"/>
        <w:spacing w:before="120" w:after="120"/>
        <w:jc w:val="both"/>
        <w:rPr>
          <w:rFonts w:ascii="Times New Roman" w:eastAsia="Calibri" w:hAnsi="Times New Roman"/>
          <w:sz w:val="24"/>
          <w:szCs w:val="24"/>
        </w:rPr>
        <w:sectPr w:rsidR="00867FFD" w:rsidRPr="004B5884" w:rsidSect="00F30C99">
          <w:pgSz w:w="11907" w:h="16839" w:code="9"/>
          <w:pgMar w:top="993" w:right="851" w:bottom="993" w:left="851" w:header="709" w:footer="709" w:gutter="0"/>
          <w:cols w:space="708"/>
          <w:docGrid w:linePitch="360"/>
        </w:sectPr>
      </w:pPr>
    </w:p>
    <w:p w14:paraId="272B948C" w14:textId="77777777" w:rsidR="00867FFD" w:rsidRPr="004B5884" w:rsidRDefault="00867FFD" w:rsidP="00226DF1">
      <w:pPr>
        <w:widowControl w:val="0"/>
        <w:spacing w:before="120" w:after="120"/>
        <w:jc w:val="both"/>
        <w:rPr>
          <w:rFonts w:ascii="Times New Roman" w:eastAsia="Calibri" w:hAnsi="Times New Roman"/>
          <w:sz w:val="24"/>
          <w:szCs w:val="24"/>
        </w:rPr>
      </w:pPr>
    </w:p>
    <w:p w14:paraId="4DEE78EE" w14:textId="77777777" w:rsidR="006A7A10" w:rsidRPr="004B5884" w:rsidRDefault="006A7A10" w:rsidP="00226DF1">
      <w:pPr>
        <w:widowControl w:val="0"/>
        <w:spacing w:before="120" w:after="120"/>
        <w:jc w:val="both"/>
        <w:rPr>
          <w:rFonts w:ascii="Times New Roman" w:eastAsia="Calibri" w:hAnsi="Times New Roman"/>
          <w:sz w:val="24"/>
          <w:szCs w:val="24"/>
        </w:rPr>
      </w:pPr>
    </w:p>
    <w:tbl>
      <w:tblPr>
        <w:tblpPr w:leftFromText="141" w:rightFromText="141" w:vertAnchor="text" w:tblpY="1"/>
        <w:tblOverlap w:val="never"/>
        <w:tblW w:w="14175"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5103"/>
        <w:gridCol w:w="2587"/>
        <w:gridCol w:w="2587"/>
        <w:gridCol w:w="3898"/>
      </w:tblGrid>
      <w:tr w:rsidR="00867FFD" w:rsidRPr="009316FF" w14:paraId="74D436C6" w14:textId="77777777" w:rsidTr="004B5884">
        <w:tc>
          <w:tcPr>
            <w:tcW w:w="14175" w:type="dxa"/>
            <w:gridSpan w:val="4"/>
            <w:tcBorders>
              <w:bottom w:val="single" w:sz="6" w:space="0" w:color="215868"/>
            </w:tcBorders>
            <w:shd w:val="clear" w:color="auto" w:fill="006460"/>
          </w:tcPr>
          <w:p w14:paraId="50A21388" w14:textId="77777777" w:rsidR="00867FFD" w:rsidRPr="004B5884" w:rsidRDefault="00867FFD" w:rsidP="00226DF1">
            <w:pPr>
              <w:pStyle w:val="Heading2"/>
              <w:rPr>
                <w:rFonts w:ascii="Times New Roman" w:eastAsia="Calibri" w:hAnsi="Times New Roman"/>
                <w:sz w:val="24"/>
                <w:szCs w:val="24"/>
              </w:rPr>
            </w:pPr>
            <w:bookmarkStart w:id="105" w:name="_Toc346116654"/>
            <w:bookmarkStart w:id="106" w:name="_Toc398181106"/>
            <w:bookmarkStart w:id="107" w:name="_Toc276342235"/>
            <w:r>
              <w:rPr>
                <w:rFonts w:ascii="Times New Roman" w:hAnsi="Times New Roman"/>
                <w:sz w:val="24"/>
              </w:rPr>
              <w:t>21. Risks and Mitigating Factors</w:t>
            </w:r>
            <w:bookmarkEnd w:id="105"/>
            <w:bookmarkEnd w:id="106"/>
            <w:bookmarkEnd w:id="107"/>
          </w:p>
        </w:tc>
      </w:tr>
      <w:tr w:rsidR="00867FFD" w:rsidRPr="009316FF" w14:paraId="42D2203D" w14:textId="77777777" w:rsidTr="00A155E9">
        <w:tc>
          <w:tcPr>
            <w:tcW w:w="14175" w:type="dxa"/>
            <w:gridSpan w:val="4"/>
            <w:shd w:val="clear" w:color="auto" w:fill="auto"/>
          </w:tcPr>
          <w:p w14:paraId="0C463920"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This information reflects the risk of a country not being able to implement the proposed activities within this grant proposal and/or spend the funds as approved by GAVI. It is expected that the Lead Implementer will be responsible for assessing and ensuring that risk mitigation measures are actually implemented. </w:t>
            </w:r>
          </w:p>
          <w:p w14:paraId="7D0A4961" w14:textId="77777777" w:rsidR="00867FFD" w:rsidRPr="004B5884" w:rsidRDefault="00867FFD" w:rsidP="00226DF1">
            <w:pPr>
              <w:spacing w:before="120" w:after="120"/>
              <w:jc w:val="both"/>
              <w:rPr>
                <w:rFonts w:ascii="Times New Roman" w:hAnsi="Times New Roman"/>
                <w:i/>
                <w:color w:val="173E49"/>
                <w:sz w:val="24"/>
                <w:szCs w:val="24"/>
              </w:rPr>
            </w:pPr>
            <w:r>
              <w:rPr>
                <w:rFonts w:ascii="Times New Roman" w:hAnsi="Times New Roman"/>
                <w:i/>
                <w:color w:val="173E49"/>
                <w:sz w:val="24"/>
              </w:rPr>
              <w:t xml:space="preserve">→ If the country has existing health sector risk analysis please attach these assessments and provide here a brief reference to the relevant sections. </w:t>
            </w:r>
          </w:p>
          <w:p w14:paraId="0EADF664"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i/>
                <w:color w:val="173E49"/>
                <w:sz w:val="24"/>
              </w:rPr>
              <w:t>→ If the country does not have existing health sector risk analysis, please complete the table below for each of the proposed objectives. Please refer to the Supplementary Guidelines for HSS Applications for a description of the various types of risk. If the risk is categorized as ‘high’, please provide an explanation as to why it is ‘high’.</w:t>
            </w:r>
          </w:p>
        </w:tc>
      </w:tr>
      <w:tr w:rsidR="00867FFD" w:rsidRPr="009316FF" w14:paraId="5CB231A9" w14:textId="77777777" w:rsidTr="004B5884">
        <w:trPr>
          <w:trHeight w:val="659"/>
        </w:trPr>
        <w:tc>
          <w:tcPr>
            <w:tcW w:w="5103" w:type="dxa"/>
            <w:shd w:val="clear" w:color="auto" w:fill="FFFFFF"/>
          </w:tcPr>
          <w:p w14:paraId="122B89B2"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Description of risk</w:t>
            </w:r>
          </w:p>
          <w:p w14:paraId="2B4E3AB9" w14:textId="77777777" w:rsidR="00867FFD" w:rsidRPr="004B5884" w:rsidRDefault="00867FFD" w:rsidP="00226DF1">
            <w:pPr>
              <w:widowControl w:val="0"/>
              <w:spacing w:before="120" w:after="120"/>
              <w:jc w:val="both"/>
              <w:rPr>
                <w:rFonts w:ascii="Times New Roman" w:eastAsia="Calibri" w:hAnsi="Times New Roman"/>
                <w:b/>
                <w:sz w:val="24"/>
                <w:szCs w:val="24"/>
              </w:rPr>
            </w:pPr>
          </w:p>
        </w:tc>
        <w:tc>
          <w:tcPr>
            <w:tcW w:w="2587" w:type="dxa"/>
            <w:shd w:val="clear" w:color="auto" w:fill="FFFFFF"/>
          </w:tcPr>
          <w:p w14:paraId="732F8280"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PROBABILITY</w:t>
            </w:r>
          </w:p>
          <w:p w14:paraId="00AE6AA8"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(high, medium, low)</w:t>
            </w:r>
          </w:p>
        </w:tc>
        <w:tc>
          <w:tcPr>
            <w:tcW w:w="2587" w:type="dxa"/>
            <w:shd w:val="clear" w:color="auto" w:fill="FFFFFF"/>
          </w:tcPr>
          <w:p w14:paraId="3E3E4FC6"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IMPACT</w:t>
            </w:r>
          </w:p>
          <w:p w14:paraId="7787473A"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(high, medium, low)</w:t>
            </w:r>
          </w:p>
        </w:tc>
        <w:tc>
          <w:tcPr>
            <w:tcW w:w="3898" w:type="dxa"/>
            <w:shd w:val="clear" w:color="auto" w:fill="FFFFFF"/>
          </w:tcPr>
          <w:p w14:paraId="1BC481BF"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Mitigation Measures</w:t>
            </w:r>
          </w:p>
        </w:tc>
      </w:tr>
      <w:tr w:rsidR="00867FFD" w:rsidRPr="007A0795" w14:paraId="088F37C6" w14:textId="77777777" w:rsidTr="004B5884">
        <w:trPr>
          <w:trHeight w:val="220"/>
        </w:trPr>
        <w:tc>
          <w:tcPr>
            <w:tcW w:w="14175" w:type="dxa"/>
            <w:gridSpan w:val="4"/>
            <w:shd w:val="clear" w:color="auto" w:fill="FFFFFF"/>
          </w:tcPr>
          <w:p w14:paraId="3B27FFDB" w14:textId="6AA98394" w:rsidR="006D3DCC" w:rsidRPr="007A0795" w:rsidRDefault="00867FFD" w:rsidP="00226DF1">
            <w:pPr>
              <w:spacing w:before="120" w:after="120"/>
              <w:jc w:val="both"/>
              <w:rPr>
                <w:rFonts w:ascii="Times New Roman" w:hAnsi="Times New Roman"/>
                <w:sz w:val="24"/>
                <w:szCs w:val="24"/>
              </w:rPr>
            </w:pPr>
            <w:r>
              <w:rPr>
                <w:rFonts w:ascii="Times New Roman" w:hAnsi="Times New Roman"/>
                <w:b/>
                <w:sz w:val="24"/>
              </w:rPr>
              <w:t>Objective 1: By December 2019, increase vaccine coverage of fully immunized children in the country from 72% to 95%.</w:t>
            </w:r>
            <w:r>
              <w:rPr>
                <w:b/>
                <w:sz w:val="24"/>
              </w:rPr>
              <w:t> </w:t>
            </w:r>
          </w:p>
        </w:tc>
      </w:tr>
      <w:tr w:rsidR="00867FFD" w:rsidRPr="009316FF" w14:paraId="01DADCCA" w14:textId="77777777" w:rsidTr="004B5884">
        <w:trPr>
          <w:trHeight w:val="171"/>
        </w:trPr>
        <w:tc>
          <w:tcPr>
            <w:tcW w:w="5103" w:type="dxa"/>
            <w:shd w:val="clear" w:color="auto" w:fill="FFFFFF"/>
          </w:tcPr>
          <w:p w14:paraId="795B57C8" w14:textId="77777777" w:rsidR="00FE3474"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Institutional Risks:</w:t>
            </w:r>
          </w:p>
          <w:p w14:paraId="40437DFB" w14:textId="77777777" w:rsidR="00B62FE1" w:rsidRPr="004B5884" w:rsidRDefault="00B62FE1" w:rsidP="00226DF1">
            <w:pPr>
              <w:numPr>
                <w:ilvl w:val="0"/>
                <w:numId w:val="11"/>
              </w:numPr>
              <w:spacing w:before="120" w:after="120"/>
              <w:jc w:val="both"/>
              <w:rPr>
                <w:rFonts w:ascii="Times New Roman" w:hAnsi="Times New Roman"/>
                <w:i/>
                <w:sz w:val="24"/>
                <w:szCs w:val="24"/>
              </w:rPr>
            </w:pPr>
            <w:r>
              <w:rPr>
                <w:rFonts w:ascii="Times New Roman" w:hAnsi="Times New Roman"/>
                <w:i/>
                <w:sz w:val="24"/>
              </w:rPr>
              <w:t xml:space="preserve">Lack of safety </w:t>
            </w:r>
          </w:p>
          <w:p w14:paraId="7844D66E" w14:textId="77777777" w:rsidR="00292D2E" w:rsidRDefault="00292D2E" w:rsidP="00226DF1">
            <w:pPr>
              <w:spacing w:before="120" w:after="120"/>
              <w:jc w:val="both"/>
              <w:rPr>
                <w:rFonts w:ascii="Times New Roman" w:hAnsi="Times New Roman"/>
                <w:i/>
                <w:sz w:val="24"/>
                <w:szCs w:val="24"/>
              </w:rPr>
            </w:pPr>
          </w:p>
          <w:p w14:paraId="0DABDD44" w14:textId="77777777" w:rsidR="00C211DE" w:rsidRDefault="00C211DE" w:rsidP="00226DF1">
            <w:pPr>
              <w:spacing w:before="120" w:after="120"/>
              <w:jc w:val="both"/>
              <w:rPr>
                <w:rFonts w:ascii="Times New Roman" w:hAnsi="Times New Roman"/>
                <w:i/>
                <w:sz w:val="24"/>
                <w:szCs w:val="24"/>
              </w:rPr>
            </w:pPr>
          </w:p>
          <w:p w14:paraId="15544502" w14:textId="77777777" w:rsidR="00C211DE" w:rsidRDefault="00C211DE" w:rsidP="00226DF1">
            <w:pPr>
              <w:spacing w:before="120" w:after="120"/>
              <w:jc w:val="both"/>
              <w:rPr>
                <w:rFonts w:ascii="Times New Roman" w:hAnsi="Times New Roman"/>
                <w:i/>
                <w:sz w:val="24"/>
                <w:szCs w:val="24"/>
              </w:rPr>
            </w:pPr>
          </w:p>
          <w:p w14:paraId="5CE82641" w14:textId="77777777" w:rsidR="00C211DE" w:rsidRPr="004B5884" w:rsidRDefault="00C211DE" w:rsidP="00226DF1">
            <w:pPr>
              <w:spacing w:before="120" w:after="120"/>
              <w:jc w:val="both"/>
              <w:rPr>
                <w:rFonts w:ascii="Times New Roman" w:hAnsi="Times New Roman"/>
                <w:i/>
                <w:sz w:val="24"/>
                <w:szCs w:val="24"/>
              </w:rPr>
            </w:pPr>
          </w:p>
          <w:p w14:paraId="03E32869" w14:textId="77777777" w:rsidR="00292D2E" w:rsidRPr="004B5884" w:rsidRDefault="00292D2E" w:rsidP="00226DF1">
            <w:pPr>
              <w:spacing w:before="120" w:after="120"/>
              <w:jc w:val="both"/>
              <w:rPr>
                <w:rFonts w:ascii="Times New Roman" w:hAnsi="Times New Roman"/>
                <w:i/>
                <w:sz w:val="24"/>
                <w:szCs w:val="24"/>
              </w:rPr>
            </w:pPr>
          </w:p>
          <w:p w14:paraId="3C91ED95" w14:textId="77777777" w:rsidR="00FE3474" w:rsidRPr="004B5884" w:rsidRDefault="00B62FE1" w:rsidP="00226DF1">
            <w:pPr>
              <w:numPr>
                <w:ilvl w:val="0"/>
                <w:numId w:val="11"/>
              </w:numPr>
              <w:spacing w:before="120" w:after="120"/>
              <w:jc w:val="both"/>
              <w:rPr>
                <w:rFonts w:ascii="Times New Roman" w:hAnsi="Times New Roman"/>
                <w:i/>
                <w:sz w:val="24"/>
                <w:szCs w:val="24"/>
              </w:rPr>
            </w:pPr>
            <w:r>
              <w:rPr>
                <w:rFonts w:ascii="Times New Roman" w:hAnsi="Times New Roman"/>
                <w:i/>
                <w:sz w:val="24"/>
              </w:rPr>
              <w:t>Political instability </w:t>
            </w:r>
          </w:p>
          <w:p w14:paraId="455431C3" w14:textId="77777777" w:rsidR="00292D2E" w:rsidRDefault="00292D2E" w:rsidP="00226DF1">
            <w:pPr>
              <w:spacing w:before="120" w:after="120"/>
              <w:jc w:val="both"/>
              <w:rPr>
                <w:rFonts w:ascii="Times New Roman" w:hAnsi="Times New Roman"/>
                <w:i/>
                <w:sz w:val="24"/>
                <w:szCs w:val="24"/>
              </w:rPr>
            </w:pPr>
          </w:p>
          <w:p w14:paraId="250360F8" w14:textId="77777777" w:rsidR="00C211DE" w:rsidRPr="004B5884" w:rsidRDefault="00C211DE" w:rsidP="00226DF1">
            <w:pPr>
              <w:spacing w:before="120" w:after="120"/>
              <w:jc w:val="both"/>
              <w:rPr>
                <w:rFonts w:ascii="Times New Roman" w:hAnsi="Times New Roman"/>
                <w:i/>
                <w:sz w:val="24"/>
                <w:szCs w:val="24"/>
              </w:rPr>
            </w:pPr>
          </w:p>
          <w:p w14:paraId="4A05EE5D" w14:textId="77777777" w:rsidR="00B62FE1" w:rsidRPr="004B5884" w:rsidRDefault="00292D2E" w:rsidP="00226DF1">
            <w:pPr>
              <w:numPr>
                <w:ilvl w:val="0"/>
                <w:numId w:val="11"/>
              </w:numPr>
              <w:spacing w:before="120" w:after="120"/>
              <w:jc w:val="both"/>
              <w:rPr>
                <w:rFonts w:ascii="Times New Roman" w:hAnsi="Times New Roman"/>
                <w:i/>
                <w:sz w:val="24"/>
                <w:szCs w:val="24"/>
              </w:rPr>
            </w:pPr>
            <w:r>
              <w:rPr>
                <w:rFonts w:ascii="Times New Roman" w:hAnsi="Times New Roman"/>
                <w:i/>
                <w:sz w:val="24"/>
              </w:rPr>
              <w:t>Managerial capacity of the national directorate of health and the EPI is limited by its current institutional ties.</w:t>
            </w:r>
          </w:p>
        </w:tc>
        <w:tc>
          <w:tcPr>
            <w:tcW w:w="2587" w:type="dxa"/>
            <w:shd w:val="clear" w:color="auto" w:fill="FFFFFF"/>
          </w:tcPr>
          <w:p w14:paraId="60964E89" w14:textId="77777777" w:rsidR="00B62FE1" w:rsidRPr="004B5884" w:rsidRDefault="00B62FE1" w:rsidP="00226DF1">
            <w:pPr>
              <w:spacing w:before="120" w:after="120"/>
              <w:jc w:val="both"/>
              <w:rPr>
                <w:rFonts w:ascii="Times New Roman" w:hAnsi="Times New Roman"/>
                <w:i/>
                <w:sz w:val="24"/>
                <w:szCs w:val="24"/>
              </w:rPr>
            </w:pPr>
          </w:p>
          <w:p w14:paraId="014FB511" w14:textId="77777777" w:rsidR="00867FFD" w:rsidRPr="004B5884" w:rsidRDefault="00B62FE1" w:rsidP="00226DF1">
            <w:pPr>
              <w:spacing w:before="120" w:after="120"/>
              <w:jc w:val="both"/>
              <w:rPr>
                <w:rFonts w:ascii="Times New Roman" w:hAnsi="Times New Roman"/>
                <w:sz w:val="24"/>
                <w:szCs w:val="24"/>
              </w:rPr>
            </w:pPr>
            <w:r>
              <w:rPr>
                <w:rFonts w:ascii="Times New Roman" w:hAnsi="Times New Roman"/>
                <w:sz w:val="24"/>
              </w:rPr>
              <w:t>Average</w:t>
            </w:r>
          </w:p>
          <w:p w14:paraId="69E1F1BD" w14:textId="77777777" w:rsidR="00292D2E" w:rsidRPr="004B5884" w:rsidRDefault="00292D2E" w:rsidP="00226DF1">
            <w:pPr>
              <w:spacing w:before="120" w:after="120"/>
              <w:jc w:val="both"/>
              <w:rPr>
                <w:rFonts w:ascii="Times New Roman" w:hAnsi="Times New Roman"/>
                <w:sz w:val="24"/>
                <w:szCs w:val="24"/>
              </w:rPr>
            </w:pPr>
          </w:p>
          <w:p w14:paraId="1C03D214" w14:textId="77777777" w:rsidR="00292D2E" w:rsidRPr="004B5884" w:rsidRDefault="00292D2E" w:rsidP="00226DF1">
            <w:pPr>
              <w:spacing w:before="120" w:after="120"/>
              <w:jc w:val="both"/>
              <w:rPr>
                <w:rFonts w:ascii="Times New Roman" w:hAnsi="Times New Roman"/>
                <w:sz w:val="24"/>
                <w:szCs w:val="24"/>
              </w:rPr>
            </w:pPr>
          </w:p>
          <w:p w14:paraId="599F1637" w14:textId="77777777" w:rsidR="00292D2E" w:rsidRPr="004B5884" w:rsidRDefault="00292D2E" w:rsidP="00226DF1">
            <w:pPr>
              <w:spacing w:before="120" w:after="120"/>
              <w:jc w:val="both"/>
              <w:rPr>
                <w:rFonts w:ascii="Times New Roman" w:hAnsi="Times New Roman"/>
                <w:sz w:val="24"/>
                <w:szCs w:val="24"/>
              </w:rPr>
            </w:pPr>
          </w:p>
          <w:p w14:paraId="51108539" w14:textId="77777777" w:rsidR="00C211DE" w:rsidRDefault="00C211DE" w:rsidP="00226DF1">
            <w:pPr>
              <w:spacing w:before="120" w:after="120"/>
              <w:jc w:val="both"/>
              <w:rPr>
                <w:rFonts w:ascii="Times New Roman" w:hAnsi="Times New Roman"/>
                <w:sz w:val="24"/>
                <w:szCs w:val="24"/>
              </w:rPr>
            </w:pPr>
          </w:p>
          <w:p w14:paraId="01D3ADFB" w14:textId="77777777" w:rsidR="00C211DE" w:rsidRDefault="00C211DE" w:rsidP="00226DF1">
            <w:pPr>
              <w:spacing w:before="120" w:after="120"/>
              <w:jc w:val="both"/>
              <w:rPr>
                <w:rFonts w:ascii="Times New Roman" w:hAnsi="Times New Roman"/>
                <w:sz w:val="24"/>
                <w:szCs w:val="24"/>
              </w:rPr>
            </w:pPr>
          </w:p>
          <w:p w14:paraId="47242AB9" w14:textId="77777777" w:rsidR="00292D2E" w:rsidRPr="004B5884" w:rsidRDefault="00B62FE1" w:rsidP="00226DF1">
            <w:pPr>
              <w:spacing w:before="120" w:after="120"/>
              <w:jc w:val="both"/>
              <w:rPr>
                <w:rFonts w:ascii="Times New Roman" w:hAnsi="Times New Roman"/>
                <w:sz w:val="24"/>
                <w:szCs w:val="24"/>
              </w:rPr>
            </w:pPr>
            <w:r>
              <w:rPr>
                <w:rFonts w:ascii="Times New Roman" w:hAnsi="Times New Roman"/>
                <w:sz w:val="24"/>
              </w:rPr>
              <w:t xml:space="preserve">Low </w:t>
            </w:r>
          </w:p>
          <w:p w14:paraId="5187E6E1" w14:textId="77777777" w:rsidR="00292D2E" w:rsidRPr="004B5884" w:rsidRDefault="00292D2E" w:rsidP="00226DF1">
            <w:pPr>
              <w:spacing w:before="120" w:after="120"/>
              <w:jc w:val="both"/>
              <w:rPr>
                <w:rFonts w:ascii="Times New Roman" w:hAnsi="Times New Roman"/>
                <w:sz w:val="24"/>
                <w:szCs w:val="24"/>
              </w:rPr>
            </w:pPr>
          </w:p>
          <w:p w14:paraId="65B12040" w14:textId="77777777" w:rsidR="00292D2E" w:rsidRPr="004B5884" w:rsidRDefault="00292D2E" w:rsidP="00226DF1">
            <w:pPr>
              <w:spacing w:before="120" w:after="120"/>
              <w:jc w:val="both"/>
              <w:rPr>
                <w:rFonts w:ascii="Times New Roman" w:hAnsi="Times New Roman"/>
                <w:sz w:val="24"/>
                <w:szCs w:val="24"/>
              </w:rPr>
            </w:pPr>
          </w:p>
          <w:p w14:paraId="572F2146" w14:textId="77777777" w:rsidR="00292D2E" w:rsidRPr="004B5884" w:rsidRDefault="00292D2E" w:rsidP="00226DF1">
            <w:pPr>
              <w:spacing w:before="120" w:after="120"/>
              <w:jc w:val="both"/>
              <w:rPr>
                <w:rFonts w:ascii="Times New Roman" w:hAnsi="Times New Roman"/>
                <w:sz w:val="24"/>
                <w:szCs w:val="24"/>
              </w:rPr>
            </w:pPr>
          </w:p>
          <w:p w14:paraId="461C5518" w14:textId="77777777" w:rsidR="00292D2E" w:rsidRPr="004B5884" w:rsidRDefault="00292D2E" w:rsidP="00226DF1">
            <w:pPr>
              <w:spacing w:before="120" w:after="120"/>
              <w:jc w:val="both"/>
              <w:rPr>
                <w:rFonts w:ascii="Times New Roman" w:hAnsi="Times New Roman"/>
                <w:sz w:val="24"/>
                <w:szCs w:val="24"/>
              </w:rPr>
            </w:pPr>
            <w:r>
              <w:rPr>
                <w:rFonts w:ascii="Times New Roman" w:hAnsi="Times New Roman"/>
                <w:sz w:val="24"/>
              </w:rPr>
              <w:t xml:space="preserve">Low </w:t>
            </w:r>
          </w:p>
        </w:tc>
        <w:tc>
          <w:tcPr>
            <w:tcW w:w="2587" w:type="dxa"/>
            <w:shd w:val="clear" w:color="auto" w:fill="FFFFFF"/>
          </w:tcPr>
          <w:p w14:paraId="47F94B51" w14:textId="77777777" w:rsidR="00B62FE1" w:rsidRPr="004B5884" w:rsidRDefault="00B62FE1" w:rsidP="00226DF1">
            <w:pPr>
              <w:spacing w:before="120" w:after="120"/>
              <w:jc w:val="both"/>
              <w:rPr>
                <w:rFonts w:ascii="Times New Roman" w:hAnsi="Times New Roman"/>
                <w:i/>
                <w:sz w:val="24"/>
                <w:szCs w:val="24"/>
              </w:rPr>
            </w:pPr>
          </w:p>
          <w:p w14:paraId="41CB34D9" w14:textId="77777777" w:rsidR="00867FFD" w:rsidRPr="004B5884" w:rsidRDefault="00B62FE1" w:rsidP="00226DF1">
            <w:pPr>
              <w:spacing w:before="120" w:after="120"/>
              <w:jc w:val="both"/>
              <w:rPr>
                <w:rFonts w:ascii="Times New Roman" w:hAnsi="Times New Roman"/>
                <w:sz w:val="24"/>
                <w:szCs w:val="24"/>
              </w:rPr>
            </w:pPr>
            <w:r>
              <w:rPr>
                <w:rFonts w:ascii="Times New Roman" w:hAnsi="Times New Roman"/>
                <w:sz w:val="24"/>
              </w:rPr>
              <w:t>Average</w:t>
            </w:r>
          </w:p>
          <w:p w14:paraId="2BB73B2E" w14:textId="77777777" w:rsidR="00292D2E" w:rsidRPr="004B5884" w:rsidRDefault="00292D2E" w:rsidP="00226DF1">
            <w:pPr>
              <w:spacing w:before="120" w:after="120"/>
              <w:jc w:val="both"/>
              <w:rPr>
                <w:rFonts w:ascii="Times New Roman" w:hAnsi="Times New Roman"/>
                <w:sz w:val="24"/>
                <w:szCs w:val="24"/>
              </w:rPr>
            </w:pPr>
          </w:p>
          <w:p w14:paraId="2F661F17" w14:textId="77777777" w:rsidR="00292D2E" w:rsidRPr="004B5884" w:rsidRDefault="00292D2E" w:rsidP="00226DF1">
            <w:pPr>
              <w:spacing w:before="120" w:after="120"/>
              <w:jc w:val="both"/>
              <w:rPr>
                <w:rFonts w:ascii="Times New Roman" w:hAnsi="Times New Roman"/>
                <w:sz w:val="24"/>
                <w:szCs w:val="24"/>
              </w:rPr>
            </w:pPr>
          </w:p>
          <w:p w14:paraId="7BC384DA" w14:textId="77777777" w:rsidR="00292D2E" w:rsidRPr="004B5884" w:rsidRDefault="00292D2E" w:rsidP="00226DF1">
            <w:pPr>
              <w:spacing w:before="120" w:after="120"/>
              <w:jc w:val="both"/>
              <w:rPr>
                <w:rFonts w:ascii="Times New Roman" w:hAnsi="Times New Roman"/>
                <w:sz w:val="24"/>
                <w:szCs w:val="24"/>
              </w:rPr>
            </w:pPr>
          </w:p>
          <w:p w14:paraId="30C63A98" w14:textId="77777777" w:rsidR="00C211DE" w:rsidRDefault="00C211DE" w:rsidP="00226DF1">
            <w:pPr>
              <w:spacing w:before="120" w:after="120"/>
              <w:jc w:val="both"/>
              <w:rPr>
                <w:rFonts w:ascii="Times New Roman" w:hAnsi="Times New Roman"/>
                <w:sz w:val="24"/>
                <w:szCs w:val="24"/>
              </w:rPr>
            </w:pPr>
          </w:p>
          <w:p w14:paraId="3FC2ACD7" w14:textId="77777777" w:rsidR="00C211DE" w:rsidRDefault="00C211DE" w:rsidP="00226DF1">
            <w:pPr>
              <w:spacing w:before="120" w:after="120"/>
              <w:jc w:val="both"/>
              <w:rPr>
                <w:rFonts w:ascii="Times New Roman" w:hAnsi="Times New Roman"/>
                <w:sz w:val="24"/>
                <w:szCs w:val="24"/>
              </w:rPr>
            </w:pPr>
          </w:p>
          <w:p w14:paraId="16CC94B0" w14:textId="77777777" w:rsidR="00B62FE1" w:rsidRPr="004B5884" w:rsidRDefault="00B62FE1" w:rsidP="00226DF1">
            <w:pPr>
              <w:spacing w:before="120" w:after="120"/>
              <w:jc w:val="both"/>
              <w:rPr>
                <w:rFonts w:ascii="Times New Roman" w:hAnsi="Times New Roman"/>
                <w:sz w:val="24"/>
                <w:szCs w:val="24"/>
              </w:rPr>
            </w:pPr>
            <w:r>
              <w:rPr>
                <w:rFonts w:ascii="Times New Roman" w:hAnsi="Times New Roman"/>
                <w:sz w:val="24"/>
              </w:rPr>
              <w:t xml:space="preserve">Low </w:t>
            </w:r>
          </w:p>
          <w:p w14:paraId="4170D038" w14:textId="77777777" w:rsidR="00292D2E" w:rsidRPr="004B5884" w:rsidRDefault="00292D2E" w:rsidP="00226DF1">
            <w:pPr>
              <w:spacing w:before="120" w:after="120"/>
              <w:jc w:val="both"/>
              <w:rPr>
                <w:rFonts w:ascii="Times New Roman" w:hAnsi="Times New Roman"/>
                <w:sz w:val="24"/>
                <w:szCs w:val="24"/>
              </w:rPr>
            </w:pPr>
          </w:p>
          <w:p w14:paraId="1FF0DB99" w14:textId="77777777" w:rsidR="00292D2E" w:rsidRPr="004B5884" w:rsidRDefault="00292D2E" w:rsidP="00226DF1">
            <w:pPr>
              <w:spacing w:before="120" w:after="120"/>
              <w:jc w:val="both"/>
              <w:rPr>
                <w:rFonts w:ascii="Times New Roman" w:hAnsi="Times New Roman"/>
                <w:sz w:val="24"/>
                <w:szCs w:val="24"/>
              </w:rPr>
            </w:pPr>
          </w:p>
          <w:p w14:paraId="76253B98" w14:textId="77777777" w:rsidR="00292D2E" w:rsidRPr="004B5884" w:rsidRDefault="00292D2E" w:rsidP="00226DF1">
            <w:pPr>
              <w:spacing w:before="120" w:after="120"/>
              <w:jc w:val="both"/>
              <w:rPr>
                <w:rFonts w:ascii="Times New Roman" w:hAnsi="Times New Roman"/>
                <w:sz w:val="24"/>
                <w:szCs w:val="24"/>
              </w:rPr>
            </w:pPr>
          </w:p>
          <w:p w14:paraId="0D6C2D35" w14:textId="77777777" w:rsidR="00292D2E" w:rsidRPr="004B5884" w:rsidRDefault="00292D2E" w:rsidP="00226DF1">
            <w:pPr>
              <w:spacing w:before="120" w:after="120"/>
              <w:jc w:val="both"/>
              <w:rPr>
                <w:rFonts w:ascii="Times New Roman" w:hAnsi="Times New Roman"/>
                <w:sz w:val="24"/>
                <w:szCs w:val="24"/>
              </w:rPr>
            </w:pPr>
            <w:r>
              <w:rPr>
                <w:rFonts w:ascii="Times New Roman" w:hAnsi="Times New Roman"/>
                <w:sz w:val="24"/>
              </w:rPr>
              <w:t xml:space="preserve">Low </w:t>
            </w:r>
          </w:p>
        </w:tc>
        <w:tc>
          <w:tcPr>
            <w:tcW w:w="3898" w:type="dxa"/>
            <w:shd w:val="clear" w:color="auto" w:fill="FFFFFF"/>
          </w:tcPr>
          <w:p w14:paraId="0A0F0ED1" w14:textId="77777777" w:rsidR="00B62FE1" w:rsidRPr="004B5884" w:rsidRDefault="00B62FE1" w:rsidP="00226DF1">
            <w:pPr>
              <w:spacing w:before="120" w:after="120"/>
              <w:jc w:val="both"/>
              <w:rPr>
                <w:rFonts w:ascii="Times New Roman" w:hAnsi="Times New Roman"/>
                <w:i/>
                <w:sz w:val="24"/>
                <w:szCs w:val="24"/>
              </w:rPr>
            </w:pPr>
          </w:p>
          <w:p w14:paraId="7EB8231E" w14:textId="77C071CC" w:rsidR="00867FFD" w:rsidRPr="004B5884" w:rsidRDefault="00B62FE1" w:rsidP="00226DF1">
            <w:pPr>
              <w:spacing w:before="120" w:after="120"/>
              <w:jc w:val="both"/>
              <w:rPr>
                <w:rFonts w:ascii="Times New Roman" w:hAnsi="Times New Roman"/>
                <w:sz w:val="24"/>
                <w:szCs w:val="24"/>
              </w:rPr>
            </w:pPr>
            <w:r>
              <w:rPr>
                <w:rFonts w:ascii="Times New Roman" w:hAnsi="Times New Roman"/>
                <w:sz w:val="24"/>
              </w:rPr>
              <w:t>Contracting with</w:t>
            </w:r>
            <w:r w:rsidR="00BA23D4">
              <w:rPr>
                <w:rFonts w:ascii="Times New Roman" w:hAnsi="Times New Roman"/>
                <w:sz w:val="24"/>
              </w:rPr>
              <w:t xml:space="preserve"> CSOs/NGOs in unsafe zones, loco-</w:t>
            </w:r>
            <w:r>
              <w:rPr>
                <w:rFonts w:ascii="Times New Roman" w:hAnsi="Times New Roman"/>
                <w:sz w:val="24"/>
              </w:rPr>
              <w:t>regional recruitment of health care personnel because health agents are better accepted in these zones even with the residual lack of security after more than 10 years.</w:t>
            </w:r>
          </w:p>
          <w:p w14:paraId="792822C4" w14:textId="77777777" w:rsidR="00292D2E" w:rsidRPr="004B5884" w:rsidRDefault="00292D2E" w:rsidP="00226DF1">
            <w:pPr>
              <w:spacing w:before="120" w:after="120"/>
              <w:jc w:val="both"/>
              <w:rPr>
                <w:rFonts w:ascii="Times New Roman" w:hAnsi="Times New Roman"/>
                <w:sz w:val="24"/>
                <w:szCs w:val="24"/>
              </w:rPr>
            </w:pPr>
          </w:p>
          <w:p w14:paraId="13CAB690" w14:textId="5620756C" w:rsidR="00292D2E" w:rsidRPr="004B5884" w:rsidRDefault="00292D2E" w:rsidP="00226DF1">
            <w:pPr>
              <w:spacing w:before="120" w:after="120"/>
              <w:jc w:val="both"/>
              <w:rPr>
                <w:rFonts w:ascii="Times New Roman" w:hAnsi="Times New Roman"/>
                <w:sz w:val="24"/>
                <w:szCs w:val="24"/>
              </w:rPr>
            </w:pPr>
            <w:r>
              <w:rPr>
                <w:rFonts w:ascii="Times New Roman" w:hAnsi="Times New Roman"/>
                <w:sz w:val="24"/>
              </w:rPr>
              <w:t xml:space="preserve">Initiation of a dialog among parties, strengthening of democracy, </w:t>
            </w:r>
            <w:r>
              <w:rPr>
                <w:rFonts w:ascii="Times New Roman" w:hAnsi="Times New Roman"/>
                <w:i/>
                <w:sz w:val="24"/>
              </w:rPr>
              <w:t xml:space="preserve">Interparty agreements for national reconciliation currently being negotiated. </w:t>
            </w:r>
          </w:p>
          <w:p w14:paraId="62CA6171" w14:textId="77777777" w:rsidR="00292D2E" w:rsidRPr="004B5884" w:rsidRDefault="00292D2E" w:rsidP="00226DF1">
            <w:pPr>
              <w:spacing w:before="120" w:after="120"/>
              <w:jc w:val="both"/>
              <w:rPr>
                <w:rFonts w:ascii="Times New Roman" w:hAnsi="Times New Roman"/>
                <w:sz w:val="24"/>
                <w:szCs w:val="24"/>
              </w:rPr>
            </w:pPr>
          </w:p>
          <w:p w14:paraId="09090F8F" w14:textId="77777777" w:rsidR="00292D2E" w:rsidRPr="004B5884" w:rsidRDefault="00292D2E" w:rsidP="00226DF1">
            <w:pPr>
              <w:spacing w:before="120" w:after="120"/>
              <w:jc w:val="both"/>
              <w:rPr>
                <w:rFonts w:ascii="Times New Roman" w:hAnsi="Times New Roman"/>
                <w:sz w:val="24"/>
                <w:szCs w:val="24"/>
              </w:rPr>
            </w:pPr>
          </w:p>
          <w:p w14:paraId="3BA69CD1" w14:textId="77777777" w:rsidR="00292D2E" w:rsidRPr="004B5884" w:rsidRDefault="00292D2E" w:rsidP="00226DF1">
            <w:pPr>
              <w:spacing w:before="120" w:after="120"/>
              <w:jc w:val="both"/>
              <w:rPr>
                <w:rFonts w:ascii="Times New Roman" w:hAnsi="Times New Roman"/>
                <w:sz w:val="24"/>
                <w:szCs w:val="24"/>
              </w:rPr>
            </w:pPr>
            <w:r>
              <w:rPr>
                <w:rFonts w:ascii="Times New Roman" w:hAnsi="Times New Roman"/>
                <w:sz w:val="24"/>
              </w:rPr>
              <w:t xml:space="preserve">Reorganization texts for institutional ties of the National Directorate of Health in the process of adoption.  </w:t>
            </w:r>
          </w:p>
        </w:tc>
      </w:tr>
      <w:tr w:rsidR="00867FFD" w:rsidRPr="009316FF" w14:paraId="1A86D705" w14:textId="77777777" w:rsidTr="00EA1E60">
        <w:trPr>
          <w:trHeight w:val="3014"/>
        </w:trPr>
        <w:tc>
          <w:tcPr>
            <w:tcW w:w="5103" w:type="dxa"/>
            <w:shd w:val="clear" w:color="auto" w:fill="FFFFFF"/>
          </w:tcPr>
          <w:p w14:paraId="4454E336"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Fiduciary Risks:</w:t>
            </w:r>
          </w:p>
          <w:p w14:paraId="079D6072" w14:textId="77777777" w:rsidR="00527C18" w:rsidRPr="004B5884" w:rsidRDefault="00747389" w:rsidP="00226DF1">
            <w:pPr>
              <w:numPr>
                <w:ilvl w:val="0"/>
                <w:numId w:val="11"/>
              </w:numPr>
              <w:spacing w:before="120" w:after="120"/>
              <w:jc w:val="both"/>
              <w:rPr>
                <w:rFonts w:ascii="Times New Roman" w:hAnsi="Times New Roman"/>
                <w:i/>
                <w:sz w:val="24"/>
                <w:szCs w:val="24"/>
              </w:rPr>
            </w:pPr>
            <w:r>
              <w:rPr>
                <w:rFonts w:ascii="Times New Roman" w:hAnsi="Times New Roman"/>
                <w:i/>
                <w:sz w:val="24"/>
              </w:rPr>
              <w:t>Poor use of funds, poorly justified expenditures of funds</w:t>
            </w:r>
          </w:p>
          <w:p w14:paraId="3B89A704" w14:textId="77777777" w:rsidR="00747389" w:rsidRPr="004B5884" w:rsidRDefault="00747389" w:rsidP="00226DF1">
            <w:pPr>
              <w:spacing w:before="120" w:after="120"/>
              <w:jc w:val="both"/>
              <w:rPr>
                <w:rFonts w:ascii="Times New Roman" w:hAnsi="Times New Roman"/>
                <w:i/>
                <w:sz w:val="24"/>
                <w:szCs w:val="24"/>
              </w:rPr>
            </w:pPr>
          </w:p>
          <w:p w14:paraId="2AD927BC" w14:textId="77777777" w:rsidR="00407C1C" w:rsidRPr="004B5884" w:rsidRDefault="00407C1C" w:rsidP="00226DF1">
            <w:pPr>
              <w:spacing w:before="120" w:after="120"/>
              <w:jc w:val="both"/>
              <w:rPr>
                <w:rFonts w:ascii="Times New Roman" w:hAnsi="Times New Roman"/>
                <w:i/>
                <w:sz w:val="24"/>
                <w:szCs w:val="24"/>
              </w:rPr>
            </w:pPr>
          </w:p>
          <w:p w14:paraId="67D6249F" w14:textId="77777777" w:rsidR="00407C1C" w:rsidRPr="004B5884" w:rsidRDefault="00407C1C" w:rsidP="00226DF1">
            <w:pPr>
              <w:spacing w:before="120" w:after="120"/>
              <w:jc w:val="both"/>
              <w:rPr>
                <w:rFonts w:ascii="Times New Roman" w:hAnsi="Times New Roman"/>
                <w:i/>
                <w:sz w:val="24"/>
                <w:szCs w:val="24"/>
              </w:rPr>
            </w:pPr>
          </w:p>
          <w:p w14:paraId="1D47D2FD" w14:textId="77777777" w:rsidR="00B62FE1" w:rsidRPr="004B5884" w:rsidRDefault="00B62FE1" w:rsidP="00226DF1">
            <w:pPr>
              <w:spacing w:before="120" w:after="120"/>
              <w:jc w:val="both"/>
              <w:rPr>
                <w:rFonts w:ascii="Times New Roman" w:hAnsi="Times New Roman"/>
                <w:i/>
                <w:sz w:val="24"/>
                <w:szCs w:val="24"/>
              </w:rPr>
            </w:pPr>
          </w:p>
        </w:tc>
        <w:tc>
          <w:tcPr>
            <w:tcW w:w="2587" w:type="dxa"/>
            <w:shd w:val="clear" w:color="auto" w:fill="FFFFFF"/>
          </w:tcPr>
          <w:p w14:paraId="6775E49D" w14:textId="77777777" w:rsidR="00867FFD" w:rsidRPr="004B5884" w:rsidRDefault="00867FFD" w:rsidP="00226DF1">
            <w:pPr>
              <w:spacing w:before="120" w:after="120"/>
              <w:jc w:val="both"/>
              <w:rPr>
                <w:rFonts w:ascii="Times New Roman" w:hAnsi="Times New Roman"/>
                <w:i/>
                <w:sz w:val="24"/>
                <w:szCs w:val="24"/>
              </w:rPr>
            </w:pPr>
          </w:p>
          <w:p w14:paraId="30D0376C" w14:textId="77777777" w:rsidR="00747389" w:rsidRPr="004B5884" w:rsidRDefault="00747389" w:rsidP="00226DF1">
            <w:pPr>
              <w:spacing w:before="120" w:after="120"/>
              <w:jc w:val="both"/>
              <w:rPr>
                <w:rFonts w:ascii="Times New Roman" w:hAnsi="Times New Roman"/>
                <w:i/>
                <w:sz w:val="24"/>
                <w:szCs w:val="24"/>
              </w:rPr>
            </w:pPr>
            <w:r>
              <w:rPr>
                <w:rFonts w:ascii="Times New Roman" w:hAnsi="Times New Roman"/>
                <w:i/>
                <w:sz w:val="24"/>
              </w:rPr>
              <w:t xml:space="preserve">Low </w:t>
            </w:r>
          </w:p>
          <w:p w14:paraId="3EEB02A6" w14:textId="77777777" w:rsidR="00747389" w:rsidRPr="004B5884" w:rsidRDefault="00747389" w:rsidP="00226DF1">
            <w:pPr>
              <w:spacing w:before="120" w:after="120"/>
              <w:jc w:val="both"/>
              <w:rPr>
                <w:rFonts w:ascii="Times New Roman" w:hAnsi="Times New Roman"/>
                <w:i/>
                <w:sz w:val="24"/>
                <w:szCs w:val="24"/>
              </w:rPr>
            </w:pPr>
          </w:p>
          <w:p w14:paraId="58D18108" w14:textId="77777777" w:rsidR="00747389" w:rsidRPr="004B5884" w:rsidRDefault="00747389" w:rsidP="00226DF1">
            <w:pPr>
              <w:spacing w:before="120" w:after="120"/>
              <w:jc w:val="both"/>
              <w:rPr>
                <w:rFonts w:ascii="Times New Roman" w:hAnsi="Times New Roman"/>
                <w:i/>
                <w:sz w:val="24"/>
                <w:szCs w:val="24"/>
              </w:rPr>
            </w:pPr>
          </w:p>
          <w:p w14:paraId="784FEADE" w14:textId="77777777" w:rsidR="00747389" w:rsidRPr="004B5884" w:rsidRDefault="00747389" w:rsidP="00226DF1">
            <w:pPr>
              <w:spacing w:before="120" w:after="120"/>
              <w:jc w:val="both"/>
              <w:rPr>
                <w:rFonts w:ascii="Times New Roman" w:hAnsi="Times New Roman"/>
                <w:i/>
                <w:sz w:val="24"/>
                <w:szCs w:val="24"/>
              </w:rPr>
            </w:pPr>
          </w:p>
          <w:p w14:paraId="2CF2341F" w14:textId="77777777" w:rsidR="00747389" w:rsidRPr="004B5884" w:rsidRDefault="00747389" w:rsidP="00226DF1">
            <w:pPr>
              <w:spacing w:before="120" w:after="120"/>
              <w:jc w:val="both"/>
              <w:rPr>
                <w:rFonts w:ascii="Times New Roman" w:hAnsi="Times New Roman"/>
                <w:i/>
                <w:sz w:val="24"/>
                <w:szCs w:val="24"/>
              </w:rPr>
            </w:pPr>
          </w:p>
          <w:p w14:paraId="3AA20575" w14:textId="77777777" w:rsidR="00407C1C" w:rsidRPr="004B5884" w:rsidRDefault="00407C1C" w:rsidP="00226DF1">
            <w:pPr>
              <w:spacing w:before="120" w:after="120"/>
              <w:jc w:val="both"/>
              <w:rPr>
                <w:rFonts w:ascii="Times New Roman" w:hAnsi="Times New Roman"/>
                <w:i/>
                <w:sz w:val="24"/>
                <w:szCs w:val="24"/>
              </w:rPr>
            </w:pPr>
          </w:p>
        </w:tc>
        <w:tc>
          <w:tcPr>
            <w:tcW w:w="2587" w:type="dxa"/>
            <w:shd w:val="clear" w:color="auto" w:fill="FFFFFF"/>
          </w:tcPr>
          <w:p w14:paraId="74B819B7" w14:textId="77777777" w:rsidR="00867FFD" w:rsidRPr="004B5884" w:rsidRDefault="00867FFD" w:rsidP="00226DF1">
            <w:pPr>
              <w:spacing w:before="120" w:after="120"/>
              <w:jc w:val="both"/>
              <w:rPr>
                <w:rFonts w:ascii="Times New Roman" w:hAnsi="Times New Roman"/>
                <w:i/>
                <w:sz w:val="24"/>
                <w:szCs w:val="24"/>
              </w:rPr>
            </w:pPr>
          </w:p>
          <w:p w14:paraId="55BF74DE" w14:textId="77777777" w:rsidR="00747389" w:rsidRPr="004B5884" w:rsidRDefault="00747389" w:rsidP="00226DF1">
            <w:pPr>
              <w:spacing w:before="120" w:after="120"/>
              <w:jc w:val="both"/>
              <w:rPr>
                <w:rFonts w:ascii="Times New Roman" w:hAnsi="Times New Roman"/>
                <w:i/>
                <w:sz w:val="24"/>
                <w:szCs w:val="24"/>
              </w:rPr>
            </w:pPr>
            <w:r>
              <w:rPr>
                <w:rFonts w:ascii="Times New Roman" w:hAnsi="Times New Roman"/>
                <w:i/>
                <w:sz w:val="24"/>
              </w:rPr>
              <w:t xml:space="preserve">Medium </w:t>
            </w:r>
          </w:p>
        </w:tc>
        <w:tc>
          <w:tcPr>
            <w:tcW w:w="3898" w:type="dxa"/>
            <w:shd w:val="clear" w:color="auto" w:fill="FFFFFF"/>
          </w:tcPr>
          <w:p w14:paraId="0F77D6FA" w14:textId="77777777" w:rsidR="00747389" w:rsidRPr="004B5884" w:rsidRDefault="00747389" w:rsidP="00226DF1">
            <w:pPr>
              <w:spacing w:before="120" w:after="120"/>
              <w:jc w:val="both"/>
              <w:rPr>
                <w:rFonts w:ascii="Times New Roman" w:hAnsi="Times New Roman"/>
                <w:i/>
                <w:sz w:val="24"/>
                <w:szCs w:val="24"/>
              </w:rPr>
            </w:pPr>
            <w:r>
              <w:rPr>
                <w:rFonts w:ascii="Times New Roman" w:hAnsi="Times New Roman"/>
                <w:i/>
                <w:sz w:val="24"/>
              </w:rPr>
              <w:t>Performance of systematic internal audits by the Directorate of Finance and Equipment and audits by the health inspectorate, external evaluation is provided by the office of the inspector general</w:t>
            </w:r>
          </w:p>
          <w:p w14:paraId="037EE959" w14:textId="4C6B4AE9" w:rsidR="00747389" w:rsidRPr="004B5884" w:rsidRDefault="00524B95" w:rsidP="00226DF1">
            <w:pPr>
              <w:spacing w:before="120" w:after="120"/>
              <w:jc w:val="both"/>
              <w:rPr>
                <w:rFonts w:ascii="Times New Roman" w:hAnsi="Times New Roman"/>
                <w:i/>
                <w:sz w:val="24"/>
                <w:szCs w:val="24"/>
              </w:rPr>
            </w:pPr>
            <w:r>
              <w:rPr>
                <w:rFonts w:ascii="Times New Roman" w:hAnsi="Times New Roman"/>
                <w:i/>
                <w:sz w:val="24"/>
              </w:rPr>
              <w:t>The manual of administrative and financial procedures of the HSDP will be revised in 2014.</w:t>
            </w:r>
          </w:p>
          <w:p w14:paraId="36CABB79" w14:textId="5655DD77" w:rsidR="00A92409" w:rsidRPr="004B5884" w:rsidRDefault="00A92409" w:rsidP="00226DF1">
            <w:pPr>
              <w:spacing w:before="120" w:after="120"/>
              <w:jc w:val="both"/>
              <w:rPr>
                <w:rFonts w:ascii="Times New Roman" w:hAnsi="Times New Roman"/>
                <w:i/>
                <w:sz w:val="24"/>
                <w:szCs w:val="24"/>
              </w:rPr>
            </w:pPr>
            <w:r>
              <w:rPr>
                <w:rFonts w:ascii="Times New Roman" w:hAnsi="Times New Roman"/>
                <w:i/>
                <w:sz w:val="24"/>
              </w:rPr>
              <w:t xml:space="preserve">The acquisition of logistics and equipment will be accomplished </w:t>
            </w:r>
            <w:r w:rsidR="00BA23D4">
              <w:rPr>
                <w:rFonts w:ascii="Times New Roman" w:hAnsi="Times New Roman"/>
                <w:i/>
                <w:sz w:val="24"/>
              </w:rPr>
              <w:t>through</w:t>
            </w:r>
            <w:r>
              <w:rPr>
                <w:rFonts w:ascii="Times New Roman" w:hAnsi="Times New Roman"/>
                <w:i/>
                <w:sz w:val="24"/>
              </w:rPr>
              <w:t xml:space="preserve"> the United Nations system.</w:t>
            </w:r>
          </w:p>
        </w:tc>
      </w:tr>
      <w:tr w:rsidR="00867FFD" w:rsidRPr="009316FF" w14:paraId="005E6D44" w14:textId="77777777" w:rsidTr="004B5884">
        <w:trPr>
          <w:trHeight w:val="171"/>
        </w:trPr>
        <w:tc>
          <w:tcPr>
            <w:tcW w:w="5103" w:type="dxa"/>
            <w:shd w:val="clear" w:color="auto" w:fill="FFFFFF"/>
          </w:tcPr>
          <w:p w14:paraId="36B24FE9" w14:textId="0CC20738" w:rsidR="00A92409" w:rsidRPr="004B5884" w:rsidRDefault="00EA1E60" w:rsidP="00226DF1">
            <w:pPr>
              <w:spacing w:before="120" w:after="120"/>
              <w:jc w:val="both"/>
              <w:rPr>
                <w:rFonts w:ascii="Times New Roman" w:hAnsi="Times New Roman"/>
                <w:i/>
                <w:sz w:val="24"/>
                <w:szCs w:val="24"/>
              </w:rPr>
            </w:pPr>
            <w:r>
              <w:rPr>
                <w:rFonts w:ascii="Times New Roman" w:hAnsi="Times New Roman"/>
                <w:i/>
                <w:sz w:val="24"/>
              </w:rPr>
              <w:t>Operational Risks:</w:t>
            </w:r>
          </w:p>
        </w:tc>
        <w:tc>
          <w:tcPr>
            <w:tcW w:w="2587" w:type="dxa"/>
            <w:shd w:val="clear" w:color="auto" w:fill="FFFFFF"/>
          </w:tcPr>
          <w:p w14:paraId="71B07C0D" w14:textId="77777777" w:rsidR="00867FFD" w:rsidRPr="004B5884" w:rsidRDefault="00867FFD" w:rsidP="00226DF1">
            <w:pPr>
              <w:spacing w:before="120" w:after="120"/>
              <w:jc w:val="both"/>
              <w:rPr>
                <w:rFonts w:ascii="Times New Roman" w:hAnsi="Times New Roman"/>
                <w:i/>
                <w:sz w:val="24"/>
                <w:szCs w:val="24"/>
              </w:rPr>
            </w:pPr>
          </w:p>
        </w:tc>
        <w:tc>
          <w:tcPr>
            <w:tcW w:w="2587" w:type="dxa"/>
            <w:shd w:val="clear" w:color="auto" w:fill="FFFFFF"/>
          </w:tcPr>
          <w:p w14:paraId="1A93F9D5" w14:textId="77777777" w:rsidR="00867FFD" w:rsidRPr="004B5884" w:rsidRDefault="00867FFD" w:rsidP="00226DF1">
            <w:pPr>
              <w:spacing w:before="120" w:after="120"/>
              <w:jc w:val="both"/>
              <w:rPr>
                <w:rFonts w:ascii="Times New Roman" w:hAnsi="Times New Roman"/>
                <w:i/>
                <w:sz w:val="24"/>
                <w:szCs w:val="24"/>
              </w:rPr>
            </w:pPr>
          </w:p>
        </w:tc>
        <w:tc>
          <w:tcPr>
            <w:tcW w:w="3898" w:type="dxa"/>
            <w:shd w:val="clear" w:color="auto" w:fill="FFFFFF"/>
          </w:tcPr>
          <w:p w14:paraId="39E424A4"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35A236CD" w14:textId="77777777" w:rsidTr="004B5884">
        <w:trPr>
          <w:trHeight w:val="171"/>
        </w:trPr>
        <w:tc>
          <w:tcPr>
            <w:tcW w:w="5103" w:type="dxa"/>
            <w:shd w:val="clear" w:color="auto" w:fill="FFFFFF"/>
          </w:tcPr>
          <w:p w14:paraId="41927A55"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Programmatic and performance-related risks:</w:t>
            </w:r>
          </w:p>
          <w:p w14:paraId="2B6BE44D" w14:textId="77777777" w:rsidR="00B62FE1" w:rsidRPr="004B5884" w:rsidRDefault="00B62FE1" w:rsidP="00226DF1">
            <w:pPr>
              <w:numPr>
                <w:ilvl w:val="0"/>
                <w:numId w:val="11"/>
              </w:numPr>
              <w:spacing w:before="120" w:after="120"/>
              <w:jc w:val="both"/>
              <w:rPr>
                <w:rFonts w:ascii="Times New Roman" w:hAnsi="Times New Roman"/>
                <w:i/>
                <w:sz w:val="24"/>
                <w:szCs w:val="24"/>
              </w:rPr>
            </w:pPr>
            <w:r>
              <w:rPr>
                <w:rFonts w:ascii="Times New Roman" w:hAnsi="Times New Roman"/>
                <w:i/>
                <w:sz w:val="24"/>
              </w:rPr>
              <w:t>Bureaucracy</w:t>
            </w:r>
          </w:p>
          <w:p w14:paraId="65222288" w14:textId="77777777" w:rsidR="00F802F0" w:rsidRPr="004B5884" w:rsidRDefault="00F802F0" w:rsidP="00226DF1">
            <w:pPr>
              <w:spacing w:before="120" w:after="120"/>
              <w:jc w:val="both"/>
              <w:rPr>
                <w:rFonts w:ascii="Times New Roman" w:hAnsi="Times New Roman"/>
                <w:i/>
                <w:sz w:val="24"/>
                <w:szCs w:val="24"/>
              </w:rPr>
            </w:pPr>
          </w:p>
          <w:p w14:paraId="69939CF6" w14:textId="77777777" w:rsidR="00F802F0" w:rsidRPr="004B5884" w:rsidRDefault="00F802F0" w:rsidP="00226DF1">
            <w:pPr>
              <w:spacing w:before="120" w:after="120"/>
              <w:jc w:val="both"/>
              <w:rPr>
                <w:rFonts w:ascii="Times New Roman" w:hAnsi="Times New Roman"/>
                <w:i/>
                <w:sz w:val="24"/>
                <w:szCs w:val="24"/>
              </w:rPr>
            </w:pPr>
          </w:p>
          <w:p w14:paraId="5EF9763D" w14:textId="77777777" w:rsidR="00F802F0" w:rsidRPr="004B5884" w:rsidRDefault="00F802F0" w:rsidP="00226DF1">
            <w:pPr>
              <w:spacing w:before="120" w:after="120"/>
              <w:jc w:val="both"/>
              <w:rPr>
                <w:rFonts w:ascii="Times New Roman" w:hAnsi="Times New Roman"/>
                <w:i/>
                <w:sz w:val="24"/>
                <w:szCs w:val="24"/>
              </w:rPr>
            </w:pPr>
          </w:p>
          <w:p w14:paraId="2339D914" w14:textId="77777777" w:rsidR="00F802F0" w:rsidRPr="004B5884" w:rsidRDefault="00F802F0" w:rsidP="00226DF1">
            <w:pPr>
              <w:spacing w:before="120" w:after="120"/>
              <w:jc w:val="both"/>
              <w:rPr>
                <w:rFonts w:ascii="Times New Roman" w:hAnsi="Times New Roman"/>
                <w:i/>
                <w:sz w:val="24"/>
                <w:szCs w:val="24"/>
              </w:rPr>
            </w:pPr>
          </w:p>
          <w:p w14:paraId="7D49A2B6" w14:textId="77777777" w:rsidR="00650092" w:rsidRPr="004B5884" w:rsidRDefault="00650092" w:rsidP="00226DF1">
            <w:pPr>
              <w:numPr>
                <w:ilvl w:val="0"/>
                <w:numId w:val="11"/>
              </w:numPr>
              <w:spacing w:before="120" w:after="120"/>
              <w:jc w:val="both"/>
              <w:rPr>
                <w:rFonts w:ascii="Times New Roman" w:hAnsi="Times New Roman"/>
                <w:i/>
                <w:sz w:val="24"/>
                <w:szCs w:val="24"/>
              </w:rPr>
            </w:pPr>
            <w:r>
              <w:rPr>
                <w:rFonts w:ascii="Times New Roman" w:hAnsi="Times New Roman"/>
                <w:i/>
                <w:sz w:val="24"/>
              </w:rPr>
              <w:t>Low motivation of personnel</w:t>
            </w:r>
          </w:p>
          <w:p w14:paraId="0CF42724" w14:textId="77777777" w:rsidR="00F802F0" w:rsidRPr="004B5884" w:rsidRDefault="00F802F0" w:rsidP="00226DF1">
            <w:pPr>
              <w:spacing w:before="120" w:after="120"/>
              <w:jc w:val="both"/>
              <w:rPr>
                <w:rFonts w:ascii="Times New Roman" w:hAnsi="Times New Roman"/>
                <w:i/>
                <w:sz w:val="24"/>
                <w:szCs w:val="24"/>
              </w:rPr>
            </w:pPr>
          </w:p>
          <w:p w14:paraId="0D8E4FB2" w14:textId="0EC52F58" w:rsidR="00650092" w:rsidRPr="004B5884" w:rsidRDefault="00EA1E60" w:rsidP="00226DF1">
            <w:pPr>
              <w:numPr>
                <w:ilvl w:val="0"/>
                <w:numId w:val="11"/>
              </w:numPr>
              <w:spacing w:before="120" w:after="120"/>
              <w:jc w:val="both"/>
              <w:rPr>
                <w:rFonts w:ascii="Times New Roman" w:hAnsi="Times New Roman"/>
                <w:i/>
                <w:sz w:val="24"/>
                <w:szCs w:val="24"/>
              </w:rPr>
            </w:pPr>
            <w:r>
              <w:rPr>
                <w:rFonts w:ascii="Times New Roman" w:hAnsi="Times New Roman"/>
                <w:i/>
                <w:sz w:val="24"/>
              </w:rPr>
              <w:t>Failure to respect the schedule for implementation of fixed, advanced and mobile immunization strategies</w:t>
            </w:r>
          </w:p>
        </w:tc>
        <w:tc>
          <w:tcPr>
            <w:tcW w:w="2587" w:type="dxa"/>
            <w:shd w:val="clear" w:color="auto" w:fill="FFFFFF"/>
          </w:tcPr>
          <w:p w14:paraId="27941B4F" w14:textId="77777777" w:rsidR="00867FFD" w:rsidRPr="004B5884" w:rsidRDefault="00867FFD" w:rsidP="00226DF1">
            <w:pPr>
              <w:spacing w:before="120" w:after="120"/>
              <w:jc w:val="both"/>
              <w:rPr>
                <w:rFonts w:ascii="Times New Roman" w:hAnsi="Times New Roman"/>
                <w:i/>
                <w:sz w:val="24"/>
                <w:szCs w:val="24"/>
              </w:rPr>
            </w:pPr>
          </w:p>
          <w:p w14:paraId="77E86FA6" w14:textId="77777777" w:rsidR="00650092" w:rsidRPr="004B5884" w:rsidRDefault="00650092" w:rsidP="00226DF1">
            <w:pPr>
              <w:spacing w:before="120" w:after="120"/>
              <w:jc w:val="both"/>
              <w:rPr>
                <w:rFonts w:ascii="Times New Roman" w:hAnsi="Times New Roman"/>
                <w:i/>
                <w:sz w:val="24"/>
                <w:szCs w:val="24"/>
              </w:rPr>
            </w:pPr>
            <w:r>
              <w:rPr>
                <w:rFonts w:ascii="Times New Roman" w:hAnsi="Times New Roman"/>
                <w:i/>
                <w:sz w:val="24"/>
              </w:rPr>
              <w:t>Average</w:t>
            </w:r>
          </w:p>
          <w:p w14:paraId="2B103E39" w14:textId="77777777" w:rsidR="00F802F0" w:rsidRPr="004B5884" w:rsidRDefault="00F802F0" w:rsidP="00226DF1">
            <w:pPr>
              <w:spacing w:before="120" w:after="120"/>
              <w:jc w:val="both"/>
              <w:rPr>
                <w:rFonts w:ascii="Times New Roman" w:hAnsi="Times New Roman"/>
                <w:i/>
                <w:sz w:val="24"/>
                <w:szCs w:val="24"/>
              </w:rPr>
            </w:pPr>
          </w:p>
          <w:p w14:paraId="292FE168" w14:textId="77777777" w:rsidR="00F802F0" w:rsidRPr="004B5884" w:rsidRDefault="00F802F0" w:rsidP="00226DF1">
            <w:pPr>
              <w:spacing w:before="120" w:after="120"/>
              <w:jc w:val="both"/>
              <w:rPr>
                <w:rFonts w:ascii="Times New Roman" w:hAnsi="Times New Roman"/>
                <w:i/>
                <w:sz w:val="24"/>
                <w:szCs w:val="24"/>
              </w:rPr>
            </w:pPr>
          </w:p>
          <w:p w14:paraId="2CE71E4F" w14:textId="77777777" w:rsidR="00F802F0" w:rsidRPr="004B5884" w:rsidRDefault="00F802F0" w:rsidP="00226DF1">
            <w:pPr>
              <w:spacing w:before="120" w:after="120"/>
              <w:jc w:val="both"/>
              <w:rPr>
                <w:rFonts w:ascii="Times New Roman" w:hAnsi="Times New Roman"/>
                <w:i/>
                <w:sz w:val="24"/>
                <w:szCs w:val="24"/>
              </w:rPr>
            </w:pPr>
          </w:p>
          <w:p w14:paraId="39829A23" w14:textId="77777777" w:rsidR="00F802F0" w:rsidRPr="004B5884" w:rsidRDefault="00F802F0" w:rsidP="00226DF1">
            <w:pPr>
              <w:spacing w:before="120" w:after="120"/>
              <w:jc w:val="both"/>
              <w:rPr>
                <w:rFonts w:ascii="Times New Roman" w:hAnsi="Times New Roman"/>
                <w:i/>
                <w:sz w:val="24"/>
                <w:szCs w:val="24"/>
              </w:rPr>
            </w:pPr>
          </w:p>
          <w:p w14:paraId="625FF798" w14:textId="77777777" w:rsidR="00F802F0" w:rsidRPr="004B5884" w:rsidRDefault="00F802F0" w:rsidP="00226DF1">
            <w:pPr>
              <w:spacing w:before="120" w:after="120"/>
              <w:jc w:val="both"/>
              <w:rPr>
                <w:rFonts w:ascii="Times New Roman" w:hAnsi="Times New Roman"/>
                <w:i/>
                <w:sz w:val="24"/>
                <w:szCs w:val="24"/>
              </w:rPr>
            </w:pPr>
          </w:p>
          <w:p w14:paraId="16AA7BFB"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Average</w:t>
            </w:r>
          </w:p>
          <w:p w14:paraId="25630608" w14:textId="77777777" w:rsidR="00F802F0" w:rsidRPr="004B5884" w:rsidRDefault="00F802F0" w:rsidP="00226DF1">
            <w:pPr>
              <w:spacing w:before="120" w:after="120"/>
              <w:jc w:val="both"/>
              <w:rPr>
                <w:rFonts w:ascii="Times New Roman" w:hAnsi="Times New Roman"/>
                <w:i/>
                <w:sz w:val="24"/>
                <w:szCs w:val="24"/>
              </w:rPr>
            </w:pPr>
          </w:p>
          <w:p w14:paraId="62EB1D12" w14:textId="77777777" w:rsidR="00F802F0" w:rsidRPr="004B5884" w:rsidRDefault="00F802F0" w:rsidP="00226DF1">
            <w:pPr>
              <w:spacing w:before="120" w:after="120"/>
              <w:jc w:val="both"/>
              <w:rPr>
                <w:rFonts w:ascii="Times New Roman" w:hAnsi="Times New Roman"/>
                <w:i/>
                <w:sz w:val="24"/>
                <w:szCs w:val="24"/>
              </w:rPr>
            </w:pPr>
          </w:p>
          <w:p w14:paraId="70C73645"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 xml:space="preserve">Low </w:t>
            </w:r>
          </w:p>
          <w:p w14:paraId="2579E323" w14:textId="77777777" w:rsidR="00F802F0" w:rsidRPr="004B5884" w:rsidRDefault="00F802F0" w:rsidP="00226DF1">
            <w:pPr>
              <w:spacing w:before="120" w:after="120"/>
              <w:jc w:val="both"/>
              <w:rPr>
                <w:rFonts w:ascii="Times New Roman" w:hAnsi="Times New Roman"/>
                <w:i/>
                <w:sz w:val="24"/>
                <w:szCs w:val="24"/>
              </w:rPr>
            </w:pPr>
          </w:p>
        </w:tc>
        <w:tc>
          <w:tcPr>
            <w:tcW w:w="2587" w:type="dxa"/>
            <w:shd w:val="clear" w:color="auto" w:fill="FFFFFF"/>
          </w:tcPr>
          <w:p w14:paraId="500B891C" w14:textId="77777777" w:rsidR="00867FFD" w:rsidRPr="004B5884" w:rsidRDefault="00867FFD" w:rsidP="00226DF1">
            <w:pPr>
              <w:spacing w:before="120" w:after="120"/>
              <w:jc w:val="both"/>
              <w:rPr>
                <w:rFonts w:ascii="Times New Roman" w:hAnsi="Times New Roman"/>
                <w:i/>
                <w:sz w:val="24"/>
                <w:szCs w:val="24"/>
              </w:rPr>
            </w:pPr>
          </w:p>
          <w:p w14:paraId="6597D761" w14:textId="77777777" w:rsidR="00650092" w:rsidRPr="004B5884" w:rsidRDefault="00650092" w:rsidP="00226DF1">
            <w:pPr>
              <w:spacing w:before="120" w:after="120"/>
              <w:jc w:val="both"/>
              <w:rPr>
                <w:rFonts w:ascii="Times New Roman" w:hAnsi="Times New Roman"/>
                <w:i/>
                <w:sz w:val="24"/>
                <w:szCs w:val="24"/>
              </w:rPr>
            </w:pPr>
            <w:r>
              <w:rPr>
                <w:rFonts w:ascii="Times New Roman" w:hAnsi="Times New Roman"/>
                <w:i/>
                <w:sz w:val="24"/>
              </w:rPr>
              <w:t xml:space="preserve">Medium </w:t>
            </w:r>
          </w:p>
          <w:p w14:paraId="0D2E86C6" w14:textId="77777777" w:rsidR="00F802F0" w:rsidRPr="004B5884" w:rsidRDefault="00F802F0" w:rsidP="00226DF1">
            <w:pPr>
              <w:spacing w:before="120" w:after="120"/>
              <w:jc w:val="both"/>
              <w:rPr>
                <w:rFonts w:ascii="Times New Roman" w:hAnsi="Times New Roman"/>
                <w:i/>
                <w:sz w:val="24"/>
                <w:szCs w:val="24"/>
              </w:rPr>
            </w:pPr>
          </w:p>
          <w:p w14:paraId="4CF507EF" w14:textId="77777777" w:rsidR="00F802F0" w:rsidRPr="004B5884" w:rsidRDefault="00F802F0" w:rsidP="00226DF1">
            <w:pPr>
              <w:spacing w:before="120" w:after="120"/>
              <w:jc w:val="both"/>
              <w:rPr>
                <w:rFonts w:ascii="Times New Roman" w:hAnsi="Times New Roman"/>
                <w:i/>
                <w:sz w:val="24"/>
                <w:szCs w:val="24"/>
              </w:rPr>
            </w:pPr>
          </w:p>
          <w:p w14:paraId="6F3E49E4" w14:textId="77777777" w:rsidR="00F802F0" w:rsidRPr="004B5884" w:rsidRDefault="00F802F0" w:rsidP="00226DF1">
            <w:pPr>
              <w:spacing w:before="120" w:after="120"/>
              <w:jc w:val="both"/>
              <w:rPr>
                <w:rFonts w:ascii="Times New Roman" w:hAnsi="Times New Roman"/>
                <w:i/>
                <w:sz w:val="24"/>
                <w:szCs w:val="24"/>
              </w:rPr>
            </w:pPr>
          </w:p>
          <w:p w14:paraId="43A5A983" w14:textId="77777777" w:rsidR="00F802F0" w:rsidRPr="004B5884" w:rsidRDefault="00F802F0" w:rsidP="00226DF1">
            <w:pPr>
              <w:spacing w:before="120" w:after="120"/>
              <w:jc w:val="both"/>
              <w:rPr>
                <w:rFonts w:ascii="Times New Roman" w:hAnsi="Times New Roman"/>
                <w:i/>
                <w:sz w:val="24"/>
                <w:szCs w:val="24"/>
              </w:rPr>
            </w:pPr>
          </w:p>
          <w:p w14:paraId="4564DFD4" w14:textId="77777777" w:rsidR="00F802F0" w:rsidRPr="004B5884" w:rsidRDefault="00F802F0" w:rsidP="00226DF1">
            <w:pPr>
              <w:spacing w:before="120" w:after="120"/>
              <w:jc w:val="both"/>
              <w:rPr>
                <w:rFonts w:ascii="Times New Roman" w:hAnsi="Times New Roman"/>
                <w:i/>
                <w:sz w:val="24"/>
                <w:szCs w:val="24"/>
              </w:rPr>
            </w:pPr>
          </w:p>
          <w:p w14:paraId="49EBAEAB"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 xml:space="preserve">Medium </w:t>
            </w:r>
          </w:p>
          <w:p w14:paraId="7198AA1D" w14:textId="77777777" w:rsidR="00F802F0" w:rsidRPr="004B5884" w:rsidRDefault="00F802F0" w:rsidP="00226DF1">
            <w:pPr>
              <w:spacing w:before="120" w:after="120"/>
              <w:jc w:val="both"/>
              <w:rPr>
                <w:rFonts w:ascii="Times New Roman" w:hAnsi="Times New Roman"/>
                <w:i/>
                <w:sz w:val="24"/>
                <w:szCs w:val="24"/>
              </w:rPr>
            </w:pPr>
          </w:p>
          <w:p w14:paraId="08C30C21" w14:textId="77777777" w:rsidR="00F802F0" w:rsidRPr="004B5884" w:rsidRDefault="00F802F0" w:rsidP="00226DF1">
            <w:pPr>
              <w:spacing w:before="120" w:after="120"/>
              <w:jc w:val="both"/>
              <w:rPr>
                <w:rFonts w:ascii="Times New Roman" w:hAnsi="Times New Roman"/>
                <w:i/>
                <w:sz w:val="24"/>
                <w:szCs w:val="24"/>
              </w:rPr>
            </w:pPr>
          </w:p>
          <w:p w14:paraId="3DB50F8D"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 xml:space="preserve">Weak </w:t>
            </w:r>
          </w:p>
          <w:p w14:paraId="66226B96" w14:textId="77777777" w:rsidR="00F802F0" w:rsidRPr="004B5884" w:rsidRDefault="00F802F0" w:rsidP="00226DF1">
            <w:pPr>
              <w:spacing w:before="120" w:after="120"/>
              <w:jc w:val="both"/>
              <w:rPr>
                <w:rFonts w:ascii="Times New Roman" w:hAnsi="Times New Roman"/>
                <w:i/>
                <w:sz w:val="24"/>
                <w:szCs w:val="24"/>
              </w:rPr>
            </w:pPr>
          </w:p>
        </w:tc>
        <w:tc>
          <w:tcPr>
            <w:tcW w:w="3898" w:type="dxa"/>
            <w:shd w:val="clear" w:color="auto" w:fill="FFFFFF"/>
          </w:tcPr>
          <w:p w14:paraId="518651C0" w14:textId="77777777" w:rsidR="00867FFD" w:rsidRPr="004B5884" w:rsidRDefault="00867FFD" w:rsidP="00226DF1">
            <w:pPr>
              <w:spacing w:before="120" w:after="120"/>
              <w:jc w:val="both"/>
              <w:rPr>
                <w:rFonts w:ascii="Times New Roman" w:hAnsi="Times New Roman"/>
                <w:i/>
                <w:sz w:val="24"/>
                <w:szCs w:val="24"/>
              </w:rPr>
            </w:pPr>
          </w:p>
          <w:p w14:paraId="28FB210C" w14:textId="77777777" w:rsidR="00650092" w:rsidRPr="004B5884" w:rsidRDefault="00F802F0" w:rsidP="00226DF1">
            <w:pPr>
              <w:spacing w:before="120" w:after="120"/>
              <w:jc w:val="both"/>
              <w:rPr>
                <w:rFonts w:ascii="Times New Roman" w:hAnsi="Times New Roman"/>
                <w:i/>
                <w:sz w:val="24"/>
                <w:szCs w:val="24"/>
              </w:rPr>
            </w:pPr>
            <w:r>
              <w:rPr>
                <w:rFonts w:ascii="Times New Roman" w:hAnsi="Times New Roman"/>
                <w:i/>
                <w:sz w:val="24"/>
              </w:rPr>
              <w:t>Weekly meeting between WHO and the Health Ministry for the processing of documents</w:t>
            </w:r>
          </w:p>
          <w:p w14:paraId="452F8B39"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Strengthening of the internal monitoring of applications</w:t>
            </w:r>
          </w:p>
          <w:p w14:paraId="4BFCD695" w14:textId="77777777" w:rsidR="00F802F0" w:rsidRPr="004B5884" w:rsidRDefault="00F802F0" w:rsidP="00226DF1">
            <w:pPr>
              <w:spacing w:before="120" w:after="120"/>
              <w:jc w:val="both"/>
              <w:rPr>
                <w:rFonts w:ascii="Times New Roman" w:hAnsi="Times New Roman"/>
                <w:i/>
                <w:sz w:val="24"/>
                <w:szCs w:val="24"/>
              </w:rPr>
            </w:pPr>
          </w:p>
          <w:p w14:paraId="3DC0F9E8"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Extension of the results based funding strategy</w:t>
            </w:r>
          </w:p>
          <w:p w14:paraId="2F4002B6" w14:textId="77777777" w:rsidR="00F802F0" w:rsidRPr="004B5884" w:rsidRDefault="00F802F0" w:rsidP="00226DF1">
            <w:pPr>
              <w:spacing w:before="120" w:after="120"/>
              <w:jc w:val="both"/>
              <w:rPr>
                <w:rFonts w:ascii="Times New Roman" w:hAnsi="Times New Roman"/>
                <w:i/>
                <w:sz w:val="24"/>
                <w:szCs w:val="24"/>
              </w:rPr>
            </w:pPr>
          </w:p>
          <w:p w14:paraId="45B4DA42" w14:textId="77777777" w:rsidR="00F802F0" w:rsidRPr="004B5884" w:rsidRDefault="00F802F0" w:rsidP="00226DF1">
            <w:pPr>
              <w:spacing w:before="120" w:after="120"/>
              <w:jc w:val="both"/>
              <w:rPr>
                <w:rFonts w:ascii="Times New Roman" w:hAnsi="Times New Roman"/>
                <w:i/>
                <w:sz w:val="24"/>
                <w:szCs w:val="24"/>
              </w:rPr>
            </w:pPr>
          </w:p>
          <w:p w14:paraId="4625DD29" w14:textId="77777777" w:rsidR="00F802F0" w:rsidRPr="004B5884" w:rsidRDefault="00F802F0" w:rsidP="00226DF1">
            <w:pPr>
              <w:spacing w:before="120" w:after="120"/>
              <w:jc w:val="both"/>
              <w:rPr>
                <w:rFonts w:ascii="Times New Roman" w:hAnsi="Times New Roman"/>
                <w:i/>
                <w:sz w:val="24"/>
                <w:szCs w:val="24"/>
              </w:rPr>
            </w:pPr>
            <w:r>
              <w:rPr>
                <w:rFonts w:ascii="Times New Roman" w:hAnsi="Times New Roman"/>
                <w:i/>
                <w:sz w:val="24"/>
              </w:rPr>
              <w:t>Support for the conduct of advanced and mobile strategies and strengthening of supervision through HSS GAVI funding</w:t>
            </w:r>
          </w:p>
        </w:tc>
      </w:tr>
      <w:tr w:rsidR="00867FFD" w:rsidRPr="009316FF" w14:paraId="44C75D32" w14:textId="77777777" w:rsidTr="004B5884">
        <w:trPr>
          <w:trHeight w:val="171"/>
        </w:trPr>
        <w:tc>
          <w:tcPr>
            <w:tcW w:w="5103" w:type="dxa"/>
            <w:shd w:val="clear" w:color="auto" w:fill="FFFFFF"/>
          </w:tcPr>
          <w:p w14:paraId="2B1D2633"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Other Risks:</w:t>
            </w:r>
          </w:p>
        </w:tc>
        <w:tc>
          <w:tcPr>
            <w:tcW w:w="2587" w:type="dxa"/>
            <w:shd w:val="clear" w:color="auto" w:fill="FFFFFF"/>
          </w:tcPr>
          <w:p w14:paraId="184F3032" w14:textId="77777777" w:rsidR="00867FFD" w:rsidRPr="004B5884" w:rsidRDefault="00867FFD" w:rsidP="00226DF1">
            <w:pPr>
              <w:spacing w:before="120" w:after="120"/>
              <w:jc w:val="both"/>
              <w:rPr>
                <w:rFonts w:ascii="Times New Roman" w:hAnsi="Times New Roman"/>
                <w:i/>
                <w:sz w:val="24"/>
                <w:szCs w:val="24"/>
              </w:rPr>
            </w:pPr>
          </w:p>
        </w:tc>
        <w:tc>
          <w:tcPr>
            <w:tcW w:w="2587" w:type="dxa"/>
            <w:shd w:val="clear" w:color="auto" w:fill="FFFFFF"/>
          </w:tcPr>
          <w:p w14:paraId="30F8B473" w14:textId="77777777" w:rsidR="00867FFD" w:rsidRPr="004B5884" w:rsidRDefault="00867FFD" w:rsidP="00226DF1">
            <w:pPr>
              <w:spacing w:before="120" w:after="120"/>
              <w:jc w:val="both"/>
              <w:rPr>
                <w:rFonts w:ascii="Times New Roman" w:hAnsi="Times New Roman"/>
                <w:i/>
                <w:sz w:val="24"/>
                <w:szCs w:val="24"/>
              </w:rPr>
            </w:pPr>
          </w:p>
        </w:tc>
        <w:tc>
          <w:tcPr>
            <w:tcW w:w="3898" w:type="dxa"/>
            <w:shd w:val="clear" w:color="auto" w:fill="FFFFFF"/>
          </w:tcPr>
          <w:p w14:paraId="502F61CA"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4695978F" w14:textId="77777777" w:rsidTr="004B5884">
        <w:trPr>
          <w:trHeight w:val="171"/>
        </w:trPr>
        <w:tc>
          <w:tcPr>
            <w:tcW w:w="5103" w:type="dxa"/>
            <w:shd w:val="clear" w:color="auto" w:fill="FFFFFF"/>
          </w:tcPr>
          <w:p w14:paraId="2F4F26B3" w14:textId="5960B96D" w:rsidR="00867FFD" w:rsidRPr="004B5884" w:rsidRDefault="00867FFD" w:rsidP="00226DF1">
            <w:pPr>
              <w:spacing w:before="120" w:after="120"/>
              <w:jc w:val="both"/>
              <w:rPr>
                <w:rFonts w:ascii="Times New Roman" w:hAnsi="Times New Roman"/>
                <w:b/>
                <w:i/>
                <w:sz w:val="24"/>
                <w:szCs w:val="24"/>
              </w:rPr>
            </w:pPr>
            <w:r>
              <w:rPr>
                <w:rFonts w:ascii="Times New Roman" w:hAnsi="Times New Roman"/>
                <w:b/>
                <w:i/>
                <w:sz w:val="24"/>
              </w:rPr>
              <w:t xml:space="preserve">Overall Risk Rating for Objective 1 </w:t>
            </w:r>
          </w:p>
        </w:tc>
        <w:tc>
          <w:tcPr>
            <w:tcW w:w="2587" w:type="dxa"/>
            <w:shd w:val="clear" w:color="auto" w:fill="FFFFFF"/>
          </w:tcPr>
          <w:p w14:paraId="0A8C6B36" w14:textId="77777777" w:rsidR="00867FFD" w:rsidRPr="004B5884" w:rsidRDefault="00802BCF" w:rsidP="00226DF1">
            <w:pPr>
              <w:spacing w:before="120" w:after="120"/>
              <w:jc w:val="both"/>
              <w:rPr>
                <w:rFonts w:ascii="Times New Roman" w:hAnsi="Times New Roman"/>
                <w:i/>
                <w:sz w:val="24"/>
                <w:szCs w:val="24"/>
              </w:rPr>
            </w:pPr>
            <w:r>
              <w:rPr>
                <w:rFonts w:ascii="Times New Roman" w:hAnsi="Times New Roman"/>
                <w:i/>
                <w:sz w:val="24"/>
              </w:rPr>
              <w:t xml:space="preserve">Low </w:t>
            </w:r>
          </w:p>
        </w:tc>
        <w:tc>
          <w:tcPr>
            <w:tcW w:w="2587" w:type="dxa"/>
            <w:shd w:val="clear" w:color="auto" w:fill="FFFFFF"/>
          </w:tcPr>
          <w:p w14:paraId="47F9A359" w14:textId="77777777" w:rsidR="00867FFD" w:rsidRPr="004B5884" w:rsidRDefault="00802BCF" w:rsidP="00226DF1">
            <w:pPr>
              <w:spacing w:before="120" w:after="120"/>
              <w:jc w:val="both"/>
              <w:rPr>
                <w:rFonts w:ascii="Times New Roman" w:hAnsi="Times New Roman"/>
                <w:i/>
                <w:sz w:val="24"/>
                <w:szCs w:val="24"/>
              </w:rPr>
            </w:pPr>
            <w:r>
              <w:rPr>
                <w:rFonts w:ascii="Times New Roman" w:hAnsi="Times New Roman"/>
                <w:i/>
                <w:sz w:val="24"/>
              </w:rPr>
              <w:t xml:space="preserve">Low </w:t>
            </w:r>
          </w:p>
        </w:tc>
        <w:tc>
          <w:tcPr>
            <w:tcW w:w="3898" w:type="dxa"/>
            <w:shd w:val="clear" w:color="auto" w:fill="FFFFFF"/>
          </w:tcPr>
          <w:p w14:paraId="4EFC7808"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110C1D16" w14:textId="77777777" w:rsidTr="004B5884">
        <w:trPr>
          <w:trHeight w:val="171"/>
        </w:trPr>
        <w:tc>
          <w:tcPr>
            <w:tcW w:w="14175" w:type="dxa"/>
            <w:gridSpan w:val="4"/>
            <w:shd w:val="clear" w:color="auto" w:fill="FFFFFF"/>
          </w:tcPr>
          <w:p w14:paraId="73E41BD1" w14:textId="77777777" w:rsidR="00867FFD" w:rsidRPr="00D7053F" w:rsidRDefault="00867FFD" w:rsidP="00226DF1">
            <w:pPr>
              <w:spacing w:before="120" w:after="120"/>
              <w:jc w:val="both"/>
              <w:rPr>
                <w:rFonts w:ascii="Times New Roman" w:hAnsi="Times New Roman"/>
                <w:sz w:val="24"/>
                <w:szCs w:val="24"/>
              </w:rPr>
            </w:pPr>
            <w:r>
              <w:rPr>
                <w:rFonts w:ascii="Times New Roman" w:hAnsi="Times New Roman"/>
                <w:b/>
                <w:sz w:val="24"/>
              </w:rPr>
              <w:t>Objective 2:</w:t>
            </w:r>
            <w:r>
              <w:rPr>
                <w:rFonts w:ascii="Times New Roman" w:hAnsi="Times New Roman"/>
                <w:b/>
                <w:color w:val="FF0000"/>
                <w:sz w:val="24"/>
              </w:rPr>
              <w:t xml:space="preserve"> </w:t>
            </w:r>
            <w:r>
              <w:rPr>
                <w:rFonts w:ascii="Times New Roman" w:hAnsi="Times New Roman"/>
                <w:b/>
                <w:sz w:val="24"/>
              </w:rPr>
              <w:t>Ensuring access to and availability of immunization in 100% of the priority districts.</w:t>
            </w:r>
            <w:r>
              <w:rPr>
                <w:rFonts w:ascii="Times New Roman" w:hAnsi="Times New Roman"/>
                <w:sz w:val="24"/>
              </w:rPr>
              <w:t xml:space="preserve"> </w:t>
            </w:r>
          </w:p>
        </w:tc>
      </w:tr>
      <w:tr w:rsidR="00867FFD" w:rsidRPr="009316FF" w14:paraId="0517CF0A" w14:textId="77777777" w:rsidTr="004B5884">
        <w:trPr>
          <w:trHeight w:val="171"/>
        </w:trPr>
        <w:tc>
          <w:tcPr>
            <w:tcW w:w="5103" w:type="dxa"/>
            <w:shd w:val="clear" w:color="auto" w:fill="FFFFFF"/>
          </w:tcPr>
          <w:p w14:paraId="18C487B9"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Institutional Risks:</w:t>
            </w:r>
          </w:p>
          <w:p w14:paraId="4697768F" w14:textId="77777777" w:rsidR="00802BCF" w:rsidRPr="004B5884" w:rsidRDefault="00802BCF" w:rsidP="00226DF1">
            <w:pPr>
              <w:spacing w:before="120" w:after="120"/>
              <w:jc w:val="both"/>
              <w:rPr>
                <w:rFonts w:ascii="Times New Roman" w:hAnsi="Times New Roman"/>
                <w:i/>
                <w:sz w:val="24"/>
                <w:szCs w:val="24"/>
              </w:rPr>
            </w:pPr>
            <w:r>
              <w:rPr>
                <w:rFonts w:ascii="Times New Roman" w:hAnsi="Times New Roman"/>
                <w:i/>
                <w:sz w:val="24"/>
              </w:rPr>
              <w:t>same as Objective 1</w:t>
            </w:r>
          </w:p>
        </w:tc>
        <w:tc>
          <w:tcPr>
            <w:tcW w:w="2587" w:type="dxa"/>
            <w:shd w:val="clear" w:color="auto" w:fill="FFFFFF"/>
          </w:tcPr>
          <w:p w14:paraId="3BAC2830" w14:textId="77777777" w:rsidR="00867FFD" w:rsidRPr="004B5884" w:rsidRDefault="00867FFD" w:rsidP="00226DF1">
            <w:pPr>
              <w:spacing w:before="120" w:after="120"/>
              <w:jc w:val="both"/>
              <w:rPr>
                <w:rFonts w:ascii="Times New Roman" w:hAnsi="Times New Roman"/>
                <w:i/>
                <w:sz w:val="24"/>
                <w:szCs w:val="24"/>
              </w:rPr>
            </w:pPr>
          </w:p>
        </w:tc>
        <w:tc>
          <w:tcPr>
            <w:tcW w:w="2587" w:type="dxa"/>
            <w:shd w:val="clear" w:color="auto" w:fill="FFFFFF"/>
          </w:tcPr>
          <w:p w14:paraId="568E83EA" w14:textId="77777777" w:rsidR="00867FFD" w:rsidRPr="004B5884" w:rsidRDefault="00867FFD" w:rsidP="00226DF1">
            <w:pPr>
              <w:spacing w:before="120" w:after="120"/>
              <w:jc w:val="both"/>
              <w:rPr>
                <w:rFonts w:ascii="Times New Roman" w:hAnsi="Times New Roman"/>
                <w:i/>
                <w:sz w:val="24"/>
                <w:szCs w:val="24"/>
              </w:rPr>
            </w:pPr>
          </w:p>
        </w:tc>
        <w:tc>
          <w:tcPr>
            <w:tcW w:w="3898" w:type="dxa"/>
            <w:shd w:val="clear" w:color="auto" w:fill="FFFFFF"/>
          </w:tcPr>
          <w:p w14:paraId="346796FA"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74444798" w14:textId="77777777" w:rsidTr="004B5884">
        <w:trPr>
          <w:trHeight w:val="171"/>
        </w:trPr>
        <w:tc>
          <w:tcPr>
            <w:tcW w:w="5103" w:type="dxa"/>
            <w:shd w:val="clear" w:color="auto" w:fill="FFFFFF"/>
          </w:tcPr>
          <w:p w14:paraId="7D6E5A6B"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Fiduciary Risks:</w:t>
            </w:r>
          </w:p>
          <w:p w14:paraId="0D8FA606" w14:textId="77777777" w:rsidR="00802BCF" w:rsidRPr="004B5884" w:rsidRDefault="00802BCF" w:rsidP="00226DF1">
            <w:pPr>
              <w:spacing w:before="120" w:after="120"/>
              <w:jc w:val="both"/>
              <w:rPr>
                <w:rFonts w:ascii="Times New Roman" w:hAnsi="Times New Roman"/>
                <w:i/>
                <w:sz w:val="24"/>
                <w:szCs w:val="24"/>
              </w:rPr>
            </w:pPr>
            <w:r>
              <w:rPr>
                <w:rFonts w:ascii="Times New Roman" w:hAnsi="Times New Roman"/>
                <w:i/>
                <w:sz w:val="24"/>
              </w:rPr>
              <w:t>same as Objective 1</w:t>
            </w:r>
          </w:p>
        </w:tc>
        <w:tc>
          <w:tcPr>
            <w:tcW w:w="2587" w:type="dxa"/>
            <w:shd w:val="clear" w:color="auto" w:fill="FFFFFF"/>
          </w:tcPr>
          <w:p w14:paraId="5AE0DDEA" w14:textId="77777777" w:rsidR="00867FFD" w:rsidRPr="004B5884" w:rsidRDefault="00867FFD" w:rsidP="00226DF1">
            <w:pPr>
              <w:spacing w:before="120" w:after="120"/>
              <w:jc w:val="both"/>
              <w:rPr>
                <w:rFonts w:ascii="Times New Roman" w:hAnsi="Times New Roman"/>
                <w:i/>
                <w:sz w:val="24"/>
                <w:szCs w:val="24"/>
              </w:rPr>
            </w:pPr>
          </w:p>
        </w:tc>
        <w:tc>
          <w:tcPr>
            <w:tcW w:w="2587" w:type="dxa"/>
            <w:shd w:val="clear" w:color="auto" w:fill="FFFFFF"/>
          </w:tcPr>
          <w:p w14:paraId="7FAE3A83" w14:textId="77777777" w:rsidR="00867FFD" w:rsidRPr="004B5884" w:rsidRDefault="00867FFD" w:rsidP="00226DF1">
            <w:pPr>
              <w:spacing w:before="120" w:after="120"/>
              <w:jc w:val="both"/>
              <w:rPr>
                <w:rFonts w:ascii="Times New Roman" w:hAnsi="Times New Roman"/>
                <w:i/>
                <w:sz w:val="24"/>
                <w:szCs w:val="24"/>
              </w:rPr>
            </w:pPr>
          </w:p>
        </w:tc>
        <w:tc>
          <w:tcPr>
            <w:tcW w:w="3898" w:type="dxa"/>
            <w:shd w:val="clear" w:color="auto" w:fill="FFFFFF"/>
          </w:tcPr>
          <w:p w14:paraId="5A07B1FE"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6DB8B94E" w14:textId="77777777" w:rsidTr="004B5884">
        <w:trPr>
          <w:trHeight w:val="171"/>
        </w:trPr>
        <w:tc>
          <w:tcPr>
            <w:tcW w:w="5103" w:type="dxa"/>
            <w:shd w:val="clear" w:color="auto" w:fill="FFFFFF"/>
          </w:tcPr>
          <w:p w14:paraId="7A7B88C1"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Operational Risks:</w:t>
            </w:r>
          </w:p>
          <w:p w14:paraId="703A3B96" w14:textId="77777777" w:rsidR="00FF0908" w:rsidRPr="004B5884" w:rsidRDefault="00A075AE" w:rsidP="00226DF1">
            <w:pPr>
              <w:numPr>
                <w:ilvl w:val="0"/>
                <w:numId w:val="11"/>
              </w:numPr>
              <w:spacing w:before="120" w:after="120"/>
              <w:jc w:val="both"/>
              <w:rPr>
                <w:rFonts w:ascii="Times New Roman" w:hAnsi="Times New Roman"/>
                <w:i/>
                <w:sz w:val="24"/>
                <w:szCs w:val="24"/>
              </w:rPr>
            </w:pPr>
            <w:r>
              <w:rPr>
                <w:rFonts w:ascii="Times New Roman" w:hAnsi="Times New Roman"/>
                <w:i/>
                <w:sz w:val="24"/>
              </w:rPr>
              <w:t>Restriction on CSO/NGO intervention in unsafe zones</w:t>
            </w:r>
          </w:p>
        </w:tc>
        <w:tc>
          <w:tcPr>
            <w:tcW w:w="2587" w:type="dxa"/>
            <w:shd w:val="clear" w:color="auto" w:fill="FFFFFF"/>
          </w:tcPr>
          <w:p w14:paraId="050CE3DB" w14:textId="77777777" w:rsidR="00867FFD" w:rsidRPr="004B5884" w:rsidRDefault="00867FFD" w:rsidP="00226DF1">
            <w:pPr>
              <w:spacing w:before="120" w:after="120"/>
              <w:jc w:val="both"/>
              <w:rPr>
                <w:rFonts w:ascii="Times New Roman" w:hAnsi="Times New Roman"/>
                <w:i/>
                <w:sz w:val="24"/>
                <w:szCs w:val="24"/>
              </w:rPr>
            </w:pPr>
          </w:p>
          <w:p w14:paraId="5A8DED7F" w14:textId="77777777" w:rsidR="00A075AE" w:rsidRPr="004B5884" w:rsidRDefault="00A075AE" w:rsidP="00226DF1">
            <w:pPr>
              <w:spacing w:before="120" w:after="120"/>
              <w:jc w:val="both"/>
              <w:rPr>
                <w:rFonts w:ascii="Times New Roman" w:hAnsi="Times New Roman"/>
                <w:i/>
                <w:sz w:val="24"/>
                <w:szCs w:val="24"/>
              </w:rPr>
            </w:pPr>
            <w:r>
              <w:rPr>
                <w:rFonts w:ascii="Times New Roman" w:hAnsi="Times New Roman"/>
                <w:i/>
                <w:sz w:val="24"/>
              </w:rPr>
              <w:t xml:space="preserve">Low </w:t>
            </w:r>
          </w:p>
        </w:tc>
        <w:tc>
          <w:tcPr>
            <w:tcW w:w="2587" w:type="dxa"/>
            <w:shd w:val="clear" w:color="auto" w:fill="FFFFFF"/>
          </w:tcPr>
          <w:p w14:paraId="11DD1009" w14:textId="77777777" w:rsidR="00867FFD" w:rsidRPr="004B5884" w:rsidRDefault="00867FFD" w:rsidP="00226DF1">
            <w:pPr>
              <w:spacing w:before="120" w:after="120"/>
              <w:jc w:val="both"/>
              <w:rPr>
                <w:rFonts w:ascii="Times New Roman" w:hAnsi="Times New Roman"/>
                <w:i/>
                <w:sz w:val="24"/>
                <w:szCs w:val="24"/>
              </w:rPr>
            </w:pPr>
          </w:p>
          <w:p w14:paraId="68BCD626" w14:textId="77777777" w:rsidR="00A075AE" w:rsidRPr="004B5884" w:rsidRDefault="00A075AE" w:rsidP="00226DF1">
            <w:pPr>
              <w:spacing w:before="120" w:after="120"/>
              <w:jc w:val="both"/>
              <w:rPr>
                <w:rFonts w:ascii="Times New Roman" w:hAnsi="Times New Roman"/>
                <w:i/>
                <w:sz w:val="24"/>
                <w:szCs w:val="24"/>
              </w:rPr>
            </w:pPr>
            <w:r>
              <w:rPr>
                <w:rFonts w:ascii="Times New Roman" w:hAnsi="Times New Roman"/>
                <w:i/>
                <w:sz w:val="24"/>
              </w:rPr>
              <w:t xml:space="preserve">Low </w:t>
            </w:r>
          </w:p>
          <w:p w14:paraId="2F706871" w14:textId="77777777" w:rsidR="00A075AE" w:rsidRPr="004B5884" w:rsidRDefault="00A075AE" w:rsidP="00226DF1">
            <w:pPr>
              <w:spacing w:before="120" w:after="120"/>
              <w:jc w:val="both"/>
              <w:rPr>
                <w:rFonts w:ascii="Times New Roman" w:hAnsi="Times New Roman"/>
                <w:i/>
                <w:sz w:val="24"/>
                <w:szCs w:val="24"/>
              </w:rPr>
            </w:pPr>
          </w:p>
        </w:tc>
        <w:tc>
          <w:tcPr>
            <w:tcW w:w="3898" w:type="dxa"/>
            <w:shd w:val="clear" w:color="auto" w:fill="FFFFFF"/>
          </w:tcPr>
          <w:p w14:paraId="06637B77" w14:textId="77777777" w:rsidR="00867FFD" w:rsidRPr="004B5884" w:rsidRDefault="00867FFD" w:rsidP="00226DF1">
            <w:pPr>
              <w:spacing w:before="120" w:after="120"/>
              <w:jc w:val="both"/>
              <w:rPr>
                <w:rFonts w:ascii="Times New Roman" w:hAnsi="Times New Roman"/>
                <w:i/>
                <w:sz w:val="24"/>
                <w:szCs w:val="24"/>
              </w:rPr>
            </w:pPr>
          </w:p>
          <w:p w14:paraId="3184317D" w14:textId="0F2693D3" w:rsidR="00A075AE" w:rsidRPr="004B5884" w:rsidRDefault="00A075AE" w:rsidP="00226DF1">
            <w:pPr>
              <w:spacing w:before="120" w:after="120"/>
              <w:jc w:val="both"/>
              <w:rPr>
                <w:rFonts w:ascii="Times New Roman" w:hAnsi="Times New Roman"/>
                <w:i/>
                <w:sz w:val="24"/>
                <w:szCs w:val="24"/>
              </w:rPr>
            </w:pPr>
            <w:r>
              <w:rPr>
                <w:rFonts w:ascii="Times New Roman" w:hAnsi="Times New Roman"/>
                <w:i/>
                <w:sz w:val="24"/>
              </w:rPr>
              <w:t>Interparty agreements for national reconciliation currently being negotiated</w:t>
            </w:r>
          </w:p>
          <w:p w14:paraId="376B5729" w14:textId="77777777" w:rsidR="00FF0908" w:rsidRPr="004B5884" w:rsidRDefault="0087504C" w:rsidP="00226DF1">
            <w:pPr>
              <w:spacing w:before="120" w:after="120"/>
              <w:jc w:val="both"/>
              <w:rPr>
                <w:rFonts w:ascii="Times New Roman" w:hAnsi="Times New Roman"/>
                <w:i/>
                <w:sz w:val="24"/>
                <w:szCs w:val="24"/>
              </w:rPr>
            </w:pPr>
            <w:r>
              <w:rPr>
                <w:rFonts w:ascii="Times New Roman" w:hAnsi="Times New Roman"/>
                <w:i/>
                <w:sz w:val="24"/>
              </w:rPr>
              <w:t>Strengthening of epidemiological surveillance and immunization is one of the priority points for this negotiation that may be the subject of a specific agreement</w:t>
            </w:r>
          </w:p>
          <w:p w14:paraId="2BFB9610" w14:textId="181E8A42" w:rsidR="00FF0908" w:rsidRPr="004B5884" w:rsidRDefault="00DE61BC" w:rsidP="00226DF1">
            <w:pPr>
              <w:spacing w:before="120" w:after="120"/>
              <w:jc w:val="both"/>
              <w:rPr>
                <w:rFonts w:ascii="Times New Roman" w:hAnsi="Times New Roman"/>
                <w:i/>
                <w:sz w:val="24"/>
                <w:szCs w:val="24"/>
              </w:rPr>
            </w:pPr>
            <w:r>
              <w:rPr>
                <w:rFonts w:ascii="Times New Roman" w:hAnsi="Times New Roman"/>
                <w:i/>
                <w:sz w:val="24"/>
              </w:rPr>
              <w:t>Selection of NGOs/CSOs in function of their ability to operate in unsafe zones because the health agents in general and the NGOs/CSOs specifically are better accepted by the armed groups.  They are better to [sic]</w:t>
            </w:r>
          </w:p>
        </w:tc>
      </w:tr>
      <w:tr w:rsidR="00867FFD" w:rsidRPr="009316FF" w14:paraId="53F74EEC" w14:textId="77777777" w:rsidTr="004B5884">
        <w:trPr>
          <w:trHeight w:val="171"/>
        </w:trPr>
        <w:tc>
          <w:tcPr>
            <w:tcW w:w="5103" w:type="dxa"/>
            <w:shd w:val="clear" w:color="auto" w:fill="FFFFFF"/>
          </w:tcPr>
          <w:p w14:paraId="3604B499" w14:textId="77777777" w:rsidR="00867FFD" w:rsidRPr="004B5884" w:rsidRDefault="00867FFD" w:rsidP="00226DF1">
            <w:pPr>
              <w:spacing w:before="120" w:after="120"/>
              <w:jc w:val="both"/>
              <w:rPr>
                <w:rFonts w:ascii="Times New Roman" w:hAnsi="Times New Roman"/>
                <w:i/>
                <w:sz w:val="24"/>
                <w:szCs w:val="24"/>
              </w:rPr>
            </w:pPr>
            <w:r>
              <w:rPr>
                <w:rFonts w:ascii="Times New Roman" w:hAnsi="Times New Roman"/>
                <w:i/>
                <w:sz w:val="24"/>
              </w:rPr>
              <w:t>Other Risks:</w:t>
            </w:r>
          </w:p>
        </w:tc>
        <w:tc>
          <w:tcPr>
            <w:tcW w:w="2587" w:type="dxa"/>
            <w:shd w:val="clear" w:color="auto" w:fill="FFFFFF"/>
          </w:tcPr>
          <w:p w14:paraId="6D911790" w14:textId="77777777" w:rsidR="00867FFD" w:rsidRPr="004B5884" w:rsidRDefault="00867FFD" w:rsidP="00226DF1">
            <w:pPr>
              <w:spacing w:before="120" w:after="120"/>
              <w:jc w:val="both"/>
              <w:rPr>
                <w:rFonts w:ascii="Times New Roman" w:hAnsi="Times New Roman"/>
                <w:i/>
                <w:sz w:val="24"/>
                <w:szCs w:val="24"/>
              </w:rPr>
            </w:pPr>
          </w:p>
        </w:tc>
        <w:tc>
          <w:tcPr>
            <w:tcW w:w="2587" w:type="dxa"/>
            <w:shd w:val="clear" w:color="auto" w:fill="FFFFFF"/>
          </w:tcPr>
          <w:p w14:paraId="7241E22D" w14:textId="77777777" w:rsidR="00867FFD" w:rsidRPr="004B5884" w:rsidRDefault="00867FFD" w:rsidP="00226DF1">
            <w:pPr>
              <w:spacing w:before="120" w:after="120"/>
              <w:jc w:val="both"/>
              <w:rPr>
                <w:rFonts w:ascii="Times New Roman" w:hAnsi="Times New Roman"/>
                <w:i/>
                <w:sz w:val="24"/>
                <w:szCs w:val="24"/>
              </w:rPr>
            </w:pPr>
          </w:p>
        </w:tc>
        <w:tc>
          <w:tcPr>
            <w:tcW w:w="3898" w:type="dxa"/>
            <w:shd w:val="clear" w:color="auto" w:fill="FFFFFF"/>
          </w:tcPr>
          <w:p w14:paraId="648EC3B8"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0AD755FC" w14:textId="77777777" w:rsidTr="004B5884">
        <w:trPr>
          <w:trHeight w:val="171"/>
        </w:trPr>
        <w:tc>
          <w:tcPr>
            <w:tcW w:w="5103" w:type="dxa"/>
            <w:shd w:val="clear" w:color="auto" w:fill="FFFFFF"/>
          </w:tcPr>
          <w:p w14:paraId="519B8ED9" w14:textId="3C1F1316" w:rsidR="00867FFD" w:rsidRPr="004B5884" w:rsidRDefault="00867FFD" w:rsidP="00E8728A">
            <w:pPr>
              <w:spacing w:before="120" w:after="120"/>
              <w:jc w:val="both"/>
              <w:rPr>
                <w:rFonts w:ascii="Times New Roman" w:hAnsi="Times New Roman"/>
                <w:b/>
                <w:i/>
                <w:sz w:val="24"/>
                <w:szCs w:val="24"/>
              </w:rPr>
            </w:pPr>
            <w:r>
              <w:rPr>
                <w:rFonts w:ascii="Times New Roman" w:hAnsi="Times New Roman"/>
                <w:b/>
                <w:i/>
                <w:sz w:val="24"/>
              </w:rPr>
              <w:t xml:space="preserve">Overall Risk Rating for Objective 2 </w:t>
            </w:r>
          </w:p>
        </w:tc>
        <w:tc>
          <w:tcPr>
            <w:tcW w:w="2587" w:type="dxa"/>
            <w:shd w:val="clear" w:color="auto" w:fill="FFFFFF"/>
          </w:tcPr>
          <w:p w14:paraId="57C3EFE0" w14:textId="77777777" w:rsidR="00867FFD" w:rsidRPr="004B5884" w:rsidRDefault="00867FFD" w:rsidP="00226DF1">
            <w:pPr>
              <w:spacing w:before="120" w:after="120"/>
              <w:jc w:val="both"/>
              <w:rPr>
                <w:rFonts w:ascii="Times New Roman" w:hAnsi="Times New Roman"/>
                <w:i/>
                <w:sz w:val="24"/>
                <w:szCs w:val="24"/>
              </w:rPr>
            </w:pPr>
          </w:p>
        </w:tc>
        <w:tc>
          <w:tcPr>
            <w:tcW w:w="2587" w:type="dxa"/>
            <w:shd w:val="clear" w:color="auto" w:fill="FFFFFF"/>
          </w:tcPr>
          <w:p w14:paraId="12D64470" w14:textId="77777777" w:rsidR="00867FFD" w:rsidRPr="004B5884" w:rsidRDefault="00867FFD" w:rsidP="00226DF1">
            <w:pPr>
              <w:spacing w:before="120" w:after="120"/>
              <w:jc w:val="both"/>
              <w:rPr>
                <w:rFonts w:ascii="Times New Roman" w:hAnsi="Times New Roman"/>
                <w:i/>
                <w:sz w:val="24"/>
                <w:szCs w:val="24"/>
              </w:rPr>
            </w:pPr>
          </w:p>
        </w:tc>
        <w:tc>
          <w:tcPr>
            <w:tcW w:w="3898" w:type="dxa"/>
            <w:shd w:val="clear" w:color="auto" w:fill="FFFFFF"/>
          </w:tcPr>
          <w:p w14:paraId="410C2AEB" w14:textId="77777777" w:rsidR="00867FFD" w:rsidRPr="004B5884" w:rsidRDefault="00867FFD" w:rsidP="00226DF1">
            <w:pPr>
              <w:spacing w:before="120" w:after="120"/>
              <w:jc w:val="both"/>
              <w:rPr>
                <w:rFonts w:ascii="Times New Roman" w:hAnsi="Times New Roman"/>
                <w:i/>
                <w:sz w:val="24"/>
                <w:szCs w:val="24"/>
              </w:rPr>
            </w:pPr>
          </w:p>
        </w:tc>
      </w:tr>
      <w:tr w:rsidR="00867FFD" w:rsidRPr="009316FF" w14:paraId="64CB0E3A" w14:textId="77777777" w:rsidTr="004B5884">
        <w:trPr>
          <w:trHeight w:val="171"/>
        </w:trPr>
        <w:tc>
          <w:tcPr>
            <w:tcW w:w="14175" w:type="dxa"/>
            <w:gridSpan w:val="4"/>
            <w:shd w:val="clear" w:color="auto" w:fill="FFFFFF"/>
          </w:tcPr>
          <w:p w14:paraId="020A6B82" w14:textId="77777777" w:rsidR="00867FFD" w:rsidRPr="00D7053F" w:rsidRDefault="00867FFD" w:rsidP="00226DF1">
            <w:pPr>
              <w:spacing w:before="120" w:after="120"/>
              <w:jc w:val="both"/>
              <w:rPr>
                <w:rFonts w:ascii="Times New Roman" w:hAnsi="Times New Roman"/>
                <w:b/>
                <w:sz w:val="24"/>
                <w:szCs w:val="24"/>
              </w:rPr>
            </w:pPr>
            <w:r>
              <w:rPr>
                <w:rFonts w:ascii="Times New Roman" w:hAnsi="Times New Roman"/>
                <w:b/>
                <w:sz w:val="24"/>
              </w:rPr>
              <w:t>Objective 3: Strengthen the monitoring / evaluation system, including the health information system</w:t>
            </w:r>
          </w:p>
        </w:tc>
      </w:tr>
      <w:tr w:rsidR="00F53E9C" w:rsidRPr="009316FF" w14:paraId="556AC40F" w14:textId="77777777" w:rsidTr="004B5884">
        <w:trPr>
          <w:trHeight w:val="171"/>
        </w:trPr>
        <w:tc>
          <w:tcPr>
            <w:tcW w:w="5103" w:type="dxa"/>
            <w:shd w:val="clear" w:color="auto" w:fill="FFFFFF"/>
          </w:tcPr>
          <w:p w14:paraId="5CEDA328"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Institutional Risks:</w:t>
            </w:r>
          </w:p>
          <w:p w14:paraId="23992F71" w14:textId="77777777" w:rsidR="0076591E" w:rsidRPr="004B5884" w:rsidRDefault="00F53E9C" w:rsidP="00226DF1">
            <w:pPr>
              <w:numPr>
                <w:ilvl w:val="0"/>
                <w:numId w:val="11"/>
              </w:numPr>
              <w:spacing w:before="120" w:after="120"/>
              <w:jc w:val="both"/>
              <w:rPr>
                <w:rFonts w:ascii="Times New Roman" w:hAnsi="Times New Roman"/>
                <w:i/>
                <w:sz w:val="24"/>
                <w:szCs w:val="24"/>
              </w:rPr>
            </w:pPr>
            <w:r>
              <w:rPr>
                <w:rFonts w:ascii="Times New Roman" w:hAnsi="Times New Roman"/>
                <w:i/>
                <w:sz w:val="24"/>
              </w:rPr>
              <w:t>Insufficient national capacity to carry out certain activities</w:t>
            </w:r>
          </w:p>
          <w:p w14:paraId="46BDC9D5" w14:textId="77777777" w:rsidR="0076591E" w:rsidRPr="004B5884" w:rsidRDefault="0076591E" w:rsidP="00226DF1">
            <w:pPr>
              <w:spacing w:before="120" w:after="120"/>
              <w:jc w:val="both"/>
              <w:rPr>
                <w:rFonts w:ascii="Times New Roman" w:hAnsi="Times New Roman"/>
                <w:i/>
                <w:sz w:val="24"/>
                <w:szCs w:val="24"/>
              </w:rPr>
            </w:pPr>
          </w:p>
          <w:p w14:paraId="79F4CAAA" w14:textId="77777777" w:rsidR="00F53E9C" w:rsidRPr="004B5884" w:rsidRDefault="00F53E9C" w:rsidP="00226DF1">
            <w:pPr>
              <w:numPr>
                <w:ilvl w:val="0"/>
                <w:numId w:val="11"/>
              </w:numPr>
              <w:spacing w:before="120" w:after="120"/>
              <w:jc w:val="both"/>
              <w:rPr>
                <w:rFonts w:ascii="Times New Roman" w:hAnsi="Times New Roman"/>
                <w:i/>
                <w:sz w:val="24"/>
                <w:szCs w:val="24"/>
              </w:rPr>
            </w:pPr>
            <w:r>
              <w:rPr>
                <w:rFonts w:ascii="Times New Roman" w:hAnsi="Times New Roman"/>
                <w:i/>
                <w:sz w:val="24"/>
              </w:rPr>
              <w:t>Lack of safety that may limit the performance of certain national surveys (SARA, ECV, DQS)</w:t>
            </w:r>
          </w:p>
        </w:tc>
        <w:tc>
          <w:tcPr>
            <w:tcW w:w="2587" w:type="dxa"/>
            <w:shd w:val="clear" w:color="auto" w:fill="FFFFFF"/>
          </w:tcPr>
          <w:p w14:paraId="3F0FD73D" w14:textId="77777777" w:rsidR="00F53E9C" w:rsidRPr="004B5884" w:rsidRDefault="00F53E9C" w:rsidP="00226DF1">
            <w:pPr>
              <w:spacing w:before="120" w:after="120"/>
              <w:jc w:val="both"/>
              <w:rPr>
                <w:rFonts w:ascii="Times New Roman" w:hAnsi="Times New Roman"/>
                <w:i/>
                <w:sz w:val="24"/>
                <w:szCs w:val="24"/>
              </w:rPr>
            </w:pPr>
          </w:p>
          <w:p w14:paraId="5DC1262F"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Low</w:t>
            </w:r>
          </w:p>
          <w:p w14:paraId="55E2CFE9" w14:textId="77777777" w:rsidR="00F53E9C" w:rsidRPr="004B5884" w:rsidRDefault="00F53E9C" w:rsidP="00226DF1">
            <w:pPr>
              <w:spacing w:before="120" w:after="120"/>
              <w:jc w:val="both"/>
              <w:rPr>
                <w:rFonts w:ascii="Times New Roman" w:hAnsi="Times New Roman"/>
                <w:i/>
                <w:sz w:val="24"/>
                <w:szCs w:val="24"/>
              </w:rPr>
            </w:pPr>
          </w:p>
          <w:p w14:paraId="794EFAA1" w14:textId="77777777" w:rsidR="00F53E9C" w:rsidRPr="004B5884" w:rsidRDefault="00F53E9C" w:rsidP="00226DF1">
            <w:pPr>
              <w:spacing w:before="120" w:after="120"/>
              <w:jc w:val="both"/>
              <w:rPr>
                <w:rFonts w:ascii="Times New Roman" w:hAnsi="Times New Roman"/>
                <w:i/>
                <w:sz w:val="24"/>
                <w:szCs w:val="24"/>
              </w:rPr>
            </w:pPr>
          </w:p>
          <w:p w14:paraId="65F1DC49" w14:textId="77777777" w:rsidR="0076591E" w:rsidRPr="004B5884" w:rsidRDefault="0076591E" w:rsidP="00226DF1">
            <w:pPr>
              <w:spacing w:before="120" w:after="120"/>
              <w:jc w:val="both"/>
              <w:rPr>
                <w:rFonts w:ascii="Times New Roman" w:hAnsi="Times New Roman"/>
                <w:i/>
                <w:sz w:val="24"/>
                <w:szCs w:val="24"/>
              </w:rPr>
            </w:pPr>
          </w:p>
          <w:p w14:paraId="0A9CC8A5"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Low</w:t>
            </w:r>
          </w:p>
        </w:tc>
        <w:tc>
          <w:tcPr>
            <w:tcW w:w="2587" w:type="dxa"/>
            <w:shd w:val="clear" w:color="auto" w:fill="FFFFFF"/>
          </w:tcPr>
          <w:p w14:paraId="3BCA198A" w14:textId="77777777" w:rsidR="00F53E9C" w:rsidRPr="004B5884" w:rsidRDefault="00F53E9C" w:rsidP="00226DF1">
            <w:pPr>
              <w:spacing w:before="120" w:after="120"/>
              <w:jc w:val="both"/>
              <w:rPr>
                <w:rFonts w:ascii="Times New Roman" w:hAnsi="Times New Roman"/>
                <w:i/>
                <w:sz w:val="24"/>
                <w:szCs w:val="24"/>
              </w:rPr>
            </w:pPr>
          </w:p>
          <w:p w14:paraId="5342946E"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Low</w:t>
            </w:r>
          </w:p>
          <w:p w14:paraId="3C451CDF" w14:textId="77777777" w:rsidR="00F53E9C" w:rsidRPr="004B5884" w:rsidRDefault="00F53E9C" w:rsidP="00226DF1">
            <w:pPr>
              <w:spacing w:before="120" w:after="120"/>
              <w:jc w:val="both"/>
              <w:rPr>
                <w:rFonts w:ascii="Times New Roman" w:hAnsi="Times New Roman"/>
                <w:i/>
                <w:sz w:val="24"/>
                <w:szCs w:val="24"/>
              </w:rPr>
            </w:pPr>
          </w:p>
          <w:p w14:paraId="427179D8" w14:textId="77777777" w:rsidR="00F53E9C" w:rsidRPr="004B5884" w:rsidRDefault="00F53E9C" w:rsidP="00226DF1">
            <w:pPr>
              <w:spacing w:before="120" w:after="120"/>
              <w:jc w:val="both"/>
              <w:rPr>
                <w:rFonts w:ascii="Times New Roman" w:hAnsi="Times New Roman"/>
                <w:i/>
                <w:sz w:val="24"/>
                <w:szCs w:val="24"/>
              </w:rPr>
            </w:pPr>
          </w:p>
          <w:p w14:paraId="165C1D5A" w14:textId="77777777" w:rsidR="00F53E9C" w:rsidRPr="004B5884" w:rsidRDefault="00F53E9C" w:rsidP="00226DF1">
            <w:pPr>
              <w:spacing w:before="120" w:after="120"/>
              <w:jc w:val="both"/>
              <w:rPr>
                <w:rFonts w:ascii="Times New Roman" w:hAnsi="Times New Roman"/>
                <w:i/>
                <w:sz w:val="24"/>
                <w:szCs w:val="24"/>
              </w:rPr>
            </w:pPr>
          </w:p>
          <w:p w14:paraId="66DEBCEA"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Low</w:t>
            </w:r>
          </w:p>
        </w:tc>
        <w:tc>
          <w:tcPr>
            <w:tcW w:w="3898" w:type="dxa"/>
            <w:shd w:val="clear" w:color="auto" w:fill="FFFFFF"/>
          </w:tcPr>
          <w:p w14:paraId="0A025832" w14:textId="77777777" w:rsidR="00F53E9C" w:rsidRPr="004B5884" w:rsidRDefault="00F53E9C" w:rsidP="00226DF1">
            <w:pPr>
              <w:spacing w:before="120" w:after="120"/>
              <w:jc w:val="both"/>
              <w:rPr>
                <w:rFonts w:ascii="Times New Roman" w:hAnsi="Times New Roman"/>
                <w:i/>
                <w:sz w:val="24"/>
                <w:szCs w:val="24"/>
              </w:rPr>
            </w:pPr>
          </w:p>
          <w:p w14:paraId="16FE1AF5"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The GAVI HSS proposal will fund the AT in order to transfer skills to the national party</w:t>
            </w:r>
          </w:p>
          <w:p w14:paraId="2D5CE399" w14:textId="77777777" w:rsidR="00F53E9C" w:rsidRPr="004B5884" w:rsidRDefault="00F53E9C" w:rsidP="00226DF1">
            <w:pPr>
              <w:spacing w:before="120" w:after="120"/>
              <w:jc w:val="both"/>
              <w:rPr>
                <w:rFonts w:ascii="Times New Roman" w:hAnsi="Times New Roman"/>
                <w:i/>
                <w:sz w:val="24"/>
                <w:szCs w:val="24"/>
              </w:rPr>
            </w:pPr>
          </w:p>
          <w:p w14:paraId="5F944011"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Consideration of this issue in the survey plan if necessary, and adoption of specific measures</w:t>
            </w:r>
          </w:p>
        </w:tc>
      </w:tr>
      <w:tr w:rsidR="00F53E9C" w:rsidRPr="009316FF" w14:paraId="65B59393" w14:textId="77777777" w:rsidTr="004B5884">
        <w:trPr>
          <w:trHeight w:val="171"/>
        </w:trPr>
        <w:tc>
          <w:tcPr>
            <w:tcW w:w="5103" w:type="dxa"/>
            <w:shd w:val="clear" w:color="auto" w:fill="FFFFFF"/>
          </w:tcPr>
          <w:p w14:paraId="7BF06543"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Fiduciary Risks:</w:t>
            </w:r>
          </w:p>
          <w:p w14:paraId="5069B82B" w14:textId="77777777" w:rsidR="00F53E9C" w:rsidRPr="004B5884" w:rsidRDefault="00F53E9C" w:rsidP="00226DF1">
            <w:pPr>
              <w:numPr>
                <w:ilvl w:val="0"/>
                <w:numId w:val="11"/>
              </w:numPr>
              <w:spacing w:before="120" w:after="120"/>
              <w:jc w:val="both"/>
              <w:rPr>
                <w:rFonts w:ascii="Times New Roman" w:hAnsi="Times New Roman"/>
                <w:i/>
                <w:sz w:val="24"/>
                <w:szCs w:val="24"/>
              </w:rPr>
            </w:pPr>
            <w:r>
              <w:rPr>
                <w:rFonts w:ascii="Times New Roman" w:hAnsi="Times New Roman"/>
                <w:i/>
                <w:sz w:val="24"/>
              </w:rPr>
              <w:t>same as Objective 1</w:t>
            </w:r>
          </w:p>
        </w:tc>
        <w:tc>
          <w:tcPr>
            <w:tcW w:w="2587" w:type="dxa"/>
            <w:shd w:val="clear" w:color="auto" w:fill="FFFFFF"/>
          </w:tcPr>
          <w:p w14:paraId="02CB3AFE" w14:textId="77777777" w:rsidR="00F53E9C" w:rsidRPr="004B5884" w:rsidRDefault="00F53E9C" w:rsidP="00226DF1">
            <w:pPr>
              <w:spacing w:before="120" w:after="120"/>
              <w:jc w:val="both"/>
              <w:rPr>
                <w:rFonts w:ascii="Times New Roman" w:hAnsi="Times New Roman"/>
                <w:i/>
                <w:sz w:val="24"/>
                <w:szCs w:val="24"/>
              </w:rPr>
            </w:pPr>
          </w:p>
        </w:tc>
        <w:tc>
          <w:tcPr>
            <w:tcW w:w="2587" w:type="dxa"/>
            <w:shd w:val="clear" w:color="auto" w:fill="FFFFFF"/>
          </w:tcPr>
          <w:p w14:paraId="49A2CEEE" w14:textId="77777777" w:rsidR="00F53E9C" w:rsidRPr="004B5884" w:rsidRDefault="00F53E9C" w:rsidP="00226DF1">
            <w:pPr>
              <w:spacing w:before="120" w:after="120"/>
              <w:jc w:val="both"/>
              <w:rPr>
                <w:rFonts w:ascii="Times New Roman" w:hAnsi="Times New Roman"/>
                <w:i/>
                <w:sz w:val="24"/>
                <w:szCs w:val="24"/>
              </w:rPr>
            </w:pPr>
          </w:p>
        </w:tc>
        <w:tc>
          <w:tcPr>
            <w:tcW w:w="3898" w:type="dxa"/>
            <w:shd w:val="clear" w:color="auto" w:fill="FFFFFF"/>
          </w:tcPr>
          <w:p w14:paraId="05E96432" w14:textId="77777777" w:rsidR="00F53E9C" w:rsidRPr="004B5884" w:rsidRDefault="00F53E9C" w:rsidP="00226DF1">
            <w:pPr>
              <w:spacing w:before="120" w:after="120"/>
              <w:jc w:val="both"/>
              <w:rPr>
                <w:rFonts w:ascii="Times New Roman" w:hAnsi="Times New Roman"/>
                <w:i/>
                <w:sz w:val="24"/>
                <w:szCs w:val="24"/>
              </w:rPr>
            </w:pPr>
          </w:p>
        </w:tc>
      </w:tr>
      <w:tr w:rsidR="00F53E9C" w:rsidRPr="009316FF" w14:paraId="6BC432BA" w14:textId="77777777" w:rsidTr="004B5884">
        <w:trPr>
          <w:trHeight w:val="171"/>
        </w:trPr>
        <w:tc>
          <w:tcPr>
            <w:tcW w:w="5103" w:type="dxa"/>
            <w:shd w:val="clear" w:color="auto" w:fill="FFFFFF"/>
          </w:tcPr>
          <w:p w14:paraId="01EB5E33"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Operational Risks:</w:t>
            </w:r>
          </w:p>
        </w:tc>
        <w:tc>
          <w:tcPr>
            <w:tcW w:w="2587" w:type="dxa"/>
            <w:shd w:val="clear" w:color="auto" w:fill="FFFFFF"/>
          </w:tcPr>
          <w:p w14:paraId="3D897E4E" w14:textId="77777777" w:rsidR="00F53E9C" w:rsidRPr="004B5884" w:rsidRDefault="00F53E9C" w:rsidP="00226DF1">
            <w:pPr>
              <w:spacing w:before="120" w:after="120"/>
              <w:jc w:val="both"/>
              <w:rPr>
                <w:rFonts w:ascii="Times New Roman" w:hAnsi="Times New Roman"/>
                <w:i/>
                <w:sz w:val="24"/>
                <w:szCs w:val="24"/>
              </w:rPr>
            </w:pPr>
          </w:p>
        </w:tc>
        <w:tc>
          <w:tcPr>
            <w:tcW w:w="2587" w:type="dxa"/>
            <w:shd w:val="clear" w:color="auto" w:fill="FFFFFF"/>
          </w:tcPr>
          <w:p w14:paraId="5EBF3D85" w14:textId="77777777" w:rsidR="00F53E9C" w:rsidRPr="004B5884" w:rsidRDefault="00F53E9C" w:rsidP="00226DF1">
            <w:pPr>
              <w:spacing w:before="120" w:after="120"/>
              <w:jc w:val="both"/>
              <w:rPr>
                <w:rFonts w:ascii="Times New Roman" w:hAnsi="Times New Roman"/>
                <w:i/>
                <w:sz w:val="24"/>
                <w:szCs w:val="24"/>
              </w:rPr>
            </w:pPr>
          </w:p>
        </w:tc>
        <w:tc>
          <w:tcPr>
            <w:tcW w:w="3898" w:type="dxa"/>
            <w:shd w:val="clear" w:color="auto" w:fill="FFFFFF"/>
          </w:tcPr>
          <w:p w14:paraId="69A7F739" w14:textId="77777777" w:rsidR="00F53E9C" w:rsidRPr="004B5884" w:rsidRDefault="00F53E9C" w:rsidP="00226DF1">
            <w:pPr>
              <w:spacing w:before="120" w:after="120"/>
              <w:jc w:val="both"/>
              <w:rPr>
                <w:rFonts w:ascii="Times New Roman" w:hAnsi="Times New Roman"/>
                <w:i/>
                <w:sz w:val="24"/>
                <w:szCs w:val="24"/>
              </w:rPr>
            </w:pPr>
          </w:p>
        </w:tc>
      </w:tr>
      <w:tr w:rsidR="00F53E9C" w:rsidRPr="009316FF" w14:paraId="14180476" w14:textId="77777777" w:rsidTr="004B5884">
        <w:trPr>
          <w:trHeight w:val="171"/>
        </w:trPr>
        <w:tc>
          <w:tcPr>
            <w:tcW w:w="5103" w:type="dxa"/>
            <w:shd w:val="clear" w:color="auto" w:fill="FFFFFF"/>
          </w:tcPr>
          <w:p w14:paraId="60DAEE6C"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Programmatic and performance-related risks:</w:t>
            </w:r>
          </w:p>
          <w:p w14:paraId="49F991CE" w14:textId="77777777" w:rsidR="0076591E" w:rsidRPr="004B5884" w:rsidRDefault="0076591E" w:rsidP="00226DF1">
            <w:pPr>
              <w:spacing w:before="120" w:after="120"/>
              <w:jc w:val="both"/>
              <w:rPr>
                <w:rFonts w:ascii="Times New Roman" w:hAnsi="Times New Roman"/>
                <w:i/>
                <w:sz w:val="24"/>
                <w:szCs w:val="24"/>
              </w:rPr>
            </w:pPr>
          </w:p>
        </w:tc>
        <w:tc>
          <w:tcPr>
            <w:tcW w:w="2587" w:type="dxa"/>
            <w:shd w:val="clear" w:color="auto" w:fill="FFFFFF"/>
          </w:tcPr>
          <w:p w14:paraId="065B6D3F" w14:textId="77777777" w:rsidR="00F53E9C" w:rsidRPr="004B5884" w:rsidRDefault="00F53E9C" w:rsidP="00226DF1">
            <w:pPr>
              <w:spacing w:before="120" w:after="120"/>
              <w:jc w:val="both"/>
              <w:rPr>
                <w:rFonts w:ascii="Times New Roman" w:hAnsi="Times New Roman"/>
                <w:i/>
                <w:sz w:val="24"/>
                <w:szCs w:val="24"/>
              </w:rPr>
            </w:pPr>
          </w:p>
        </w:tc>
        <w:tc>
          <w:tcPr>
            <w:tcW w:w="2587" w:type="dxa"/>
            <w:shd w:val="clear" w:color="auto" w:fill="FFFFFF"/>
          </w:tcPr>
          <w:p w14:paraId="7C7AC274" w14:textId="77777777" w:rsidR="00F53E9C" w:rsidRPr="004B5884" w:rsidRDefault="00F53E9C" w:rsidP="00226DF1">
            <w:pPr>
              <w:spacing w:before="120" w:after="120"/>
              <w:jc w:val="both"/>
              <w:rPr>
                <w:rFonts w:ascii="Times New Roman" w:hAnsi="Times New Roman"/>
                <w:i/>
                <w:sz w:val="24"/>
                <w:szCs w:val="24"/>
              </w:rPr>
            </w:pPr>
          </w:p>
        </w:tc>
        <w:tc>
          <w:tcPr>
            <w:tcW w:w="3898" w:type="dxa"/>
            <w:shd w:val="clear" w:color="auto" w:fill="FFFFFF"/>
          </w:tcPr>
          <w:p w14:paraId="0C82E1AB" w14:textId="77777777" w:rsidR="00F53E9C" w:rsidRPr="004B5884" w:rsidRDefault="00F53E9C" w:rsidP="00226DF1">
            <w:pPr>
              <w:spacing w:before="120" w:after="120"/>
              <w:jc w:val="both"/>
              <w:rPr>
                <w:rFonts w:ascii="Times New Roman" w:hAnsi="Times New Roman"/>
                <w:i/>
                <w:sz w:val="24"/>
                <w:szCs w:val="24"/>
              </w:rPr>
            </w:pPr>
          </w:p>
        </w:tc>
      </w:tr>
      <w:tr w:rsidR="00F53E9C" w:rsidRPr="009316FF" w14:paraId="6264A191" w14:textId="77777777" w:rsidTr="004B5884">
        <w:trPr>
          <w:trHeight w:val="171"/>
        </w:trPr>
        <w:tc>
          <w:tcPr>
            <w:tcW w:w="5103" w:type="dxa"/>
            <w:shd w:val="clear" w:color="auto" w:fill="FFFFFF"/>
          </w:tcPr>
          <w:p w14:paraId="786FE434" w14:textId="77777777" w:rsidR="00F53E9C" w:rsidRPr="004B5884" w:rsidRDefault="00F53E9C" w:rsidP="00226DF1">
            <w:pPr>
              <w:spacing w:before="120" w:after="120"/>
              <w:jc w:val="both"/>
              <w:rPr>
                <w:rFonts w:ascii="Times New Roman" w:hAnsi="Times New Roman"/>
                <w:i/>
                <w:sz w:val="24"/>
                <w:szCs w:val="24"/>
              </w:rPr>
            </w:pPr>
            <w:r>
              <w:rPr>
                <w:rFonts w:ascii="Times New Roman" w:hAnsi="Times New Roman"/>
                <w:i/>
                <w:sz w:val="24"/>
              </w:rPr>
              <w:t>Other Risks:</w:t>
            </w:r>
          </w:p>
        </w:tc>
        <w:tc>
          <w:tcPr>
            <w:tcW w:w="2587" w:type="dxa"/>
            <w:shd w:val="clear" w:color="auto" w:fill="FFFFFF"/>
          </w:tcPr>
          <w:p w14:paraId="779287B6" w14:textId="77777777" w:rsidR="00F53E9C" w:rsidRPr="004B5884" w:rsidRDefault="00F53E9C" w:rsidP="00226DF1">
            <w:pPr>
              <w:spacing w:before="120" w:after="120"/>
              <w:jc w:val="both"/>
              <w:rPr>
                <w:rFonts w:ascii="Times New Roman" w:hAnsi="Times New Roman"/>
                <w:i/>
                <w:sz w:val="24"/>
                <w:szCs w:val="24"/>
              </w:rPr>
            </w:pPr>
          </w:p>
        </w:tc>
        <w:tc>
          <w:tcPr>
            <w:tcW w:w="2587" w:type="dxa"/>
            <w:shd w:val="clear" w:color="auto" w:fill="FFFFFF"/>
          </w:tcPr>
          <w:p w14:paraId="4B6D55D1" w14:textId="77777777" w:rsidR="00F53E9C" w:rsidRPr="004B5884" w:rsidRDefault="00F53E9C" w:rsidP="00226DF1">
            <w:pPr>
              <w:spacing w:before="120" w:after="120"/>
              <w:jc w:val="both"/>
              <w:rPr>
                <w:rFonts w:ascii="Times New Roman" w:hAnsi="Times New Roman"/>
                <w:i/>
                <w:sz w:val="24"/>
                <w:szCs w:val="24"/>
              </w:rPr>
            </w:pPr>
          </w:p>
        </w:tc>
        <w:tc>
          <w:tcPr>
            <w:tcW w:w="3898" w:type="dxa"/>
            <w:shd w:val="clear" w:color="auto" w:fill="FFFFFF"/>
          </w:tcPr>
          <w:p w14:paraId="3C8200C7" w14:textId="77777777" w:rsidR="00F53E9C" w:rsidRPr="004B5884" w:rsidRDefault="00F53E9C" w:rsidP="00226DF1">
            <w:pPr>
              <w:spacing w:before="120" w:after="120"/>
              <w:jc w:val="both"/>
              <w:rPr>
                <w:rFonts w:ascii="Times New Roman" w:hAnsi="Times New Roman"/>
                <w:i/>
                <w:sz w:val="24"/>
                <w:szCs w:val="24"/>
              </w:rPr>
            </w:pPr>
          </w:p>
        </w:tc>
      </w:tr>
      <w:tr w:rsidR="00F53E9C" w:rsidRPr="009316FF" w14:paraId="23C16EAD" w14:textId="77777777" w:rsidTr="004B5884">
        <w:trPr>
          <w:trHeight w:val="171"/>
        </w:trPr>
        <w:tc>
          <w:tcPr>
            <w:tcW w:w="5103" w:type="dxa"/>
            <w:shd w:val="clear" w:color="auto" w:fill="FFFFFF"/>
          </w:tcPr>
          <w:p w14:paraId="49971842" w14:textId="674AA4A1"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b/>
                <w:i/>
                <w:sz w:val="24"/>
              </w:rPr>
              <w:t xml:space="preserve">Overall evaluation of risks for Objective 3 </w:t>
            </w:r>
          </w:p>
        </w:tc>
        <w:tc>
          <w:tcPr>
            <w:tcW w:w="2587" w:type="dxa"/>
            <w:shd w:val="clear" w:color="auto" w:fill="FFFFFF"/>
          </w:tcPr>
          <w:p w14:paraId="448A7AFC"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0F9CFBAD"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146FE56E"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28AE8C0A" w14:textId="77777777" w:rsidTr="004B5884">
        <w:trPr>
          <w:trHeight w:val="248"/>
        </w:trPr>
        <w:tc>
          <w:tcPr>
            <w:tcW w:w="14175" w:type="dxa"/>
            <w:gridSpan w:val="4"/>
            <w:shd w:val="clear" w:color="auto" w:fill="FFFFFF"/>
          </w:tcPr>
          <w:p w14:paraId="4EBFA1C9" w14:textId="7BAA8624" w:rsidR="00F53E9C" w:rsidRPr="00D7053F" w:rsidRDefault="00F53E9C" w:rsidP="00226DF1">
            <w:pPr>
              <w:tabs>
                <w:tab w:val="left" w:pos="4020"/>
              </w:tabs>
              <w:spacing w:before="120" w:after="120"/>
              <w:jc w:val="both"/>
              <w:rPr>
                <w:rFonts w:ascii="Times New Roman" w:hAnsi="Times New Roman"/>
                <w:b/>
                <w:i/>
                <w:sz w:val="24"/>
                <w:szCs w:val="24"/>
              </w:rPr>
            </w:pPr>
            <w:r>
              <w:rPr>
                <w:rFonts w:ascii="Times New Roman" w:hAnsi="Times New Roman"/>
                <w:b/>
                <w:sz w:val="24"/>
              </w:rPr>
              <w:t>Objective 4: Improve cold chain capacity and effective vaccine management</w:t>
            </w:r>
          </w:p>
        </w:tc>
      </w:tr>
      <w:tr w:rsidR="00F53E9C" w:rsidRPr="009316FF" w14:paraId="5331FDFB" w14:textId="77777777" w:rsidTr="004B5884">
        <w:trPr>
          <w:trHeight w:val="171"/>
        </w:trPr>
        <w:tc>
          <w:tcPr>
            <w:tcW w:w="5103" w:type="dxa"/>
            <w:shd w:val="clear" w:color="auto" w:fill="FFFFFF"/>
          </w:tcPr>
          <w:p w14:paraId="4B3F2450"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i/>
                <w:sz w:val="24"/>
              </w:rPr>
              <w:t>Institutional Risks:</w:t>
            </w:r>
          </w:p>
        </w:tc>
        <w:tc>
          <w:tcPr>
            <w:tcW w:w="2587" w:type="dxa"/>
            <w:shd w:val="clear" w:color="auto" w:fill="FFFFFF"/>
          </w:tcPr>
          <w:p w14:paraId="5060F23E"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323A24EB"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7BA71087"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5581EE53" w14:textId="77777777" w:rsidTr="004B5884">
        <w:trPr>
          <w:trHeight w:val="171"/>
        </w:trPr>
        <w:tc>
          <w:tcPr>
            <w:tcW w:w="5103" w:type="dxa"/>
            <w:shd w:val="clear" w:color="auto" w:fill="FFFFFF"/>
          </w:tcPr>
          <w:p w14:paraId="3FE97873" w14:textId="77777777" w:rsidR="00F53E9C" w:rsidRPr="004B5884" w:rsidRDefault="00F53E9C" w:rsidP="00226DF1">
            <w:pPr>
              <w:tabs>
                <w:tab w:val="left" w:pos="4020"/>
              </w:tabs>
              <w:spacing w:before="120" w:after="120"/>
              <w:jc w:val="both"/>
              <w:rPr>
                <w:rFonts w:ascii="Times New Roman" w:hAnsi="Times New Roman"/>
                <w:i/>
                <w:sz w:val="24"/>
                <w:szCs w:val="24"/>
              </w:rPr>
            </w:pPr>
            <w:r>
              <w:rPr>
                <w:rFonts w:ascii="Times New Roman" w:hAnsi="Times New Roman"/>
                <w:i/>
                <w:sz w:val="24"/>
              </w:rPr>
              <w:t>Fiduciary Risks:</w:t>
            </w:r>
          </w:p>
          <w:p w14:paraId="7ABEADB0" w14:textId="77777777" w:rsidR="0076591E" w:rsidRPr="004B5884" w:rsidRDefault="0076591E" w:rsidP="00226DF1">
            <w:pPr>
              <w:numPr>
                <w:ilvl w:val="0"/>
                <w:numId w:val="11"/>
              </w:numPr>
              <w:tabs>
                <w:tab w:val="left" w:pos="4020"/>
              </w:tabs>
              <w:spacing w:before="120" w:after="120"/>
              <w:jc w:val="both"/>
              <w:rPr>
                <w:rFonts w:ascii="Times New Roman" w:hAnsi="Times New Roman"/>
                <w:i/>
                <w:sz w:val="24"/>
                <w:szCs w:val="24"/>
              </w:rPr>
            </w:pPr>
            <w:r>
              <w:rPr>
                <w:rFonts w:ascii="Times New Roman" w:hAnsi="Times New Roman"/>
                <w:i/>
                <w:sz w:val="24"/>
              </w:rPr>
              <w:t>same as Objective 1</w:t>
            </w:r>
          </w:p>
        </w:tc>
        <w:tc>
          <w:tcPr>
            <w:tcW w:w="2587" w:type="dxa"/>
            <w:shd w:val="clear" w:color="auto" w:fill="FFFFFF"/>
          </w:tcPr>
          <w:p w14:paraId="001A37F2"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08E0EDE6"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38133FC3" w14:textId="20BE438D"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i/>
                <w:sz w:val="24"/>
              </w:rPr>
              <w:t>Cold chain equipment will be acquired through UNIPAC central procurement.</w:t>
            </w:r>
          </w:p>
        </w:tc>
      </w:tr>
      <w:tr w:rsidR="00F53E9C" w:rsidRPr="009316FF" w14:paraId="0CF3E307" w14:textId="77777777" w:rsidTr="004B5884">
        <w:trPr>
          <w:trHeight w:val="171"/>
        </w:trPr>
        <w:tc>
          <w:tcPr>
            <w:tcW w:w="5103" w:type="dxa"/>
            <w:shd w:val="clear" w:color="auto" w:fill="FFFFFF"/>
          </w:tcPr>
          <w:p w14:paraId="74A0D68B"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i/>
                <w:sz w:val="24"/>
              </w:rPr>
              <w:t>Operational Risks:</w:t>
            </w:r>
          </w:p>
        </w:tc>
        <w:tc>
          <w:tcPr>
            <w:tcW w:w="2587" w:type="dxa"/>
            <w:shd w:val="clear" w:color="auto" w:fill="FFFFFF"/>
          </w:tcPr>
          <w:p w14:paraId="59537E04"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73165277"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3A669877"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5383FBB8" w14:textId="77777777" w:rsidTr="004B5884">
        <w:trPr>
          <w:trHeight w:val="171"/>
        </w:trPr>
        <w:tc>
          <w:tcPr>
            <w:tcW w:w="5103" w:type="dxa"/>
            <w:shd w:val="clear" w:color="auto" w:fill="FFFFFF"/>
          </w:tcPr>
          <w:p w14:paraId="03593633" w14:textId="77777777" w:rsidR="003163D2" w:rsidRPr="004B5884" w:rsidRDefault="00F53E9C" w:rsidP="00226DF1">
            <w:pPr>
              <w:tabs>
                <w:tab w:val="left" w:pos="4020"/>
              </w:tabs>
              <w:spacing w:before="120" w:after="120"/>
              <w:jc w:val="both"/>
              <w:rPr>
                <w:rFonts w:ascii="Times New Roman" w:hAnsi="Times New Roman"/>
                <w:i/>
                <w:sz w:val="24"/>
                <w:szCs w:val="24"/>
              </w:rPr>
            </w:pPr>
            <w:r>
              <w:rPr>
                <w:rFonts w:ascii="Times New Roman" w:hAnsi="Times New Roman"/>
                <w:i/>
                <w:sz w:val="24"/>
              </w:rPr>
              <w:t>Programmatic and performance-related risks:</w:t>
            </w:r>
          </w:p>
        </w:tc>
        <w:tc>
          <w:tcPr>
            <w:tcW w:w="2587" w:type="dxa"/>
            <w:shd w:val="clear" w:color="auto" w:fill="FFFFFF"/>
          </w:tcPr>
          <w:p w14:paraId="1080EDEA"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3D33E401"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0ABEC479"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7CDE60E2" w14:textId="77777777" w:rsidTr="004B5884">
        <w:trPr>
          <w:trHeight w:val="171"/>
        </w:trPr>
        <w:tc>
          <w:tcPr>
            <w:tcW w:w="5103" w:type="dxa"/>
            <w:shd w:val="clear" w:color="auto" w:fill="FFFFFF"/>
          </w:tcPr>
          <w:p w14:paraId="095CB0AB"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i/>
                <w:sz w:val="24"/>
              </w:rPr>
              <w:t>Other Risks:</w:t>
            </w:r>
          </w:p>
        </w:tc>
        <w:tc>
          <w:tcPr>
            <w:tcW w:w="2587" w:type="dxa"/>
            <w:shd w:val="clear" w:color="auto" w:fill="FFFFFF"/>
          </w:tcPr>
          <w:p w14:paraId="43F23609"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3E0FCDAA"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7F51B6CA"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582677B4" w14:textId="77777777" w:rsidTr="004B5884">
        <w:trPr>
          <w:trHeight w:val="171"/>
        </w:trPr>
        <w:tc>
          <w:tcPr>
            <w:tcW w:w="5103" w:type="dxa"/>
            <w:shd w:val="clear" w:color="auto" w:fill="FFFFFF"/>
          </w:tcPr>
          <w:p w14:paraId="7A37C7E4" w14:textId="753A2452"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b/>
                <w:i/>
                <w:sz w:val="24"/>
              </w:rPr>
              <w:t>Overall Risk Rating for Objective 4</w:t>
            </w:r>
          </w:p>
        </w:tc>
        <w:tc>
          <w:tcPr>
            <w:tcW w:w="2587" w:type="dxa"/>
            <w:shd w:val="clear" w:color="auto" w:fill="FFFFFF"/>
          </w:tcPr>
          <w:p w14:paraId="48FC7787"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18826012"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5CAC46D6"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45D12BE9" w14:textId="77777777" w:rsidTr="00FE3474">
        <w:trPr>
          <w:trHeight w:val="171"/>
        </w:trPr>
        <w:tc>
          <w:tcPr>
            <w:tcW w:w="14175" w:type="dxa"/>
            <w:gridSpan w:val="4"/>
            <w:shd w:val="clear" w:color="auto" w:fill="FFFFFF"/>
          </w:tcPr>
          <w:p w14:paraId="56CB06D0" w14:textId="77777777" w:rsidR="00F53E9C" w:rsidRPr="00D7053F" w:rsidRDefault="00F53E9C" w:rsidP="00226DF1">
            <w:pPr>
              <w:tabs>
                <w:tab w:val="left" w:pos="4020"/>
              </w:tabs>
              <w:spacing w:before="120" w:after="120"/>
              <w:jc w:val="both"/>
              <w:rPr>
                <w:rFonts w:ascii="Times New Roman" w:hAnsi="Times New Roman"/>
                <w:b/>
                <w:i/>
                <w:sz w:val="24"/>
                <w:szCs w:val="24"/>
              </w:rPr>
            </w:pPr>
            <w:r>
              <w:rPr>
                <w:rFonts w:ascii="Times New Roman" w:hAnsi="Times New Roman"/>
                <w:b/>
                <w:sz w:val="24"/>
              </w:rPr>
              <w:t>Objective 5: Improve immunization financing by communities and municipalities.</w:t>
            </w:r>
          </w:p>
        </w:tc>
      </w:tr>
      <w:tr w:rsidR="00F53E9C" w:rsidRPr="009316FF" w14:paraId="2B6CADDC" w14:textId="77777777" w:rsidTr="004B5884">
        <w:trPr>
          <w:trHeight w:val="171"/>
        </w:trPr>
        <w:tc>
          <w:tcPr>
            <w:tcW w:w="5103" w:type="dxa"/>
            <w:shd w:val="clear" w:color="auto" w:fill="FFFFFF"/>
          </w:tcPr>
          <w:p w14:paraId="048E5507" w14:textId="77777777" w:rsidR="00AF540C" w:rsidRPr="004B5884" w:rsidRDefault="00F53E9C" w:rsidP="00226DF1">
            <w:pPr>
              <w:tabs>
                <w:tab w:val="left" w:pos="4020"/>
              </w:tabs>
              <w:spacing w:before="120" w:after="120"/>
              <w:jc w:val="both"/>
              <w:rPr>
                <w:rFonts w:ascii="Times New Roman" w:hAnsi="Times New Roman"/>
                <w:i/>
                <w:sz w:val="24"/>
                <w:szCs w:val="24"/>
              </w:rPr>
            </w:pPr>
            <w:r>
              <w:rPr>
                <w:rFonts w:ascii="Times New Roman" w:hAnsi="Times New Roman"/>
                <w:i/>
                <w:sz w:val="24"/>
              </w:rPr>
              <w:t>Institutional Risks:</w:t>
            </w:r>
          </w:p>
          <w:p w14:paraId="636096AD" w14:textId="049E4B9D" w:rsidR="003163D2" w:rsidRPr="004B5884" w:rsidRDefault="00F40797" w:rsidP="00226DF1">
            <w:pPr>
              <w:numPr>
                <w:ilvl w:val="0"/>
                <w:numId w:val="11"/>
              </w:numPr>
              <w:tabs>
                <w:tab w:val="left" w:pos="4020"/>
              </w:tabs>
              <w:spacing w:before="120" w:after="120"/>
              <w:jc w:val="both"/>
              <w:rPr>
                <w:rFonts w:ascii="Times New Roman" w:hAnsi="Times New Roman"/>
                <w:i/>
                <w:sz w:val="24"/>
                <w:szCs w:val="24"/>
              </w:rPr>
            </w:pPr>
            <w:r>
              <w:rPr>
                <w:rFonts w:ascii="Times New Roman" w:hAnsi="Times New Roman"/>
                <w:i/>
                <w:sz w:val="24"/>
              </w:rPr>
              <w:t>Fiscal basis limited at the level of certain municipalities</w:t>
            </w:r>
          </w:p>
        </w:tc>
        <w:tc>
          <w:tcPr>
            <w:tcW w:w="2587" w:type="dxa"/>
            <w:shd w:val="clear" w:color="auto" w:fill="FFFFFF"/>
          </w:tcPr>
          <w:p w14:paraId="0B816057"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7D5995E2"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70D80CB7"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2DCD9188" w14:textId="77777777" w:rsidTr="006A7A10">
        <w:trPr>
          <w:trHeight w:val="171"/>
        </w:trPr>
        <w:tc>
          <w:tcPr>
            <w:tcW w:w="5103" w:type="dxa"/>
            <w:shd w:val="clear" w:color="auto" w:fill="FFFFFF"/>
          </w:tcPr>
          <w:p w14:paraId="0356A1A0" w14:textId="77777777" w:rsidR="00F53E9C" w:rsidRPr="004B5884" w:rsidRDefault="00F53E9C" w:rsidP="00226DF1">
            <w:pPr>
              <w:tabs>
                <w:tab w:val="left" w:pos="4020"/>
              </w:tabs>
              <w:spacing w:before="120" w:after="120"/>
              <w:jc w:val="both"/>
              <w:rPr>
                <w:rFonts w:ascii="Times New Roman" w:hAnsi="Times New Roman"/>
                <w:i/>
                <w:sz w:val="24"/>
                <w:szCs w:val="24"/>
              </w:rPr>
            </w:pPr>
            <w:r>
              <w:rPr>
                <w:rFonts w:ascii="Times New Roman" w:hAnsi="Times New Roman"/>
                <w:i/>
                <w:sz w:val="24"/>
              </w:rPr>
              <w:t>Fiduciary Risks:</w:t>
            </w:r>
          </w:p>
          <w:p w14:paraId="2D831C4A" w14:textId="4BEEF85B" w:rsidR="003163D2" w:rsidRPr="004B5884" w:rsidRDefault="003163D2" w:rsidP="00226DF1">
            <w:pPr>
              <w:numPr>
                <w:ilvl w:val="0"/>
                <w:numId w:val="11"/>
              </w:numPr>
              <w:tabs>
                <w:tab w:val="left" w:pos="4020"/>
              </w:tabs>
              <w:spacing w:before="120" w:after="120"/>
              <w:jc w:val="both"/>
              <w:rPr>
                <w:rFonts w:ascii="Times New Roman" w:hAnsi="Times New Roman"/>
                <w:i/>
                <w:sz w:val="24"/>
                <w:szCs w:val="24"/>
              </w:rPr>
            </w:pPr>
            <w:r>
              <w:rPr>
                <w:rFonts w:ascii="Times New Roman" w:hAnsi="Times New Roman"/>
                <w:i/>
                <w:sz w:val="24"/>
              </w:rPr>
              <w:t>Delay in disbursement of funds to local municipalities by the State</w:t>
            </w:r>
          </w:p>
          <w:p w14:paraId="19E12052" w14:textId="77777777" w:rsidR="003163D2" w:rsidRPr="004B5884" w:rsidRDefault="003163D2" w:rsidP="00226DF1">
            <w:pPr>
              <w:tabs>
                <w:tab w:val="left" w:pos="4020"/>
              </w:tabs>
              <w:spacing w:before="120" w:after="120"/>
              <w:jc w:val="both"/>
              <w:rPr>
                <w:rFonts w:ascii="Times New Roman" w:hAnsi="Times New Roman"/>
                <w:i/>
                <w:sz w:val="24"/>
                <w:szCs w:val="24"/>
              </w:rPr>
            </w:pPr>
          </w:p>
          <w:p w14:paraId="6CA1B0AB" w14:textId="77777777" w:rsidR="00B34319" w:rsidRPr="004B5884" w:rsidRDefault="00B34319" w:rsidP="00226DF1">
            <w:pPr>
              <w:tabs>
                <w:tab w:val="left" w:pos="4020"/>
              </w:tabs>
              <w:spacing w:before="120" w:after="120"/>
              <w:jc w:val="both"/>
              <w:rPr>
                <w:rFonts w:ascii="Times New Roman" w:hAnsi="Times New Roman"/>
                <w:i/>
                <w:sz w:val="24"/>
                <w:szCs w:val="24"/>
              </w:rPr>
            </w:pPr>
          </w:p>
          <w:p w14:paraId="120389E2" w14:textId="77777777" w:rsidR="003163D2" w:rsidRPr="004B5884" w:rsidRDefault="003163D2" w:rsidP="00226DF1">
            <w:pPr>
              <w:numPr>
                <w:ilvl w:val="0"/>
                <w:numId w:val="11"/>
              </w:numPr>
              <w:tabs>
                <w:tab w:val="left" w:pos="4020"/>
              </w:tabs>
              <w:spacing w:before="120" w:after="120"/>
              <w:jc w:val="both"/>
              <w:rPr>
                <w:rFonts w:ascii="Times New Roman" w:hAnsi="Times New Roman"/>
                <w:i/>
                <w:sz w:val="24"/>
                <w:szCs w:val="24"/>
              </w:rPr>
            </w:pPr>
            <w:r>
              <w:rPr>
                <w:rFonts w:ascii="Times New Roman" w:hAnsi="Times New Roman"/>
                <w:i/>
                <w:sz w:val="24"/>
              </w:rPr>
              <w:t>Poor use of funds at the local level</w:t>
            </w:r>
          </w:p>
        </w:tc>
        <w:tc>
          <w:tcPr>
            <w:tcW w:w="2587" w:type="dxa"/>
            <w:shd w:val="clear" w:color="auto" w:fill="FFFFFF"/>
          </w:tcPr>
          <w:p w14:paraId="2CCD5D06" w14:textId="77777777" w:rsidR="00F53E9C" w:rsidRPr="004B5884" w:rsidRDefault="00F53E9C" w:rsidP="00226DF1">
            <w:pPr>
              <w:tabs>
                <w:tab w:val="left" w:pos="4020"/>
              </w:tabs>
              <w:spacing w:before="120" w:after="120"/>
              <w:jc w:val="both"/>
              <w:rPr>
                <w:rFonts w:ascii="Times New Roman" w:hAnsi="Times New Roman"/>
                <w:i/>
                <w:sz w:val="24"/>
                <w:szCs w:val="24"/>
              </w:rPr>
            </w:pPr>
          </w:p>
          <w:p w14:paraId="5D767250" w14:textId="77777777" w:rsidR="003163D2" w:rsidRPr="004B5884" w:rsidRDefault="00262EBA" w:rsidP="00226DF1">
            <w:pPr>
              <w:tabs>
                <w:tab w:val="left" w:pos="4020"/>
              </w:tabs>
              <w:spacing w:before="120" w:after="120"/>
              <w:jc w:val="both"/>
              <w:rPr>
                <w:rFonts w:ascii="Times New Roman" w:hAnsi="Times New Roman"/>
                <w:i/>
                <w:sz w:val="24"/>
                <w:szCs w:val="24"/>
              </w:rPr>
            </w:pPr>
            <w:r>
              <w:rPr>
                <w:rFonts w:ascii="Times New Roman" w:hAnsi="Times New Roman"/>
                <w:i/>
                <w:sz w:val="24"/>
              </w:rPr>
              <w:t>Average</w:t>
            </w:r>
          </w:p>
          <w:p w14:paraId="240C5DAD" w14:textId="77777777" w:rsidR="003163D2" w:rsidRPr="004B5884" w:rsidRDefault="003163D2" w:rsidP="00226DF1">
            <w:pPr>
              <w:tabs>
                <w:tab w:val="left" w:pos="4020"/>
              </w:tabs>
              <w:spacing w:before="120" w:after="120"/>
              <w:jc w:val="both"/>
              <w:rPr>
                <w:rFonts w:ascii="Times New Roman" w:hAnsi="Times New Roman"/>
                <w:i/>
                <w:sz w:val="24"/>
                <w:szCs w:val="24"/>
              </w:rPr>
            </w:pPr>
          </w:p>
          <w:p w14:paraId="09727DEF" w14:textId="77777777" w:rsidR="003163D2" w:rsidRPr="004B5884" w:rsidRDefault="003163D2" w:rsidP="00226DF1">
            <w:pPr>
              <w:tabs>
                <w:tab w:val="left" w:pos="4020"/>
              </w:tabs>
              <w:spacing w:before="120" w:after="120"/>
              <w:jc w:val="both"/>
              <w:rPr>
                <w:rFonts w:ascii="Times New Roman" w:hAnsi="Times New Roman"/>
                <w:i/>
                <w:sz w:val="24"/>
                <w:szCs w:val="24"/>
              </w:rPr>
            </w:pPr>
          </w:p>
          <w:p w14:paraId="0855E343" w14:textId="77777777" w:rsidR="003163D2" w:rsidRPr="004B5884" w:rsidRDefault="003163D2" w:rsidP="00226DF1">
            <w:pPr>
              <w:tabs>
                <w:tab w:val="left" w:pos="4020"/>
              </w:tabs>
              <w:spacing w:before="120" w:after="120"/>
              <w:jc w:val="both"/>
              <w:rPr>
                <w:rFonts w:ascii="Times New Roman" w:hAnsi="Times New Roman"/>
                <w:i/>
                <w:sz w:val="24"/>
                <w:szCs w:val="24"/>
              </w:rPr>
            </w:pPr>
          </w:p>
          <w:p w14:paraId="61FC45F9" w14:textId="77777777" w:rsidR="00B34319" w:rsidRPr="004B5884" w:rsidRDefault="00B34319" w:rsidP="00226DF1">
            <w:pPr>
              <w:tabs>
                <w:tab w:val="left" w:pos="4020"/>
              </w:tabs>
              <w:spacing w:before="120" w:after="120"/>
              <w:jc w:val="both"/>
              <w:rPr>
                <w:rFonts w:ascii="Times New Roman" w:hAnsi="Times New Roman"/>
                <w:i/>
                <w:sz w:val="24"/>
                <w:szCs w:val="24"/>
              </w:rPr>
            </w:pPr>
          </w:p>
          <w:p w14:paraId="261549FC" w14:textId="77777777" w:rsidR="003163D2" w:rsidRPr="004B5884" w:rsidRDefault="00262EBA" w:rsidP="00226DF1">
            <w:pPr>
              <w:tabs>
                <w:tab w:val="left" w:pos="4020"/>
              </w:tabs>
              <w:spacing w:before="120" w:after="120"/>
              <w:jc w:val="both"/>
              <w:rPr>
                <w:rFonts w:ascii="Times New Roman" w:hAnsi="Times New Roman"/>
                <w:i/>
                <w:sz w:val="24"/>
                <w:szCs w:val="24"/>
              </w:rPr>
            </w:pPr>
            <w:r>
              <w:rPr>
                <w:rFonts w:ascii="Times New Roman" w:hAnsi="Times New Roman"/>
                <w:i/>
                <w:sz w:val="24"/>
              </w:rPr>
              <w:t>Average</w:t>
            </w:r>
          </w:p>
        </w:tc>
        <w:tc>
          <w:tcPr>
            <w:tcW w:w="2587" w:type="dxa"/>
            <w:shd w:val="clear" w:color="auto" w:fill="FFFFFF"/>
          </w:tcPr>
          <w:p w14:paraId="19C40AF0" w14:textId="77777777" w:rsidR="00F53E9C" w:rsidRPr="004B5884" w:rsidRDefault="00F53E9C" w:rsidP="00226DF1">
            <w:pPr>
              <w:tabs>
                <w:tab w:val="left" w:pos="4020"/>
              </w:tabs>
              <w:spacing w:before="120" w:after="120"/>
              <w:jc w:val="both"/>
              <w:rPr>
                <w:rFonts w:ascii="Times New Roman" w:hAnsi="Times New Roman"/>
                <w:i/>
                <w:sz w:val="24"/>
                <w:szCs w:val="24"/>
              </w:rPr>
            </w:pPr>
          </w:p>
          <w:p w14:paraId="10E44A1E" w14:textId="77777777" w:rsidR="00262EBA" w:rsidRPr="004B5884" w:rsidRDefault="00262EBA" w:rsidP="00226DF1">
            <w:pPr>
              <w:tabs>
                <w:tab w:val="left" w:pos="4020"/>
              </w:tabs>
              <w:spacing w:before="120" w:after="120"/>
              <w:jc w:val="both"/>
              <w:rPr>
                <w:rFonts w:ascii="Times New Roman" w:hAnsi="Times New Roman"/>
                <w:i/>
                <w:sz w:val="24"/>
                <w:szCs w:val="24"/>
              </w:rPr>
            </w:pPr>
            <w:r>
              <w:rPr>
                <w:rFonts w:ascii="Times New Roman" w:hAnsi="Times New Roman"/>
                <w:i/>
                <w:sz w:val="24"/>
              </w:rPr>
              <w:t xml:space="preserve">Low </w:t>
            </w:r>
          </w:p>
          <w:p w14:paraId="20FC2BD4" w14:textId="77777777" w:rsidR="00262EBA" w:rsidRPr="004B5884" w:rsidRDefault="00262EBA" w:rsidP="00226DF1">
            <w:pPr>
              <w:tabs>
                <w:tab w:val="left" w:pos="4020"/>
              </w:tabs>
              <w:spacing w:before="120" w:after="120"/>
              <w:jc w:val="both"/>
              <w:rPr>
                <w:rFonts w:ascii="Times New Roman" w:hAnsi="Times New Roman"/>
                <w:i/>
                <w:sz w:val="24"/>
                <w:szCs w:val="24"/>
              </w:rPr>
            </w:pPr>
          </w:p>
          <w:p w14:paraId="052A3012" w14:textId="77777777" w:rsidR="00262EBA" w:rsidRPr="004B5884" w:rsidRDefault="00262EBA" w:rsidP="00226DF1">
            <w:pPr>
              <w:tabs>
                <w:tab w:val="left" w:pos="4020"/>
              </w:tabs>
              <w:spacing w:before="120" w:after="120"/>
              <w:jc w:val="both"/>
              <w:rPr>
                <w:rFonts w:ascii="Times New Roman" w:hAnsi="Times New Roman"/>
                <w:i/>
                <w:sz w:val="24"/>
                <w:szCs w:val="24"/>
              </w:rPr>
            </w:pPr>
          </w:p>
          <w:p w14:paraId="3E82E407" w14:textId="77777777" w:rsidR="00262EBA" w:rsidRPr="004B5884" w:rsidRDefault="00262EBA" w:rsidP="00226DF1">
            <w:pPr>
              <w:tabs>
                <w:tab w:val="left" w:pos="4020"/>
              </w:tabs>
              <w:spacing w:before="120" w:after="120"/>
              <w:jc w:val="both"/>
              <w:rPr>
                <w:rFonts w:ascii="Times New Roman" w:hAnsi="Times New Roman"/>
                <w:i/>
                <w:sz w:val="24"/>
                <w:szCs w:val="24"/>
              </w:rPr>
            </w:pPr>
          </w:p>
          <w:p w14:paraId="3E72B0F1" w14:textId="77777777" w:rsidR="00B34319" w:rsidRPr="004B5884" w:rsidRDefault="00B34319" w:rsidP="00226DF1">
            <w:pPr>
              <w:tabs>
                <w:tab w:val="left" w:pos="4020"/>
              </w:tabs>
              <w:spacing w:before="120" w:after="120"/>
              <w:jc w:val="both"/>
              <w:rPr>
                <w:rFonts w:ascii="Times New Roman" w:hAnsi="Times New Roman"/>
                <w:i/>
                <w:sz w:val="24"/>
                <w:szCs w:val="24"/>
              </w:rPr>
            </w:pPr>
          </w:p>
          <w:p w14:paraId="50FAE391" w14:textId="77777777" w:rsidR="00262EBA" w:rsidRPr="004B5884" w:rsidRDefault="00262EBA" w:rsidP="00226DF1">
            <w:pPr>
              <w:tabs>
                <w:tab w:val="left" w:pos="4020"/>
              </w:tabs>
              <w:spacing w:before="120" w:after="120"/>
              <w:jc w:val="both"/>
              <w:rPr>
                <w:rFonts w:ascii="Times New Roman" w:hAnsi="Times New Roman"/>
                <w:i/>
                <w:sz w:val="24"/>
                <w:szCs w:val="24"/>
              </w:rPr>
            </w:pPr>
            <w:r>
              <w:rPr>
                <w:rFonts w:ascii="Times New Roman" w:hAnsi="Times New Roman"/>
                <w:i/>
                <w:sz w:val="24"/>
              </w:rPr>
              <w:t>Medium</w:t>
            </w:r>
          </w:p>
        </w:tc>
        <w:tc>
          <w:tcPr>
            <w:tcW w:w="3898" w:type="dxa"/>
            <w:shd w:val="clear" w:color="auto" w:fill="FFFFFF"/>
          </w:tcPr>
          <w:p w14:paraId="43F91F98" w14:textId="77777777" w:rsidR="00F53E9C" w:rsidRPr="004B5884" w:rsidRDefault="00F53E9C" w:rsidP="00226DF1">
            <w:pPr>
              <w:tabs>
                <w:tab w:val="left" w:pos="4020"/>
              </w:tabs>
              <w:spacing w:before="120" w:after="120"/>
              <w:jc w:val="both"/>
              <w:rPr>
                <w:rFonts w:ascii="Times New Roman" w:hAnsi="Times New Roman"/>
                <w:b/>
                <w:i/>
                <w:sz w:val="24"/>
                <w:szCs w:val="24"/>
              </w:rPr>
            </w:pPr>
          </w:p>
          <w:p w14:paraId="473DF5F7" w14:textId="77777777" w:rsidR="00262EBA" w:rsidRPr="004B5884" w:rsidRDefault="00262EBA" w:rsidP="00226DF1">
            <w:pPr>
              <w:tabs>
                <w:tab w:val="left" w:pos="4020"/>
              </w:tabs>
              <w:spacing w:before="120" w:after="120"/>
              <w:jc w:val="both"/>
              <w:rPr>
                <w:rFonts w:ascii="Times New Roman" w:hAnsi="Times New Roman"/>
                <w:i/>
                <w:sz w:val="24"/>
                <w:szCs w:val="24"/>
              </w:rPr>
            </w:pPr>
            <w:r>
              <w:rPr>
                <w:rFonts w:ascii="Times New Roman" w:hAnsi="Times New Roman"/>
                <w:i/>
                <w:sz w:val="24"/>
              </w:rPr>
              <w:t>Existence of support for strengthening the chain for payment of public expenditures</w:t>
            </w:r>
          </w:p>
          <w:p w14:paraId="2F11E637" w14:textId="77777777" w:rsidR="00B34319" w:rsidRPr="004B5884" w:rsidRDefault="00B34319" w:rsidP="00226DF1">
            <w:pPr>
              <w:tabs>
                <w:tab w:val="left" w:pos="4020"/>
              </w:tabs>
              <w:spacing w:before="120" w:after="120"/>
              <w:jc w:val="both"/>
              <w:rPr>
                <w:rFonts w:ascii="Times New Roman" w:hAnsi="Times New Roman"/>
                <w:b/>
                <w:i/>
                <w:sz w:val="24"/>
                <w:szCs w:val="24"/>
              </w:rPr>
            </w:pPr>
            <w:r>
              <w:rPr>
                <w:rFonts w:ascii="Times New Roman" w:hAnsi="Times New Roman"/>
                <w:i/>
                <w:sz w:val="24"/>
              </w:rPr>
              <w:t>Recovery of budget support from Technical and Financial Partners</w:t>
            </w:r>
          </w:p>
          <w:p w14:paraId="5CB98B85" w14:textId="77777777" w:rsidR="00262EBA" w:rsidRPr="004B5884" w:rsidRDefault="00262EBA" w:rsidP="00226DF1">
            <w:pPr>
              <w:tabs>
                <w:tab w:val="left" w:pos="4020"/>
              </w:tabs>
              <w:spacing w:before="120" w:after="120"/>
              <w:jc w:val="both"/>
              <w:rPr>
                <w:rFonts w:ascii="Times New Roman" w:hAnsi="Times New Roman"/>
                <w:b/>
                <w:i/>
                <w:sz w:val="24"/>
                <w:szCs w:val="24"/>
              </w:rPr>
            </w:pPr>
          </w:p>
          <w:p w14:paraId="552A485A" w14:textId="77777777" w:rsidR="00262EBA" w:rsidRPr="004B5884" w:rsidRDefault="00262EBA" w:rsidP="00226DF1">
            <w:pPr>
              <w:spacing w:before="120" w:after="120"/>
              <w:jc w:val="both"/>
              <w:rPr>
                <w:rFonts w:ascii="Times New Roman" w:hAnsi="Times New Roman"/>
                <w:i/>
                <w:sz w:val="24"/>
                <w:szCs w:val="24"/>
              </w:rPr>
            </w:pPr>
            <w:r>
              <w:rPr>
                <w:rFonts w:ascii="Times New Roman" w:hAnsi="Times New Roman"/>
                <w:i/>
                <w:sz w:val="24"/>
              </w:rPr>
              <w:t>Performance of administrative auditing through the prefect. Separation of ordering, payment and verification function Civil Society involvement in the auditing of municipality expenses.</w:t>
            </w:r>
          </w:p>
          <w:p w14:paraId="52269922" w14:textId="77777777" w:rsidR="00262EBA" w:rsidRPr="004B5884" w:rsidRDefault="00262EBA" w:rsidP="00226DF1">
            <w:pPr>
              <w:tabs>
                <w:tab w:val="left" w:pos="4020"/>
              </w:tabs>
              <w:spacing w:before="120" w:after="120"/>
              <w:jc w:val="both"/>
              <w:rPr>
                <w:rFonts w:ascii="Times New Roman" w:hAnsi="Times New Roman"/>
                <w:b/>
                <w:i/>
                <w:sz w:val="24"/>
                <w:szCs w:val="24"/>
              </w:rPr>
            </w:pPr>
          </w:p>
        </w:tc>
      </w:tr>
      <w:tr w:rsidR="00F53E9C" w:rsidRPr="009316FF" w14:paraId="0F582A76" w14:textId="77777777" w:rsidTr="006A7A10">
        <w:trPr>
          <w:trHeight w:val="171"/>
        </w:trPr>
        <w:tc>
          <w:tcPr>
            <w:tcW w:w="5103" w:type="dxa"/>
            <w:shd w:val="clear" w:color="auto" w:fill="FFFFFF"/>
          </w:tcPr>
          <w:p w14:paraId="4254E2A0"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i/>
                <w:sz w:val="24"/>
              </w:rPr>
              <w:t>Operational Risks:</w:t>
            </w:r>
          </w:p>
        </w:tc>
        <w:tc>
          <w:tcPr>
            <w:tcW w:w="2587" w:type="dxa"/>
            <w:shd w:val="clear" w:color="auto" w:fill="FFFFFF"/>
          </w:tcPr>
          <w:p w14:paraId="4D86F442"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4D55638A"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5FD87D9F"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1697BAD7" w14:textId="77777777" w:rsidTr="006A7A10">
        <w:trPr>
          <w:trHeight w:val="171"/>
        </w:trPr>
        <w:tc>
          <w:tcPr>
            <w:tcW w:w="5103" w:type="dxa"/>
            <w:shd w:val="clear" w:color="auto" w:fill="FFFFFF"/>
          </w:tcPr>
          <w:p w14:paraId="4461A159" w14:textId="77777777" w:rsidR="00F53E9C" w:rsidRPr="004B5884" w:rsidRDefault="00F53E9C" w:rsidP="00226DF1">
            <w:pPr>
              <w:tabs>
                <w:tab w:val="left" w:pos="4020"/>
              </w:tabs>
              <w:spacing w:before="120" w:after="120"/>
              <w:jc w:val="both"/>
              <w:rPr>
                <w:rFonts w:ascii="Times New Roman" w:hAnsi="Times New Roman"/>
                <w:i/>
                <w:sz w:val="24"/>
                <w:szCs w:val="24"/>
              </w:rPr>
            </w:pPr>
            <w:r>
              <w:rPr>
                <w:rFonts w:ascii="Times New Roman" w:hAnsi="Times New Roman"/>
                <w:i/>
                <w:sz w:val="24"/>
              </w:rPr>
              <w:t>Programmatic and performance-related risks:</w:t>
            </w:r>
          </w:p>
          <w:p w14:paraId="70779AD0" w14:textId="77777777" w:rsidR="003163D2" w:rsidRPr="004B5884" w:rsidRDefault="003163D2" w:rsidP="00226DF1">
            <w:pPr>
              <w:numPr>
                <w:ilvl w:val="0"/>
                <w:numId w:val="11"/>
              </w:numPr>
              <w:tabs>
                <w:tab w:val="left" w:pos="4020"/>
              </w:tabs>
              <w:spacing w:before="120" w:after="120"/>
              <w:jc w:val="both"/>
              <w:rPr>
                <w:rFonts w:ascii="Times New Roman" w:hAnsi="Times New Roman"/>
                <w:i/>
                <w:sz w:val="24"/>
                <w:szCs w:val="24"/>
              </w:rPr>
            </w:pPr>
            <w:r>
              <w:rPr>
                <w:rFonts w:ascii="Times New Roman" w:hAnsi="Times New Roman"/>
                <w:i/>
                <w:sz w:val="24"/>
              </w:rPr>
              <w:t>Low mobilization of local resources in support of immunization</w:t>
            </w:r>
          </w:p>
        </w:tc>
        <w:tc>
          <w:tcPr>
            <w:tcW w:w="2587" w:type="dxa"/>
            <w:shd w:val="clear" w:color="auto" w:fill="FFFFFF"/>
          </w:tcPr>
          <w:p w14:paraId="377B0258" w14:textId="77777777" w:rsidR="00F53E9C" w:rsidRPr="004B5884" w:rsidRDefault="00F53E9C" w:rsidP="00226DF1">
            <w:pPr>
              <w:tabs>
                <w:tab w:val="left" w:pos="4020"/>
              </w:tabs>
              <w:spacing w:before="120" w:after="120"/>
              <w:jc w:val="both"/>
              <w:rPr>
                <w:rFonts w:ascii="Times New Roman" w:hAnsi="Times New Roman"/>
                <w:i/>
                <w:sz w:val="24"/>
                <w:szCs w:val="24"/>
              </w:rPr>
            </w:pPr>
          </w:p>
          <w:p w14:paraId="0515A949" w14:textId="77777777" w:rsidR="003163D2" w:rsidRPr="004B5884" w:rsidRDefault="003163D2" w:rsidP="00226DF1">
            <w:pPr>
              <w:tabs>
                <w:tab w:val="left" w:pos="4020"/>
              </w:tabs>
              <w:spacing w:before="120" w:after="120"/>
              <w:jc w:val="both"/>
              <w:rPr>
                <w:rFonts w:ascii="Times New Roman" w:hAnsi="Times New Roman"/>
                <w:i/>
                <w:sz w:val="24"/>
                <w:szCs w:val="24"/>
              </w:rPr>
            </w:pPr>
            <w:r>
              <w:rPr>
                <w:rFonts w:ascii="Times New Roman" w:hAnsi="Times New Roman"/>
                <w:i/>
                <w:sz w:val="24"/>
              </w:rPr>
              <w:t>Average</w:t>
            </w:r>
          </w:p>
        </w:tc>
        <w:tc>
          <w:tcPr>
            <w:tcW w:w="2587" w:type="dxa"/>
            <w:shd w:val="clear" w:color="auto" w:fill="FFFFFF"/>
          </w:tcPr>
          <w:p w14:paraId="2B0C1BA7" w14:textId="77777777" w:rsidR="00F53E9C" w:rsidRPr="004B5884" w:rsidRDefault="00F53E9C" w:rsidP="00226DF1">
            <w:pPr>
              <w:tabs>
                <w:tab w:val="left" w:pos="4020"/>
              </w:tabs>
              <w:spacing w:before="120" w:after="120"/>
              <w:jc w:val="both"/>
              <w:rPr>
                <w:rFonts w:ascii="Times New Roman" w:hAnsi="Times New Roman"/>
                <w:i/>
                <w:sz w:val="24"/>
                <w:szCs w:val="24"/>
              </w:rPr>
            </w:pPr>
          </w:p>
          <w:p w14:paraId="0A8DB01C" w14:textId="77777777" w:rsidR="003163D2" w:rsidRPr="004B5884" w:rsidRDefault="003163D2" w:rsidP="00226DF1">
            <w:pPr>
              <w:tabs>
                <w:tab w:val="left" w:pos="4020"/>
              </w:tabs>
              <w:spacing w:before="120" w:after="120"/>
              <w:jc w:val="both"/>
              <w:rPr>
                <w:rFonts w:ascii="Times New Roman" w:hAnsi="Times New Roman"/>
                <w:i/>
                <w:sz w:val="24"/>
                <w:szCs w:val="24"/>
              </w:rPr>
            </w:pPr>
            <w:r>
              <w:rPr>
                <w:rFonts w:ascii="Times New Roman" w:hAnsi="Times New Roman"/>
                <w:i/>
                <w:sz w:val="24"/>
              </w:rPr>
              <w:t xml:space="preserve">Low </w:t>
            </w:r>
          </w:p>
        </w:tc>
        <w:tc>
          <w:tcPr>
            <w:tcW w:w="3898" w:type="dxa"/>
            <w:shd w:val="clear" w:color="auto" w:fill="FFFFFF"/>
          </w:tcPr>
          <w:p w14:paraId="78A9DEDC" w14:textId="77777777" w:rsidR="00F53E9C" w:rsidRPr="004B5884" w:rsidRDefault="00F53E9C" w:rsidP="00226DF1">
            <w:pPr>
              <w:tabs>
                <w:tab w:val="left" w:pos="4020"/>
              </w:tabs>
              <w:spacing w:before="120" w:after="120"/>
              <w:jc w:val="both"/>
              <w:rPr>
                <w:rFonts w:ascii="Times New Roman" w:hAnsi="Times New Roman"/>
                <w:i/>
                <w:sz w:val="24"/>
                <w:szCs w:val="24"/>
              </w:rPr>
            </w:pPr>
          </w:p>
          <w:p w14:paraId="27D7A312" w14:textId="77777777" w:rsidR="003163D2" w:rsidRPr="004B5884" w:rsidRDefault="003163D2" w:rsidP="00226DF1">
            <w:pPr>
              <w:tabs>
                <w:tab w:val="left" w:pos="4020"/>
              </w:tabs>
              <w:spacing w:before="120" w:after="120"/>
              <w:jc w:val="both"/>
              <w:rPr>
                <w:rFonts w:ascii="Times New Roman" w:hAnsi="Times New Roman"/>
                <w:i/>
                <w:sz w:val="24"/>
                <w:szCs w:val="24"/>
              </w:rPr>
            </w:pPr>
            <w:r>
              <w:rPr>
                <w:rFonts w:ascii="Times New Roman" w:hAnsi="Times New Roman"/>
                <w:i/>
                <w:sz w:val="24"/>
              </w:rPr>
              <w:t>Organization of an awareness session for the mobilization of resources at the local level</w:t>
            </w:r>
          </w:p>
        </w:tc>
      </w:tr>
      <w:tr w:rsidR="00F53E9C" w:rsidRPr="009316FF" w14:paraId="6ABB468B" w14:textId="77777777" w:rsidTr="006A7A10">
        <w:trPr>
          <w:trHeight w:val="171"/>
        </w:trPr>
        <w:tc>
          <w:tcPr>
            <w:tcW w:w="5103" w:type="dxa"/>
            <w:shd w:val="clear" w:color="auto" w:fill="FFFFFF"/>
          </w:tcPr>
          <w:p w14:paraId="55E780A7"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i/>
                <w:sz w:val="24"/>
              </w:rPr>
              <w:t>Other Risks:</w:t>
            </w:r>
          </w:p>
        </w:tc>
        <w:tc>
          <w:tcPr>
            <w:tcW w:w="2587" w:type="dxa"/>
            <w:shd w:val="clear" w:color="auto" w:fill="FFFFFF"/>
          </w:tcPr>
          <w:p w14:paraId="2D3F6980"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74BF1D60"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62D6EFD2"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5B7820D4" w14:textId="77777777" w:rsidTr="006A7A10">
        <w:trPr>
          <w:trHeight w:val="171"/>
        </w:trPr>
        <w:tc>
          <w:tcPr>
            <w:tcW w:w="5103" w:type="dxa"/>
            <w:shd w:val="clear" w:color="auto" w:fill="FFFFFF"/>
          </w:tcPr>
          <w:p w14:paraId="2D8E3AFB"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b/>
                <w:i/>
                <w:sz w:val="24"/>
              </w:rPr>
              <w:t>Overall Risk Rating for Objective 5</w:t>
            </w:r>
          </w:p>
        </w:tc>
        <w:tc>
          <w:tcPr>
            <w:tcW w:w="2587" w:type="dxa"/>
            <w:shd w:val="clear" w:color="auto" w:fill="FFFFFF"/>
          </w:tcPr>
          <w:p w14:paraId="44798C05"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2587" w:type="dxa"/>
            <w:shd w:val="clear" w:color="auto" w:fill="FFFFFF"/>
          </w:tcPr>
          <w:p w14:paraId="05FD77AF" w14:textId="77777777" w:rsidR="00F53E9C" w:rsidRPr="004B5884" w:rsidRDefault="00F53E9C" w:rsidP="00226DF1">
            <w:pPr>
              <w:tabs>
                <w:tab w:val="left" w:pos="4020"/>
              </w:tabs>
              <w:spacing w:before="120" w:after="120"/>
              <w:jc w:val="both"/>
              <w:rPr>
                <w:rFonts w:ascii="Times New Roman" w:hAnsi="Times New Roman"/>
                <w:b/>
                <w:i/>
                <w:sz w:val="24"/>
                <w:szCs w:val="24"/>
              </w:rPr>
            </w:pPr>
          </w:p>
        </w:tc>
        <w:tc>
          <w:tcPr>
            <w:tcW w:w="3898" w:type="dxa"/>
            <w:shd w:val="clear" w:color="auto" w:fill="FFFFFF"/>
          </w:tcPr>
          <w:p w14:paraId="67E51C36" w14:textId="77777777" w:rsidR="00F53E9C" w:rsidRPr="004B5884" w:rsidRDefault="00F53E9C" w:rsidP="00226DF1">
            <w:pPr>
              <w:tabs>
                <w:tab w:val="left" w:pos="4020"/>
              </w:tabs>
              <w:spacing w:before="120" w:after="120"/>
              <w:jc w:val="both"/>
              <w:rPr>
                <w:rFonts w:ascii="Times New Roman" w:hAnsi="Times New Roman"/>
                <w:b/>
                <w:i/>
                <w:sz w:val="24"/>
                <w:szCs w:val="24"/>
              </w:rPr>
            </w:pPr>
          </w:p>
        </w:tc>
      </w:tr>
      <w:tr w:rsidR="00F53E9C" w:rsidRPr="009316FF" w14:paraId="7A8EABD0" w14:textId="77777777" w:rsidTr="004B5884">
        <w:trPr>
          <w:trHeight w:val="278"/>
        </w:trPr>
        <w:tc>
          <w:tcPr>
            <w:tcW w:w="14175" w:type="dxa"/>
            <w:gridSpan w:val="4"/>
            <w:shd w:val="clear" w:color="auto" w:fill="FFFFFF"/>
          </w:tcPr>
          <w:p w14:paraId="2A903D5C" w14:textId="77777777" w:rsidR="00F53E9C" w:rsidRPr="004B5884" w:rsidRDefault="00F53E9C" w:rsidP="00226DF1">
            <w:pPr>
              <w:tabs>
                <w:tab w:val="left" w:pos="4020"/>
              </w:tabs>
              <w:spacing w:before="120" w:after="120"/>
              <w:jc w:val="both"/>
              <w:rPr>
                <w:rFonts w:ascii="Times New Roman" w:hAnsi="Times New Roman"/>
                <w:b/>
                <w:i/>
                <w:sz w:val="24"/>
                <w:szCs w:val="24"/>
              </w:rPr>
            </w:pPr>
            <w:r>
              <w:rPr>
                <w:rFonts w:ascii="Times New Roman" w:hAnsi="Times New Roman"/>
                <w:b/>
                <w:i/>
                <w:sz w:val="24"/>
              </w:rPr>
              <w:t>TWO PAGES MAXIMUM</w:t>
            </w:r>
          </w:p>
        </w:tc>
      </w:tr>
    </w:tbl>
    <w:p w14:paraId="4E625002" w14:textId="77777777" w:rsidR="006A7A10" w:rsidRPr="004B5884" w:rsidRDefault="006A7A10" w:rsidP="00226DF1">
      <w:pPr>
        <w:widowControl w:val="0"/>
        <w:spacing w:before="120" w:after="120"/>
        <w:jc w:val="both"/>
        <w:rPr>
          <w:rFonts w:ascii="Times New Roman" w:eastAsia="Calibri" w:hAnsi="Times New Roman"/>
          <w:sz w:val="24"/>
          <w:szCs w:val="24"/>
        </w:rPr>
      </w:pPr>
    </w:p>
    <w:p w14:paraId="2CA449E6" w14:textId="77777777" w:rsidR="006A7A10" w:rsidRPr="004B5884" w:rsidRDefault="006A7A10" w:rsidP="00226DF1">
      <w:pPr>
        <w:widowControl w:val="0"/>
        <w:spacing w:before="120" w:after="120"/>
        <w:jc w:val="both"/>
        <w:rPr>
          <w:rFonts w:ascii="Times New Roman" w:eastAsia="Calibri" w:hAnsi="Times New Roman"/>
          <w:sz w:val="24"/>
          <w:szCs w:val="24"/>
        </w:rPr>
      </w:pPr>
    </w:p>
    <w:p w14:paraId="35B3C8FC" w14:textId="77777777" w:rsidR="006A7A10" w:rsidRPr="004B5884" w:rsidRDefault="006A7A10" w:rsidP="00226DF1">
      <w:pPr>
        <w:widowControl w:val="0"/>
        <w:spacing w:before="120" w:after="120"/>
        <w:jc w:val="both"/>
        <w:rPr>
          <w:rFonts w:ascii="Times New Roman" w:eastAsia="Calibri" w:hAnsi="Times New Roman"/>
          <w:sz w:val="24"/>
          <w:szCs w:val="24"/>
        </w:rPr>
      </w:pPr>
    </w:p>
    <w:p w14:paraId="4D322983" w14:textId="77777777" w:rsidR="006A7A10" w:rsidRPr="004B5884" w:rsidRDefault="006A7A10" w:rsidP="00226DF1">
      <w:pPr>
        <w:widowControl w:val="0"/>
        <w:spacing w:before="120" w:after="120"/>
        <w:jc w:val="both"/>
        <w:rPr>
          <w:rFonts w:ascii="Times New Roman" w:eastAsia="Calibri" w:hAnsi="Times New Roman"/>
          <w:sz w:val="24"/>
          <w:szCs w:val="24"/>
        </w:rPr>
      </w:pPr>
    </w:p>
    <w:p w14:paraId="186F68C0" w14:textId="77777777" w:rsidR="006A7A10" w:rsidRPr="004B5884" w:rsidRDefault="006A7A10" w:rsidP="00226DF1">
      <w:pPr>
        <w:widowControl w:val="0"/>
        <w:spacing w:before="120" w:after="120"/>
        <w:jc w:val="both"/>
        <w:rPr>
          <w:rFonts w:ascii="Times New Roman" w:eastAsia="Calibri" w:hAnsi="Times New Roman"/>
          <w:sz w:val="24"/>
          <w:szCs w:val="24"/>
        </w:rPr>
      </w:pPr>
    </w:p>
    <w:p w14:paraId="05123F48" w14:textId="77777777" w:rsidR="00867FFD" w:rsidRPr="004B5884" w:rsidRDefault="006A7A10" w:rsidP="00226DF1">
      <w:pPr>
        <w:widowControl w:val="0"/>
        <w:spacing w:before="120" w:after="120"/>
        <w:jc w:val="both"/>
        <w:rPr>
          <w:rFonts w:ascii="Times New Roman" w:eastAsia="Calibri" w:hAnsi="Times New Roman"/>
          <w:sz w:val="24"/>
          <w:szCs w:val="24"/>
        </w:rPr>
      </w:pPr>
      <w:r>
        <w:br/>
      </w:r>
    </w:p>
    <w:p w14:paraId="2812631B" w14:textId="77777777" w:rsidR="00867FFD" w:rsidRPr="004B5884" w:rsidRDefault="00867FFD" w:rsidP="00226DF1">
      <w:pPr>
        <w:widowControl w:val="0"/>
        <w:spacing w:before="120" w:after="120"/>
        <w:jc w:val="both"/>
        <w:rPr>
          <w:rFonts w:ascii="Times New Roman" w:eastAsia="Calibri" w:hAnsi="Times New Roman"/>
          <w:sz w:val="24"/>
          <w:szCs w:val="24"/>
        </w:rPr>
        <w:sectPr w:rsidR="00867FFD" w:rsidRPr="004B5884" w:rsidSect="007A0131">
          <w:pgSz w:w="16839" w:h="11907" w:orient="landscape" w:code="9"/>
          <w:pgMar w:top="851" w:right="992" w:bottom="851" w:left="992" w:header="709" w:footer="709" w:gutter="0"/>
          <w:cols w:space="708"/>
          <w:docGrid w:linePitch="360"/>
        </w:sectPr>
      </w:pPr>
    </w:p>
    <w:p w14:paraId="6470D441" w14:textId="77777777" w:rsidR="00867FFD" w:rsidRPr="004B5884" w:rsidRDefault="00867FFD" w:rsidP="00226DF1">
      <w:pPr>
        <w:widowControl w:val="0"/>
        <w:spacing w:before="120" w:after="120"/>
        <w:jc w:val="both"/>
        <w:rPr>
          <w:rFonts w:ascii="Times New Roman" w:eastAsia="Calibri" w:hAnsi="Times New Roman"/>
          <w:sz w:val="24"/>
          <w:szCs w:val="24"/>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4465"/>
        <w:gridCol w:w="71"/>
        <w:gridCol w:w="5812"/>
      </w:tblGrid>
      <w:tr w:rsidR="00867FFD" w:rsidRPr="009316FF" w14:paraId="24640575" w14:textId="77777777" w:rsidTr="005D447F">
        <w:tc>
          <w:tcPr>
            <w:tcW w:w="10348" w:type="dxa"/>
            <w:gridSpan w:val="3"/>
            <w:tcBorders>
              <w:bottom w:val="single" w:sz="6" w:space="0" w:color="215868"/>
            </w:tcBorders>
            <w:shd w:val="clear" w:color="auto" w:fill="006460"/>
          </w:tcPr>
          <w:p w14:paraId="578BAC76" w14:textId="77777777" w:rsidR="00867FFD" w:rsidRPr="004B5884" w:rsidRDefault="00867FFD" w:rsidP="00226DF1">
            <w:pPr>
              <w:pStyle w:val="Heading2"/>
              <w:rPr>
                <w:rFonts w:ascii="Times New Roman" w:eastAsia="Calibri" w:hAnsi="Times New Roman"/>
                <w:sz w:val="24"/>
                <w:szCs w:val="24"/>
              </w:rPr>
            </w:pPr>
            <w:bookmarkStart w:id="108" w:name="_Toc346116655"/>
            <w:bookmarkStart w:id="109" w:name="_Toc398181107"/>
            <w:bookmarkStart w:id="110" w:name="_Toc276342236"/>
            <w:r>
              <w:rPr>
                <w:rFonts w:ascii="Times New Roman" w:hAnsi="Times New Roman"/>
                <w:sz w:val="24"/>
              </w:rPr>
              <w:t xml:space="preserve">22. </w:t>
            </w:r>
            <w:bookmarkStart w:id="111" w:name="_Toc349297151"/>
            <w:bookmarkStart w:id="112" w:name="_Toc358399435"/>
            <w:r>
              <w:rPr>
                <w:rFonts w:ascii="Times New Roman" w:hAnsi="Times New Roman"/>
                <w:sz w:val="24"/>
              </w:rPr>
              <w:t>Financial Management and Procurement Arrangements</w:t>
            </w:r>
            <w:bookmarkEnd w:id="108"/>
            <w:bookmarkEnd w:id="109"/>
            <w:bookmarkEnd w:id="111"/>
            <w:bookmarkEnd w:id="112"/>
            <w:bookmarkEnd w:id="110"/>
          </w:p>
        </w:tc>
      </w:tr>
      <w:tr w:rsidR="00867FFD" w:rsidRPr="009316FF" w14:paraId="7A430F76" w14:textId="77777777" w:rsidTr="005D447F">
        <w:tc>
          <w:tcPr>
            <w:tcW w:w="10348" w:type="dxa"/>
            <w:gridSpan w:val="3"/>
            <w:shd w:val="clear" w:color="auto" w:fill="FFFFFF"/>
          </w:tcPr>
          <w:p w14:paraId="2C322422" w14:textId="77777777" w:rsidR="007B3A52" w:rsidRPr="00513AAF" w:rsidRDefault="00867FFD" w:rsidP="00226DF1">
            <w:pPr>
              <w:spacing w:before="120" w:after="120"/>
              <w:ind w:right="99"/>
              <w:jc w:val="both"/>
              <w:rPr>
                <w:rFonts w:ascii="Times New Roman" w:eastAsia="Arial" w:hAnsi="Times New Roman"/>
                <w:i/>
                <w:color w:val="173E49"/>
                <w:sz w:val="24"/>
                <w:szCs w:val="24"/>
              </w:rPr>
            </w:pPr>
            <w:r>
              <w:rPr>
                <w:rFonts w:ascii="Times New Roman" w:hAnsi="Times New Roman"/>
                <w:i/>
                <w:color w:val="173E49"/>
                <w:sz w:val="24"/>
              </w:rPr>
              <w:t>In this section applicants are requested to describe:</w:t>
            </w:r>
          </w:p>
          <w:p w14:paraId="1AA102E5" w14:textId="77777777" w:rsidR="007B3A52" w:rsidRPr="00513AAF" w:rsidRDefault="00867FFD" w:rsidP="00226DF1">
            <w:pPr>
              <w:spacing w:before="120" w:after="120"/>
              <w:ind w:right="99"/>
              <w:jc w:val="both"/>
              <w:rPr>
                <w:rFonts w:ascii="Times New Roman" w:eastAsia="Arial" w:hAnsi="Times New Roman"/>
                <w:i/>
                <w:color w:val="173E49"/>
                <w:sz w:val="24"/>
                <w:szCs w:val="24"/>
              </w:rPr>
            </w:pPr>
            <w:r>
              <w:rPr>
                <w:rFonts w:ascii="Times New Roman" w:hAnsi="Times New Roman"/>
                <w:i/>
                <w:color w:val="173E49"/>
                <w:sz w:val="24"/>
              </w:rPr>
              <w:t>→ a) The proposed financial management mechanism for this proposal;</w:t>
            </w:r>
          </w:p>
          <w:p w14:paraId="2DF8DD2A" w14:textId="77777777" w:rsidR="007B3A52" w:rsidRPr="00513AAF" w:rsidRDefault="00867FFD" w:rsidP="00226DF1">
            <w:pPr>
              <w:spacing w:before="120" w:after="120"/>
              <w:ind w:right="99"/>
              <w:jc w:val="both"/>
              <w:rPr>
                <w:rFonts w:ascii="Times New Roman" w:eastAsia="Arial" w:hAnsi="Times New Roman"/>
                <w:i/>
                <w:color w:val="173E49"/>
                <w:sz w:val="24"/>
                <w:szCs w:val="24"/>
              </w:rPr>
            </w:pPr>
            <w:r>
              <w:rPr>
                <w:rFonts w:ascii="Times New Roman" w:hAnsi="Times New Roman"/>
                <w:i/>
                <w:color w:val="173E49"/>
                <w:sz w:val="24"/>
              </w:rPr>
              <w:t>→b) The proposed processes and systems for ensuring effective financial management of this proposal, including the organization and capacity of the finance department and the proposed arrangements for oversight, planning and budgeting, budget execution (incl. treasury management and funds flow) , procurement, accounting and financial reporting ( incl. fixed asset management), internal control and internal audit, and external audit. CSOs can receive GAVI funding through two channels: (i) GAVI sends funds to the Ministry of Health which then transfers them to the CSO, or (ii) GAVI sends funds directly from GAVI to the CSO. Please refer to Annex 4 of the Supplementary HSS Guidelines for further details;</w:t>
            </w:r>
          </w:p>
          <w:p w14:paraId="3F496328" w14:textId="13C6AC11" w:rsidR="007B3A52" w:rsidRPr="00513AAF" w:rsidRDefault="00867FFD" w:rsidP="00226DF1">
            <w:pPr>
              <w:spacing w:before="120" w:after="120"/>
              <w:ind w:right="99"/>
              <w:jc w:val="both"/>
              <w:rPr>
                <w:rFonts w:ascii="Times New Roman" w:eastAsia="Arial" w:hAnsi="Times New Roman"/>
                <w:i/>
                <w:color w:val="173E49"/>
                <w:sz w:val="24"/>
                <w:szCs w:val="24"/>
              </w:rPr>
            </w:pPr>
            <w:r>
              <w:rPr>
                <w:rFonts w:ascii="Times New Roman" w:hAnsi="Times New Roman"/>
                <w:i/>
                <w:color w:val="173E49"/>
                <w:sz w:val="24"/>
              </w:rPr>
              <w:t xml:space="preserve">→ c) The main constraints in the (health sector’s) financial management system. Does the country plan to address these constraints/ issues? If so, please describe the Technical Assistance (TA) needs in order to </w:t>
            </w:r>
            <w:r w:rsidR="00BA23D4">
              <w:rPr>
                <w:rFonts w:ascii="Times New Roman" w:hAnsi="Times New Roman"/>
                <w:i/>
                <w:color w:val="173E49"/>
                <w:sz w:val="24"/>
              </w:rPr>
              <w:t>fulfill</w:t>
            </w:r>
            <w:r>
              <w:rPr>
                <w:rFonts w:ascii="Times New Roman" w:hAnsi="Times New Roman"/>
                <w:i/>
                <w:color w:val="173E49"/>
                <w:sz w:val="24"/>
              </w:rPr>
              <w:t xml:space="preserve"> the above functions.</w:t>
            </w:r>
          </w:p>
          <w:p w14:paraId="7D6DD9A2" w14:textId="77777777" w:rsidR="00867FFD" w:rsidRPr="00513AAF" w:rsidRDefault="00867FFD" w:rsidP="00226DF1">
            <w:pPr>
              <w:spacing w:before="120" w:after="120"/>
              <w:ind w:right="99"/>
              <w:jc w:val="both"/>
              <w:rPr>
                <w:rFonts w:ascii="Times New Roman" w:eastAsia="Calibri" w:hAnsi="Times New Roman"/>
                <w:i/>
                <w:sz w:val="24"/>
                <w:szCs w:val="24"/>
              </w:rPr>
            </w:pPr>
            <w:r>
              <w:rPr>
                <w:rFonts w:ascii="Times New Roman" w:hAnsi="Times New Roman"/>
                <w:i/>
                <w:color w:val="173E49"/>
                <w:sz w:val="24"/>
              </w:rPr>
              <w:t>4 pages (more pages necessary if more than one lead implementer)</w:t>
            </w:r>
          </w:p>
        </w:tc>
      </w:tr>
      <w:tr w:rsidR="00867FFD" w:rsidRPr="009316FF" w14:paraId="5AE64813" w14:textId="77777777" w:rsidTr="005D447F">
        <w:tc>
          <w:tcPr>
            <w:tcW w:w="4536" w:type="dxa"/>
            <w:gridSpan w:val="2"/>
            <w:shd w:val="clear" w:color="auto" w:fill="auto"/>
          </w:tcPr>
          <w:p w14:paraId="79B52C8E" w14:textId="77777777"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i/>
                <w:color w:val="173E49"/>
                <w:sz w:val="24"/>
              </w:rPr>
              <w:t>Question A: applicants should indicate whether an existing financial management mechanism or modality will be employed (pooled funding, joint financing arrangements or other), or if a new approach is proposed. If an agency-specific financial arrangement will be used, specify which one. A rationale for this choice should be provided.</w:t>
            </w:r>
          </w:p>
        </w:tc>
        <w:tc>
          <w:tcPr>
            <w:tcW w:w="5812" w:type="dxa"/>
            <w:shd w:val="clear" w:color="auto" w:fill="auto"/>
          </w:tcPr>
          <w:p w14:paraId="367B4C2E" w14:textId="77777777" w:rsidR="0082614D" w:rsidRDefault="00867FFD" w:rsidP="00226DF1">
            <w:pPr>
              <w:widowControl w:val="0"/>
              <w:spacing w:before="120" w:after="120"/>
              <w:jc w:val="both"/>
              <w:rPr>
                <w:rFonts w:ascii="Times New Roman" w:hAnsi="Times New Roman"/>
                <w:i/>
                <w:color w:val="173E49"/>
                <w:sz w:val="24"/>
                <w:szCs w:val="24"/>
              </w:rPr>
            </w:pPr>
            <w:r>
              <w:rPr>
                <w:rFonts w:ascii="Times New Roman" w:hAnsi="Times New Roman"/>
                <w:i/>
                <w:color w:val="173E49"/>
                <w:sz w:val="24"/>
              </w:rPr>
              <w:t>Half page</w:t>
            </w:r>
          </w:p>
          <w:p w14:paraId="33265FA5" w14:textId="77777777" w:rsidR="00A7258E" w:rsidRDefault="00A7258E" w:rsidP="00226DF1">
            <w:pPr>
              <w:widowControl w:val="0"/>
              <w:spacing w:before="120" w:after="120"/>
              <w:jc w:val="both"/>
              <w:rPr>
                <w:rFonts w:ascii="Times New Roman" w:hAnsi="Times New Roman"/>
                <w:i/>
                <w:color w:val="173E49"/>
                <w:sz w:val="24"/>
                <w:szCs w:val="24"/>
              </w:rPr>
            </w:pPr>
          </w:p>
          <w:p w14:paraId="62301C19" w14:textId="77777777" w:rsidR="00867FFD" w:rsidRPr="00A7258E" w:rsidRDefault="002E72B0" w:rsidP="00A7258E">
            <w:pPr>
              <w:widowControl w:val="0"/>
              <w:spacing w:before="120" w:after="120"/>
              <w:jc w:val="both"/>
              <w:rPr>
                <w:rFonts w:ascii="Times New Roman" w:eastAsia="Calibri" w:hAnsi="Times New Roman"/>
                <w:sz w:val="24"/>
                <w:szCs w:val="24"/>
              </w:rPr>
            </w:pPr>
            <w:r>
              <w:rPr>
                <w:rFonts w:ascii="Times New Roman" w:hAnsi="Times New Roman"/>
                <w:sz w:val="24"/>
              </w:rPr>
              <w:t xml:space="preserve">The management procedure selected for disbursing GAVI funds shall be in accordance with national procedures. </w:t>
            </w:r>
          </w:p>
          <w:p w14:paraId="6AB2DF25" w14:textId="77777777" w:rsidR="0022138A" w:rsidRDefault="00DE540A"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planning, budgeting and coordination:</w:t>
            </w:r>
            <w:r>
              <w:rPr>
                <w:rFonts w:ascii="Times New Roman" w:hAnsi="Times New Roman"/>
                <w:sz w:val="24"/>
              </w:rPr>
              <w:t xml:space="preserve"> the operational plan for activities to be funded with GAVI funds will be submitted to the GAVI Secretariat for validation and non-objection after the meeting of the PRODESS technical committee and before the monitoring committee meeting.</w:t>
            </w:r>
          </w:p>
          <w:p w14:paraId="6B277624" w14:textId="77777777" w:rsidR="00DE540A" w:rsidRDefault="0022138A"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budget performance</w:t>
            </w:r>
            <w:r>
              <w:rPr>
                <w:rFonts w:ascii="Times New Roman" w:hAnsi="Times New Roman"/>
                <w:sz w:val="24"/>
              </w:rPr>
              <w:t xml:space="preserve">: A new bank account will be opened with BDM to only receive HSS GAVI funds. This account will be used under the responsibility of the Central Treasury Accounting Agent (ACCT) and not only by the Directorate of Finance and Equipment (DFM) of the Ministry of Health. </w:t>
            </w:r>
          </w:p>
          <w:p w14:paraId="63EC2BE7" w14:textId="77777777" w:rsidR="00723713" w:rsidRDefault="00DE5004" w:rsidP="00513AAF">
            <w:pPr>
              <w:pStyle w:val="ListParagraph"/>
              <w:widowControl w:val="0"/>
              <w:spacing w:before="120" w:after="120"/>
              <w:ind w:left="176"/>
              <w:jc w:val="both"/>
              <w:rPr>
                <w:rFonts w:ascii="Times New Roman" w:eastAsia="Calibri" w:hAnsi="Times New Roman"/>
                <w:sz w:val="24"/>
                <w:szCs w:val="24"/>
              </w:rPr>
            </w:pPr>
            <w:r>
              <w:rPr>
                <w:rFonts w:ascii="Times New Roman" w:hAnsi="Times New Roman"/>
                <w:sz w:val="24"/>
              </w:rPr>
              <w:t>The advances of funds paid to the units responsible for the performance of activities funded with GAVI-HSS funds must be justified within a period of six (6) months following the payment of the advance. No new advance will be paid to a unit that has not justified the previous expired advance after the first six (6) month period.</w:t>
            </w:r>
          </w:p>
          <w:p w14:paraId="765D1B40" w14:textId="77777777" w:rsidR="00DE5004" w:rsidRDefault="00723713" w:rsidP="00513AAF">
            <w:pPr>
              <w:pStyle w:val="ListParagraph"/>
              <w:widowControl w:val="0"/>
              <w:spacing w:before="120" w:after="120"/>
              <w:ind w:left="176"/>
              <w:jc w:val="both"/>
              <w:rPr>
                <w:rFonts w:ascii="Times New Roman" w:eastAsia="Calibri" w:hAnsi="Times New Roman"/>
                <w:sz w:val="24"/>
                <w:szCs w:val="24"/>
              </w:rPr>
            </w:pPr>
            <w:r>
              <w:rPr>
                <w:rFonts w:ascii="Times New Roman" w:hAnsi="Times New Roman"/>
                <w:sz w:val="24"/>
              </w:rPr>
              <w:t xml:space="preserve">An audit will be conducted to identify all the accountants from the DRS who hold checkbooks normally intended for the Regional Payer Treasurer (TPR), responsible for payment and management of bank accounts receiving GAVI-HSS funds. </w:t>
            </w:r>
          </w:p>
          <w:p w14:paraId="6CEB5A63" w14:textId="77777777" w:rsidR="007F26D6" w:rsidRDefault="007F26D6" w:rsidP="00513AAF">
            <w:pPr>
              <w:pStyle w:val="ListParagraph"/>
              <w:widowControl w:val="0"/>
              <w:spacing w:before="120" w:after="120"/>
              <w:ind w:left="176"/>
              <w:jc w:val="both"/>
              <w:rPr>
                <w:rFonts w:ascii="Times New Roman" w:eastAsia="Calibri" w:hAnsi="Times New Roman"/>
                <w:sz w:val="24"/>
                <w:szCs w:val="24"/>
              </w:rPr>
            </w:pPr>
            <w:r>
              <w:rPr>
                <w:rFonts w:ascii="Times New Roman" w:hAnsi="Times New Roman"/>
                <w:sz w:val="24"/>
              </w:rPr>
              <w:t>The circle accounts will be activated to receive and secure funds sent by the DRSs to finance activities to be carried out in the circle.</w:t>
            </w:r>
          </w:p>
          <w:p w14:paraId="1BF776A3" w14:textId="77777777" w:rsidR="0058367A" w:rsidRDefault="0058367A"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the execution of contracts:</w:t>
            </w:r>
            <w:r>
              <w:rPr>
                <w:rFonts w:ascii="Times New Roman" w:hAnsi="Times New Roman"/>
                <w:sz w:val="24"/>
              </w:rPr>
              <w:t xml:space="preserve"> responsibility for the procurement of equipment will be carried out by the Health Directorate of Finance and Equipment, according to the public contracts code.</w:t>
            </w:r>
          </w:p>
          <w:p w14:paraId="7F8F09A0" w14:textId="77777777" w:rsidR="00B1748A" w:rsidRDefault="00B1748A"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accounting and financial communication:</w:t>
            </w:r>
            <w:r>
              <w:rPr>
                <w:rFonts w:ascii="Times New Roman" w:hAnsi="Times New Roman"/>
                <w:sz w:val="24"/>
              </w:rPr>
              <w:t xml:space="preserve"> a financial statement will be prepared for GAVI-HSS program.</w:t>
            </w:r>
          </w:p>
          <w:p w14:paraId="2D714B18" w14:textId="77777777" w:rsidR="00AF5A2B" w:rsidRDefault="00AF5A2B"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the internal audit:</w:t>
            </w:r>
            <w:r>
              <w:rPr>
                <w:rFonts w:ascii="Times New Roman" w:hAnsi="Times New Roman"/>
                <w:sz w:val="24"/>
              </w:rPr>
              <w:t xml:space="preserve"> the internal audit duties of the Ministry of Health will be positioned with the firm to provide a certain independence and level of authority necessary to improve its technical skills.</w:t>
            </w:r>
          </w:p>
          <w:p w14:paraId="6E5A96E1" w14:textId="77777777" w:rsidR="00621FAB" w:rsidRDefault="00621FAB"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the external audit::</w:t>
            </w:r>
            <w:r>
              <w:rPr>
                <w:rFonts w:ascii="Times New Roman" w:hAnsi="Times New Roman"/>
                <w:sz w:val="24"/>
              </w:rPr>
              <w:t xml:space="preserve"> the copies of external audit reports will be forwarded to the Technical and Financial Partners.</w:t>
            </w:r>
          </w:p>
          <w:p w14:paraId="245B3AAA" w14:textId="6D75FDED" w:rsidR="008031B9" w:rsidRPr="00513AAF" w:rsidRDefault="008031B9" w:rsidP="00513AAF">
            <w:pPr>
              <w:pStyle w:val="ListParagraph"/>
              <w:widowControl w:val="0"/>
              <w:numPr>
                <w:ilvl w:val="0"/>
                <w:numId w:val="11"/>
              </w:numPr>
              <w:tabs>
                <w:tab w:val="num" w:pos="-108"/>
              </w:tabs>
              <w:spacing w:before="120" w:after="120"/>
              <w:ind w:left="176" w:hanging="218"/>
              <w:jc w:val="both"/>
              <w:rPr>
                <w:rFonts w:ascii="Times New Roman" w:eastAsia="Calibri" w:hAnsi="Times New Roman"/>
                <w:sz w:val="24"/>
                <w:szCs w:val="24"/>
              </w:rPr>
            </w:pPr>
            <w:r>
              <w:rPr>
                <w:rFonts w:ascii="Times New Roman" w:hAnsi="Times New Roman"/>
                <w:sz w:val="24"/>
                <w:u w:val="single"/>
              </w:rPr>
              <w:t>With regard to bank accounts:</w:t>
            </w:r>
            <w:r>
              <w:rPr>
                <w:rFonts w:ascii="Times New Roman" w:hAnsi="Times New Roman"/>
                <w:sz w:val="24"/>
              </w:rPr>
              <w:t xml:space="preserve"> After validation of the new proposal, GAVI will disburse tranches owed from HSS related funds into the new bank account.</w:t>
            </w:r>
          </w:p>
        </w:tc>
      </w:tr>
      <w:tr w:rsidR="00867FFD" w:rsidRPr="009316FF" w14:paraId="5F844E14" w14:textId="77777777" w:rsidTr="005D447F">
        <w:tc>
          <w:tcPr>
            <w:tcW w:w="10348" w:type="dxa"/>
            <w:gridSpan w:val="3"/>
            <w:shd w:val="clear" w:color="auto" w:fill="99CCCC"/>
          </w:tcPr>
          <w:p w14:paraId="4F67E335"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Question b): Financial Management Arrangements Data Sheet</w:t>
            </w:r>
          </w:p>
        </w:tc>
      </w:tr>
      <w:tr w:rsidR="00867FFD" w:rsidRPr="009316FF" w14:paraId="2D62583A" w14:textId="77777777" w:rsidTr="005D447F">
        <w:trPr>
          <w:trHeight w:val="278"/>
        </w:trPr>
        <w:tc>
          <w:tcPr>
            <w:tcW w:w="10348" w:type="dxa"/>
            <w:gridSpan w:val="3"/>
            <w:shd w:val="clear" w:color="auto" w:fill="FFFFFF"/>
          </w:tcPr>
          <w:p w14:paraId="71B44FB2"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 xml:space="preserve">Any recipient organisation/country proposed to receive direct funding from GAVI must complete this Data Sheet (for example, MOH and/or CSO receiving direct funding). </w:t>
            </w:r>
          </w:p>
        </w:tc>
      </w:tr>
      <w:tr w:rsidR="00867FFD" w:rsidRPr="009316FF" w14:paraId="5C2D6581" w14:textId="77777777" w:rsidTr="005D447F">
        <w:trPr>
          <w:trHeight w:val="278"/>
        </w:trPr>
        <w:tc>
          <w:tcPr>
            <w:tcW w:w="4465" w:type="dxa"/>
            <w:shd w:val="clear" w:color="auto" w:fill="FFFFFF"/>
          </w:tcPr>
          <w:p w14:paraId="30DF6696"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Name and contact information of Focal Point at the Finance Department of the recipient organisation.</w:t>
            </w:r>
          </w:p>
        </w:tc>
        <w:tc>
          <w:tcPr>
            <w:tcW w:w="5883" w:type="dxa"/>
            <w:gridSpan w:val="2"/>
            <w:shd w:val="clear" w:color="auto" w:fill="FFFFFF"/>
          </w:tcPr>
          <w:p w14:paraId="056F6735" w14:textId="7B3D4E0E" w:rsidR="001B1763" w:rsidRDefault="008255A7"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 Ministry of the Economy and Finance. Central Treasury Accounting Agent (ACCT):</w:t>
            </w:r>
          </w:p>
          <w:p w14:paraId="1DD70026" w14:textId="5D9F1E1C" w:rsidR="00867FFD" w:rsidRPr="00513AAF" w:rsidRDefault="00B267A0" w:rsidP="00513AAF">
            <w:pPr>
              <w:pStyle w:val="ListParagraph"/>
              <w:widowControl w:val="0"/>
              <w:numPr>
                <w:ilvl w:val="0"/>
                <w:numId w:val="11"/>
              </w:numPr>
              <w:spacing w:before="120" w:after="120"/>
              <w:jc w:val="both"/>
              <w:rPr>
                <w:rFonts w:ascii="Times New Roman" w:eastAsia="Calibri" w:hAnsi="Times New Roman"/>
                <w:sz w:val="24"/>
                <w:szCs w:val="24"/>
              </w:rPr>
            </w:pPr>
            <w:r>
              <w:rPr>
                <w:rFonts w:ascii="Times New Roman" w:hAnsi="Times New Roman"/>
                <w:sz w:val="24"/>
              </w:rPr>
              <w:t>Mrs. Diarra Aminata COULIBALY</w:t>
            </w:r>
          </w:p>
        </w:tc>
      </w:tr>
      <w:tr w:rsidR="00867FFD" w:rsidRPr="009316FF" w14:paraId="46067CA9" w14:textId="77777777" w:rsidTr="005D447F">
        <w:trPr>
          <w:trHeight w:val="1024"/>
        </w:trPr>
        <w:tc>
          <w:tcPr>
            <w:tcW w:w="4465" w:type="dxa"/>
            <w:shd w:val="clear" w:color="auto" w:fill="FFFFFF"/>
          </w:tcPr>
          <w:p w14:paraId="549BEC70"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Has the recipient organization already worked with GAVI, the World Bank, WHO, UNICEF, or the Global Fund for the prevention of AIDS, tuberculosis and malaria or other development partners and has it already received grants?</w:t>
            </w:r>
          </w:p>
        </w:tc>
        <w:tc>
          <w:tcPr>
            <w:tcW w:w="5883" w:type="dxa"/>
            <w:gridSpan w:val="2"/>
            <w:shd w:val="clear" w:color="auto" w:fill="FFFFFF"/>
          </w:tcPr>
          <w:p w14:paraId="7CCA7813" w14:textId="77777777" w:rsidR="00867FFD" w:rsidRDefault="0086406E" w:rsidP="00226DF1">
            <w:pPr>
              <w:widowControl w:val="0"/>
              <w:spacing w:before="120" w:after="120"/>
              <w:jc w:val="both"/>
              <w:rPr>
                <w:rFonts w:ascii="Times New Roman" w:eastAsia="Calibri" w:hAnsi="Times New Roman"/>
                <w:sz w:val="24"/>
                <w:szCs w:val="24"/>
              </w:rPr>
            </w:pPr>
            <w:r>
              <w:rPr>
                <w:rFonts w:ascii="Times New Roman" w:hAnsi="Times New Roman"/>
                <w:sz w:val="24"/>
              </w:rPr>
              <w:t>YES</w:t>
            </w:r>
          </w:p>
          <w:p w14:paraId="7E6D669C" w14:textId="77777777" w:rsidR="0086406E" w:rsidRPr="004B5884" w:rsidRDefault="0086406E" w:rsidP="00213D14">
            <w:pPr>
              <w:widowControl w:val="0"/>
              <w:spacing w:before="120" w:after="120"/>
              <w:jc w:val="both"/>
              <w:rPr>
                <w:rFonts w:ascii="Times New Roman" w:eastAsia="Calibri" w:hAnsi="Times New Roman"/>
                <w:sz w:val="24"/>
                <w:szCs w:val="24"/>
              </w:rPr>
            </w:pPr>
            <w:r>
              <w:rPr>
                <w:rFonts w:ascii="Times New Roman" w:hAnsi="Times New Roman"/>
                <w:sz w:val="24"/>
              </w:rPr>
              <w:t>The Ministry of Health has experience with each of the cited partners. It received disbursements from said partners for the implementation of projects and programs related to health.</w:t>
            </w:r>
          </w:p>
        </w:tc>
      </w:tr>
      <w:tr w:rsidR="00867FFD" w:rsidRPr="009316FF" w14:paraId="1A74AF39" w14:textId="77777777" w:rsidTr="005D447F">
        <w:trPr>
          <w:trHeight w:val="278"/>
        </w:trPr>
        <w:tc>
          <w:tcPr>
            <w:tcW w:w="4465" w:type="dxa"/>
            <w:shd w:val="clear" w:color="auto" w:fill="FFFFFF"/>
          </w:tcPr>
          <w:p w14:paraId="01E94154"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If YES</w:t>
            </w:r>
          </w:p>
          <w:p w14:paraId="6C7BF680" w14:textId="77777777" w:rsidR="00867FFD" w:rsidRPr="004B5884" w:rsidRDefault="00867FFD" w:rsidP="00226DF1">
            <w:pPr>
              <w:numPr>
                <w:ilvl w:val="0"/>
                <w:numId w:val="4"/>
              </w:numPr>
              <w:spacing w:before="120" w:after="120"/>
              <w:jc w:val="both"/>
              <w:rPr>
                <w:rFonts w:ascii="Times New Roman" w:hAnsi="Times New Roman"/>
                <w:sz w:val="24"/>
                <w:szCs w:val="24"/>
              </w:rPr>
            </w:pPr>
            <w:r>
              <w:rPr>
                <w:rFonts w:ascii="Times New Roman" w:hAnsi="Times New Roman"/>
                <w:sz w:val="24"/>
              </w:rPr>
              <w:t>Please state the name of the grant, years and grant amount.</w:t>
            </w:r>
          </w:p>
          <w:p w14:paraId="6AAC752D" w14:textId="77777777" w:rsidR="00867FFD" w:rsidRPr="004B5884" w:rsidRDefault="00867FFD" w:rsidP="00226DF1">
            <w:pPr>
              <w:numPr>
                <w:ilvl w:val="0"/>
                <w:numId w:val="4"/>
              </w:numPr>
              <w:spacing w:before="120" w:after="120"/>
              <w:jc w:val="both"/>
              <w:rPr>
                <w:rFonts w:ascii="Times New Roman" w:hAnsi="Times New Roman"/>
                <w:sz w:val="24"/>
                <w:szCs w:val="24"/>
              </w:rPr>
            </w:pPr>
            <w:r>
              <w:rPr>
                <w:rFonts w:ascii="Times New Roman" w:hAnsi="Times New Roman"/>
                <w:sz w:val="24"/>
              </w:rPr>
              <w:t>For grants from GAVI and other development partners that have ended, please provide a brief description of the main conclusions with regard to use of funds in terms of financial management performance.</w:t>
            </w:r>
          </w:p>
          <w:p w14:paraId="751826AC" w14:textId="1D8FCC32" w:rsidR="00867FFD" w:rsidRPr="004B5884" w:rsidDel="00E800C7" w:rsidRDefault="00867FFD" w:rsidP="00226DF1">
            <w:pPr>
              <w:numPr>
                <w:ilvl w:val="0"/>
                <w:numId w:val="4"/>
              </w:numPr>
              <w:spacing w:before="120" w:after="120"/>
              <w:jc w:val="both"/>
              <w:rPr>
                <w:rFonts w:ascii="Times New Roman" w:hAnsi="Times New Roman"/>
                <w:sz w:val="24"/>
                <w:szCs w:val="24"/>
              </w:rPr>
            </w:pPr>
            <w:r>
              <w:rPr>
                <w:rFonts w:ascii="Times New Roman" w:hAnsi="Times New Roman"/>
                <w:sz w:val="24"/>
              </w:rPr>
              <w:t>For grants in progress from GAVI and other development partners, please provide a brief description of any financial management (FM) and procurement implementation issues (e.g. ineligible expenditures,</w:t>
            </w:r>
            <w:r w:rsidR="00BA23D4">
              <w:rPr>
                <w:rFonts w:ascii="Times New Roman" w:hAnsi="Times New Roman"/>
                <w:sz w:val="24"/>
              </w:rPr>
              <w:t xml:space="preserve"> incorrect </w:t>
            </w:r>
            <w:r>
              <w:rPr>
                <w:rFonts w:ascii="Times New Roman" w:hAnsi="Times New Roman"/>
                <w:sz w:val="24"/>
              </w:rPr>
              <w:t>procurement, misuses of funds, overdue / delayed audit reports, and qualified audit opinion).</w:t>
            </w:r>
          </w:p>
        </w:tc>
        <w:tc>
          <w:tcPr>
            <w:tcW w:w="5883" w:type="dxa"/>
            <w:gridSpan w:val="2"/>
            <w:shd w:val="clear" w:color="auto" w:fill="FFFFFF"/>
          </w:tcPr>
          <w:p w14:paraId="3A9080D5" w14:textId="77777777" w:rsidR="0086406E" w:rsidRDefault="00225FAA" w:rsidP="00226DF1">
            <w:pPr>
              <w:jc w:val="both"/>
              <w:rPr>
                <w:rFonts w:ascii="Times New Roman" w:eastAsia="Calibri" w:hAnsi="Times New Roman"/>
                <w:sz w:val="24"/>
                <w:szCs w:val="24"/>
              </w:rPr>
            </w:pPr>
            <w:r>
              <w:rPr>
                <w:rFonts w:ascii="Times New Roman" w:hAnsi="Times New Roman"/>
                <w:sz w:val="24"/>
              </w:rPr>
              <w:t xml:space="preserve">- World Bank in the context of the Reproductive Health Strengthening Project in the amount of 15 million dollars; </w:t>
            </w:r>
          </w:p>
          <w:p w14:paraId="54AB37E1" w14:textId="77777777" w:rsidR="00225FAA" w:rsidRDefault="00225FAA" w:rsidP="00226DF1">
            <w:pPr>
              <w:jc w:val="both"/>
              <w:rPr>
                <w:rFonts w:ascii="Times New Roman" w:eastAsia="Calibri" w:hAnsi="Times New Roman"/>
                <w:sz w:val="24"/>
                <w:szCs w:val="24"/>
              </w:rPr>
            </w:pPr>
            <w:r>
              <w:rPr>
                <w:rFonts w:ascii="Times New Roman" w:hAnsi="Times New Roman"/>
                <w:sz w:val="24"/>
              </w:rPr>
              <w:t>- the Global Fund to Fight AIDS, Tuberculosis and Malaria;</w:t>
            </w:r>
          </w:p>
          <w:p w14:paraId="478B9E09" w14:textId="77777777" w:rsidR="00225FAA" w:rsidRPr="0086406E" w:rsidRDefault="00225FAA" w:rsidP="00226DF1">
            <w:pPr>
              <w:jc w:val="both"/>
              <w:rPr>
                <w:rFonts w:ascii="Times New Roman" w:eastAsia="Calibri" w:hAnsi="Times New Roman"/>
                <w:sz w:val="24"/>
                <w:szCs w:val="24"/>
              </w:rPr>
            </w:pPr>
            <w:r>
              <w:rPr>
                <w:rFonts w:ascii="Times New Roman" w:hAnsi="Times New Roman"/>
                <w:sz w:val="24"/>
              </w:rPr>
              <w:t>- GAVI HSS and GAVI ISS.</w:t>
            </w:r>
          </w:p>
          <w:p w14:paraId="523A9D4E" w14:textId="77777777" w:rsidR="0086406E" w:rsidRPr="0086406E" w:rsidRDefault="0086406E" w:rsidP="00226DF1">
            <w:pPr>
              <w:jc w:val="both"/>
              <w:rPr>
                <w:rFonts w:ascii="Times New Roman" w:eastAsia="Calibri" w:hAnsi="Times New Roman"/>
                <w:sz w:val="24"/>
                <w:szCs w:val="24"/>
              </w:rPr>
            </w:pPr>
          </w:p>
          <w:p w14:paraId="102B99BD" w14:textId="77777777" w:rsidR="0086406E" w:rsidRDefault="0086406E" w:rsidP="00226DF1">
            <w:pPr>
              <w:jc w:val="both"/>
              <w:rPr>
                <w:rFonts w:ascii="Times New Roman" w:eastAsia="Calibri" w:hAnsi="Times New Roman"/>
                <w:sz w:val="24"/>
                <w:szCs w:val="24"/>
              </w:rPr>
            </w:pPr>
          </w:p>
          <w:p w14:paraId="73B5A480" w14:textId="77777777" w:rsidR="00867FFD" w:rsidRPr="0086406E" w:rsidRDefault="0086406E" w:rsidP="000B72DF">
            <w:pPr>
              <w:jc w:val="both"/>
              <w:rPr>
                <w:rFonts w:ascii="Times New Roman" w:eastAsia="Calibri" w:hAnsi="Times New Roman"/>
                <w:sz w:val="24"/>
                <w:szCs w:val="24"/>
              </w:rPr>
            </w:pPr>
            <w:r>
              <w:rPr>
                <w:rFonts w:ascii="Times New Roman" w:hAnsi="Times New Roman"/>
                <w:sz w:val="24"/>
              </w:rPr>
              <w:t>The essential problem noted during the evaluation of the financial management of the GAVI HSS grant was insufficient management.</w:t>
            </w:r>
          </w:p>
        </w:tc>
      </w:tr>
      <w:tr w:rsidR="00867FFD" w:rsidRPr="009316FF" w14:paraId="180BA481" w14:textId="77777777" w:rsidTr="005D447F">
        <w:trPr>
          <w:trHeight w:val="278"/>
        </w:trPr>
        <w:tc>
          <w:tcPr>
            <w:tcW w:w="10348" w:type="dxa"/>
            <w:gridSpan w:val="3"/>
            <w:shd w:val="clear" w:color="auto" w:fill="FFFFFF"/>
          </w:tcPr>
          <w:p w14:paraId="0972E6C4"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Oversight, Planning and Budgeting</w:t>
            </w:r>
          </w:p>
        </w:tc>
      </w:tr>
      <w:tr w:rsidR="00867FFD" w:rsidRPr="009316FF" w14:paraId="238D4957" w14:textId="77777777" w:rsidTr="005D447F">
        <w:trPr>
          <w:trHeight w:val="278"/>
        </w:trPr>
        <w:tc>
          <w:tcPr>
            <w:tcW w:w="4465" w:type="dxa"/>
            <w:shd w:val="clear" w:color="auto" w:fill="FFFFFF"/>
          </w:tcPr>
          <w:p w14:paraId="11B29E4A"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Which entity will be responsible for in-country oversight of the program? Please briefly describe membership, meeting frequency as well as decision making process.</w:t>
            </w:r>
          </w:p>
        </w:tc>
        <w:tc>
          <w:tcPr>
            <w:tcW w:w="5883" w:type="dxa"/>
            <w:gridSpan w:val="2"/>
            <w:shd w:val="clear" w:color="auto" w:fill="FFFFFF"/>
          </w:tcPr>
          <w:p w14:paraId="0C6F43EB" w14:textId="77777777" w:rsidR="00867FFD" w:rsidRPr="004B5884" w:rsidRDefault="006A6A50" w:rsidP="00226DF1">
            <w:pPr>
              <w:widowControl w:val="0"/>
              <w:spacing w:before="120" w:after="120"/>
              <w:jc w:val="both"/>
              <w:rPr>
                <w:rFonts w:ascii="Times New Roman" w:eastAsia="Calibri" w:hAnsi="Times New Roman"/>
                <w:sz w:val="24"/>
                <w:szCs w:val="24"/>
              </w:rPr>
            </w:pPr>
            <w:r>
              <w:rPr>
                <w:rFonts w:ascii="Times New Roman" w:hAnsi="Times New Roman"/>
                <w:sz w:val="24"/>
              </w:rPr>
              <w:t>A focal management team of the planning and statistics cell will be the entity responsible for supervision of the program at the national level. This team will be comprised of a physician, an economist, a secretary and a driver.</w:t>
            </w:r>
          </w:p>
        </w:tc>
      </w:tr>
      <w:tr w:rsidR="00867FFD" w:rsidRPr="009316FF" w14:paraId="1F0B6131" w14:textId="77777777" w:rsidTr="005D447F">
        <w:trPr>
          <w:trHeight w:val="278"/>
        </w:trPr>
        <w:tc>
          <w:tcPr>
            <w:tcW w:w="4465" w:type="dxa"/>
            <w:shd w:val="clear" w:color="auto" w:fill="FFFFFF"/>
          </w:tcPr>
          <w:p w14:paraId="7E436691"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Who will be responsible for annual GAVI-HSS planning and budgeting?</w:t>
            </w:r>
          </w:p>
        </w:tc>
        <w:tc>
          <w:tcPr>
            <w:tcW w:w="5883" w:type="dxa"/>
            <w:gridSpan w:val="2"/>
            <w:shd w:val="clear" w:color="auto" w:fill="FFFFFF"/>
          </w:tcPr>
          <w:p w14:paraId="7AC2D251" w14:textId="77777777" w:rsidR="00867FFD" w:rsidRPr="004B5884" w:rsidRDefault="006A6A50" w:rsidP="00F46279">
            <w:pPr>
              <w:widowControl w:val="0"/>
              <w:spacing w:before="120" w:after="120"/>
              <w:jc w:val="both"/>
              <w:rPr>
                <w:rFonts w:ascii="Times New Roman" w:eastAsia="Calibri" w:hAnsi="Times New Roman"/>
                <w:sz w:val="24"/>
                <w:szCs w:val="24"/>
              </w:rPr>
            </w:pPr>
            <w:r>
              <w:rPr>
                <w:rFonts w:ascii="Times New Roman" w:hAnsi="Times New Roman"/>
                <w:sz w:val="24"/>
              </w:rPr>
              <w:t>The planning and statistics cell will be responsible for the annual planning and budgeting of activities of HSS from GAVI in relation to the other beneficiaries of the program.</w:t>
            </w:r>
          </w:p>
        </w:tc>
      </w:tr>
      <w:tr w:rsidR="00867FFD" w:rsidRPr="009316FF" w14:paraId="11898FFB" w14:textId="77777777" w:rsidTr="005D447F">
        <w:trPr>
          <w:trHeight w:val="278"/>
        </w:trPr>
        <w:tc>
          <w:tcPr>
            <w:tcW w:w="4465" w:type="dxa"/>
            <w:shd w:val="clear" w:color="auto" w:fill="FFFFFF"/>
          </w:tcPr>
          <w:p w14:paraId="129C60B5"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What is the procedure for planning and budgeting that is responsible for approving the work plan and the annual budget of the GAVI HSS?</w:t>
            </w:r>
          </w:p>
        </w:tc>
        <w:tc>
          <w:tcPr>
            <w:tcW w:w="5883" w:type="dxa"/>
            <w:gridSpan w:val="2"/>
            <w:shd w:val="clear" w:color="auto" w:fill="FFFFFF"/>
          </w:tcPr>
          <w:p w14:paraId="1436B34F" w14:textId="77777777" w:rsidR="00867FFD" w:rsidRPr="004B5884" w:rsidRDefault="006A6A50" w:rsidP="00226DF1">
            <w:pPr>
              <w:widowControl w:val="0"/>
              <w:spacing w:before="120" w:after="120"/>
              <w:jc w:val="both"/>
              <w:rPr>
                <w:rFonts w:ascii="Times New Roman" w:eastAsia="Calibri" w:hAnsi="Times New Roman"/>
                <w:sz w:val="24"/>
                <w:szCs w:val="24"/>
              </w:rPr>
            </w:pPr>
            <w:r>
              <w:rPr>
                <w:rFonts w:ascii="Times New Roman" w:hAnsi="Times New Roman"/>
                <w:sz w:val="24"/>
              </w:rPr>
              <w:t>Planning will be carried out annually according to the logical framework relative to this proposal and budgeting will consider the reference documents in force regarding costs. The work plan and the annual budget will be validated by the PRODESS technical committee.</w:t>
            </w:r>
          </w:p>
        </w:tc>
      </w:tr>
      <w:tr w:rsidR="00867FFD" w:rsidRPr="009316FF" w14:paraId="3386392A" w14:textId="77777777" w:rsidTr="005D447F">
        <w:trPr>
          <w:trHeight w:val="278"/>
        </w:trPr>
        <w:tc>
          <w:tcPr>
            <w:tcW w:w="4465" w:type="dxa"/>
            <w:shd w:val="clear" w:color="auto" w:fill="FFFFFF"/>
          </w:tcPr>
          <w:p w14:paraId="65653F16"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Will the GAVI-HSS program be reflected in the budget of the Ministry of Health submitted every year to the Parliament for approval? </w:t>
            </w:r>
          </w:p>
        </w:tc>
        <w:tc>
          <w:tcPr>
            <w:tcW w:w="5883" w:type="dxa"/>
            <w:gridSpan w:val="2"/>
            <w:shd w:val="clear" w:color="auto" w:fill="FFFFFF"/>
          </w:tcPr>
          <w:p w14:paraId="783223F4" w14:textId="77777777" w:rsidR="00867FFD" w:rsidRPr="00BB3017" w:rsidRDefault="005E6371" w:rsidP="00226DF1">
            <w:pPr>
              <w:widowControl w:val="0"/>
              <w:spacing w:before="120" w:after="120"/>
              <w:jc w:val="both"/>
              <w:rPr>
                <w:rFonts w:ascii="Times New Roman" w:eastAsia="Calibri" w:hAnsi="Times New Roman"/>
                <w:sz w:val="24"/>
                <w:szCs w:val="24"/>
              </w:rPr>
            </w:pPr>
            <w:r>
              <w:rPr>
                <w:rFonts w:ascii="Times New Roman" w:hAnsi="Times New Roman"/>
                <w:sz w:val="24"/>
              </w:rPr>
              <w:t>YES</w:t>
            </w:r>
          </w:p>
          <w:p w14:paraId="551F7988" w14:textId="289F3205" w:rsidR="00FA3A2F" w:rsidRPr="00BB3017" w:rsidRDefault="005E6371" w:rsidP="00EA12B3">
            <w:pPr>
              <w:widowControl w:val="0"/>
              <w:spacing w:before="120" w:after="120"/>
              <w:jc w:val="both"/>
              <w:rPr>
                <w:rFonts w:ascii="Times New Roman" w:eastAsia="Calibri" w:hAnsi="Times New Roman"/>
                <w:sz w:val="24"/>
                <w:szCs w:val="24"/>
              </w:rPr>
            </w:pPr>
            <w:r>
              <w:rPr>
                <w:rFonts w:ascii="Times New Roman" w:hAnsi="Times New Roman"/>
                <w:sz w:val="24"/>
              </w:rPr>
              <w:t xml:space="preserve">GAVI-HSS fund resources will be recorded in the budget of the Ministry of Health presented to the National Assembly each year. </w:t>
            </w:r>
          </w:p>
        </w:tc>
      </w:tr>
      <w:tr w:rsidR="00867FFD" w:rsidRPr="009316FF" w14:paraId="588B2A54" w14:textId="77777777" w:rsidTr="005D447F">
        <w:trPr>
          <w:trHeight w:val="278"/>
        </w:trPr>
        <w:tc>
          <w:tcPr>
            <w:tcW w:w="10348" w:type="dxa"/>
            <w:gridSpan w:val="3"/>
            <w:shd w:val="clear" w:color="auto" w:fill="FFFFFF"/>
          </w:tcPr>
          <w:p w14:paraId="3F4BC32B"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Budget Execution (incl. treasury management and funds flow)</w:t>
            </w:r>
          </w:p>
        </w:tc>
      </w:tr>
      <w:tr w:rsidR="00867FFD" w:rsidRPr="009316FF" w14:paraId="368140C7" w14:textId="77777777" w:rsidTr="005D447F">
        <w:trPr>
          <w:trHeight w:val="278"/>
        </w:trPr>
        <w:tc>
          <w:tcPr>
            <w:tcW w:w="4465" w:type="dxa"/>
            <w:shd w:val="clear" w:color="auto" w:fill="FFFFFF"/>
          </w:tcPr>
          <w:p w14:paraId="6DE3ACF5"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What is the suggested banking arrangement (for example, SWAp, budget support or pooled funding)? Please provide the list of the authorized signatories for the release of funds and all requests for additional funds. </w:t>
            </w:r>
          </w:p>
        </w:tc>
        <w:tc>
          <w:tcPr>
            <w:tcW w:w="5883" w:type="dxa"/>
            <w:gridSpan w:val="2"/>
            <w:shd w:val="clear" w:color="auto" w:fill="FFFFFF"/>
          </w:tcPr>
          <w:p w14:paraId="526F280B" w14:textId="77777777" w:rsidR="00867FFD" w:rsidRDefault="004A5C85" w:rsidP="00226DF1">
            <w:pPr>
              <w:widowControl w:val="0"/>
              <w:spacing w:before="120" w:after="120"/>
              <w:jc w:val="both"/>
              <w:rPr>
                <w:rFonts w:ascii="Times New Roman" w:eastAsia="Calibri" w:hAnsi="Times New Roman"/>
                <w:sz w:val="24"/>
                <w:szCs w:val="24"/>
              </w:rPr>
            </w:pPr>
            <w:r>
              <w:rPr>
                <w:rFonts w:ascii="Times New Roman" w:hAnsi="Times New Roman"/>
                <w:sz w:val="24"/>
              </w:rPr>
              <w:t>The currency of the proposed account will be CFA francs and the flow of funds to the program is quarterly.</w:t>
            </w:r>
          </w:p>
          <w:p w14:paraId="0D5FFD33" w14:textId="77777777" w:rsidR="004A5C85" w:rsidRPr="004B5884" w:rsidRDefault="004A5C85" w:rsidP="00957F23">
            <w:pPr>
              <w:widowControl w:val="0"/>
              <w:spacing w:before="120" w:after="120"/>
              <w:jc w:val="both"/>
              <w:rPr>
                <w:rFonts w:ascii="Times New Roman" w:eastAsia="Calibri" w:hAnsi="Times New Roman"/>
                <w:sz w:val="24"/>
                <w:szCs w:val="24"/>
              </w:rPr>
            </w:pPr>
            <w:r>
              <w:rPr>
                <w:rFonts w:ascii="Times New Roman" w:hAnsi="Times New Roman"/>
                <w:sz w:val="24"/>
              </w:rPr>
              <w:t xml:space="preserve">In order to release the funds, the signatures required are: The Minister of Health and the Minister of the Economy and Finance. </w:t>
            </w:r>
          </w:p>
        </w:tc>
      </w:tr>
      <w:tr w:rsidR="00867FFD" w:rsidRPr="009316FF" w14:paraId="776A5802" w14:textId="77777777" w:rsidTr="005D447F">
        <w:trPr>
          <w:trHeight w:val="278"/>
        </w:trPr>
        <w:tc>
          <w:tcPr>
            <w:tcW w:w="4465" w:type="dxa"/>
            <w:shd w:val="clear" w:color="auto" w:fill="FFFFFF"/>
          </w:tcPr>
          <w:p w14:paraId="179EF56D"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Will GAVI HSS funds be transferred to a bank account opened at the Central Bank or at a commercial bank in the name of the Ministry of Health or the Implementing Entity? </w:t>
            </w:r>
          </w:p>
        </w:tc>
        <w:tc>
          <w:tcPr>
            <w:tcW w:w="5883" w:type="dxa"/>
            <w:gridSpan w:val="2"/>
            <w:shd w:val="clear" w:color="auto" w:fill="FFFFFF"/>
          </w:tcPr>
          <w:p w14:paraId="483A15FD" w14:textId="77777777" w:rsidR="00867FFD" w:rsidRPr="004B5884" w:rsidRDefault="00957F23" w:rsidP="00185E3A">
            <w:pPr>
              <w:widowControl w:val="0"/>
              <w:spacing w:before="120" w:after="120"/>
              <w:jc w:val="both"/>
              <w:rPr>
                <w:rFonts w:ascii="Times New Roman" w:eastAsia="Calibri" w:hAnsi="Times New Roman"/>
                <w:sz w:val="24"/>
                <w:szCs w:val="24"/>
              </w:rPr>
            </w:pPr>
            <w:r>
              <w:rPr>
                <w:rFonts w:ascii="Times New Roman" w:hAnsi="Times New Roman"/>
                <w:sz w:val="24"/>
              </w:rPr>
              <w:t xml:space="preserve">HAVI HSS funds will be kept in a bank account opened for this purpose in the name of the Ministry of Health with a commercial bank. </w:t>
            </w:r>
          </w:p>
        </w:tc>
      </w:tr>
      <w:tr w:rsidR="00867FFD" w:rsidRPr="009316FF" w14:paraId="7DEACAB7" w14:textId="77777777" w:rsidTr="005D447F">
        <w:trPr>
          <w:trHeight w:val="278"/>
        </w:trPr>
        <w:tc>
          <w:tcPr>
            <w:tcW w:w="4465" w:type="dxa"/>
            <w:shd w:val="clear" w:color="auto" w:fill="FFFFFF"/>
          </w:tcPr>
          <w:p w14:paraId="553D1636" w14:textId="25FDE744" w:rsidR="00867FFD" w:rsidRPr="00D3641C" w:rsidRDefault="00867FFD" w:rsidP="00D3641C">
            <w:pPr>
              <w:numPr>
                <w:ilvl w:val="0"/>
                <w:numId w:val="5"/>
              </w:numPr>
              <w:spacing w:before="120" w:after="120"/>
              <w:jc w:val="both"/>
              <w:rPr>
                <w:rFonts w:ascii="Times New Roman" w:hAnsi="Times New Roman"/>
                <w:sz w:val="24"/>
                <w:szCs w:val="24"/>
              </w:rPr>
            </w:pPr>
            <w:r>
              <w:rPr>
                <w:rFonts w:ascii="Times New Roman" w:hAnsi="Times New Roman"/>
                <w:sz w:val="24"/>
              </w:rPr>
              <w:t>Would this bank account hold only GAVI funds or also funds from other sources (government and/or donors - a “pooled account”)?</w:t>
            </w:r>
          </w:p>
        </w:tc>
        <w:tc>
          <w:tcPr>
            <w:tcW w:w="5883" w:type="dxa"/>
            <w:gridSpan w:val="2"/>
            <w:shd w:val="clear" w:color="auto" w:fill="FFFFFF"/>
          </w:tcPr>
          <w:p w14:paraId="2389F0E2" w14:textId="77777777" w:rsidR="00867FFD" w:rsidRPr="004B5884" w:rsidRDefault="00185E3A" w:rsidP="00185E3A">
            <w:pPr>
              <w:widowControl w:val="0"/>
              <w:spacing w:before="120" w:after="120"/>
              <w:jc w:val="both"/>
              <w:rPr>
                <w:rFonts w:ascii="Times New Roman" w:eastAsia="Calibri" w:hAnsi="Times New Roman"/>
                <w:sz w:val="24"/>
                <w:szCs w:val="24"/>
              </w:rPr>
            </w:pPr>
            <w:r>
              <w:rPr>
                <w:rFonts w:ascii="Times New Roman" w:hAnsi="Times New Roman"/>
                <w:sz w:val="24"/>
              </w:rPr>
              <w:t>This bank account will receive only funds from GAVI HSS.</w:t>
            </w:r>
          </w:p>
        </w:tc>
      </w:tr>
      <w:tr w:rsidR="00867FFD" w:rsidRPr="009316FF" w14:paraId="7D2DBD9A" w14:textId="77777777" w:rsidTr="005D447F">
        <w:trPr>
          <w:trHeight w:val="278"/>
        </w:trPr>
        <w:tc>
          <w:tcPr>
            <w:tcW w:w="4465" w:type="dxa"/>
            <w:shd w:val="clear" w:color="auto" w:fill="FFFFFF"/>
          </w:tcPr>
          <w:p w14:paraId="336FCCA9"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Within the HSS program, are funds planned to be transferred from central to decentralized levels (provinces, districts etc.)? If YES, please describe how fund transfers will be executed and controlled.</w:t>
            </w:r>
          </w:p>
        </w:tc>
        <w:tc>
          <w:tcPr>
            <w:tcW w:w="5883" w:type="dxa"/>
            <w:gridSpan w:val="2"/>
            <w:shd w:val="clear" w:color="auto" w:fill="FFFFFF"/>
          </w:tcPr>
          <w:p w14:paraId="630B44BC" w14:textId="77777777" w:rsidR="003F135F" w:rsidRPr="004B5884" w:rsidDel="003F135F" w:rsidRDefault="00867FFD" w:rsidP="003F135F">
            <w:pPr>
              <w:widowControl w:val="0"/>
              <w:spacing w:before="120" w:after="120"/>
              <w:jc w:val="both"/>
              <w:rPr>
                <w:rFonts w:ascii="Times New Roman" w:eastAsia="Calibri" w:hAnsi="Times New Roman"/>
                <w:sz w:val="24"/>
                <w:szCs w:val="24"/>
              </w:rPr>
            </w:pPr>
            <w:r>
              <w:rPr>
                <w:rFonts w:ascii="Times New Roman" w:hAnsi="Times New Roman"/>
                <w:sz w:val="24"/>
              </w:rPr>
              <w:t>YES</w:t>
            </w:r>
          </w:p>
          <w:p w14:paraId="4258DC3A" w14:textId="77777777" w:rsidR="00867FFD" w:rsidRDefault="003F135F" w:rsidP="009C0D9A">
            <w:pPr>
              <w:widowControl w:val="0"/>
              <w:spacing w:before="120" w:after="120"/>
              <w:jc w:val="both"/>
              <w:rPr>
                <w:rFonts w:ascii="Times New Roman" w:eastAsia="Calibri" w:hAnsi="Times New Roman"/>
                <w:sz w:val="24"/>
                <w:szCs w:val="24"/>
              </w:rPr>
            </w:pPr>
            <w:r>
              <w:rPr>
                <w:rFonts w:ascii="Times New Roman" w:hAnsi="Times New Roman"/>
                <w:sz w:val="24"/>
              </w:rPr>
              <w:t xml:space="preserve"> the supply diagram for districts and regions is created according to the PRODESS management manual, which specifies transfers of funds from the central level to the regional level and from the regional level to the circle level.</w:t>
            </w:r>
          </w:p>
          <w:p w14:paraId="6605878B" w14:textId="77777777" w:rsidR="001976E0" w:rsidRPr="004B5884" w:rsidRDefault="001976E0" w:rsidP="00411CF3">
            <w:pPr>
              <w:widowControl w:val="0"/>
              <w:spacing w:before="120" w:after="120"/>
              <w:jc w:val="both"/>
              <w:rPr>
                <w:rFonts w:ascii="Times New Roman" w:eastAsia="Calibri" w:hAnsi="Times New Roman"/>
                <w:sz w:val="24"/>
                <w:szCs w:val="24"/>
              </w:rPr>
            </w:pPr>
            <w:r>
              <w:rPr>
                <w:rFonts w:ascii="Times New Roman" w:hAnsi="Times New Roman"/>
                <w:sz w:val="24"/>
              </w:rPr>
              <w:t>There is an internal control service at the level of the Ministry of Health that controls PRODESS financing.</w:t>
            </w:r>
          </w:p>
        </w:tc>
      </w:tr>
      <w:tr w:rsidR="00867FFD" w:rsidRPr="009316FF" w14:paraId="6367233D" w14:textId="77777777" w:rsidTr="005D447F">
        <w:trPr>
          <w:trHeight w:val="278"/>
        </w:trPr>
        <w:tc>
          <w:tcPr>
            <w:tcW w:w="10348" w:type="dxa"/>
            <w:gridSpan w:val="3"/>
            <w:shd w:val="clear" w:color="auto" w:fill="FFFFFF"/>
          </w:tcPr>
          <w:p w14:paraId="5ECFC28A"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Procurement</w:t>
            </w:r>
          </w:p>
        </w:tc>
      </w:tr>
      <w:tr w:rsidR="00867FFD" w:rsidRPr="009316FF" w14:paraId="4550E77E" w14:textId="77777777" w:rsidTr="005D447F">
        <w:trPr>
          <w:trHeight w:val="278"/>
        </w:trPr>
        <w:tc>
          <w:tcPr>
            <w:tcW w:w="4465" w:type="dxa"/>
            <w:shd w:val="clear" w:color="auto" w:fill="FFFFFF"/>
          </w:tcPr>
          <w:p w14:paraId="06BFC5B6"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What procurement system will be used for the GAVI-HSS Program? (e.g. National Procurement Code/Act or WB/UNICEF/WHO and other Development Partners’ procurement procedures)  </w:t>
            </w:r>
          </w:p>
        </w:tc>
        <w:tc>
          <w:tcPr>
            <w:tcW w:w="5883" w:type="dxa"/>
            <w:gridSpan w:val="2"/>
            <w:shd w:val="clear" w:color="auto" w:fill="FFFFFF"/>
          </w:tcPr>
          <w:p w14:paraId="46A956F9" w14:textId="77777777" w:rsidR="00867FFD" w:rsidRDefault="005422D5" w:rsidP="00226DF1">
            <w:pPr>
              <w:widowControl w:val="0"/>
              <w:spacing w:before="120" w:after="120"/>
              <w:jc w:val="both"/>
              <w:rPr>
                <w:rFonts w:ascii="Times New Roman" w:eastAsia="Calibri" w:hAnsi="Times New Roman"/>
                <w:sz w:val="24"/>
                <w:szCs w:val="24"/>
              </w:rPr>
            </w:pPr>
            <w:r>
              <w:rPr>
                <w:rFonts w:ascii="Times New Roman" w:hAnsi="Times New Roman"/>
                <w:sz w:val="24"/>
              </w:rPr>
              <w:t>The public contracts code will be used for the execution of contracts in the context of the management of the GAVI HSS program.</w:t>
            </w:r>
          </w:p>
          <w:p w14:paraId="061095D6" w14:textId="13AD9C85" w:rsidR="001A7BB6" w:rsidRPr="004B5884" w:rsidRDefault="001A7BB6" w:rsidP="0012285E">
            <w:pPr>
              <w:widowControl w:val="0"/>
              <w:spacing w:before="120" w:after="120"/>
              <w:jc w:val="both"/>
              <w:rPr>
                <w:rFonts w:ascii="Times New Roman" w:eastAsia="Calibri" w:hAnsi="Times New Roman"/>
                <w:sz w:val="24"/>
                <w:szCs w:val="24"/>
              </w:rPr>
            </w:pPr>
            <w:r>
              <w:rPr>
                <w:rFonts w:ascii="Times New Roman" w:hAnsi="Times New Roman"/>
                <w:sz w:val="24"/>
              </w:rPr>
              <w:t>Certain items will be acquired through the UNIPAC procurement center. </w:t>
            </w:r>
          </w:p>
        </w:tc>
      </w:tr>
      <w:tr w:rsidR="00867FFD" w:rsidRPr="009316FF" w14:paraId="57AF17B0" w14:textId="77777777" w:rsidTr="005D447F">
        <w:trPr>
          <w:trHeight w:val="278"/>
        </w:trPr>
        <w:tc>
          <w:tcPr>
            <w:tcW w:w="4465" w:type="dxa"/>
            <w:shd w:val="clear" w:color="auto" w:fill="FFFFFF"/>
          </w:tcPr>
          <w:p w14:paraId="4BCDA1D1"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Do you plan to procure certain items through GAVI's system in-country partners (UNICEF, WHO)?</w:t>
            </w:r>
          </w:p>
        </w:tc>
        <w:tc>
          <w:tcPr>
            <w:tcW w:w="5883" w:type="dxa"/>
            <w:gridSpan w:val="2"/>
            <w:shd w:val="clear" w:color="auto" w:fill="FFFFFF"/>
          </w:tcPr>
          <w:p w14:paraId="2AC5AEFC" w14:textId="77777777" w:rsidR="00867FFD" w:rsidRDefault="00966814"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Yes </w:t>
            </w:r>
          </w:p>
          <w:p w14:paraId="7CD6CE23" w14:textId="77777777" w:rsidR="00966814" w:rsidRPr="004B5884" w:rsidRDefault="00966814"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Based on need </w:t>
            </w:r>
          </w:p>
        </w:tc>
      </w:tr>
      <w:tr w:rsidR="00867FFD" w:rsidRPr="009316FF" w14:paraId="10A8D3B2" w14:textId="77777777" w:rsidTr="005D447F">
        <w:trPr>
          <w:trHeight w:val="278"/>
        </w:trPr>
        <w:tc>
          <w:tcPr>
            <w:tcW w:w="4465" w:type="dxa"/>
            <w:shd w:val="clear" w:color="auto" w:fill="FFFFFF"/>
          </w:tcPr>
          <w:p w14:paraId="732CA841"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What is the procedure for allocating personnel from the organization responsible for the supply?  </w:t>
            </w:r>
          </w:p>
        </w:tc>
        <w:tc>
          <w:tcPr>
            <w:tcW w:w="5883" w:type="dxa"/>
            <w:gridSpan w:val="2"/>
            <w:shd w:val="clear" w:color="auto" w:fill="FFFFFF"/>
          </w:tcPr>
          <w:p w14:paraId="133FC658" w14:textId="77777777" w:rsidR="00867FFD" w:rsidRPr="004B5884" w:rsidRDefault="006B6837" w:rsidP="00226DF1">
            <w:pPr>
              <w:widowControl w:val="0"/>
              <w:spacing w:before="120" w:after="120"/>
              <w:jc w:val="both"/>
              <w:rPr>
                <w:rFonts w:ascii="Times New Roman" w:eastAsia="Calibri" w:hAnsi="Times New Roman"/>
                <w:sz w:val="24"/>
                <w:szCs w:val="24"/>
              </w:rPr>
            </w:pPr>
            <w:r>
              <w:rPr>
                <w:rFonts w:ascii="Times New Roman" w:hAnsi="Times New Roman"/>
                <w:sz w:val="24"/>
              </w:rPr>
              <w:t>The procedure for allocating personnel by the organization responsible for the supply is carried out by competition.</w:t>
            </w:r>
          </w:p>
        </w:tc>
      </w:tr>
      <w:tr w:rsidR="00867FFD" w:rsidRPr="009316FF" w14:paraId="048567D8" w14:textId="77777777" w:rsidTr="005D447F">
        <w:trPr>
          <w:trHeight w:val="278"/>
        </w:trPr>
        <w:tc>
          <w:tcPr>
            <w:tcW w:w="4465" w:type="dxa"/>
            <w:shd w:val="clear" w:color="auto" w:fill="FFFFFF"/>
          </w:tcPr>
          <w:p w14:paraId="37CE1035"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Are there procedures in place for the physical inspection and quality control of goods, works, or services delivered?</w:t>
            </w:r>
          </w:p>
        </w:tc>
        <w:tc>
          <w:tcPr>
            <w:tcW w:w="5883" w:type="dxa"/>
            <w:gridSpan w:val="2"/>
            <w:shd w:val="clear" w:color="auto" w:fill="FFFFFF"/>
          </w:tcPr>
          <w:p w14:paraId="77509219" w14:textId="77777777" w:rsidR="00867FFD" w:rsidRDefault="00867FFD" w:rsidP="00E3187B">
            <w:pPr>
              <w:widowControl w:val="0"/>
              <w:spacing w:before="120" w:after="120"/>
              <w:jc w:val="both"/>
              <w:rPr>
                <w:rFonts w:ascii="Times New Roman" w:eastAsia="Calibri" w:hAnsi="Times New Roman"/>
                <w:sz w:val="24"/>
                <w:szCs w:val="24"/>
              </w:rPr>
            </w:pPr>
            <w:r>
              <w:rPr>
                <w:rFonts w:ascii="Times New Roman" w:hAnsi="Times New Roman"/>
                <w:sz w:val="24"/>
              </w:rPr>
              <w:t xml:space="preserve">YES </w:t>
            </w:r>
          </w:p>
          <w:p w14:paraId="6901C8E8" w14:textId="77777777" w:rsidR="00E00863" w:rsidRPr="004B5884" w:rsidRDefault="00AE7006" w:rsidP="004A3694">
            <w:pPr>
              <w:widowControl w:val="0"/>
              <w:spacing w:before="120" w:after="120"/>
              <w:jc w:val="both"/>
              <w:rPr>
                <w:rFonts w:ascii="Times New Roman" w:eastAsia="Calibri" w:hAnsi="Times New Roman"/>
                <w:sz w:val="24"/>
                <w:szCs w:val="24"/>
              </w:rPr>
            </w:pPr>
            <w:r>
              <w:rPr>
                <w:rFonts w:ascii="Times New Roman" w:hAnsi="Times New Roman"/>
                <w:sz w:val="24"/>
              </w:rPr>
              <w:t xml:space="preserve">The commission charged with receiving goods is comprised of a representative of the beneficiary service to verify the quality of the goods, work or services, a representative of the entity charged with financial management and a Financial Control representative.    </w:t>
            </w:r>
          </w:p>
        </w:tc>
      </w:tr>
      <w:tr w:rsidR="00867FFD" w:rsidRPr="009316FF" w14:paraId="38103F9A" w14:textId="77777777" w:rsidTr="005D447F">
        <w:trPr>
          <w:trHeight w:val="278"/>
        </w:trPr>
        <w:tc>
          <w:tcPr>
            <w:tcW w:w="4465" w:type="dxa"/>
            <w:shd w:val="clear" w:color="auto" w:fill="FFFFFF"/>
          </w:tcPr>
          <w:p w14:paraId="0CED6ABE"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Is there a complaint mechanism? Please provide a brief description. </w:t>
            </w:r>
          </w:p>
        </w:tc>
        <w:tc>
          <w:tcPr>
            <w:tcW w:w="5883" w:type="dxa"/>
            <w:gridSpan w:val="2"/>
            <w:shd w:val="clear" w:color="auto" w:fill="FFFFFF"/>
          </w:tcPr>
          <w:p w14:paraId="0B24A104" w14:textId="77777777" w:rsidR="00867FFD" w:rsidRDefault="004C59CE"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 YES</w:t>
            </w:r>
          </w:p>
          <w:p w14:paraId="52739B0E" w14:textId="189DDEC4" w:rsidR="00867FFD" w:rsidRPr="004B5884" w:rsidRDefault="004C59CE" w:rsidP="00226DF1">
            <w:pPr>
              <w:widowControl w:val="0"/>
              <w:spacing w:before="120" w:after="120"/>
              <w:jc w:val="both"/>
              <w:rPr>
                <w:rFonts w:ascii="Times New Roman" w:eastAsia="Calibri" w:hAnsi="Times New Roman"/>
                <w:sz w:val="24"/>
                <w:szCs w:val="24"/>
              </w:rPr>
            </w:pPr>
            <w:r>
              <w:rPr>
                <w:rFonts w:ascii="Times New Roman" w:hAnsi="Times New Roman"/>
                <w:sz w:val="24"/>
              </w:rPr>
              <w:t>Complaints are accepted and managed according to the Code for the Execution of Public Contracts in force in Mali.</w:t>
            </w:r>
          </w:p>
        </w:tc>
      </w:tr>
      <w:tr w:rsidR="00867FFD" w:rsidRPr="009316FF" w14:paraId="6C86EF50" w14:textId="77777777" w:rsidTr="005D447F">
        <w:trPr>
          <w:trHeight w:val="278"/>
        </w:trPr>
        <w:tc>
          <w:tcPr>
            <w:tcW w:w="4465" w:type="dxa"/>
            <w:shd w:val="clear" w:color="auto" w:fill="FFFFFF"/>
          </w:tcPr>
          <w:p w14:paraId="6264D6C7"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 xml:space="preserve">Are efficient contractual dispute resolution procedures in place? Please provide a brief description. </w:t>
            </w:r>
          </w:p>
        </w:tc>
        <w:tc>
          <w:tcPr>
            <w:tcW w:w="5883" w:type="dxa"/>
            <w:gridSpan w:val="2"/>
            <w:shd w:val="clear" w:color="auto" w:fill="FFFFFF"/>
          </w:tcPr>
          <w:p w14:paraId="51907658" w14:textId="77777777" w:rsidR="00B97646" w:rsidRDefault="00867FFD" w:rsidP="00B97646">
            <w:pPr>
              <w:widowControl w:val="0"/>
              <w:spacing w:before="120" w:after="120"/>
              <w:jc w:val="both"/>
              <w:rPr>
                <w:rFonts w:ascii="Times New Roman" w:eastAsia="Calibri" w:hAnsi="Times New Roman"/>
                <w:sz w:val="24"/>
                <w:szCs w:val="24"/>
              </w:rPr>
            </w:pPr>
            <w:r>
              <w:rPr>
                <w:rFonts w:ascii="Times New Roman" w:hAnsi="Times New Roman"/>
                <w:sz w:val="24"/>
              </w:rPr>
              <w:t>YES</w:t>
            </w:r>
          </w:p>
          <w:p w14:paraId="2E18F6F2" w14:textId="77777777" w:rsidR="00E029D1" w:rsidRPr="004B5884" w:rsidDel="00B97646" w:rsidRDefault="00F2492B" w:rsidP="00B97646">
            <w:pPr>
              <w:widowControl w:val="0"/>
              <w:spacing w:before="120" w:after="120"/>
              <w:jc w:val="both"/>
              <w:rPr>
                <w:rFonts w:ascii="Times New Roman" w:eastAsia="Calibri" w:hAnsi="Times New Roman"/>
                <w:sz w:val="24"/>
                <w:szCs w:val="24"/>
              </w:rPr>
            </w:pPr>
            <w:r>
              <w:rPr>
                <w:rFonts w:ascii="Times New Roman" w:hAnsi="Times New Roman"/>
                <w:sz w:val="24"/>
              </w:rPr>
              <w:t xml:space="preserve">The recourse for amicable disagreements is possible as applicable, and disagreements are governed by the corresponding competent jurisdictions. </w:t>
            </w:r>
          </w:p>
          <w:p w14:paraId="0EC667C0" w14:textId="77777777" w:rsidR="00867FFD" w:rsidRPr="004B5884" w:rsidRDefault="00867FFD">
            <w:pPr>
              <w:widowControl w:val="0"/>
              <w:spacing w:before="120" w:after="120"/>
              <w:jc w:val="both"/>
              <w:rPr>
                <w:rFonts w:ascii="Times New Roman" w:eastAsia="Calibri" w:hAnsi="Times New Roman"/>
                <w:sz w:val="24"/>
                <w:szCs w:val="24"/>
              </w:rPr>
            </w:pPr>
          </w:p>
        </w:tc>
      </w:tr>
      <w:tr w:rsidR="00867FFD" w:rsidRPr="009316FF" w14:paraId="4C37C83B" w14:textId="77777777" w:rsidTr="005D447F">
        <w:trPr>
          <w:trHeight w:val="278"/>
        </w:trPr>
        <w:tc>
          <w:tcPr>
            <w:tcW w:w="10348" w:type="dxa"/>
            <w:gridSpan w:val="3"/>
            <w:shd w:val="clear" w:color="auto" w:fill="FFFFFF"/>
          </w:tcPr>
          <w:p w14:paraId="0F97C39B"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Accounting and financial reporting (incl. fixed asset management)</w:t>
            </w:r>
          </w:p>
        </w:tc>
      </w:tr>
      <w:tr w:rsidR="00867FFD" w:rsidRPr="009316FF" w14:paraId="1A6284DB" w14:textId="77777777" w:rsidTr="005D447F">
        <w:trPr>
          <w:trHeight w:val="278"/>
        </w:trPr>
        <w:tc>
          <w:tcPr>
            <w:tcW w:w="4465" w:type="dxa"/>
            <w:shd w:val="clear" w:color="auto" w:fill="FFFFFF"/>
          </w:tcPr>
          <w:p w14:paraId="13095EBF"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What is the staffing arrangement of the organization in accounting, and reporting?</w:t>
            </w:r>
          </w:p>
        </w:tc>
        <w:tc>
          <w:tcPr>
            <w:tcW w:w="5883" w:type="dxa"/>
            <w:gridSpan w:val="2"/>
            <w:shd w:val="clear" w:color="auto" w:fill="FFFFFF"/>
          </w:tcPr>
          <w:p w14:paraId="69847AA9" w14:textId="01FDA891" w:rsidR="00867FFD" w:rsidRPr="001F5902" w:rsidRDefault="001F5902" w:rsidP="00226DF1">
            <w:pPr>
              <w:widowControl w:val="0"/>
              <w:spacing w:before="120" w:after="120"/>
              <w:jc w:val="both"/>
              <w:rPr>
                <w:rFonts w:ascii="Times New Roman" w:eastAsia="Calibri" w:hAnsi="Times New Roman"/>
                <w:sz w:val="24"/>
                <w:szCs w:val="24"/>
              </w:rPr>
            </w:pPr>
            <w:r>
              <w:rPr>
                <w:rFonts w:ascii="Times New Roman" w:hAnsi="Times New Roman"/>
                <w:sz w:val="24"/>
              </w:rPr>
              <w:t>Ninety-three (93) persons total (Executive and support personnel as of 31 December 2013)</w:t>
            </w:r>
          </w:p>
        </w:tc>
      </w:tr>
      <w:tr w:rsidR="00867FFD" w:rsidRPr="009316FF" w14:paraId="628E6B5B" w14:textId="77777777" w:rsidTr="005D447F">
        <w:trPr>
          <w:trHeight w:val="278"/>
        </w:trPr>
        <w:tc>
          <w:tcPr>
            <w:tcW w:w="4465" w:type="dxa"/>
            <w:shd w:val="clear" w:color="auto" w:fill="FFFFFF"/>
          </w:tcPr>
          <w:p w14:paraId="508F88C5"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What accounting system will be used for the GAVI-HSS Program? (Is there a specific accounting software or a manual accounting system?)</w:t>
            </w:r>
          </w:p>
        </w:tc>
        <w:tc>
          <w:tcPr>
            <w:tcW w:w="5883" w:type="dxa"/>
            <w:gridSpan w:val="2"/>
            <w:shd w:val="clear" w:color="auto" w:fill="FFFFFF"/>
          </w:tcPr>
          <w:p w14:paraId="2D7EC4C9" w14:textId="04473E20" w:rsidR="00867FFD" w:rsidRPr="00E31AC1" w:rsidRDefault="00BA23D4" w:rsidP="00226DF1">
            <w:pPr>
              <w:widowControl w:val="0"/>
              <w:spacing w:before="120" w:after="120"/>
              <w:jc w:val="both"/>
              <w:rPr>
                <w:rFonts w:ascii="Times New Roman" w:eastAsia="Calibri" w:hAnsi="Times New Roman"/>
                <w:sz w:val="24"/>
                <w:szCs w:val="24"/>
              </w:rPr>
            </w:pPr>
            <w:r>
              <w:rPr>
                <w:rFonts w:ascii="Times New Roman" w:hAnsi="Times New Roman"/>
                <w:sz w:val="24"/>
              </w:rPr>
              <w:t>The accounting sy</w:t>
            </w:r>
            <w:r w:rsidR="009767A5">
              <w:rPr>
                <w:rFonts w:ascii="Times New Roman" w:hAnsi="Times New Roman"/>
                <w:sz w:val="24"/>
              </w:rPr>
              <w:t xml:space="preserve">stem used is that of the financial management and accounting procedures manual of PRODESS. </w:t>
            </w:r>
          </w:p>
          <w:p w14:paraId="735016FA" w14:textId="77777777" w:rsidR="009767A5" w:rsidRPr="00513AAF" w:rsidRDefault="009767A5" w:rsidP="00226DF1">
            <w:pPr>
              <w:widowControl w:val="0"/>
              <w:spacing w:before="120" w:after="120"/>
              <w:jc w:val="both"/>
              <w:rPr>
                <w:rFonts w:ascii="Times New Roman" w:eastAsia="Calibri" w:hAnsi="Times New Roman"/>
                <w:sz w:val="24"/>
                <w:szCs w:val="24"/>
                <w:highlight w:val="yellow"/>
              </w:rPr>
            </w:pPr>
            <w:r>
              <w:rPr>
                <w:rFonts w:ascii="Times New Roman" w:hAnsi="Times New Roman"/>
                <w:sz w:val="24"/>
              </w:rPr>
              <w:t>The software used for management of the program is the TOMPRO WINDOWS MULTI-SITES MULTI-SPONSOR software package</w:t>
            </w:r>
          </w:p>
        </w:tc>
      </w:tr>
      <w:tr w:rsidR="00867FFD" w:rsidRPr="009316FF" w14:paraId="4DBAFCA1" w14:textId="77777777" w:rsidTr="005D447F">
        <w:trPr>
          <w:trHeight w:val="278"/>
        </w:trPr>
        <w:tc>
          <w:tcPr>
            <w:tcW w:w="4465" w:type="dxa"/>
            <w:shd w:val="clear" w:color="auto" w:fill="FFFFFF"/>
          </w:tcPr>
          <w:p w14:paraId="401280B1" w14:textId="1AA01412" w:rsidR="00867FFD" w:rsidRPr="00D3641C" w:rsidRDefault="00867FFD" w:rsidP="00D3641C">
            <w:pPr>
              <w:numPr>
                <w:ilvl w:val="0"/>
                <w:numId w:val="5"/>
              </w:numPr>
              <w:spacing w:before="120" w:after="120"/>
              <w:jc w:val="both"/>
              <w:rPr>
                <w:rFonts w:ascii="Times New Roman" w:hAnsi="Times New Roman"/>
                <w:sz w:val="24"/>
                <w:szCs w:val="24"/>
              </w:rPr>
            </w:pPr>
            <w:r>
              <w:rPr>
                <w:rFonts w:ascii="Times New Roman" w:hAnsi="Times New Roman"/>
                <w:sz w:val="24"/>
              </w:rPr>
              <w:t xml:space="preserve">How often does the implementing entity produce interim financial reports and to whom are those submitted?  </w:t>
            </w:r>
          </w:p>
        </w:tc>
        <w:tc>
          <w:tcPr>
            <w:tcW w:w="5883" w:type="dxa"/>
            <w:gridSpan w:val="2"/>
            <w:shd w:val="clear" w:color="auto" w:fill="FFFFFF"/>
          </w:tcPr>
          <w:p w14:paraId="20DFCA90" w14:textId="77777777" w:rsidR="00050E5F" w:rsidRDefault="00050E5F" w:rsidP="00226DF1">
            <w:pPr>
              <w:widowControl w:val="0"/>
              <w:spacing w:before="120" w:after="120"/>
              <w:jc w:val="both"/>
              <w:rPr>
                <w:rFonts w:ascii="Times New Roman" w:eastAsia="Calibri" w:hAnsi="Times New Roman"/>
                <w:sz w:val="24"/>
                <w:szCs w:val="24"/>
              </w:rPr>
            </w:pPr>
            <w:r>
              <w:rPr>
                <w:rFonts w:ascii="Times New Roman" w:hAnsi="Times New Roman"/>
                <w:sz w:val="24"/>
              </w:rPr>
              <w:t xml:space="preserve">The GAVI HSS program implementation entity produces intermediate financial reports in order [sic]   </w:t>
            </w:r>
          </w:p>
          <w:p w14:paraId="446ABBFF" w14:textId="77777777" w:rsidR="00867FFD" w:rsidRPr="004B5884" w:rsidRDefault="008F2A77" w:rsidP="00226DF1">
            <w:pPr>
              <w:widowControl w:val="0"/>
              <w:spacing w:before="120" w:after="120"/>
              <w:jc w:val="both"/>
              <w:rPr>
                <w:rFonts w:ascii="Times New Roman" w:eastAsia="Calibri" w:hAnsi="Times New Roman"/>
                <w:sz w:val="24"/>
                <w:szCs w:val="24"/>
              </w:rPr>
            </w:pPr>
            <w:r>
              <w:rPr>
                <w:rFonts w:ascii="Times New Roman" w:hAnsi="Times New Roman"/>
                <w:sz w:val="24"/>
              </w:rPr>
              <w:t>Annual to the PRODESS Steering Committee</w:t>
            </w:r>
          </w:p>
        </w:tc>
      </w:tr>
      <w:tr w:rsidR="00867FFD" w:rsidRPr="009316FF" w14:paraId="0BD67DD2" w14:textId="77777777" w:rsidTr="005D447F">
        <w:trPr>
          <w:trHeight w:val="278"/>
        </w:trPr>
        <w:tc>
          <w:tcPr>
            <w:tcW w:w="10348" w:type="dxa"/>
            <w:gridSpan w:val="3"/>
            <w:shd w:val="clear" w:color="auto" w:fill="FFFFFF"/>
          </w:tcPr>
          <w:p w14:paraId="197A81E9"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Internal control and internal audit</w:t>
            </w:r>
          </w:p>
        </w:tc>
      </w:tr>
      <w:tr w:rsidR="00867FFD" w:rsidRPr="009316FF" w14:paraId="5FF6954A" w14:textId="77777777" w:rsidTr="005D447F">
        <w:trPr>
          <w:trHeight w:val="278"/>
        </w:trPr>
        <w:tc>
          <w:tcPr>
            <w:tcW w:w="4465" w:type="dxa"/>
            <w:shd w:val="clear" w:color="auto" w:fill="FFFFFF"/>
          </w:tcPr>
          <w:p w14:paraId="3EA5A147"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Does the recipient organization have a Financial Management or Operating Manual that describes the internal control system and Financial Management operational procedures?</w:t>
            </w:r>
          </w:p>
        </w:tc>
        <w:tc>
          <w:tcPr>
            <w:tcW w:w="5883" w:type="dxa"/>
            <w:gridSpan w:val="2"/>
            <w:shd w:val="clear" w:color="auto" w:fill="FFFFFF"/>
          </w:tcPr>
          <w:p w14:paraId="7328FF46" w14:textId="77777777" w:rsidR="00867FFD" w:rsidRDefault="00867FFD" w:rsidP="0069753E">
            <w:pPr>
              <w:widowControl w:val="0"/>
              <w:spacing w:before="120" w:after="120"/>
              <w:jc w:val="both"/>
              <w:rPr>
                <w:rFonts w:ascii="Times New Roman" w:eastAsia="Calibri" w:hAnsi="Times New Roman"/>
                <w:sz w:val="24"/>
                <w:szCs w:val="24"/>
              </w:rPr>
            </w:pPr>
            <w:r>
              <w:rPr>
                <w:rFonts w:ascii="Times New Roman" w:hAnsi="Times New Roman"/>
                <w:sz w:val="24"/>
              </w:rPr>
              <w:t>YES</w:t>
            </w:r>
          </w:p>
          <w:p w14:paraId="06D62282" w14:textId="77777777" w:rsidR="001233A1" w:rsidRPr="004B5884" w:rsidRDefault="001233A1" w:rsidP="007D3450">
            <w:pPr>
              <w:widowControl w:val="0"/>
              <w:spacing w:before="120" w:after="120"/>
              <w:jc w:val="both"/>
              <w:rPr>
                <w:rFonts w:ascii="Times New Roman" w:eastAsia="Calibri" w:hAnsi="Times New Roman"/>
                <w:sz w:val="24"/>
                <w:szCs w:val="24"/>
              </w:rPr>
            </w:pPr>
            <w:r>
              <w:rPr>
                <w:rFonts w:ascii="Times New Roman" w:hAnsi="Times New Roman"/>
                <w:sz w:val="24"/>
              </w:rPr>
              <w:t xml:space="preserve">The beneficiary entity has a financial disbursement procedures manual for operations and an internal control system coordinated by an auditor. </w:t>
            </w:r>
          </w:p>
        </w:tc>
      </w:tr>
      <w:tr w:rsidR="00867FFD" w:rsidRPr="009316FF" w14:paraId="3DA26B41" w14:textId="77777777" w:rsidTr="005D447F">
        <w:trPr>
          <w:trHeight w:val="278"/>
        </w:trPr>
        <w:tc>
          <w:tcPr>
            <w:tcW w:w="4465" w:type="dxa"/>
            <w:shd w:val="clear" w:color="auto" w:fill="FFFFFF"/>
          </w:tcPr>
          <w:p w14:paraId="11CA1D57"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Does an internal audit department exist within recipient organization? If yes, please describe how the internal audit will be involved in relation to GAVI HSS.</w:t>
            </w:r>
          </w:p>
        </w:tc>
        <w:tc>
          <w:tcPr>
            <w:tcW w:w="5883" w:type="dxa"/>
            <w:gridSpan w:val="2"/>
            <w:shd w:val="clear" w:color="auto" w:fill="FFFFFF"/>
          </w:tcPr>
          <w:p w14:paraId="11D443D6" w14:textId="77777777" w:rsidR="00AA602B" w:rsidRDefault="00867FFD" w:rsidP="00AA602B">
            <w:pPr>
              <w:widowControl w:val="0"/>
              <w:spacing w:before="120" w:after="120"/>
              <w:jc w:val="both"/>
              <w:rPr>
                <w:rFonts w:ascii="Times New Roman" w:eastAsia="Calibri" w:hAnsi="Times New Roman"/>
                <w:sz w:val="24"/>
                <w:szCs w:val="24"/>
              </w:rPr>
            </w:pPr>
            <w:r>
              <w:rPr>
                <w:rFonts w:ascii="Times New Roman" w:hAnsi="Times New Roman"/>
                <w:sz w:val="24"/>
              </w:rPr>
              <w:t>YES</w:t>
            </w:r>
          </w:p>
          <w:p w14:paraId="173B292F" w14:textId="77777777" w:rsidR="003B295A" w:rsidRDefault="003B295A" w:rsidP="00AA602B">
            <w:pPr>
              <w:widowControl w:val="0"/>
              <w:spacing w:before="120" w:after="120"/>
              <w:jc w:val="both"/>
              <w:rPr>
                <w:rFonts w:ascii="Times New Roman" w:eastAsia="Calibri" w:hAnsi="Times New Roman"/>
                <w:sz w:val="24"/>
                <w:szCs w:val="24"/>
              </w:rPr>
            </w:pPr>
          </w:p>
          <w:p w14:paraId="53A7ABA4" w14:textId="77777777" w:rsidR="003B295A" w:rsidRDefault="003B295A" w:rsidP="00AA602B">
            <w:pPr>
              <w:widowControl w:val="0"/>
              <w:spacing w:before="120" w:after="120"/>
              <w:jc w:val="both"/>
              <w:rPr>
                <w:rFonts w:ascii="Times New Roman" w:eastAsia="Calibri" w:hAnsi="Times New Roman"/>
                <w:sz w:val="24"/>
                <w:szCs w:val="24"/>
              </w:rPr>
            </w:pPr>
            <w:r>
              <w:rPr>
                <w:rFonts w:ascii="Times New Roman" w:hAnsi="Times New Roman"/>
                <w:sz w:val="24"/>
              </w:rPr>
              <w:t>The beneficiary organization has an internal control audit service coordinated by an auditor.</w:t>
            </w:r>
          </w:p>
          <w:p w14:paraId="151ABBC7" w14:textId="0A2EB58F" w:rsidR="00867FFD" w:rsidRPr="004B5884" w:rsidRDefault="00DC7F17">
            <w:pPr>
              <w:widowControl w:val="0"/>
              <w:spacing w:before="120" w:after="120"/>
              <w:jc w:val="both"/>
              <w:rPr>
                <w:rFonts w:ascii="Times New Roman" w:eastAsia="Calibri" w:hAnsi="Times New Roman"/>
                <w:sz w:val="24"/>
                <w:szCs w:val="24"/>
              </w:rPr>
            </w:pPr>
            <w:r>
              <w:rPr>
                <w:rFonts w:ascii="Times New Roman" w:hAnsi="Times New Roman"/>
                <w:sz w:val="24"/>
              </w:rPr>
              <w:t>This service will be involved in the control of activities financed by GAVI HSS funds by organizing audit sessions sanctioned by the generation of a report.</w:t>
            </w:r>
          </w:p>
        </w:tc>
      </w:tr>
      <w:tr w:rsidR="00867FFD" w:rsidRPr="009316FF" w14:paraId="78460EBD" w14:textId="77777777" w:rsidTr="005D447F">
        <w:trPr>
          <w:trHeight w:val="278"/>
        </w:trPr>
        <w:tc>
          <w:tcPr>
            <w:tcW w:w="4465" w:type="dxa"/>
            <w:shd w:val="clear" w:color="auto" w:fill="FFFFFF"/>
          </w:tcPr>
          <w:p w14:paraId="1AF96BAA"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Is there a functioning Audit Committee to follow up on the implementation of internal audit recommendations?</w:t>
            </w:r>
          </w:p>
        </w:tc>
        <w:tc>
          <w:tcPr>
            <w:tcW w:w="5883" w:type="dxa"/>
            <w:gridSpan w:val="2"/>
            <w:shd w:val="clear" w:color="auto" w:fill="FFFFFF"/>
          </w:tcPr>
          <w:p w14:paraId="6DA4246F" w14:textId="77777777" w:rsidR="00867FFD" w:rsidRDefault="00867FFD" w:rsidP="00226DF1">
            <w:pPr>
              <w:widowControl w:val="0"/>
              <w:spacing w:before="120" w:after="120"/>
              <w:jc w:val="both"/>
              <w:rPr>
                <w:rFonts w:ascii="Times New Roman" w:eastAsia="Calibri" w:hAnsi="Times New Roman"/>
                <w:sz w:val="24"/>
                <w:szCs w:val="24"/>
              </w:rPr>
            </w:pPr>
            <w:r>
              <w:rPr>
                <w:rFonts w:ascii="Times New Roman" w:hAnsi="Times New Roman"/>
                <w:sz w:val="24"/>
              </w:rPr>
              <w:t>YES</w:t>
            </w:r>
          </w:p>
          <w:p w14:paraId="4D16A1B2" w14:textId="77777777" w:rsidR="00B207F6" w:rsidRPr="004B5884" w:rsidRDefault="00B207F6" w:rsidP="00113C52">
            <w:pPr>
              <w:widowControl w:val="0"/>
              <w:spacing w:before="120" w:after="120"/>
              <w:jc w:val="both"/>
              <w:rPr>
                <w:rFonts w:ascii="Times New Roman" w:eastAsia="Calibri" w:hAnsi="Times New Roman"/>
                <w:sz w:val="24"/>
                <w:szCs w:val="24"/>
              </w:rPr>
            </w:pPr>
            <w:r>
              <w:rPr>
                <w:rFonts w:ascii="Times New Roman" w:hAnsi="Times New Roman"/>
                <w:sz w:val="24"/>
              </w:rPr>
              <w:t xml:space="preserve">The program financial management team is responsible for the implementation of the recommendations regarding performance of the program. </w:t>
            </w:r>
          </w:p>
        </w:tc>
      </w:tr>
      <w:tr w:rsidR="00867FFD" w:rsidRPr="009316FF" w14:paraId="34E495C2" w14:textId="77777777" w:rsidTr="005D447F">
        <w:trPr>
          <w:trHeight w:val="278"/>
        </w:trPr>
        <w:tc>
          <w:tcPr>
            <w:tcW w:w="10348" w:type="dxa"/>
            <w:gridSpan w:val="3"/>
            <w:shd w:val="clear" w:color="auto" w:fill="FFFFFF"/>
          </w:tcPr>
          <w:p w14:paraId="32B06A23" w14:textId="77777777" w:rsidR="00867FFD" w:rsidRPr="004B5884" w:rsidRDefault="00867FFD" w:rsidP="00226DF1">
            <w:pPr>
              <w:widowControl w:val="0"/>
              <w:spacing w:before="120" w:after="120"/>
              <w:jc w:val="both"/>
              <w:rPr>
                <w:rFonts w:ascii="Times New Roman" w:eastAsia="Calibri" w:hAnsi="Times New Roman"/>
                <w:b/>
                <w:sz w:val="24"/>
                <w:szCs w:val="24"/>
              </w:rPr>
            </w:pPr>
            <w:r>
              <w:rPr>
                <w:rFonts w:ascii="Times New Roman" w:hAnsi="Times New Roman"/>
                <w:b/>
                <w:sz w:val="24"/>
              </w:rPr>
              <w:t>External audit</w:t>
            </w:r>
          </w:p>
        </w:tc>
      </w:tr>
      <w:tr w:rsidR="00867FFD" w:rsidRPr="009316FF" w14:paraId="37729874" w14:textId="77777777" w:rsidTr="005D447F">
        <w:trPr>
          <w:trHeight w:val="278"/>
        </w:trPr>
        <w:tc>
          <w:tcPr>
            <w:tcW w:w="4465" w:type="dxa"/>
            <w:shd w:val="clear" w:color="auto" w:fill="FFFFFF"/>
          </w:tcPr>
          <w:p w14:paraId="40521389"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Will the annual financial statements be audited by a private external audit firm or a Government audit institution (e.g. Auditor General)?</w:t>
            </w:r>
            <w:r>
              <w:rPr>
                <w:rFonts w:ascii="Times New Roman" w:hAnsi="Times New Roman"/>
                <w:sz w:val="24"/>
              </w:rPr>
              <w:footnoteReference w:id="3"/>
            </w:r>
            <w:r>
              <w:rPr>
                <w:rFonts w:ascii="Times New Roman" w:hAnsi="Times New Roman"/>
                <w:sz w:val="24"/>
              </w:rPr>
              <w:t xml:space="preserve">? </w:t>
            </w:r>
          </w:p>
        </w:tc>
        <w:tc>
          <w:tcPr>
            <w:tcW w:w="5883" w:type="dxa"/>
            <w:gridSpan w:val="2"/>
            <w:shd w:val="clear" w:color="auto" w:fill="FFFFFF"/>
          </w:tcPr>
          <w:p w14:paraId="27C4435E" w14:textId="77777777" w:rsidR="00867FFD" w:rsidRPr="00A128E8" w:rsidRDefault="00867FFD" w:rsidP="004F3CB3">
            <w:pPr>
              <w:widowControl w:val="0"/>
              <w:spacing w:before="120" w:after="120"/>
              <w:jc w:val="both"/>
              <w:rPr>
                <w:rFonts w:ascii="Times New Roman" w:eastAsia="Calibri" w:hAnsi="Times New Roman"/>
                <w:sz w:val="24"/>
                <w:szCs w:val="24"/>
              </w:rPr>
            </w:pPr>
            <w:r>
              <w:rPr>
                <w:rFonts w:ascii="Times New Roman" w:hAnsi="Times New Roman"/>
                <w:sz w:val="24"/>
              </w:rPr>
              <w:t xml:space="preserve">YES </w:t>
            </w:r>
          </w:p>
          <w:p w14:paraId="2F592366" w14:textId="77777777" w:rsidR="00D745CA" w:rsidRDefault="00A128E8" w:rsidP="009E0914">
            <w:pPr>
              <w:widowControl w:val="0"/>
              <w:spacing w:before="120" w:after="120"/>
              <w:jc w:val="both"/>
              <w:rPr>
                <w:rFonts w:ascii="Times New Roman" w:eastAsia="Calibri" w:hAnsi="Times New Roman"/>
                <w:sz w:val="24"/>
                <w:szCs w:val="24"/>
              </w:rPr>
            </w:pPr>
            <w:r>
              <w:rPr>
                <w:rFonts w:ascii="Times New Roman" w:hAnsi="Times New Roman"/>
                <w:sz w:val="24"/>
              </w:rPr>
              <w:t xml:space="preserve">The program will be audited in the context of the PRODESS general audit, by a private auditing firm and an audit is specifically provided for in the budget.   </w:t>
            </w:r>
          </w:p>
          <w:p w14:paraId="09AFC704" w14:textId="61352999" w:rsidR="00A76DAC" w:rsidRPr="00A128E8" w:rsidRDefault="00A76DAC" w:rsidP="008A43D4">
            <w:pPr>
              <w:widowControl w:val="0"/>
              <w:spacing w:before="120" w:after="120"/>
              <w:jc w:val="both"/>
              <w:rPr>
                <w:rFonts w:ascii="Times New Roman" w:eastAsia="Calibri" w:hAnsi="Times New Roman"/>
                <w:sz w:val="24"/>
                <w:szCs w:val="24"/>
              </w:rPr>
            </w:pPr>
            <w:r>
              <w:rPr>
                <w:rFonts w:ascii="Times New Roman" w:hAnsi="Times New Roman"/>
                <w:sz w:val="24"/>
              </w:rPr>
              <w:t xml:space="preserve">The program may also be the subject of verification or audit by the State auditing services.  </w:t>
            </w:r>
          </w:p>
        </w:tc>
      </w:tr>
      <w:tr w:rsidR="00867FFD" w:rsidRPr="009316FF" w14:paraId="6A5C54AA" w14:textId="77777777" w:rsidTr="005D447F">
        <w:trPr>
          <w:trHeight w:val="278"/>
        </w:trPr>
        <w:tc>
          <w:tcPr>
            <w:tcW w:w="4465" w:type="dxa"/>
            <w:shd w:val="clear" w:color="auto" w:fill="FFFFFF"/>
          </w:tcPr>
          <w:p w14:paraId="424F763A" w14:textId="77777777" w:rsidR="00867FFD" w:rsidRPr="004B5884" w:rsidRDefault="00867FFD" w:rsidP="00226DF1">
            <w:pPr>
              <w:numPr>
                <w:ilvl w:val="0"/>
                <w:numId w:val="5"/>
              </w:numPr>
              <w:spacing w:before="120" w:after="120"/>
              <w:jc w:val="both"/>
              <w:rPr>
                <w:rFonts w:ascii="Times New Roman" w:hAnsi="Times New Roman"/>
                <w:sz w:val="24"/>
                <w:szCs w:val="24"/>
              </w:rPr>
            </w:pPr>
            <w:r>
              <w:rPr>
                <w:rFonts w:ascii="Times New Roman" w:hAnsi="Times New Roman"/>
                <w:sz w:val="24"/>
              </w:rPr>
              <w:t>Who is responsible for the implementation of audit recommendations?</w:t>
            </w:r>
          </w:p>
        </w:tc>
        <w:tc>
          <w:tcPr>
            <w:tcW w:w="5883" w:type="dxa"/>
            <w:gridSpan w:val="2"/>
            <w:shd w:val="clear" w:color="auto" w:fill="FFFFFF"/>
          </w:tcPr>
          <w:p w14:paraId="7D7771F9" w14:textId="77777777" w:rsidR="00867FFD" w:rsidRPr="004B5884" w:rsidRDefault="00B56A59" w:rsidP="00226DF1">
            <w:pPr>
              <w:widowControl w:val="0"/>
              <w:spacing w:before="120" w:after="120"/>
              <w:jc w:val="both"/>
              <w:rPr>
                <w:rFonts w:ascii="Times New Roman" w:eastAsia="Calibri" w:hAnsi="Times New Roman"/>
                <w:sz w:val="24"/>
                <w:szCs w:val="24"/>
              </w:rPr>
            </w:pPr>
            <w:r>
              <w:rPr>
                <w:rFonts w:ascii="Times New Roman" w:hAnsi="Times New Roman"/>
                <w:sz w:val="24"/>
              </w:rPr>
              <w:t>The supervisor of implementation of the account verification recommendations and the Directorate of Finance and Equipment</w:t>
            </w:r>
          </w:p>
        </w:tc>
      </w:tr>
      <w:tr w:rsidR="00867FFD" w:rsidRPr="009316FF" w14:paraId="0698188F" w14:textId="77777777" w:rsidTr="005D447F">
        <w:trPr>
          <w:trHeight w:val="278"/>
        </w:trPr>
        <w:tc>
          <w:tcPr>
            <w:tcW w:w="10348" w:type="dxa"/>
            <w:gridSpan w:val="3"/>
            <w:shd w:val="clear" w:color="auto" w:fill="FFFFFF"/>
          </w:tcPr>
          <w:p w14:paraId="7328FDA8" w14:textId="77777777" w:rsidR="00867FFD" w:rsidRPr="004B5884" w:rsidRDefault="00867FFD" w:rsidP="00226DF1">
            <w:pPr>
              <w:spacing w:before="120" w:after="120"/>
              <w:jc w:val="both"/>
              <w:rPr>
                <w:rFonts w:ascii="Times New Roman" w:eastAsia="Calibri" w:hAnsi="Times New Roman"/>
                <w:b/>
                <w:i/>
                <w:sz w:val="24"/>
                <w:szCs w:val="24"/>
              </w:rPr>
            </w:pPr>
            <w:r>
              <w:rPr>
                <w:rFonts w:ascii="Times New Roman" w:hAnsi="Times New Roman"/>
                <w:b/>
                <w:i/>
                <w:sz w:val="24"/>
              </w:rPr>
              <w:t>THREE PAGES MAXIMUM</w:t>
            </w:r>
          </w:p>
        </w:tc>
      </w:tr>
      <w:tr w:rsidR="00867FFD" w:rsidRPr="009316FF" w14:paraId="68F32097" w14:textId="77777777" w:rsidTr="005D447F">
        <w:trPr>
          <w:trHeight w:val="278"/>
        </w:trPr>
        <w:tc>
          <w:tcPr>
            <w:tcW w:w="10348" w:type="dxa"/>
            <w:gridSpan w:val="3"/>
            <w:shd w:val="clear" w:color="auto" w:fill="FFFFFF"/>
          </w:tcPr>
          <w:p w14:paraId="13F2E976" w14:textId="77777777" w:rsidR="00867FFD" w:rsidRPr="004B5884" w:rsidRDefault="00867FFD" w:rsidP="00226DF1">
            <w:pPr>
              <w:widowControl w:val="0"/>
              <w:spacing w:before="120" w:after="120"/>
              <w:jc w:val="both"/>
              <w:rPr>
                <w:rFonts w:ascii="Times New Roman" w:eastAsia="Calibri" w:hAnsi="Times New Roman"/>
                <w:sz w:val="24"/>
                <w:szCs w:val="24"/>
              </w:rPr>
            </w:pPr>
            <w:r>
              <w:rPr>
                <w:rFonts w:ascii="Times New Roman" w:hAnsi="Times New Roman"/>
                <w:i/>
                <w:color w:val="173E49"/>
                <w:sz w:val="24"/>
              </w:rPr>
              <w:t>Question C: Please indicate the main constraints present in the (health sector’s) financial management system. Does the country plan to address these constraints/issues? If so, please describe the Technical Assistance (TA) needs in order to fulfil the above functions</w:t>
            </w:r>
          </w:p>
        </w:tc>
      </w:tr>
      <w:tr w:rsidR="00867FFD" w:rsidRPr="009316FF" w14:paraId="066AAE20" w14:textId="77777777" w:rsidTr="005D447F">
        <w:trPr>
          <w:trHeight w:val="278"/>
        </w:trPr>
        <w:tc>
          <w:tcPr>
            <w:tcW w:w="10348" w:type="dxa"/>
            <w:gridSpan w:val="3"/>
            <w:shd w:val="clear" w:color="auto" w:fill="FFFFFF"/>
          </w:tcPr>
          <w:p w14:paraId="5236410F" w14:textId="77777777" w:rsidR="00867FFD" w:rsidRPr="004B5884" w:rsidRDefault="00867FFD" w:rsidP="00226DF1">
            <w:pPr>
              <w:spacing w:before="120" w:after="120"/>
              <w:jc w:val="both"/>
              <w:rPr>
                <w:rFonts w:ascii="Times New Roman" w:eastAsia="Calibri" w:hAnsi="Times New Roman"/>
                <w:sz w:val="24"/>
                <w:szCs w:val="24"/>
              </w:rPr>
            </w:pPr>
            <w:r>
              <w:rPr>
                <w:rFonts w:ascii="Times New Roman" w:hAnsi="Times New Roman"/>
                <w:b/>
                <w:i/>
                <w:sz w:val="24"/>
              </w:rPr>
              <w:t>HALF PAGE MAXIMUM</w:t>
            </w:r>
          </w:p>
        </w:tc>
      </w:tr>
    </w:tbl>
    <w:p w14:paraId="276D38E5" w14:textId="6593FAD6" w:rsidR="00116D59" w:rsidRPr="004B5884" w:rsidRDefault="00116D59" w:rsidP="00E76369">
      <w:pPr>
        <w:widowControl w:val="0"/>
        <w:spacing w:before="120" w:after="120"/>
        <w:jc w:val="both"/>
        <w:rPr>
          <w:rFonts w:ascii="Times New Roman" w:hAnsi="Times New Roman"/>
          <w:sz w:val="24"/>
          <w:szCs w:val="24"/>
        </w:rPr>
      </w:pPr>
    </w:p>
    <w:sectPr w:rsidR="00116D59" w:rsidRPr="004B5884" w:rsidSect="007A0131">
      <w:headerReference w:type="default" r:id="rId29"/>
      <w:footerReference w:type="even" r:id="rId30"/>
      <w:footerReference w:type="default" r:id="rId31"/>
      <w:pgSz w:w="11907" w:h="16839" w:code="9"/>
      <w:pgMar w:top="992" w:right="851" w:bottom="992"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AC3FD" w14:textId="77777777" w:rsidR="00BA23D4" w:rsidRDefault="00BA23D4">
      <w:r>
        <w:separator/>
      </w:r>
    </w:p>
  </w:endnote>
  <w:endnote w:type="continuationSeparator" w:id="0">
    <w:p w14:paraId="7744FF7A" w14:textId="77777777" w:rsidR="00BA23D4" w:rsidRDefault="00BA23D4">
      <w:r>
        <w:continuationSeparator/>
      </w:r>
    </w:p>
  </w:endnote>
  <w:endnote w:type="continuationNotice" w:id="1">
    <w:p w14:paraId="6FFC4CAB" w14:textId="77777777" w:rsidR="00BA23D4" w:rsidRDefault="00BA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serif">
    <w:altName w:val="Arial"/>
    <w:charset w:val="00"/>
    <w:family w:val="swiss"/>
    <w:pitch w:val="variable"/>
    <w:sig w:usb0="00000000"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556DB" w14:textId="77777777" w:rsidR="00BA23D4" w:rsidRDefault="00BA23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200FF" w14:textId="77777777" w:rsidR="00BA23D4" w:rsidRDefault="00BA23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6798" w14:textId="77777777" w:rsidR="00BA23D4" w:rsidRPr="00A50E30" w:rsidRDefault="00BA23D4" w:rsidP="00A84585">
    <w:pPr>
      <w:pStyle w:val="Footer"/>
      <w:ind w:right="424"/>
      <w:jc w:val="right"/>
      <w:rPr>
        <w:sz w:val="18"/>
        <w:szCs w:val="18"/>
      </w:rPr>
    </w:pPr>
    <w:r w:rsidRPr="00A50E30">
      <w:rPr>
        <w:sz w:val="18"/>
        <w:szCs w:val="18"/>
      </w:rPr>
      <w:fldChar w:fldCharType="begin"/>
    </w:r>
    <w:r w:rsidRPr="00A50E30">
      <w:rPr>
        <w:sz w:val="18"/>
        <w:szCs w:val="18"/>
      </w:rPr>
      <w:instrText xml:space="preserve"> PAGE   \* MERGEFORMAT </w:instrText>
    </w:r>
    <w:r w:rsidRPr="00A50E30">
      <w:rPr>
        <w:sz w:val="18"/>
        <w:szCs w:val="18"/>
      </w:rPr>
      <w:fldChar w:fldCharType="separate"/>
    </w:r>
    <w:r w:rsidR="007D38B4">
      <w:rPr>
        <w:noProof/>
        <w:sz w:val="18"/>
        <w:szCs w:val="18"/>
      </w:rPr>
      <w:t>1</w:t>
    </w:r>
    <w:r w:rsidRPr="00A50E30">
      <w:rPr>
        <w:noProof/>
        <w:sz w:val="18"/>
        <w:szCs w:val="18"/>
      </w:rPr>
      <w:fldChar w:fldCharType="end"/>
    </w:r>
  </w:p>
  <w:p w14:paraId="5E2A0A68" w14:textId="327D88F7" w:rsidR="00BA23D4" w:rsidRPr="002859EA" w:rsidRDefault="00BA23D4" w:rsidP="00A84585">
    <w:pPr>
      <w:pStyle w:val="Footer"/>
      <w:tabs>
        <w:tab w:val="clear" w:pos="8306"/>
        <w:tab w:val="right" w:pos="9639"/>
      </w:tabs>
      <w:rPr>
        <w:rFonts w:ascii="Calibri" w:hAnsi="Calibri" w:cs="Calibri"/>
        <w:sz w:val="18"/>
        <w:szCs w:val="18"/>
      </w:rPr>
    </w:pPr>
    <w:r>
      <w:rPr>
        <w:rFonts w:ascii="Calibri" w:hAnsi="Calibri"/>
        <w:sz w:val="18"/>
      </w:rPr>
      <w:t>Mali-GAVI HSS grant application – September 2014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FADD3" w14:textId="77777777" w:rsidR="00BA23D4" w:rsidRDefault="00BA23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8C62F3" w14:textId="77777777" w:rsidR="00BA23D4" w:rsidRDefault="00BA23D4">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EF55" w14:textId="77777777" w:rsidR="00BA23D4" w:rsidRPr="004B5884" w:rsidRDefault="00BA23D4" w:rsidP="00A84585">
    <w:pPr>
      <w:pStyle w:val="Footer"/>
      <w:ind w:right="424"/>
      <w:jc w:val="right"/>
      <w:rPr>
        <w:rFonts w:cs="Arial"/>
        <w:sz w:val="18"/>
        <w:szCs w:val="18"/>
      </w:rPr>
    </w:pPr>
    <w:r w:rsidRPr="0089643C">
      <w:rPr>
        <w:rFonts w:cs="Arial"/>
        <w:sz w:val="18"/>
        <w:szCs w:val="18"/>
      </w:rPr>
      <w:fldChar w:fldCharType="begin"/>
    </w:r>
    <w:r w:rsidRPr="004B5884">
      <w:rPr>
        <w:rFonts w:cs="Arial"/>
        <w:sz w:val="18"/>
        <w:szCs w:val="18"/>
      </w:rPr>
      <w:instrText xml:space="preserve"> PAGE   \* MERGEFORMAT </w:instrText>
    </w:r>
    <w:r w:rsidRPr="0089643C">
      <w:rPr>
        <w:rFonts w:cs="Arial"/>
        <w:sz w:val="18"/>
        <w:szCs w:val="18"/>
      </w:rPr>
      <w:fldChar w:fldCharType="separate"/>
    </w:r>
    <w:r w:rsidR="007D38B4">
      <w:rPr>
        <w:rFonts w:cs="Arial"/>
        <w:noProof/>
        <w:sz w:val="18"/>
        <w:szCs w:val="18"/>
      </w:rPr>
      <w:t>76</w:t>
    </w:r>
    <w:r w:rsidRPr="0089643C">
      <w:rPr>
        <w:rFonts w:cs="Arial"/>
        <w:noProof/>
        <w:sz w:val="18"/>
        <w:szCs w:val="18"/>
      </w:rPr>
      <w:fldChar w:fldCharType="end"/>
    </w:r>
  </w:p>
  <w:p w14:paraId="0AE4424F" w14:textId="77777777" w:rsidR="00BA23D4" w:rsidRPr="004B5884" w:rsidRDefault="00BA23D4" w:rsidP="00A84585">
    <w:pPr>
      <w:pStyle w:val="Footer"/>
      <w:tabs>
        <w:tab w:val="clear" w:pos="8306"/>
        <w:tab w:val="right" w:pos="9639"/>
      </w:tabs>
      <w:rPr>
        <w:rFonts w:cs="Arial"/>
        <w:sz w:val="18"/>
        <w:szCs w:val="18"/>
      </w:rPr>
    </w:pPr>
    <w:r>
      <w:rPr>
        <w:sz w:val="18"/>
      </w:rPr>
      <w:t>GAVI HSS Application Materials– February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A5471" w14:textId="77777777" w:rsidR="00BA23D4" w:rsidRDefault="00BA23D4">
      <w:r>
        <w:separator/>
      </w:r>
    </w:p>
  </w:footnote>
  <w:footnote w:type="continuationSeparator" w:id="0">
    <w:p w14:paraId="4CF0DAB7" w14:textId="77777777" w:rsidR="00BA23D4" w:rsidRDefault="00BA23D4">
      <w:r>
        <w:continuationSeparator/>
      </w:r>
    </w:p>
  </w:footnote>
  <w:footnote w:type="continuationNotice" w:id="1">
    <w:p w14:paraId="531A743C" w14:textId="77777777" w:rsidR="00BA23D4" w:rsidRDefault="00BA23D4"/>
  </w:footnote>
  <w:footnote w:id="2">
    <w:p w14:paraId="242C74F2" w14:textId="77777777" w:rsidR="00BA23D4" w:rsidRPr="00E80F67" w:rsidRDefault="00BA23D4" w:rsidP="00867FFD">
      <w:pPr>
        <w:rPr>
          <w:rFonts w:ascii="Calibri" w:hAnsi="Calibri" w:cs="Calibri"/>
          <w:sz w:val="18"/>
          <w:szCs w:val="18"/>
        </w:rPr>
      </w:pPr>
      <w:r>
        <w:rPr>
          <w:rFonts w:ascii="Calibri" w:hAnsi="Calibri"/>
          <w:sz w:val="18"/>
        </w:rPr>
        <w:footnoteRef/>
      </w:r>
      <w:r>
        <w:rPr>
          <w:rFonts w:ascii="Calibri" w:hAnsi="Calibri"/>
          <w:sz w:val="18"/>
        </w:rPr>
        <w:t>In special circumstances, GAVI can transfer funds directly to a CSO. For further information, please refer to the Supplementary Guidelines for HSS Applications</w:t>
      </w:r>
    </w:p>
  </w:footnote>
  <w:footnote w:id="3">
    <w:p w14:paraId="588F33E4" w14:textId="77777777" w:rsidR="00BA23D4" w:rsidRPr="00F80A7E" w:rsidRDefault="00BA23D4" w:rsidP="00867FFD">
      <w:pPr>
        <w:rPr>
          <w:rFonts w:ascii="Calibri" w:hAnsi="Calibri" w:cs="Calibri"/>
          <w:sz w:val="18"/>
          <w:szCs w:val="18"/>
        </w:rPr>
      </w:pPr>
      <w:r>
        <w:rPr>
          <w:rFonts w:ascii="Calibri" w:hAnsi="Calibri"/>
          <w:sz w:val="18"/>
        </w:rPr>
        <w:footnoteRef/>
      </w:r>
      <w:r>
        <w:rPr>
          <w:rFonts w:ascii="Calibri" w:hAnsi="Calibri"/>
          <w:sz w:val="18"/>
        </w:rPr>
        <w:t>If the annual external audit is to be performed by a private, outside auditor, please include an appropriate audit fee within the detailed budget.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2B7" w14:textId="77777777" w:rsidR="00BA23D4" w:rsidRDefault="00BA23D4" w:rsidP="00D56A2B">
    <w:pP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2FE0F" w14:textId="77777777" w:rsidR="00BA23D4" w:rsidRDefault="00BA23D4" w:rsidP="00D56A2B">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670"/>
    <w:multiLevelType w:val="hybridMultilevel"/>
    <w:tmpl w:val="AC8C24E4"/>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F858FF"/>
    <w:multiLevelType w:val="hybridMultilevel"/>
    <w:tmpl w:val="D0A276C6"/>
    <w:lvl w:ilvl="0" w:tplc="EC60A25C">
      <w:start w:val="1"/>
      <w:numFmt w:val="bullet"/>
      <w:lvlText w:val="-"/>
      <w:lvlJc w:val="left"/>
      <w:pPr>
        <w:tabs>
          <w:tab w:val="num" w:pos="1080"/>
        </w:tabs>
        <w:ind w:left="1080" w:hanging="360"/>
      </w:pPr>
      <w:rPr>
        <w:rFonts w:ascii="Times New Roman" w:hAnsi="Times New Roman" w:hint="default"/>
      </w:rPr>
    </w:lvl>
    <w:lvl w:ilvl="1" w:tplc="12E2A50A" w:tentative="1">
      <w:start w:val="1"/>
      <w:numFmt w:val="bullet"/>
      <w:lvlText w:val="-"/>
      <w:lvlJc w:val="left"/>
      <w:pPr>
        <w:tabs>
          <w:tab w:val="num" w:pos="1800"/>
        </w:tabs>
        <w:ind w:left="1800" w:hanging="360"/>
      </w:pPr>
      <w:rPr>
        <w:rFonts w:ascii="Times New Roman" w:hAnsi="Times New Roman" w:hint="default"/>
      </w:rPr>
    </w:lvl>
    <w:lvl w:ilvl="2" w:tplc="16146BEC" w:tentative="1">
      <w:start w:val="1"/>
      <w:numFmt w:val="bullet"/>
      <w:lvlText w:val="-"/>
      <w:lvlJc w:val="left"/>
      <w:pPr>
        <w:tabs>
          <w:tab w:val="num" w:pos="2520"/>
        </w:tabs>
        <w:ind w:left="2520" w:hanging="360"/>
      </w:pPr>
      <w:rPr>
        <w:rFonts w:ascii="Times New Roman" w:hAnsi="Times New Roman" w:hint="default"/>
      </w:rPr>
    </w:lvl>
    <w:lvl w:ilvl="3" w:tplc="95C400DE" w:tentative="1">
      <w:start w:val="1"/>
      <w:numFmt w:val="bullet"/>
      <w:lvlText w:val="-"/>
      <w:lvlJc w:val="left"/>
      <w:pPr>
        <w:tabs>
          <w:tab w:val="num" w:pos="3240"/>
        </w:tabs>
        <w:ind w:left="3240" w:hanging="360"/>
      </w:pPr>
      <w:rPr>
        <w:rFonts w:ascii="Times New Roman" w:hAnsi="Times New Roman" w:hint="default"/>
      </w:rPr>
    </w:lvl>
    <w:lvl w:ilvl="4" w:tplc="B5167EA4" w:tentative="1">
      <w:start w:val="1"/>
      <w:numFmt w:val="bullet"/>
      <w:lvlText w:val="-"/>
      <w:lvlJc w:val="left"/>
      <w:pPr>
        <w:tabs>
          <w:tab w:val="num" w:pos="3960"/>
        </w:tabs>
        <w:ind w:left="3960" w:hanging="360"/>
      </w:pPr>
      <w:rPr>
        <w:rFonts w:ascii="Times New Roman" w:hAnsi="Times New Roman" w:hint="default"/>
      </w:rPr>
    </w:lvl>
    <w:lvl w:ilvl="5" w:tplc="CA768DDA" w:tentative="1">
      <w:start w:val="1"/>
      <w:numFmt w:val="bullet"/>
      <w:lvlText w:val="-"/>
      <w:lvlJc w:val="left"/>
      <w:pPr>
        <w:tabs>
          <w:tab w:val="num" w:pos="4680"/>
        </w:tabs>
        <w:ind w:left="4680" w:hanging="360"/>
      </w:pPr>
      <w:rPr>
        <w:rFonts w:ascii="Times New Roman" w:hAnsi="Times New Roman" w:hint="default"/>
      </w:rPr>
    </w:lvl>
    <w:lvl w:ilvl="6" w:tplc="542ECD3C" w:tentative="1">
      <w:start w:val="1"/>
      <w:numFmt w:val="bullet"/>
      <w:lvlText w:val="-"/>
      <w:lvlJc w:val="left"/>
      <w:pPr>
        <w:tabs>
          <w:tab w:val="num" w:pos="5400"/>
        </w:tabs>
        <w:ind w:left="5400" w:hanging="360"/>
      </w:pPr>
      <w:rPr>
        <w:rFonts w:ascii="Times New Roman" w:hAnsi="Times New Roman" w:hint="default"/>
      </w:rPr>
    </w:lvl>
    <w:lvl w:ilvl="7" w:tplc="235C09AC" w:tentative="1">
      <w:start w:val="1"/>
      <w:numFmt w:val="bullet"/>
      <w:lvlText w:val="-"/>
      <w:lvlJc w:val="left"/>
      <w:pPr>
        <w:tabs>
          <w:tab w:val="num" w:pos="6120"/>
        </w:tabs>
        <w:ind w:left="6120" w:hanging="360"/>
      </w:pPr>
      <w:rPr>
        <w:rFonts w:ascii="Times New Roman" w:hAnsi="Times New Roman" w:hint="default"/>
      </w:rPr>
    </w:lvl>
    <w:lvl w:ilvl="8" w:tplc="494AF24E" w:tentative="1">
      <w:start w:val="1"/>
      <w:numFmt w:val="bullet"/>
      <w:lvlText w:val="-"/>
      <w:lvlJc w:val="left"/>
      <w:pPr>
        <w:tabs>
          <w:tab w:val="num" w:pos="6840"/>
        </w:tabs>
        <w:ind w:left="6840" w:hanging="360"/>
      </w:pPr>
      <w:rPr>
        <w:rFonts w:ascii="Times New Roman" w:hAnsi="Times New Roman" w:hint="default"/>
      </w:rPr>
    </w:lvl>
  </w:abstractNum>
  <w:abstractNum w:abstractNumId="2">
    <w:nsid w:val="0DF92FA4"/>
    <w:multiLevelType w:val="hybridMultilevel"/>
    <w:tmpl w:val="C21EAA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C3C1A"/>
    <w:multiLevelType w:val="hybridMultilevel"/>
    <w:tmpl w:val="EE724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484C01"/>
    <w:multiLevelType w:val="hybridMultilevel"/>
    <w:tmpl w:val="67965168"/>
    <w:lvl w:ilvl="0" w:tplc="040C000B">
      <w:start w:val="1"/>
      <w:numFmt w:val="bullet"/>
      <w:lvlText w:val=""/>
      <w:lvlJc w:val="left"/>
      <w:pPr>
        <w:ind w:left="720" w:hanging="360"/>
      </w:pPr>
      <w:rPr>
        <w:rFonts w:ascii="Wingdings" w:hAnsi="Wingdings" w:hint="default"/>
      </w:rPr>
    </w:lvl>
    <w:lvl w:ilvl="1" w:tplc="775C94C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827D93"/>
    <w:multiLevelType w:val="hybridMultilevel"/>
    <w:tmpl w:val="52FAC0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574EE"/>
    <w:multiLevelType w:val="hybridMultilevel"/>
    <w:tmpl w:val="422870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D93306"/>
    <w:multiLevelType w:val="hybridMultilevel"/>
    <w:tmpl w:val="2F7282E8"/>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CB61A1"/>
    <w:multiLevelType w:val="hybridMultilevel"/>
    <w:tmpl w:val="52EEFF72"/>
    <w:lvl w:ilvl="0" w:tplc="040C0009">
      <w:start w:val="1"/>
      <w:numFmt w:val="bullet"/>
      <w:lvlText w:val=""/>
      <w:lvlJc w:val="left"/>
      <w:pPr>
        <w:tabs>
          <w:tab w:val="num" w:pos="1440"/>
        </w:tabs>
        <w:ind w:left="1440" w:hanging="360"/>
      </w:pPr>
      <w:rPr>
        <w:rFonts w:ascii="Wingdings" w:hAnsi="Wingdings" w:hint="default"/>
      </w:rPr>
    </w:lvl>
    <w:lvl w:ilvl="1" w:tplc="12E2A50A" w:tentative="1">
      <w:start w:val="1"/>
      <w:numFmt w:val="bullet"/>
      <w:lvlText w:val="-"/>
      <w:lvlJc w:val="left"/>
      <w:pPr>
        <w:tabs>
          <w:tab w:val="num" w:pos="2160"/>
        </w:tabs>
        <w:ind w:left="2160" w:hanging="360"/>
      </w:pPr>
      <w:rPr>
        <w:rFonts w:ascii="Times New Roman" w:hAnsi="Times New Roman" w:hint="default"/>
      </w:rPr>
    </w:lvl>
    <w:lvl w:ilvl="2" w:tplc="16146BEC" w:tentative="1">
      <w:start w:val="1"/>
      <w:numFmt w:val="bullet"/>
      <w:lvlText w:val="-"/>
      <w:lvlJc w:val="left"/>
      <w:pPr>
        <w:tabs>
          <w:tab w:val="num" w:pos="2880"/>
        </w:tabs>
        <w:ind w:left="2880" w:hanging="360"/>
      </w:pPr>
      <w:rPr>
        <w:rFonts w:ascii="Times New Roman" w:hAnsi="Times New Roman" w:hint="default"/>
      </w:rPr>
    </w:lvl>
    <w:lvl w:ilvl="3" w:tplc="95C400DE" w:tentative="1">
      <w:start w:val="1"/>
      <w:numFmt w:val="bullet"/>
      <w:lvlText w:val="-"/>
      <w:lvlJc w:val="left"/>
      <w:pPr>
        <w:tabs>
          <w:tab w:val="num" w:pos="3600"/>
        </w:tabs>
        <w:ind w:left="3600" w:hanging="360"/>
      </w:pPr>
      <w:rPr>
        <w:rFonts w:ascii="Times New Roman" w:hAnsi="Times New Roman" w:hint="default"/>
      </w:rPr>
    </w:lvl>
    <w:lvl w:ilvl="4" w:tplc="B5167EA4" w:tentative="1">
      <w:start w:val="1"/>
      <w:numFmt w:val="bullet"/>
      <w:lvlText w:val="-"/>
      <w:lvlJc w:val="left"/>
      <w:pPr>
        <w:tabs>
          <w:tab w:val="num" w:pos="4320"/>
        </w:tabs>
        <w:ind w:left="4320" w:hanging="360"/>
      </w:pPr>
      <w:rPr>
        <w:rFonts w:ascii="Times New Roman" w:hAnsi="Times New Roman" w:hint="default"/>
      </w:rPr>
    </w:lvl>
    <w:lvl w:ilvl="5" w:tplc="CA768DDA" w:tentative="1">
      <w:start w:val="1"/>
      <w:numFmt w:val="bullet"/>
      <w:lvlText w:val="-"/>
      <w:lvlJc w:val="left"/>
      <w:pPr>
        <w:tabs>
          <w:tab w:val="num" w:pos="5040"/>
        </w:tabs>
        <w:ind w:left="5040" w:hanging="360"/>
      </w:pPr>
      <w:rPr>
        <w:rFonts w:ascii="Times New Roman" w:hAnsi="Times New Roman" w:hint="default"/>
      </w:rPr>
    </w:lvl>
    <w:lvl w:ilvl="6" w:tplc="542ECD3C" w:tentative="1">
      <w:start w:val="1"/>
      <w:numFmt w:val="bullet"/>
      <w:lvlText w:val="-"/>
      <w:lvlJc w:val="left"/>
      <w:pPr>
        <w:tabs>
          <w:tab w:val="num" w:pos="5760"/>
        </w:tabs>
        <w:ind w:left="5760" w:hanging="360"/>
      </w:pPr>
      <w:rPr>
        <w:rFonts w:ascii="Times New Roman" w:hAnsi="Times New Roman" w:hint="default"/>
      </w:rPr>
    </w:lvl>
    <w:lvl w:ilvl="7" w:tplc="235C09AC" w:tentative="1">
      <w:start w:val="1"/>
      <w:numFmt w:val="bullet"/>
      <w:lvlText w:val="-"/>
      <w:lvlJc w:val="left"/>
      <w:pPr>
        <w:tabs>
          <w:tab w:val="num" w:pos="6480"/>
        </w:tabs>
        <w:ind w:left="6480" w:hanging="360"/>
      </w:pPr>
      <w:rPr>
        <w:rFonts w:ascii="Times New Roman" w:hAnsi="Times New Roman" w:hint="default"/>
      </w:rPr>
    </w:lvl>
    <w:lvl w:ilvl="8" w:tplc="494AF24E" w:tentative="1">
      <w:start w:val="1"/>
      <w:numFmt w:val="bullet"/>
      <w:lvlText w:val="-"/>
      <w:lvlJc w:val="left"/>
      <w:pPr>
        <w:tabs>
          <w:tab w:val="num" w:pos="7200"/>
        </w:tabs>
        <w:ind w:left="7200" w:hanging="360"/>
      </w:pPr>
      <w:rPr>
        <w:rFonts w:ascii="Times New Roman" w:hAnsi="Times New Roman" w:hint="default"/>
      </w:rPr>
    </w:lvl>
  </w:abstractNum>
  <w:abstractNum w:abstractNumId="9">
    <w:nsid w:val="266E79F1"/>
    <w:multiLevelType w:val="hybridMultilevel"/>
    <w:tmpl w:val="736C675A"/>
    <w:lvl w:ilvl="0" w:tplc="E9A4C37A">
      <w:numFmt w:val="bullet"/>
      <w:lvlText w:val="-"/>
      <w:lvlJc w:val="left"/>
      <w:pPr>
        <w:ind w:left="720" w:hanging="360"/>
      </w:pPr>
      <w:rPr>
        <w:rFonts w:ascii="Calibri" w:eastAsia="Calibri" w:hAnsi="Calibri" w:cs="Calibri" w:hint="default"/>
      </w:rPr>
    </w:lvl>
    <w:lvl w:ilvl="1" w:tplc="8160DBF0">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A56AC9"/>
    <w:multiLevelType w:val="hybridMultilevel"/>
    <w:tmpl w:val="BB068776"/>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FC00F7"/>
    <w:multiLevelType w:val="hybridMultilevel"/>
    <w:tmpl w:val="7302A548"/>
    <w:lvl w:ilvl="0" w:tplc="FDCE743E">
      <w:start w:val="1"/>
      <w:numFmt w:val="bullet"/>
      <w:lvlText w:val="‐"/>
      <w:lvlJc w:val="left"/>
      <w:pPr>
        <w:ind w:left="360" w:hanging="360"/>
      </w:pPr>
      <w:rPr>
        <w:rFonts w:ascii="Calibri" w:hAnsi="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C6858F1"/>
    <w:multiLevelType w:val="hybridMultilevel"/>
    <w:tmpl w:val="9E7ECE08"/>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2C7734"/>
    <w:multiLevelType w:val="hybridMultilevel"/>
    <w:tmpl w:val="FC5CEFA0"/>
    <w:lvl w:ilvl="0" w:tplc="35F66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36C0265"/>
    <w:multiLevelType w:val="hybridMultilevel"/>
    <w:tmpl w:val="FA1E0F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C9249F"/>
    <w:multiLevelType w:val="hybridMultilevel"/>
    <w:tmpl w:val="1E4C9E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9EC5249"/>
    <w:multiLevelType w:val="hybridMultilevel"/>
    <w:tmpl w:val="28386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240C5"/>
    <w:multiLevelType w:val="hybridMultilevel"/>
    <w:tmpl w:val="0032F9A2"/>
    <w:lvl w:ilvl="0" w:tplc="8BE42D1A">
      <w:start w:val="7"/>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D35778"/>
    <w:multiLevelType w:val="hybridMultilevel"/>
    <w:tmpl w:val="D40083DA"/>
    <w:lvl w:ilvl="0" w:tplc="71ECF9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09348D"/>
    <w:multiLevelType w:val="hybridMultilevel"/>
    <w:tmpl w:val="E15415FA"/>
    <w:lvl w:ilvl="0" w:tplc="040C000F">
      <w:start w:val="1"/>
      <w:numFmt w:val="decimal"/>
      <w:lvlText w:val="%1."/>
      <w:lvlJc w:val="left"/>
      <w:pPr>
        <w:ind w:left="720" w:hanging="360"/>
      </w:pPr>
    </w:lvl>
    <w:lvl w:ilvl="1" w:tplc="591E4D7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D3C6D78"/>
    <w:multiLevelType w:val="hybridMultilevel"/>
    <w:tmpl w:val="EA6A6304"/>
    <w:lvl w:ilvl="0" w:tplc="71ECF9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7A142D"/>
    <w:multiLevelType w:val="hybridMultilevel"/>
    <w:tmpl w:val="8D56A2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65B4A15"/>
    <w:multiLevelType w:val="hybridMultilevel"/>
    <w:tmpl w:val="98C8CA6A"/>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A13F26"/>
    <w:multiLevelType w:val="hybridMultilevel"/>
    <w:tmpl w:val="216C8B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AF7FB0"/>
    <w:multiLevelType w:val="hybridMultilevel"/>
    <w:tmpl w:val="CA7A3B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C5066BE"/>
    <w:multiLevelType w:val="multilevel"/>
    <w:tmpl w:val="6344AEC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42739B"/>
    <w:multiLevelType w:val="hybridMultilevel"/>
    <w:tmpl w:val="BFEC416E"/>
    <w:lvl w:ilvl="0" w:tplc="040C000F">
      <w:start w:val="1"/>
      <w:numFmt w:val="decimal"/>
      <w:lvlText w:val="%1."/>
      <w:lvlJc w:val="left"/>
      <w:pPr>
        <w:ind w:left="78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27">
    <w:nsid w:val="52CE7374"/>
    <w:multiLevelType w:val="hybridMultilevel"/>
    <w:tmpl w:val="05F04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C54444"/>
    <w:multiLevelType w:val="hybridMultilevel"/>
    <w:tmpl w:val="AB6AAA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B6C06BC"/>
    <w:multiLevelType w:val="hybridMultilevel"/>
    <w:tmpl w:val="0D6C57F4"/>
    <w:lvl w:ilvl="0" w:tplc="D2B87CB2">
      <w:numFmt w:val="bullet"/>
      <w:lvlText w:val="-"/>
      <w:lvlJc w:val="left"/>
      <w:pPr>
        <w:ind w:left="770" w:hanging="360"/>
      </w:pPr>
      <w:rPr>
        <w:rFonts w:ascii="Calibri" w:eastAsiaTheme="minorHAnsi" w:hAnsi="Calibri" w:cstheme="minorBid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nsid w:val="5F4F21D8"/>
    <w:multiLevelType w:val="hybridMultilevel"/>
    <w:tmpl w:val="210297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08818F1"/>
    <w:multiLevelType w:val="hybridMultilevel"/>
    <w:tmpl w:val="FA18133C"/>
    <w:lvl w:ilvl="0" w:tplc="71ECF9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1E42C9F"/>
    <w:multiLevelType w:val="hybridMultilevel"/>
    <w:tmpl w:val="BA943DA2"/>
    <w:lvl w:ilvl="0" w:tplc="71ECF9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36B428C"/>
    <w:multiLevelType w:val="hybridMultilevel"/>
    <w:tmpl w:val="8FC269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60215FF"/>
    <w:multiLevelType w:val="hybridMultilevel"/>
    <w:tmpl w:val="279E4724"/>
    <w:lvl w:ilvl="0" w:tplc="040C000F">
      <w:start w:val="1"/>
      <w:numFmt w:val="decimal"/>
      <w:lvlText w:val="%1."/>
      <w:lvlJc w:val="left"/>
      <w:pPr>
        <w:tabs>
          <w:tab w:val="num" w:pos="360"/>
        </w:tabs>
        <w:ind w:left="360" w:hanging="360"/>
      </w:pPr>
      <w:rPr>
        <w:rFonts w:hint="default"/>
      </w:rPr>
    </w:lvl>
    <w:lvl w:ilvl="1" w:tplc="12E2A50A" w:tentative="1">
      <w:start w:val="1"/>
      <w:numFmt w:val="bullet"/>
      <w:lvlText w:val="-"/>
      <w:lvlJc w:val="left"/>
      <w:pPr>
        <w:tabs>
          <w:tab w:val="num" w:pos="949"/>
        </w:tabs>
        <w:ind w:left="949" w:hanging="360"/>
      </w:pPr>
      <w:rPr>
        <w:rFonts w:ascii="Times New Roman" w:hAnsi="Times New Roman" w:hint="default"/>
      </w:rPr>
    </w:lvl>
    <w:lvl w:ilvl="2" w:tplc="16146BEC" w:tentative="1">
      <w:start w:val="1"/>
      <w:numFmt w:val="bullet"/>
      <w:lvlText w:val="-"/>
      <w:lvlJc w:val="left"/>
      <w:pPr>
        <w:tabs>
          <w:tab w:val="num" w:pos="1669"/>
        </w:tabs>
        <w:ind w:left="1669" w:hanging="360"/>
      </w:pPr>
      <w:rPr>
        <w:rFonts w:ascii="Times New Roman" w:hAnsi="Times New Roman" w:hint="default"/>
      </w:rPr>
    </w:lvl>
    <w:lvl w:ilvl="3" w:tplc="95C400DE" w:tentative="1">
      <w:start w:val="1"/>
      <w:numFmt w:val="bullet"/>
      <w:lvlText w:val="-"/>
      <w:lvlJc w:val="left"/>
      <w:pPr>
        <w:tabs>
          <w:tab w:val="num" w:pos="2389"/>
        </w:tabs>
        <w:ind w:left="2389" w:hanging="360"/>
      </w:pPr>
      <w:rPr>
        <w:rFonts w:ascii="Times New Roman" w:hAnsi="Times New Roman" w:hint="default"/>
      </w:rPr>
    </w:lvl>
    <w:lvl w:ilvl="4" w:tplc="B5167EA4" w:tentative="1">
      <w:start w:val="1"/>
      <w:numFmt w:val="bullet"/>
      <w:lvlText w:val="-"/>
      <w:lvlJc w:val="left"/>
      <w:pPr>
        <w:tabs>
          <w:tab w:val="num" w:pos="3109"/>
        </w:tabs>
        <w:ind w:left="3109" w:hanging="360"/>
      </w:pPr>
      <w:rPr>
        <w:rFonts w:ascii="Times New Roman" w:hAnsi="Times New Roman" w:hint="default"/>
      </w:rPr>
    </w:lvl>
    <w:lvl w:ilvl="5" w:tplc="CA768DDA" w:tentative="1">
      <w:start w:val="1"/>
      <w:numFmt w:val="bullet"/>
      <w:lvlText w:val="-"/>
      <w:lvlJc w:val="left"/>
      <w:pPr>
        <w:tabs>
          <w:tab w:val="num" w:pos="3829"/>
        </w:tabs>
        <w:ind w:left="3829" w:hanging="360"/>
      </w:pPr>
      <w:rPr>
        <w:rFonts w:ascii="Times New Roman" w:hAnsi="Times New Roman" w:hint="default"/>
      </w:rPr>
    </w:lvl>
    <w:lvl w:ilvl="6" w:tplc="542ECD3C" w:tentative="1">
      <w:start w:val="1"/>
      <w:numFmt w:val="bullet"/>
      <w:lvlText w:val="-"/>
      <w:lvlJc w:val="left"/>
      <w:pPr>
        <w:tabs>
          <w:tab w:val="num" w:pos="4549"/>
        </w:tabs>
        <w:ind w:left="4549" w:hanging="360"/>
      </w:pPr>
      <w:rPr>
        <w:rFonts w:ascii="Times New Roman" w:hAnsi="Times New Roman" w:hint="default"/>
      </w:rPr>
    </w:lvl>
    <w:lvl w:ilvl="7" w:tplc="235C09AC" w:tentative="1">
      <w:start w:val="1"/>
      <w:numFmt w:val="bullet"/>
      <w:lvlText w:val="-"/>
      <w:lvlJc w:val="left"/>
      <w:pPr>
        <w:tabs>
          <w:tab w:val="num" w:pos="5269"/>
        </w:tabs>
        <w:ind w:left="5269" w:hanging="360"/>
      </w:pPr>
      <w:rPr>
        <w:rFonts w:ascii="Times New Roman" w:hAnsi="Times New Roman" w:hint="default"/>
      </w:rPr>
    </w:lvl>
    <w:lvl w:ilvl="8" w:tplc="494AF24E" w:tentative="1">
      <w:start w:val="1"/>
      <w:numFmt w:val="bullet"/>
      <w:lvlText w:val="-"/>
      <w:lvlJc w:val="left"/>
      <w:pPr>
        <w:tabs>
          <w:tab w:val="num" w:pos="5989"/>
        </w:tabs>
        <w:ind w:left="5989" w:hanging="360"/>
      </w:pPr>
      <w:rPr>
        <w:rFonts w:ascii="Times New Roman" w:hAnsi="Times New Roman" w:hint="default"/>
      </w:rPr>
    </w:lvl>
  </w:abstractNum>
  <w:abstractNum w:abstractNumId="35">
    <w:nsid w:val="6BBA0618"/>
    <w:multiLevelType w:val="hybridMultilevel"/>
    <w:tmpl w:val="CC429C7C"/>
    <w:lvl w:ilvl="0" w:tplc="2C36722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C497CF8"/>
    <w:multiLevelType w:val="hybridMultilevel"/>
    <w:tmpl w:val="381271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43856E3"/>
    <w:multiLevelType w:val="hybridMultilevel"/>
    <w:tmpl w:val="FA703002"/>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6C10B2A"/>
    <w:multiLevelType w:val="hybridMultilevel"/>
    <w:tmpl w:val="0DBAEB2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780662AF"/>
    <w:multiLevelType w:val="hybridMultilevel"/>
    <w:tmpl w:val="24622B56"/>
    <w:lvl w:ilvl="0" w:tplc="71ECF9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9A50A3D"/>
    <w:multiLevelType w:val="hybridMultilevel"/>
    <w:tmpl w:val="E8443AD4"/>
    <w:lvl w:ilvl="0" w:tplc="08090005">
      <w:start w:val="1"/>
      <w:numFmt w:val="bullet"/>
      <w:lvlText w:val=""/>
      <w:lvlJc w:val="left"/>
      <w:pPr>
        <w:ind w:left="75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5A0E88"/>
    <w:multiLevelType w:val="hybridMultilevel"/>
    <w:tmpl w:val="8D9A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E82C5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AE5661"/>
    <w:multiLevelType w:val="hybridMultilevel"/>
    <w:tmpl w:val="094636AE"/>
    <w:lvl w:ilvl="0" w:tplc="040C0009">
      <w:start w:val="1"/>
      <w:numFmt w:val="bullet"/>
      <w:lvlText w:val=""/>
      <w:lvlJc w:val="left"/>
      <w:pPr>
        <w:tabs>
          <w:tab w:val="num" w:pos="360"/>
        </w:tabs>
        <w:ind w:left="360" w:hanging="360"/>
      </w:pPr>
      <w:rPr>
        <w:rFonts w:ascii="Wingdings" w:hAnsi="Wingdings" w:hint="default"/>
      </w:rPr>
    </w:lvl>
    <w:lvl w:ilvl="1" w:tplc="12E2A50A" w:tentative="1">
      <w:start w:val="1"/>
      <w:numFmt w:val="bullet"/>
      <w:lvlText w:val="-"/>
      <w:lvlJc w:val="left"/>
      <w:pPr>
        <w:tabs>
          <w:tab w:val="num" w:pos="949"/>
        </w:tabs>
        <w:ind w:left="949" w:hanging="360"/>
      </w:pPr>
      <w:rPr>
        <w:rFonts w:ascii="Times New Roman" w:hAnsi="Times New Roman" w:hint="default"/>
      </w:rPr>
    </w:lvl>
    <w:lvl w:ilvl="2" w:tplc="16146BEC" w:tentative="1">
      <w:start w:val="1"/>
      <w:numFmt w:val="bullet"/>
      <w:lvlText w:val="-"/>
      <w:lvlJc w:val="left"/>
      <w:pPr>
        <w:tabs>
          <w:tab w:val="num" w:pos="1669"/>
        </w:tabs>
        <w:ind w:left="1669" w:hanging="360"/>
      </w:pPr>
      <w:rPr>
        <w:rFonts w:ascii="Times New Roman" w:hAnsi="Times New Roman" w:hint="default"/>
      </w:rPr>
    </w:lvl>
    <w:lvl w:ilvl="3" w:tplc="95C400DE" w:tentative="1">
      <w:start w:val="1"/>
      <w:numFmt w:val="bullet"/>
      <w:lvlText w:val="-"/>
      <w:lvlJc w:val="left"/>
      <w:pPr>
        <w:tabs>
          <w:tab w:val="num" w:pos="2389"/>
        </w:tabs>
        <w:ind w:left="2389" w:hanging="360"/>
      </w:pPr>
      <w:rPr>
        <w:rFonts w:ascii="Times New Roman" w:hAnsi="Times New Roman" w:hint="default"/>
      </w:rPr>
    </w:lvl>
    <w:lvl w:ilvl="4" w:tplc="B5167EA4" w:tentative="1">
      <w:start w:val="1"/>
      <w:numFmt w:val="bullet"/>
      <w:lvlText w:val="-"/>
      <w:lvlJc w:val="left"/>
      <w:pPr>
        <w:tabs>
          <w:tab w:val="num" w:pos="3109"/>
        </w:tabs>
        <w:ind w:left="3109" w:hanging="360"/>
      </w:pPr>
      <w:rPr>
        <w:rFonts w:ascii="Times New Roman" w:hAnsi="Times New Roman" w:hint="default"/>
      </w:rPr>
    </w:lvl>
    <w:lvl w:ilvl="5" w:tplc="CA768DDA" w:tentative="1">
      <w:start w:val="1"/>
      <w:numFmt w:val="bullet"/>
      <w:lvlText w:val="-"/>
      <w:lvlJc w:val="left"/>
      <w:pPr>
        <w:tabs>
          <w:tab w:val="num" w:pos="3829"/>
        </w:tabs>
        <w:ind w:left="3829" w:hanging="360"/>
      </w:pPr>
      <w:rPr>
        <w:rFonts w:ascii="Times New Roman" w:hAnsi="Times New Roman" w:hint="default"/>
      </w:rPr>
    </w:lvl>
    <w:lvl w:ilvl="6" w:tplc="542ECD3C" w:tentative="1">
      <w:start w:val="1"/>
      <w:numFmt w:val="bullet"/>
      <w:lvlText w:val="-"/>
      <w:lvlJc w:val="left"/>
      <w:pPr>
        <w:tabs>
          <w:tab w:val="num" w:pos="4549"/>
        </w:tabs>
        <w:ind w:left="4549" w:hanging="360"/>
      </w:pPr>
      <w:rPr>
        <w:rFonts w:ascii="Times New Roman" w:hAnsi="Times New Roman" w:hint="default"/>
      </w:rPr>
    </w:lvl>
    <w:lvl w:ilvl="7" w:tplc="235C09AC" w:tentative="1">
      <w:start w:val="1"/>
      <w:numFmt w:val="bullet"/>
      <w:lvlText w:val="-"/>
      <w:lvlJc w:val="left"/>
      <w:pPr>
        <w:tabs>
          <w:tab w:val="num" w:pos="5269"/>
        </w:tabs>
        <w:ind w:left="5269" w:hanging="360"/>
      </w:pPr>
      <w:rPr>
        <w:rFonts w:ascii="Times New Roman" w:hAnsi="Times New Roman" w:hint="default"/>
      </w:rPr>
    </w:lvl>
    <w:lvl w:ilvl="8" w:tplc="494AF24E" w:tentative="1">
      <w:start w:val="1"/>
      <w:numFmt w:val="bullet"/>
      <w:lvlText w:val="-"/>
      <w:lvlJc w:val="left"/>
      <w:pPr>
        <w:tabs>
          <w:tab w:val="num" w:pos="5989"/>
        </w:tabs>
        <w:ind w:left="5989" w:hanging="360"/>
      </w:pPr>
      <w:rPr>
        <w:rFonts w:ascii="Times New Roman" w:hAnsi="Times New Roman" w:hint="default"/>
      </w:rPr>
    </w:lvl>
  </w:abstractNum>
  <w:num w:numId="1">
    <w:abstractNumId w:val="27"/>
  </w:num>
  <w:num w:numId="2">
    <w:abstractNumId w:val="23"/>
  </w:num>
  <w:num w:numId="3">
    <w:abstractNumId w:val="5"/>
  </w:num>
  <w:num w:numId="4">
    <w:abstractNumId w:val="40"/>
  </w:num>
  <w:num w:numId="5">
    <w:abstractNumId w:val="41"/>
  </w:num>
  <w:num w:numId="6">
    <w:abstractNumId w:val="3"/>
  </w:num>
  <w:num w:numId="7">
    <w:abstractNumId w:val="32"/>
  </w:num>
  <w:num w:numId="8">
    <w:abstractNumId w:val="9"/>
  </w:num>
  <w:num w:numId="9">
    <w:abstractNumId w:val="14"/>
  </w:num>
  <w:num w:numId="10">
    <w:abstractNumId w:val="18"/>
  </w:num>
  <w:num w:numId="11">
    <w:abstractNumId w:val="1"/>
  </w:num>
  <w:num w:numId="12">
    <w:abstractNumId w:val="19"/>
  </w:num>
  <w:num w:numId="13">
    <w:abstractNumId w:val="15"/>
  </w:num>
  <w:num w:numId="14">
    <w:abstractNumId w:val="6"/>
  </w:num>
  <w:num w:numId="15">
    <w:abstractNumId w:val="29"/>
  </w:num>
  <w:num w:numId="16">
    <w:abstractNumId w:val="43"/>
  </w:num>
  <w:num w:numId="17">
    <w:abstractNumId w:val="8"/>
  </w:num>
  <w:num w:numId="18">
    <w:abstractNumId w:val="33"/>
  </w:num>
  <w:num w:numId="19">
    <w:abstractNumId w:val="30"/>
  </w:num>
  <w:num w:numId="20">
    <w:abstractNumId w:val="36"/>
  </w:num>
  <w:num w:numId="21">
    <w:abstractNumId w:val="24"/>
  </w:num>
  <w:num w:numId="22">
    <w:abstractNumId w:val="28"/>
  </w:num>
  <w:num w:numId="23">
    <w:abstractNumId w:val="42"/>
  </w:num>
  <w:num w:numId="24">
    <w:abstractNumId w:val="4"/>
  </w:num>
  <w:num w:numId="25">
    <w:abstractNumId w:val="25"/>
  </w:num>
  <w:num w:numId="26">
    <w:abstractNumId w:val="12"/>
  </w:num>
  <w:num w:numId="27">
    <w:abstractNumId w:val="10"/>
  </w:num>
  <w:num w:numId="28">
    <w:abstractNumId w:val="7"/>
  </w:num>
  <w:num w:numId="29">
    <w:abstractNumId w:val="0"/>
  </w:num>
  <w:num w:numId="30">
    <w:abstractNumId w:val="22"/>
  </w:num>
  <w:num w:numId="31">
    <w:abstractNumId w:val="37"/>
  </w:num>
  <w:num w:numId="32">
    <w:abstractNumId w:val="16"/>
  </w:num>
  <w:num w:numId="33">
    <w:abstractNumId w:val="2"/>
  </w:num>
  <w:num w:numId="34">
    <w:abstractNumId w:val="13"/>
  </w:num>
  <w:num w:numId="35">
    <w:abstractNumId w:val="21"/>
  </w:num>
  <w:num w:numId="36">
    <w:abstractNumId w:val="39"/>
  </w:num>
  <w:num w:numId="37">
    <w:abstractNumId w:val="34"/>
  </w:num>
  <w:num w:numId="38">
    <w:abstractNumId w:val="31"/>
  </w:num>
  <w:num w:numId="39">
    <w:abstractNumId w:val="20"/>
  </w:num>
  <w:num w:numId="40">
    <w:abstractNumId w:val="38"/>
  </w:num>
  <w:num w:numId="41">
    <w:abstractNumId w:val="17"/>
  </w:num>
  <w:num w:numId="42">
    <w:abstractNumId w:val="26"/>
  </w:num>
  <w:num w:numId="43">
    <w:abstractNumId w:val="35"/>
  </w:num>
  <w:num w:numId="4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fr-BE" w:vendorID="64" w:dllVersion="131078" w:nlCheck="1" w:checkStyle="1"/>
  <w:activeWritingStyle w:appName="MSWord" w:lang="en-US" w:vendorID="64" w:dllVersion="131078" w:nlCheck="1" w:checkStyle="1"/>
  <w:defaultTabStop w:val="720"/>
  <w:hyphenationZone w:val="425"/>
  <w:drawingGridHorizontalSpacing w:val="181"/>
  <w:drawingGridVerticalSpacing w:val="181"/>
  <w:characterSpacingControl w:val="doNotCompress"/>
  <w:savePreviewPicture/>
  <w:hdrShapeDefaults>
    <o:shapedefaults v:ext="edit" spidmax="2050" style="mso-width-relative:margin;mso-height-relative:margin" fillcolor="white" strokecolor="#c2d69b">
      <v:fill color="white" color2="#d6e3bc" focusposition="1" focussize="" focus="100%" type="gradient"/>
      <v:stroke color="#c2d69b" weight="1pt"/>
      <v:shadow on="t" type="perspective" color="#4e6128" opacity=".5" offset="1pt" offset2="-3pt"/>
      <o:colormru v:ext="edit" colors="#006460"/>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BF"/>
    <w:rsid w:val="0000091F"/>
    <w:rsid w:val="00000A8F"/>
    <w:rsid w:val="000025EB"/>
    <w:rsid w:val="000029AA"/>
    <w:rsid w:val="00002D69"/>
    <w:rsid w:val="000045A4"/>
    <w:rsid w:val="000046AB"/>
    <w:rsid w:val="00005D9F"/>
    <w:rsid w:val="00005F66"/>
    <w:rsid w:val="00006807"/>
    <w:rsid w:val="00006ADB"/>
    <w:rsid w:val="00006E41"/>
    <w:rsid w:val="00010125"/>
    <w:rsid w:val="00010827"/>
    <w:rsid w:val="000108A0"/>
    <w:rsid w:val="000114E9"/>
    <w:rsid w:val="0001167A"/>
    <w:rsid w:val="00012680"/>
    <w:rsid w:val="000130C3"/>
    <w:rsid w:val="0001318F"/>
    <w:rsid w:val="00013ECC"/>
    <w:rsid w:val="0001418F"/>
    <w:rsid w:val="00014DC8"/>
    <w:rsid w:val="00014EF2"/>
    <w:rsid w:val="00015DD8"/>
    <w:rsid w:val="00015E93"/>
    <w:rsid w:val="000172A2"/>
    <w:rsid w:val="000178D9"/>
    <w:rsid w:val="000201DA"/>
    <w:rsid w:val="00022E6F"/>
    <w:rsid w:val="00022F4B"/>
    <w:rsid w:val="00024266"/>
    <w:rsid w:val="000257ED"/>
    <w:rsid w:val="00025E17"/>
    <w:rsid w:val="00027914"/>
    <w:rsid w:val="00027A24"/>
    <w:rsid w:val="00027B50"/>
    <w:rsid w:val="00027B89"/>
    <w:rsid w:val="00027D9B"/>
    <w:rsid w:val="00030994"/>
    <w:rsid w:val="00030C12"/>
    <w:rsid w:val="0003136C"/>
    <w:rsid w:val="00031622"/>
    <w:rsid w:val="00031684"/>
    <w:rsid w:val="00031CBE"/>
    <w:rsid w:val="00031FB7"/>
    <w:rsid w:val="00032053"/>
    <w:rsid w:val="0003219D"/>
    <w:rsid w:val="0003477B"/>
    <w:rsid w:val="00035D0A"/>
    <w:rsid w:val="00035E61"/>
    <w:rsid w:val="00036238"/>
    <w:rsid w:val="000367FD"/>
    <w:rsid w:val="00036CCF"/>
    <w:rsid w:val="00036DCB"/>
    <w:rsid w:val="00037285"/>
    <w:rsid w:val="0003744A"/>
    <w:rsid w:val="00037475"/>
    <w:rsid w:val="00037A9B"/>
    <w:rsid w:val="00040BA2"/>
    <w:rsid w:val="00040C67"/>
    <w:rsid w:val="00040E17"/>
    <w:rsid w:val="00041BFA"/>
    <w:rsid w:val="00041CCA"/>
    <w:rsid w:val="0004281B"/>
    <w:rsid w:val="00042928"/>
    <w:rsid w:val="00043258"/>
    <w:rsid w:val="00044721"/>
    <w:rsid w:val="0004487F"/>
    <w:rsid w:val="000456E1"/>
    <w:rsid w:val="00045E0C"/>
    <w:rsid w:val="00047839"/>
    <w:rsid w:val="00047A71"/>
    <w:rsid w:val="00047C3D"/>
    <w:rsid w:val="00050941"/>
    <w:rsid w:val="00050A10"/>
    <w:rsid w:val="00050AAC"/>
    <w:rsid w:val="00050E5F"/>
    <w:rsid w:val="0005109D"/>
    <w:rsid w:val="000510CC"/>
    <w:rsid w:val="000513E0"/>
    <w:rsid w:val="00051C03"/>
    <w:rsid w:val="000522AB"/>
    <w:rsid w:val="000535C5"/>
    <w:rsid w:val="00054AF8"/>
    <w:rsid w:val="00055136"/>
    <w:rsid w:val="000561A8"/>
    <w:rsid w:val="00056B5C"/>
    <w:rsid w:val="000605B5"/>
    <w:rsid w:val="00060EFE"/>
    <w:rsid w:val="000619CA"/>
    <w:rsid w:val="00062333"/>
    <w:rsid w:val="0006299C"/>
    <w:rsid w:val="00062BAE"/>
    <w:rsid w:val="0006332E"/>
    <w:rsid w:val="00063C1F"/>
    <w:rsid w:val="00063E6A"/>
    <w:rsid w:val="00064B05"/>
    <w:rsid w:val="00064D25"/>
    <w:rsid w:val="00065CB3"/>
    <w:rsid w:val="00066FAB"/>
    <w:rsid w:val="0006716A"/>
    <w:rsid w:val="00067BFB"/>
    <w:rsid w:val="00070A34"/>
    <w:rsid w:val="000710CD"/>
    <w:rsid w:val="000715A7"/>
    <w:rsid w:val="00071C9A"/>
    <w:rsid w:val="00072283"/>
    <w:rsid w:val="00073AF0"/>
    <w:rsid w:val="000740BB"/>
    <w:rsid w:val="00074988"/>
    <w:rsid w:val="000758A9"/>
    <w:rsid w:val="00075FB2"/>
    <w:rsid w:val="000779CD"/>
    <w:rsid w:val="00081577"/>
    <w:rsid w:val="00081929"/>
    <w:rsid w:val="00081B9E"/>
    <w:rsid w:val="000829DA"/>
    <w:rsid w:val="00083565"/>
    <w:rsid w:val="000836CF"/>
    <w:rsid w:val="000837E8"/>
    <w:rsid w:val="000839E3"/>
    <w:rsid w:val="00084036"/>
    <w:rsid w:val="000848DD"/>
    <w:rsid w:val="00085386"/>
    <w:rsid w:val="0008565D"/>
    <w:rsid w:val="000868E6"/>
    <w:rsid w:val="00086CCD"/>
    <w:rsid w:val="00086FB8"/>
    <w:rsid w:val="0008701F"/>
    <w:rsid w:val="00090302"/>
    <w:rsid w:val="000912A6"/>
    <w:rsid w:val="00091356"/>
    <w:rsid w:val="00091857"/>
    <w:rsid w:val="0009228D"/>
    <w:rsid w:val="0009243D"/>
    <w:rsid w:val="00092AAA"/>
    <w:rsid w:val="00092C31"/>
    <w:rsid w:val="00092F87"/>
    <w:rsid w:val="00094117"/>
    <w:rsid w:val="00094945"/>
    <w:rsid w:val="00094A5D"/>
    <w:rsid w:val="00094F38"/>
    <w:rsid w:val="0009663A"/>
    <w:rsid w:val="00097BDE"/>
    <w:rsid w:val="000A0349"/>
    <w:rsid w:val="000A061F"/>
    <w:rsid w:val="000A0E9D"/>
    <w:rsid w:val="000A0FF2"/>
    <w:rsid w:val="000A27E1"/>
    <w:rsid w:val="000A2B62"/>
    <w:rsid w:val="000A2F3E"/>
    <w:rsid w:val="000A3436"/>
    <w:rsid w:val="000A397B"/>
    <w:rsid w:val="000A3C9B"/>
    <w:rsid w:val="000A4C13"/>
    <w:rsid w:val="000A56E1"/>
    <w:rsid w:val="000A56F4"/>
    <w:rsid w:val="000A6274"/>
    <w:rsid w:val="000A6554"/>
    <w:rsid w:val="000A7722"/>
    <w:rsid w:val="000B13E0"/>
    <w:rsid w:val="000B164F"/>
    <w:rsid w:val="000B1857"/>
    <w:rsid w:val="000B1A3D"/>
    <w:rsid w:val="000B1C22"/>
    <w:rsid w:val="000B2A07"/>
    <w:rsid w:val="000B2A4B"/>
    <w:rsid w:val="000B300D"/>
    <w:rsid w:val="000B3FC5"/>
    <w:rsid w:val="000B447D"/>
    <w:rsid w:val="000B49D5"/>
    <w:rsid w:val="000B4FBE"/>
    <w:rsid w:val="000B5CE8"/>
    <w:rsid w:val="000B72DF"/>
    <w:rsid w:val="000B780A"/>
    <w:rsid w:val="000B78FB"/>
    <w:rsid w:val="000C0614"/>
    <w:rsid w:val="000C1277"/>
    <w:rsid w:val="000C1404"/>
    <w:rsid w:val="000C14A6"/>
    <w:rsid w:val="000C16B7"/>
    <w:rsid w:val="000C1961"/>
    <w:rsid w:val="000C1A4C"/>
    <w:rsid w:val="000C1C2D"/>
    <w:rsid w:val="000C225A"/>
    <w:rsid w:val="000C2583"/>
    <w:rsid w:val="000C268B"/>
    <w:rsid w:val="000C4090"/>
    <w:rsid w:val="000C427B"/>
    <w:rsid w:val="000C4456"/>
    <w:rsid w:val="000C497A"/>
    <w:rsid w:val="000C4B75"/>
    <w:rsid w:val="000C4DB7"/>
    <w:rsid w:val="000C4F63"/>
    <w:rsid w:val="000C5847"/>
    <w:rsid w:val="000C677F"/>
    <w:rsid w:val="000D02E0"/>
    <w:rsid w:val="000D11E9"/>
    <w:rsid w:val="000D1FDE"/>
    <w:rsid w:val="000D2494"/>
    <w:rsid w:val="000D27B8"/>
    <w:rsid w:val="000D2CAB"/>
    <w:rsid w:val="000D3505"/>
    <w:rsid w:val="000D3C27"/>
    <w:rsid w:val="000D46E0"/>
    <w:rsid w:val="000D492D"/>
    <w:rsid w:val="000D4C3E"/>
    <w:rsid w:val="000D5135"/>
    <w:rsid w:val="000D52D3"/>
    <w:rsid w:val="000D5412"/>
    <w:rsid w:val="000D576E"/>
    <w:rsid w:val="000D64A3"/>
    <w:rsid w:val="000E087F"/>
    <w:rsid w:val="000E3479"/>
    <w:rsid w:val="000E6842"/>
    <w:rsid w:val="000E6CB0"/>
    <w:rsid w:val="000E7067"/>
    <w:rsid w:val="000F006D"/>
    <w:rsid w:val="000F04B1"/>
    <w:rsid w:val="000F0B8C"/>
    <w:rsid w:val="000F0DA7"/>
    <w:rsid w:val="000F402D"/>
    <w:rsid w:val="000F4846"/>
    <w:rsid w:val="000F540D"/>
    <w:rsid w:val="000F6133"/>
    <w:rsid w:val="000F6391"/>
    <w:rsid w:val="000F7D4E"/>
    <w:rsid w:val="00100DEC"/>
    <w:rsid w:val="0010150F"/>
    <w:rsid w:val="00102B91"/>
    <w:rsid w:val="00102C08"/>
    <w:rsid w:val="0010325C"/>
    <w:rsid w:val="001032DC"/>
    <w:rsid w:val="00104482"/>
    <w:rsid w:val="00104B86"/>
    <w:rsid w:val="00104D6E"/>
    <w:rsid w:val="00104E87"/>
    <w:rsid w:val="00105BBE"/>
    <w:rsid w:val="001061A6"/>
    <w:rsid w:val="001062C7"/>
    <w:rsid w:val="00106DC0"/>
    <w:rsid w:val="0010786A"/>
    <w:rsid w:val="0010791D"/>
    <w:rsid w:val="00107D23"/>
    <w:rsid w:val="001103E8"/>
    <w:rsid w:val="0011267D"/>
    <w:rsid w:val="00112E98"/>
    <w:rsid w:val="0011380A"/>
    <w:rsid w:val="00113C52"/>
    <w:rsid w:val="0011432D"/>
    <w:rsid w:val="00114700"/>
    <w:rsid w:val="00116145"/>
    <w:rsid w:val="00116D59"/>
    <w:rsid w:val="001179AD"/>
    <w:rsid w:val="00117C6B"/>
    <w:rsid w:val="00117FA1"/>
    <w:rsid w:val="00121711"/>
    <w:rsid w:val="00121E20"/>
    <w:rsid w:val="0012285E"/>
    <w:rsid w:val="001233A1"/>
    <w:rsid w:val="00123C1C"/>
    <w:rsid w:val="00124152"/>
    <w:rsid w:val="00124175"/>
    <w:rsid w:val="0012426B"/>
    <w:rsid w:val="0012441F"/>
    <w:rsid w:val="001245EE"/>
    <w:rsid w:val="00124602"/>
    <w:rsid w:val="00124A00"/>
    <w:rsid w:val="001252DC"/>
    <w:rsid w:val="00126138"/>
    <w:rsid w:val="00126437"/>
    <w:rsid w:val="0013110E"/>
    <w:rsid w:val="001312D7"/>
    <w:rsid w:val="00131A05"/>
    <w:rsid w:val="00132CEA"/>
    <w:rsid w:val="00133035"/>
    <w:rsid w:val="00133C8E"/>
    <w:rsid w:val="00134716"/>
    <w:rsid w:val="00134C0B"/>
    <w:rsid w:val="00134D54"/>
    <w:rsid w:val="0013608E"/>
    <w:rsid w:val="00136962"/>
    <w:rsid w:val="00137299"/>
    <w:rsid w:val="001378B0"/>
    <w:rsid w:val="001379CF"/>
    <w:rsid w:val="00137AF3"/>
    <w:rsid w:val="00137D5C"/>
    <w:rsid w:val="00140960"/>
    <w:rsid w:val="00141377"/>
    <w:rsid w:val="00141C80"/>
    <w:rsid w:val="0014270D"/>
    <w:rsid w:val="001428E0"/>
    <w:rsid w:val="00145BB8"/>
    <w:rsid w:val="00145E1E"/>
    <w:rsid w:val="00146301"/>
    <w:rsid w:val="00146B37"/>
    <w:rsid w:val="00146B5A"/>
    <w:rsid w:val="00146B9A"/>
    <w:rsid w:val="00147026"/>
    <w:rsid w:val="00147671"/>
    <w:rsid w:val="00147DF9"/>
    <w:rsid w:val="00147EE4"/>
    <w:rsid w:val="00150A46"/>
    <w:rsid w:val="00150AC6"/>
    <w:rsid w:val="001513F9"/>
    <w:rsid w:val="00151898"/>
    <w:rsid w:val="00152756"/>
    <w:rsid w:val="00152CE1"/>
    <w:rsid w:val="00152EB9"/>
    <w:rsid w:val="00153654"/>
    <w:rsid w:val="0015411F"/>
    <w:rsid w:val="0015530E"/>
    <w:rsid w:val="00155B50"/>
    <w:rsid w:val="001563AF"/>
    <w:rsid w:val="0015785D"/>
    <w:rsid w:val="00157A7E"/>
    <w:rsid w:val="00157CCC"/>
    <w:rsid w:val="00157D1B"/>
    <w:rsid w:val="001604AB"/>
    <w:rsid w:val="00160F9A"/>
    <w:rsid w:val="00161B03"/>
    <w:rsid w:val="00161C9F"/>
    <w:rsid w:val="0016293F"/>
    <w:rsid w:val="00162BBB"/>
    <w:rsid w:val="0016372A"/>
    <w:rsid w:val="0016394D"/>
    <w:rsid w:val="0016432F"/>
    <w:rsid w:val="00166E8B"/>
    <w:rsid w:val="00167417"/>
    <w:rsid w:val="00167584"/>
    <w:rsid w:val="0016799F"/>
    <w:rsid w:val="00167EC5"/>
    <w:rsid w:val="00167F1D"/>
    <w:rsid w:val="00170364"/>
    <w:rsid w:val="00170513"/>
    <w:rsid w:val="00171430"/>
    <w:rsid w:val="00171524"/>
    <w:rsid w:val="00171740"/>
    <w:rsid w:val="001718D9"/>
    <w:rsid w:val="00172149"/>
    <w:rsid w:val="001723DE"/>
    <w:rsid w:val="0017240F"/>
    <w:rsid w:val="00172495"/>
    <w:rsid w:val="00172EE3"/>
    <w:rsid w:val="001739F1"/>
    <w:rsid w:val="00175219"/>
    <w:rsid w:val="00175B3F"/>
    <w:rsid w:val="00177623"/>
    <w:rsid w:val="00180204"/>
    <w:rsid w:val="00180B25"/>
    <w:rsid w:val="00181056"/>
    <w:rsid w:val="00181313"/>
    <w:rsid w:val="00181367"/>
    <w:rsid w:val="00181719"/>
    <w:rsid w:val="0018231D"/>
    <w:rsid w:val="001825C7"/>
    <w:rsid w:val="0018263B"/>
    <w:rsid w:val="00182DA4"/>
    <w:rsid w:val="001843B4"/>
    <w:rsid w:val="00184437"/>
    <w:rsid w:val="00185C2E"/>
    <w:rsid w:val="00185E3A"/>
    <w:rsid w:val="00186265"/>
    <w:rsid w:val="0018656D"/>
    <w:rsid w:val="0018692C"/>
    <w:rsid w:val="00186C22"/>
    <w:rsid w:val="001877EB"/>
    <w:rsid w:val="001878EE"/>
    <w:rsid w:val="00187B7E"/>
    <w:rsid w:val="00187DAB"/>
    <w:rsid w:val="001901F4"/>
    <w:rsid w:val="001903C8"/>
    <w:rsid w:val="001904FA"/>
    <w:rsid w:val="0019078B"/>
    <w:rsid w:val="001911ED"/>
    <w:rsid w:val="00191CCA"/>
    <w:rsid w:val="00191D1E"/>
    <w:rsid w:val="00192023"/>
    <w:rsid w:val="001922CC"/>
    <w:rsid w:val="00192820"/>
    <w:rsid w:val="001935D9"/>
    <w:rsid w:val="001936D9"/>
    <w:rsid w:val="00194462"/>
    <w:rsid w:val="001945F0"/>
    <w:rsid w:val="00194725"/>
    <w:rsid w:val="001948DE"/>
    <w:rsid w:val="00194D2E"/>
    <w:rsid w:val="001958C6"/>
    <w:rsid w:val="00195E5C"/>
    <w:rsid w:val="00196AEB"/>
    <w:rsid w:val="00196EFD"/>
    <w:rsid w:val="001973B7"/>
    <w:rsid w:val="001975E8"/>
    <w:rsid w:val="001976E0"/>
    <w:rsid w:val="001A00A7"/>
    <w:rsid w:val="001A03B3"/>
    <w:rsid w:val="001A0520"/>
    <w:rsid w:val="001A07E0"/>
    <w:rsid w:val="001A0A25"/>
    <w:rsid w:val="001A0DB7"/>
    <w:rsid w:val="001A329E"/>
    <w:rsid w:val="001A360E"/>
    <w:rsid w:val="001A3A11"/>
    <w:rsid w:val="001A3AAB"/>
    <w:rsid w:val="001A41CE"/>
    <w:rsid w:val="001A5355"/>
    <w:rsid w:val="001A55DF"/>
    <w:rsid w:val="001A5D9A"/>
    <w:rsid w:val="001A660C"/>
    <w:rsid w:val="001A66F2"/>
    <w:rsid w:val="001A677A"/>
    <w:rsid w:val="001A7392"/>
    <w:rsid w:val="001A74DD"/>
    <w:rsid w:val="001A762F"/>
    <w:rsid w:val="001A78A3"/>
    <w:rsid w:val="001A7BB6"/>
    <w:rsid w:val="001B0043"/>
    <w:rsid w:val="001B0386"/>
    <w:rsid w:val="001B1763"/>
    <w:rsid w:val="001B1A61"/>
    <w:rsid w:val="001B2F63"/>
    <w:rsid w:val="001B340C"/>
    <w:rsid w:val="001B35EB"/>
    <w:rsid w:val="001B451D"/>
    <w:rsid w:val="001B46E8"/>
    <w:rsid w:val="001B4984"/>
    <w:rsid w:val="001B5506"/>
    <w:rsid w:val="001B5A5C"/>
    <w:rsid w:val="001B5C2E"/>
    <w:rsid w:val="001C03DD"/>
    <w:rsid w:val="001C2101"/>
    <w:rsid w:val="001C3FB3"/>
    <w:rsid w:val="001C4D22"/>
    <w:rsid w:val="001C4F9C"/>
    <w:rsid w:val="001C5504"/>
    <w:rsid w:val="001C5B50"/>
    <w:rsid w:val="001C5BAC"/>
    <w:rsid w:val="001D067D"/>
    <w:rsid w:val="001D0A96"/>
    <w:rsid w:val="001D0B06"/>
    <w:rsid w:val="001D0E8C"/>
    <w:rsid w:val="001D1276"/>
    <w:rsid w:val="001D15C5"/>
    <w:rsid w:val="001D15CF"/>
    <w:rsid w:val="001D1686"/>
    <w:rsid w:val="001D263A"/>
    <w:rsid w:val="001D3313"/>
    <w:rsid w:val="001D3FB0"/>
    <w:rsid w:val="001D51BE"/>
    <w:rsid w:val="001D523D"/>
    <w:rsid w:val="001D5BD9"/>
    <w:rsid w:val="001D5C33"/>
    <w:rsid w:val="001D614C"/>
    <w:rsid w:val="001D6CFF"/>
    <w:rsid w:val="001D78B5"/>
    <w:rsid w:val="001E0608"/>
    <w:rsid w:val="001E094A"/>
    <w:rsid w:val="001E12B6"/>
    <w:rsid w:val="001E143F"/>
    <w:rsid w:val="001E1BDF"/>
    <w:rsid w:val="001E25B4"/>
    <w:rsid w:val="001E2612"/>
    <w:rsid w:val="001E2718"/>
    <w:rsid w:val="001E280F"/>
    <w:rsid w:val="001E36B5"/>
    <w:rsid w:val="001E3EBC"/>
    <w:rsid w:val="001E4E95"/>
    <w:rsid w:val="001E5159"/>
    <w:rsid w:val="001E5746"/>
    <w:rsid w:val="001E63DD"/>
    <w:rsid w:val="001E6502"/>
    <w:rsid w:val="001E6CB0"/>
    <w:rsid w:val="001F0200"/>
    <w:rsid w:val="001F0B8C"/>
    <w:rsid w:val="001F0C3A"/>
    <w:rsid w:val="001F1AB7"/>
    <w:rsid w:val="001F38A3"/>
    <w:rsid w:val="001F39FB"/>
    <w:rsid w:val="001F425B"/>
    <w:rsid w:val="001F4FF3"/>
    <w:rsid w:val="001F5841"/>
    <w:rsid w:val="001F5902"/>
    <w:rsid w:val="001F71E9"/>
    <w:rsid w:val="001F7665"/>
    <w:rsid w:val="001F788E"/>
    <w:rsid w:val="001F78CD"/>
    <w:rsid w:val="001F7C39"/>
    <w:rsid w:val="001F7D70"/>
    <w:rsid w:val="001F7E8B"/>
    <w:rsid w:val="00200035"/>
    <w:rsid w:val="00201A02"/>
    <w:rsid w:val="0020295A"/>
    <w:rsid w:val="00202AEA"/>
    <w:rsid w:val="00203050"/>
    <w:rsid w:val="00203770"/>
    <w:rsid w:val="0020393C"/>
    <w:rsid w:val="00204333"/>
    <w:rsid w:val="00206165"/>
    <w:rsid w:val="0020660B"/>
    <w:rsid w:val="0020738C"/>
    <w:rsid w:val="00207FDF"/>
    <w:rsid w:val="00210980"/>
    <w:rsid w:val="00210A71"/>
    <w:rsid w:val="002115FE"/>
    <w:rsid w:val="00211700"/>
    <w:rsid w:val="00212DA5"/>
    <w:rsid w:val="002135F9"/>
    <w:rsid w:val="00213834"/>
    <w:rsid w:val="00213998"/>
    <w:rsid w:val="00213CC9"/>
    <w:rsid w:val="00213D14"/>
    <w:rsid w:val="00214918"/>
    <w:rsid w:val="00215992"/>
    <w:rsid w:val="00215B10"/>
    <w:rsid w:val="00215D63"/>
    <w:rsid w:val="002164E8"/>
    <w:rsid w:val="0021680D"/>
    <w:rsid w:val="00216DE9"/>
    <w:rsid w:val="00217990"/>
    <w:rsid w:val="00217BFE"/>
    <w:rsid w:val="00220B12"/>
    <w:rsid w:val="00220C62"/>
    <w:rsid w:val="00220D34"/>
    <w:rsid w:val="002210F7"/>
    <w:rsid w:val="0022138A"/>
    <w:rsid w:val="002217B4"/>
    <w:rsid w:val="00222116"/>
    <w:rsid w:val="002223FF"/>
    <w:rsid w:val="00222516"/>
    <w:rsid w:val="00222B41"/>
    <w:rsid w:val="00222BAE"/>
    <w:rsid w:val="00222CDF"/>
    <w:rsid w:val="002231A1"/>
    <w:rsid w:val="00223961"/>
    <w:rsid w:val="002241D5"/>
    <w:rsid w:val="00225FAA"/>
    <w:rsid w:val="00226887"/>
    <w:rsid w:val="00226D04"/>
    <w:rsid w:val="00226DF1"/>
    <w:rsid w:val="00230E8B"/>
    <w:rsid w:val="0023114E"/>
    <w:rsid w:val="002311E9"/>
    <w:rsid w:val="00231278"/>
    <w:rsid w:val="0023208F"/>
    <w:rsid w:val="002336C3"/>
    <w:rsid w:val="0023501A"/>
    <w:rsid w:val="002355EB"/>
    <w:rsid w:val="00235750"/>
    <w:rsid w:val="00236498"/>
    <w:rsid w:val="0023666A"/>
    <w:rsid w:val="0023679F"/>
    <w:rsid w:val="002369C0"/>
    <w:rsid w:val="002369CA"/>
    <w:rsid w:val="00236AE6"/>
    <w:rsid w:val="00237A78"/>
    <w:rsid w:val="00241971"/>
    <w:rsid w:val="00241CFF"/>
    <w:rsid w:val="0024216C"/>
    <w:rsid w:val="002425DF"/>
    <w:rsid w:val="0024269E"/>
    <w:rsid w:val="0024317B"/>
    <w:rsid w:val="00243A10"/>
    <w:rsid w:val="00243BE8"/>
    <w:rsid w:val="00243D3C"/>
    <w:rsid w:val="00243F75"/>
    <w:rsid w:val="00244051"/>
    <w:rsid w:val="002441D3"/>
    <w:rsid w:val="00244DD6"/>
    <w:rsid w:val="00245538"/>
    <w:rsid w:val="00245EF3"/>
    <w:rsid w:val="002516CD"/>
    <w:rsid w:val="00252A9F"/>
    <w:rsid w:val="00252CAC"/>
    <w:rsid w:val="00253368"/>
    <w:rsid w:val="0025354E"/>
    <w:rsid w:val="00253922"/>
    <w:rsid w:val="00253962"/>
    <w:rsid w:val="00253A70"/>
    <w:rsid w:val="002543D2"/>
    <w:rsid w:val="00254B74"/>
    <w:rsid w:val="00255126"/>
    <w:rsid w:val="002559F2"/>
    <w:rsid w:val="00257093"/>
    <w:rsid w:val="00257738"/>
    <w:rsid w:val="00257C4B"/>
    <w:rsid w:val="00261CAB"/>
    <w:rsid w:val="00261D1A"/>
    <w:rsid w:val="00262669"/>
    <w:rsid w:val="00262EBA"/>
    <w:rsid w:val="0026336D"/>
    <w:rsid w:val="002637FF"/>
    <w:rsid w:val="002638FF"/>
    <w:rsid w:val="00264ACE"/>
    <w:rsid w:val="00265024"/>
    <w:rsid w:val="0026511E"/>
    <w:rsid w:val="00265DAC"/>
    <w:rsid w:val="00266514"/>
    <w:rsid w:val="00267531"/>
    <w:rsid w:val="0027037E"/>
    <w:rsid w:val="00270F05"/>
    <w:rsid w:val="0027155B"/>
    <w:rsid w:val="002724DA"/>
    <w:rsid w:val="0027341E"/>
    <w:rsid w:val="0027460C"/>
    <w:rsid w:val="0027487B"/>
    <w:rsid w:val="002748EF"/>
    <w:rsid w:val="00274A8D"/>
    <w:rsid w:val="002754AA"/>
    <w:rsid w:val="00275559"/>
    <w:rsid w:val="00275C29"/>
    <w:rsid w:val="00276624"/>
    <w:rsid w:val="00277D1F"/>
    <w:rsid w:val="00280089"/>
    <w:rsid w:val="00280209"/>
    <w:rsid w:val="00280248"/>
    <w:rsid w:val="00280655"/>
    <w:rsid w:val="00280DBE"/>
    <w:rsid w:val="002822BD"/>
    <w:rsid w:val="00282BE3"/>
    <w:rsid w:val="00282DB2"/>
    <w:rsid w:val="0028399C"/>
    <w:rsid w:val="002841BE"/>
    <w:rsid w:val="002843ED"/>
    <w:rsid w:val="0028441E"/>
    <w:rsid w:val="00284975"/>
    <w:rsid w:val="002859EA"/>
    <w:rsid w:val="002863A7"/>
    <w:rsid w:val="0028697E"/>
    <w:rsid w:val="0028783E"/>
    <w:rsid w:val="00287D2E"/>
    <w:rsid w:val="00290A3E"/>
    <w:rsid w:val="00290AD6"/>
    <w:rsid w:val="00290DC1"/>
    <w:rsid w:val="00291ABE"/>
    <w:rsid w:val="00291C6D"/>
    <w:rsid w:val="00292253"/>
    <w:rsid w:val="00292867"/>
    <w:rsid w:val="00292D2E"/>
    <w:rsid w:val="002937B5"/>
    <w:rsid w:val="002940A5"/>
    <w:rsid w:val="002949A8"/>
    <w:rsid w:val="00294B92"/>
    <w:rsid w:val="002953D3"/>
    <w:rsid w:val="00296410"/>
    <w:rsid w:val="00296504"/>
    <w:rsid w:val="00296D55"/>
    <w:rsid w:val="00296D57"/>
    <w:rsid w:val="0029706C"/>
    <w:rsid w:val="002A0591"/>
    <w:rsid w:val="002A0CA7"/>
    <w:rsid w:val="002A12F4"/>
    <w:rsid w:val="002A1581"/>
    <w:rsid w:val="002A3031"/>
    <w:rsid w:val="002A311F"/>
    <w:rsid w:val="002A334D"/>
    <w:rsid w:val="002A375E"/>
    <w:rsid w:val="002A3A20"/>
    <w:rsid w:val="002A41FE"/>
    <w:rsid w:val="002A6579"/>
    <w:rsid w:val="002A7980"/>
    <w:rsid w:val="002B0246"/>
    <w:rsid w:val="002B02CE"/>
    <w:rsid w:val="002B13FA"/>
    <w:rsid w:val="002B1CC7"/>
    <w:rsid w:val="002B2C3E"/>
    <w:rsid w:val="002B3440"/>
    <w:rsid w:val="002B382C"/>
    <w:rsid w:val="002B413F"/>
    <w:rsid w:val="002B474D"/>
    <w:rsid w:val="002B49C3"/>
    <w:rsid w:val="002B49CE"/>
    <w:rsid w:val="002B51AD"/>
    <w:rsid w:val="002B5768"/>
    <w:rsid w:val="002B685F"/>
    <w:rsid w:val="002B6CD6"/>
    <w:rsid w:val="002B726F"/>
    <w:rsid w:val="002B7BFA"/>
    <w:rsid w:val="002B7F9F"/>
    <w:rsid w:val="002C039E"/>
    <w:rsid w:val="002C0B42"/>
    <w:rsid w:val="002C124B"/>
    <w:rsid w:val="002C1FC9"/>
    <w:rsid w:val="002C26A5"/>
    <w:rsid w:val="002C270A"/>
    <w:rsid w:val="002C28CC"/>
    <w:rsid w:val="002C2BFE"/>
    <w:rsid w:val="002C2E7E"/>
    <w:rsid w:val="002C334F"/>
    <w:rsid w:val="002C34E9"/>
    <w:rsid w:val="002C40D8"/>
    <w:rsid w:val="002C436F"/>
    <w:rsid w:val="002C4C69"/>
    <w:rsid w:val="002C592D"/>
    <w:rsid w:val="002C753F"/>
    <w:rsid w:val="002C797F"/>
    <w:rsid w:val="002C7BE2"/>
    <w:rsid w:val="002D19D6"/>
    <w:rsid w:val="002D24C2"/>
    <w:rsid w:val="002D2BA0"/>
    <w:rsid w:val="002D2E1D"/>
    <w:rsid w:val="002D3196"/>
    <w:rsid w:val="002D3BEA"/>
    <w:rsid w:val="002D3C24"/>
    <w:rsid w:val="002D3C6A"/>
    <w:rsid w:val="002D3DEF"/>
    <w:rsid w:val="002D4282"/>
    <w:rsid w:val="002D5153"/>
    <w:rsid w:val="002D5DBA"/>
    <w:rsid w:val="002D5F93"/>
    <w:rsid w:val="002D65B4"/>
    <w:rsid w:val="002D6F99"/>
    <w:rsid w:val="002D7D0B"/>
    <w:rsid w:val="002E031C"/>
    <w:rsid w:val="002E1374"/>
    <w:rsid w:val="002E1848"/>
    <w:rsid w:val="002E24B1"/>
    <w:rsid w:val="002E2764"/>
    <w:rsid w:val="002E2F84"/>
    <w:rsid w:val="002E34D2"/>
    <w:rsid w:val="002E4647"/>
    <w:rsid w:val="002E6095"/>
    <w:rsid w:val="002E688B"/>
    <w:rsid w:val="002E6ADF"/>
    <w:rsid w:val="002E6F0C"/>
    <w:rsid w:val="002E70B8"/>
    <w:rsid w:val="002E72B0"/>
    <w:rsid w:val="002E7B3F"/>
    <w:rsid w:val="002F10F1"/>
    <w:rsid w:val="002F11A7"/>
    <w:rsid w:val="002F153F"/>
    <w:rsid w:val="002F161D"/>
    <w:rsid w:val="002F16C2"/>
    <w:rsid w:val="002F192F"/>
    <w:rsid w:val="002F1957"/>
    <w:rsid w:val="002F291B"/>
    <w:rsid w:val="002F29BF"/>
    <w:rsid w:val="002F2B27"/>
    <w:rsid w:val="002F2CA7"/>
    <w:rsid w:val="002F2CB9"/>
    <w:rsid w:val="002F35A5"/>
    <w:rsid w:val="002F3CAD"/>
    <w:rsid w:val="002F4A1F"/>
    <w:rsid w:val="002F4D9F"/>
    <w:rsid w:val="002F5787"/>
    <w:rsid w:val="002F77C7"/>
    <w:rsid w:val="002F7863"/>
    <w:rsid w:val="002F7FCD"/>
    <w:rsid w:val="003002FB"/>
    <w:rsid w:val="0030094D"/>
    <w:rsid w:val="00300D5C"/>
    <w:rsid w:val="00301048"/>
    <w:rsid w:val="003010DC"/>
    <w:rsid w:val="003012FE"/>
    <w:rsid w:val="00301620"/>
    <w:rsid w:val="003016E2"/>
    <w:rsid w:val="00302131"/>
    <w:rsid w:val="003027E0"/>
    <w:rsid w:val="00303CA1"/>
    <w:rsid w:val="00303E66"/>
    <w:rsid w:val="00303EA2"/>
    <w:rsid w:val="003041E6"/>
    <w:rsid w:val="0030464D"/>
    <w:rsid w:val="00304A0E"/>
    <w:rsid w:val="0030580D"/>
    <w:rsid w:val="00306BD8"/>
    <w:rsid w:val="00306C9C"/>
    <w:rsid w:val="00306D56"/>
    <w:rsid w:val="00307C5D"/>
    <w:rsid w:val="00310069"/>
    <w:rsid w:val="00310327"/>
    <w:rsid w:val="003112B2"/>
    <w:rsid w:val="00312681"/>
    <w:rsid w:val="00312ADD"/>
    <w:rsid w:val="0031328A"/>
    <w:rsid w:val="00313339"/>
    <w:rsid w:val="003135D3"/>
    <w:rsid w:val="00313609"/>
    <w:rsid w:val="003138E4"/>
    <w:rsid w:val="00313B5B"/>
    <w:rsid w:val="00315F86"/>
    <w:rsid w:val="003163D2"/>
    <w:rsid w:val="0031673F"/>
    <w:rsid w:val="00317457"/>
    <w:rsid w:val="00317E5A"/>
    <w:rsid w:val="00320907"/>
    <w:rsid w:val="00320B59"/>
    <w:rsid w:val="003224F8"/>
    <w:rsid w:val="0032311B"/>
    <w:rsid w:val="00323488"/>
    <w:rsid w:val="003235A1"/>
    <w:rsid w:val="003250E3"/>
    <w:rsid w:val="0032582B"/>
    <w:rsid w:val="0032625F"/>
    <w:rsid w:val="00326A38"/>
    <w:rsid w:val="00326DC6"/>
    <w:rsid w:val="00327654"/>
    <w:rsid w:val="00327A7F"/>
    <w:rsid w:val="00327B27"/>
    <w:rsid w:val="00327F97"/>
    <w:rsid w:val="003300C5"/>
    <w:rsid w:val="003317FB"/>
    <w:rsid w:val="00332701"/>
    <w:rsid w:val="0033308E"/>
    <w:rsid w:val="003334B1"/>
    <w:rsid w:val="00334476"/>
    <w:rsid w:val="00334AE6"/>
    <w:rsid w:val="00335222"/>
    <w:rsid w:val="00335239"/>
    <w:rsid w:val="00335914"/>
    <w:rsid w:val="00335CD0"/>
    <w:rsid w:val="00336336"/>
    <w:rsid w:val="00337709"/>
    <w:rsid w:val="003407E1"/>
    <w:rsid w:val="00342395"/>
    <w:rsid w:val="00344600"/>
    <w:rsid w:val="00344639"/>
    <w:rsid w:val="003447B1"/>
    <w:rsid w:val="00344B76"/>
    <w:rsid w:val="00345DBF"/>
    <w:rsid w:val="00345FF0"/>
    <w:rsid w:val="00346785"/>
    <w:rsid w:val="00346C2B"/>
    <w:rsid w:val="00347853"/>
    <w:rsid w:val="00347FB6"/>
    <w:rsid w:val="0035012A"/>
    <w:rsid w:val="00350153"/>
    <w:rsid w:val="003514C8"/>
    <w:rsid w:val="003517B8"/>
    <w:rsid w:val="00351A14"/>
    <w:rsid w:val="00351D2E"/>
    <w:rsid w:val="00351F8E"/>
    <w:rsid w:val="00351FD3"/>
    <w:rsid w:val="00354652"/>
    <w:rsid w:val="00354BD0"/>
    <w:rsid w:val="00355391"/>
    <w:rsid w:val="00355962"/>
    <w:rsid w:val="00355988"/>
    <w:rsid w:val="00357936"/>
    <w:rsid w:val="00357A38"/>
    <w:rsid w:val="00357F1B"/>
    <w:rsid w:val="003619ED"/>
    <w:rsid w:val="0036281A"/>
    <w:rsid w:val="003628BD"/>
    <w:rsid w:val="00362FAD"/>
    <w:rsid w:val="003638A8"/>
    <w:rsid w:val="00364E43"/>
    <w:rsid w:val="00365F51"/>
    <w:rsid w:val="003664A2"/>
    <w:rsid w:val="003664EF"/>
    <w:rsid w:val="00366674"/>
    <w:rsid w:val="00366BF3"/>
    <w:rsid w:val="00366E35"/>
    <w:rsid w:val="00370428"/>
    <w:rsid w:val="003715B1"/>
    <w:rsid w:val="00371668"/>
    <w:rsid w:val="0037197E"/>
    <w:rsid w:val="00371E24"/>
    <w:rsid w:val="00372092"/>
    <w:rsid w:val="003724A5"/>
    <w:rsid w:val="00373294"/>
    <w:rsid w:val="00373553"/>
    <w:rsid w:val="00373801"/>
    <w:rsid w:val="00373F51"/>
    <w:rsid w:val="0037475B"/>
    <w:rsid w:val="00374971"/>
    <w:rsid w:val="00374AAA"/>
    <w:rsid w:val="00374BEC"/>
    <w:rsid w:val="003750C7"/>
    <w:rsid w:val="003755EB"/>
    <w:rsid w:val="003757E3"/>
    <w:rsid w:val="00375B48"/>
    <w:rsid w:val="00375BEB"/>
    <w:rsid w:val="00375C77"/>
    <w:rsid w:val="003760CC"/>
    <w:rsid w:val="00376CD1"/>
    <w:rsid w:val="0037767B"/>
    <w:rsid w:val="003776EF"/>
    <w:rsid w:val="0037784C"/>
    <w:rsid w:val="00381270"/>
    <w:rsid w:val="0038157F"/>
    <w:rsid w:val="0038171A"/>
    <w:rsid w:val="00381A64"/>
    <w:rsid w:val="00381C74"/>
    <w:rsid w:val="00381EDE"/>
    <w:rsid w:val="00382795"/>
    <w:rsid w:val="00382806"/>
    <w:rsid w:val="00383944"/>
    <w:rsid w:val="00384BA7"/>
    <w:rsid w:val="003851D3"/>
    <w:rsid w:val="00385C3F"/>
    <w:rsid w:val="003862FA"/>
    <w:rsid w:val="003869E2"/>
    <w:rsid w:val="00386D62"/>
    <w:rsid w:val="00386DDE"/>
    <w:rsid w:val="003874C8"/>
    <w:rsid w:val="003878F3"/>
    <w:rsid w:val="0039085A"/>
    <w:rsid w:val="00391785"/>
    <w:rsid w:val="00392C1B"/>
    <w:rsid w:val="00392C9C"/>
    <w:rsid w:val="00392CBE"/>
    <w:rsid w:val="00393265"/>
    <w:rsid w:val="003933E0"/>
    <w:rsid w:val="00393A6D"/>
    <w:rsid w:val="00393D34"/>
    <w:rsid w:val="003942D9"/>
    <w:rsid w:val="003945C7"/>
    <w:rsid w:val="00394AC6"/>
    <w:rsid w:val="00395177"/>
    <w:rsid w:val="00395735"/>
    <w:rsid w:val="00395D3C"/>
    <w:rsid w:val="003964DA"/>
    <w:rsid w:val="00397B7B"/>
    <w:rsid w:val="00397BCD"/>
    <w:rsid w:val="00397CA6"/>
    <w:rsid w:val="00397F7A"/>
    <w:rsid w:val="003A015C"/>
    <w:rsid w:val="003A0CCD"/>
    <w:rsid w:val="003A16C4"/>
    <w:rsid w:val="003A1A07"/>
    <w:rsid w:val="003A1D84"/>
    <w:rsid w:val="003A23C9"/>
    <w:rsid w:val="003A3779"/>
    <w:rsid w:val="003A4908"/>
    <w:rsid w:val="003A4A50"/>
    <w:rsid w:val="003A4C7C"/>
    <w:rsid w:val="003A4C9F"/>
    <w:rsid w:val="003A527B"/>
    <w:rsid w:val="003A5CF4"/>
    <w:rsid w:val="003A5EC6"/>
    <w:rsid w:val="003A60D9"/>
    <w:rsid w:val="003A660D"/>
    <w:rsid w:val="003A68DE"/>
    <w:rsid w:val="003A7350"/>
    <w:rsid w:val="003A75B1"/>
    <w:rsid w:val="003A763C"/>
    <w:rsid w:val="003B05A2"/>
    <w:rsid w:val="003B0DE0"/>
    <w:rsid w:val="003B0E87"/>
    <w:rsid w:val="003B1AF6"/>
    <w:rsid w:val="003B1FAE"/>
    <w:rsid w:val="003B22C0"/>
    <w:rsid w:val="003B295A"/>
    <w:rsid w:val="003B2E71"/>
    <w:rsid w:val="003B3B1B"/>
    <w:rsid w:val="003B42B8"/>
    <w:rsid w:val="003B4A81"/>
    <w:rsid w:val="003B4F95"/>
    <w:rsid w:val="003B51E5"/>
    <w:rsid w:val="003B786E"/>
    <w:rsid w:val="003B79F4"/>
    <w:rsid w:val="003B7AF2"/>
    <w:rsid w:val="003B7C92"/>
    <w:rsid w:val="003C12B2"/>
    <w:rsid w:val="003C1D6E"/>
    <w:rsid w:val="003C20C7"/>
    <w:rsid w:val="003C2512"/>
    <w:rsid w:val="003C2651"/>
    <w:rsid w:val="003C3807"/>
    <w:rsid w:val="003C4365"/>
    <w:rsid w:val="003C554B"/>
    <w:rsid w:val="003C5626"/>
    <w:rsid w:val="003C5AEE"/>
    <w:rsid w:val="003C5D94"/>
    <w:rsid w:val="003C6008"/>
    <w:rsid w:val="003C6634"/>
    <w:rsid w:val="003C7312"/>
    <w:rsid w:val="003D1702"/>
    <w:rsid w:val="003D17E7"/>
    <w:rsid w:val="003D1B37"/>
    <w:rsid w:val="003D2098"/>
    <w:rsid w:val="003D26E5"/>
    <w:rsid w:val="003D2728"/>
    <w:rsid w:val="003D2A2C"/>
    <w:rsid w:val="003D2A40"/>
    <w:rsid w:val="003D3525"/>
    <w:rsid w:val="003D37B1"/>
    <w:rsid w:val="003D3E49"/>
    <w:rsid w:val="003D461B"/>
    <w:rsid w:val="003D495F"/>
    <w:rsid w:val="003D4EFC"/>
    <w:rsid w:val="003D5C1E"/>
    <w:rsid w:val="003D656B"/>
    <w:rsid w:val="003D6FF3"/>
    <w:rsid w:val="003D78D9"/>
    <w:rsid w:val="003E01B7"/>
    <w:rsid w:val="003E0256"/>
    <w:rsid w:val="003E0701"/>
    <w:rsid w:val="003E0988"/>
    <w:rsid w:val="003E0D05"/>
    <w:rsid w:val="003E148C"/>
    <w:rsid w:val="003E1CFA"/>
    <w:rsid w:val="003E1FC2"/>
    <w:rsid w:val="003E238C"/>
    <w:rsid w:val="003E3948"/>
    <w:rsid w:val="003E4142"/>
    <w:rsid w:val="003E4161"/>
    <w:rsid w:val="003E434C"/>
    <w:rsid w:val="003E4FA0"/>
    <w:rsid w:val="003E550A"/>
    <w:rsid w:val="003E5676"/>
    <w:rsid w:val="003E57A3"/>
    <w:rsid w:val="003E57C9"/>
    <w:rsid w:val="003E5CFD"/>
    <w:rsid w:val="003E614B"/>
    <w:rsid w:val="003E6D25"/>
    <w:rsid w:val="003F038D"/>
    <w:rsid w:val="003F0851"/>
    <w:rsid w:val="003F135F"/>
    <w:rsid w:val="003F20B5"/>
    <w:rsid w:val="003F4E3F"/>
    <w:rsid w:val="003F7D66"/>
    <w:rsid w:val="003F7FDF"/>
    <w:rsid w:val="00400E0E"/>
    <w:rsid w:val="00400FC7"/>
    <w:rsid w:val="00401BA2"/>
    <w:rsid w:val="00401F1A"/>
    <w:rsid w:val="004022EA"/>
    <w:rsid w:val="00402887"/>
    <w:rsid w:val="0040354F"/>
    <w:rsid w:val="0040390B"/>
    <w:rsid w:val="00403C36"/>
    <w:rsid w:val="004054E6"/>
    <w:rsid w:val="0040751D"/>
    <w:rsid w:val="004079C7"/>
    <w:rsid w:val="00407C1C"/>
    <w:rsid w:val="004100B0"/>
    <w:rsid w:val="00410441"/>
    <w:rsid w:val="00410731"/>
    <w:rsid w:val="00410AE5"/>
    <w:rsid w:val="00411CF3"/>
    <w:rsid w:val="00412382"/>
    <w:rsid w:val="00412588"/>
    <w:rsid w:val="00412AEC"/>
    <w:rsid w:val="00413916"/>
    <w:rsid w:val="00413C24"/>
    <w:rsid w:val="00414DD6"/>
    <w:rsid w:val="00416243"/>
    <w:rsid w:val="0041652A"/>
    <w:rsid w:val="0041663A"/>
    <w:rsid w:val="00416991"/>
    <w:rsid w:val="00416C55"/>
    <w:rsid w:val="00417185"/>
    <w:rsid w:val="00417796"/>
    <w:rsid w:val="00417873"/>
    <w:rsid w:val="00417B31"/>
    <w:rsid w:val="00420188"/>
    <w:rsid w:val="00420476"/>
    <w:rsid w:val="004205D3"/>
    <w:rsid w:val="00420F28"/>
    <w:rsid w:val="0042180F"/>
    <w:rsid w:val="00421FD6"/>
    <w:rsid w:val="00422730"/>
    <w:rsid w:val="004237F0"/>
    <w:rsid w:val="00423D82"/>
    <w:rsid w:val="00424281"/>
    <w:rsid w:val="00424E51"/>
    <w:rsid w:val="00426E32"/>
    <w:rsid w:val="004273F4"/>
    <w:rsid w:val="004303DC"/>
    <w:rsid w:val="00430501"/>
    <w:rsid w:val="00430D64"/>
    <w:rsid w:val="00430FC1"/>
    <w:rsid w:val="00431A29"/>
    <w:rsid w:val="00431A63"/>
    <w:rsid w:val="00432339"/>
    <w:rsid w:val="00432BD4"/>
    <w:rsid w:val="004332A4"/>
    <w:rsid w:val="004337A4"/>
    <w:rsid w:val="0043385B"/>
    <w:rsid w:val="00433886"/>
    <w:rsid w:val="00433BB1"/>
    <w:rsid w:val="00433CD2"/>
    <w:rsid w:val="004344A8"/>
    <w:rsid w:val="0043502B"/>
    <w:rsid w:val="004358B4"/>
    <w:rsid w:val="00435A7C"/>
    <w:rsid w:val="00435FE6"/>
    <w:rsid w:val="0043648B"/>
    <w:rsid w:val="00436DDE"/>
    <w:rsid w:val="0043794B"/>
    <w:rsid w:val="004379AB"/>
    <w:rsid w:val="00440167"/>
    <w:rsid w:val="00440480"/>
    <w:rsid w:val="00440BF7"/>
    <w:rsid w:val="004415D2"/>
    <w:rsid w:val="00441CD0"/>
    <w:rsid w:val="004423BA"/>
    <w:rsid w:val="00443B32"/>
    <w:rsid w:val="00444697"/>
    <w:rsid w:val="004455FF"/>
    <w:rsid w:val="004467B4"/>
    <w:rsid w:val="00446B84"/>
    <w:rsid w:val="00446CC9"/>
    <w:rsid w:val="00446E66"/>
    <w:rsid w:val="00447B13"/>
    <w:rsid w:val="00450702"/>
    <w:rsid w:val="004509AB"/>
    <w:rsid w:val="00451224"/>
    <w:rsid w:val="004518A2"/>
    <w:rsid w:val="0045283A"/>
    <w:rsid w:val="00453E25"/>
    <w:rsid w:val="004550E0"/>
    <w:rsid w:val="004557C1"/>
    <w:rsid w:val="00456394"/>
    <w:rsid w:val="00456A0C"/>
    <w:rsid w:val="00456BA5"/>
    <w:rsid w:val="0046040C"/>
    <w:rsid w:val="00460761"/>
    <w:rsid w:val="00460DBF"/>
    <w:rsid w:val="00460EC8"/>
    <w:rsid w:val="00461611"/>
    <w:rsid w:val="00461F95"/>
    <w:rsid w:val="00462E0F"/>
    <w:rsid w:val="00463DC3"/>
    <w:rsid w:val="004643F4"/>
    <w:rsid w:val="004646E9"/>
    <w:rsid w:val="004662CE"/>
    <w:rsid w:val="00466426"/>
    <w:rsid w:val="0046647E"/>
    <w:rsid w:val="004669CE"/>
    <w:rsid w:val="004677F3"/>
    <w:rsid w:val="00467826"/>
    <w:rsid w:val="00467FF7"/>
    <w:rsid w:val="0047004F"/>
    <w:rsid w:val="00470246"/>
    <w:rsid w:val="0047105B"/>
    <w:rsid w:val="00472954"/>
    <w:rsid w:val="00472957"/>
    <w:rsid w:val="00472D00"/>
    <w:rsid w:val="00473661"/>
    <w:rsid w:val="0047419D"/>
    <w:rsid w:val="0047475B"/>
    <w:rsid w:val="00475BB7"/>
    <w:rsid w:val="00476034"/>
    <w:rsid w:val="0047611D"/>
    <w:rsid w:val="00476426"/>
    <w:rsid w:val="004764CF"/>
    <w:rsid w:val="004769CA"/>
    <w:rsid w:val="00476E0F"/>
    <w:rsid w:val="00480986"/>
    <w:rsid w:val="00480C13"/>
    <w:rsid w:val="00480F9A"/>
    <w:rsid w:val="0048111D"/>
    <w:rsid w:val="00483211"/>
    <w:rsid w:val="004834A4"/>
    <w:rsid w:val="004852FA"/>
    <w:rsid w:val="00485350"/>
    <w:rsid w:val="00485D05"/>
    <w:rsid w:val="00485D43"/>
    <w:rsid w:val="004869B6"/>
    <w:rsid w:val="00486AD7"/>
    <w:rsid w:val="00486D78"/>
    <w:rsid w:val="00487224"/>
    <w:rsid w:val="004904C0"/>
    <w:rsid w:val="00490B2E"/>
    <w:rsid w:val="00490BAF"/>
    <w:rsid w:val="004936E4"/>
    <w:rsid w:val="00493E47"/>
    <w:rsid w:val="004950AF"/>
    <w:rsid w:val="0049564A"/>
    <w:rsid w:val="00496A68"/>
    <w:rsid w:val="00497A63"/>
    <w:rsid w:val="00497E4B"/>
    <w:rsid w:val="004A23E3"/>
    <w:rsid w:val="004A26C6"/>
    <w:rsid w:val="004A3061"/>
    <w:rsid w:val="004A3694"/>
    <w:rsid w:val="004A5386"/>
    <w:rsid w:val="004A5875"/>
    <w:rsid w:val="004A5C85"/>
    <w:rsid w:val="004A6525"/>
    <w:rsid w:val="004A6B8C"/>
    <w:rsid w:val="004A6DBD"/>
    <w:rsid w:val="004A73E0"/>
    <w:rsid w:val="004A7CFA"/>
    <w:rsid w:val="004A7EB4"/>
    <w:rsid w:val="004B09FA"/>
    <w:rsid w:val="004B1A89"/>
    <w:rsid w:val="004B23D8"/>
    <w:rsid w:val="004B3547"/>
    <w:rsid w:val="004B4021"/>
    <w:rsid w:val="004B4E54"/>
    <w:rsid w:val="004B4EDB"/>
    <w:rsid w:val="004B5317"/>
    <w:rsid w:val="004B5884"/>
    <w:rsid w:val="004B6B18"/>
    <w:rsid w:val="004B6D16"/>
    <w:rsid w:val="004B6EE4"/>
    <w:rsid w:val="004C03C5"/>
    <w:rsid w:val="004C0478"/>
    <w:rsid w:val="004C09DA"/>
    <w:rsid w:val="004C1448"/>
    <w:rsid w:val="004C1B2C"/>
    <w:rsid w:val="004C2DA6"/>
    <w:rsid w:val="004C3501"/>
    <w:rsid w:val="004C37E2"/>
    <w:rsid w:val="004C54A5"/>
    <w:rsid w:val="004C59CE"/>
    <w:rsid w:val="004C5FFA"/>
    <w:rsid w:val="004C6298"/>
    <w:rsid w:val="004C6E91"/>
    <w:rsid w:val="004C740D"/>
    <w:rsid w:val="004C7A2F"/>
    <w:rsid w:val="004C7B33"/>
    <w:rsid w:val="004D0211"/>
    <w:rsid w:val="004D03FF"/>
    <w:rsid w:val="004D048C"/>
    <w:rsid w:val="004D20F3"/>
    <w:rsid w:val="004D2FE3"/>
    <w:rsid w:val="004D3896"/>
    <w:rsid w:val="004D38D1"/>
    <w:rsid w:val="004D46F1"/>
    <w:rsid w:val="004D4F9E"/>
    <w:rsid w:val="004D531E"/>
    <w:rsid w:val="004D53A5"/>
    <w:rsid w:val="004D5594"/>
    <w:rsid w:val="004D5C66"/>
    <w:rsid w:val="004D6A8D"/>
    <w:rsid w:val="004D70B7"/>
    <w:rsid w:val="004D79FA"/>
    <w:rsid w:val="004D7F14"/>
    <w:rsid w:val="004E009D"/>
    <w:rsid w:val="004E0128"/>
    <w:rsid w:val="004E1191"/>
    <w:rsid w:val="004E16B9"/>
    <w:rsid w:val="004E2120"/>
    <w:rsid w:val="004E2121"/>
    <w:rsid w:val="004E2B79"/>
    <w:rsid w:val="004E2B99"/>
    <w:rsid w:val="004E2E73"/>
    <w:rsid w:val="004E2ED0"/>
    <w:rsid w:val="004E314F"/>
    <w:rsid w:val="004E40B4"/>
    <w:rsid w:val="004E40D9"/>
    <w:rsid w:val="004E439D"/>
    <w:rsid w:val="004E6055"/>
    <w:rsid w:val="004E7A19"/>
    <w:rsid w:val="004F05A5"/>
    <w:rsid w:val="004F115A"/>
    <w:rsid w:val="004F1EF2"/>
    <w:rsid w:val="004F1F4F"/>
    <w:rsid w:val="004F23FE"/>
    <w:rsid w:val="004F336C"/>
    <w:rsid w:val="004F33C2"/>
    <w:rsid w:val="004F3C35"/>
    <w:rsid w:val="004F3CB3"/>
    <w:rsid w:val="004F3F44"/>
    <w:rsid w:val="004F4318"/>
    <w:rsid w:val="004F4A28"/>
    <w:rsid w:val="004F5573"/>
    <w:rsid w:val="004F5CDB"/>
    <w:rsid w:val="004F6736"/>
    <w:rsid w:val="004F68E3"/>
    <w:rsid w:val="004F77E0"/>
    <w:rsid w:val="00500D24"/>
    <w:rsid w:val="005019F9"/>
    <w:rsid w:val="00501BB1"/>
    <w:rsid w:val="005040FB"/>
    <w:rsid w:val="005056B4"/>
    <w:rsid w:val="005067E9"/>
    <w:rsid w:val="005068D2"/>
    <w:rsid w:val="00506B9B"/>
    <w:rsid w:val="00506BAB"/>
    <w:rsid w:val="00506FFE"/>
    <w:rsid w:val="00507B76"/>
    <w:rsid w:val="00510220"/>
    <w:rsid w:val="0051035D"/>
    <w:rsid w:val="0051123C"/>
    <w:rsid w:val="00511BEE"/>
    <w:rsid w:val="00512001"/>
    <w:rsid w:val="005120B4"/>
    <w:rsid w:val="00512990"/>
    <w:rsid w:val="00513AAF"/>
    <w:rsid w:val="00513BF0"/>
    <w:rsid w:val="00513CAB"/>
    <w:rsid w:val="00513CE8"/>
    <w:rsid w:val="00513F0B"/>
    <w:rsid w:val="00514E9E"/>
    <w:rsid w:val="00515A77"/>
    <w:rsid w:val="00515F31"/>
    <w:rsid w:val="00515F99"/>
    <w:rsid w:val="0051617B"/>
    <w:rsid w:val="00516343"/>
    <w:rsid w:val="00516443"/>
    <w:rsid w:val="0051662B"/>
    <w:rsid w:val="00516A75"/>
    <w:rsid w:val="00516D02"/>
    <w:rsid w:val="00517793"/>
    <w:rsid w:val="00520FDF"/>
    <w:rsid w:val="00521DA6"/>
    <w:rsid w:val="00524113"/>
    <w:rsid w:val="00524554"/>
    <w:rsid w:val="00524B95"/>
    <w:rsid w:val="005254B5"/>
    <w:rsid w:val="00525B0A"/>
    <w:rsid w:val="00526358"/>
    <w:rsid w:val="005263EF"/>
    <w:rsid w:val="0052654B"/>
    <w:rsid w:val="00526AF6"/>
    <w:rsid w:val="00526CE2"/>
    <w:rsid w:val="00527C18"/>
    <w:rsid w:val="005303F5"/>
    <w:rsid w:val="00530E87"/>
    <w:rsid w:val="00531026"/>
    <w:rsid w:val="00531818"/>
    <w:rsid w:val="00531EA9"/>
    <w:rsid w:val="005329FB"/>
    <w:rsid w:val="00534189"/>
    <w:rsid w:val="00534805"/>
    <w:rsid w:val="00534A71"/>
    <w:rsid w:val="00535089"/>
    <w:rsid w:val="005355DF"/>
    <w:rsid w:val="005356AA"/>
    <w:rsid w:val="005358E6"/>
    <w:rsid w:val="00535FF7"/>
    <w:rsid w:val="005363CB"/>
    <w:rsid w:val="0053651A"/>
    <w:rsid w:val="00536641"/>
    <w:rsid w:val="005366BD"/>
    <w:rsid w:val="005370BD"/>
    <w:rsid w:val="00537E72"/>
    <w:rsid w:val="005422D5"/>
    <w:rsid w:val="005428CA"/>
    <w:rsid w:val="005435FA"/>
    <w:rsid w:val="00544F03"/>
    <w:rsid w:val="005457C0"/>
    <w:rsid w:val="00545826"/>
    <w:rsid w:val="0054593D"/>
    <w:rsid w:val="00545CD3"/>
    <w:rsid w:val="005464B5"/>
    <w:rsid w:val="0054690E"/>
    <w:rsid w:val="00546F30"/>
    <w:rsid w:val="00547700"/>
    <w:rsid w:val="00550619"/>
    <w:rsid w:val="00551366"/>
    <w:rsid w:val="00551D50"/>
    <w:rsid w:val="0055407C"/>
    <w:rsid w:val="0055428A"/>
    <w:rsid w:val="005546D7"/>
    <w:rsid w:val="00554894"/>
    <w:rsid w:val="00554FD8"/>
    <w:rsid w:val="00555554"/>
    <w:rsid w:val="00555CF9"/>
    <w:rsid w:val="00556408"/>
    <w:rsid w:val="00556529"/>
    <w:rsid w:val="005565F6"/>
    <w:rsid w:val="0055676A"/>
    <w:rsid w:val="00556887"/>
    <w:rsid w:val="00556EC7"/>
    <w:rsid w:val="00556F81"/>
    <w:rsid w:val="00557352"/>
    <w:rsid w:val="00557682"/>
    <w:rsid w:val="00557C08"/>
    <w:rsid w:val="00561042"/>
    <w:rsid w:val="00561168"/>
    <w:rsid w:val="00562EA8"/>
    <w:rsid w:val="005636F1"/>
    <w:rsid w:val="00563F2B"/>
    <w:rsid w:val="0056459D"/>
    <w:rsid w:val="00564681"/>
    <w:rsid w:val="0056565B"/>
    <w:rsid w:val="0056608F"/>
    <w:rsid w:val="0056688F"/>
    <w:rsid w:val="00566943"/>
    <w:rsid w:val="00567219"/>
    <w:rsid w:val="00570064"/>
    <w:rsid w:val="00570AD1"/>
    <w:rsid w:val="00571849"/>
    <w:rsid w:val="00572C45"/>
    <w:rsid w:val="005735C7"/>
    <w:rsid w:val="00573EEA"/>
    <w:rsid w:val="00574389"/>
    <w:rsid w:val="00574803"/>
    <w:rsid w:val="0057756D"/>
    <w:rsid w:val="005777C3"/>
    <w:rsid w:val="005804CE"/>
    <w:rsid w:val="00580A4B"/>
    <w:rsid w:val="0058229C"/>
    <w:rsid w:val="005823BD"/>
    <w:rsid w:val="00582673"/>
    <w:rsid w:val="0058367A"/>
    <w:rsid w:val="00583F6B"/>
    <w:rsid w:val="00583F8E"/>
    <w:rsid w:val="00583FE3"/>
    <w:rsid w:val="0058445B"/>
    <w:rsid w:val="00584562"/>
    <w:rsid w:val="0058489D"/>
    <w:rsid w:val="00584AE0"/>
    <w:rsid w:val="00584FFF"/>
    <w:rsid w:val="005851BC"/>
    <w:rsid w:val="005861AF"/>
    <w:rsid w:val="00587E2E"/>
    <w:rsid w:val="00590C35"/>
    <w:rsid w:val="005917EB"/>
    <w:rsid w:val="00591972"/>
    <w:rsid w:val="00591985"/>
    <w:rsid w:val="00592625"/>
    <w:rsid w:val="0059298F"/>
    <w:rsid w:val="00593D3A"/>
    <w:rsid w:val="00596342"/>
    <w:rsid w:val="00596B5D"/>
    <w:rsid w:val="0059707F"/>
    <w:rsid w:val="00597BD3"/>
    <w:rsid w:val="00597E7C"/>
    <w:rsid w:val="005A14C1"/>
    <w:rsid w:val="005A1BF4"/>
    <w:rsid w:val="005A2A32"/>
    <w:rsid w:val="005A36A6"/>
    <w:rsid w:val="005A3CA2"/>
    <w:rsid w:val="005A3D58"/>
    <w:rsid w:val="005A3EA4"/>
    <w:rsid w:val="005A3FFA"/>
    <w:rsid w:val="005A493C"/>
    <w:rsid w:val="005A5277"/>
    <w:rsid w:val="005A56A5"/>
    <w:rsid w:val="005A61F9"/>
    <w:rsid w:val="005A68F7"/>
    <w:rsid w:val="005A72EC"/>
    <w:rsid w:val="005A7560"/>
    <w:rsid w:val="005B008C"/>
    <w:rsid w:val="005B09A8"/>
    <w:rsid w:val="005B1B42"/>
    <w:rsid w:val="005B1C5B"/>
    <w:rsid w:val="005B1EDB"/>
    <w:rsid w:val="005B22E9"/>
    <w:rsid w:val="005B234E"/>
    <w:rsid w:val="005B2AE9"/>
    <w:rsid w:val="005B34C9"/>
    <w:rsid w:val="005B4436"/>
    <w:rsid w:val="005B4A19"/>
    <w:rsid w:val="005B4CE9"/>
    <w:rsid w:val="005B4FAD"/>
    <w:rsid w:val="005B5F56"/>
    <w:rsid w:val="005B5FEA"/>
    <w:rsid w:val="005C0001"/>
    <w:rsid w:val="005C029F"/>
    <w:rsid w:val="005C07D8"/>
    <w:rsid w:val="005C0903"/>
    <w:rsid w:val="005C1302"/>
    <w:rsid w:val="005C21EA"/>
    <w:rsid w:val="005C2643"/>
    <w:rsid w:val="005C3141"/>
    <w:rsid w:val="005C4DF8"/>
    <w:rsid w:val="005C544F"/>
    <w:rsid w:val="005C55D4"/>
    <w:rsid w:val="005C5D5F"/>
    <w:rsid w:val="005C5DBB"/>
    <w:rsid w:val="005C67B4"/>
    <w:rsid w:val="005C6A5E"/>
    <w:rsid w:val="005C7CA6"/>
    <w:rsid w:val="005D1A55"/>
    <w:rsid w:val="005D2648"/>
    <w:rsid w:val="005D2D54"/>
    <w:rsid w:val="005D2EE9"/>
    <w:rsid w:val="005D37B7"/>
    <w:rsid w:val="005D3BFB"/>
    <w:rsid w:val="005D445B"/>
    <w:rsid w:val="005D447F"/>
    <w:rsid w:val="005D4630"/>
    <w:rsid w:val="005D4715"/>
    <w:rsid w:val="005D4F36"/>
    <w:rsid w:val="005D4FDC"/>
    <w:rsid w:val="005D537B"/>
    <w:rsid w:val="005D5787"/>
    <w:rsid w:val="005D5FF1"/>
    <w:rsid w:val="005D651A"/>
    <w:rsid w:val="005D6AA7"/>
    <w:rsid w:val="005D6C95"/>
    <w:rsid w:val="005D6D1F"/>
    <w:rsid w:val="005D7072"/>
    <w:rsid w:val="005D72E8"/>
    <w:rsid w:val="005D749C"/>
    <w:rsid w:val="005E2170"/>
    <w:rsid w:val="005E3C5F"/>
    <w:rsid w:val="005E480A"/>
    <w:rsid w:val="005E4EA9"/>
    <w:rsid w:val="005E5009"/>
    <w:rsid w:val="005E56BA"/>
    <w:rsid w:val="005E6371"/>
    <w:rsid w:val="005F0548"/>
    <w:rsid w:val="005F08BF"/>
    <w:rsid w:val="005F0C8A"/>
    <w:rsid w:val="005F0FF2"/>
    <w:rsid w:val="005F14A0"/>
    <w:rsid w:val="005F1732"/>
    <w:rsid w:val="005F2145"/>
    <w:rsid w:val="005F2162"/>
    <w:rsid w:val="005F29F8"/>
    <w:rsid w:val="005F3A97"/>
    <w:rsid w:val="005F42D9"/>
    <w:rsid w:val="005F445D"/>
    <w:rsid w:val="005F47C9"/>
    <w:rsid w:val="005F49A2"/>
    <w:rsid w:val="005F5FF4"/>
    <w:rsid w:val="005F63BF"/>
    <w:rsid w:val="005F6833"/>
    <w:rsid w:val="005F6DF0"/>
    <w:rsid w:val="005F6E80"/>
    <w:rsid w:val="005F7B29"/>
    <w:rsid w:val="005F7E8A"/>
    <w:rsid w:val="006003C9"/>
    <w:rsid w:val="00601499"/>
    <w:rsid w:val="00601977"/>
    <w:rsid w:val="00601C18"/>
    <w:rsid w:val="00602ECB"/>
    <w:rsid w:val="006031FF"/>
    <w:rsid w:val="00603648"/>
    <w:rsid w:val="00604130"/>
    <w:rsid w:val="006042B7"/>
    <w:rsid w:val="0060446C"/>
    <w:rsid w:val="006055DB"/>
    <w:rsid w:val="00606D8C"/>
    <w:rsid w:val="00607F60"/>
    <w:rsid w:val="00610B61"/>
    <w:rsid w:val="00610C2D"/>
    <w:rsid w:val="00611099"/>
    <w:rsid w:val="0061158B"/>
    <w:rsid w:val="00611641"/>
    <w:rsid w:val="006116A1"/>
    <w:rsid w:val="00611833"/>
    <w:rsid w:val="0061246F"/>
    <w:rsid w:val="006133BF"/>
    <w:rsid w:val="00613685"/>
    <w:rsid w:val="006136AE"/>
    <w:rsid w:val="00613E2E"/>
    <w:rsid w:val="00613E76"/>
    <w:rsid w:val="006141E0"/>
    <w:rsid w:val="0061470C"/>
    <w:rsid w:val="00614852"/>
    <w:rsid w:val="00615F58"/>
    <w:rsid w:val="006160C2"/>
    <w:rsid w:val="00616CC3"/>
    <w:rsid w:val="0061787C"/>
    <w:rsid w:val="00617C15"/>
    <w:rsid w:val="00617EF2"/>
    <w:rsid w:val="0062052E"/>
    <w:rsid w:val="00620A8E"/>
    <w:rsid w:val="00621FAB"/>
    <w:rsid w:val="006225E5"/>
    <w:rsid w:val="00622A12"/>
    <w:rsid w:val="006233EC"/>
    <w:rsid w:val="00623722"/>
    <w:rsid w:val="00623914"/>
    <w:rsid w:val="006247EC"/>
    <w:rsid w:val="00624E1C"/>
    <w:rsid w:val="006265A9"/>
    <w:rsid w:val="00631B54"/>
    <w:rsid w:val="006324EE"/>
    <w:rsid w:val="0063371A"/>
    <w:rsid w:val="006343DD"/>
    <w:rsid w:val="00634A2E"/>
    <w:rsid w:val="00634D4E"/>
    <w:rsid w:val="0063563B"/>
    <w:rsid w:val="00635C04"/>
    <w:rsid w:val="00635CCF"/>
    <w:rsid w:val="00636D9A"/>
    <w:rsid w:val="00637915"/>
    <w:rsid w:val="00637F63"/>
    <w:rsid w:val="00640121"/>
    <w:rsid w:val="00640567"/>
    <w:rsid w:val="00641249"/>
    <w:rsid w:val="00641953"/>
    <w:rsid w:val="00641A33"/>
    <w:rsid w:val="00641D07"/>
    <w:rsid w:val="00643442"/>
    <w:rsid w:val="006438E7"/>
    <w:rsid w:val="00643AB4"/>
    <w:rsid w:val="0064411B"/>
    <w:rsid w:val="00644765"/>
    <w:rsid w:val="006452C6"/>
    <w:rsid w:val="00646729"/>
    <w:rsid w:val="006471DC"/>
    <w:rsid w:val="0064741B"/>
    <w:rsid w:val="00650092"/>
    <w:rsid w:val="00650976"/>
    <w:rsid w:val="00650F92"/>
    <w:rsid w:val="00651CDF"/>
    <w:rsid w:val="00651CE6"/>
    <w:rsid w:val="00652619"/>
    <w:rsid w:val="00652EBE"/>
    <w:rsid w:val="00653CD8"/>
    <w:rsid w:val="00653FE9"/>
    <w:rsid w:val="0065411F"/>
    <w:rsid w:val="0065441D"/>
    <w:rsid w:val="0065491B"/>
    <w:rsid w:val="006554FE"/>
    <w:rsid w:val="00656302"/>
    <w:rsid w:val="00656388"/>
    <w:rsid w:val="00656636"/>
    <w:rsid w:val="00656A2D"/>
    <w:rsid w:val="006573B0"/>
    <w:rsid w:val="00660107"/>
    <w:rsid w:val="00660238"/>
    <w:rsid w:val="00660B1B"/>
    <w:rsid w:val="00661246"/>
    <w:rsid w:val="0066162C"/>
    <w:rsid w:val="00661A61"/>
    <w:rsid w:val="0066244D"/>
    <w:rsid w:val="006624A2"/>
    <w:rsid w:val="00662EFC"/>
    <w:rsid w:val="006647E7"/>
    <w:rsid w:val="006652F9"/>
    <w:rsid w:val="006661F9"/>
    <w:rsid w:val="006665E1"/>
    <w:rsid w:val="006665EB"/>
    <w:rsid w:val="00670019"/>
    <w:rsid w:val="006701B5"/>
    <w:rsid w:val="006703B4"/>
    <w:rsid w:val="00672651"/>
    <w:rsid w:val="006748E3"/>
    <w:rsid w:val="006749B1"/>
    <w:rsid w:val="0067558E"/>
    <w:rsid w:val="00675B1E"/>
    <w:rsid w:val="00677368"/>
    <w:rsid w:val="00680F2D"/>
    <w:rsid w:val="00680F6B"/>
    <w:rsid w:val="00681112"/>
    <w:rsid w:val="00681EB6"/>
    <w:rsid w:val="006826A3"/>
    <w:rsid w:val="00682B20"/>
    <w:rsid w:val="00682C12"/>
    <w:rsid w:val="006855A4"/>
    <w:rsid w:val="006858A3"/>
    <w:rsid w:val="00686189"/>
    <w:rsid w:val="006861B3"/>
    <w:rsid w:val="0068643A"/>
    <w:rsid w:val="00686476"/>
    <w:rsid w:val="0068798C"/>
    <w:rsid w:val="0069028E"/>
    <w:rsid w:val="00690B1A"/>
    <w:rsid w:val="00690FCB"/>
    <w:rsid w:val="00691629"/>
    <w:rsid w:val="00691812"/>
    <w:rsid w:val="006924F8"/>
    <w:rsid w:val="006928D0"/>
    <w:rsid w:val="00692ADF"/>
    <w:rsid w:val="006935D5"/>
    <w:rsid w:val="006935D8"/>
    <w:rsid w:val="0069470F"/>
    <w:rsid w:val="006949DD"/>
    <w:rsid w:val="00695C47"/>
    <w:rsid w:val="006973DF"/>
    <w:rsid w:val="0069753E"/>
    <w:rsid w:val="006A07E6"/>
    <w:rsid w:val="006A0E7F"/>
    <w:rsid w:val="006A0EC9"/>
    <w:rsid w:val="006A2404"/>
    <w:rsid w:val="006A272A"/>
    <w:rsid w:val="006A2AFA"/>
    <w:rsid w:val="006A2F6A"/>
    <w:rsid w:val="006A3059"/>
    <w:rsid w:val="006A30D4"/>
    <w:rsid w:val="006A3DE1"/>
    <w:rsid w:val="006A4272"/>
    <w:rsid w:val="006A4BB0"/>
    <w:rsid w:val="006A4D6B"/>
    <w:rsid w:val="006A5C36"/>
    <w:rsid w:val="006A6040"/>
    <w:rsid w:val="006A6644"/>
    <w:rsid w:val="006A6A50"/>
    <w:rsid w:val="006A6A54"/>
    <w:rsid w:val="006A6F1E"/>
    <w:rsid w:val="006A7945"/>
    <w:rsid w:val="006A7A10"/>
    <w:rsid w:val="006A7C1A"/>
    <w:rsid w:val="006B0BD8"/>
    <w:rsid w:val="006B16B6"/>
    <w:rsid w:val="006B2663"/>
    <w:rsid w:val="006B3213"/>
    <w:rsid w:val="006B4227"/>
    <w:rsid w:val="006B4B7F"/>
    <w:rsid w:val="006B53B3"/>
    <w:rsid w:val="006B54DE"/>
    <w:rsid w:val="006B5AFA"/>
    <w:rsid w:val="006B625D"/>
    <w:rsid w:val="006B6331"/>
    <w:rsid w:val="006B679A"/>
    <w:rsid w:val="006B6837"/>
    <w:rsid w:val="006B761C"/>
    <w:rsid w:val="006B7A76"/>
    <w:rsid w:val="006B7E51"/>
    <w:rsid w:val="006C1015"/>
    <w:rsid w:val="006C11D3"/>
    <w:rsid w:val="006C1668"/>
    <w:rsid w:val="006C1A10"/>
    <w:rsid w:val="006C21E1"/>
    <w:rsid w:val="006C28FA"/>
    <w:rsid w:val="006C2E2B"/>
    <w:rsid w:val="006C2F2A"/>
    <w:rsid w:val="006C32B4"/>
    <w:rsid w:val="006C354A"/>
    <w:rsid w:val="006C38E3"/>
    <w:rsid w:val="006C3BF4"/>
    <w:rsid w:val="006C41D4"/>
    <w:rsid w:val="006C458B"/>
    <w:rsid w:val="006C4CEA"/>
    <w:rsid w:val="006C4F36"/>
    <w:rsid w:val="006C51B1"/>
    <w:rsid w:val="006C5312"/>
    <w:rsid w:val="006D0789"/>
    <w:rsid w:val="006D13E5"/>
    <w:rsid w:val="006D1413"/>
    <w:rsid w:val="006D2685"/>
    <w:rsid w:val="006D2B31"/>
    <w:rsid w:val="006D374A"/>
    <w:rsid w:val="006D3ABF"/>
    <w:rsid w:val="006D3DCC"/>
    <w:rsid w:val="006D5363"/>
    <w:rsid w:val="006D6855"/>
    <w:rsid w:val="006D7958"/>
    <w:rsid w:val="006E05A6"/>
    <w:rsid w:val="006E0844"/>
    <w:rsid w:val="006E0E87"/>
    <w:rsid w:val="006E1784"/>
    <w:rsid w:val="006E1D5A"/>
    <w:rsid w:val="006E1FE5"/>
    <w:rsid w:val="006E52BE"/>
    <w:rsid w:val="006E57D0"/>
    <w:rsid w:val="006E57D2"/>
    <w:rsid w:val="006E5819"/>
    <w:rsid w:val="006E6498"/>
    <w:rsid w:val="006E6BCF"/>
    <w:rsid w:val="006E7DE9"/>
    <w:rsid w:val="006F01B8"/>
    <w:rsid w:val="006F0256"/>
    <w:rsid w:val="006F0A60"/>
    <w:rsid w:val="006F0BF7"/>
    <w:rsid w:val="006F1661"/>
    <w:rsid w:val="006F1C99"/>
    <w:rsid w:val="006F1D88"/>
    <w:rsid w:val="006F2C5B"/>
    <w:rsid w:val="006F3A36"/>
    <w:rsid w:val="006F3BB2"/>
    <w:rsid w:val="006F4614"/>
    <w:rsid w:val="006F5D80"/>
    <w:rsid w:val="006F61E9"/>
    <w:rsid w:val="006F686C"/>
    <w:rsid w:val="006F6C15"/>
    <w:rsid w:val="006F7FB5"/>
    <w:rsid w:val="007009B9"/>
    <w:rsid w:val="00700B55"/>
    <w:rsid w:val="00700BAD"/>
    <w:rsid w:val="0070134E"/>
    <w:rsid w:val="00702231"/>
    <w:rsid w:val="007030B8"/>
    <w:rsid w:val="0070350D"/>
    <w:rsid w:val="0070368B"/>
    <w:rsid w:val="00703ADF"/>
    <w:rsid w:val="007045EA"/>
    <w:rsid w:val="00706202"/>
    <w:rsid w:val="00706E3D"/>
    <w:rsid w:val="007100ED"/>
    <w:rsid w:val="0071019E"/>
    <w:rsid w:val="00710519"/>
    <w:rsid w:val="0071072E"/>
    <w:rsid w:val="00710928"/>
    <w:rsid w:val="007110FD"/>
    <w:rsid w:val="00711799"/>
    <w:rsid w:val="00712168"/>
    <w:rsid w:val="007124C8"/>
    <w:rsid w:val="00712542"/>
    <w:rsid w:val="007126D5"/>
    <w:rsid w:val="007127DC"/>
    <w:rsid w:val="0071308F"/>
    <w:rsid w:val="007134FB"/>
    <w:rsid w:val="00714D7E"/>
    <w:rsid w:val="00715C52"/>
    <w:rsid w:val="0071609C"/>
    <w:rsid w:val="00716331"/>
    <w:rsid w:val="00716F3C"/>
    <w:rsid w:val="00721338"/>
    <w:rsid w:val="00721799"/>
    <w:rsid w:val="00722100"/>
    <w:rsid w:val="00722A2D"/>
    <w:rsid w:val="00722CD1"/>
    <w:rsid w:val="007232B5"/>
    <w:rsid w:val="007233D3"/>
    <w:rsid w:val="00723713"/>
    <w:rsid w:val="0072380D"/>
    <w:rsid w:val="007239EF"/>
    <w:rsid w:val="0072473A"/>
    <w:rsid w:val="00724A2D"/>
    <w:rsid w:val="00724A8D"/>
    <w:rsid w:val="00725194"/>
    <w:rsid w:val="007253DF"/>
    <w:rsid w:val="00730EF5"/>
    <w:rsid w:val="00730F11"/>
    <w:rsid w:val="007312D9"/>
    <w:rsid w:val="00732367"/>
    <w:rsid w:val="00732CA4"/>
    <w:rsid w:val="0073318F"/>
    <w:rsid w:val="0073351C"/>
    <w:rsid w:val="00733ADA"/>
    <w:rsid w:val="00733AFD"/>
    <w:rsid w:val="00733C71"/>
    <w:rsid w:val="00735B90"/>
    <w:rsid w:val="00735CD4"/>
    <w:rsid w:val="007361E8"/>
    <w:rsid w:val="00736C45"/>
    <w:rsid w:val="0073782F"/>
    <w:rsid w:val="00737877"/>
    <w:rsid w:val="00737B96"/>
    <w:rsid w:val="00740EEF"/>
    <w:rsid w:val="00741860"/>
    <w:rsid w:val="00741A7E"/>
    <w:rsid w:val="00742674"/>
    <w:rsid w:val="00742A63"/>
    <w:rsid w:val="00742CEA"/>
    <w:rsid w:val="0074338E"/>
    <w:rsid w:val="0074343E"/>
    <w:rsid w:val="00743561"/>
    <w:rsid w:val="00743721"/>
    <w:rsid w:val="00743749"/>
    <w:rsid w:val="00743876"/>
    <w:rsid w:val="007446A8"/>
    <w:rsid w:val="007469AA"/>
    <w:rsid w:val="00746CB8"/>
    <w:rsid w:val="00746FF3"/>
    <w:rsid w:val="00747389"/>
    <w:rsid w:val="00747798"/>
    <w:rsid w:val="0075017F"/>
    <w:rsid w:val="0075088A"/>
    <w:rsid w:val="00750992"/>
    <w:rsid w:val="00752885"/>
    <w:rsid w:val="00753474"/>
    <w:rsid w:val="0075527A"/>
    <w:rsid w:val="007558E1"/>
    <w:rsid w:val="0075607D"/>
    <w:rsid w:val="00757209"/>
    <w:rsid w:val="007607DB"/>
    <w:rsid w:val="00760856"/>
    <w:rsid w:val="00760BF3"/>
    <w:rsid w:val="00760D9D"/>
    <w:rsid w:val="00762421"/>
    <w:rsid w:val="007625E0"/>
    <w:rsid w:val="00763270"/>
    <w:rsid w:val="0076393B"/>
    <w:rsid w:val="00763E63"/>
    <w:rsid w:val="007642F4"/>
    <w:rsid w:val="007649B5"/>
    <w:rsid w:val="00764A2C"/>
    <w:rsid w:val="0076591E"/>
    <w:rsid w:val="00765BD4"/>
    <w:rsid w:val="00770686"/>
    <w:rsid w:val="007706E8"/>
    <w:rsid w:val="00772CCF"/>
    <w:rsid w:val="00772D33"/>
    <w:rsid w:val="00774381"/>
    <w:rsid w:val="00774634"/>
    <w:rsid w:val="00774F6B"/>
    <w:rsid w:val="007755BA"/>
    <w:rsid w:val="00775885"/>
    <w:rsid w:val="00776FB1"/>
    <w:rsid w:val="0077742B"/>
    <w:rsid w:val="007774A5"/>
    <w:rsid w:val="00777AB5"/>
    <w:rsid w:val="007802F0"/>
    <w:rsid w:val="0078139F"/>
    <w:rsid w:val="00782C36"/>
    <w:rsid w:val="00783533"/>
    <w:rsid w:val="00783DEE"/>
    <w:rsid w:val="00784471"/>
    <w:rsid w:val="00786572"/>
    <w:rsid w:val="00786E20"/>
    <w:rsid w:val="0078702F"/>
    <w:rsid w:val="007879CF"/>
    <w:rsid w:val="00787DD7"/>
    <w:rsid w:val="0079009A"/>
    <w:rsid w:val="00790289"/>
    <w:rsid w:val="00790BEF"/>
    <w:rsid w:val="0079151F"/>
    <w:rsid w:val="00791EFD"/>
    <w:rsid w:val="00792C16"/>
    <w:rsid w:val="00792C79"/>
    <w:rsid w:val="00792F48"/>
    <w:rsid w:val="00793169"/>
    <w:rsid w:val="00794963"/>
    <w:rsid w:val="00794F6C"/>
    <w:rsid w:val="00796629"/>
    <w:rsid w:val="00796DFF"/>
    <w:rsid w:val="00797E07"/>
    <w:rsid w:val="007A0030"/>
    <w:rsid w:val="007A0131"/>
    <w:rsid w:val="007A0795"/>
    <w:rsid w:val="007A0D49"/>
    <w:rsid w:val="007A211F"/>
    <w:rsid w:val="007A2241"/>
    <w:rsid w:val="007A30A8"/>
    <w:rsid w:val="007A30B7"/>
    <w:rsid w:val="007A30FC"/>
    <w:rsid w:val="007A3191"/>
    <w:rsid w:val="007A382A"/>
    <w:rsid w:val="007A3887"/>
    <w:rsid w:val="007A444E"/>
    <w:rsid w:val="007A4540"/>
    <w:rsid w:val="007A5A24"/>
    <w:rsid w:val="007A7A8E"/>
    <w:rsid w:val="007A7D95"/>
    <w:rsid w:val="007B0CA4"/>
    <w:rsid w:val="007B1870"/>
    <w:rsid w:val="007B1BD6"/>
    <w:rsid w:val="007B1F75"/>
    <w:rsid w:val="007B2353"/>
    <w:rsid w:val="007B26DF"/>
    <w:rsid w:val="007B2E5D"/>
    <w:rsid w:val="007B3A52"/>
    <w:rsid w:val="007B472A"/>
    <w:rsid w:val="007B48A2"/>
    <w:rsid w:val="007B48A8"/>
    <w:rsid w:val="007B4ED5"/>
    <w:rsid w:val="007B5693"/>
    <w:rsid w:val="007B64F3"/>
    <w:rsid w:val="007B6BBF"/>
    <w:rsid w:val="007B7672"/>
    <w:rsid w:val="007B790B"/>
    <w:rsid w:val="007B794C"/>
    <w:rsid w:val="007B7EBE"/>
    <w:rsid w:val="007C0705"/>
    <w:rsid w:val="007C0D86"/>
    <w:rsid w:val="007C0EE4"/>
    <w:rsid w:val="007C0F2B"/>
    <w:rsid w:val="007C1DFC"/>
    <w:rsid w:val="007C2C96"/>
    <w:rsid w:val="007C2DC2"/>
    <w:rsid w:val="007C4193"/>
    <w:rsid w:val="007C41CC"/>
    <w:rsid w:val="007C4917"/>
    <w:rsid w:val="007C4B31"/>
    <w:rsid w:val="007C65C5"/>
    <w:rsid w:val="007C68DE"/>
    <w:rsid w:val="007C6F02"/>
    <w:rsid w:val="007C722B"/>
    <w:rsid w:val="007C767F"/>
    <w:rsid w:val="007D00A2"/>
    <w:rsid w:val="007D018F"/>
    <w:rsid w:val="007D0C6A"/>
    <w:rsid w:val="007D12A2"/>
    <w:rsid w:val="007D1B60"/>
    <w:rsid w:val="007D1EDE"/>
    <w:rsid w:val="007D2354"/>
    <w:rsid w:val="007D236B"/>
    <w:rsid w:val="007D25D3"/>
    <w:rsid w:val="007D2CC5"/>
    <w:rsid w:val="007D3450"/>
    <w:rsid w:val="007D38B4"/>
    <w:rsid w:val="007D3956"/>
    <w:rsid w:val="007D52FF"/>
    <w:rsid w:val="007D5B12"/>
    <w:rsid w:val="007D6B20"/>
    <w:rsid w:val="007D7135"/>
    <w:rsid w:val="007D72E9"/>
    <w:rsid w:val="007D7789"/>
    <w:rsid w:val="007D7857"/>
    <w:rsid w:val="007D7D39"/>
    <w:rsid w:val="007E0B21"/>
    <w:rsid w:val="007E3D74"/>
    <w:rsid w:val="007E3D93"/>
    <w:rsid w:val="007E412A"/>
    <w:rsid w:val="007E4826"/>
    <w:rsid w:val="007E48C1"/>
    <w:rsid w:val="007E4C30"/>
    <w:rsid w:val="007E4C95"/>
    <w:rsid w:val="007E5639"/>
    <w:rsid w:val="007E5858"/>
    <w:rsid w:val="007E5DF9"/>
    <w:rsid w:val="007E679E"/>
    <w:rsid w:val="007E7203"/>
    <w:rsid w:val="007E7692"/>
    <w:rsid w:val="007E7763"/>
    <w:rsid w:val="007E7A80"/>
    <w:rsid w:val="007F26D6"/>
    <w:rsid w:val="007F2960"/>
    <w:rsid w:val="007F2F57"/>
    <w:rsid w:val="007F3736"/>
    <w:rsid w:val="007F3B80"/>
    <w:rsid w:val="007F3CCB"/>
    <w:rsid w:val="007F3E65"/>
    <w:rsid w:val="007F4D6B"/>
    <w:rsid w:val="007F52CF"/>
    <w:rsid w:val="007F52D9"/>
    <w:rsid w:val="007F6288"/>
    <w:rsid w:val="007F76FC"/>
    <w:rsid w:val="00800216"/>
    <w:rsid w:val="008006AF"/>
    <w:rsid w:val="0080089C"/>
    <w:rsid w:val="00800DBE"/>
    <w:rsid w:val="008011C1"/>
    <w:rsid w:val="008011F0"/>
    <w:rsid w:val="008020E3"/>
    <w:rsid w:val="00802BCF"/>
    <w:rsid w:val="00802C9F"/>
    <w:rsid w:val="00802F34"/>
    <w:rsid w:val="008031B9"/>
    <w:rsid w:val="00803541"/>
    <w:rsid w:val="0080425B"/>
    <w:rsid w:val="0080487B"/>
    <w:rsid w:val="00804BA9"/>
    <w:rsid w:val="00804D76"/>
    <w:rsid w:val="00805C09"/>
    <w:rsid w:val="00805C6C"/>
    <w:rsid w:val="00805C8F"/>
    <w:rsid w:val="0080646E"/>
    <w:rsid w:val="00806501"/>
    <w:rsid w:val="00807367"/>
    <w:rsid w:val="008076F2"/>
    <w:rsid w:val="00810079"/>
    <w:rsid w:val="00810E4B"/>
    <w:rsid w:val="00811466"/>
    <w:rsid w:val="008116B3"/>
    <w:rsid w:val="00812644"/>
    <w:rsid w:val="008126AE"/>
    <w:rsid w:val="00812E52"/>
    <w:rsid w:val="00813060"/>
    <w:rsid w:val="00814333"/>
    <w:rsid w:val="00815307"/>
    <w:rsid w:val="00815E89"/>
    <w:rsid w:val="00816C1F"/>
    <w:rsid w:val="00817353"/>
    <w:rsid w:val="008179F1"/>
    <w:rsid w:val="00817A2D"/>
    <w:rsid w:val="00817B43"/>
    <w:rsid w:val="00817DC9"/>
    <w:rsid w:val="00820B26"/>
    <w:rsid w:val="00820B43"/>
    <w:rsid w:val="00820C70"/>
    <w:rsid w:val="008238FC"/>
    <w:rsid w:val="00823A79"/>
    <w:rsid w:val="00823FC0"/>
    <w:rsid w:val="0082409D"/>
    <w:rsid w:val="008245FE"/>
    <w:rsid w:val="008246FB"/>
    <w:rsid w:val="00824862"/>
    <w:rsid w:val="00824A2B"/>
    <w:rsid w:val="00824B8B"/>
    <w:rsid w:val="00825169"/>
    <w:rsid w:val="008253D5"/>
    <w:rsid w:val="008255A7"/>
    <w:rsid w:val="0082595C"/>
    <w:rsid w:val="00825B32"/>
    <w:rsid w:val="0082614D"/>
    <w:rsid w:val="008263DC"/>
    <w:rsid w:val="008265B0"/>
    <w:rsid w:val="0082681A"/>
    <w:rsid w:val="00826881"/>
    <w:rsid w:val="0082717E"/>
    <w:rsid w:val="00830B94"/>
    <w:rsid w:val="00831282"/>
    <w:rsid w:val="00831523"/>
    <w:rsid w:val="00831CA1"/>
    <w:rsid w:val="00833111"/>
    <w:rsid w:val="0083327E"/>
    <w:rsid w:val="008338C6"/>
    <w:rsid w:val="00833CDA"/>
    <w:rsid w:val="00834502"/>
    <w:rsid w:val="00834B8E"/>
    <w:rsid w:val="00836799"/>
    <w:rsid w:val="008369E1"/>
    <w:rsid w:val="00836A1D"/>
    <w:rsid w:val="008371A3"/>
    <w:rsid w:val="00837B3F"/>
    <w:rsid w:val="00837D23"/>
    <w:rsid w:val="00840E8B"/>
    <w:rsid w:val="008410C1"/>
    <w:rsid w:val="00841210"/>
    <w:rsid w:val="00841369"/>
    <w:rsid w:val="008415AF"/>
    <w:rsid w:val="008415FF"/>
    <w:rsid w:val="0084161E"/>
    <w:rsid w:val="00841C7E"/>
    <w:rsid w:val="00841F5E"/>
    <w:rsid w:val="00842105"/>
    <w:rsid w:val="00842437"/>
    <w:rsid w:val="00842851"/>
    <w:rsid w:val="008435B1"/>
    <w:rsid w:val="008436F1"/>
    <w:rsid w:val="00843AD6"/>
    <w:rsid w:val="00843D38"/>
    <w:rsid w:val="00843FA0"/>
    <w:rsid w:val="00844820"/>
    <w:rsid w:val="00845093"/>
    <w:rsid w:val="008453C7"/>
    <w:rsid w:val="00845509"/>
    <w:rsid w:val="00845B7E"/>
    <w:rsid w:val="00845C67"/>
    <w:rsid w:val="00846881"/>
    <w:rsid w:val="008472A5"/>
    <w:rsid w:val="00847AF1"/>
    <w:rsid w:val="00850029"/>
    <w:rsid w:val="008504D6"/>
    <w:rsid w:val="008535E9"/>
    <w:rsid w:val="00854279"/>
    <w:rsid w:val="0085533C"/>
    <w:rsid w:val="00856A45"/>
    <w:rsid w:val="00857FFB"/>
    <w:rsid w:val="00861CB6"/>
    <w:rsid w:val="008624A5"/>
    <w:rsid w:val="008630E0"/>
    <w:rsid w:val="008632F9"/>
    <w:rsid w:val="0086406E"/>
    <w:rsid w:val="008641B7"/>
    <w:rsid w:val="00864E75"/>
    <w:rsid w:val="00864EFB"/>
    <w:rsid w:val="0086576E"/>
    <w:rsid w:val="00867FFD"/>
    <w:rsid w:val="00870135"/>
    <w:rsid w:val="00871C6A"/>
    <w:rsid w:val="008734F6"/>
    <w:rsid w:val="00874DEC"/>
    <w:rsid w:val="0087504C"/>
    <w:rsid w:val="008756EE"/>
    <w:rsid w:val="00876432"/>
    <w:rsid w:val="008767B9"/>
    <w:rsid w:val="00877C54"/>
    <w:rsid w:val="00880004"/>
    <w:rsid w:val="00880154"/>
    <w:rsid w:val="008806E3"/>
    <w:rsid w:val="00880F42"/>
    <w:rsid w:val="00881789"/>
    <w:rsid w:val="00884260"/>
    <w:rsid w:val="008846D7"/>
    <w:rsid w:val="0088472D"/>
    <w:rsid w:val="00884E59"/>
    <w:rsid w:val="00885740"/>
    <w:rsid w:val="00885D98"/>
    <w:rsid w:val="00886044"/>
    <w:rsid w:val="00886649"/>
    <w:rsid w:val="00886AA9"/>
    <w:rsid w:val="00886C0C"/>
    <w:rsid w:val="0088734B"/>
    <w:rsid w:val="00887B1A"/>
    <w:rsid w:val="00887ED2"/>
    <w:rsid w:val="0089071C"/>
    <w:rsid w:val="00890FD1"/>
    <w:rsid w:val="0089148E"/>
    <w:rsid w:val="008916D0"/>
    <w:rsid w:val="00892BB6"/>
    <w:rsid w:val="00893D8F"/>
    <w:rsid w:val="008957F7"/>
    <w:rsid w:val="0089643C"/>
    <w:rsid w:val="00896F0F"/>
    <w:rsid w:val="00897073"/>
    <w:rsid w:val="00897A90"/>
    <w:rsid w:val="008A0312"/>
    <w:rsid w:val="008A0FBA"/>
    <w:rsid w:val="008A12CA"/>
    <w:rsid w:val="008A1E0F"/>
    <w:rsid w:val="008A2D7F"/>
    <w:rsid w:val="008A3221"/>
    <w:rsid w:val="008A322E"/>
    <w:rsid w:val="008A32BA"/>
    <w:rsid w:val="008A43D4"/>
    <w:rsid w:val="008A4925"/>
    <w:rsid w:val="008A557C"/>
    <w:rsid w:val="008A577A"/>
    <w:rsid w:val="008A5AD6"/>
    <w:rsid w:val="008A5ADC"/>
    <w:rsid w:val="008A5DBD"/>
    <w:rsid w:val="008A5DF9"/>
    <w:rsid w:val="008A6AD2"/>
    <w:rsid w:val="008B03DB"/>
    <w:rsid w:val="008B0CCD"/>
    <w:rsid w:val="008B11C9"/>
    <w:rsid w:val="008B1CAD"/>
    <w:rsid w:val="008B1E44"/>
    <w:rsid w:val="008B250A"/>
    <w:rsid w:val="008B27BC"/>
    <w:rsid w:val="008B3971"/>
    <w:rsid w:val="008B3DC5"/>
    <w:rsid w:val="008B3EE5"/>
    <w:rsid w:val="008B41B8"/>
    <w:rsid w:val="008B42E4"/>
    <w:rsid w:val="008B4A7E"/>
    <w:rsid w:val="008B4E11"/>
    <w:rsid w:val="008B4F5B"/>
    <w:rsid w:val="008B545D"/>
    <w:rsid w:val="008B5935"/>
    <w:rsid w:val="008B6082"/>
    <w:rsid w:val="008B6438"/>
    <w:rsid w:val="008B6455"/>
    <w:rsid w:val="008B69CA"/>
    <w:rsid w:val="008B6D2E"/>
    <w:rsid w:val="008B6EE6"/>
    <w:rsid w:val="008B7397"/>
    <w:rsid w:val="008B7ED6"/>
    <w:rsid w:val="008C000B"/>
    <w:rsid w:val="008C0261"/>
    <w:rsid w:val="008C0428"/>
    <w:rsid w:val="008C05F7"/>
    <w:rsid w:val="008C06A2"/>
    <w:rsid w:val="008C0A56"/>
    <w:rsid w:val="008C1A36"/>
    <w:rsid w:val="008C2676"/>
    <w:rsid w:val="008C27D1"/>
    <w:rsid w:val="008C2C9E"/>
    <w:rsid w:val="008C420B"/>
    <w:rsid w:val="008C4466"/>
    <w:rsid w:val="008C5D84"/>
    <w:rsid w:val="008C5F37"/>
    <w:rsid w:val="008C6290"/>
    <w:rsid w:val="008C6A06"/>
    <w:rsid w:val="008C6AFB"/>
    <w:rsid w:val="008C6EDB"/>
    <w:rsid w:val="008D0244"/>
    <w:rsid w:val="008D0ECE"/>
    <w:rsid w:val="008D1070"/>
    <w:rsid w:val="008D28F9"/>
    <w:rsid w:val="008D33CF"/>
    <w:rsid w:val="008D3452"/>
    <w:rsid w:val="008D39B3"/>
    <w:rsid w:val="008D3E5F"/>
    <w:rsid w:val="008D49BF"/>
    <w:rsid w:val="008D4C34"/>
    <w:rsid w:val="008D4CAA"/>
    <w:rsid w:val="008D6020"/>
    <w:rsid w:val="008D6EBF"/>
    <w:rsid w:val="008E010B"/>
    <w:rsid w:val="008E0256"/>
    <w:rsid w:val="008E093E"/>
    <w:rsid w:val="008E0F79"/>
    <w:rsid w:val="008E1135"/>
    <w:rsid w:val="008E13BE"/>
    <w:rsid w:val="008E197A"/>
    <w:rsid w:val="008E1C85"/>
    <w:rsid w:val="008E35F1"/>
    <w:rsid w:val="008E365B"/>
    <w:rsid w:val="008E39B3"/>
    <w:rsid w:val="008E5CB5"/>
    <w:rsid w:val="008E608F"/>
    <w:rsid w:val="008E62E9"/>
    <w:rsid w:val="008E6530"/>
    <w:rsid w:val="008F0205"/>
    <w:rsid w:val="008F0824"/>
    <w:rsid w:val="008F0EDC"/>
    <w:rsid w:val="008F1B27"/>
    <w:rsid w:val="008F24B3"/>
    <w:rsid w:val="008F2611"/>
    <w:rsid w:val="008F26C0"/>
    <w:rsid w:val="008F2835"/>
    <w:rsid w:val="008F2A77"/>
    <w:rsid w:val="008F3D70"/>
    <w:rsid w:val="008F51A5"/>
    <w:rsid w:val="008F552B"/>
    <w:rsid w:val="008F579C"/>
    <w:rsid w:val="008F583F"/>
    <w:rsid w:val="008F5D7B"/>
    <w:rsid w:val="00900E56"/>
    <w:rsid w:val="0090125F"/>
    <w:rsid w:val="00901319"/>
    <w:rsid w:val="009021D5"/>
    <w:rsid w:val="00903AA4"/>
    <w:rsid w:val="00903C95"/>
    <w:rsid w:val="009047BE"/>
    <w:rsid w:val="00904BA0"/>
    <w:rsid w:val="0090525B"/>
    <w:rsid w:val="00905EA4"/>
    <w:rsid w:val="00906119"/>
    <w:rsid w:val="00906564"/>
    <w:rsid w:val="00906653"/>
    <w:rsid w:val="00906C63"/>
    <w:rsid w:val="00906F7C"/>
    <w:rsid w:val="0090795C"/>
    <w:rsid w:val="00907AC8"/>
    <w:rsid w:val="00907C10"/>
    <w:rsid w:val="00907D0F"/>
    <w:rsid w:val="00907E6D"/>
    <w:rsid w:val="009102DC"/>
    <w:rsid w:val="00910DF8"/>
    <w:rsid w:val="0091151D"/>
    <w:rsid w:val="0091172F"/>
    <w:rsid w:val="009137A2"/>
    <w:rsid w:val="00913AC7"/>
    <w:rsid w:val="00913BEA"/>
    <w:rsid w:val="00913C9E"/>
    <w:rsid w:val="009143B5"/>
    <w:rsid w:val="0091634F"/>
    <w:rsid w:val="0091702C"/>
    <w:rsid w:val="009170E5"/>
    <w:rsid w:val="00917961"/>
    <w:rsid w:val="00917C8B"/>
    <w:rsid w:val="00917F08"/>
    <w:rsid w:val="00920360"/>
    <w:rsid w:val="009206AF"/>
    <w:rsid w:val="00920B71"/>
    <w:rsid w:val="00920DCA"/>
    <w:rsid w:val="00921344"/>
    <w:rsid w:val="00922531"/>
    <w:rsid w:val="0092320D"/>
    <w:rsid w:val="009236FF"/>
    <w:rsid w:val="0092421E"/>
    <w:rsid w:val="00924F8B"/>
    <w:rsid w:val="00925285"/>
    <w:rsid w:val="00925662"/>
    <w:rsid w:val="00925BBC"/>
    <w:rsid w:val="00926879"/>
    <w:rsid w:val="009316FF"/>
    <w:rsid w:val="00931A30"/>
    <w:rsid w:val="009321F8"/>
    <w:rsid w:val="009324A4"/>
    <w:rsid w:val="00932790"/>
    <w:rsid w:val="00932B43"/>
    <w:rsid w:val="00932B83"/>
    <w:rsid w:val="00932B89"/>
    <w:rsid w:val="00932C8D"/>
    <w:rsid w:val="009331FA"/>
    <w:rsid w:val="00933563"/>
    <w:rsid w:val="00933D7D"/>
    <w:rsid w:val="0093462F"/>
    <w:rsid w:val="00934966"/>
    <w:rsid w:val="00934A09"/>
    <w:rsid w:val="00935758"/>
    <w:rsid w:val="00936692"/>
    <w:rsid w:val="00937270"/>
    <w:rsid w:val="009372B8"/>
    <w:rsid w:val="009378FE"/>
    <w:rsid w:val="00937C8A"/>
    <w:rsid w:val="00940DC7"/>
    <w:rsid w:val="00941482"/>
    <w:rsid w:val="0094162F"/>
    <w:rsid w:val="009418E2"/>
    <w:rsid w:val="00942396"/>
    <w:rsid w:val="00943853"/>
    <w:rsid w:val="00946505"/>
    <w:rsid w:val="0094690B"/>
    <w:rsid w:val="00947A0F"/>
    <w:rsid w:val="009502CC"/>
    <w:rsid w:val="00950636"/>
    <w:rsid w:val="00950CA5"/>
    <w:rsid w:val="00951881"/>
    <w:rsid w:val="00952449"/>
    <w:rsid w:val="00952B72"/>
    <w:rsid w:val="00953758"/>
    <w:rsid w:val="00953ED6"/>
    <w:rsid w:val="0095414E"/>
    <w:rsid w:val="009543E6"/>
    <w:rsid w:val="00954E5E"/>
    <w:rsid w:val="00954F29"/>
    <w:rsid w:val="00955088"/>
    <w:rsid w:val="009551D2"/>
    <w:rsid w:val="009555E0"/>
    <w:rsid w:val="009559E0"/>
    <w:rsid w:val="00955BCF"/>
    <w:rsid w:val="00955D82"/>
    <w:rsid w:val="00956205"/>
    <w:rsid w:val="009566BE"/>
    <w:rsid w:val="009570B3"/>
    <w:rsid w:val="0095723B"/>
    <w:rsid w:val="009578D2"/>
    <w:rsid w:val="00957F23"/>
    <w:rsid w:val="009616CA"/>
    <w:rsid w:val="009616E3"/>
    <w:rsid w:val="00962C04"/>
    <w:rsid w:val="00963368"/>
    <w:rsid w:val="00963C6B"/>
    <w:rsid w:val="00963E17"/>
    <w:rsid w:val="00964CD5"/>
    <w:rsid w:val="009657B0"/>
    <w:rsid w:val="009665C9"/>
    <w:rsid w:val="009666BD"/>
    <w:rsid w:val="0096678A"/>
    <w:rsid w:val="00966814"/>
    <w:rsid w:val="00966E1E"/>
    <w:rsid w:val="00967483"/>
    <w:rsid w:val="00967B63"/>
    <w:rsid w:val="0097009A"/>
    <w:rsid w:val="00970128"/>
    <w:rsid w:val="0097018F"/>
    <w:rsid w:val="00970686"/>
    <w:rsid w:val="0097093C"/>
    <w:rsid w:val="00970C43"/>
    <w:rsid w:val="00971E4D"/>
    <w:rsid w:val="00972117"/>
    <w:rsid w:val="00972392"/>
    <w:rsid w:val="00972C3C"/>
    <w:rsid w:val="00972DCB"/>
    <w:rsid w:val="009731B6"/>
    <w:rsid w:val="0097413C"/>
    <w:rsid w:val="00974969"/>
    <w:rsid w:val="00975286"/>
    <w:rsid w:val="00975BB1"/>
    <w:rsid w:val="00975D41"/>
    <w:rsid w:val="00975DBE"/>
    <w:rsid w:val="009767A5"/>
    <w:rsid w:val="00976CFC"/>
    <w:rsid w:val="00976F27"/>
    <w:rsid w:val="00976FAA"/>
    <w:rsid w:val="009778AF"/>
    <w:rsid w:val="009807F4"/>
    <w:rsid w:val="00980C43"/>
    <w:rsid w:val="00981A84"/>
    <w:rsid w:val="00981E5D"/>
    <w:rsid w:val="009827C3"/>
    <w:rsid w:val="0098285B"/>
    <w:rsid w:val="00982EC5"/>
    <w:rsid w:val="009832AF"/>
    <w:rsid w:val="00984085"/>
    <w:rsid w:val="0098413F"/>
    <w:rsid w:val="0098447E"/>
    <w:rsid w:val="009859B2"/>
    <w:rsid w:val="00985AAC"/>
    <w:rsid w:val="00985D97"/>
    <w:rsid w:val="00986860"/>
    <w:rsid w:val="00986B4E"/>
    <w:rsid w:val="009871C2"/>
    <w:rsid w:val="00987693"/>
    <w:rsid w:val="00990784"/>
    <w:rsid w:val="00990A3E"/>
    <w:rsid w:val="00991262"/>
    <w:rsid w:val="0099148C"/>
    <w:rsid w:val="009920B7"/>
    <w:rsid w:val="00992291"/>
    <w:rsid w:val="00993BF9"/>
    <w:rsid w:val="00993EFF"/>
    <w:rsid w:val="00993F96"/>
    <w:rsid w:val="009945EA"/>
    <w:rsid w:val="00995ABE"/>
    <w:rsid w:val="009A1570"/>
    <w:rsid w:val="009A1626"/>
    <w:rsid w:val="009A1B41"/>
    <w:rsid w:val="009A1B51"/>
    <w:rsid w:val="009A2B8B"/>
    <w:rsid w:val="009A2C46"/>
    <w:rsid w:val="009A2C88"/>
    <w:rsid w:val="009A2D30"/>
    <w:rsid w:val="009A3C51"/>
    <w:rsid w:val="009A3D19"/>
    <w:rsid w:val="009A4D2C"/>
    <w:rsid w:val="009A628E"/>
    <w:rsid w:val="009A6C14"/>
    <w:rsid w:val="009A7056"/>
    <w:rsid w:val="009B03F9"/>
    <w:rsid w:val="009B077F"/>
    <w:rsid w:val="009B0C92"/>
    <w:rsid w:val="009B0DD9"/>
    <w:rsid w:val="009B21F0"/>
    <w:rsid w:val="009B2469"/>
    <w:rsid w:val="009B26EE"/>
    <w:rsid w:val="009B28BD"/>
    <w:rsid w:val="009B2904"/>
    <w:rsid w:val="009B39A5"/>
    <w:rsid w:val="009B4994"/>
    <w:rsid w:val="009B4B31"/>
    <w:rsid w:val="009B4B38"/>
    <w:rsid w:val="009B4D5D"/>
    <w:rsid w:val="009B54FD"/>
    <w:rsid w:val="009B7772"/>
    <w:rsid w:val="009C0283"/>
    <w:rsid w:val="009C09EC"/>
    <w:rsid w:val="009C0D9A"/>
    <w:rsid w:val="009C0EF8"/>
    <w:rsid w:val="009C16E0"/>
    <w:rsid w:val="009C183E"/>
    <w:rsid w:val="009C185D"/>
    <w:rsid w:val="009C36EA"/>
    <w:rsid w:val="009C4104"/>
    <w:rsid w:val="009C41CA"/>
    <w:rsid w:val="009C44DD"/>
    <w:rsid w:val="009C4FC1"/>
    <w:rsid w:val="009C54B0"/>
    <w:rsid w:val="009C5730"/>
    <w:rsid w:val="009C70AE"/>
    <w:rsid w:val="009C7682"/>
    <w:rsid w:val="009C7787"/>
    <w:rsid w:val="009C7989"/>
    <w:rsid w:val="009D0016"/>
    <w:rsid w:val="009D0E59"/>
    <w:rsid w:val="009D12D5"/>
    <w:rsid w:val="009D1C39"/>
    <w:rsid w:val="009D20ED"/>
    <w:rsid w:val="009D2339"/>
    <w:rsid w:val="009D2B53"/>
    <w:rsid w:val="009D51BC"/>
    <w:rsid w:val="009D667F"/>
    <w:rsid w:val="009D6D87"/>
    <w:rsid w:val="009D732F"/>
    <w:rsid w:val="009D7B44"/>
    <w:rsid w:val="009E04B3"/>
    <w:rsid w:val="009E0914"/>
    <w:rsid w:val="009E0DB9"/>
    <w:rsid w:val="009E156A"/>
    <w:rsid w:val="009E1A70"/>
    <w:rsid w:val="009E1A94"/>
    <w:rsid w:val="009E1B2C"/>
    <w:rsid w:val="009E275D"/>
    <w:rsid w:val="009E2B09"/>
    <w:rsid w:val="009E3177"/>
    <w:rsid w:val="009E3370"/>
    <w:rsid w:val="009E35EE"/>
    <w:rsid w:val="009E36CC"/>
    <w:rsid w:val="009E3995"/>
    <w:rsid w:val="009E3A24"/>
    <w:rsid w:val="009E4C4E"/>
    <w:rsid w:val="009E5444"/>
    <w:rsid w:val="009E5893"/>
    <w:rsid w:val="009E5BF8"/>
    <w:rsid w:val="009E5F84"/>
    <w:rsid w:val="009E6479"/>
    <w:rsid w:val="009E74B7"/>
    <w:rsid w:val="009F0B09"/>
    <w:rsid w:val="009F0CA1"/>
    <w:rsid w:val="009F19C3"/>
    <w:rsid w:val="009F1B7C"/>
    <w:rsid w:val="009F2F3F"/>
    <w:rsid w:val="009F319B"/>
    <w:rsid w:val="009F328E"/>
    <w:rsid w:val="009F363D"/>
    <w:rsid w:val="009F44ED"/>
    <w:rsid w:val="009F47C3"/>
    <w:rsid w:val="009F55AE"/>
    <w:rsid w:val="009F5652"/>
    <w:rsid w:val="009F5ADC"/>
    <w:rsid w:val="009F6012"/>
    <w:rsid w:val="009F763C"/>
    <w:rsid w:val="00A00E80"/>
    <w:rsid w:val="00A00E9F"/>
    <w:rsid w:val="00A01F6E"/>
    <w:rsid w:val="00A01FF4"/>
    <w:rsid w:val="00A0207F"/>
    <w:rsid w:val="00A03431"/>
    <w:rsid w:val="00A035FA"/>
    <w:rsid w:val="00A04023"/>
    <w:rsid w:val="00A04E40"/>
    <w:rsid w:val="00A0572E"/>
    <w:rsid w:val="00A0588A"/>
    <w:rsid w:val="00A058AE"/>
    <w:rsid w:val="00A06561"/>
    <w:rsid w:val="00A075AE"/>
    <w:rsid w:val="00A11059"/>
    <w:rsid w:val="00A1175A"/>
    <w:rsid w:val="00A127F5"/>
    <w:rsid w:val="00A128E8"/>
    <w:rsid w:val="00A13609"/>
    <w:rsid w:val="00A13CD1"/>
    <w:rsid w:val="00A14761"/>
    <w:rsid w:val="00A14E10"/>
    <w:rsid w:val="00A155E9"/>
    <w:rsid w:val="00A161AF"/>
    <w:rsid w:val="00A1622A"/>
    <w:rsid w:val="00A16DE0"/>
    <w:rsid w:val="00A16E10"/>
    <w:rsid w:val="00A16F67"/>
    <w:rsid w:val="00A17138"/>
    <w:rsid w:val="00A20302"/>
    <w:rsid w:val="00A209EE"/>
    <w:rsid w:val="00A20EC7"/>
    <w:rsid w:val="00A217B2"/>
    <w:rsid w:val="00A2246E"/>
    <w:rsid w:val="00A22EB5"/>
    <w:rsid w:val="00A231D8"/>
    <w:rsid w:val="00A236B6"/>
    <w:rsid w:val="00A23DFF"/>
    <w:rsid w:val="00A2455F"/>
    <w:rsid w:val="00A24A4C"/>
    <w:rsid w:val="00A2695F"/>
    <w:rsid w:val="00A27018"/>
    <w:rsid w:val="00A27094"/>
    <w:rsid w:val="00A27C14"/>
    <w:rsid w:val="00A27D97"/>
    <w:rsid w:val="00A27E5B"/>
    <w:rsid w:val="00A326D0"/>
    <w:rsid w:val="00A3272C"/>
    <w:rsid w:val="00A32FAA"/>
    <w:rsid w:val="00A340D8"/>
    <w:rsid w:val="00A35672"/>
    <w:rsid w:val="00A35CB4"/>
    <w:rsid w:val="00A35FE9"/>
    <w:rsid w:val="00A36037"/>
    <w:rsid w:val="00A3607B"/>
    <w:rsid w:val="00A367CA"/>
    <w:rsid w:val="00A375C5"/>
    <w:rsid w:val="00A402E0"/>
    <w:rsid w:val="00A40868"/>
    <w:rsid w:val="00A40B3C"/>
    <w:rsid w:val="00A40D3A"/>
    <w:rsid w:val="00A41D3D"/>
    <w:rsid w:val="00A42B60"/>
    <w:rsid w:val="00A439FC"/>
    <w:rsid w:val="00A447B4"/>
    <w:rsid w:val="00A45589"/>
    <w:rsid w:val="00A45606"/>
    <w:rsid w:val="00A45A01"/>
    <w:rsid w:val="00A45C24"/>
    <w:rsid w:val="00A45C6B"/>
    <w:rsid w:val="00A469BB"/>
    <w:rsid w:val="00A46F29"/>
    <w:rsid w:val="00A47DF2"/>
    <w:rsid w:val="00A47FA6"/>
    <w:rsid w:val="00A507EB"/>
    <w:rsid w:val="00A50814"/>
    <w:rsid w:val="00A509FD"/>
    <w:rsid w:val="00A50E30"/>
    <w:rsid w:val="00A51068"/>
    <w:rsid w:val="00A5229F"/>
    <w:rsid w:val="00A52ED1"/>
    <w:rsid w:val="00A5491C"/>
    <w:rsid w:val="00A549A9"/>
    <w:rsid w:val="00A54B69"/>
    <w:rsid w:val="00A551C8"/>
    <w:rsid w:val="00A5553F"/>
    <w:rsid w:val="00A558AB"/>
    <w:rsid w:val="00A56789"/>
    <w:rsid w:val="00A600BB"/>
    <w:rsid w:val="00A60DCC"/>
    <w:rsid w:val="00A619AE"/>
    <w:rsid w:val="00A62446"/>
    <w:rsid w:val="00A6269B"/>
    <w:rsid w:val="00A6270E"/>
    <w:rsid w:val="00A62912"/>
    <w:rsid w:val="00A62E11"/>
    <w:rsid w:val="00A6331F"/>
    <w:rsid w:val="00A636FB"/>
    <w:rsid w:val="00A63D03"/>
    <w:rsid w:val="00A6528D"/>
    <w:rsid w:val="00A6676C"/>
    <w:rsid w:val="00A66ACB"/>
    <w:rsid w:val="00A66B4A"/>
    <w:rsid w:val="00A66CBC"/>
    <w:rsid w:val="00A67204"/>
    <w:rsid w:val="00A67C33"/>
    <w:rsid w:val="00A707B4"/>
    <w:rsid w:val="00A70998"/>
    <w:rsid w:val="00A70F9C"/>
    <w:rsid w:val="00A71710"/>
    <w:rsid w:val="00A72175"/>
    <w:rsid w:val="00A721C4"/>
    <w:rsid w:val="00A7258E"/>
    <w:rsid w:val="00A7322B"/>
    <w:rsid w:val="00A73AB5"/>
    <w:rsid w:val="00A73BBC"/>
    <w:rsid w:val="00A73F25"/>
    <w:rsid w:val="00A74C30"/>
    <w:rsid w:val="00A7528F"/>
    <w:rsid w:val="00A753BB"/>
    <w:rsid w:val="00A76DAC"/>
    <w:rsid w:val="00A775EA"/>
    <w:rsid w:val="00A7772D"/>
    <w:rsid w:val="00A80390"/>
    <w:rsid w:val="00A80991"/>
    <w:rsid w:val="00A8119B"/>
    <w:rsid w:val="00A8145D"/>
    <w:rsid w:val="00A816C9"/>
    <w:rsid w:val="00A8226A"/>
    <w:rsid w:val="00A83821"/>
    <w:rsid w:val="00A83F3B"/>
    <w:rsid w:val="00A8448D"/>
    <w:rsid w:val="00A84585"/>
    <w:rsid w:val="00A8491D"/>
    <w:rsid w:val="00A84D37"/>
    <w:rsid w:val="00A84D3B"/>
    <w:rsid w:val="00A8578F"/>
    <w:rsid w:val="00A865FD"/>
    <w:rsid w:val="00A8665C"/>
    <w:rsid w:val="00A869A7"/>
    <w:rsid w:val="00A87D48"/>
    <w:rsid w:val="00A87E8F"/>
    <w:rsid w:val="00A87FEC"/>
    <w:rsid w:val="00A92409"/>
    <w:rsid w:val="00A92881"/>
    <w:rsid w:val="00A9330C"/>
    <w:rsid w:val="00A94DB4"/>
    <w:rsid w:val="00A94F47"/>
    <w:rsid w:val="00A9516F"/>
    <w:rsid w:val="00A95641"/>
    <w:rsid w:val="00A95B0C"/>
    <w:rsid w:val="00A968F8"/>
    <w:rsid w:val="00A97034"/>
    <w:rsid w:val="00A97424"/>
    <w:rsid w:val="00A974BC"/>
    <w:rsid w:val="00A9764C"/>
    <w:rsid w:val="00A978AF"/>
    <w:rsid w:val="00AA090C"/>
    <w:rsid w:val="00AA0D7E"/>
    <w:rsid w:val="00AA1877"/>
    <w:rsid w:val="00AA270F"/>
    <w:rsid w:val="00AA2AF8"/>
    <w:rsid w:val="00AA2F8D"/>
    <w:rsid w:val="00AA3F42"/>
    <w:rsid w:val="00AA4268"/>
    <w:rsid w:val="00AA4C81"/>
    <w:rsid w:val="00AA5159"/>
    <w:rsid w:val="00AA5ECB"/>
    <w:rsid w:val="00AA602B"/>
    <w:rsid w:val="00AA62FE"/>
    <w:rsid w:val="00AA6D70"/>
    <w:rsid w:val="00AA783D"/>
    <w:rsid w:val="00AA7CFF"/>
    <w:rsid w:val="00AB12BB"/>
    <w:rsid w:val="00AB1A10"/>
    <w:rsid w:val="00AB1DC9"/>
    <w:rsid w:val="00AB2116"/>
    <w:rsid w:val="00AB2365"/>
    <w:rsid w:val="00AB379D"/>
    <w:rsid w:val="00AB3937"/>
    <w:rsid w:val="00AB59FB"/>
    <w:rsid w:val="00AB69D1"/>
    <w:rsid w:val="00AB6BDD"/>
    <w:rsid w:val="00AB7419"/>
    <w:rsid w:val="00AB7BCC"/>
    <w:rsid w:val="00AC0304"/>
    <w:rsid w:val="00AC1433"/>
    <w:rsid w:val="00AC16B1"/>
    <w:rsid w:val="00AC1C19"/>
    <w:rsid w:val="00AC302A"/>
    <w:rsid w:val="00AC33A6"/>
    <w:rsid w:val="00AC3520"/>
    <w:rsid w:val="00AC3878"/>
    <w:rsid w:val="00AC3BFE"/>
    <w:rsid w:val="00AC3E0E"/>
    <w:rsid w:val="00AC4D60"/>
    <w:rsid w:val="00AC5525"/>
    <w:rsid w:val="00AC59CD"/>
    <w:rsid w:val="00AC5DBD"/>
    <w:rsid w:val="00AC5E11"/>
    <w:rsid w:val="00AC6172"/>
    <w:rsid w:val="00AC61B7"/>
    <w:rsid w:val="00AC716E"/>
    <w:rsid w:val="00AC7496"/>
    <w:rsid w:val="00AD0146"/>
    <w:rsid w:val="00AD0A2B"/>
    <w:rsid w:val="00AD0E48"/>
    <w:rsid w:val="00AD0F9E"/>
    <w:rsid w:val="00AD17D4"/>
    <w:rsid w:val="00AD1E0B"/>
    <w:rsid w:val="00AD1E37"/>
    <w:rsid w:val="00AD231F"/>
    <w:rsid w:val="00AD3120"/>
    <w:rsid w:val="00AD33CD"/>
    <w:rsid w:val="00AD35DF"/>
    <w:rsid w:val="00AD3A54"/>
    <w:rsid w:val="00AD3AA4"/>
    <w:rsid w:val="00AD3F9C"/>
    <w:rsid w:val="00AD4814"/>
    <w:rsid w:val="00AD4824"/>
    <w:rsid w:val="00AD50AC"/>
    <w:rsid w:val="00AD5479"/>
    <w:rsid w:val="00AD62D6"/>
    <w:rsid w:val="00AD678B"/>
    <w:rsid w:val="00AD71B2"/>
    <w:rsid w:val="00AD721D"/>
    <w:rsid w:val="00AD7903"/>
    <w:rsid w:val="00AD7904"/>
    <w:rsid w:val="00AD7A13"/>
    <w:rsid w:val="00AD7A2B"/>
    <w:rsid w:val="00AE00F2"/>
    <w:rsid w:val="00AE1207"/>
    <w:rsid w:val="00AE13A3"/>
    <w:rsid w:val="00AE150C"/>
    <w:rsid w:val="00AE1C1B"/>
    <w:rsid w:val="00AE21B0"/>
    <w:rsid w:val="00AE2A82"/>
    <w:rsid w:val="00AE2D68"/>
    <w:rsid w:val="00AE3F1A"/>
    <w:rsid w:val="00AE3F5D"/>
    <w:rsid w:val="00AE4B8A"/>
    <w:rsid w:val="00AE4DF5"/>
    <w:rsid w:val="00AE7006"/>
    <w:rsid w:val="00AE7235"/>
    <w:rsid w:val="00AE7A1E"/>
    <w:rsid w:val="00AE7B9D"/>
    <w:rsid w:val="00AE7BD1"/>
    <w:rsid w:val="00AF101C"/>
    <w:rsid w:val="00AF1353"/>
    <w:rsid w:val="00AF13DC"/>
    <w:rsid w:val="00AF1796"/>
    <w:rsid w:val="00AF1DA1"/>
    <w:rsid w:val="00AF20BC"/>
    <w:rsid w:val="00AF28FC"/>
    <w:rsid w:val="00AF2F9C"/>
    <w:rsid w:val="00AF3A3C"/>
    <w:rsid w:val="00AF4EF4"/>
    <w:rsid w:val="00AF51C6"/>
    <w:rsid w:val="00AF540C"/>
    <w:rsid w:val="00AF581D"/>
    <w:rsid w:val="00AF5A2B"/>
    <w:rsid w:val="00AF5B78"/>
    <w:rsid w:val="00AF5C04"/>
    <w:rsid w:val="00AF617A"/>
    <w:rsid w:val="00AF7B52"/>
    <w:rsid w:val="00B0022F"/>
    <w:rsid w:val="00B0063B"/>
    <w:rsid w:val="00B022F6"/>
    <w:rsid w:val="00B02CDC"/>
    <w:rsid w:val="00B03197"/>
    <w:rsid w:val="00B035C9"/>
    <w:rsid w:val="00B03C6C"/>
    <w:rsid w:val="00B04394"/>
    <w:rsid w:val="00B0554F"/>
    <w:rsid w:val="00B06A7F"/>
    <w:rsid w:val="00B06ECD"/>
    <w:rsid w:val="00B07B74"/>
    <w:rsid w:val="00B07E54"/>
    <w:rsid w:val="00B1075F"/>
    <w:rsid w:val="00B11478"/>
    <w:rsid w:val="00B11774"/>
    <w:rsid w:val="00B11C71"/>
    <w:rsid w:val="00B1255F"/>
    <w:rsid w:val="00B12753"/>
    <w:rsid w:val="00B13247"/>
    <w:rsid w:val="00B139D0"/>
    <w:rsid w:val="00B13B83"/>
    <w:rsid w:val="00B13DED"/>
    <w:rsid w:val="00B140A6"/>
    <w:rsid w:val="00B144EE"/>
    <w:rsid w:val="00B14692"/>
    <w:rsid w:val="00B146FC"/>
    <w:rsid w:val="00B14F82"/>
    <w:rsid w:val="00B15962"/>
    <w:rsid w:val="00B16162"/>
    <w:rsid w:val="00B16F43"/>
    <w:rsid w:val="00B17051"/>
    <w:rsid w:val="00B1748A"/>
    <w:rsid w:val="00B176AD"/>
    <w:rsid w:val="00B20304"/>
    <w:rsid w:val="00B2050D"/>
    <w:rsid w:val="00B207F6"/>
    <w:rsid w:val="00B20D13"/>
    <w:rsid w:val="00B21C82"/>
    <w:rsid w:val="00B23D50"/>
    <w:rsid w:val="00B23DC5"/>
    <w:rsid w:val="00B24529"/>
    <w:rsid w:val="00B2483A"/>
    <w:rsid w:val="00B24E95"/>
    <w:rsid w:val="00B25D96"/>
    <w:rsid w:val="00B26622"/>
    <w:rsid w:val="00B267A0"/>
    <w:rsid w:val="00B272BF"/>
    <w:rsid w:val="00B274EF"/>
    <w:rsid w:val="00B3038C"/>
    <w:rsid w:val="00B304B5"/>
    <w:rsid w:val="00B309C4"/>
    <w:rsid w:val="00B30E14"/>
    <w:rsid w:val="00B314D7"/>
    <w:rsid w:val="00B3187B"/>
    <w:rsid w:val="00B31A1C"/>
    <w:rsid w:val="00B320FF"/>
    <w:rsid w:val="00B338DC"/>
    <w:rsid w:val="00B33B33"/>
    <w:rsid w:val="00B33F32"/>
    <w:rsid w:val="00B341F6"/>
    <w:rsid w:val="00B342B1"/>
    <w:rsid w:val="00B34319"/>
    <w:rsid w:val="00B34DDA"/>
    <w:rsid w:val="00B35335"/>
    <w:rsid w:val="00B35989"/>
    <w:rsid w:val="00B35B01"/>
    <w:rsid w:val="00B3617E"/>
    <w:rsid w:val="00B367B5"/>
    <w:rsid w:val="00B36ABC"/>
    <w:rsid w:val="00B374A0"/>
    <w:rsid w:val="00B374B7"/>
    <w:rsid w:val="00B4093D"/>
    <w:rsid w:val="00B40B3B"/>
    <w:rsid w:val="00B42B15"/>
    <w:rsid w:val="00B42DA0"/>
    <w:rsid w:val="00B43AE9"/>
    <w:rsid w:val="00B44E4E"/>
    <w:rsid w:val="00B452F9"/>
    <w:rsid w:val="00B45641"/>
    <w:rsid w:val="00B46B62"/>
    <w:rsid w:val="00B46F36"/>
    <w:rsid w:val="00B4747D"/>
    <w:rsid w:val="00B47607"/>
    <w:rsid w:val="00B477DD"/>
    <w:rsid w:val="00B50AE4"/>
    <w:rsid w:val="00B50B20"/>
    <w:rsid w:val="00B50CB9"/>
    <w:rsid w:val="00B5245D"/>
    <w:rsid w:val="00B5269E"/>
    <w:rsid w:val="00B52A3A"/>
    <w:rsid w:val="00B52C3D"/>
    <w:rsid w:val="00B54025"/>
    <w:rsid w:val="00B544DB"/>
    <w:rsid w:val="00B54963"/>
    <w:rsid w:val="00B54DE8"/>
    <w:rsid w:val="00B55051"/>
    <w:rsid w:val="00B555BD"/>
    <w:rsid w:val="00B55BE8"/>
    <w:rsid w:val="00B560A2"/>
    <w:rsid w:val="00B56A59"/>
    <w:rsid w:val="00B57597"/>
    <w:rsid w:val="00B60BD3"/>
    <w:rsid w:val="00B60E69"/>
    <w:rsid w:val="00B61674"/>
    <w:rsid w:val="00B61F41"/>
    <w:rsid w:val="00B626D5"/>
    <w:rsid w:val="00B62FE1"/>
    <w:rsid w:val="00B63374"/>
    <w:rsid w:val="00B63C8C"/>
    <w:rsid w:val="00B6413A"/>
    <w:rsid w:val="00B6494E"/>
    <w:rsid w:val="00B64E5A"/>
    <w:rsid w:val="00B65769"/>
    <w:rsid w:val="00B65ABB"/>
    <w:rsid w:val="00B66A5F"/>
    <w:rsid w:val="00B66F2E"/>
    <w:rsid w:val="00B67AF3"/>
    <w:rsid w:val="00B67BD8"/>
    <w:rsid w:val="00B70143"/>
    <w:rsid w:val="00B71DCB"/>
    <w:rsid w:val="00B725A7"/>
    <w:rsid w:val="00B72980"/>
    <w:rsid w:val="00B7325D"/>
    <w:rsid w:val="00B741C6"/>
    <w:rsid w:val="00B74382"/>
    <w:rsid w:val="00B74E38"/>
    <w:rsid w:val="00B75A7B"/>
    <w:rsid w:val="00B75D0C"/>
    <w:rsid w:val="00B76B8E"/>
    <w:rsid w:val="00B8038C"/>
    <w:rsid w:val="00B80799"/>
    <w:rsid w:val="00B80CB9"/>
    <w:rsid w:val="00B813FC"/>
    <w:rsid w:val="00B81B0C"/>
    <w:rsid w:val="00B81CC1"/>
    <w:rsid w:val="00B8221C"/>
    <w:rsid w:val="00B824CC"/>
    <w:rsid w:val="00B825D1"/>
    <w:rsid w:val="00B8319E"/>
    <w:rsid w:val="00B8400F"/>
    <w:rsid w:val="00B84156"/>
    <w:rsid w:val="00B84D41"/>
    <w:rsid w:val="00B85133"/>
    <w:rsid w:val="00B85167"/>
    <w:rsid w:val="00B85801"/>
    <w:rsid w:val="00B87947"/>
    <w:rsid w:val="00B87951"/>
    <w:rsid w:val="00B87B70"/>
    <w:rsid w:val="00B87F8E"/>
    <w:rsid w:val="00B91712"/>
    <w:rsid w:val="00B92079"/>
    <w:rsid w:val="00B92230"/>
    <w:rsid w:val="00B92964"/>
    <w:rsid w:val="00B93164"/>
    <w:rsid w:val="00B93180"/>
    <w:rsid w:val="00B940E0"/>
    <w:rsid w:val="00B942F8"/>
    <w:rsid w:val="00B94F65"/>
    <w:rsid w:val="00B956F3"/>
    <w:rsid w:val="00B95E32"/>
    <w:rsid w:val="00B9626E"/>
    <w:rsid w:val="00B97646"/>
    <w:rsid w:val="00B97956"/>
    <w:rsid w:val="00BA0277"/>
    <w:rsid w:val="00BA09C8"/>
    <w:rsid w:val="00BA10D1"/>
    <w:rsid w:val="00BA16A1"/>
    <w:rsid w:val="00BA1930"/>
    <w:rsid w:val="00BA1A45"/>
    <w:rsid w:val="00BA20E1"/>
    <w:rsid w:val="00BA23D4"/>
    <w:rsid w:val="00BA2E73"/>
    <w:rsid w:val="00BA37EF"/>
    <w:rsid w:val="00BA40EB"/>
    <w:rsid w:val="00BA445C"/>
    <w:rsid w:val="00BA4E82"/>
    <w:rsid w:val="00BA5B5F"/>
    <w:rsid w:val="00BA6D5A"/>
    <w:rsid w:val="00BA74F5"/>
    <w:rsid w:val="00BA7633"/>
    <w:rsid w:val="00BB0C44"/>
    <w:rsid w:val="00BB1246"/>
    <w:rsid w:val="00BB3017"/>
    <w:rsid w:val="00BB32D6"/>
    <w:rsid w:val="00BB368F"/>
    <w:rsid w:val="00BB44DD"/>
    <w:rsid w:val="00BB487E"/>
    <w:rsid w:val="00BB500A"/>
    <w:rsid w:val="00BB5289"/>
    <w:rsid w:val="00BB5410"/>
    <w:rsid w:val="00BB6BA4"/>
    <w:rsid w:val="00BB6D0C"/>
    <w:rsid w:val="00BB79BE"/>
    <w:rsid w:val="00BC0807"/>
    <w:rsid w:val="00BC0EFD"/>
    <w:rsid w:val="00BC1514"/>
    <w:rsid w:val="00BC17E3"/>
    <w:rsid w:val="00BC2F2C"/>
    <w:rsid w:val="00BC30DB"/>
    <w:rsid w:val="00BC31A5"/>
    <w:rsid w:val="00BC356D"/>
    <w:rsid w:val="00BC36EF"/>
    <w:rsid w:val="00BC3CF0"/>
    <w:rsid w:val="00BC5096"/>
    <w:rsid w:val="00BC54CE"/>
    <w:rsid w:val="00BC5B2A"/>
    <w:rsid w:val="00BC69E5"/>
    <w:rsid w:val="00BC7213"/>
    <w:rsid w:val="00BC7558"/>
    <w:rsid w:val="00BC763E"/>
    <w:rsid w:val="00BD052F"/>
    <w:rsid w:val="00BD069F"/>
    <w:rsid w:val="00BD128C"/>
    <w:rsid w:val="00BD12A2"/>
    <w:rsid w:val="00BD185C"/>
    <w:rsid w:val="00BD2197"/>
    <w:rsid w:val="00BD3A0A"/>
    <w:rsid w:val="00BD3DEE"/>
    <w:rsid w:val="00BD4CEB"/>
    <w:rsid w:val="00BD52FD"/>
    <w:rsid w:val="00BD63F4"/>
    <w:rsid w:val="00BD644C"/>
    <w:rsid w:val="00BD65A5"/>
    <w:rsid w:val="00BD7062"/>
    <w:rsid w:val="00BD74D0"/>
    <w:rsid w:val="00BD7C32"/>
    <w:rsid w:val="00BD7CDC"/>
    <w:rsid w:val="00BE00FF"/>
    <w:rsid w:val="00BE0768"/>
    <w:rsid w:val="00BE085A"/>
    <w:rsid w:val="00BE0CE1"/>
    <w:rsid w:val="00BE1217"/>
    <w:rsid w:val="00BE1673"/>
    <w:rsid w:val="00BE17B8"/>
    <w:rsid w:val="00BE1882"/>
    <w:rsid w:val="00BE1A10"/>
    <w:rsid w:val="00BE1EC0"/>
    <w:rsid w:val="00BE3CC8"/>
    <w:rsid w:val="00BE4CD9"/>
    <w:rsid w:val="00BE50E9"/>
    <w:rsid w:val="00BE5470"/>
    <w:rsid w:val="00BE5A41"/>
    <w:rsid w:val="00BE5E1A"/>
    <w:rsid w:val="00BE609A"/>
    <w:rsid w:val="00BE61AA"/>
    <w:rsid w:val="00BE6792"/>
    <w:rsid w:val="00BF0384"/>
    <w:rsid w:val="00BF059E"/>
    <w:rsid w:val="00BF06BC"/>
    <w:rsid w:val="00BF0AA5"/>
    <w:rsid w:val="00BF1E93"/>
    <w:rsid w:val="00BF2166"/>
    <w:rsid w:val="00BF2303"/>
    <w:rsid w:val="00BF2439"/>
    <w:rsid w:val="00BF26AA"/>
    <w:rsid w:val="00BF2EFA"/>
    <w:rsid w:val="00BF3A1E"/>
    <w:rsid w:val="00BF4E3D"/>
    <w:rsid w:val="00BF4F1C"/>
    <w:rsid w:val="00BF58A7"/>
    <w:rsid w:val="00BF58E7"/>
    <w:rsid w:val="00BF6275"/>
    <w:rsid w:val="00BF68BB"/>
    <w:rsid w:val="00BF68FB"/>
    <w:rsid w:val="00C005B3"/>
    <w:rsid w:val="00C029BA"/>
    <w:rsid w:val="00C03B17"/>
    <w:rsid w:val="00C04097"/>
    <w:rsid w:val="00C0543A"/>
    <w:rsid w:val="00C05876"/>
    <w:rsid w:val="00C05DDF"/>
    <w:rsid w:val="00C06A65"/>
    <w:rsid w:val="00C06EC2"/>
    <w:rsid w:val="00C07B43"/>
    <w:rsid w:val="00C07BF6"/>
    <w:rsid w:val="00C10CC6"/>
    <w:rsid w:val="00C11ABE"/>
    <w:rsid w:val="00C11C74"/>
    <w:rsid w:val="00C124A0"/>
    <w:rsid w:val="00C1255C"/>
    <w:rsid w:val="00C128E2"/>
    <w:rsid w:val="00C12A50"/>
    <w:rsid w:val="00C134D5"/>
    <w:rsid w:val="00C1352D"/>
    <w:rsid w:val="00C136D1"/>
    <w:rsid w:val="00C152F7"/>
    <w:rsid w:val="00C1533F"/>
    <w:rsid w:val="00C15474"/>
    <w:rsid w:val="00C1766D"/>
    <w:rsid w:val="00C202E2"/>
    <w:rsid w:val="00C20600"/>
    <w:rsid w:val="00C20774"/>
    <w:rsid w:val="00C211DE"/>
    <w:rsid w:val="00C229F9"/>
    <w:rsid w:val="00C22AB7"/>
    <w:rsid w:val="00C23572"/>
    <w:rsid w:val="00C249E3"/>
    <w:rsid w:val="00C250C7"/>
    <w:rsid w:val="00C25A32"/>
    <w:rsid w:val="00C25D72"/>
    <w:rsid w:val="00C25D81"/>
    <w:rsid w:val="00C26D5F"/>
    <w:rsid w:val="00C307A8"/>
    <w:rsid w:val="00C315E3"/>
    <w:rsid w:val="00C3183C"/>
    <w:rsid w:val="00C31B06"/>
    <w:rsid w:val="00C31F12"/>
    <w:rsid w:val="00C3270F"/>
    <w:rsid w:val="00C327AD"/>
    <w:rsid w:val="00C32A42"/>
    <w:rsid w:val="00C331C0"/>
    <w:rsid w:val="00C33323"/>
    <w:rsid w:val="00C3343C"/>
    <w:rsid w:val="00C33456"/>
    <w:rsid w:val="00C33549"/>
    <w:rsid w:val="00C336BD"/>
    <w:rsid w:val="00C34099"/>
    <w:rsid w:val="00C34A10"/>
    <w:rsid w:val="00C353AF"/>
    <w:rsid w:val="00C3572A"/>
    <w:rsid w:val="00C36C8D"/>
    <w:rsid w:val="00C36F61"/>
    <w:rsid w:val="00C37597"/>
    <w:rsid w:val="00C40C50"/>
    <w:rsid w:val="00C40C74"/>
    <w:rsid w:val="00C41013"/>
    <w:rsid w:val="00C411C7"/>
    <w:rsid w:val="00C42100"/>
    <w:rsid w:val="00C42427"/>
    <w:rsid w:val="00C42B81"/>
    <w:rsid w:val="00C43010"/>
    <w:rsid w:val="00C43518"/>
    <w:rsid w:val="00C44197"/>
    <w:rsid w:val="00C45710"/>
    <w:rsid w:val="00C46D40"/>
    <w:rsid w:val="00C46E30"/>
    <w:rsid w:val="00C46F2F"/>
    <w:rsid w:val="00C47FCB"/>
    <w:rsid w:val="00C50852"/>
    <w:rsid w:val="00C5120D"/>
    <w:rsid w:val="00C5142A"/>
    <w:rsid w:val="00C51640"/>
    <w:rsid w:val="00C5207A"/>
    <w:rsid w:val="00C52288"/>
    <w:rsid w:val="00C527E5"/>
    <w:rsid w:val="00C52D2B"/>
    <w:rsid w:val="00C541C8"/>
    <w:rsid w:val="00C54631"/>
    <w:rsid w:val="00C54C60"/>
    <w:rsid w:val="00C551E6"/>
    <w:rsid w:val="00C5532C"/>
    <w:rsid w:val="00C554FF"/>
    <w:rsid w:val="00C55968"/>
    <w:rsid w:val="00C563BB"/>
    <w:rsid w:val="00C5643C"/>
    <w:rsid w:val="00C57459"/>
    <w:rsid w:val="00C60508"/>
    <w:rsid w:val="00C60DE6"/>
    <w:rsid w:val="00C6118F"/>
    <w:rsid w:val="00C612BF"/>
    <w:rsid w:val="00C615EC"/>
    <w:rsid w:val="00C62524"/>
    <w:rsid w:val="00C628D1"/>
    <w:rsid w:val="00C63115"/>
    <w:rsid w:val="00C63385"/>
    <w:rsid w:val="00C64305"/>
    <w:rsid w:val="00C64345"/>
    <w:rsid w:val="00C64AEC"/>
    <w:rsid w:val="00C66D73"/>
    <w:rsid w:val="00C67218"/>
    <w:rsid w:val="00C674BC"/>
    <w:rsid w:val="00C70B06"/>
    <w:rsid w:val="00C70EDF"/>
    <w:rsid w:val="00C71D43"/>
    <w:rsid w:val="00C71E4C"/>
    <w:rsid w:val="00C73F57"/>
    <w:rsid w:val="00C7457F"/>
    <w:rsid w:val="00C751C5"/>
    <w:rsid w:val="00C7520B"/>
    <w:rsid w:val="00C75882"/>
    <w:rsid w:val="00C7597E"/>
    <w:rsid w:val="00C75AED"/>
    <w:rsid w:val="00C76295"/>
    <w:rsid w:val="00C76349"/>
    <w:rsid w:val="00C771E5"/>
    <w:rsid w:val="00C801D8"/>
    <w:rsid w:val="00C8024D"/>
    <w:rsid w:val="00C8075F"/>
    <w:rsid w:val="00C80AAA"/>
    <w:rsid w:val="00C80E0D"/>
    <w:rsid w:val="00C823C2"/>
    <w:rsid w:val="00C825EB"/>
    <w:rsid w:val="00C8295C"/>
    <w:rsid w:val="00C82B3A"/>
    <w:rsid w:val="00C82EB5"/>
    <w:rsid w:val="00C83401"/>
    <w:rsid w:val="00C84E1C"/>
    <w:rsid w:val="00C84ED2"/>
    <w:rsid w:val="00C84FE7"/>
    <w:rsid w:val="00C85278"/>
    <w:rsid w:val="00C85A35"/>
    <w:rsid w:val="00C86E8A"/>
    <w:rsid w:val="00C8738C"/>
    <w:rsid w:val="00C87BBA"/>
    <w:rsid w:val="00C87D89"/>
    <w:rsid w:val="00C9080E"/>
    <w:rsid w:val="00C90D69"/>
    <w:rsid w:val="00C914BF"/>
    <w:rsid w:val="00C918D7"/>
    <w:rsid w:val="00C91F39"/>
    <w:rsid w:val="00C9250E"/>
    <w:rsid w:val="00C92D51"/>
    <w:rsid w:val="00C92E7B"/>
    <w:rsid w:val="00C94E43"/>
    <w:rsid w:val="00C94FB1"/>
    <w:rsid w:val="00C957D3"/>
    <w:rsid w:val="00C96D2C"/>
    <w:rsid w:val="00C96F27"/>
    <w:rsid w:val="00C972AC"/>
    <w:rsid w:val="00C9793A"/>
    <w:rsid w:val="00C97A16"/>
    <w:rsid w:val="00CA0257"/>
    <w:rsid w:val="00CA133E"/>
    <w:rsid w:val="00CA1BB7"/>
    <w:rsid w:val="00CA1E92"/>
    <w:rsid w:val="00CA26DE"/>
    <w:rsid w:val="00CA2744"/>
    <w:rsid w:val="00CA2C52"/>
    <w:rsid w:val="00CA30D6"/>
    <w:rsid w:val="00CA3F70"/>
    <w:rsid w:val="00CA59FF"/>
    <w:rsid w:val="00CA7747"/>
    <w:rsid w:val="00CB005F"/>
    <w:rsid w:val="00CB0289"/>
    <w:rsid w:val="00CB0521"/>
    <w:rsid w:val="00CB0B23"/>
    <w:rsid w:val="00CB1717"/>
    <w:rsid w:val="00CB1A99"/>
    <w:rsid w:val="00CB1F19"/>
    <w:rsid w:val="00CB26E2"/>
    <w:rsid w:val="00CB2A05"/>
    <w:rsid w:val="00CB2E53"/>
    <w:rsid w:val="00CB40DB"/>
    <w:rsid w:val="00CB49E8"/>
    <w:rsid w:val="00CB5197"/>
    <w:rsid w:val="00CB57FA"/>
    <w:rsid w:val="00CB7653"/>
    <w:rsid w:val="00CB7FC0"/>
    <w:rsid w:val="00CC018D"/>
    <w:rsid w:val="00CC0946"/>
    <w:rsid w:val="00CC13A6"/>
    <w:rsid w:val="00CC13B5"/>
    <w:rsid w:val="00CC1E95"/>
    <w:rsid w:val="00CC1E9F"/>
    <w:rsid w:val="00CC22F2"/>
    <w:rsid w:val="00CC23E3"/>
    <w:rsid w:val="00CC24C2"/>
    <w:rsid w:val="00CC2C24"/>
    <w:rsid w:val="00CC304C"/>
    <w:rsid w:val="00CC3EA2"/>
    <w:rsid w:val="00CC4C58"/>
    <w:rsid w:val="00CC4F4D"/>
    <w:rsid w:val="00CC5CE9"/>
    <w:rsid w:val="00CC5D51"/>
    <w:rsid w:val="00CC62BA"/>
    <w:rsid w:val="00CC67A8"/>
    <w:rsid w:val="00CC7036"/>
    <w:rsid w:val="00CC7612"/>
    <w:rsid w:val="00CC7FB7"/>
    <w:rsid w:val="00CD0354"/>
    <w:rsid w:val="00CD0D7C"/>
    <w:rsid w:val="00CD1B61"/>
    <w:rsid w:val="00CD2066"/>
    <w:rsid w:val="00CD2231"/>
    <w:rsid w:val="00CD2A54"/>
    <w:rsid w:val="00CD365F"/>
    <w:rsid w:val="00CD39BF"/>
    <w:rsid w:val="00CD39D0"/>
    <w:rsid w:val="00CD4241"/>
    <w:rsid w:val="00CD5F8F"/>
    <w:rsid w:val="00CD61F5"/>
    <w:rsid w:val="00CD6AD4"/>
    <w:rsid w:val="00CD75E0"/>
    <w:rsid w:val="00CD7871"/>
    <w:rsid w:val="00CD7968"/>
    <w:rsid w:val="00CE07D2"/>
    <w:rsid w:val="00CE1092"/>
    <w:rsid w:val="00CE21B2"/>
    <w:rsid w:val="00CE2265"/>
    <w:rsid w:val="00CE3708"/>
    <w:rsid w:val="00CE679A"/>
    <w:rsid w:val="00CE71A9"/>
    <w:rsid w:val="00CE721C"/>
    <w:rsid w:val="00CE73DE"/>
    <w:rsid w:val="00CE79DB"/>
    <w:rsid w:val="00CE7CFE"/>
    <w:rsid w:val="00CF038E"/>
    <w:rsid w:val="00CF0697"/>
    <w:rsid w:val="00CF0F15"/>
    <w:rsid w:val="00CF136D"/>
    <w:rsid w:val="00CF151F"/>
    <w:rsid w:val="00CF1F47"/>
    <w:rsid w:val="00CF248B"/>
    <w:rsid w:val="00CF33BE"/>
    <w:rsid w:val="00CF3E5C"/>
    <w:rsid w:val="00CF4065"/>
    <w:rsid w:val="00CF410D"/>
    <w:rsid w:val="00CF460A"/>
    <w:rsid w:val="00CF4865"/>
    <w:rsid w:val="00CF4D2B"/>
    <w:rsid w:val="00CF520C"/>
    <w:rsid w:val="00CF5A4E"/>
    <w:rsid w:val="00CF6304"/>
    <w:rsid w:val="00CF6512"/>
    <w:rsid w:val="00CF695C"/>
    <w:rsid w:val="00CF76D5"/>
    <w:rsid w:val="00D00E6A"/>
    <w:rsid w:val="00D00ED3"/>
    <w:rsid w:val="00D00EF7"/>
    <w:rsid w:val="00D0103E"/>
    <w:rsid w:val="00D01721"/>
    <w:rsid w:val="00D0177A"/>
    <w:rsid w:val="00D01C6D"/>
    <w:rsid w:val="00D0227B"/>
    <w:rsid w:val="00D02355"/>
    <w:rsid w:val="00D0261C"/>
    <w:rsid w:val="00D027F8"/>
    <w:rsid w:val="00D0318E"/>
    <w:rsid w:val="00D03F2B"/>
    <w:rsid w:val="00D052AA"/>
    <w:rsid w:val="00D057B9"/>
    <w:rsid w:val="00D066B2"/>
    <w:rsid w:val="00D06BC8"/>
    <w:rsid w:val="00D06FCE"/>
    <w:rsid w:val="00D07DF4"/>
    <w:rsid w:val="00D10165"/>
    <w:rsid w:val="00D11828"/>
    <w:rsid w:val="00D124B1"/>
    <w:rsid w:val="00D133CA"/>
    <w:rsid w:val="00D13B86"/>
    <w:rsid w:val="00D13D00"/>
    <w:rsid w:val="00D13EB1"/>
    <w:rsid w:val="00D1410B"/>
    <w:rsid w:val="00D1443F"/>
    <w:rsid w:val="00D14475"/>
    <w:rsid w:val="00D15ABC"/>
    <w:rsid w:val="00D15B3E"/>
    <w:rsid w:val="00D166BA"/>
    <w:rsid w:val="00D16F82"/>
    <w:rsid w:val="00D172C9"/>
    <w:rsid w:val="00D175E8"/>
    <w:rsid w:val="00D20152"/>
    <w:rsid w:val="00D2053B"/>
    <w:rsid w:val="00D209E7"/>
    <w:rsid w:val="00D21B2F"/>
    <w:rsid w:val="00D21BFE"/>
    <w:rsid w:val="00D21E14"/>
    <w:rsid w:val="00D24134"/>
    <w:rsid w:val="00D249C9"/>
    <w:rsid w:val="00D24F98"/>
    <w:rsid w:val="00D255D2"/>
    <w:rsid w:val="00D25B23"/>
    <w:rsid w:val="00D26154"/>
    <w:rsid w:val="00D275A1"/>
    <w:rsid w:val="00D27F1E"/>
    <w:rsid w:val="00D30381"/>
    <w:rsid w:val="00D303E3"/>
    <w:rsid w:val="00D307C3"/>
    <w:rsid w:val="00D30BC3"/>
    <w:rsid w:val="00D30C5B"/>
    <w:rsid w:val="00D310ED"/>
    <w:rsid w:val="00D31532"/>
    <w:rsid w:val="00D31857"/>
    <w:rsid w:val="00D31FA8"/>
    <w:rsid w:val="00D32527"/>
    <w:rsid w:val="00D3266C"/>
    <w:rsid w:val="00D32D1A"/>
    <w:rsid w:val="00D34ACD"/>
    <w:rsid w:val="00D34BF7"/>
    <w:rsid w:val="00D356AA"/>
    <w:rsid w:val="00D35EF7"/>
    <w:rsid w:val="00D3641C"/>
    <w:rsid w:val="00D368C3"/>
    <w:rsid w:val="00D36B11"/>
    <w:rsid w:val="00D36DC4"/>
    <w:rsid w:val="00D37CA6"/>
    <w:rsid w:val="00D40498"/>
    <w:rsid w:val="00D40F05"/>
    <w:rsid w:val="00D41774"/>
    <w:rsid w:val="00D42AFD"/>
    <w:rsid w:val="00D43A1B"/>
    <w:rsid w:val="00D43F82"/>
    <w:rsid w:val="00D44104"/>
    <w:rsid w:val="00D4420F"/>
    <w:rsid w:val="00D44B39"/>
    <w:rsid w:val="00D45F81"/>
    <w:rsid w:val="00D46BA8"/>
    <w:rsid w:val="00D4714B"/>
    <w:rsid w:val="00D47385"/>
    <w:rsid w:val="00D50303"/>
    <w:rsid w:val="00D5045E"/>
    <w:rsid w:val="00D5066A"/>
    <w:rsid w:val="00D50C17"/>
    <w:rsid w:val="00D510D1"/>
    <w:rsid w:val="00D516B0"/>
    <w:rsid w:val="00D529D4"/>
    <w:rsid w:val="00D52F84"/>
    <w:rsid w:val="00D53A8E"/>
    <w:rsid w:val="00D53B04"/>
    <w:rsid w:val="00D53E3C"/>
    <w:rsid w:val="00D554BE"/>
    <w:rsid w:val="00D55761"/>
    <w:rsid w:val="00D55810"/>
    <w:rsid w:val="00D55E9B"/>
    <w:rsid w:val="00D55F22"/>
    <w:rsid w:val="00D56A2B"/>
    <w:rsid w:val="00D570BA"/>
    <w:rsid w:val="00D5722D"/>
    <w:rsid w:val="00D575F2"/>
    <w:rsid w:val="00D61771"/>
    <w:rsid w:val="00D618AD"/>
    <w:rsid w:val="00D61FAF"/>
    <w:rsid w:val="00D62956"/>
    <w:rsid w:val="00D629D3"/>
    <w:rsid w:val="00D6302D"/>
    <w:rsid w:val="00D63A50"/>
    <w:rsid w:val="00D640D5"/>
    <w:rsid w:val="00D641A0"/>
    <w:rsid w:val="00D643D4"/>
    <w:rsid w:val="00D6450C"/>
    <w:rsid w:val="00D64D46"/>
    <w:rsid w:val="00D652E4"/>
    <w:rsid w:val="00D66DD5"/>
    <w:rsid w:val="00D67898"/>
    <w:rsid w:val="00D67ECD"/>
    <w:rsid w:val="00D7006E"/>
    <w:rsid w:val="00D7053F"/>
    <w:rsid w:val="00D706BB"/>
    <w:rsid w:val="00D71DED"/>
    <w:rsid w:val="00D7310C"/>
    <w:rsid w:val="00D7331E"/>
    <w:rsid w:val="00D745CA"/>
    <w:rsid w:val="00D74C46"/>
    <w:rsid w:val="00D754B5"/>
    <w:rsid w:val="00D75755"/>
    <w:rsid w:val="00D75B1C"/>
    <w:rsid w:val="00D75E2A"/>
    <w:rsid w:val="00D76267"/>
    <w:rsid w:val="00D77611"/>
    <w:rsid w:val="00D77AF5"/>
    <w:rsid w:val="00D815F8"/>
    <w:rsid w:val="00D82B75"/>
    <w:rsid w:val="00D82CCF"/>
    <w:rsid w:val="00D8350E"/>
    <w:rsid w:val="00D84035"/>
    <w:rsid w:val="00D8411B"/>
    <w:rsid w:val="00D84274"/>
    <w:rsid w:val="00D84E91"/>
    <w:rsid w:val="00D85629"/>
    <w:rsid w:val="00D85840"/>
    <w:rsid w:val="00D85C00"/>
    <w:rsid w:val="00D85C9D"/>
    <w:rsid w:val="00D85DC3"/>
    <w:rsid w:val="00D86523"/>
    <w:rsid w:val="00D86712"/>
    <w:rsid w:val="00D86744"/>
    <w:rsid w:val="00D867A3"/>
    <w:rsid w:val="00D8683E"/>
    <w:rsid w:val="00D86BBC"/>
    <w:rsid w:val="00D871F4"/>
    <w:rsid w:val="00D90412"/>
    <w:rsid w:val="00D90504"/>
    <w:rsid w:val="00D90873"/>
    <w:rsid w:val="00D90EA5"/>
    <w:rsid w:val="00D910D3"/>
    <w:rsid w:val="00D9205E"/>
    <w:rsid w:val="00D92231"/>
    <w:rsid w:val="00D92585"/>
    <w:rsid w:val="00D9290D"/>
    <w:rsid w:val="00D92AB1"/>
    <w:rsid w:val="00D92BD7"/>
    <w:rsid w:val="00D92E0D"/>
    <w:rsid w:val="00D92E5B"/>
    <w:rsid w:val="00D9302F"/>
    <w:rsid w:val="00D932CA"/>
    <w:rsid w:val="00D934D4"/>
    <w:rsid w:val="00D93C41"/>
    <w:rsid w:val="00D94016"/>
    <w:rsid w:val="00D9443B"/>
    <w:rsid w:val="00D947AE"/>
    <w:rsid w:val="00D94805"/>
    <w:rsid w:val="00D95137"/>
    <w:rsid w:val="00D95158"/>
    <w:rsid w:val="00D951B4"/>
    <w:rsid w:val="00D955CD"/>
    <w:rsid w:val="00D96810"/>
    <w:rsid w:val="00D96E09"/>
    <w:rsid w:val="00D97A70"/>
    <w:rsid w:val="00DA0125"/>
    <w:rsid w:val="00DA35BB"/>
    <w:rsid w:val="00DA3A33"/>
    <w:rsid w:val="00DA3B09"/>
    <w:rsid w:val="00DA4A3D"/>
    <w:rsid w:val="00DA511B"/>
    <w:rsid w:val="00DA5966"/>
    <w:rsid w:val="00DA59AB"/>
    <w:rsid w:val="00DA6163"/>
    <w:rsid w:val="00DA6250"/>
    <w:rsid w:val="00DA6569"/>
    <w:rsid w:val="00DA6A1E"/>
    <w:rsid w:val="00DA6E3E"/>
    <w:rsid w:val="00DA7534"/>
    <w:rsid w:val="00DA775A"/>
    <w:rsid w:val="00DB063D"/>
    <w:rsid w:val="00DB0E7D"/>
    <w:rsid w:val="00DB1582"/>
    <w:rsid w:val="00DB1CF1"/>
    <w:rsid w:val="00DB1F90"/>
    <w:rsid w:val="00DB2E2E"/>
    <w:rsid w:val="00DB3211"/>
    <w:rsid w:val="00DB32C5"/>
    <w:rsid w:val="00DB360D"/>
    <w:rsid w:val="00DB3CEA"/>
    <w:rsid w:val="00DB4136"/>
    <w:rsid w:val="00DB45FE"/>
    <w:rsid w:val="00DB535C"/>
    <w:rsid w:val="00DB5474"/>
    <w:rsid w:val="00DB5992"/>
    <w:rsid w:val="00DB5DD2"/>
    <w:rsid w:val="00DB606C"/>
    <w:rsid w:val="00DB6905"/>
    <w:rsid w:val="00DB6E01"/>
    <w:rsid w:val="00DB7553"/>
    <w:rsid w:val="00DB7781"/>
    <w:rsid w:val="00DB7BBB"/>
    <w:rsid w:val="00DB7FCC"/>
    <w:rsid w:val="00DC073F"/>
    <w:rsid w:val="00DC1B84"/>
    <w:rsid w:val="00DC260F"/>
    <w:rsid w:val="00DC2D5B"/>
    <w:rsid w:val="00DC3166"/>
    <w:rsid w:val="00DC4A94"/>
    <w:rsid w:val="00DC502C"/>
    <w:rsid w:val="00DC50FB"/>
    <w:rsid w:val="00DC5138"/>
    <w:rsid w:val="00DC7993"/>
    <w:rsid w:val="00DC7CF4"/>
    <w:rsid w:val="00DC7F17"/>
    <w:rsid w:val="00DD0A0F"/>
    <w:rsid w:val="00DD3496"/>
    <w:rsid w:val="00DD34AA"/>
    <w:rsid w:val="00DD39C0"/>
    <w:rsid w:val="00DD4618"/>
    <w:rsid w:val="00DD4B98"/>
    <w:rsid w:val="00DD4DC6"/>
    <w:rsid w:val="00DD5030"/>
    <w:rsid w:val="00DD574C"/>
    <w:rsid w:val="00DD5FE9"/>
    <w:rsid w:val="00DD68AA"/>
    <w:rsid w:val="00DD6988"/>
    <w:rsid w:val="00DD6B98"/>
    <w:rsid w:val="00DD747E"/>
    <w:rsid w:val="00DD7B49"/>
    <w:rsid w:val="00DE1B41"/>
    <w:rsid w:val="00DE31EF"/>
    <w:rsid w:val="00DE379E"/>
    <w:rsid w:val="00DE39C7"/>
    <w:rsid w:val="00DE4CAE"/>
    <w:rsid w:val="00DE5004"/>
    <w:rsid w:val="00DE540A"/>
    <w:rsid w:val="00DE5A4E"/>
    <w:rsid w:val="00DE61BC"/>
    <w:rsid w:val="00DE64FB"/>
    <w:rsid w:val="00DE69E0"/>
    <w:rsid w:val="00DE6F70"/>
    <w:rsid w:val="00DE6FCA"/>
    <w:rsid w:val="00DE7992"/>
    <w:rsid w:val="00DE79A1"/>
    <w:rsid w:val="00DF0BF5"/>
    <w:rsid w:val="00DF107D"/>
    <w:rsid w:val="00DF1417"/>
    <w:rsid w:val="00DF1788"/>
    <w:rsid w:val="00DF25FC"/>
    <w:rsid w:val="00DF28C3"/>
    <w:rsid w:val="00DF4034"/>
    <w:rsid w:val="00DF497B"/>
    <w:rsid w:val="00DF5EC2"/>
    <w:rsid w:val="00E00049"/>
    <w:rsid w:val="00E00380"/>
    <w:rsid w:val="00E003B5"/>
    <w:rsid w:val="00E00863"/>
    <w:rsid w:val="00E01044"/>
    <w:rsid w:val="00E0192E"/>
    <w:rsid w:val="00E01BF6"/>
    <w:rsid w:val="00E01CF1"/>
    <w:rsid w:val="00E02171"/>
    <w:rsid w:val="00E029D1"/>
    <w:rsid w:val="00E02B1C"/>
    <w:rsid w:val="00E02DE0"/>
    <w:rsid w:val="00E02F97"/>
    <w:rsid w:val="00E03D79"/>
    <w:rsid w:val="00E05932"/>
    <w:rsid w:val="00E059B2"/>
    <w:rsid w:val="00E07036"/>
    <w:rsid w:val="00E074D7"/>
    <w:rsid w:val="00E07A40"/>
    <w:rsid w:val="00E110D2"/>
    <w:rsid w:val="00E12A47"/>
    <w:rsid w:val="00E136E4"/>
    <w:rsid w:val="00E13C1D"/>
    <w:rsid w:val="00E13E16"/>
    <w:rsid w:val="00E13F89"/>
    <w:rsid w:val="00E14E1C"/>
    <w:rsid w:val="00E153AE"/>
    <w:rsid w:val="00E169FC"/>
    <w:rsid w:val="00E1706A"/>
    <w:rsid w:val="00E17868"/>
    <w:rsid w:val="00E17CBA"/>
    <w:rsid w:val="00E20140"/>
    <w:rsid w:val="00E204EC"/>
    <w:rsid w:val="00E21115"/>
    <w:rsid w:val="00E21FA9"/>
    <w:rsid w:val="00E221F6"/>
    <w:rsid w:val="00E2267F"/>
    <w:rsid w:val="00E230A3"/>
    <w:rsid w:val="00E23524"/>
    <w:rsid w:val="00E255C0"/>
    <w:rsid w:val="00E256DD"/>
    <w:rsid w:val="00E259B4"/>
    <w:rsid w:val="00E25C58"/>
    <w:rsid w:val="00E26B59"/>
    <w:rsid w:val="00E3187B"/>
    <w:rsid w:val="00E318F9"/>
    <w:rsid w:val="00E31AC1"/>
    <w:rsid w:val="00E32BC9"/>
    <w:rsid w:val="00E34067"/>
    <w:rsid w:val="00E340B7"/>
    <w:rsid w:val="00E3464E"/>
    <w:rsid w:val="00E364B0"/>
    <w:rsid w:val="00E368D1"/>
    <w:rsid w:val="00E36CEC"/>
    <w:rsid w:val="00E37C0B"/>
    <w:rsid w:val="00E37E9C"/>
    <w:rsid w:val="00E40DAC"/>
    <w:rsid w:val="00E41088"/>
    <w:rsid w:val="00E421A8"/>
    <w:rsid w:val="00E42851"/>
    <w:rsid w:val="00E429BF"/>
    <w:rsid w:val="00E433AD"/>
    <w:rsid w:val="00E4341B"/>
    <w:rsid w:val="00E439F9"/>
    <w:rsid w:val="00E43C37"/>
    <w:rsid w:val="00E4468E"/>
    <w:rsid w:val="00E44B03"/>
    <w:rsid w:val="00E44E94"/>
    <w:rsid w:val="00E46A6A"/>
    <w:rsid w:val="00E47061"/>
    <w:rsid w:val="00E47700"/>
    <w:rsid w:val="00E47E2C"/>
    <w:rsid w:val="00E47ECF"/>
    <w:rsid w:val="00E50100"/>
    <w:rsid w:val="00E50278"/>
    <w:rsid w:val="00E505EF"/>
    <w:rsid w:val="00E506FC"/>
    <w:rsid w:val="00E52797"/>
    <w:rsid w:val="00E53D8A"/>
    <w:rsid w:val="00E53ED0"/>
    <w:rsid w:val="00E53F35"/>
    <w:rsid w:val="00E54126"/>
    <w:rsid w:val="00E5425A"/>
    <w:rsid w:val="00E542A4"/>
    <w:rsid w:val="00E54589"/>
    <w:rsid w:val="00E54722"/>
    <w:rsid w:val="00E54987"/>
    <w:rsid w:val="00E54CC7"/>
    <w:rsid w:val="00E55000"/>
    <w:rsid w:val="00E55B33"/>
    <w:rsid w:val="00E566CB"/>
    <w:rsid w:val="00E57431"/>
    <w:rsid w:val="00E57617"/>
    <w:rsid w:val="00E57F10"/>
    <w:rsid w:val="00E61272"/>
    <w:rsid w:val="00E6257A"/>
    <w:rsid w:val="00E629B4"/>
    <w:rsid w:val="00E63FE8"/>
    <w:rsid w:val="00E6440E"/>
    <w:rsid w:val="00E64B6C"/>
    <w:rsid w:val="00E65433"/>
    <w:rsid w:val="00E659E5"/>
    <w:rsid w:val="00E65AE9"/>
    <w:rsid w:val="00E65CF1"/>
    <w:rsid w:val="00E65F61"/>
    <w:rsid w:val="00E67D1F"/>
    <w:rsid w:val="00E70E40"/>
    <w:rsid w:val="00E7138C"/>
    <w:rsid w:val="00E71946"/>
    <w:rsid w:val="00E722E4"/>
    <w:rsid w:val="00E728B2"/>
    <w:rsid w:val="00E72D1B"/>
    <w:rsid w:val="00E7310C"/>
    <w:rsid w:val="00E734C7"/>
    <w:rsid w:val="00E74190"/>
    <w:rsid w:val="00E743FB"/>
    <w:rsid w:val="00E74DEE"/>
    <w:rsid w:val="00E75861"/>
    <w:rsid w:val="00E75D1E"/>
    <w:rsid w:val="00E761DC"/>
    <w:rsid w:val="00E7620B"/>
    <w:rsid w:val="00E762BB"/>
    <w:rsid w:val="00E76369"/>
    <w:rsid w:val="00E768BA"/>
    <w:rsid w:val="00E77161"/>
    <w:rsid w:val="00E7794B"/>
    <w:rsid w:val="00E77F48"/>
    <w:rsid w:val="00E81222"/>
    <w:rsid w:val="00E81575"/>
    <w:rsid w:val="00E81AC6"/>
    <w:rsid w:val="00E81B09"/>
    <w:rsid w:val="00E8258C"/>
    <w:rsid w:val="00E825AB"/>
    <w:rsid w:val="00E82B1C"/>
    <w:rsid w:val="00E8311A"/>
    <w:rsid w:val="00E832F5"/>
    <w:rsid w:val="00E8371D"/>
    <w:rsid w:val="00E840A8"/>
    <w:rsid w:val="00E8471B"/>
    <w:rsid w:val="00E857AF"/>
    <w:rsid w:val="00E85B1A"/>
    <w:rsid w:val="00E864A3"/>
    <w:rsid w:val="00E8728A"/>
    <w:rsid w:val="00E90787"/>
    <w:rsid w:val="00E90DEB"/>
    <w:rsid w:val="00E9138A"/>
    <w:rsid w:val="00E91AB5"/>
    <w:rsid w:val="00E93ABB"/>
    <w:rsid w:val="00E942B8"/>
    <w:rsid w:val="00E95371"/>
    <w:rsid w:val="00E969FF"/>
    <w:rsid w:val="00E96B02"/>
    <w:rsid w:val="00E975FA"/>
    <w:rsid w:val="00EA118A"/>
    <w:rsid w:val="00EA12B3"/>
    <w:rsid w:val="00EA12F7"/>
    <w:rsid w:val="00EA15D5"/>
    <w:rsid w:val="00EA1D65"/>
    <w:rsid w:val="00EA1E60"/>
    <w:rsid w:val="00EA27B7"/>
    <w:rsid w:val="00EA2C16"/>
    <w:rsid w:val="00EA3090"/>
    <w:rsid w:val="00EA3D5B"/>
    <w:rsid w:val="00EA4B69"/>
    <w:rsid w:val="00EA4EB2"/>
    <w:rsid w:val="00EA54FE"/>
    <w:rsid w:val="00EA5628"/>
    <w:rsid w:val="00EA5ADD"/>
    <w:rsid w:val="00EA5DAD"/>
    <w:rsid w:val="00EA6AFB"/>
    <w:rsid w:val="00EA712E"/>
    <w:rsid w:val="00EA7402"/>
    <w:rsid w:val="00EB03F5"/>
    <w:rsid w:val="00EB147E"/>
    <w:rsid w:val="00EB25CA"/>
    <w:rsid w:val="00EB2B8B"/>
    <w:rsid w:val="00EB2CAC"/>
    <w:rsid w:val="00EB3357"/>
    <w:rsid w:val="00EB3CAE"/>
    <w:rsid w:val="00EB40A9"/>
    <w:rsid w:val="00EB4A91"/>
    <w:rsid w:val="00EB50D8"/>
    <w:rsid w:val="00EB5AC5"/>
    <w:rsid w:val="00EB5BF0"/>
    <w:rsid w:val="00EB6249"/>
    <w:rsid w:val="00EB784B"/>
    <w:rsid w:val="00EB7B0F"/>
    <w:rsid w:val="00EB7C7B"/>
    <w:rsid w:val="00EC188B"/>
    <w:rsid w:val="00EC35A1"/>
    <w:rsid w:val="00EC40E8"/>
    <w:rsid w:val="00EC4196"/>
    <w:rsid w:val="00EC4519"/>
    <w:rsid w:val="00EC4628"/>
    <w:rsid w:val="00EC5A26"/>
    <w:rsid w:val="00EC6024"/>
    <w:rsid w:val="00EC702F"/>
    <w:rsid w:val="00EC749D"/>
    <w:rsid w:val="00ED0ADD"/>
    <w:rsid w:val="00ED144E"/>
    <w:rsid w:val="00ED184D"/>
    <w:rsid w:val="00ED1FC9"/>
    <w:rsid w:val="00ED20C6"/>
    <w:rsid w:val="00ED2131"/>
    <w:rsid w:val="00ED2342"/>
    <w:rsid w:val="00ED24F2"/>
    <w:rsid w:val="00ED2BE1"/>
    <w:rsid w:val="00ED31D5"/>
    <w:rsid w:val="00ED3C28"/>
    <w:rsid w:val="00ED46E5"/>
    <w:rsid w:val="00ED5161"/>
    <w:rsid w:val="00ED5FCF"/>
    <w:rsid w:val="00ED652F"/>
    <w:rsid w:val="00ED6687"/>
    <w:rsid w:val="00ED69B2"/>
    <w:rsid w:val="00ED6F72"/>
    <w:rsid w:val="00EE0342"/>
    <w:rsid w:val="00EE08BD"/>
    <w:rsid w:val="00EE12B0"/>
    <w:rsid w:val="00EE1898"/>
    <w:rsid w:val="00EE1AC5"/>
    <w:rsid w:val="00EE3322"/>
    <w:rsid w:val="00EE415E"/>
    <w:rsid w:val="00EE4BA8"/>
    <w:rsid w:val="00EE5CC8"/>
    <w:rsid w:val="00EE645B"/>
    <w:rsid w:val="00EE6C69"/>
    <w:rsid w:val="00EE6F47"/>
    <w:rsid w:val="00EE7778"/>
    <w:rsid w:val="00EE780F"/>
    <w:rsid w:val="00EE799E"/>
    <w:rsid w:val="00EF0C2C"/>
    <w:rsid w:val="00EF0C3A"/>
    <w:rsid w:val="00EF1791"/>
    <w:rsid w:val="00EF2F84"/>
    <w:rsid w:val="00EF36A1"/>
    <w:rsid w:val="00EF3F46"/>
    <w:rsid w:val="00EF3F58"/>
    <w:rsid w:val="00EF4252"/>
    <w:rsid w:val="00EF4E77"/>
    <w:rsid w:val="00EF5A19"/>
    <w:rsid w:val="00EF5CA4"/>
    <w:rsid w:val="00EF5FDB"/>
    <w:rsid w:val="00EF5FEA"/>
    <w:rsid w:val="00EF60EC"/>
    <w:rsid w:val="00EF6866"/>
    <w:rsid w:val="00EF7438"/>
    <w:rsid w:val="00EF7A4A"/>
    <w:rsid w:val="00EF7CA5"/>
    <w:rsid w:val="00F00420"/>
    <w:rsid w:val="00F00DEE"/>
    <w:rsid w:val="00F0124A"/>
    <w:rsid w:val="00F01297"/>
    <w:rsid w:val="00F013CC"/>
    <w:rsid w:val="00F013CF"/>
    <w:rsid w:val="00F01463"/>
    <w:rsid w:val="00F0156E"/>
    <w:rsid w:val="00F017D2"/>
    <w:rsid w:val="00F029EF"/>
    <w:rsid w:val="00F02A60"/>
    <w:rsid w:val="00F02B2F"/>
    <w:rsid w:val="00F030A3"/>
    <w:rsid w:val="00F04872"/>
    <w:rsid w:val="00F060DB"/>
    <w:rsid w:val="00F06DFE"/>
    <w:rsid w:val="00F07108"/>
    <w:rsid w:val="00F07117"/>
    <w:rsid w:val="00F103A3"/>
    <w:rsid w:val="00F1060B"/>
    <w:rsid w:val="00F109FD"/>
    <w:rsid w:val="00F10DB1"/>
    <w:rsid w:val="00F11851"/>
    <w:rsid w:val="00F1187C"/>
    <w:rsid w:val="00F13626"/>
    <w:rsid w:val="00F13822"/>
    <w:rsid w:val="00F15501"/>
    <w:rsid w:val="00F160F0"/>
    <w:rsid w:val="00F161AB"/>
    <w:rsid w:val="00F162B9"/>
    <w:rsid w:val="00F16621"/>
    <w:rsid w:val="00F16C86"/>
    <w:rsid w:val="00F17345"/>
    <w:rsid w:val="00F2037E"/>
    <w:rsid w:val="00F205D9"/>
    <w:rsid w:val="00F208AD"/>
    <w:rsid w:val="00F20B96"/>
    <w:rsid w:val="00F2103C"/>
    <w:rsid w:val="00F211E0"/>
    <w:rsid w:val="00F218D8"/>
    <w:rsid w:val="00F223EF"/>
    <w:rsid w:val="00F2243E"/>
    <w:rsid w:val="00F22E75"/>
    <w:rsid w:val="00F238D6"/>
    <w:rsid w:val="00F2492B"/>
    <w:rsid w:val="00F25547"/>
    <w:rsid w:val="00F255A7"/>
    <w:rsid w:val="00F2574A"/>
    <w:rsid w:val="00F264BF"/>
    <w:rsid w:val="00F26847"/>
    <w:rsid w:val="00F26DF2"/>
    <w:rsid w:val="00F2728F"/>
    <w:rsid w:val="00F30094"/>
    <w:rsid w:val="00F30C99"/>
    <w:rsid w:val="00F31E96"/>
    <w:rsid w:val="00F326B1"/>
    <w:rsid w:val="00F33295"/>
    <w:rsid w:val="00F33E9B"/>
    <w:rsid w:val="00F33F9E"/>
    <w:rsid w:val="00F34CAD"/>
    <w:rsid w:val="00F35C24"/>
    <w:rsid w:val="00F35E3C"/>
    <w:rsid w:val="00F35EB6"/>
    <w:rsid w:val="00F36302"/>
    <w:rsid w:val="00F366D3"/>
    <w:rsid w:val="00F36B26"/>
    <w:rsid w:val="00F370AA"/>
    <w:rsid w:val="00F37CA0"/>
    <w:rsid w:val="00F404BD"/>
    <w:rsid w:val="00F40797"/>
    <w:rsid w:val="00F40DDE"/>
    <w:rsid w:val="00F41007"/>
    <w:rsid w:val="00F4120B"/>
    <w:rsid w:val="00F4198A"/>
    <w:rsid w:val="00F41B99"/>
    <w:rsid w:val="00F42485"/>
    <w:rsid w:val="00F4251A"/>
    <w:rsid w:val="00F43B5C"/>
    <w:rsid w:val="00F4431F"/>
    <w:rsid w:val="00F4537A"/>
    <w:rsid w:val="00F453B2"/>
    <w:rsid w:val="00F46279"/>
    <w:rsid w:val="00F471D4"/>
    <w:rsid w:val="00F5097E"/>
    <w:rsid w:val="00F509DD"/>
    <w:rsid w:val="00F5170C"/>
    <w:rsid w:val="00F51B81"/>
    <w:rsid w:val="00F522EE"/>
    <w:rsid w:val="00F52A28"/>
    <w:rsid w:val="00F52E7F"/>
    <w:rsid w:val="00F539FC"/>
    <w:rsid w:val="00F53E9C"/>
    <w:rsid w:val="00F54585"/>
    <w:rsid w:val="00F54787"/>
    <w:rsid w:val="00F555F8"/>
    <w:rsid w:val="00F55917"/>
    <w:rsid w:val="00F570E8"/>
    <w:rsid w:val="00F5786E"/>
    <w:rsid w:val="00F57A75"/>
    <w:rsid w:val="00F60911"/>
    <w:rsid w:val="00F61079"/>
    <w:rsid w:val="00F611FD"/>
    <w:rsid w:val="00F6156A"/>
    <w:rsid w:val="00F61643"/>
    <w:rsid w:val="00F6164F"/>
    <w:rsid w:val="00F61E84"/>
    <w:rsid w:val="00F626A9"/>
    <w:rsid w:val="00F636E7"/>
    <w:rsid w:val="00F638BC"/>
    <w:rsid w:val="00F638DD"/>
    <w:rsid w:val="00F64154"/>
    <w:rsid w:val="00F648F9"/>
    <w:rsid w:val="00F65F50"/>
    <w:rsid w:val="00F66569"/>
    <w:rsid w:val="00F668FD"/>
    <w:rsid w:val="00F70EBF"/>
    <w:rsid w:val="00F72013"/>
    <w:rsid w:val="00F7250A"/>
    <w:rsid w:val="00F7277C"/>
    <w:rsid w:val="00F73379"/>
    <w:rsid w:val="00F73B80"/>
    <w:rsid w:val="00F74653"/>
    <w:rsid w:val="00F74C0F"/>
    <w:rsid w:val="00F75E84"/>
    <w:rsid w:val="00F767C0"/>
    <w:rsid w:val="00F7698A"/>
    <w:rsid w:val="00F77F4D"/>
    <w:rsid w:val="00F802F0"/>
    <w:rsid w:val="00F803F6"/>
    <w:rsid w:val="00F80BE4"/>
    <w:rsid w:val="00F81B2D"/>
    <w:rsid w:val="00F81DF9"/>
    <w:rsid w:val="00F81F74"/>
    <w:rsid w:val="00F820FA"/>
    <w:rsid w:val="00F82B2B"/>
    <w:rsid w:val="00F82EA4"/>
    <w:rsid w:val="00F831D2"/>
    <w:rsid w:val="00F83815"/>
    <w:rsid w:val="00F83D39"/>
    <w:rsid w:val="00F846C1"/>
    <w:rsid w:val="00F8486C"/>
    <w:rsid w:val="00F86200"/>
    <w:rsid w:val="00F86794"/>
    <w:rsid w:val="00F86E6B"/>
    <w:rsid w:val="00F871FF"/>
    <w:rsid w:val="00F87776"/>
    <w:rsid w:val="00F8792E"/>
    <w:rsid w:val="00F908B1"/>
    <w:rsid w:val="00F911E8"/>
    <w:rsid w:val="00F928DF"/>
    <w:rsid w:val="00F92F2C"/>
    <w:rsid w:val="00F933BE"/>
    <w:rsid w:val="00F93686"/>
    <w:rsid w:val="00F93893"/>
    <w:rsid w:val="00F94A2A"/>
    <w:rsid w:val="00F94B74"/>
    <w:rsid w:val="00F95238"/>
    <w:rsid w:val="00F95F4F"/>
    <w:rsid w:val="00F96271"/>
    <w:rsid w:val="00F96AF7"/>
    <w:rsid w:val="00F96F7F"/>
    <w:rsid w:val="00F9784A"/>
    <w:rsid w:val="00F97962"/>
    <w:rsid w:val="00F97D48"/>
    <w:rsid w:val="00F97F3F"/>
    <w:rsid w:val="00FA0363"/>
    <w:rsid w:val="00FA047B"/>
    <w:rsid w:val="00FA06E4"/>
    <w:rsid w:val="00FA0725"/>
    <w:rsid w:val="00FA10B6"/>
    <w:rsid w:val="00FA1B3E"/>
    <w:rsid w:val="00FA307E"/>
    <w:rsid w:val="00FA32B1"/>
    <w:rsid w:val="00FA3A2F"/>
    <w:rsid w:val="00FA402C"/>
    <w:rsid w:val="00FA59E0"/>
    <w:rsid w:val="00FA6802"/>
    <w:rsid w:val="00FB0624"/>
    <w:rsid w:val="00FB0AA2"/>
    <w:rsid w:val="00FB0B03"/>
    <w:rsid w:val="00FB0CB2"/>
    <w:rsid w:val="00FB0CBE"/>
    <w:rsid w:val="00FB2195"/>
    <w:rsid w:val="00FB26A6"/>
    <w:rsid w:val="00FB289E"/>
    <w:rsid w:val="00FB4461"/>
    <w:rsid w:val="00FB497F"/>
    <w:rsid w:val="00FB5B47"/>
    <w:rsid w:val="00FB6082"/>
    <w:rsid w:val="00FB6187"/>
    <w:rsid w:val="00FB662C"/>
    <w:rsid w:val="00FB7189"/>
    <w:rsid w:val="00FB7519"/>
    <w:rsid w:val="00FB7D13"/>
    <w:rsid w:val="00FC1617"/>
    <w:rsid w:val="00FC18C0"/>
    <w:rsid w:val="00FC2E2E"/>
    <w:rsid w:val="00FC3C56"/>
    <w:rsid w:val="00FC44B3"/>
    <w:rsid w:val="00FC4714"/>
    <w:rsid w:val="00FC47FF"/>
    <w:rsid w:val="00FC571B"/>
    <w:rsid w:val="00FC60CB"/>
    <w:rsid w:val="00FC6C31"/>
    <w:rsid w:val="00FC7303"/>
    <w:rsid w:val="00FC730B"/>
    <w:rsid w:val="00FC7DD6"/>
    <w:rsid w:val="00FD05A6"/>
    <w:rsid w:val="00FD074E"/>
    <w:rsid w:val="00FD0C95"/>
    <w:rsid w:val="00FD15E7"/>
    <w:rsid w:val="00FD1B0F"/>
    <w:rsid w:val="00FD275C"/>
    <w:rsid w:val="00FD2C08"/>
    <w:rsid w:val="00FD2F2D"/>
    <w:rsid w:val="00FD3A38"/>
    <w:rsid w:val="00FD3F70"/>
    <w:rsid w:val="00FD3FF1"/>
    <w:rsid w:val="00FD44ED"/>
    <w:rsid w:val="00FD45F1"/>
    <w:rsid w:val="00FD4C8A"/>
    <w:rsid w:val="00FD56EE"/>
    <w:rsid w:val="00FD6553"/>
    <w:rsid w:val="00FD6D8F"/>
    <w:rsid w:val="00FD6FBA"/>
    <w:rsid w:val="00FD7D8F"/>
    <w:rsid w:val="00FE0820"/>
    <w:rsid w:val="00FE11F9"/>
    <w:rsid w:val="00FE159A"/>
    <w:rsid w:val="00FE1A02"/>
    <w:rsid w:val="00FE2075"/>
    <w:rsid w:val="00FE2146"/>
    <w:rsid w:val="00FE220A"/>
    <w:rsid w:val="00FE29C1"/>
    <w:rsid w:val="00FE2E5D"/>
    <w:rsid w:val="00FE3052"/>
    <w:rsid w:val="00FE3474"/>
    <w:rsid w:val="00FE3C81"/>
    <w:rsid w:val="00FE4A32"/>
    <w:rsid w:val="00FE4B59"/>
    <w:rsid w:val="00FE566F"/>
    <w:rsid w:val="00FF042B"/>
    <w:rsid w:val="00FF08EA"/>
    <w:rsid w:val="00FF0908"/>
    <w:rsid w:val="00FF16DF"/>
    <w:rsid w:val="00FF16E5"/>
    <w:rsid w:val="00FF192D"/>
    <w:rsid w:val="00FF2062"/>
    <w:rsid w:val="00FF2515"/>
    <w:rsid w:val="00FF48E4"/>
    <w:rsid w:val="00FF5C47"/>
    <w:rsid w:val="00FF5E40"/>
    <w:rsid w:val="00FF5E85"/>
    <w:rsid w:val="00FF7D5B"/>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color="white" strokecolor="#c2d69b">
      <v:fill color="white" color2="#d6e3bc" focusposition="1" focussize="" focus="100%" type="gradient"/>
      <v:stroke color="#c2d69b" weight="1pt"/>
      <v:shadow on="t" type="perspective" color="#4e6128" opacity=".5" offset="1pt" offset2="-3pt"/>
      <o:colormru v:ext="edit" colors="#006460"/>
    </o:shapedefaults>
    <o:shapelayout v:ext="edit">
      <o:idmap v:ext="edit" data="1"/>
    </o:shapelayout>
  </w:shapeDefaults>
  <w:decimalSymbol w:val="."/>
  <w:listSeparator w:val=","/>
  <w14:docId w14:val="1EF1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8E6"/>
    <w:rPr>
      <w:rFonts w:ascii="Arial" w:hAnsi="Arial"/>
      <w:sz w:val="22"/>
    </w:rPr>
  </w:style>
  <w:style w:type="paragraph" w:styleId="Heading1">
    <w:name w:val="heading 1"/>
    <w:basedOn w:val="Normal"/>
    <w:next w:val="Normal"/>
    <w:link w:val="Heading1Char"/>
    <w:uiPriority w:val="9"/>
    <w:qFormat/>
    <w:rsid w:val="00583F8E"/>
    <w:pPr>
      <w:spacing w:before="60" w:after="60"/>
      <w:outlineLvl w:val="0"/>
    </w:pPr>
    <w:rPr>
      <w:b/>
      <w:color w:val="FFFFFF"/>
      <w:sz w:val="24"/>
    </w:rPr>
  </w:style>
  <w:style w:type="paragraph" w:styleId="Heading2">
    <w:name w:val="heading 2"/>
    <w:basedOn w:val="Normal"/>
    <w:next w:val="Normal"/>
    <w:qFormat/>
    <w:rsid w:val="00716F3C"/>
    <w:pPr>
      <w:spacing w:before="120" w:after="120"/>
      <w:jc w:val="both"/>
      <w:outlineLvl w:val="1"/>
    </w:pPr>
    <w:rPr>
      <w:b/>
      <w:color w:val="FFFFFF"/>
    </w:rPr>
  </w:style>
  <w:style w:type="paragraph" w:styleId="Heading3">
    <w:name w:val="heading 3"/>
    <w:basedOn w:val="Normal"/>
    <w:next w:val="Normal"/>
    <w:qFormat/>
    <w:pPr>
      <w:keepNext/>
      <w:jc w:val="both"/>
      <w:outlineLvl w:val="2"/>
    </w:pPr>
    <w:rPr>
      <w:b/>
      <w:i/>
      <w:color w:val="008080"/>
    </w:rPr>
  </w:style>
  <w:style w:type="paragraph" w:styleId="Heading4">
    <w:name w:val="heading 4"/>
    <w:basedOn w:val="Normal"/>
    <w:next w:val="Normal"/>
    <w:uiPriority w:val="9"/>
    <w:qFormat/>
    <w:pPr>
      <w:keepNext/>
      <w:jc w:val="both"/>
      <w:outlineLvl w:val="3"/>
    </w:pPr>
    <w:rPr>
      <w:b/>
      <w:color w:val="008080"/>
    </w:rPr>
  </w:style>
  <w:style w:type="paragraph" w:styleId="Heading5">
    <w:name w:val="heading 5"/>
    <w:basedOn w:val="Normal"/>
    <w:next w:val="Normal"/>
    <w:uiPriority w:val="9"/>
    <w:qFormat/>
    <w:rsid w:val="00D94453"/>
    <w:pPr>
      <w:spacing w:before="240" w:after="60"/>
      <w:outlineLvl w:val="4"/>
    </w:pPr>
    <w:rPr>
      <w:b/>
      <w:bCs/>
      <w:i/>
      <w:iCs/>
      <w:sz w:val="26"/>
      <w:szCs w:val="26"/>
    </w:rPr>
  </w:style>
  <w:style w:type="paragraph" w:styleId="Heading6">
    <w:name w:val="heading 6"/>
    <w:basedOn w:val="Normal"/>
    <w:next w:val="Normal"/>
    <w:uiPriority w:val="9"/>
    <w:qFormat/>
    <w:rsid w:val="00C92973"/>
    <w:pPr>
      <w:spacing w:before="240" w:after="60"/>
      <w:outlineLvl w:val="5"/>
    </w:pPr>
    <w:rPr>
      <w:rFonts w:ascii="Calibri" w:hAnsi="Calibri"/>
      <w:b/>
      <w:bCs/>
      <w:szCs w:val="22"/>
    </w:rPr>
  </w:style>
  <w:style w:type="paragraph" w:styleId="Heading7">
    <w:name w:val="heading 7"/>
    <w:basedOn w:val="Normal"/>
    <w:next w:val="Normal"/>
    <w:uiPriority w:val="9"/>
    <w:qFormat/>
    <w:rsid w:val="00234F72"/>
    <w:pPr>
      <w:spacing w:before="240" w:after="60"/>
      <w:outlineLvl w:val="6"/>
    </w:pPr>
    <w:rPr>
      <w:rFonts w:ascii="Calibri" w:hAnsi="Calibri"/>
      <w:sz w:val="24"/>
      <w:szCs w:val="24"/>
    </w:rPr>
  </w:style>
  <w:style w:type="paragraph" w:styleId="Heading8">
    <w:name w:val="heading 8"/>
    <w:basedOn w:val="Normal"/>
    <w:next w:val="Normal"/>
    <w:uiPriority w:val="9"/>
    <w:qFormat/>
    <w:rsid w:val="00D94453"/>
    <w:pPr>
      <w:keepNext/>
      <w:jc w:val="center"/>
      <w:outlineLvl w:val="7"/>
    </w:pPr>
    <w:rPr>
      <w:b/>
    </w:rPr>
  </w:style>
  <w:style w:type="paragraph" w:styleId="Heading9">
    <w:name w:val="heading 9"/>
    <w:basedOn w:val="Normal"/>
    <w:next w:val="Normal"/>
    <w:uiPriority w:val="9"/>
    <w:qFormat/>
    <w:rsid w:val="0083724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Calibri"/>
      <w:sz w:val="16"/>
      <w:szCs w:val="16"/>
    </w:rPr>
  </w:style>
  <w:style w:type="character" w:styleId="Hyperlink">
    <w:name w:val="Hyperlink"/>
    <w:uiPriority w:val="99"/>
    <w:rPr>
      <w:color w:val="0000FF"/>
      <w:u w:val="single"/>
    </w:rPr>
  </w:style>
  <w:style w:type="paragraph" w:styleId="BodyText">
    <w:name w:val="Body Text"/>
    <w:basedOn w:val="Normal"/>
    <w:semiHidden/>
    <w:pPr>
      <w:jc w:val="both"/>
    </w:pPr>
  </w:style>
  <w:style w:type="paragraph" w:styleId="BodyTextIndent">
    <w:name w:val="Body Text Indent"/>
    <w:basedOn w:val="Normal"/>
    <w:semiHidden/>
    <w:pPr>
      <w:ind w:left="360" w:hanging="360"/>
      <w:jc w:val="both"/>
    </w:pPr>
  </w:style>
  <w:style w:type="paragraph" w:styleId="BodyText2">
    <w:name w:val="Body Text 2"/>
    <w:basedOn w:val="Normal"/>
    <w:semiHidden/>
    <w:pPr>
      <w:jc w:val="both"/>
    </w:pPr>
    <w:rPr>
      <w:i/>
    </w:rPr>
  </w:style>
  <w:style w:type="paragraph" w:styleId="BodyText3">
    <w:name w:val="Body Text 3"/>
    <w:basedOn w:val="Normal"/>
    <w:semiHidden/>
    <w:pPr>
      <w:jc w:val="both"/>
    </w:pPr>
    <w:rPr>
      <w:i/>
      <w:color w:val="008080"/>
      <w:kern w:val="32"/>
    </w:rPr>
  </w:style>
  <w:style w:type="paragraph" w:styleId="ListParagraph">
    <w:name w:val="List Paragraph"/>
    <w:basedOn w:val="Normal"/>
    <w:link w:val="ListParagraphChar"/>
    <w:uiPriority w:val="34"/>
    <w:qFormat/>
    <w:rsid w:val="00B8221C"/>
    <w:pPr>
      <w:ind w:left="720"/>
      <w:contextualSpacing/>
    </w:pPr>
  </w:style>
  <w:style w:type="paragraph" w:styleId="TOC1">
    <w:name w:val="toc 1"/>
    <w:basedOn w:val="Normal"/>
    <w:next w:val="Normal"/>
    <w:autoRedefine/>
    <w:uiPriority w:val="39"/>
    <w:rsid w:val="003C12B2"/>
    <w:pPr>
      <w:spacing w:after="100"/>
    </w:pPr>
  </w:style>
  <w:style w:type="paragraph" w:styleId="TOC2">
    <w:name w:val="toc 2"/>
    <w:basedOn w:val="Normal"/>
    <w:next w:val="Normal"/>
    <w:autoRedefine/>
    <w:uiPriority w:val="39"/>
    <w:rsid w:val="003C12B2"/>
    <w:pPr>
      <w:spacing w:after="100"/>
      <w:ind w:left="220"/>
    </w:pPr>
  </w:style>
  <w:style w:type="paragraph" w:customStyle="1" w:styleId="Default">
    <w:name w:val="Default"/>
    <w:rsid w:val="00D8403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7AF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58E6"/>
    <w:rPr>
      <w:rFonts w:ascii="Arial" w:hAnsi="Arial"/>
      <w:b/>
      <w:color w:val="FFFFFF"/>
      <w:sz w:val="24"/>
      <w:lang w:val="en-US"/>
    </w:rPr>
  </w:style>
  <w:style w:type="paragraph" w:styleId="Revision">
    <w:name w:val="Revision"/>
    <w:hidden/>
    <w:uiPriority w:val="99"/>
    <w:semiHidden/>
    <w:rsid w:val="00D26154"/>
    <w:rPr>
      <w:rFonts w:ascii="Arial" w:hAnsi="Arial"/>
      <w:sz w:val="22"/>
    </w:rPr>
  </w:style>
  <w:style w:type="paragraph" w:styleId="Header">
    <w:name w:val="header"/>
    <w:basedOn w:val="Normal"/>
    <w:link w:val="HeaderChar"/>
    <w:uiPriority w:val="99"/>
    <w:rsid w:val="00514E9E"/>
    <w:pPr>
      <w:tabs>
        <w:tab w:val="center" w:pos="4536"/>
        <w:tab w:val="right" w:pos="9072"/>
      </w:tabs>
    </w:pPr>
  </w:style>
  <w:style w:type="character" w:customStyle="1" w:styleId="HeaderChar">
    <w:name w:val="Header Char"/>
    <w:basedOn w:val="DefaultParagraphFont"/>
    <w:link w:val="Header"/>
    <w:uiPriority w:val="99"/>
    <w:rsid w:val="00514E9E"/>
    <w:rPr>
      <w:rFonts w:ascii="Arial" w:hAnsi="Arial"/>
      <w:sz w:val="22"/>
      <w:lang w:val="en-US"/>
    </w:rPr>
  </w:style>
  <w:style w:type="character" w:customStyle="1" w:styleId="ListParagraphChar">
    <w:name w:val="List Paragraph Char"/>
    <w:link w:val="ListParagraph"/>
    <w:uiPriority w:val="34"/>
    <w:rsid w:val="009372B8"/>
    <w:rPr>
      <w:rFonts w:ascii="Arial" w:hAnsi="Arial"/>
      <w:sz w:val="22"/>
      <w:lang w:val="en-US"/>
    </w:rPr>
  </w:style>
  <w:style w:type="paragraph" w:styleId="TOC3">
    <w:name w:val="toc 3"/>
    <w:basedOn w:val="Normal"/>
    <w:next w:val="Normal"/>
    <w:autoRedefine/>
    <w:uiPriority w:val="39"/>
    <w:rsid w:val="008F0EDC"/>
    <w:pPr>
      <w:ind w:left="440"/>
    </w:pPr>
  </w:style>
  <w:style w:type="paragraph" w:styleId="TOC4">
    <w:name w:val="toc 4"/>
    <w:basedOn w:val="Normal"/>
    <w:next w:val="Normal"/>
    <w:autoRedefine/>
    <w:rsid w:val="008F0EDC"/>
    <w:pPr>
      <w:ind w:left="660"/>
    </w:pPr>
  </w:style>
  <w:style w:type="paragraph" w:styleId="TOC5">
    <w:name w:val="toc 5"/>
    <w:basedOn w:val="Normal"/>
    <w:next w:val="Normal"/>
    <w:autoRedefine/>
    <w:rsid w:val="008F0EDC"/>
    <w:pPr>
      <w:ind w:left="880"/>
    </w:pPr>
  </w:style>
  <w:style w:type="paragraph" w:styleId="TOC6">
    <w:name w:val="toc 6"/>
    <w:basedOn w:val="Normal"/>
    <w:next w:val="Normal"/>
    <w:autoRedefine/>
    <w:rsid w:val="008F0EDC"/>
    <w:pPr>
      <w:ind w:left="1100"/>
    </w:pPr>
  </w:style>
  <w:style w:type="paragraph" w:styleId="TOC7">
    <w:name w:val="toc 7"/>
    <w:basedOn w:val="Normal"/>
    <w:next w:val="Normal"/>
    <w:autoRedefine/>
    <w:rsid w:val="008F0EDC"/>
    <w:pPr>
      <w:ind w:left="1320"/>
    </w:pPr>
  </w:style>
  <w:style w:type="paragraph" w:styleId="TOC8">
    <w:name w:val="toc 8"/>
    <w:basedOn w:val="Normal"/>
    <w:next w:val="Normal"/>
    <w:autoRedefine/>
    <w:rsid w:val="008F0EDC"/>
    <w:pPr>
      <w:ind w:left="1540"/>
    </w:pPr>
  </w:style>
  <w:style w:type="paragraph" w:styleId="TOC9">
    <w:name w:val="toc 9"/>
    <w:basedOn w:val="Normal"/>
    <w:next w:val="Normal"/>
    <w:autoRedefine/>
    <w:rsid w:val="008F0EDC"/>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8E6"/>
    <w:rPr>
      <w:rFonts w:ascii="Arial" w:hAnsi="Arial"/>
      <w:sz w:val="22"/>
    </w:rPr>
  </w:style>
  <w:style w:type="paragraph" w:styleId="Heading1">
    <w:name w:val="heading 1"/>
    <w:basedOn w:val="Normal"/>
    <w:next w:val="Normal"/>
    <w:link w:val="Heading1Char"/>
    <w:uiPriority w:val="9"/>
    <w:qFormat/>
    <w:rsid w:val="00583F8E"/>
    <w:pPr>
      <w:spacing w:before="60" w:after="60"/>
      <w:outlineLvl w:val="0"/>
    </w:pPr>
    <w:rPr>
      <w:b/>
      <w:color w:val="FFFFFF"/>
      <w:sz w:val="24"/>
    </w:rPr>
  </w:style>
  <w:style w:type="paragraph" w:styleId="Heading2">
    <w:name w:val="heading 2"/>
    <w:basedOn w:val="Normal"/>
    <w:next w:val="Normal"/>
    <w:qFormat/>
    <w:rsid w:val="00716F3C"/>
    <w:pPr>
      <w:spacing w:before="120" w:after="120"/>
      <w:jc w:val="both"/>
      <w:outlineLvl w:val="1"/>
    </w:pPr>
    <w:rPr>
      <w:b/>
      <w:color w:val="FFFFFF"/>
    </w:rPr>
  </w:style>
  <w:style w:type="paragraph" w:styleId="Heading3">
    <w:name w:val="heading 3"/>
    <w:basedOn w:val="Normal"/>
    <w:next w:val="Normal"/>
    <w:qFormat/>
    <w:pPr>
      <w:keepNext/>
      <w:jc w:val="both"/>
      <w:outlineLvl w:val="2"/>
    </w:pPr>
    <w:rPr>
      <w:b/>
      <w:i/>
      <w:color w:val="008080"/>
    </w:rPr>
  </w:style>
  <w:style w:type="paragraph" w:styleId="Heading4">
    <w:name w:val="heading 4"/>
    <w:basedOn w:val="Normal"/>
    <w:next w:val="Normal"/>
    <w:uiPriority w:val="9"/>
    <w:qFormat/>
    <w:pPr>
      <w:keepNext/>
      <w:jc w:val="both"/>
      <w:outlineLvl w:val="3"/>
    </w:pPr>
    <w:rPr>
      <w:b/>
      <w:color w:val="008080"/>
    </w:rPr>
  </w:style>
  <w:style w:type="paragraph" w:styleId="Heading5">
    <w:name w:val="heading 5"/>
    <w:basedOn w:val="Normal"/>
    <w:next w:val="Normal"/>
    <w:uiPriority w:val="9"/>
    <w:qFormat/>
    <w:rsid w:val="00D94453"/>
    <w:pPr>
      <w:spacing w:before="240" w:after="60"/>
      <w:outlineLvl w:val="4"/>
    </w:pPr>
    <w:rPr>
      <w:b/>
      <w:bCs/>
      <w:i/>
      <w:iCs/>
      <w:sz w:val="26"/>
      <w:szCs w:val="26"/>
    </w:rPr>
  </w:style>
  <w:style w:type="paragraph" w:styleId="Heading6">
    <w:name w:val="heading 6"/>
    <w:basedOn w:val="Normal"/>
    <w:next w:val="Normal"/>
    <w:uiPriority w:val="9"/>
    <w:qFormat/>
    <w:rsid w:val="00C92973"/>
    <w:pPr>
      <w:spacing w:before="240" w:after="60"/>
      <w:outlineLvl w:val="5"/>
    </w:pPr>
    <w:rPr>
      <w:rFonts w:ascii="Calibri" w:hAnsi="Calibri"/>
      <w:b/>
      <w:bCs/>
      <w:szCs w:val="22"/>
    </w:rPr>
  </w:style>
  <w:style w:type="paragraph" w:styleId="Heading7">
    <w:name w:val="heading 7"/>
    <w:basedOn w:val="Normal"/>
    <w:next w:val="Normal"/>
    <w:uiPriority w:val="9"/>
    <w:qFormat/>
    <w:rsid w:val="00234F72"/>
    <w:pPr>
      <w:spacing w:before="240" w:after="60"/>
      <w:outlineLvl w:val="6"/>
    </w:pPr>
    <w:rPr>
      <w:rFonts w:ascii="Calibri" w:hAnsi="Calibri"/>
      <w:sz w:val="24"/>
      <w:szCs w:val="24"/>
    </w:rPr>
  </w:style>
  <w:style w:type="paragraph" w:styleId="Heading8">
    <w:name w:val="heading 8"/>
    <w:basedOn w:val="Normal"/>
    <w:next w:val="Normal"/>
    <w:uiPriority w:val="9"/>
    <w:qFormat/>
    <w:rsid w:val="00D94453"/>
    <w:pPr>
      <w:keepNext/>
      <w:jc w:val="center"/>
      <w:outlineLvl w:val="7"/>
    </w:pPr>
    <w:rPr>
      <w:b/>
    </w:rPr>
  </w:style>
  <w:style w:type="paragraph" w:styleId="Heading9">
    <w:name w:val="heading 9"/>
    <w:basedOn w:val="Normal"/>
    <w:next w:val="Normal"/>
    <w:uiPriority w:val="9"/>
    <w:qFormat/>
    <w:rsid w:val="0083724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Calibri"/>
      <w:sz w:val="16"/>
      <w:szCs w:val="16"/>
    </w:rPr>
  </w:style>
  <w:style w:type="character" w:styleId="Hyperlink">
    <w:name w:val="Hyperlink"/>
    <w:uiPriority w:val="99"/>
    <w:rPr>
      <w:color w:val="0000FF"/>
      <w:u w:val="single"/>
    </w:rPr>
  </w:style>
  <w:style w:type="paragraph" w:styleId="BodyText">
    <w:name w:val="Body Text"/>
    <w:basedOn w:val="Normal"/>
    <w:semiHidden/>
    <w:pPr>
      <w:jc w:val="both"/>
    </w:pPr>
  </w:style>
  <w:style w:type="paragraph" w:styleId="BodyTextIndent">
    <w:name w:val="Body Text Indent"/>
    <w:basedOn w:val="Normal"/>
    <w:semiHidden/>
    <w:pPr>
      <w:ind w:left="360" w:hanging="360"/>
      <w:jc w:val="both"/>
    </w:pPr>
  </w:style>
  <w:style w:type="paragraph" w:styleId="BodyText2">
    <w:name w:val="Body Text 2"/>
    <w:basedOn w:val="Normal"/>
    <w:semiHidden/>
    <w:pPr>
      <w:jc w:val="both"/>
    </w:pPr>
    <w:rPr>
      <w:i/>
    </w:rPr>
  </w:style>
  <w:style w:type="paragraph" w:styleId="BodyText3">
    <w:name w:val="Body Text 3"/>
    <w:basedOn w:val="Normal"/>
    <w:semiHidden/>
    <w:pPr>
      <w:jc w:val="both"/>
    </w:pPr>
    <w:rPr>
      <w:i/>
      <w:color w:val="008080"/>
      <w:kern w:val="32"/>
    </w:rPr>
  </w:style>
  <w:style w:type="paragraph" w:styleId="ListParagraph">
    <w:name w:val="List Paragraph"/>
    <w:basedOn w:val="Normal"/>
    <w:link w:val="ListParagraphChar"/>
    <w:uiPriority w:val="34"/>
    <w:qFormat/>
    <w:rsid w:val="00B8221C"/>
    <w:pPr>
      <w:ind w:left="720"/>
      <w:contextualSpacing/>
    </w:pPr>
  </w:style>
  <w:style w:type="paragraph" w:styleId="TOC1">
    <w:name w:val="toc 1"/>
    <w:basedOn w:val="Normal"/>
    <w:next w:val="Normal"/>
    <w:autoRedefine/>
    <w:uiPriority w:val="39"/>
    <w:rsid w:val="003C12B2"/>
    <w:pPr>
      <w:spacing w:after="100"/>
    </w:pPr>
  </w:style>
  <w:style w:type="paragraph" w:styleId="TOC2">
    <w:name w:val="toc 2"/>
    <w:basedOn w:val="Normal"/>
    <w:next w:val="Normal"/>
    <w:autoRedefine/>
    <w:uiPriority w:val="39"/>
    <w:rsid w:val="003C12B2"/>
    <w:pPr>
      <w:spacing w:after="100"/>
      <w:ind w:left="220"/>
    </w:pPr>
  </w:style>
  <w:style w:type="paragraph" w:customStyle="1" w:styleId="Default">
    <w:name w:val="Default"/>
    <w:rsid w:val="00D8403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7AF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58E6"/>
    <w:rPr>
      <w:rFonts w:ascii="Arial" w:hAnsi="Arial"/>
      <w:b/>
      <w:color w:val="FFFFFF"/>
      <w:sz w:val="24"/>
      <w:lang w:val="en-US"/>
    </w:rPr>
  </w:style>
  <w:style w:type="paragraph" w:styleId="Revision">
    <w:name w:val="Revision"/>
    <w:hidden/>
    <w:uiPriority w:val="99"/>
    <w:semiHidden/>
    <w:rsid w:val="00D26154"/>
    <w:rPr>
      <w:rFonts w:ascii="Arial" w:hAnsi="Arial"/>
      <w:sz w:val="22"/>
    </w:rPr>
  </w:style>
  <w:style w:type="paragraph" w:styleId="Header">
    <w:name w:val="header"/>
    <w:basedOn w:val="Normal"/>
    <w:link w:val="HeaderChar"/>
    <w:uiPriority w:val="99"/>
    <w:rsid w:val="00514E9E"/>
    <w:pPr>
      <w:tabs>
        <w:tab w:val="center" w:pos="4536"/>
        <w:tab w:val="right" w:pos="9072"/>
      </w:tabs>
    </w:pPr>
  </w:style>
  <w:style w:type="character" w:customStyle="1" w:styleId="HeaderChar">
    <w:name w:val="Header Char"/>
    <w:basedOn w:val="DefaultParagraphFont"/>
    <w:link w:val="Header"/>
    <w:uiPriority w:val="99"/>
    <w:rsid w:val="00514E9E"/>
    <w:rPr>
      <w:rFonts w:ascii="Arial" w:hAnsi="Arial"/>
      <w:sz w:val="22"/>
      <w:lang w:val="en-US"/>
    </w:rPr>
  </w:style>
  <w:style w:type="character" w:customStyle="1" w:styleId="ListParagraphChar">
    <w:name w:val="List Paragraph Char"/>
    <w:link w:val="ListParagraph"/>
    <w:uiPriority w:val="34"/>
    <w:rsid w:val="009372B8"/>
    <w:rPr>
      <w:rFonts w:ascii="Arial" w:hAnsi="Arial"/>
      <w:sz w:val="22"/>
      <w:lang w:val="en-US"/>
    </w:rPr>
  </w:style>
  <w:style w:type="paragraph" w:styleId="TOC3">
    <w:name w:val="toc 3"/>
    <w:basedOn w:val="Normal"/>
    <w:next w:val="Normal"/>
    <w:autoRedefine/>
    <w:uiPriority w:val="39"/>
    <w:rsid w:val="008F0EDC"/>
    <w:pPr>
      <w:ind w:left="440"/>
    </w:pPr>
  </w:style>
  <w:style w:type="paragraph" w:styleId="TOC4">
    <w:name w:val="toc 4"/>
    <w:basedOn w:val="Normal"/>
    <w:next w:val="Normal"/>
    <w:autoRedefine/>
    <w:rsid w:val="008F0EDC"/>
    <w:pPr>
      <w:ind w:left="660"/>
    </w:pPr>
  </w:style>
  <w:style w:type="paragraph" w:styleId="TOC5">
    <w:name w:val="toc 5"/>
    <w:basedOn w:val="Normal"/>
    <w:next w:val="Normal"/>
    <w:autoRedefine/>
    <w:rsid w:val="008F0EDC"/>
    <w:pPr>
      <w:ind w:left="880"/>
    </w:pPr>
  </w:style>
  <w:style w:type="paragraph" w:styleId="TOC6">
    <w:name w:val="toc 6"/>
    <w:basedOn w:val="Normal"/>
    <w:next w:val="Normal"/>
    <w:autoRedefine/>
    <w:rsid w:val="008F0EDC"/>
    <w:pPr>
      <w:ind w:left="1100"/>
    </w:pPr>
  </w:style>
  <w:style w:type="paragraph" w:styleId="TOC7">
    <w:name w:val="toc 7"/>
    <w:basedOn w:val="Normal"/>
    <w:next w:val="Normal"/>
    <w:autoRedefine/>
    <w:rsid w:val="008F0EDC"/>
    <w:pPr>
      <w:ind w:left="1320"/>
    </w:pPr>
  </w:style>
  <w:style w:type="paragraph" w:styleId="TOC8">
    <w:name w:val="toc 8"/>
    <w:basedOn w:val="Normal"/>
    <w:next w:val="Normal"/>
    <w:autoRedefine/>
    <w:rsid w:val="008F0EDC"/>
    <w:pPr>
      <w:ind w:left="1540"/>
    </w:pPr>
  </w:style>
  <w:style w:type="paragraph" w:styleId="TOC9">
    <w:name w:val="toc 9"/>
    <w:basedOn w:val="Normal"/>
    <w:next w:val="Normal"/>
    <w:autoRedefine/>
    <w:rsid w:val="008F0EDC"/>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3160">
      <w:bodyDiv w:val="1"/>
      <w:marLeft w:val="0"/>
      <w:marRight w:val="0"/>
      <w:marTop w:val="0"/>
      <w:marBottom w:val="0"/>
      <w:divBdr>
        <w:top w:val="none" w:sz="0" w:space="0" w:color="auto"/>
        <w:left w:val="none" w:sz="0" w:space="0" w:color="auto"/>
        <w:bottom w:val="none" w:sz="0" w:space="0" w:color="auto"/>
        <w:right w:val="none" w:sz="0" w:space="0" w:color="auto"/>
      </w:divBdr>
    </w:div>
    <w:div w:id="153424331">
      <w:bodyDiv w:val="1"/>
      <w:marLeft w:val="0"/>
      <w:marRight w:val="0"/>
      <w:marTop w:val="0"/>
      <w:marBottom w:val="0"/>
      <w:divBdr>
        <w:top w:val="none" w:sz="0" w:space="0" w:color="auto"/>
        <w:left w:val="none" w:sz="0" w:space="0" w:color="auto"/>
        <w:bottom w:val="none" w:sz="0" w:space="0" w:color="auto"/>
        <w:right w:val="none" w:sz="0" w:space="0" w:color="auto"/>
      </w:divBdr>
    </w:div>
    <w:div w:id="160588041">
      <w:bodyDiv w:val="1"/>
      <w:marLeft w:val="0"/>
      <w:marRight w:val="0"/>
      <w:marTop w:val="0"/>
      <w:marBottom w:val="0"/>
      <w:divBdr>
        <w:top w:val="none" w:sz="0" w:space="0" w:color="auto"/>
        <w:left w:val="none" w:sz="0" w:space="0" w:color="auto"/>
        <w:bottom w:val="none" w:sz="0" w:space="0" w:color="auto"/>
        <w:right w:val="none" w:sz="0" w:space="0" w:color="auto"/>
      </w:divBdr>
    </w:div>
    <w:div w:id="165479868">
      <w:bodyDiv w:val="1"/>
      <w:marLeft w:val="0"/>
      <w:marRight w:val="0"/>
      <w:marTop w:val="0"/>
      <w:marBottom w:val="0"/>
      <w:divBdr>
        <w:top w:val="none" w:sz="0" w:space="0" w:color="auto"/>
        <w:left w:val="none" w:sz="0" w:space="0" w:color="auto"/>
        <w:bottom w:val="none" w:sz="0" w:space="0" w:color="auto"/>
        <w:right w:val="none" w:sz="0" w:space="0" w:color="auto"/>
      </w:divBdr>
      <w:divsChild>
        <w:div w:id="869299304">
          <w:marLeft w:val="446"/>
          <w:marRight w:val="0"/>
          <w:marTop w:val="0"/>
          <w:marBottom w:val="0"/>
          <w:divBdr>
            <w:top w:val="none" w:sz="0" w:space="0" w:color="auto"/>
            <w:left w:val="none" w:sz="0" w:space="0" w:color="auto"/>
            <w:bottom w:val="none" w:sz="0" w:space="0" w:color="auto"/>
            <w:right w:val="none" w:sz="0" w:space="0" w:color="auto"/>
          </w:divBdr>
        </w:div>
        <w:div w:id="2104183223">
          <w:marLeft w:val="446"/>
          <w:marRight w:val="0"/>
          <w:marTop w:val="0"/>
          <w:marBottom w:val="0"/>
          <w:divBdr>
            <w:top w:val="none" w:sz="0" w:space="0" w:color="auto"/>
            <w:left w:val="none" w:sz="0" w:space="0" w:color="auto"/>
            <w:bottom w:val="none" w:sz="0" w:space="0" w:color="auto"/>
            <w:right w:val="none" w:sz="0" w:space="0" w:color="auto"/>
          </w:divBdr>
        </w:div>
      </w:divsChild>
    </w:div>
    <w:div w:id="183398945">
      <w:bodyDiv w:val="1"/>
      <w:marLeft w:val="0"/>
      <w:marRight w:val="0"/>
      <w:marTop w:val="0"/>
      <w:marBottom w:val="0"/>
      <w:divBdr>
        <w:top w:val="none" w:sz="0" w:space="0" w:color="auto"/>
        <w:left w:val="none" w:sz="0" w:space="0" w:color="auto"/>
        <w:bottom w:val="none" w:sz="0" w:space="0" w:color="auto"/>
        <w:right w:val="none" w:sz="0" w:space="0" w:color="auto"/>
      </w:divBdr>
    </w:div>
    <w:div w:id="195512218">
      <w:bodyDiv w:val="1"/>
      <w:marLeft w:val="0"/>
      <w:marRight w:val="0"/>
      <w:marTop w:val="0"/>
      <w:marBottom w:val="0"/>
      <w:divBdr>
        <w:top w:val="none" w:sz="0" w:space="0" w:color="auto"/>
        <w:left w:val="none" w:sz="0" w:space="0" w:color="auto"/>
        <w:bottom w:val="none" w:sz="0" w:space="0" w:color="auto"/>
        <w:right w:val="none" w:sz="0" w:space="0" w:color="auto"/>
      </w:divBdr>
    </w:div>
    <w:div w:id="196160387">
      <w:bodyDiv w:val="1"/>
      <w:marLeft w:val="0"/>
      <w:marRight w:val="0"/>
      <w:marTop w:val="0"/>
      <w:marBottom w:val="0"/>
      <w:divBdr>
        <w:top w:val="none" w:sz="0" w:space="0" w:color="auto"/>
        <w:left w:val="none" w:sz="0" w:space="0" w:color="auto"/>
        <w:bottom w:val="none" w:sz="0" w:space="0" w:color="auto"/>
        <w:right w:val="none" w:sz="0" w:space="0" w:color="auto"/>
      </w:divBdr>
    </w:div>
    <w:div w:id="203250232">
      <w:bodyDiv w:val="1"/>
      <w:marLeft w:val="0"/>
      <w:marRight w:val="0"/>
      <w:marTop w:val="0"/>
      <w:marBottom w:val="0"/>
      <w:divBdr>
        <w:top w:val="none" w:sz="0" w:space="0" w:color="auto"/>
        <w:left w:val="none" w:sz="0" w:space="0" w:color="auto"/>
        <w:bottom w:val="none" w:sz="0" w:space="0" w:color="auto"/>
        <w:right w:val="none" w:sz="0" w:space="0" w:color="auto"/>
      </w:divBdr>
      <w:divsChild>
        <w:div w:id="279384512">
          <w:marLeft w:val="446"/>
          <w:marRight w:val="0"/>
          <w:marTop w:val="0"/>
          <w:marBottom w:val="0"/>
          <w:divBdr>
            <w:top w:val="none" w:sz="0" w:space="0" w:color="auto"/>
            <w:left w:val="none" w:sz="0" w:space="0" w:color="auto"/>
            <w:bottom w:val="none" w:sz="0" w:space="0" w:color="auto"/>
            <w:right w:val="none" w:sz="0" w:space="0" w:color="auto"/>
          </w:divBdr>
        </w:div>
      </w:divsChild>
    </w:div>
    <w:div w:id="218832759">
      <w:bodyDiv w:val="1"/>
      <w:marLeft w:val="0"/>
      <w:marRight w:val="0"/>
      <w:marTop w:val="0"/>
      <w:marBottom w:val="0"/>
      <w:divBdr>
        <w:top w:val="none" w:sz="0" w:space="0" w:color="auto"/>
        <w:left w:val="none" w:sz="0" w:space="0" w:color="auto"/>
        <w:bottom w:val="none" w:sz="0" w:space="0" w:color="auto"/>
        <w:right w:val="none" w:sz="0" w:space="0" w:color="auto"/>
      </w:divBdr>
    </w:div>
    <w:div w:id="241913401">
      <w:bodyDiv w:val="1"/>
      <w:marLeft w:val="0"/>
      <w:marRight w:val="0"/>
      <w:marTop w:val="0"/>
      <w:marBottom w:val="0"/>
      <w:divBdr>
        <w:top w:val="none" w:sz="0" w:space="0" w:color="auto"/>
        <w:left w:val="none" w:sz="0" w:space="0" w:color="auto"/>
        <w:bottom w:val="none" w:sz="0" w:space="0" w:color="auto"/>
        <w:right w:val="none" w:sz="0" w:space="0" w:color="auto"/>
      </w:divBdr>
    </w:div>
    <w:div w:id="272135638">
      <w:bodyDiv w:val="1"/>
      <w:marLeft w:val="0"/>
      <w:marRight w:val="0"/>
      <w:marTop w:val="0"/>
      <w:marBottom w:val="0"/>
      <w:divBdr>
        <w:top w:val="none" w:sz="0" w:space="0" w:color="auto"/>
        <w:left w:val="none" w:sz="0" w:space="0" w:color="auto"/>
        <w:bottom w:val="none" w:sz="0" w:space="0" w:color="auto"/>
        <w:right w:val="none" w:sz="0" w:space="0" w:color="auto"/>
      </w:divBdr>
    </w:div>
    <w:div w:id="312179414">
      <w:bodyDiv w:val="1"/>
      <w:marLeft w:val="0"/>
      <w:marRight w:val="0"/>
      <w:marTop w:val="0"/>
      <w:marBottom w:val="0"/>
      <w:divBdr>
        <w:top w:val="none" w:sz="0" w:space="0" w:color="auto"/>
        <w:left w:val="none" w:sz="0" w:space="0" w:color="auto"/>
        <w:bottom w:val="none" w:sz="0" w:space="0" w:color="auto"/>
        <w:right w:val="none" w:sz="0" w:space="0" w:color="auto"/>
      </w:divBdr>
    </w:div>
    <w:div w:id="315769020">
      <w:bodyDiv w:val="1"/>
      <w:marLeft w:val="0"/>
      <w:marRight w:val="0"/>
      <w:marTop w:val="0"/>
      <w:marBottom w:val="0"/>
      <w:divBdr>
        <w:top w:val="none" w:sz="0" w:space="0" w:color="auto"/>
        <w:left w:val="none" w:sz="0" w:space="0" w:color="auto"/>
        <w:bottom w:val="none" w:sz="0" w:space="0" w:color="auto"/>
        <w:right w:val="none" w:sz="0" w:space="0" w:color="auto"/>
      </w:divBdr>
    </w:div>
    <w:div w:id="323820206">
      <w:bodyDiv w:val="1"/>
      <w:marLeft w:val="0"/>
      <w:marRight w:val="0"/>
      <w:marTop w:val="0"/>
      <w:marBottom w:val="0"/>
      <w:divBdr>
        <w:top w:val="none" w:sz="0" w:space="0" w:color="auto"/>
        <w:left w:val="none" w:sz="0" w:space="0" w:color="auto"/>
        <w:bottom w:val="none" w:sz="0" w:space="0" w:color="auto"/>
        <w:right w:val="none" w:sz="0" w:space="0" w:color="auto"/>
      </w:divBdr>
    </w:div>
    <w:div w:id="347605475">
      <w:bodyDiv w:val="1"/>
      <w:marLeft w:val="0"/>
      <w:marRight w:val="0"/>
      <w:marTop w:val="0"/>
      <w:marBottom w:val="0"/>
      <w:divBdr>
        <w:top w:val="none" w:sz="0" w:space="0" w:color="auto"/>
        <w:left w:val="none" w:sz="0" w:space="0" w:color="auto"/>
        <w:bottom w:val="none" w:sz="0" w:space="0" w:color="auto"/>
        <w:right w:val="none" w:sz="0" w:space="0" w:color="auto"/>
      </w:divBdr>
    </w:div>
    <w:div w:id="388385169">
      <w:bodyDiv w:val="1"/>
      <w:marLeft w:val="0"/>
      <w:marRight w:val="0"/>
      <w:marTop w:val="0"/>
      <w:marBottom w:val="0"/>
      <w:divBdr>
        <w:top w:val="none" w:sz="0" w:space="0" w:color="auto"/>
        <w:left w:val="none" w:sz="0" w:space="0" w:color="auto"/>
        <w:bottom w:val="none" w:sz="0" w:space="0" w:color="auto"/>
        <w:right w:val="none" w:sz="0" w:space="0" w:color="auto"/>
      </w:divBdr>
    </w:div>
    <w:div w:id="402066085">
      <w:bodyDiv w:val="1"/>
      <w:marLeft w:val="0"/>
      <w:marRight w:val="0"/>
      <w:marTop w:val="0"/>
      <w:marBottom w:val="0"/>
      <w:divBdr>
        <w:top w:val="none" w:sz="0" w:space="0" w:color="auto"/>
        <w:left w:val="none" w:sz="0" w:space="0" w:color="auto"/>
        <w:bottom w:val="none" w:sz="0" w:space="0" w:color="auto"/>
        <w:right w:val="none" w:sz="0" w:space="0" w:color="auto"/>
      </w:divBdr>
      <w:divsChild>
        <w:div w:id="9840770">
          <w:marLeft w:val="446"/>
          <w:marRight w:val="0"/>
          <w:marTop w:val="0"/>
          <w:marBottom w:val="0"/>
          <w:divBdr>
            <w:top w:val="none" w:sz="0" w:space="0" w:color="auto"/>
            <w:left w:val="none" w:sz="0" w:space="0" w:color="auto"/>
            <w:bottom w:val="none" w:sz="0" w:space="0" w:color="auto"/>
            <w:right w:val="none" w:sz="0" w:space="0" w:color="auto"/>
          </w:divBdr>
        </w:div>
      </w:divsChild>
    </w:div>
    <w:div w:id="410659375">
      <w:bodyDiv w:val="1"/>
      <w:marLeft w:val="0"/>
      <w:marRight w:val="0"/>
      <w:marTop w:val="0"/>
      <w:marBottom w:val="0"/>
      <w:divBdr>
        <w:top w:val="none" w:sz="0" w:space="0" w:color="auto"/>
        <w:left w:val="none" w:sz="0" w:space="0" w:color="auto"/>
        <w:bottom w:val="none" w:sz="0" w:space="0" w:color="auto"/>
        <w:right w:val="none" w:sz="0" w:space="0" w:color="auto"/>
      </w:divBdr>
    </w:div>
    <w:div w:id="412512547">
      <w:bodyDiv w:val="1"/>
      <w:marLeft w:val="0"/>
      <w:marRight w:val="0"/>
      <w:marTop w:val="0"/>
      <w:marBottom w:val="0"/>
      <w:divBdr>
        <w:top w:val="none" w:sz="0" w:space="0" w:color="auto"/>
        <w:left w:val="none" w:sz="0" w:space="0" w:color="auto"/>
        <w:bottom w:val="none" w:sz="0" w:space="0" w:color="auto"/>
        <w:right w:val="none" w:sz="0" w:space="0" w:color="auto"/>
      </w:divBdr>
    </w:div>
    <w:div w:id="479421629">
      <w:bodyDiv w:val="1"/>
      <w:marLeft w:val="0"/>
      <w:marRight w:val="0"/>
      <w:marTop w:val="0"/>
      <w:marBottom w:val="0"/>
      <w:divBdr>
        <w:top w:val="none" w:sz="0" w:space="0" w:color="auto"/>
        <w:left w:val="none" w:sz="0" w:space="0" w:color="auto"/>
        <w:bottom w:val="none" w:sz="0" w:space="0" w:color="auto"/>
        <w:right w:val="none" w:sz="0" w:space="0" w:color="auto"/>
      </w:divBdr>
    </w:div>
    <w:div w:id="485363827">
      <w:bodyDiv w:val="1"/>
      <w:marLeft w:val="0"/>
      <w:marRight w:val="0"/>
      <w:marTop w:val="0"/>
      <w:marBottom w:val="0"/>
      <w:divBdr>
        <w:top w:val="none" w:sz="0" w:space="0" w:color="auto"/>
        <w:left w:val="none" w:sz="0" w:space="0" w:color="auto"/>
        <w:bottom w:val="none" w:sz="0" w:space="0" w:color="auto"/>
        <w:right w:val="none" w:sz="0" w:space="0" w:color="auto"/>
      </w:divBdr>
    </w:div>
    <w:div w:id="508642078">
      <w:bodyDiv w:val="1"/>
      <w:marLeft w:val="0"/>
      <w:marRight w:val="0"/>
      <w:marTop w:val="0"/>
      <w:marBottom w:val="0"/>
      <w:divBdr>
        <w:top w:val="none" w:sz="0" w:space="0" w:color="auto"/>
        <w:left w:val="none" w:sz="0" w:space="0" w:color="auto"/>
        <w:bottom w:val="none" w:sz="0" w:space="0" w:color="auto"/>
        <w:right w:val="none" w:sz="0" w:space="0" w:color="auto"/>
      </w:divBdr>
    </w:div>
    <w:div w:id="607126467">
      <w:bodyDiv w:val="1"/>
      <w:marLeft w:val="0"/>
      <w:marRight w:val="0"/>
      <w:marTop w:val="0"/>
      <w:marBottom w:val="0"/>
      <w:divBdr>
        <w:top w:val="none" w:sz="0" w:space="0" w:color="auto"/>
        <w:left w:val="none" w:sz="0" w:space="0" w:color="auto"/>
        <w:bottom w:val="none" w:sz="0" w:space="0" w:color="auto"/>
        <w:right w:val="none" w:sz="0" w:space="0" w:color="auto"/>
      </w:divBdr>
    </w:div>
    <w:div w:id="617757641">
      <w:bodyDiv w:val="1"/>
      <w:marLeft w:val="0"/>
      <w:marRight w:val="0"/>
      <w:marTop w:val="0"/>
      <w:marBottom w:val="0"/>
      <w:divBdr>
        <w:top w:val="none" w:sz="0" w:space="0" w:color="auto"/>
        <w:left w:val="none" w:sz="0" w:space="0" w:color="auto"/>
        <w:bottom w:val="none" w:sz="0" w:space="0" w:color="auto"/>
        <w:right w:val="none" w:sz="0" w:space="0" w:color="auto"/>
      </w:divBdr>
    </w:div>
    <w:div w:id="692803967">
      <w:bodyDiv w:val="1"/>
      <w:marLeft w:val="0"/>
      <w:marRight w:val="0"/>
      <w:marTop w:val="0"/>
      <w:marBottom w:val="0"/>
      <w:divBdr>
        <w:top w:val="none" w:sz="0" w:space="0" w:color="auto"/>
        <w:left w:val="none" w:sz="0" w:space="0" w:color="auto"/>
        <w:bottom w:val="none" w:sz="0" w:space="0" w:color="auto"/>
        <w:right w:val="none" w:sz="0" w:space="0" w:color="auto"/>
      </w:divBdr>
    </w:div>
    <w:div w:id="696586390">
      <w:bodyDiv w:val="1"/>
      <w:marLeft w:val="0"/>
      <w:marRight w:val="0"/>
      <w:marTop w:val="0"/>
      <w:marBottom w:val="0"/>
      <w:divBdr>
        <w:top w:val="none" w:sz="0" w:space="0" w:color="auto"/>
        <w:left w:val="none" w:sz="0" w:space="0" w:color="auto"/>
        <w:bottom w:val="none" w:sz="0" w:space="0" w:color="auto"/>
        <w:right w:val="none" w:sz="0" w:space="0" w:color="auto"/>
      </w:divBdr>
    </w:div>
    <w:div w:id="711925998">
      <w:bodyDiv w:val="1"/>
      <w:marLeft w:val="0"/>
      <w:marRight w:val="0"/>
      <w:marTop w:val="0"/>
      <w:marBottom w:val="0"/>
      <w:divBdr>
        <w:top w:val="none" w:sz="0" w:space="0" w:color="auto"/>
        <w:left w:val="none" w:sz="0" w:space="0" w:color="auto"/>
        <w:bottom w:val="none" w:sz="0" w:space="0" w:color="auto"/>
        <w:right w:val="none" w:sz="0" w:space="0" w:color="auto"/>
      </w:divBdr>
    </w:div>
    <w:div w:id="712195092">
      <w:bodyDiv w:val="1"/>
      <w:marLeft w:val="0"/>
      <w:marRight w:val="0"/>
      <w:marTop w:val="0"/>
      <w:marBottom w:val="0"/>
      <w:divBdr>
        <w:top w:val="none" w:sz="0" w:space="0" w:color="auto"/>
        <w:left w:val="none" w:sz="0" w:space="0" w:color="auto"/>
        <w:bottom w:val="none" w:sz="0" w:space="0" w:color="auto"/>
        <w:right w:val="none" w:sz="0" w:space="0" w:color="auto"/>
      </w:divBdr>
    </w:div>
    <w:div w:id="722027317">
      <w:bodyDiv w:val="1"/>
      <w:marLeft w:val="0"/>
      <w:marRight w:val="0"/>
      <w:marTop w:val="0"/>
      <w:marBottom w:val="0"/>
      <w:divBdr>
        <w:top w:val="none" w:sz="0" w:space="0" w:color="auto"/>
        <w:left w:val="none" w:sz="0" w:space="0" w:color="auto"/>
        <w:bottom w:val="none" w:sz="0" w:space="0" w:color="auto"/>
        <w:right w:val="none" w:sz="0" w:space="0" w:color="auto"/>
      </w:divBdr>
      <w:divsChild>
        <w:div w:id="46926971">
          <w:marLeft w:val="446"/>
          <w:marRight w:val="0"/>
          <w:marTop w:val="0"/>
          <w:marBottom w:val="0"/>
          <w:divBdr>
            <w:top w:val="none" w:sz="0" w:space="0" w:color="auto"/>
            <w:left w:val="none" w:sz="0" w:space="0" w:color="auto"/>
            <w:bottom w:val="none" w:sz="0" w:space="0" w:color="auto"/>
            <w:right w:val="none" w:sz="0" w:space="0" w:color="auto"/>
          </w:divBdr>
        </w:div>
        <w:div w:id="1425494303">
          <w:marLeft w:val="446"/>
          <w:marRight w:val="0"/>
          <w:marTop w:val="0"/>
          <w:marBottom w:val="0"/>
          <w:divBdr>
            <w:top w:val="none" w:sz="0" w:space="0" w:color="auto"/>
            <w:left w:val="none" w:sz="0" w:space="0" w:color="auto"/>
            <w:bottom w:val="none" w:sz="0" w:space="0" w:color="auto"/>
            <w:right w:val="none" w:sz="0" w:space="0" w:color="auto"/>
          </w:divBdr>
        </w:div>
      </w:divsChild>
    </w:div>
    <w:div w:id="727991696">
      <w:bodyDiv w:val="1"/>
      <w:marLeft w:val="0"/>
      <w:marRight w:val="0"/>
      <w:marTop w:val="0"/>
      <w:marBottom w:val="0"/>
      <w:divBdr>
        <w:top w:val="none" w:sz="0" w:space="0" w:color="auto"/>
        <w:left w:val="none" w:sz="0" w:space="0" w:color="auto"/>
        <w:bottom w:val="none" w:sz="0" w:space="0" w:color="auto"/>
        <w:right w:val="none" w:sz="0" w:space="0" w:color="auto"/>
      </w:divBdr>
      <w:divsChild>
        <w:div w:id="136843710">
          <w:marLeft w:val="446"/>
          <w:marRight w:val="0"/>
          <w:marTop w:val="0"/>
          <w:marBottom w:val="0"/>
          <w:divBdr>
            <w:top w:val="none" w:sz="0" w:space="0" w:color="auto"/>
            <w:left w:val="none" w:sz="0" w:space="0" w:color="auto"/>
            <w:bottom w:val="none" w:sz="0" w:space="0" w:color="auto"/>
            <w:right w:val="none" w:sz="0" w:space="0" w:color="auto"/>
          </w:divBdr>
        </w:div>
        <w:div w:id="495264944">
          <w:marLeft w:val="446"/>
          <w:marRight w:val="0"/>
          <w:marTop w:val="0"/>
          <w:marBottom w:val="0"/>
          <w:divBdr>
            <w:top w:val="none" w:sz="0" w:space="0" w:color="auto"/>
            <w:left w:val="none" w:sz="0" w:space="0" w:color="auto"/>
            <w:bottom w:val="none" w:sz="0" w:space="0" w:color="auto"/>
            <w:right w:val="none" w:sz="0" w:space="0" w:color="auto"/>
          </w:divBdr>
        </w:div>
      </w:divsChild>
    </w:div>
    <w:div w:id="743993102">
      <w:bodyDiv w:val="1"/>
      <w:marLeft w:val="0"/>
      <w:marRight w:val="0"/>
      <w:marTop w:val="0"/>
      <w:marBottom w:val="0"/>
      <w:divBdr>
        <w:top w:val="none" w:sz="0" w:space="0" w:color="auto"/>
        <w:left w:val="none" w:sz="0" w:space="0" w:color="auto"/>
        <w:bottom w:val="none" w:sz="0" w:space="0" w:color="auto"/>
        <w:right w:val="none" w:sz="0" w:space="0" w:color="auto"/>
      </w:divBdr>
      <w:divsChild>
        <w:div w:id="350567130">
          <w:marLeft w:val="446"/>
          <w:marRight w:val="0"/>
          <w:marTop w:val="0"/>
          <w:marBottom w:val="0"/>
          <w:divBdr>
            <w:top w:val="none" w:sz="0" w:space="0" w:color="auto"/>
            <w:left w:val="none" w:sz="0" w:space="0" w:color="auto"/>
            <w:bottom w:val="none" w:sz="0" w:space="0" w:color="auto"/>
            <w:right w:val="none" w:sz="0" w:space="0" w:color="auto"/>
          </w:divBdr>
        </w:div>
        <w:div w:id="417021015">
          <w:marLeft w:val="446"/>
          <w:marRight w:val="0"/>
          <w:marTop w:val="0"/>
          <w:marBottom w:val="0"/>
          <w:divBdr>
            <w:top w:val="none" w:sz="0" w:space="0" w:color="auto"/>
            <w:left w:val="none" w:sz="0" w:space="0" w:color="auto"/>
            <w:bottom w:val="none" w:sz="0" w:space="0" w:color="auto"/>
            <w:right w:val="none" w:sz="0" w:space="0" w:color="auto"/>
          </w:divBdr>
        </w:div>
      </w:divsChild>
    </w:div>
    <w:div w:id="752630755">
      <w:bodyDiv w:val="1"/>
      <w:marLeft w:val="0"/>
      <w:marRight w:val="0"/>
      <w:marTop w:val="0"/>
      <w:marBottom w:val="0"/>
      <w:divBdr>
        <w:top w:val="none" w:sz="0" w:space="0" w:color="auto"/>
        <w:left w:val="none" w:sz="0" w:space="0" w:color="auto"/>
        <w:bottom w:val="none" w:sz="0" w:space="0" w:color="auto"/>
        <w:right w:val="none" w:sz="0" w:space="0" w:color="auto"/>
      </w:divBdr>
    </w:div>
    <w:div w:id="762841102">
      <w:bodyDiv w:val="1"/>
      <w:marLeft w:val="0"/>
      <w:marRight w:val="0"/>
      <w:marTop w:val="0"/>
      <w:marBottom w:val="0"/>
      <w:divBdr>
        <w:top w:val="none" w:sz="0" w:space="0" w:color="auto"/>
        <w:left w:val="none" w:sz="0" w:space="0" w:color="auto"/>
        <w:bottom w:val="none" w:sz="0" w:space="0" w:color="auto"/>
        <w:right w:val="none" w:sz="0" w:space="0" w:color="auto"/>
      </w:divBdr>
    </w:div>
    <w:div w:id="776604888">
      <w:bodyDiv w:val="1"/>
      <w:marLeft w:val="0"/>
      <w:marRight w:val="0"/>
      <w:marTop w:val="0"/>
      <w:marBottom w:val="0"/>
      <w:divBdr>
        <w:top w:val="none" w:sz="0" w:space="0" w:color="auto"/>
        <w:left w:val="none" w:sz="0" w:space="0" w:color="auto"/>
        <w:bottom w:val="none" w:sz="0" w:space="0" w:color="auto"/>
        <w:right w:val="none" w:sz="0" w:space="0" w:color="auto"/>
      </w:divBdr>
    </w:div>
    <w:div w:id="781801497">
      <w:bodyDiv w:val="1"/>
      <w:marLeft w:val="0"/>
      <w:marRight w:val="0"/>
      <w:marTop w:val="0"/>
      <w:marBottom w:val="0"/>
      <w:divBdr>
        <w:top w:val="none" w:sz="0" w:space="0" w:color="auto"/>
        <w:left w:val="none" w:sz="0" w:space="0" w:color="auto"/>
        <w:bottom w:val="none" w:sz="0" w:space="0" w:color="auto"/>
        <w:right w:val="none" w:sz="0" w:space="0" w:color="auto"/>
      </w:divBdr>
    </w:div>
    <w:div w:id="784733809">
      <w:bodyDiv w:val="1"/>
      <w:marLeft w:val="0"/>
      <w:marRight w:val="0"/>
      <w:marTop w:val="0"/>
      <w:marBottom w:val="0"/>
      <w:divBdr>
        <w:top w:val="none" w:sz="0" w:space="0" w:color="auto"/>
        <w:left w:val="none" w:sz="0" w:space="0" w:color="auto"/>
        <w:bottom w:val="none" w:sz="0" w:space="0" w:color="auto"/>
        <w:right w:val="none" w:sz="0" w:space="0" w:color="auto"/>
      </w:divBdr>
    </w:div>
    <w:div w:id="834801603">
      <w:bodyDiv w:val="1"/>
      <w:marLeft w:val="0"/>
      <w:marRight w:val="0"/>
      <w:marTop w:val="0"/>
      <w:marBottom w:val="0"/>
      <w:divBdr>
        <w:top w:val="none" w:sz="0" w:space="0" w:color="auto"/>
        <w:left w:val="none" w:sz="0" w:space="0" w:color="auto"/>
        <w:bottom w:val="none" w:sz="0" w:space="0" w:color="auto"/>
        <w:right w:val="none" w:sz="0" w:space="0" w:color="auto"/>
      </w:divBdr>
      <w:divsChild>
        <w:div w:id="63141481">
          <w:marLeft w:val="446"/>
          <w:marRight w:val="0"/>
          <w:marTop w:val="0"/>
          <w:marBottom w:val="0"/>
          <w:divBdr>
            <w:top w:val="none" w:sz="0" w:space="0" w:color="auto"/>
            <w:left w:val="none" w:sz="0" w:space="0" w:color="auto"/>
            <w:bottom w:val="none" w:sz="0" w:space="0" w:color="auto"/>
            <w:right w:val="none" w:sz="0" w:space="0" w:color="auto"/>
          </w:divBdr>
        </w:div>
        <w:div w:id="639656394">
          <w:marLeft w:val="446"/>
          <w:marRight w:val="0"/>
          <w:marTop w:val="0"/>
          <w:marBottom w:val="0"/>
          <w:divBdr>
            <w:top w:val="none" w:sz="0" w:space="0" w:color="auto"/>
            <w:left w:val="none" w:sz="0" w:space="0" w:color="auto"/>
            <w:bottom w:val="none" w:sz="0" w:space="0" w:color="auto"/>
            <w:right w:val="none" w:sz="0" w:space="0" w:color="auto"/>
          </w:divBdr>
        </w:div>
      </w:divsChild>
    </w:div>
    <w:div w:id="867259456">
      <w:bodyDiv w:val="1"/>
      <w:marLeft w:val="0"/>
      <w:marRight w:val="0"/>
      <w:marTop w:val="0"/>
      <w:marBottom w:val="0"/>
      <w:divBdr>
        <w:top w:val="none" w:sz="0" w:space="0" w:color="auto"/>
        <w:left w:val="none" w:sz="0" w:space="0" w:color="auto"/>
        <w:bottom w:val="none" w:sz="0" w:space="0" w:color="auto"/>
        <w:right w:val="none" w:sz="0" w:space="0" w:color="auto"/>
      </w:divBdr>
    </w:div>
    <w:div w:id="894511667">
      <w:bodyDiv w:val="1"/>
      <w:marLeft w:val="0"/>
      <w:marRight w:val="0"/>
      <w:marTop w:val="0"/>
      <w:marBottom w:val="0"/>
      <w:divBdr>
        <w:top w:val="none" w:sz="0" w:space="0" w:color="auto"/>
        <w:left w:val="none" w:sz="0" w:space="0" w:color="auto"/>
        <w:bottom w:val="none" w:sz="0" w:space="0" w:color="auto"/>
        <w:right w:val="none" w:sz="0" w:space="0" w:color="auto"/>
      </w:divBdr>
    </w:div>
    <w:div w:id="927032417">
      <w:bodyDiv w:val="1"/>
      <w:marLeft w:val="0"/>
      <w:marRight w:val="0"/>
      <w:marTop w:val="0"/>
      <w:marBottom w:val="0"/>
      <w:divBdr>
        <w:top w:val="none" w:sz="0" w:space="0" w:color="auto"/>
        <w:left w:val="none" w:sz="0" w:space="0" w:color="auto"/>
        <w:bottom w:val="none" w:sz="0" w:space="0" w:color="auto"/>
        <w:right w:val="none" w:sz="0" w:space="0" w:color="auto"/>
      </w:divBdr>
    </w:div>
    <w:div w:id="958074165">
      <w:bodyDiv w:val="1"/>
      <w:marLeft w:val="0"/>
      <w:marRight w:val="0"/>
      <w:marTop w:val="0"/>
      <w:marBottom w:val="0"/>
      <w:divBdr>
        <w:top w:val="none" w:sz="0" w:space="0" w:color="auto"/>
        <w:left w:val="none" w:sz="0" w:space="0" w:color="auto"/>
        <w:bottom w:val="none" w:sz="0" w:space="0" w:color="auto"/>
        <w:right w:val="none" w:sz="0" w:space="0" w:color="auto"/>
      </w:divBdr>
    </w:div>
    <w:div w:id="962033710">
      <w:bodyDiv w:val="1"/>
      <w:marLeft w:val="0"/>
      <w:marRight w:val="0"/>
      <w:marTop w:val="0"/>
      <w:marBottom w:val="0"/>
      <w:divBdr>
        <w:top w:val="none" w:sz="0" w:space="0" w:color="auto"/>
        <w:left w:val="none" w:sz="0" w:space="0" w:color="auto"/>
        <w:bottom w:val="none" w:sz="0" w:space="0" w:color="auto"/>
        <w:right w:val="none" w:sz="0" w:space="0" w:color="auto"/>
      </w:divBdr>
    </w:div>
    <w:div w:id="1084761779">
      <w:bodyDiv w:val="1"/>
      <w:marLeft w:val="0"/>
      <w:marRight w:val="0"/>
      <w:marTop w:val="0"/>
      <w:marBottom w:val="0"/>
      <w:divBdr>
        <w:top w:val="none" w:sz="0" w:space="0" w:color="auto"/>
        <w:left w:val="none" w:sz="0" w:space="0" w:color="auto"/>
        <w:bottom w:val="none" w:sz="0" w:space="0" w:color="auto"/>
        <w:right w:val="none" w:sz="0" w:space="0" w:color="auto"/>
      </w:divBdr>
    </w:div>
    <w:div w:id="1114668336">
      <w:bodyDiv w:val="1"/>
      <w:marLeft w:val="0"/>
      <w:marRight w:val="0"/>
      <w:marTop w:val="0"/>
      <w:marBottom w:val="0"/>
      <w:divBdr>
        <w:top w:val="none" w:sz="0" w:space="0" w:color="auto"/>
        <w:left w:val="none" w:sz="0" w:space="0" w:color="auto"/>
        <w:bottom w:val="none" w:sz="0" w:space="0" w:color="auto"/>
        <w:right w:val="none" w:sz="0" w:space="0" w:color="auto"/>
      </w:divBdr>
    </w:div>
    <w:div w:id="1190608739">
      <w:bodyDiv w:val="1"/>
      <w:marLeft w:val="0"/>
      <w:marRight w:val="0"/>
      <w:marTop w:val="0"/>
      <w:marBottom w:val="0"/>
      <w:divBdr>
        <w:top w:val="none" w:sz="0" w:space="0" w:color="auto"/>
        <w:left w:val="none" w:sz="0" w:space="0" w:color="auto"/>
        <w:bottom w:val="none" w:sz="0" w:space="0" w:color="auto"/>
        <w:right w:val="none" w:sz="0" w:space="0" w:color="auto"/>
      </w:divBdr>
    </w:div>
    <w:div w:id="1197812406">
      <w:bodyDiv w:val="1"/>
      <w:marLeft w:val="0"/>
      <w:marRight w:val="0"/>
      <w:marTop w:val="0"/>
      <w:marBottom w:val="0"/>
      <w:divBdr>
        <w:top w:val="none" w:sz="0" w:space="0" w:color="auto"/>
        <w:left w:val="none" w:sz="0" w:space="0" w:color="auto"/>
        <w:bottom w:val="none" w:sz="0" w:space="0" w:color="auto"/>
        <w:right w:val="none" w:sz="0" w:space="0" w:color="auto"/>
      </w:divBdr>
    </w:div>
    <w:div w:id="1236429513">
      <w:bodyDiv w:val="1"/>
      <w:marLeft w:val="0"/>
      <w:marRight w:val="0"/>
      <w:marTop w:val="0"/>
      <w:marBottom w:val="0"/>
      <w:divBdr>
        <w:top w:val="none" w:sz="0" w:space="0" w:color="auto"/>
        <w:left w:val="none" w:sz="0" w:space="0" w:color="auto"/>
        <w:bottom w:val="none" w:sz="0" w:space="0" w:color="auto"/>
        <w:right w:val="none" w:sz="0" w:space="0" w:color="auto"/>
      </w:divBdr>
    </w:div>
    <w:div w:id="1279332864">
      <w:bodyDiv w:val="1"/>
      <w:marLeft w:val="0"/>
      <w:marRight w:val="0"/>
      <w:marTop w:val="0"/>
      <w:marBottom w:val="0"/>
      <w:divBdr>
        <w:top w:val="none" w:sz="0" w:space="0" w:color="auto"/>
        <w:left w:val="none" w:sz="0" w:space="0" w:color="auto"/>
        <w:bottom w:val="none" w:sz="0" w:space="0" w:color="auto"/>
        <w:right w:val="none" w:sz="0" w:space="0" w:color="auto"/>
      </w:divBdr>
    </w:div>
    <w:div w:id="1304969083">
      <w:bodyDiv w:val="1"/>
      <w:marLeft w:val="0"/>
      <w:marRight w:val="0"/>
      <w:marTop w:val="0"/>
      <w:marBottom w:val="0"/>
      <w:divBdr>
        <w:top w:val="none" w:sz="0" w:space="0" w:color="auto"/>
        <w:left w:val="none" w:sz="0" w:space="0" w:color="auto"/>
        <w:bottom w:val="none" w:sz="0" w:space="0" w:color="auto"/>
        <w:right w:val="none" w:sz="0" w:space="0" w:color="auto"/>
      </w:divBdr>
      <w:divsChild>
        <w:div w:id="2099714575">
          <w:marLeft w:val="446"/>
          <w:marRight w:val="0"/>
          <w:marTop w:val="0"/>
          <w:marBottom w:val="0"/>
          <w:divBdr>
            <w:top w:val="none" w:sz="0" w:space="0" w:color="auto"/>
            <w:left w:val="none" w:sz="0" w:space="0" w:color="auto"/>
            <w:bottom w:val="none" w:sz="0" w:space="0" w:color="auto"/>
            <w:right w:val="none" w:sz="0" w:space="0" w:color="auto"/>
          </w:divBdr>
        </w:div>
      </w:divsChild>
    </w:div>
    <w:div w:id="1337463254">
      <w:bodyDiv w:val="1"/>
      <w:marLeft w:val="0"/>
      <w:marRight w:val="0"/>
      <w:marTop w:val="0"/>
      <w:marBottom w:val="0"/>
      <w:divBdr>
        <w:top w:val="none" w:sz="0" w:space="0" w:color="auto"/>
        <w:left w:val="none" w:sz="0" w:space="0" w:color="auto"/>
        <w:bottom w:val="none" w:sz="0" w:space="0" w:color="auto"/>
        <w:right w:val="none" w:sz="0" w:space="0" w:color="auto"/>
      </w:divBdr>
    </w:div>
    <w:div w:id="1349600422">
      <w:bodyDiv w:val="1"/>
      <w:marLeft w:val="0"/>
      <w:marRight w:val="0"/>
      <w:marTop w:val="0"/>
      <w:marBottom w:val="0"/>
      <w:divBdr>
        <w:top w:val="none" w:sz="0" w:space="0" w:color="auto"/>
        <w:left w:val="none" w:sz="0" w:space="0" w:color="auto"/>
        <w:bottom w:val="none" w:sz="0" w:space="0" w:color="auto"/>
        <w:right w:val="none" w:sz="0" w:space="0" w:color="auto"/>
      </w:divBdr>
    </w:div>
    <w:div w:id="1368068631">
      <w:bodyDiv w:val="1"/>
      <w:marLeft w:val="0"/>
      <w:marRight w:val="0"/>
      <w:marTop w:val="0"/>
      <w:marBottom w:val="0"/>
      <w:divBdr>
        <w:top w:val="none" w:sz="0" w:space="0" w:color="auto"/>
        <w:left w:val="none" w:sz="0" w:space="0" w:color="auto"/>
        <w:bottom w:val="none" w:sz="0" w:space="0" w:color="auto"/>
        <w:right w:val="none" w:sz="0" w:space="0" w:color="auto"/>
      </w:divBdr>
    </w:div>
    <w:div w:id="1378899095">
      <w:bodyDiv w:val="1"/>
      <w:marLeft w:val="0"/>
      <w:marRight w:val="0"/>
      <w:marTop w:val="0"/>
      <w:marBottom w:val="0"/>
      <w:divBdr>
        <w:top w:val="none" w:sz="0" w:space="0" w:color="auto"/>
        <w:left w:val="none" w:sz="0" w:space="0" w:color="auto"/>
        <w:bottom w:val="none" w:sz="0" w:space="0" w:color="auto"/>
        <w:right w:val="none" w:sz="0" w:space="0" w:color="auto"/>
      </w:divBdr>
      <w:divsChild>
        <w:div w:id="87502904">
          <w:marLeft w:val="446"/>
          <w:marRight w:val="0"/>
          <w:marTop w:val="0"/>
          <w:marBottom w:val="0"/>
          <w:divBdr>
            <w:top w:val="none" w:sz="0" w:space="0" w:color="auto"/>
            <w:left w:val="none" w:sz="0" w:space="0" w:color="auto"/>
            <w:bottom w:val="none" w:sz="0" w:space="0" w:color="auto"/>
            <w:right w:val="none" w:sz="0" w:space="0" w:color="auto"/>
          </w:divBdr>
        </w:div>
        <w:div w:id="275645336">
          <w:marLeft w:val="446"/>
          <w:marRight w:val="0"/>
          <w:marTop w:val="0"/>
          <w:marBottom w:val="0"/>
          <w:divBdr>
            <w:top w:val="none" w:sz="0" w:space="0" w:color="auto"/>
            <w:left w:val="none" w:sz="0" w:space="0" w:color="auto"/>
            <w:bottom w:val="none" w:sz="0" w:space="0" w:color="auto"/>
            <w:right w:val="none" w:sz="0" w:space="0" w:color="auto"/>
          </w:divBdr>
        </w:div>
        <w:div w:id="1701665188">
          <w:marLeft w:val="446"/>
          <w:marRight w:val="0"/>
          <w:marTop w:val="0"/>
          <w:marBottom w:val="0"/>
          <w:divBdr>
            <w:top w:val="none" w:sz="0" w:space="0" w:color="auto"/>
            <w:left w:val="none" w:sz="0" w:space="0" w:color="auto"/>
            <w:bottom w:val="none" w:sz="0" w:space="0" w:color="auto"/>
            <w:right w:val="none" w:sz="0" w:space="0" w:color="auto"/>
          </w:divBdr>
        </w:div>
        <w:div w:id="1706518747">
          <w:marLeft w:val="446"/>
          <w:marRight w:val="0"/>
          <w:marTop w:val="0"/>
          <w:marBottom w:val="0"/>
          <w:divBdr>
            <w:top w:val="none" w:sz="0" w:space="0" w:color="auto"/>
            <w:left w:val="none" w:sz="0" w:space="0" w:color="auto"/>
            <w:bottom w:val="none" w:sz="0" w:space="0" w:color="auto"/>
            <w:right w:val="none" w:sz="0" w:space="0" w:color="auto"/>
          </w:divBdr>
        </w:div>
        <w:div w:id="1913739544">
          <w:marLeft w:val="446"/>
          <w:marRight w:val="0"/>
          <w:marTop w:val="0"/>
          <w:marBottom w:val="0"/>
          <w:divBdr>
            <w:top w:val="none" w:sz="0" w:space="0" w:color="auto"/>
            <w:left w:val="none" w:sz="0" w:space="0" w:color="auto"/>
            <w:bottom w:val="none" w:sz="0" w:space="0" w:color="auto"/>
            <w:right w:val="none" w:sz="0" w:space="0" w:color="auto"/>
          </w:divBdr>
        </w:div>
      </w:divsChild>
    </w:div>
    <w:div w:id="1385983213">
      <w:bodyDiv w:val="1"/>
      <w:marLeft w:val="0"/>
      <w:marRight w:val="0"/>
      <w:marTop w:val="0"/>
      <w:marBottom w:val="0"/>
      <w:divBdr>
        <w:top w:val="none" w:sz="0" w:space="0" w:color="auto"/>
        <w:left w:val="none" w:sz="0" w:space="0" w:color="auto"/>
        <w:bottom w:val="none" w:sz="0" w:space="0" w:color="auto"/>
        <w:right w:val="none" w:sz="0" w:space="0" w:color="auto"/>
      </w:divBdr>
    </w:div>
    <w:div w:id="1428232536">
      <w:bodyDiv w:val="1"/>
      <w:marLeft w:val="0"/>
      <w:marRight w:val="0"/>
      <w:marTop w:val="0"/>
      <w:marBottom w:val="0"/>
      <w:divBdr>
        <w:top w:val="none" w:sz="0" w:space="0" w:color="auto"/>
        <w:left w:val="none" w:sz="0" w:space="0" w:color="auto"/>
        <w:bottom w:val="none" w:sz="0" w:space="0" w:color="auto"/>
        <w:right w:val="none" w:sz="0" w:space="0" w:color="auto"/>
      </w:divBdr>
    </w:div>
    <w:div w:id="1445810317">
      <w:bodyDiv w:val="1"/>
      <w:marLeft w:val="0"/>
      <w:marRight w:val="0"/>
      <w:marTop w:val="0"/>
      <w:marBottom w:val="0"/>
      <w:divBdr>
        <w:top w:val="none" w:sz="0" w:space="0" w:color="auto"/>
        <w:left w:val="none" w:sz="0" w:space="0" w:color="auto"/>
        <w:bottom w:val="none" w:sz="0" w:space="0" w:color="auto"/>
        <w:right w:val="none" w:sz="0" w:space="0" w:color="auto"/>
      </w:divBdr>
      <w:divsChild>
        <w:div w:id="368645415">
          <w:marLeft w:val="446"/>
          <w:marRight w:val="0"/>
          <w:marTop w:val="0"/>
          <w:marBottom w:val="0"/>
          <w:divBdr>
            <w:top w:val="none" w:sz="0" w:space="0" w:color="auto"/>
            <w:left w:val="none" w:sz="0" w:space="0" w:color="auto"/>
            <w:bottom w:val="none" w:sz="0" w:space="0" w:color="auto"/>
            <w:right w:val="none" w:sz="0" w:space="0" w:color="auto"/>
          </w:divBdr>
        </w:div>
        <w:div w:id="376126036">
          <w:marLeft w:val="446"/>
          <w:marRight w:val="0"/>
          <w:marTop w:val="0"/>
          <w:marBottom w:val="0"/>
          <w:divBdr>
            <w:top w:val="none" w:sz="0" w:space="0" w:color="auto"/>
            <w:left w:val="none" w:sz="0" w:space="0" w:color="auto"/>
            <w:bottom w:val="none" w:sz="0" w:space="0" w:color="auto"/>
            <w:right w:val="none" w:sz="0" w:space="0" w:color="auto"/>
          </w:divBdr>
        </w:div>
        <w:div w:id="934627414">
          <w:marLeft w:val="446"/>
          <w:marRight w:val="0"/>
          <w:marTop w:val="0"/>
          <w:marBottom w:val="0"/>
          <w:divBdr>
            <w:top w:val="none" w:sz="0" w:space="0" w:color="auto"/>
            <w:left w:val="none" w:sz="0" w:space="0" w:color="auto"/>
            <w:bottom w:val="none" w:sz="0" w:space="0" w:color="auto"/>
            <w:right w:val="none" w:sz="0" w:space="0" w:color="auto"/>
          </w:divBdr>
        </w:div>
        <w:div w:id="1232960309">
          <w:marLeft w:val="446"/>
          <w:marRight w:val="0"/>
          <w:marTop w:val="0"/>
          <w:marBottom w:val="0"/>
          <w:divBdr>
            <w:top w:val="none" w:sz="0" w:space="0" w:color="auto"/>
            <w:left w:val="none" w:sz="0" w:space="0" w:color="auto"/>
            <w:bottom w:val="none" w:sz="0" w:space="0" w:color="auto"/>
            <w:right w:val="none" w:sz="0" w:space="0" w:color="auto"/>
          </w:divBdr>
        </w:div>
      </w:divsChild>
    </w:div>
    <w:div w:id="1509640610">
      <w:bodyDiv w:val="1"/>
      <w:marLeft w:val="0"/>
      <w:marRight w:val="0"/>
      <w:marTop w:val="0"/>
      <w:marBottom w:val="0"/>
      <w:divBdr>
        <w:top w:val="none" w:sz="0" w:space="0" w:color="auto"/>
        <w:left w:val="none" w:sz="0" w:space="0" w:color="auto"/>
        <w:bottom w:val="none" w:sz="0" w:space="0" w:color="auto"/>
        <w:right w:val="none" w:sz="0" w:space="0" w:color="auto"/>
      </w:divBdr>
    </w:div>
    <w:div w:id="1512723640">
      <w:bodyDiv w:val="1"/>
      <w:marLeft w:val="0"/>
      <w:marRight w:val="0"/>
      <w:marTop w:val="0"/>
      <w:marBottom w:val="0"/>
      <w:divBdr>
        <w:top w:val="none" w:sz="0" w:space="0" w:color="auto"/>
        <w:left w:val="none" w:sz="0" w:space="0" w:color="auto"/>
        <w:bottom w:val="none" w:sz="0" w:space="0" w:color="auto"/>
        <w:right w:val="none" w:sz="0" w:space="0" w:color="auto"/>
      </w:divBdr>
    </w:div>
    <w:div w:id="1519003732">
      <w:bodyDiv w:val="1"/>
      <w:marLeft w:val="0"/>
      <w:marRight w:val="0"/>
      <w:marTop w:val="0"/>
      <w:marBottom w:val="0"/>
      <w:divBdr>
        <w:top w:val="none" w:sz="0" w:space="0" w:color="auto"/>
        <w:left w:val="none" w:sz="0" w:space="0" w:color="auto"/>
        <w:bottom w:val="none" w:sz="0" w:space="0" w:color="auto"/>
        <w:right w:val="none" w:sz="0" w:space="0" w:color="auto"/>
      </w:divBdr>
    </w:div>
    <w:div w:id="1549490206">
      <w:bodyDiv w:val="1"/>
      <w:marLeft w:val="0"/>
      <w:marRight w:val="0"/>
      <w:marTop w:val="0"/>
      <w:marBottom w:val="0"/>
      <w:divBdr>
        <w:top w:val="none" w:sz="0" w:space="0" w:color="auto"/>
        <w:left w:val="none" w:sz="0" w:space="0" w:color="auto"/>
        <w:bottom w:val="none" w:sz="0" w:space="0" w:color="auto"/>
        <w:right w:val="none" w:sz="0" w:space="0" w:color="auto"/>
      </w:divBdr>
    </w:div>
    <w:div w:id="1571500680">
      <w:bodyDiv w:val="1"/>
      <w:marLeft w:val="0"/>
      <w:marRight w:val="0"/>
      <w:marTop w:val="0"/>
      <w:marBottom w:val="0"/>
      <w:divBdr>
        <w:top w:val="none" w:sz="0" w:space="0" w:color="auto"/>
        <w:left w:val="none" w:sz="0" w:space="0" w:color="auto"/>
        <w:bottom w:val="none" w:sz="0" w:space="0" w:color="auto"/>
        <w:right w:val="none" w:sz="0" w:space="0" w:color="auto"/>
      </w:divBdr>
    </w:div>
    <w:div w:id="1580868278">
      <w:bodyDiv w:val="1"/>
      <w:marLeft w:val="0"/>
      <w:marRight w:val="0"/>
      <w:marTop w:val="0"/>
      <w:marBottom w:val="0"/>
      <w:divBdr>
        <w:top w:val="none" w:sz="0" w:space="0" w:color="auto"/>
        <w:left w:val="none" w:sz="0" w:space="0" w:color="auto"/>
        <w:bottom w:val="none" w:sz="0" w:space="0" w:color="auto"/>
        <w:right w:val="none" w:sz="0" w:space="0" w:color="auto"/>
      </w:divBdr>
    </w:div>
    <w:div w:id="1590430483">
      <w:bodyDiv w:val="1"/>
      <w:marLeft w:val="0"/>
      <w:marRight w:val="0"/>
      <w:marTop w:val="0"/>
      <w:marBottom w:val="0"/>
      <w:divBdr>
        <w:top w:val="none" w:sz="0" w:space="0" w:color="auto"/>
        <w:left w:val="none" w:sz="0" w:space="0" w:color="auto"/>
        <w:bottom w:val="none" w:sz="0" w:space="0" w:color="auto"/>
        <w:right w:val="none" w:sz="0" w:space="0" w:color="auto"/>
      </w:divBdr>
    </w:div>
    <w:div w:id="1600092031">
      <w:bodyDiv w:val="1"/>
      <w:marLeft w:val="0"/>
      <w:marRight w:val="0"/>
      <w:marTop w:val="0"/>
      <w:marBottom w:val="0"/>
      <w:divBdr>
        <w:top w:val="none" w:sz="0" w:space="0" w:color="auto"/>
        <w:left w:val="none" w:sz="0" w:space="0" w:color="auto"/>
        <w:bottom w:val="none" w:sz="0" w:space="0" w:color="auto"/>
        <w:right w:val="none" w:sz="0" w:space="0" w:color="auto"/>
      </w:divBdr>
    </w:div>
    <w:div w:id="1624145385">
      <w:bodyDiv w:val="1"/>
      <w:marLeft w:val="0"/>
      <w:marRight w:val="0"/>
      <w:marTop w:val="0"/>
      <w:marBottom w:val="0"/>
      <w:divBdr>
        <w:top w:val="none" w:sz="0" w:space="0" w:color="auto"/>
        <w:left w:val="none" w:sz="0" w:space="0" w:color="auto"/>
        <w:bottom w:val="none" w:sz="0" w:space="0" w:color="auto"/>
        <w:right w:val="none" w:sz="0" w:space="0" w:color="auto"/>
      </w:divBdr>
    </w:div>
    <w:div w:id="1653411627">
      <w:bodyDiv w:val="1"/>
      <w:marLeft w:val="0"/>
      <w:marRight w:val="0"/>
      <w:marTop w:val="0"/>
      <w:marBottom w:val="0"/>
      <w:divBdr>
        <w:top w:val="none" w:sz="0" w:space="0" w:color="auto"/>
        <w:left w:val="none" w:sz="0" w:space="0" w:color="auto"/>
        <w:bottom w:val="none" w:sz="0" w:space="0" w:color="auto"/>
        <w:right w:val="none" w:sz="0" w:space="0" w:color="auto"/>
      </w:divBdr>
      <w:divsChild>
        <w:div w:id="638341795">
          <w:marLeft w:val="446"/>
          <w:marRight w:val="0"/>
          <w:marTop w:val="0"/>
          <w:marBottom w:val="0"/>
          <w:divBdr>
            <w:top w:val="none" w:sz="0" w:space="0" w:color="auto"/>
            <w:left w:val="none" w:sz="0" w:space="0" w:color="auto"/>
            <w:bottom w:val="none" w:sz="0" w:space="0" w:color="auto"/>
            <w:right w:val="none" w:sz="0" w:space="0" w:color="auto"/>
          </w:divBdr>
        </w:div>
        <w:div w:id="1068653218">
          <w:marLeft w:val="446"/>
          <w:marRight w:val="0"/>
          <w:marTop w:val="0"/>
          <w:marBottom w:val="0"/>
          <w:divBdr>
            <w:top w:val="none" w:sz="0" w:space="0" w:color="auto"/>
            <w:left w:val="none" w:sz="0" w:space="0" w:color="auto"/>
            <w:bottom w:val="none" w:sz="0" w:space="0" w:color="auto"/>
            <w:right w:val="none" w:sz="0" w:space="0" w:color="auto"/>
          </w:divBdr>
        </w:div>
        <w:div w:id="1073164887">
          <w:marLeft w:val="446"/>
          <w:marRight w:val="0"/>
          <w:marTop w:val="0"/>
          <w:marBottom w:val="0"/>
          <w:divBdr>
            <w:top w:val="none" w:sz="0" w:space="0" w:color="auto"/>
            <w:left w:val="none" w:sz="0" w:space="0" w:color="auto"/>
            <w:bottom w:val="none" w:sz="0" w:space="0" w:color="auto"/>
            <w:right w:val="none" w:sz="0" w:space="0" w:color="auto"/>
          </w:divBdr>
        </w:div>
        <w:div w:id="1435973601">
          <w:marLeft w:val="446"/>
          <w:marRight w:val="0"/>
          <w:marTop w:val="0"/>
          <w:marBottom w:val="0"/>
          <w:divBdr>
            <w:top w:val="none" w:sz="0" w:space="0" w:color="auto"/>
            <w:left w:val="none" w:sz="0" w:space="0" w:color="auto"/>
            <w:bottom w:val="none" w:sz="0" w:space="0" w:color="auto"/>
            <w:right w:val="none" w:sz="0" w:space="0" w:color="auto"/>
          </w:divBdr>
        </w:div>
      </w:divsChild>
    </w:div>
    <w:div w:id="1673677925">
      <w:bodyDiv w:val="1"/>
      <w:marLeft w:val="0"/>
      <w:marRight w:val="0"/>
      <w:marTop w:val="0"/>
      <w:marBottom w:val="0"/>
      <w:divBdr>
        <w:top w:val="none" w:sz="0" w:space="0" w:color="auto"/>
        <w:left w:val="none" w:sz="0" w:space="0" w:color="auto"/>
        <w:bottom w:val="none" w:sz="0" w:space="0" w:color="auto"/>
        <w:right w:val="none" w:sz="0" w:space="0" w:color="auto"/>
      </w:divBdr>
    </w:div>
    <w:div w:id="1695182916">
      <w:bodyDiv w:val="1"/>
      <w:marLeft w:val="0"/>
      <w:marRight w:val="0"/>
      <w:marTop w:val="0"/>
      <w:marBottom w:val="0"/>
      <w:divBdr>
        <w:top w:val="none" w:sz="0" w:space="0" w:color="auto"/>
        <w:left w:val="none" w:sz="0" w:space="0" w:color="auto"/>
        <w:bottom w:val="none" w:sz="0" w:space="0" w:color="auto"/>
        <w:right w:val="none" w:sz="0" w:space="0" w:color="auto"/>
      </w:divBdr>
      <w:divsChild>
        <w:div w:id="1914701063">
          <w:marLeft w:val="446"/>
          <w:marRight w:val="0"/>
          <w:marTop w:val="0"/>
          <w:marBottom w:val="0"/>
          <w:divBdr>
            <w:top w:val="none" w:sz="0" w:space="0" w:color="auto"/>
            <w:left w:val="none" w:sz="0" w:space="0" w:color="auto"/>
            <w:bottom w:val="none" w:sz="0" w:space="0" w:color="auto"/>
            <w:right w:val="none" w:sz="0" w:space="0" w:color="auto"/>
          </w:divBdr>
        </w:div>
      </w:divsChild>
    </w:div>
    <w:div w:id="1709141542">
      <w:bodyDiv w:val="1"/>
      <w:marLeft w:val="0"/>
      <w:marRight w:val="0"/>
      <w:marTop w:val="0"/>
      <w:marBottom w:val="0"/>
      <w:divBdr>
        <w:top w:val="none" w:sz="0" w:space="0" w:color="auto"/>
        <w:left w:val="none" w:sz="0" w:space="0" w:color="auto"/>
        <w:bottom w:val="none" w:sz="0" w:space="0" w:color="auto"/>
        <w:right w:val="none" w:sz="0" w:space="0" w:color="auto"/>
      </w:divBdr>
    </w:div>
    <w:div w:id="1709715552">
      <w:bodyDiv w:val="1"/>
      <w:marLeft w:val="0"/>
      <w:marRight w:val="0"/>
      <w:marTop w:val="0"/>
      <w:marBottom w:val="0"/>
      <w:divBdr>
        <w:top w:val="none" w:sz="0" w:space="0" w:color="auto"/>
        <w:left w:val="none" w:sz="0" w:space="0" w:color="auto"/>
        <w:bottom w:val="none" w:sz="0" w:space="0" w:color="auto"/>
        <w:right w:val="none" w:sz="0" w:space="0" w:color="auto"/>
      </w:divBdr>
    </w:div>
    <w:div w:id="1775125216">
      <w:bodyDiv w:val="1"/>
      <w:marLeft w:val="0"/>
      <w:marRight w:val="0"/>
      <w:marTop w:val="0"/>
      <w:marBottom w:val="0"/>
      <w:divBdr>
        <w:top w:val="none" w:sz="0" w:space="0" w:color="auto"/>
        <w:left w:val="none" w:sz="0" w:space="0" w:color="auto"/>
        <w:bottom w:val="none" w:sz="0" w:space="0" w:color="auto"/>
        <w:right w:val="none" w:sz="0" w:space="0" w:color="auto"/>
      </w:divBdr>
      <w:divsChild>
        <w:div w:id="560406912">
          <w:marLeft w:val="446"/>
          <w:marRight w:val="0"/>
          <w:marTop w:val="0"/>
          <w:marBottom w:val="0"/>
          <w:divBdr>
            <w:top w:val="none" w:sz="0" w:space="0" w:color="auto"/>
            <w:left w:val="none" w:sz="0" w:space="0" w:color="auto"/>
            <w:bottom w:val="none" w:sz="0" w:space="0" w:color="auto"/>
            <w:right w:val="none" w:sz="0" w:space="0" w:color="auto"/>
          </w:divBdr>
        </w:div>
        <w:div w:id="796870931">
          <w:marLeft w:val="446"/>
          <w:marRight w:val="0"/>
          <w:marTop w:val="0"/>
          <w:marBottom w:val="0"/>
          <w:divBdr>
            <w:top w:val="none" w:sz="0" w:space="0" w:color="auto"/>
            <w:left w:val="none" w:sz="0" w:space="0" w:color="auto"/>
            <w:bottom w:val="none" w:sz="0" w:space="0" w:color="auto"/>
            <w:right w:val="none" w:sz="0" w:space="0" w:color="auto"/>
          </w:divBdr>
        </w:div>
        <w:div w:id="1084498712">
          <w:marLeft w:val="446"/>
          <w:marRight w:val="0"/>
          <w:marTop w:val="0"/>
          <w:marBottom w:val="0"/>
          <w:divBdr>
            <w:top w:val="none" w:sz="0" w:space="0" w:color="auto"/>
            <w:left w:val="none" w:sz="0" w:space="0" w:color="auto"/>
            <w:bottom w:val="none" w:sz="0" w:space="0" w:color="auto"/>
            <w:right w:val="none" w:sz="0" w:space="0" w:color="auto"/>
          </w:divBdr>
        </w:div>
        <w:div w:id="1763725129">
          <w:marLeft w:val="446"/>
          <w:marRight w:val="0"/>
          <w:marTop w:val="0"/>
          <w:marBottom w:val="0"/>
          <w:divBdr>
            <w:top w:val="none" w:sz="0" w:space="0" w:color="auto"/>
            <w:left w:val="none" w:sz="0" w:space="0" w:color="auto"/>
            <w:bottom w:val="none" w:sz="0" w:space="0" w:color="auto"/>
            <w:right w:val="none" w:sz="0" w:space="0" w:color="auto"/>
          </w:divBdr>
        </w:div>
      </w:divsChild>
    </w:div>
    <w:div w:id="1788550068">
      <w:bodyDiv w:val="1"/>
      <w:marLeft w:val="0"/>
      <w:marRight w:val="0"/>
      <w:marTop w:val="0"/>
      <w:marBottom w:val="0"/>
      <w:divBdr>
        <w:top w:val="none" w:sz="0" w:space="0" w:color="auto"/>
        <w:left w:val="none" w:sz="0" w:space="0" w:color="auto"/>
        <w:bottom w:val="none" w:sz="0" w:space="0" w:color="auto"/>
        <w:right w:val="none" w:sz="0" w:space="0" w:color="auto"/>
      </w:divBdr>
    </w:div>
    <w:div w:id="1797679282">
      <w:bodyDiv w:val="1"/>
      <w:marLeft w:val="0"/>
      <w:marRight w:val="0"/>
      <w:marTop w:val="0"/>
      <w:marBottom w:val="0"/>
      <w:divBdr>
        <w:top w:val="none" w:sz="0" w:space="0" w:color="auto"/>
        <w:left w:val="none" w:sz="0" w:space="0" w:color="auto"/>
        <w:bottom w:val="none" w:sz="0" w:space="0" w:color="auto"/>
        <w:right w:val="none" w:sz="0" w:space="0" w:color="auto"/>
      </w:divBdr>
    </w:div>
    <w:div w:id="1813206218">
      <w:bodyDiv w:val="1"/>
      <w:marLeft w:val="0"/>
      <w:marRight w:val="0"/>
      <w:marTop w:val="0"/>
      <w:marBottom w:val="0"/>
      <w:divBdr>
        <w:top w:val="none" w:sz="0" w:space="0" w:color="auto"/>
        <w:left w:val="none" w:sz="0" w:space="0" w:color="auto"/>
        <w:bottom w:val="none" w:sz="0" w:space="0" w:color="auto"/>
        <w:right w:val="none" w:sz="0" w:space="0" w:color="auto"/>
      </w:divBdr>
    </w:div>
    <w:div w:id="1833257898">
      <w:bodyDiv w:val="1"/>
      <w:marLeft w:val="0"/>
      <w:marRight w:val="0"/>
      <w:marTop w:val="0"/>
      <w:marBottom w:val="0"/>
      <w:divBdr>
        <w:top w:val="none" w:sz="0" w:space="0" w:color="auto"/>
        <w:left w:val="none" w:sz="0" w:space="0" w:color="auto"/>
        <w:bottom w:val="none" w:sz="0" w:space="0" w:color="auto"/>
        <w:right w:val="none" w:sz="0" w:space="0" w:color="auto"/>
      </w:divBdr>
      <w:divsChild>
        <w:div w:id="828058313">
          <w:marLeft w:val="446"/>
          <w:marRight w:val="0"/>
          <w:marTop w:val="0"/>
          <w:marBottom w:val="0"/>
          <w:divBdr>
            <w:top w:val="none" w:sz="0" w:space="0" w:color="auto"/>
            <w:left w:val="none" w:sz="0" w:space="0" w:color="auto"/>
            <w:bottom w:val="none" w:sz="0" w:space="0" w:color="auto"/>
            <w:right w:val="none" w:sz="0" w:space="0" w:color="auto"/>
          </w:divBdr>
        </w:div>
      </w:divsChild>
    </w:div>
    <w:div w:id="1837726685">
      <w:bodyDiv w:val="1"/>
      <w:marLeft w:val="0"/>
      <w:marRight w:val="0"/>
      <w:marTop w:val="0"/>
      <w:marBottom w:val="0"/>
      <w:divBdr>
        <w:top w:val="none" w:sz="0" w:space="0" w:color="auto"/>
        <w:left w:val="none" w:sz="0" w:space="0" w:color="auto"/>
        <w:bottom w:val="none" w:sz="0" w:space="0" w:color="auto"/>
        <w:right w:val="none" w:sz="0" w:space="0" w:color="auto"/>
      </w:divBdr>
      <w:divsChild>
        <w:div w:id="1118528712">
          <w:marLeft w:val="446"/>
          <w:marRight w:val="0"/>
          <w:marTop w:val="0"/>
          <w:marBottom w:val="0"/>
          <w:divBdr>
            <w:top w:val="none" w:sz="0" w:space="0" w:color="auto"/>
            <w:left w:val="none" w:sz="0" w:space="0" w:color="auto"/>
            <w:bottom w:val="none" w:sz="0" w:space="0" w:color="auto"/>
            <w:right w:val="none" w:sz="0" w:space="0" w:color="auto"/>
          </w:divBdr>
        </w:div>
      </w:divsChild>
    </w:div>
    <w:div w:id="1854565908">
      <w:bodyDiv w:val="1"/>
      <w:marLeft w:val="0"/>
      <w:marRight w:val="0"/>
      <w:marTop w:val="0"/>
      <w:marBottom w:val="0"/>
      <w:divBdr>
        <w:top w:val="none" w:sz="0" w:space="0" w:color="auto"/>
        <w:left w:val="none" w:sz="0" w:space="0" w:color="auto"/>
        <w:bottom w:val="none" w:sz="0" w:space="0" w:color="auto"/>
        <w:right w:val="none" w:sz="0" w:space="0" w:color="auto"/>
      </w:divBdr>
    </w:div>
    <w:div w:id="1857428878">
      <w:bodyDiv w:val="1"/>
      <w:marLeft w:val="0"/>
      <w:marRight w:val="0"/>
      <w:marTop w:val="0"/>
      <w:marBottom w:val="0"/>
      <w:divBdr>
        <w:top w:val="none" w:sz="0" w:space="0" w:color="auto"/>
        <w:left w:val="none" w:sz="0" w:space="0" w:color="auto"/>
        <w:bottom w:val="none" w:sz="0" w:space="0" w:color="auto"/>
        <w:right w:val="none" w:sz="0" w:space="0" w:color="auto"/>
      </w:divBdr>
    </w:div>
    <w:div w:id="1892305512">
      <w:bodyDiv w:val="1"/>
      <w:marLeft w:val="0"/>
      <w:marRight w:val="0"/>
      <w:marTop w:val="0"/>
      <w:marBottom w:val="0"/>
      <w:divBdr>
        <w:top w:val="none" w:sz="0" w:space="0" w:color="auto"/>
        <w:left w:val="none" w:sz="0" w:space="0" w:color="auto"/>
        <w:bottom w:val="none" w:sz="0" w:space="0" w:color="auto"/>
        <w:right w:val="none" w:sz="0" w:space="0" w:color="auto"/>
      </w:divBdr>
    </w:div>
    <w:div w:id="1899854246">
      <w:bodyDiv w:val="1"/>
      <w:marLeft w:val="0"/>
      <w:marRight w:val="0"/>
      <w:marTop w:val="0"/>
      <w:marBottom w:val="0"/>
      <w:divBdr>
        <w:top w:val="none" w:sz="0" w:space="0" w:color="auto"/>
        <w:left w:val="none" w:sz="0" w:space="0" w:color="auto"/>
        <w:bottom w:val="none" w:sz="0" w:space="0" w:color="auto"/>
        <w:right w:val="none" w:sz="0" w:space="0" w:color="auto"/>
      </w:divBdr>
    </w:div>
    <w:div w:id="1924146623">
      <w:bodyDiv w:val="1"/>
      <w:marLeft w:val="0"/>
      <w:marRight w:val="0"/>
      <w:marTop w:val="0"/>
      <w:marBottom w:val="0"/>
      <w:divBdr>
        <w:top w:val="none" w:sz="0" w:space="0" w:color="auto"/>
        <w:left w:val="none" w:sz="0" w:space="0" w:color="auto"/>
        <w:bottom w:val="none" w:sz="0" w:space="0" w:color="auto"/>
        <w:right w:val="none" w:sz="0" w:space="0" w:color="auto"/>
      </w:divBdr>
    </w:div>
    <w:div w:id="1924875871">
      <w:bodyDiv w:val="1"/>
      <w:marLeft w:val="0"/>
      <w:marRight w:val="0"/>
      <w:marTop w:val="0"/>
      <w:marBottom w:val="0"/>
      <w:divBdr>
        <w:top w:val="none" w:sz="0" w:space="0" w:color="auto"/>
        <w:left w:val="none" w:sz="0" w:space="0" w:color="auto"/>
        <w:bottom w:val="none" w:sz="0" w:space="0" w:color="auto"/>
        <w:right w:val="none" w:sz="0" w:space="0" w:color="auto"/>
      </w:divBdr>
    </w:div>
    <w:div w:id="1950239720">
      <w:bodyDiv w:val="1"/>
      <w:marLeft w:val="0"/>
      <w:marRight w:val="0"/>
      <w:marTop w:val="0"/>
      <w:marBottom w:val="0"/>
      <w:divBdr>
        <w:top w:val="none" w:sz="0" w:space="0" w:color="auto"/>
        <w:left w:val="none" w:sz="0" w:space="0" w:color="auto"/>
        <w:bottom w:val="none" w:sz="0" w:space="0" w:color="auto"/>
        <w:right w:val="none" w:sz="0" w:space="0" w:color="auto"/>
      </w:divBdr>
      <w:divsChild>
        <w:div w:id="1424687627">
          <w:marLeft w:val="446"/>
          <w:marRight w:val="0"/>
          <w:marTop w:val="0"/>
          <w:marBottom w:val="0"/>
          <w:divBdr>
            <w:top w:val="none" w:sz="0" w:space="0" w:color="auto"/>
            <w:left w:val="none" w:sz="0" w:space="0" w:color="auto"/>
            <w:bottom w:val="none" w:sz="0" w:space="0" w:color="auto"/>
            <w:right w:val="none" w:sz="0" w:space="0" w:color="auto"/>
          </w:divBdr>
        </w:div>
        <w:div w:id="1524705185">
          <w:marLeft w:val="446"/>
          <w:marRight w:val="0"/>
          <w:marTop w:val="0"/>
          <w:marBottom w:val="0"/>
          <w:divBdr>
            <w:top w:val="none" w:sz="0" w:space="0" w:color="auto"/>
            <w:left w:val="none" w:sz="0" w:space="0" w:color="auto"/>
            <w:bottom w:val="none" w:sz="0" w:space="0" w:color="auto"/>
            <w:right w:val="none" w:sz="0" w:space="0" w:color="auto"/>
          </w:divBdr>
        </w:div>
      </w:divsChild>
    </w:div>
    <w:div w:id="1969890143">
      <w:bodyDiv w:val="1"/>
      <w:marLeft w:val="0"/>
      <w:marRight w:val="0"/>
      <w:marTop w:val="0"/>
      <w:marBottom w:val="0"/>
      <w:divBdr>
        <w:top w:val="none" w:sz="0" w:space="0" w:color="auto"/>
        <w:left w:val="none" w:sz="0" w:space="0" w:color="auto"/>
        <w:bottom w:val="none" w:sz="0" w:space="0" w:color="auto"/>
        <w:right w:val="none" w:sz="0" w:space="0" w:color="auto"/>
      </w:divBdr>
    </w:div>
    <w:div w:id="1982080863">
      <w:bodyDiv w:val="1"/>
      <w:marLeft w:val="0"/>
      <w:marRight w:val="0"/>
      <w:marTop w:val="0"/>
      <w:marBottom w:val="0"/>
      <w:divBdr>
        <w:top w:val="none" w:sz="0" w:space="0" w:color="auto"/>
        <w:left w:val="none" w:sz="0" w:space="0" w:color="auto"/>
        <w:bottom w:val="none" w:sz="0" w:space="0" w:color="auto"/>
        <w:right w:val="none" w:sz="0" w:space="0" w:color="auto"/>
      </w:divBdr>
      <w:divsChild>
        <w:div w:id="1577588153">
          <w:marLeft w:val="446"/>
          <w:marRight w:val="0"/>
          <w:marTop w:val="0"/>
          <w:marBottom w:val="0"/>
          <w:divBdr>
            <w:top w:val="none" w:sz="0" w:space="0" w:color="auto"/>
            <w:left w:val="none" w:sz="0" w:space="0" w:color="auto"/>
            <w:bottom w:val="none" w:sz="0" w:space="0" w:color="auto"/>
            <w:right w:val="none" w:sz="0" w:space="0" w:color="auto"/>
          </w:divBdr>
        </w:div>
      </w:divsChild>
    </w:div>
    <w:div w:id="2014797231">
      <w:bodyDiv w:val="1"/>
      <w:marLeft w:val="0"/>
      <w:marRight w:val="0"/>
      <w:marTop w:val="0"/>
      <w:marBottom w:val="0"/>
      <w:divBdr>
        <w:top w:val="none" w:sz="0" w:space="0" w:color="auto"/>
        <w:left w:val="none" w:sz="0" w:space="0" w:color="auto"/>
        <w:bottom w:val="none" w:sz="0" w:space="0" w:color="auto"/>
        <w:right w:val="none" w:sz="0" w:space="0" w:color="auto"/>
      </w:divBdr>
    </w:div>
    <w:div w:id="2020697281">
      <w:bodyDiv w:val="1"/>
      <w:marLeft w:val="0"/>
      <w:marRight w:val="0"/>
      <w:marTop w:val="0"/>
      <w:marBottom w:val="0"/>
      <w:divBdr>
        <w:top w:val="none" w:sz="0" w:space="0" w:color="auto"/>
        <w:left w:val="none" w:sz="0" w:space="0" w:color="auto"/>
        <w:bottom w:val="none" w:sz="0" w:space="0" w:color="auto"/>
        <w:right w:val="none" w:sz="0" w:space="0" w:color="auto"/>
      </w:divBdr>
    </w:div>
    <w:div w:id="2047099796">
      <w:bodyDiv w:val="1"/>
      <w:marLeft w:val="0"/>
      <w:marRight w:val="0"/>
      <w:marTop w:val="0"/>
      <w:marBottom w:val="0"/>
      <w:divBdr>
        <w:top w:val="none" w:sz="0" w:space="0" w:color="auto"/>
        <w:left w:val="none" w:sz="0" w:space="0" w:color="auto"/>
        <w:bottom w:val="none" w:sz="0" w:space="0" w:color="auto"/>
        <w:right w:val="none" w:sz="0" w:space="0" w:color="auto"/>
      </w:divBdr>
      <w:divsChild>
        <w:div w:id="512959780">
          <w:marLeft w:val="446"/>
          <w:marRight w:val="0"/>
          <w:marTop w:val="0"/>
          <w:marBottom w:val="0"/>
          <w:divBdr>
            <w:top w:val="none" w:sz="0" w:space="0" w:color="auto"/>
            <w:left w:val="none" w:sz="0" w:space="0" w:color="auto"/>
            <w:bottom w:val="none" w:sz="0" w:space="0" w:color="auto"/>
            <w:right w:val="none" w:sz="0" w:space="0" w:color="auto"/>
          </w:divBdr>
        </w:div>
        <w:div w:id="1669138342">
          <w:marLeft w:val="446"/>
          <w:marRight w:val="0"/>
          <w:marTop w:val="0"/>
          <w:marBottom w:val="0"/>
          <w:divBdr>
            <w:top w:val="none" w:sz="0" w:space="0" w:color="auto"/>
            <w:left w:val="none" w:sz="0" w:space="0" w:color="auto"/>
            <w:bottom w:val="none" w:sz="0" w:space="0" w:color="auto"/>
            <w:right w:val="none" w:sz="0" w:space="0" w:color="auto"/>
          </w:divBdr>
        </w:div>
        <w:div w:id="2122527771">
          <w:marLeft w:val="446"/>
          <w:marRight w:val="0"/>
          <w:marTop w:val="0"/>
          <w:marBottom w:val="0"/>
          <w:divBdr>
            <w:top w:val="none" w:sz="0" w:space="0" w:color="auto"/>
            <w:left w:val="none" w:sz="0" w:space="0" w:color="auto"/>
            <w:bottom w:val="none" w:sz="0" w:space="0" w:color="auto"/>
            <w:right w:val="none" w:sz="0" w:space="0" w:color="auto"/>
          </w:divBdr>
        </w:div>
      </w:divsChild>
    </w:div>
    <w:div w:id="2063018880">
      <w:bodyDiv w:val="1"/>
      <w:marLeft w:val="0"/>
      <w:marRight w:val="0"/>
      <w:marTop w:val="0"/>
      <w:marBottom w:val="0"/>
      <w:divBdr>
        <w:top w:val="none" w:sz="0" w:space="0" w:color="auto"/>
        <w:left w:val="none" w:sz="0" w:space="0" w:color="auto"/>
        <w:bottom w:val="none" w:sz="0" w:space="0" w:color="auto"/>
        <w:right w:val="none" w:sz="0" w:space="0" w:color="auto"/>
      </w:divBdr>
    </w:div>
    <w:div w:id="2071690073">
      <w:bodyDiv w:val="1"/>
      <w:marLeft w:val="0"/>
      <w:marRight w:val="0"/>
      <w:marTop w:val="0"/>
      <w:marBottom w:val="0"/>
      <w:divBdr>
        <w:top w:val="none" w:sz="0" w:space="0" w:color="auto"/>
        <w:left w:val="none" w:sz="0" w:space="0" w:color="auto"/>
        <w:bottom w:val="none" w:sz="0" w:space="0" w:color="auto"/>
        <w:right w:val="none" w:sz="0" w:space="0" w:color="auto"/>
      </w:divBdr>
    </w:div>
    <w:div w:id="2072994803">
      <w:bodyDiv w:val="1"/>
      <w:marLeft w:val="0"/>
      <w:marRight w:val="0"/>
      <w:marTop w:val="0"/>
      <w:marBottom w:val="0"/>
      <w:divBdr>
        <w:top w:val="none" w:sz="0" w:space="0" w:color="auto"/>
        <w:left w:val="none" w:sz="0" w:space="0" w:color="auto"/>
        <w:bottom w:val="none" w:sz="0" w:space="0" w:color="auto"/>
        <w:right w:val="none" w:sz="0" w:space="0" w:color="auto"/>
      </w:divBdr>
    </w:div>
    <w:div w:id="2082436520">
      <w:bodyDiv w:val="1"/>
      <w:marLeft w:val="0"/>
      <w:marRight w:val="0"/>
      <w:marTop w:val="0"/>
      <w:marBottom w:val="0"/>
      <w:divBdr>
        <w:top w:val="none" w:sz="0" w:space="0" w:color="auto"/>
        <w:left w:val="none" w:sz="0" w:space="0" w:color="auto"/>
        <w:bottom w:val="none" w:sz="0" w:space="0" w:color="auto"/>
        <w:right w:val="none" w:sz="0" w:space="0" w:color="auto"/>
      </w:divBdr>
    </w:div>
    <w:div w:id="213379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utm@datatech.toolnet.org" TargetMode="External"/><Relationship Id="rId21" Type="http://schemas.openxmlformats.org/officeDocument/2006/relationships/hyperlink" Target="mailto:secretariat@gpsmali.org." TargetMode="External"/><Relationship Id="rId22" Type="http://schemas.openxmlformats.org/officeDocument/2006/relationships/hyperlink" Target="mailto:gavihss@gavialliance.org" TargetMode="External"/><Relationship Id="rId23" Type="http://schemas.openxmlformats.org/officeDocument/2006/relationships/hyperlink" Target="mailto:gavihss@gavialliance.org" TargetMode="External"/><Relationship Id="rId24" Type="http://schemas.openxmlformats.org/officeDocument/2006/relationships/image" Target="media/image2.emf"/><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footer" Target="footer3.xml"/><Relationship Id="rId31" Type="http://schemas.openxmlformats.org/officeDocument/2006/relationships/footer" Target="footer4.xml"/><Relationship Id="rId32" Type="http://schemas.openxmlformats.org/officeDocument/2006/relationships/fontTable" Target="fontTable.xml"/><Relationship Id="rId9" Type="http://schemas.openxmlformats.org/officeDocument/2006/relationships/styles" Target="styles.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33"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png"/><Relationship Id="rId16" Type="http://schemas.openxmlformats.org/officeDocument/2006/relationships/hyperlink" Target="http://www.gavialliance.org/support/apply/" TargetMode="External"/><Relationship Id="rId17" Type="http://schemas.openxmlformats.org/officeDocument/2006/relationships/hyperlink" Target="http://www.gavialliance.org/support/apply/" TargetMode="External"/><Relationship Id="rId18" Type="http://schemas.openxmlformats.org/officeDocument/2006/relationships/hyperlink" Target="mailto:abouba30@yahoo.fr" TargetMode="External"/><Relationship Id="rId19" Type="http://schemas.openxmlformats.org/officeDocument/2006/relationships/hyperlink" Target="mailto:fenascom@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326E40CB31F45B21EB8ECE521E9C0" ma:contentTypeVersion="0" ma:contentTypeDescription="Create a new document." ma:contentTypeScope="" ma:versionID="22398753f02057eced975e9ed76ecde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59674-4680-49F6-9CAD-A7D65D6B5905}">
  <ds:schemaRefs>
    <ds:schemaRef ds:uri="http://schemas.microsoft.com/sharepoint/v3/contenttype/forms"/>
  </ds:schemaRefs>
</ds:datastoreItem>
</file>

<file path=customXml/itemProps2.xml><?xml version="1.0" encoding="utf-8"?>
<ds:datastoreItem xmlns:ds="http://schemas.openxmlformats.org/officeDocument/2006/customXml" ds:itemID="{3DDDFD65-3AC7-4E92-A5E6-2BA94001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370626-414D-4022-A043-E5FC328A3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DD346C-61CB-0E4F-A113-939AEE7574F2}">
  <ds:schemaRefs>
    <ds:schemaRef ds:uri="http://schemas.openxmlformats.org/officeDocument/2006/bibliography"/>
  </ds:schemaRefs>
</ds:datastoreItem>
</file>

<file path=customXml/itemProps5.xml><?xml version="1.0" encoding="utf-8"?>
<ds:datastoreItem xmlns:ds="http://schemas.openxmlformats.org/officeDocument/2006/customXml" ds:itemID="{B602085E-3786-BA44-B7D3-35E4677F0CEC}">
  <ds:schemaRefs>
    <ds:schemaRef ds:uri="http://schemas.openxmlformats.org/officeDocument/2006/bibliography"/>
  </ds:schemaRefs>
</ds:datastoreItem>
</file>

<file path=customXml/itemProps6.xml><?xml version="1.0" encoding="utf-8"?>
<ds:datastoreItem xmlns:ds="http://schemas.openxmlformats.org/officeDocument/2006/customXml" ds:itemID="{DFBB0B2C-1D11-244B-9425-4E0F172AA78D}">
  <ds:schemaRefs>
    <ds:schemaRef ds:uri="http://schemas.openxmlformats.org/officeDocument/2006/bibliography"/>
  </ds:schemaRefs>
</ds:datastoreItem>
</file>

<file path=customXml/itemProps7.xml><?xml version="1.0" encoding="utf-8"?>
<ds:datastoreItem xmlns:ds="http://schemas.openxmlformats.org/officeDocument/2006/customXml" ds:itemID="{209788AB-F2B2-0342-B465-45F16027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76</Pages>
  <Words>24375</Words>
  <Characters>138943</Characters>
  <Application>Microsoft Macintosh Word</Application>
  <DocSecurity>0</DocSecurity>
  <Lines>1157</Lines>
  <Paragraphs>325</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Health Systems Funding Platform</vt:lpstr>
      <vt:lpstr>    Éléments clés du renforcement du système de santé de GAVI</vt:lpstr>
      <vt:lpstr>    Résumé d’une demande de soutien complet</vt:lpstr>
      <vt:lpstr>Health Systems Funding Platform</vt:lpstr>
    </vt:vector>
  </TitlesOfParts>
  <Company>Gavi Alliance</Company>
  <LinksUpToDate>false</LinksUpToDate>
  <CharactersWithSpaces>162993</CharactersWithSpaces>
  <SharedDoc>false</SharedDoc>
  <HLinks>
    <vt:vector size="198" baseType="variant">
      <vt:variant>
        <vt:i4>1703986</vt:i4>
      </vt:variant>
      <vt:variant>
        <vt:i4>182</vt:i4>
      </vt:variant>
      <vt:variant>
        <vt:i4>0</vt:i4>
      </vt:variant>
      <vt:variant>
        <vt:i4>5</vt:i4>
      </vt:variant>
      <vt:variant>
        <vt:lpwstr/>
      </vt:variant>
      <vt:variant>
        <vt:lpwstr>_Toc380147536</vt:lpwstr>
      </vt:variant>
      <vt:variant>
        <vt:i4>1703986</vt:i4>
      </vt:variant>
      <vt:variant>
        <vt:i4>176</vt:i4>
      </vt:variant>
      <vt:variant>
        <vt:i4>0</vt:i4>
      </vt:variant>
      <vt:variant>
        <vt:i4>5</vt:i4>
      </vt:variant>
      <vt:variant>
        <vt:lpwstr/>
      </vt:variant>
      <vt:variant>
        <vt:lpwstr>_Toc380147535</vt:lpwstr>
      </vt:variant>
      <vt:variant>
        <vt:i4>1703986</vt:i4>
      </vt:variant>
      <vt:variant>
        <vt:i4>170</vt:i4>
      </vt:variant>
      <vt:variant>
        <vt:i4>0</vt:i4>
      </vt:variant>
      <vt:variant>
        <vt:i4>5</vt:i4>
      </vt:variant>
      <vt:variant>
        <vt:lpwstr/>
      </vt:variant>
      <vt:variant>
        <vt:lpwstr>_Toc380147534</vt:lpwstr>
      </vt:variant>
      <vt:variant>
        <vt:i4>1703986</vt:i4>
      </vt:variant>
      <vt:variant>
        <vt:i4>164</vt:i4>
      </vt:variant>
      <vt:variant>
        <vt:i4>0</vt:i4>
      </vt:variant>
      <vt:variant>
        <vt:i4>5</vt:i4>
      </vt:variant>
      <vt:variant>
        <vt:lpwstr/>
      </vt:variant>
      <vt:variant>
        <vt:lpwstr>_Toc380147533</vt:lpwstr>
      </vt:variant>
      <vt:variant>
        <vt:i4>1703986</vt:i4>
      </vt:variant>
      <vt:variant>
        <vt:i4>158</vt:i4>
      </vt:variant>
      <vt:variant>
        <vt:i4>0</vt:i4>
      </vt:variant>
      <vt:variant>
        <vt:i4>5</vt:i4>
      </vt:variant>
      <vt:variant>
        <vt:lpwstr/>
      </vt:variant>
      <vt:variant>
        <vt:lpwstr>_Toc380147532</vt:lpwstr>
      </vt:variant>
      <vt:variant>
        <vt:i4>1703986</vt:i4>
      </vt:variant>
      <vt:variant>
        <vt:i4>152</vt:i4>
      </vt:variant>
      <vt:variant>
        <vt:i4>0</vt:i4>
      </vt:variant>
      <vt:variant>
        <vt:i4>5</vt:i4>
      </vt:variant>
      <vt:variant>
        <vt:lpwstr/>
      </vt:variant>
      <vt:variant>
        <vt:lpwstr>_Toc380147531</vt:lpwstr>
      </vt:variant>
      <vt:variant>
        <vt:i4>1703986</vt:i4>
      </vt:variant>
      <vt:variant>
        <vt:i4>146</vt:i4>
      </vt:variant>
      <vt:variant>
        <vt:i4>0</vt:i4>
      </vt:variant>
      <vt:variant>
        <vt:i4>5</vt:i4>
      </vt:variant>
      <vt:variant>
        <vt:lpwstr/>
      </vt:variant>
      <vt:variant>
        <vt:lpwstr>_Toc380147530</vt:lpwstr>
      </vt:variant>
      <vt:variant>
        <vt:i4>1769522</vt:i4>
      </vt:variant>
      <vt:variant>
        <vt:i4>140</vt:i4>
      </vt:variant>
      <vt:variant>
        <vt:i4>0</vt:i4>
      </vt:variant>
      <vt:variant>
        <vt:i4>5</vt:i4>
      </vt:variant>
      <vt:variant>
        <vt:lpwstr/>
      </vt:variant>
      <vt:variant>
        <vt:lpwstr>_Toc380147529</vt:lpwstr>
      </vt:variant>
      <vt:variant>
        <vt:i4>1769522</vt:i4>
      </vt:variant>
      <vt:variant>
        <vt:i4>134</vt:i4>
      </vt:variant>
      <vt:variant>
        <vt:i4>0</vt:i4>
      </vt:variant>
      <vt:variant>
        <vt:i4>5</vt:i4>
      </vt:variant>
      <vt:variant>
        <vt:lpwstr/>
      </vt:variant>
      <vt:variant>
        <vt:lpwstr>_Toc380147528</vt:lpwstr>
      </vt:variant>
      <vt:variant>
        <vt:i4>1769522</vt:i4>
      </vt:variant>
      <vt:variant>
        <vt:i4>128</vt:i4>
      </vt:variant>
      <vt:variant>
        <vt:i4>0</vt:i4>
      </vt:variant>
      <vt:variant>
        <vt:i4>5</vt:i4>
      </vt:variant>
      <vt:variant>
        <vt:lpwstr/>
      </vt:variant>
      <vt:variant>
        <vt:lpwstr>_Toc380147527</vt:lpwstr>
      </vt:variant>
      <vt:variant>
        <vt:i4>1769522</vt:i4>
      </vt:variant>
      <vt:variant>
        <vt:i4>122</vt:i4>
      </vt:variant>
      <vt:variant>
        <vt:i4>0</vt:i4>
      </vt:variant>
      <vt:variant>
        <vt:i4>5</vt:i4>
      </vt:variant>
      <vt:variant>
        <vt:lpwstr/>
      </vt:variant>
      <vt:variant>
        <vt:lpwstr>_Toc380147526</vt:lpwstr>
      </vt:variant>
      <vt:variant>
        <vt:i4>1769522</vt:i4>
      </vt:variant>
      <vt:variant>
        <vt:i4>116</vt:i4>
      </vt:variant>
      <vt:variant>
        <vt:i4>0</vt:i4>
      </vt:variant>
      <vt:variant>
        <vt:i4>5</vt:i4>
      </vt:variant>
      <vt:variant>
        <vt:lpwstr/>
      </vt:variant>
      <vt:variant>
        <vt:lpwstr>_Toc380147525</vt:lpwstr>
      </vt:variant>
      <vt:variant>
        <vt:i4>1769522</vt:i4>
      </vt:variant>
      <vt:variant>
        <vt:i4>110</vt:i4>
      </vt:variant>
      <vt:variant>
        <vt:i4>0</vt:i4>
      </vt:variant>
      <vt:variant>
        <vt:i4>5</vt:i4>
      </vt:variant>
      <vt:variant>
        <vt:lpwstr/>
      </vt:variant>
      <vt:variant>
        <vt:lpwstr>_Toc380147524</vt:lpwstr>
      </vt:variant>
      <vt:variant>
        <vt:i4>1769522</vt:i4>
      </vt:variant>
      <vt:variant>
        <vt:i4>104</vt:i4>
      </vt:variant>
      <vt:variant>
        <vt:i4>0</vt:i4>
      </vt:variant>
      <vt:variant>
        <vt:i4>5</vt:i4>
      </vt:variant>
      <vt:variant>
        <vt:lpwstr/>
      </vt:variant>
      <vt:variant>
        <vt:lpwstr>_Toc380147523</vt:lpwstr>
      </vt:variant>
      <vt:variant>
        <vt:i4>1769522</vt:i4>
      </vt:variant>
      <vt:variant>
        <vt:i4>98</vt:i4>
      </vt:variant>
      <vt:variant>
        <vt:i4>0</vt:i4>
      </vt:variant>
      <vt:variant>
        <vt:i4>5</vt:i4>
      </vt:variant>
      <vt:variant>
        <vt:lpwstr/>
      </vt:variant>
      <vt:variant>
        <vt:lpwstr>_Toc380147522</vt:lpwstr>
      </vt:variant>
      <vt:variant>
        <vt:i4>1769522</vt:i4>
      </vt:variant>
      <vt:variant>
        <vt:i4>92</vt:i4>
      </vt:variant>
      <vt:variant>
        <vt:i4>0</vt:i4>
      </vt:variant>
      <vt:variant>
        <vt:i4>5</vt:i4>
      </vt:variant>
      <vt:variant>
        <vt:lpwstr/>
      </vt:variant>
      <vt:variant>
        <vt:lpwstr>_Toc380147521</vt:lpwstr>
      </vt:variant>
      <vt:variant>
        <vt:i4>1769522</vt:i4>
      </vt:variant>
      <vt:variant>
        <vt:i4>86</vt:i4>
      </vt:variant>
      <vt:variant>
        <vt:i4>0</vt:i4>
      </vt:variant>
      <vt:variant>
        <vt:i4>5</vt:i4>
      </vt:variant>
      <vt:variant>
        <vt:lpwstr/>
      </vt:variant>
      <vt:variant>
        <vt:lpwstr>_Toc380147520</vt:lpwstr>
      </vt:variant>
      <vt:variant>
        <vt:i4>1572914</vt:i4>
      </vt:variant>
      <vt:variant>
        <vt:i4>80</vt:i4>
      </vt:variant>
      <vt:variant>
        <vt:i4>0</vt:i4>
      </vt:variant>
      <vt:variant>
        <vt:i4>5</vt:i4>
      </vt:variant>
      <vt:variant>
        <vt:lpwstr/>
      </vt:variant>
      <vt:variant>
        <vt:lpwstr>_Toc380147519</vt:lpwstr>
      </vt:variant>
      <vt:variant>
        <vt:i4>1572914</vt:i4>
      </vt:variant>
      <vt:variant>
        <vt:i4>74</vt:i4>
      </vt:variant>
      <vt:variant>
        <vt:i4>0</vt:i4>
      </vt:variant>
      <vt:variant>
        <vt:i4>5</vt:i4>
      </vt:variant>
      <vt:variant>
        <vt:lpwstr/>
      </vt:variant>
      <vt:variant>
        <vt:lpwstr>_Toc380147518</vt:lpwstr>
      </vt:variant>
      <vt:variant>
        <vt:i4>1572914</vt:i4>
      </vt:variant>
      <vt:variant>
        <vt:i4>68</vt:i4>
      </vt:variant>
      <vt:variant>
        <vt:i4>0</vt:i4>
      </vt:variant>
      <vt:variant>
        <vt:i4>5</vt:i4>
      </vt:variant>
      <vt:variant>
        <vt:lpwstr/>
      </vt:variant>
      <vt:variant>
        <vt:lpwstr>_Toc380147517</vt:lpwstr>
      </vt:variant>
      <vt:variant>
        <vt:i4>1572914</vt:i4>
      </vt:variant>
      <vt:variant>
        <vt:i4>62</vt:i4>
      </vt:variant>
      <vt:variant>
        <vt:i4>0</vt:i4>
      </vt:variant>
      <vt:variant>
        <vt:i4>5</vt:i4>
      </vt:variant>
      <vt:variant>
        <vt:lpwstr/>
      </vt:variant>
      <vt:variant>
        <vt:lpwstr>_Toc380147516</vt:lpwstr>
      </vt:variant>
      <vt:variant>
        <vt:i4>1572914</vt:i4>
      </vt:variant>
      <vt:variant>
        <vt:i4>56</vt:i4>
      </vt:variant>
      <vt:variant>
        <vt:i4>0</vt:i4>
      </vt:variant>
      <vt:variant>
        <vt:i4>5</vt:i4>
      </vt:variant>
      <vt:variant>
        <vt:lpwstr/>
      </vt:variant>
      <vt:variant>
        <vt:lpwstr>_Toc380147515</vt:lpwstr>
      </vt:variant>
      <vt:variant>
        <vt:i4>1572914</vt:i4>
      </vt:variant>
      <vt:variant>
        <vt:i4>50</vt:i4>
      </vt:variant>
      <vt:variant>
        <vt:i4>0</vt:i4>
      </vt:variant>
      <vt:variant>
        <vt:i4>5</vt:i4>
      </vt:variant>
      <vt:variant>
        <vt:lpwstr/>
      </vt:variant>
      <vt:variant>
        <vt:lpwstr>_Toc380147514</vt:lpwstr>
      </vt:variant>
      <vt:variant>
        <vt:i4>1572914</vt:i4>
      </vt:variant>
      <vt:variant>
        <vt:i4>44</vt:i4>
      </vt:variant>
      <vt:variant>
        <vt:i4>0</vt:i4>
      </vt:variant>
      <vt:variant>
        <vt:i4>5</vt:i4>
      </vt:variant>
      <vt:variant>
        <vt:lpwstr/>
      </vt:variant>
      <vt:variant>
        <vt:lpwstr>_Toc380147513</vt:lpwstr>
      </vt:variant>
      <vt:variant>
        <vt:i4>1572914</vt:i4>
      </vt:variant>
      <vt:variant>
        <vt:i4>38</vt:i4>
      </vt:variant>
      <vt:variant>
        <vt:i4>0</vt:i4>
      </vt:variant>
      <vt:variant>
        <vt:i4>5</vt:i4>
      </vt:variant>
      <vt:variant>
        <vt:lpwstr/>
      </vt:variant>
      <vt:variant>
        <vt:lpwstr>_Toc380147512</vt:lpwstr>
      </vt:variant>
      <vt:variant>
        <vt:i4>1572914</vt:i4>
      </vt:variant>
      <vt:variant>
        <vt:i4>32</vt:i4>
      </vt:variant>
      <vt:variant>
        <vt:i4>0</vt:i4>
      </vt:variant>
      <vt:variant>
        <vt:i4>5</vt:i4>
      </vt:variant>
      <vt:variant>
        <vt:lpwstr/>
      </vt:variant>
      <vt:variant>
        <vt:lpwstr>_Toc380147511</vt:lpwstr>
      </vt:variant>
      <vt:variant>
        <vt:i4>1572914</vt:i4>
      </vt:variant>
      <vt:variant>
        <vt:i4>26</vt:i4>
      </vt:variant>
      <vt:variant>
        <vt:i4>0</vt:i4>
      </vt:variant>
      <vt:variant>
        <vt:i4>5</vt:i4>
      </vt:variant>
      <vt:variant>
        <vt:lpwstr/>
      </vt:variant>
      <vt:variant>
        <vt:lpwstr>_Toc380147510</vt:lpwstr>
      </vt:variant>
      <vt:variant>
        <vt:i4>1638450</vt:i4>
      </vt:variant>
      <vt:variant>
        <vt:i4>20</vt:i4>
      </vt:variant>
      <vt:variant>
        <vt:i4>0</vt:i4>
      </vt:variant>
      <vt:variant>
        <vt:i4>5</vt:i4>
      </vt:variant>
      <vt:variant>
        <vt:lpwstr/>
      </vt:variant>
      <vt:variant>
        <vt:lpwstr>_Toc380147509</vt:lpwstr>
      </vt:variant>
      <vt:variant>
        <vt:i4>1638450</vt:i4>
      </vt:variant>
      <vt:variant>
        <vt:i4>14</vt:i4>
      </vt:variant>
      <vt:variant>
        <vt:i4>0</vt:i4>
      </vt:variant>
      <vt:variant>
        <vt:i4>5</vt:i4>
      </vt:variant>
      <vt:variant>
        <vt:lpwstr/>
      </vt:variant>
      <vt:variant>
        <vt:lpwstr>_Toc380147508</vt:lpwstr>
      </vt:variant>
      <vt:variant>
        <vt:i4>1638450</vt:i4>
      </vt:variant>
      <vt:variant>
        <vt:i4>8</vt:i4>
      </vt:variant>
      <vt:variant>
        <vt:i4>0</vt:i4>
      </vt:variant>
      <vt:variant>
        <vt:i4>5</vt:i4>
      </vt:variant>
      <vt:variant>
        <vt:lpwstr/>
      </vt:variant>
      <vt:variant>
        <vt:lpwstr>_Toc380147507</vt:lpwstr>
      </vt:variant>
      <vt:variant>
        <vt:i4>1638450</vt:i4>
      </vt:variant>
      <vt:variant>
        <vt:i4>2</vt:i4>
      </vt:variant>
      <vt:variant>
        <vt:i4>0</vt:i4>
      </vt:variant>
      <vt:variant>
        <vt:i4>5</vt:i4>
      </vt:variant>
      <vt:variant>
        <vt:lpwstr/>
      </vt:variant>
      <vt:variant>
        <vt:lpwstr>_Toc380147506</vt:lpwstr>
      </vt:variant>
      <vt:variant>
        <vt:i4>2228235</vt:i4>
      </vt:variant>
      <vt:variant>
        <vt:i4>3</vt:i4>
      </vt:variant>
      <vt:variant>
        <vt:i4>0</vt:i4>
      </vt:variant>
      <vt:variant>
        <vt:i4>5</vt:i4>
      </vt:variant>
      <vt:variant>
        <vt:lpwstr>mailto:HSFP@gavialliance.org</vt:lpwstr>
      </vt:variant>
      <vt:variant>
        <vt:lpwstr/>
      </vt:variant>
      <vt:variant>
        <vt:i4>2949166</vt:i4>
      </vt:variant>
      <vt:variant>
        <vt:i4>0</vt:i4>
      </vt:variant>
      <vt:variant>
        <vt:i4>0</vt:i4>
      </vt:variant>
      <vt:variant>
        <vt:i4>5</vt:i4>
      </vt:variant>
      <vt:variant>
        <vt:lpwstr>http://www.gavialliance.org/support/apply/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Systems Funding Platform</dc:title>
  <dc:creator>den30068</dc:creator>
  <cp:lastModifiedBy>Robert Sette</cp:lastModifiedBy>
  <cp:revision>48</cp:revision>
  <cp:lastPrinted>2014-10-10T07:27:00Z</cp:lastPrinted>
  <dcterms:created xsi:type="dcterms:W3CDTF">2014-10-09T07:22:00Z</dcterms:created>
  <dcterms:modified xsi:type="dcterms:W3CDTF">2014-10-31T08:51:00Z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