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380" w:rsidRPr="00DE62B6" w:rsidRDefault="00522BD1" w:rsidP="00DE62B6">
      <w:pPr>
        <w:pStyle w:val="Titre1"/>
        <w:pBdr>
          <w:top w:val="double" w:sz="4" w:space="1" w:color="auto"/>
          <w:left w:val="double" w:sz="4" w:space="4" w:color="auto"/>
          <w:bottom w:val="double" w:sz="4" w:space="1" w:color="auto"/>
          <w:right w:val="double" w:sz="4" w:space="4" w:color="auto"/>
        </w:pBdr>
        <w:jc w:val="center"/>
      </w:pPr>
      <w:r w:rsidRPr="00DE62B6">
        <w:rPr>
          <w:color w:val="auto"/>
        </w:rPr>
        <w:t>RÉPONSES DU MALI RELATIVES AUX ÉCLAIRCISSEMENTS DEMAND</w:t>
      </w:r>
      <w:r w:rsidR="00140E93" w:rsidRPr="00DE62B6">
        <w:rPr>
          <w:color w:val="auto"/>
        </w:rPr>
        <w:t>ÉS PAR GAVI-ALLIANCE</w:t>
      </w:r>
    </w:p>
    <w:p w:rsidR="00F50F61" w:rsidRPr="00DE62B6" w:rsidRDefault="00F50F61" w:rsidP="00DE62B6"/>
    <w:p w:rsidR="00852380" w:rsidRPr="00DE62B6" w:rsidRDefault="00F50F61" w:rsidP="00DE62B6">
      <w:pPr>
        <w:pStyle w:val="Paragraphedeliste"/>
        <w:numPr>
          <w:ilvl w:val="0"/>
          <w:numId w:val="15"/>
        </w:numPr>
        <w:rPr>
          <w:rFonts w:ascii="Times New Roman" w:hAnsi="Times New Roman" w:cs="Times New Roman"/>
          <w:b/>
          <w:sz w:val="24"/>
          <w:szCs w:val="24"/>
        </w:rPr>
      </w:pPr>
      <w:r w:rsidRPr="00DE62B6">
        <w:rPr>
          <w:rFonts w:ascii="Times New Roman" w:hAnsi="Times New Roman" w:cs="Times New Roman"/>
          <w:b/>
          <w:sz w:val="24"/>
          <w:szCs w:val="24"/>
        </w:rPr>
        <w:t>É</w:t>
      </w:r>
      <w:r w:rsidR="00852380" w:rsidRPr="00DE62B6">
        <w:rPr>
          <w:rFonts w:ascii="Times New Roman" w:hAnsi="Times New Roman" w:cs="Times New Roman"/>
          <w:b/>
          <w:sz w:val="24"/>
          <w:szCs w:val="24"/>
        </w:rPr>
        <w:t>claircisseme</w:t>
      </w:r>
      <w:r w:rsidRPr="00DE62B6">
        <w:rPr>
          <w:rFonts w:ascii="Times New Roman" w:hAnsi="Times New Roman" w:cs="Times New Roman"/>
          <w:b/>
          <w:sz w:val="24"/>
          <w:szCs w:val="24"/>
        </w:rPr>
        <w:t xml:space="preserve">nts pour la demande de soutien </w:t>
      </w:r>
      <w:r w:rsidR="00852380" w:rsidRPr="00DE62B6">
        <w:rPr>
          <w:rFonts w:ascii="Times New Roman" w:hAnsi="Times New Roman" w:cs="Times New Roman"/>
          <w:b/>
          <w:sz w:val="24"/>
          <w:szCs w:val="24"/>
        </w:rPr>
        <w:t>à l’introduction d</w:t>
      </w:r>
      <w:r w:rsidR="00F51A69">
        <w:rPr>
          <w:rFonts w:ascii="Times New Roman" w:hAnsi="Times New Roman" w:cs="Times New Roman"/>
          <w:b/>
          <w:sz w:val="24"/>
          <w:szCs w:val="24"/>
        </w:rPr>
        <w:t xml:space="preserve">u </w:t>
      </w:r>
      <w:r w:rsidR="00852380" w:rsidRPr="00DE62B6">
        <w:rPr>
          <w:rFonts w:ascii="Times New Roman" w:hAnsi="Times New Roman" w:cs="Times New Roman"/>
          <w:b/>
          <w:sz w:val="24"/>
          <w:szCs w:val="24"/>
        </w:rPr>
        <w:t>V</w:t>
      </w:r>
      <w:bookmarkStart w:id="0" w:name="_GoBack"/>
      <w:bookmarkEnd w:id="0"/>
      <w:r w:rsidR="00F51A69">
        <w:rPr>
          <w:rFonts w:ascii="Times New Roman" w:hAnsi="Times New Roman" w:cs="Times New Roman"/>
          <w:b/>
          <w:sz w:val="24"/>
          <w:szCs w:val="24"/>
        </w:rPr>
        <w:t>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8"/>
        <w:gridCol w:w="3685"/>
        <w:gridCol w:w="1525"/>
      </w:tblGrid>
      <w:tr w:rsidR="00852380" w:rsidRPr="00DE62B6" w:rsidTr="00DE62B6">
        <w:tc>
          <w:tcPr>
            <w:tcW w:w="2195" w:type="pct"/>
            <w:shd w:val="clear" w:color="auto" w:fill="auto"/>
          </w:tcPr>
          <w:p w:rsidR="00852380" w:rsidRPr="00DE62B6" w:rsidRDefault="00F50F61" w:rsidP="00DE62B6">
            <w:pPr>
              <w:spacing w:after="0" w:line="240" w:lineRule="auto"/>
              <w:rPr>
                <w:rFonts w:ascii="Times New Roman" w:hAnsi="Times New Roman" w:cs="Times New Roman"/>
                <w:b/>
                <w:sz w:val="24"/>
                <w:szCs w:val="24"/>
              </w:rPr>
            </w:pPr>
            <w:r w:rsidRPr="00DE62B6">
              <w:rPr>
                <w:rFonts w:ascii="Times New Roman" w:hAnsi="Times New Roman" w:cs="Times New Roman"/>
                <w:b/>
                <w:sz w:val="24"/>
                <w:szCs w:val="24"/>
              </w:rPr>
              <w:t>É</w:t>
            </w:r>
            <w:r w:rsidR="00852380" w:rsidRPr="00DE62B6">
              <w:rPr>
                <w:rFonts w:ascii="Times New Roman" w:hAnsi="Times New Roman" w:cs="Times New Roman"/>
                <w:b/>
                <w:sz w:val="24"/>
                <w:szCs w:val="24"/>
              </w:rPr>
              <w:t>claircissements requis par le CEI</w:t>
            </w:r>
          </w:p>
        </w:tc>
        <w:tc>
          <w:tcPr>
            <w:tcW w:w="1984" w:type="pct"/>
            <w:shd w:val="clear" w:color="auto" w:fill="auto"/>
          </w:tcPr>
          <w:p w:rsidR="00852380" w:rsidRPr="00DE62B6" w:rsidRDefault="00852380" w:rsidP="00DE62B6">
            <w:pPr>
              <w:spacing w:after="0" w:line="240" w:lineRule="auto"/>
              <w:rPr>
                <w:rFonts w:ascii="Times New Roman" w:hAnsi="Times New Roman" w:cs="Times New Roman"/>
                <w:b/>
                <w:sz w:val="24"/>
                <w:szCs w:val="24"/>
              </w:rPr>
            </w:pPr>
            <w:r w:rsidRPr="00DE62B6">
              <w:rPr>
                <w:rFonts w:ascii="Times New Roman" w:hAnsi="Times New Roman" w:cs="Times New Roman"/>
                <w:b/>
                <w:sz w:val="24"/>
                <w:szCs w:val="24"/>
              </w:rPr>
              <w:t>Réponses du pays</w:t>
            </w:r>
          </w:p>
        </w:tc>
        <w:tc>
          <w:tcPr>
            <w:tcW w:w="821" w:type="pct"/>
            <w:shd w:val="clear" w:color="auto" w:fill="auto"/>
          </w:tcPr>
          <w:p w:rsidR="00852380" w:rsidRPr="00DE62B6" w:rsidRDefault="00852380" w:rsidP="00DE62B6">
            <w:pPr>
              <w:spacing w:after="0" w:line="240" w:lineRule="auto"/>
              <w:rPr>
                <w:rFonts w:ascii="Times New Roman" w:hAnsi="Times New Roman" w:cs="Times New Roman"/>
                <w:b/>
                <w:sz w:val="24"/>
                <w:szCs w:val="24"/>
              </w:rPr>
            </w:pPr>
            <w:r w:rsidRPr="00DE62B6">
              <w:rPr>
                <w:rFonts w:ascii="Times New Roman" w:hAnsi="Times New Roman" w:cs="Times New Roman"/>
                <w:b/>
                <w:sz w:val="24"/>
                <w:szCs w:val="24"/>
              </w:rPr>
              <w:t>Date limite</w:t>
            </w:r>
          </w:p>
        </w:tc>
      </w:tr>
      <w:tr w:rsidR="00852380" w:rsidRPr="00DE62B6" w:rsidTr="00DE62B6">
        <w:tc>
          <w:tcPr>
            <w:tcW w:w="2195" w:type="pct"/>
            <w:shd w:val="clear" w:color="auto" w:fill="auto"/>
          </w:tcPr>
          <w:p w:rsidR="00852380" w:rsidRPr="00DE62B6" w:rsidRDefault="00852380" w:rsidP="00DE62B6">
            <w:pPr>
              <w:pStyle w:val="Paragraphedeliste"/>
              <w:numPr>
                <w:ilvl w:val="0"/>
                <w:numId w:val="9"/>
              </w:numPr>
              <w:spacing w:after="0" w:line="240" w:lineRule="auto"/>
              <w:rPr>
                <w:rFonts w:ascii="Times New Roman" w:hAnsi="Times New Roman" w:cs="Times New Roman"/>
                <w:sz w:val="24"/>
                <w:szCs w:val="24"/>
              </w:rPr>
            </w:pPr>
            <w:r w:rsidRPr="00DE62B6">
              <w:rPr>
                <w:rFonts w:ascii="Times New Roman" w:hAnsi="Times New Roman" w:cs="Times New Roman"/>
                <w:sz w:val="24"/>
                <w:szCs w:val="24"/>
              </w:rPr>
              <w:t>Définir et mettre en œuvre une stratégie opérationnelle spécifique pour les régions du nord</w:t>
            </w:r>
          </w:p>
        </w:tc>
        <w:tc>
          <w:tcPr>
            <w:tcW w:w="1984" w:type="pct"/>
            <w:shd w:val="clear" w:color="auto" w:fill="auto"/>
          </w:tcPr>
          <w:p w:rsidR="00852380" w:rsidRPr="00DE62B6" w:rsidRDefault="00852380" w:rsidP="00DE62B6">
            <w:pPr>
              <w:numPr>
                <w:ilvl w:val="0"/>
                <w:numId w:val="10"/>
              </w:numPr>
              <w:spacing w:after="0" w:line="240" w:lineRule="auto"/>
              <w:ind w:left="33" w:hanging="33"/>
              <w:jc w:val="both"/>
              <w:rPr>
                <w:rFonts w:ascii="Times New Roman" w:hAnsi="Times New Roman" w:cs="Times New Roman"/>
                <w:sz w:val="24"/>
                <w:szCs w:val="24"/>
              </w:rPr>
            </w:pPr>
            <w:r w:rsidRPr="00DE62B6">
              <w:rPr>
                <w:rFonts w:ascii="Times New Roman" w:hAnsi="Times New Roman" w:cs="Times New Roman"/>
                <w:sz w:val="24"/>
                <w:szCs w:val="24"/>
              </w:rPr>
              <w:t>Concernant l’introduction du vaccin IPV dans les régions du nord touchées par une crise politico-sécuritaire, le programme s’appuiera sur :</w:t>
            </w:r>
          </w:p>
          <w:p w:rsidR="00852380" w:rsidRPr="00DE62B6" w:rsidRDefault="00852380" w:rsidP="00DE62B6">
            <w:pPr>
              <w:numPr>
                <w:ilvl w:val="0"/>
                <w:numId w:val="10"/>
              </w:numPr>
              <w:spacing w:after="0" w:line="240" w:lineRule="auto"/>
              <w:ind w:left="33" w:hanging="33"/>
              <w:jc w:val="both"/>
              <w:rPr>
                <w:rFonts w:ascii="Times New Roman" w:hAnsi="Times New Roman" w:cs="Times New Roman"/>
                <w:sz w:val="24"/>
                <w:szCs w:val="24"/>
              </w:rPr>
            </w:pPr>
            <w:r w:rsidRPr="00DE62B6">
              <w:rPr>
                <w:rFonts w:ascii="Times New Roman" w:hAnsi="Times New Roman" w:cs="Times New Roman"/>
                <w:sz w:val="24"/>
                <w:szCs w:val="24"/>
              </w:rPr>
              <w:t xml:space="preserve">Le système de santé dans les régions de Gao et Tombouctou : au niveau desquelles les structures de santé sont fonctionnelles et mènent régulièrement des activités de vaccination de routine et d’AVS au besoin. Leurs rapports de vaccination sont régulièrement transmis au niveau national. </w:t>
            </w:r>
          </w:p>
          <w:p w:rsidR="00852380" w:rsidRPr="00DE62B6" w:rsidRDefault="00852380" w:rsidP="00DE62B6">
            <w:pPr>
              <w:numPr>
                <w:ilvl w:val="0"/>
                <w:numId w:val="10"/>
              </w:numPr>
              <w:spacing w:after="0" w:line="240" w:lineRule="auto"/>
              <w:ind w:left="33" w:hanging="33"/>
              <w:jc w:val="both"/>
              <w:rPr>
                <w:rFonts w:ascii="Times New Roman" w:hAnsi="Times New Roman" w:cs="Times New Roman"/>
                <w:sz w:val="24"/>
                <w:szCs w:val="24"/>
              </w:rPr>
            </w:pPr>
            <w:r w:rsidRPr="00DE62B6">
              <w:rPr>
                <w:rFonts w:ascii="Times New Roman" w:hAnsi="Times New Roman" w:cs="Times New Roman"/>
                <w:sz w:val="24"/>
                <w:szCs w:val="24"/>
              </w:rPr>
              <w:t>Pour la région de Kidal où l’</w:t>
            </w:r>
            <w:r w:rsidR="00F21DAF" w:rsidRPr="00DE62B6">
              <w:rPr>
                <w:rFonts w:ascii="Times New Roman" w:hAnsi="Times New Roman" w:cs="Times New Roman"/>
                <w:sz w:val="24"/>
                <w:szCs w:val="24"/>
              </w:rPr>
              <w:t>É</w:t>
            </w:r>
            <w:r w:rsidRPr="00DE62B6">
              <w:rPr>
                <w:rFonts w:ascii="Times New Roman" w:hAnsi="Times New Roman" w:cs="Times New Roman"/>
                <w:sz w:val="24"/>
                <w:szCs w:val="24"/>
              </w:rPr>
              <w:t>tat est absent, les activités de vaccination vont se réaliser avec l’appui des ONG IEDA et DDRK.</w:t>
            </w:r>
            <w:r w:rsidR="00471C80" w:rsidRPr="00DE62B6">
              <w:rPr>
                <w:rFonts w:ascii="Times New Roman" w:hAnsi="Times New Roman" w:cs="Times New Roman"/>
                <w:sz w:val="24"/>
                <w:szCs w:val="24"/>
              </w:rPr>
              <w:t xml:space="preserve"> L'UNICEF a signé récemment un accord de partenariat pour l</w:t>
            </w:r>
            <w:r w:rsidR="00A675BE" w:rsidRPr="00DE62B6">
              <w:rPr>
                <w:rFonts w:ascii="Times New Roman" w:hAnsi="Times New Roman" w:cs="Times New Roman"/>
                <w:sz w:val="24"/>
                <w:szCs w:val="24"/>
              </w:rPr>
              <w:t>'offre des activités du PMA (Vaccination, nutrition, santé maternelle et infantile,…)</w:t>
            </w:r>
          </w:p>
        </w:tc>
        <w:tc>
          <w:tcPr>
            <w:tcW w:w="821" w:type="pct"/>
            <w:shd w:val="clear" w:color="auto" w:fill="auto"/>
          </w:tcPr>
          <w:p w:rsidR="00852380" w:rsidRPr="00DE62B6" w:rsidRDefault="00852380" w:rsidP="00DE62B6">
            <w:pPr>
              <w:spacing w:after="0" w:line="240" w:lineRule="auto"/>
              <w:rPr>
                <w:rFonts w:ascii="Times New Roman" w:hAnsi="Times New Roman" w:cs="Times New Roman"/>
                <w:sz w:val="24"/>
                <w:szCs w:val="24"/>
              </w:rPr>
            </w:pPr>
            <w:r w:rsidRPr="00DE62B6">
              <w:rPr>
                <w:rFonts w:ascii="Times New Roman" w:hAnsi="Times New Roman" w:cs="Times New Roman"/>
                <w:sz w:val="24"/>
                <w:szCs w:val="24"/>
              </w:rPr>
              <w:t>Juin 2015</w:t>
            </w:r>
          </w:p>
        </w:tc>
      </w:tr>
      <w:tr w:rsidR="00852380" w:rsidRPr="00DE62B6" w:rsidTr="00DE62B6">
        <w:tc>
          <w:tcPr>
            <w:tcW w:w="2195" w:type="pct"/>
            <w:shd w:val="clear" w:color="auto" w:fill="auto"/>
          </w:tcPr>
          <w:p w:rsidR="00852380" w:rsidRPr="00DE62B6" w:rsidRDefault="00852380" w:rsidP="00DE62B6">
            <w:pPr>
              <w:pStyle w:val="Paragraphedeliste"/>
              <w:numPr>
                <w:ilvl w:val="0"/>
                <w:numId w:val="9"/>
              </w:numPr>
              <w:spacing w:after="0" w:line="240" w:lineRule="auto"/>
              <w:rPr>
                <w:rFonts w:ascii="Times New Roman" w:hAnsi="Times New Roman" w:cs="Times New Roman"/>
                <w:sz w:val="24"/>
                <w:szCs w:val="24"/>
              </w:rPr>
            </w:pPr>
            <w:r w:rsidRPr="00DE62B6">
              <w:rPr>
                <w:rFonts w:ascii="Times New Roman" w:hAnsi="Times New Roman" w:cs="Times New Roman"/>
                <w:sz w:val="24"/>
                <w:szCs w:val="24"/>
              </w:rPr>
              <w:t>Actualiser le plan d’amélioration de la GEV et mettre en œuvre les recommandations</w:t>
            </w:r>
          </w:p>
        </w:tc>
        <w:tc>
          <w:tcPr>
            <w:tcW w:w="1984" w:type="pct"/>
            <w:shd w:val="clear" w:color="auto" w:fill="auto"/>
          </w:tcPr>
          <w:p w:rsidR="00852380" w:rsidRPr="00DE62B6" w:rsidRDefault="00852380" w:rsidP="00DE62B6">
            <w:pPr>
              <w:spacing w:after="0" w:line="240" w:lineRule="auto"/>
              <w:jc w:val="both"/>
              <w:rPr>
                <w:rFonts w:ascii="Times New Roman" w:hAnsi="Times New Roman" w:cs="Times New Roman"/>
                <w:sz w:val="24"/>
                <w:szCs w:val="24"/>
              </w:rPr>
            </w:pPr>
            <w:r w:rsidRPr="00DE62B6">
              <w:rPr>
                <w:rFonts w:ascii="Times New Roman" w:hAnsi="Times New Roman" w:cs="Times New Roman"/>
                <w:sz w:val="24"/>
                <w:szCs w:val="24"/>
              </w:rPr>
              <w:t xml:space="preserve">La GEV a été évaluée en septembre 2014, le rapport et </w:t>
            </w:r>
            <w:r w:rsidRPr="00DE62B6">
              <w:rPr>
                <w:rFonts w:ascii="Times New Roman" w:hAnsi="Times New Roman" w:cs="Times New Roman"/>
                <w:sz w:val="24"/>
                <w:szCs w:val="24"/>
                <w:u w:val="single"/>
              </w:rPr>
              <w:t xml:space="preserve">le </w:t>
            </w:r>
            <w:r w:rsidR="002C0E39" w:rsidRPr="00DE62B6">
              <w:rPr>
                <w:rFonts w:ascii="Times New Roman" w:hAnsi="Times New Roman" w:cs="Times New Roman"/>
                <w:sz w:val="24"/>
                <w:szCs w:val="24"/>
                <w:u w:val="single"/>
              </w:rPr>
              <w:t xml:space="preserve">nouveau </w:t>
            </w:r>
            <w:r w:rsidRPr="00DE62B6">
              <w:rPr>
                <w:rFonts w:ascii="Times New Roman" w:hAnsi="Times New Roman" w:cs="Times New Roman"/>
                <w:sz w:val="24"/>
                <w:szCs w:val="24"/>
                <w:u w:val="single"/>
              </w:rPr>
              <w:t>plan</w:t>
            </w:r>
            <w:r w:rsidRPr="00DE62B6">
              <w:rPr>
                <w:rFonts w:ascii="Times New Roman" w:hAnsi="Times New Roman" w:cs="Times New Roman"/>
                <w:sz w:val="24"/>
                <w:szCs w:val="24"/>
              </w:rPr>
              <w:t xml:space="preserve"> d’amélioration sont disponibles</w:t>
            </w:r>
            <w:r w:rsidR="00D77827" w:rsidRPr="00DE62B6">
              <w:rPr>
                <w:rFonts w:ascii="Times New Roman" w:hAnsi="Times New Roman" w:cs="Times New Roman"/>
                <w:sz w:val="24"/>
                <w:szCs w:val="24"/>
              </w:rPr>
              <w:t xml:space="preserve"> (voir ci-joints)</w:t>
            </w:r>
            <w:r w:rsidRPr="00DE62B6">
              <w:rPr>
                <w:rFonts w:ascii="Times New Roman" w:hAnsi="Times New Roman" w:cs="Times New Roman"/>
                <w:sz w:val="24"/>
                <w:szCs w:val="24"/>
              </w:rPr>
              <w:t>.</w:t>
            </w:r>
          </w:p>
          <w:p w:rsidR="00852380" w:rsidRPr="00DE62B6" w:rsidRDefault="009F57BB" w:rsidP="00DE62B6">
            <w:pPr>
              <w:spacing w:after="0" w:line="240" w:lineRule="auto"/>
              <w:jc w:val="both"/>
              <w:rPr>
                <w:rFonts w:ascii="Times New Roman" w:hAnsi="Times New Roman" w:cs="Times New Roman"/>
                <w:sz w:val="24"/>
                <w:szCs w:val="24"/>
              </w:rPr>
            </w:pPr>
            <w:r w:rsidRPr="00DE62B6">
              <w:rPr>
                <w:rFonts w:ascii="Times New Roman" w:hAnsi="Times New Roman" w:cs="Times New Roman"/>
                <w:sz w:val="24"/>
                <w:szCs w:val="24"/>
              </w:rPr>
              <w:t>C</w:t>
            </w:r>
            <w:r w:rsidR="00852380" w:rsidRPr="00DE62B6">
              <w:rPr>
                <w:rFonts w:ascii="Times New Roman" w:hAnsi="Times New Roman" w:cs="Times New Roman"/>
                <w:sz w:val="24"/>
                <w:szCs w:val="24"/>
              </w:rPr>
              <w:t xml:space="preserve">e </w:t>
            </w:r>
            <w:r w:rsidRPr="00DE62B6">
              <w:rPr>
                <w:rFonts w:ascii="Times New Roman" w:hAnsi="Times New Roman" w:cs="Times New Roman"/>
                <w:sz w:val="24"/>
                <w:szCs w:val="24"/>
              </w:rPr>
              <w:t xml:space="preserve">nouveau </w:t>
            </w:r>
            <w:r w:rsidR="00852380" w:rsidRPr="00DE62B6">
              <w:rPr>
                <w:rFonts w:ascii="Times New Roman" w:hAnsi="Times New Roman" w:cs="Times New Roman"/>
                <w:sz w:val="24"/>
                <w:szCs w:val="24"/>
              </w:rPr>
              <w:t>plan d’amélioration connait déjà un début d’exécution avec :</w:t>
            </w:r>
          </w:p>
          <w:p w:rsidR="00852380" w:rsidRPr="00DE62B6" w:rsidRDefault="00852380" w:rsidP="00DE62B6">
            <w:pPr>
              <w:numPr>
                <w:ilvl w:val="0"/>
                <w:numId w:val="10"/>
              </w:numPr>
              <w:spacing w:after="0" w:line="240" w:lineRule="auto"/>
              <w:ind w:left="-109" w:firstLine="109"/>
              <w:jc w:val="both"/>
              <w:rPr>
                <w:rFonts w:ascii="Times New Roman" w:hAnsi="Times New Roman" w:cs="Times New Roman"/>
                <w:sz w:val="24"/>
                <w:szCs w:val="24"/>
              </w:rPr>
            </w:pPr>
            <w:r w:rsidRPr="00DE62B6">
              <w:rPr>
                <w:rFonts w:ascii="Times New Roman" w:hAnsi="Times New Roman" w:cs="Times New Roman"/>
                <w:sz w:val="24"/>
                <w:szCs w:val="24"/>
              </w:rPr>
              <w:t>L’octroi de bourses à deux agents de la SI pour la formation en logistique au Bénin.</w:t>
            </w:r>
          </w:p>
          <w:p w:rsidR="00852380" w:rsidRPr="00DE62B6" w:rsidRDefault="00852380" w:rsidP="00DE62B6">
            <w:pPr>
              <w:numPr>
                <w:ilvl w:val="0"/>
                <w:numId w:val="10"/>
              </w:numPr>
              <w:spacing w:after="0" w:line="240" w:lineRule="auto"/>
              <w:ind w:left="-109" w:firstLine="109"/>
              <w:jc w:val="both"/>
              <w:rPr>
                <w:rFonts w:ascii="Times New Roman" w:hAnsi="Times New Roman" w:cs="Times New Roman"/>
                <w:sz w:val="24"/>
                <w:szCs w:val="24"/>
              </w:rPr>
            </w:pPr>
            <w:r w:rsidRPr="00DE62B6">
              <w:rPr>
                <w:rFonts w:ascii="Times New Roman" w:hAnsi="Times New Roman" w:cs="Times New Roman"/>
                <w:sz w:val="24"/>
                <w:szCs w:val="24"/>
              </w:rPr>
              <w:t>Le renforcement de la Chaine Du Froid à tous les niveaux (3 nouvelles chambres seront installées au niveau central, 670 frigos solaires sont attendus au cours de l’année 2015, de même que deux camions frigorifiques.</w:t>
            </w:r>
          </w:p>
          <w:p w:rsidR="00852380" w:rsidRPr="00DE62B6" w:rsidRDefault="00852380" w:rsidP="00DE62B6">
            <w:pPr>
              <w:numPr>
                <w:ilvl w:val="0"/>
                <w:numId w:val="10"/>
              </w:numPr>
              <w:spacing w:after="0" w:line="240" w:lineRule="auto"/>
              <w:ind w:left="-109" w:firstLine="109"/>
              <w:jc w:val="both"/>
              <w:rPr>
                <w:rFonts w:ascii="Times New Roman" w:hAnsi="Times New Roman" w:cs="Times New Roman"/>
                <w:sz w:val="24"/>
                <w:szCs w:val="24"/>
              </w:rPr>
            </w:pPr>
            <w:r w:rsidRPr="00DE62B6">
              <w:rPr>
                <w:rFonts w:ascii="Times New Roman" w:hAnsi="Times New Roman" w:cs="Times New Roman"/>
                <w:sz w:val="24"/>
                <w:szCs w:val="24"/>
              </w:rPr>
              <w:t xml:space="preserve">Le renforcement du contrôle </w:t>
            </w:r>
            <w:r w:rsidRPr="00DE62B6">
              <w:rPr>
                <w:rFonts w:ascii="Times New Roman" w:hAnsi="Times New Roman" w:cs="Times New Roman"/>
                <w:sz w:val="24"/>
                <w:szCs w:val="24"/>
              </w:rPr>
              <w:lastRenderedPageBreak/>
              <w:t>de la température : des enregistreurs automatiques (multi logues) et freedge tag sont installés au niveau national et opérationnel</w:t>
            </w:r>
            <w:r w:rsidR="00422548" w:rsidRPr="00DE62B6">
              <w:rPr>
                <w:rFonts w:ascii="Times New Roman" w:hAnsi="Times New Roman" w:cs="Times New Roman"/>
                <w:sz w:val="24"/>
                <w:szCs w:val="24"/>
              </w:rPr>
              <w:t>.</w:t>
            </w:r>
          </w:p>
          <w:p w:rsidR="00422548" w:rsidRPr="00DE62B6" w:rsidRDefault="00422548" w:rsidP="00DE62B6">
            <w:pPr>
              <w:spacing w:after="0" w:line="240" w:lineRule="auto"/>
              <w:jc w:val="both"/>
              <w:rPr>
                <w:rFonts w:ascii="Times New Roman" w:hAnsi="Times New Roman" w:cs="Times New Roman"/>
                <w:sz w:val="24"/>
                <w:szCs w:val="24"/>
              </w:rPr>
            </w:pPr>
            <w:r w:rsidRPr="00DE62B6">
              <w:rPr>
                <w:rFonts w:ascii="Times New Roman" w:hAnsi="Times New Roman" w:cs="Times New Roman"/>
                <w:sz w:val="24"/>
                <w:szCs w:val="24"/>
              </w:rPr>
              <w:t>La mise en œuvre d</w:t>
            </w:r>
            <w:r w:rsidR="00C21668" w:rsidRPr="00DE62B6">
              <w:rPr>
                <w:rFonts w:ascii="Times New Roman" w:hAnsi="Times New Roman" w:cs="Times New Roman"/>
                <w:sz w:val="24"/>
                <w:szCs w:val="24"/>
              </w:rPr>
              <w:t xml:space="preserve">es recommandations est </w:t>
            </w:r>
            <w:r w:rsidR="00F01F16" w:rsidRPr="00DE62B6">
              <w:rPr>
                <w:rFonts w:ascii="Times New Roman" w:hAnsi="Times New Roman" w:cs="Times New Roman"/>
                <w:sz w:val="24"/>
                <w:szCs w:val="24"/>
              </w:rPr>
              <w:t xml:space="preserve">en </w:t>
            </w:r>
            <w:r w:rsidR="00C21668" w:rsidRPr="00DE62B6">
              <w:rPr>
                <w:rFonts w:ascii="Times New Roman" w:hAnsi="Times New Roman" w:cs="Times New Roman"/>
                <w:sz w:val="24"/>
                <w:szCs w:val="24"/>
              </w:rPr>
              <w:t>court (Plan de mise en œuvre ci-joint).</w:t>
            </w:r>
          </w:p>
        </w:tc>
        <w:tc>
          <w:tcPr>
            <w:tcW w:w="821" w:type="pct"/>
            <w:shd w:val="clear" w:color="auto" w:fill="auto"/>
          </w:tcPr>
          <w:p w:rsidR="00852380" w:rsidRPr="00DE62B6" w:rsidRDefault="00852380" w:rsidP="00DE62B6">
            <w:pPr>
              <w:spacing w:after="0" w:line="240" w:lineRule="auto"/>
              <w:rPr>
                <w:rFonts w:ascii="Times New Roman" w:hAnsi="Times New Roman" w:cs="Times New Roman"/>
                <w:sz w:val="24"/>
                <w:szCs w:val="24"/>
              </w:rPr>
            </w:pPr>
            <w:r w:rsidRPr="00DE62B6">
              <w:rPr>
                <w:rFonts w:ascii="Times New Roman" w:hAnsi="Times New Roman" w:cs="Times New Roman"/>
                <w:sz w:val="24"/>
                <w:szCs w:val="24"/>
              </w:rPr>
              <w:lastRenderedPageBreak/>
              <w:t>La formation a débuté en décembre 2014 et durera 1 an</w:t>
            </w:r>
          </w:p>
        </w:tc>
      </w:tr>
      <w:tr w:rsidR="00852380" w:rsidRPr="00DE62B6" w:rsidTr="00DE62B6">
        <w:tc>
          <w:tcPr>
            <w:tcW w:w="2195" w:type="pct"/>
            <w:shd w:val="clear" w:color="auto" w:fill="auto"/>
          </w:tcPr>
          <w:p w:rsidR="00852380" w:rsidRPr="00DE62B6" w:rsidRDefault="00852380" w:rsidP="00DE62B6">
            <w:pPr>
              <w:pStyle w:val="Paragraphedeliste"/>
              <w:numPr>
                <w:ilvl w:val="0"/>
                <w:numId w:val="9"/>
              </w:numPr>
              <w:autoSpaceDE w:val="0"/>
              <w:autoSpaceDN w:val="0"/>
              <w:adjustRightInd w:val="0"/>
              <w:spacing w:after="0" w:line="240" w:lineRule="auto"/>
              <w:rPr>
                <w:rFonts w:ascii="Times New Roman" w:hAnsi="Times New Roman" w:cs="Times New Roman"/>
                <w:sz w:val="24"/>
                <w:szCs w:val="24"/>
              </w:rPr>
            </w:pPr>
            <w:r w:rsidRPr="00DE62B6">
              <w:rPr>
                <w:rFonts w:ascii="Times New Roman" w:hAnsi="Times New Roman" w:cs="Times New Roman"/>
                <w:color w:val="121212"/>
                <w:sz w:val="24"/>
                <w:szCs w:val="24"/>
              </w:rPr>
              <w:lastRenderedPageBreak/>
              <w:t>Élaborer et mettre en place une stratégie de communication de la gestion du risque</w:t>
            </w:r>
            <w:r w:rsidR="001777A7" w:rsidRPr="00DE62B6">
              <w:rPr>
                <w:rFonts w:ascii="Times New Roman" w:hAnsi="Times New Roman" w:cs="Times New Roman"/>
                <w:color w:val="121212"/>
                <w:sz w:val="24"/>
                <w:szCs w:val="24"/>
              </w:rPr>
              <w:t>*</w:t>
            </w:r>
            <w:r w:rsidRPr="00DE62B6">
              <w:rPr>
                <w:rFonts w:ascii="Times New Roman" w:hAnsi="Times New Roman" w:cs="Times New Roman"/>
                <w:color w:val="020202"/>
                <w:sz w:val="24"/>
                <w:szCs w:val="24"/>
              </w:rPr>
              <w:t>.</w:t>
            </w:r>
          </w:p>
        </w:tc>
        <w:tc>
          <w:tcPr>
            <w:tcW w:w="1984" w:type="pct"/>
            <w:shd w:val="clear" w:color="auto" w:fill="auto"/>
          </w:tcPr>
          <w:p w:rsidR="0047505E" w:rsidRPr="00DE62B6" w:rsidRDefault="006D476A" w:rsidP="00DE62B6">
            <w:pPr>
              <w:spacing w:after="0"/>
              <w:jc w:val="both"/>
              <w:rPr>
                <w:rFonts w:ascii="Times New Roman" w:hAnsi="Times New Roman" w:cs="Times New Roman"/>
                <w:sz w:val="24"/>
                <w:szCs w:val="24"/>
              </w:rPr>
            </w:pPr>
            <w:bookmarkStart w:id="1" w:name="_Toc253142291"/>
            <w:bookmarkStart w:id="2" w:name="_Toc256625871"/>
            <w:r w:rsidRPr="00DE62B6">
              <w:rPr>
                <w:rFonts w:ascii="Times New Roman" w:hAnsi="Times New Roman" w:cs="Times New Roman"/>
                <w:sz w:val="24"/>
                <w:szCs w:val="24"/>
              </w:rPr>
              <w:t>Les éléments de stratégie</w:t>
            </w:r>
            <w:r w:rsidR="00B34FCB" w:rsidRPr="00DE62B6">
              <w:rPr>
                <w:rFonts w:ascii="Times New Roman" w:hAnsi="Times New Roman" w:cs="Times New Roman"/>
                <w:sz w:val="24"/>
                <w:szCs w:val="24"/>
              </w:rPr>
              <w:t xml:space="preserve"> ci-dessous ont été définis</w:t>
            </w:r>
            <w:r w:rsidR="00D056FA" w:rsidRPr="00DE62B6">
              <w:rPr>
                <w:rFonts w:ascii="Times New Roman" w:hAnsi="Times New Roman" w:cs="Times New Roman"/>
                <w:sz w:val="24"/>
                <w:szCs w:val="24"/>
              </w:rPr>
              <w:t xml:space="preserve"> dans le plan</w:t>
            </w:r>
            <w:r w:rsidR="00931316" w:rsidRPr="00DE62B6">
              <w:rPr>
                <w:rFonts w:ascii="Times New Roman" w:hAnsi="Times New Roman" w:cs="Times New Roman"/>
                <w:sz w:val="24"/>
                <w:szCs w:val="24"/>
              </w:rPr>
              <w:t xml:space="preserve"> d'introduction</w:t>
            </w:r>
            <w:r w:rsidR="00D056FA" w:rsidRPr="00DE62B6">
              <w:rPr>
                <w:rFonts w:ascii="Times New Roman" w:hAnsi="Times New Roman" w:cs="Times New Roman"/>
                <w:sz w:val="24"/>
                <w:szCs w:val="24"/>
              </w:rPr>
              <w:t xml:space="preserve"> avec la participation de l'UNICEF et de l'OMS</w:t>
            </w:r>
            <w:r w:rsidR="00931316" w:rsidRPr="00DE62B6">
              <w:rPr>
                <w:rFonts w:ascii="Times New Roman" w:hAnsi="Times New Roman" w:cs="Times New Roman"/>
                <w:sz w:val="24"/>
                <w:szCs w:val="24"/>
              </w:rPr>
              <w:t>. Il s'agit de</w:t>
            </w:r>
            <w:r w:rsidR="0047505E" w:rsidRPr="00DE62B6">
              <w:rPr>
                <w:rFonts w:ascii="Times New Roman" w:hAnsi="Times New Roman" w:cs="Times New Roman"/>
                <w:sz w:val="24"/>
                <w:szCs w:val="24"/>
              </w:rPr>
              <w:t xml:space="preserve"> :</w:t>
            </w:r>
          </w:p>
          <w:p w:rsidR="0047505E" w:rsidRPr="00DE62B6" w:rsidRDefault="00931316" w:rsidP="00DE62B6">
            <w:pPr>
              <w:pStyle w:val="Paragraphedeliste"/>
              <w:numPr>
                <w:ilvl w:val="0"/>
                <w:numId w:val="10"/>
              </w:numPr>
              <w:spacing w:after="0"/>
              <w:jc w:val="both"/>
              <w:rPr>
                <w:rFonts w:ascii="Times New Roman" w:hAnsi="Times New Roman" w:cs="Times New Roman"/>
                <w:sz w:val="24"/>
                <w:szCs w:val="24"/>
              </w:rPr>
            </w:pPr>
            <w:r w:rsidRPr="00DE62B6">
              <w:rPr>
                <w:rFonts w:ascii="Times New Roman" w:hAnsi="Times New Roman" w:cs="Times New Roman"/>
                <w:sz w:val="24"/>
                <w:szCs w:val="24"/>
              </w:rPr>
              <w:t>le plaidoyer</w:t>
            </w:r>
            <w:r w:rsidR="00F51A69">
              <w:rPr>
                <w:rFonts w:ascii="Times New Roman" w:hAnsi="Times New Roman" w:cs="Times New Roman"/>
                <w:sz w:val="24"/>
                <w:szCs w:val="24"/>
              </w:rPr>
              <w:t xml:space="preserve"> </w:t>
            </w:r>
            <w:r w:rsidR="001246B2" w:rsidRPr="00DE62B6">
              <w:rPr>
                <w:rFonts w:ascii="Times New Roman" w:hAnsi="Times New Roman" w:cs="Times New Roman"/>
                <w:sz w:val="24"/>
                <w:szCs w:val="24"/>
              </w:rPr>
              <w:t xml:space="preserve">pour </w:t>
            </w:r>
            <w:r w:rsidR="00BD641A" w:rsidRPr="00DE62B6">
              <w:rPr>
                <w:rFonts w:ascii="Times New Roman" w:hAnsi="Times New Roman" w:cs="Times New Roman"/>
                <w:sz w:val="24"/>
                <w:szCs w:val="24"/>
              </w:rPr>
              <w:t>les obstacles politiques et économiques ;</w:t>
            </w:r>
          </w:p>
          <w:p w:rsidR="0047505E" w:rsidRPr="00DE62B6" w:rsidRDefault="00931316" w:rsidP="00DE62B6">
            <w:pPr>
              <w:pStyle w:val="Paragraphedeliste"/>
              <w:numPr>
                <w:ilvl w:val="0"/>
                <w:numId w:val="10"/>
              </w:numPr>
              <w:spacing w:after="0"/>
              <w:jc w:val="both"/>
              <w:rPr>
                <w:rFonts w:ascii="Times New Roman" w:hAnsi="Times New Roman" w:cs="Times New Roman"/>
                <w:sz w:val="24"/>
                <w:szCs w:val="24"/>
              </w:rPr>
            </w:pPr>
            <w:r w:rsidRPr="00DE62B6">
              <w:rPr>
                <w:rFonts w:ascii="Times New Roman" w:hAnsi="Times New Roman" w:cs="Times New Roman"/>
                <w:sz w:val="24"/>
                <w:szCs w:val="24"/>
              </w:rPr>
              <w:t>la mobilisation sociale</w:t>
            </w:r>
            <w:r w:rsidR="00BD641A" w:rsidRPr="00DE62B6">
              <w:rPr>
                <w:rFonts w:ascii="Times New Roman" w:hAnsi="Times New Roman" w:cs="Times New Roman"/>
                <w:sz w:val="24"/>
                <w:szCs w:val="24"/>
              </w:rPr>
              <w:t xml:space="preserve"> pour les obstacles socio-culturels</w:t>
            </w:r>
            <w:r w:rsidRPr="00DE62B6">
              <w:rPr>
                <w:rFonts w:ascii="Times New Roman" w:hAnsi="Times New Roman" w:cs="Times New Roman"/>
                <w:sz w:val="24"/>
                <w:szCs w:val="24"/>
              </w:rPr>
              <w:t xml:space="preserve"> ;</w:t>
            </w:r>
          </w:p>
          <w:p w:rsidR="00D056FA" w:rsidRPr="00DE62B6" w:rsidRDefault="00852380" w:rsidP="00DE62B6">
            <w:pPr>
              <w:pStyle w:val="Paragraphedeliste"/>
              <w:numPr>
                <w:ilvl w:val="0"/>
                <w:numId w:val="10"/>
              </w:numPr>
              <w:spacing w:after="0"/>
              <w:jc w:val="both"/>
              <w:rPr>
                <w:rFonts w:ascii="Times New Roman" w:hAnsi="Times New Roman" w:cs="Times New Roman"/>
                <w:sz w:val="24"/>
                <w:szCs w:val="24"/>
              </w:rPr>
            </w:pPr>
            <w:r w:rsidRPr="00DE62B6">
              <w:rPr>
                <w:rFonts w:ascii="Times New Roman" w:hAnsi="Times New Roman" w:cs="Times New Roman"/>
                <w:sz w:val="24"/>
                <w:szCs w:val="24"/>
              </w:rPr>
              <w:t>la communication pour le change</w:t>
            </w:r>
            <w:r w:rsidR="0047505E" w:rsidRPr="00DE62B6">
              <w:rPr>
                <w:rFonts w:ascii="Times New Roman" w:hAnsi="Times New Roman" w:cs="Times New Roman"/>
                <w:sz w:val="24"/>
                <w:szCs w:val="24"/>
              </w:rPr>
              <w:t>ment social et de comportement</w:t>
            </w:r>
            <w:r w:rsidR="005D7731" w:rsidRPr="00DE62B6">
              <w:rPr>
                <w:rFonts w:ascii="Times New Roman" w:hAnsi="Times New Roman" w:cs="Times New Roman"/>
                <w:sz w:val="24"/>
                <w:szCs w:val="24"/>
              </w:rPr>
              <w:t xml:space="preserve"> y compris la communication interpersonnelle (CPI)</w:t>
            </w:r>
            <w:r w:rsidR="0061414E" w:rsidRPr="00DE62B6">
              <w:rPr>
                <w:rFonts w:ascii="Times New Roman" w:hAnsi="Times New Roman" w:cs="Times New Roman"/>
                <w:sz w:val="24"/>
                <w:szCs w:val="24"/>
              </w:rPr>
              <w:t xml:space="preserve"> pour la gestion des MAPI</w:t>
            </w:r>
            <w:r w:rsidR="0047505E" w:rsidRPr="00DE62B6">
              <w:rPr>
                <w:rFonts w:ascii="Times New Roman" w:hAnsi="Times New Roman" w:cs="Times New Roman"/>
                <w:sz w:val="24"/>
                <w:szCs w:val="24"/>
              </w:rPr>
              <w:t>.</w:t>
            </w:r>
          </w:p>
          <w:p w:rsidR="00852380" w:rsidRPr="00DE62B6" w:rsidRDefault="00D056FA" w:rsidP="00DE62B6">
            <w:pPr>
              <w:spacing w:after="0"/>
              <w:jc w:val="both"/>
              <w:rPr>
                <w:rFonts w:ascii="Times New Roman" w:hAnsi="Times New Roman" w:cs="Times New Roman"/>
                <w:sz w:val="24"/>
                <w:szCs w:val="24"/>
              </w:rPr>
            </w:pPr>
            <w:r w:rsidRPr="00DE62B6">
              <w:rPr>
                <w:rFonts w:ascii="Times New Roman" w:hAnsi="Times New Roman" w:cs="Times New Roman"/>
                <w:sz w:val="24"/>
                <w:szCs w:val="24"/>
              </w:rPr>
              <w:t>I</w:t>
            </w:r>
            <w:r w:rsidR="0047505E" w:rsidRPr="00DE62B6">
              <w:rPr>
                <w:rFonts w:ascii="Times New Roman" w:hAnsi="Times New Roman" w:cs="Times New Roman"/>
                <w:sz w:val="24"/>
                <w:szCs w:val="24"/>
              </w:rPr>
              <w:t xml:space="preserve">ls </w:t>
            </w:r>
            <w:r w:rsidR="00852380" w:rsidRPr="00DE62B6">
              <w:rPr>
                <w:rFonts w:ascii="Times New Roman" w:hAnsi="Times New Roman" w:cs="Times New Roman"/>
                <w:sz w:val="24"/>
                <w:szCs w:val="24"/>
              </w:rPr>
              <w:t>constitueront les piliers stratégiques des actions de promotion pour l’introduction du VPI.</w:t>
            </w:r>
            <w:bookmarkEnd w:id="1"/>
            <w:bookmarkEnd w:id="2"/>
          </w:p>
        </w:tc>
        <w:tc>
          <w:tcPr>
            <w:tcW w:w="821" w:type="pct"/>
            <w:shd w:val="clear" w:color="auto" w:fill="auto"/>
          </w:tcPr>
          <w:p w:rsidR="00852380" w:rsidRPr="00DE62B6" w:rsidRDefault="00852380" w:rsidP="00DE62B6">
            <w:pPr>
              <w:spacing w:after="0" w:line="240" w:lineRule="auto"/>
              <w:rPr>
                <w:rFonts w:ascii="Times New Roman" w:hAnsi="Times New Roman" w:cs="Times New Roman"/>
                <w:sz w:val="24"/>
                <w:szCs w:val="24"/>
              </w:rPr>
            </w:pPr>
            <w:r w:rsidRPr="00DE62B6">
              <w:rPr>
                <w:rFonts w:ascii="Times New Roman" w:hAnsi="Times New Roman" w:cs="Times New Roman"/>
                <w:sz w:val="24"/>
                <w:szCs w:val="24"/>
              </w:rPr>
              <w:t>Fin février 2015.</w:t>
            </w:r>
          </w:p>
        </w:tc>
      </w:tr>
      <w:tr w:rsidR="00852380" w:rsidRPr="00DE62B6" w:rsidTr="00DE62B6">
        <w:tc>
          <w:tcPr>
            <w:tcW w:w="2195" w:type="pct"/>
            <w:shd w:val="clear" w:color="auto" w:fill="auto"/>
          </w:tcPr>
          <w:p w:rsidR="00852380" w:rsidRPr="00DE62B6" w:rsidRDefault="00852380" w:rsidP="00DE62B6">
            <w:pPr>
              <w:pStyle w:val="Paragraphedeliste"/>
              <w:numPr>
                <w:ilvl w:val="0"/>
                <w:numId w:val="9"/>
              </w:numPr>
              <w:autoSpaceDE w:val="0"/>
              <w:autoSpaceDN w:val="0"/>
              <w:adjustRightInd w:val="0"/>
              <w:spacing w:after="0" w:line="240" w:lineRule="auto"/>
              <w:rPr>
                <w:rFonts w:ascii="Times New Roman" w:hAnsi="Times New Roman" w:cs="Times New Roman"/>
                <w:sz w:val="24"/>
                <w:szCs w:val="24"/>
              </w:rPr>
            </w:pPr>
            <w:r w:rsidRPr="00DE62B6">
              <w:rPr>
                <w:rFonts w:ascii="Times New Roman" w:hAnsi="Times New Roman" w:cs="Times New Roman"/>
                <w:color w:val="121212"/>
                <w:sz w:val="24"/>
                <w:szCs w:val="24"/>
              </w:rPr>
              <w:t>Clarifier la question du point d'injection du VPI et s'assurer qu'il est conforme aux recommandations du groupe SAGE de l'OMS</w:t>
            </w:r>
          </w:p>
        </w:tc>
        <w:tc>
          <w:tcPr>
            <w:tcW w:w="1984" w:type="pct"/>
            <w:shd w:val="clear" w:color="auto" w:fill="auto"/>
          </w:tcPr>
          <w:p w:rsidR="00852380" w:rsidRPr="00DE62B6" w:rsidRDefault="00852380" w:rsidP="00DE62B6">
            <w:pPr>
              <w:spacing w:after="0" w:line="240" w:lineRule="auto"/>
              <w:jc w:val="both"/>
              <w:rPr>
                <w:rFonts w:ascii="Times New Roman" w:hAnsi="Times New Roman" w:cs="Times New Roman"/>
                <w:sz w:val="24"/>
                <w:szCs w:val="24"/>
              </w:rPr>
            </w:pPr>
            <w:r w:rsidRPr="00DE62B6">
              <w:rPr>
                <w:rFonts w:ascii="Times New Roman" w:hAnsi="Times New Roman" w:cs="Times New Roman"/>
                <w:sz w:val="24"/>
                <w:szCs w:val="24"/>
              </w:rPr>
              <w:t xml:space="preserve">Nous allons nous conformer à la recommandation du SAGE selon laquelle le VPI doit être </w:t>
            </w:r>
            <w:r w:rsidRPr="00DE62B6">
              <w:rPr>
                <w:rFonts w:ascii="Times New Roman" w:hAnsi="Times New Roman" w:cs="Times New Roman"/>
                <w:b/>
                <w:sz w:val="24"/>
                <w:szCs w:val="24"/>
                <w:u w:val="single"/>
              </w:rPr>
              <w:t>injecté en IM à la face externe de la cuisse</w:t>
            </w:r>
            <w:r w:rsidRPr="00DE62B6">
              <w:rPr>
                <w:rFonts w:ascii="Times New Roman" w:hAnsi="Times New Roman" w:cs="Times New Roman"/>
                <w:sz w:val="24"/>
                <w:szCs w:val="24"/>
              </w:rPr>
              <w:t>, à au moins 2 cm du point d’injection du Penta ou du PCV 13. Les modules de formation seront révisés pour prendre en compte le changement du point d’injection.</w:t>
            </w:r>
          </w:p>
        </w:tc>
        <w:tc>
          <w:tcPr>
            <w:tcW w:w="821" w:type="pct"/>
            <w:shd w:val="clear" w:color="auto" w:fill="auto"/>
          </w:tcPr>
          <w:p w:rsidR="00852380" w:rsidRPr="00DE62B6" w:rsidRDefault="00852380" w:rsidP="00DE62B6">
            <w:pPr>
              <w:spacing w:after="0" w:line="240" w:lineRule="auto"/>
              <w:jc w:val="both"/>
              <w:rPr>
                <w:rFonts w:ascii="Times New Roman" w:hAnsi="Times New Roman" w:cs="Times New Roman"/>
                <w:sz w:val="24"/>
                <w:szCs w:val="24"/>
              </w:rPr>
            </w:pPr>
            <w:r w:rsidRPr="00DE62B6">
              <w:rPr>
                <w:rFonts w:ascii="Times New Roman" w:hAnsi="Times New Roman" w:cs="Times New Roman"/>
                <w:sz w:val="24"/>
                <w:szCs w:val="24"/>
              </w:rPr>
              <w:t>D’ici fin janvier 2015.</w:t>
            </w:r>
          </w:p>
        </w:tc>
      </w:tr>
    </w:tbl>
    <w:p w:rsidR="001777A7" w:rsidRPr="00DE62B6" w:rsidRDefault="001777A7"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sz w:val="24"/>
          <w:szCs w:val="24"/>
        </w:rPr>
        <w:t>*</w:t>
      </w:r>
      <w:r w:rsidRPr="00DE62B6">
        <w:rPr>
          <w:rFonts w:ascii="Times New Roman" w:hAnsi="Times New Roman" w:cs="Times New Roman"/>
          <w:b/>
          <w:color w:val="1F497D" w:themeColor="text2"/>
          <w:sz w:val="24"/>
          <w:szCs w:val="24"/>
        </w:rPr>
        <w:t>Détails des stratégies de communication pour la gestion des risques</w:t>
      </w:r>
      <w:r w:rsidR="00F51A69">
        <w:rPr>
          <w:rFonts w:ascii="Times New Roman" w:hAnsi="Times New Roman" w:cs="Times New Roman"/>
          <w:b/>
          <w:color w:val="1F497D" w:themeColor="text2"/>
          <w:sz w:val="24"/>
          <w:szCs w:val="24"/>
        </w:rPr>
        <w:t xml:space="preserve"> </w:t>
      </w:r>
      <w:r w:rsidR="0088601C" w:rsidRPr="00DE62B6">
        <w:rPr>
          <w:rFonts w:ascii="Times New Roman" w:hAnsi="Times New Roman" w:cs="Times New Roman"/>
          <w:b/>
          <w:color w:val="1F497D" w:themeColor="text2"/>
          <w:sz w:val="24"/>
          <w:szCs w:val="24"/>
        </w:rPr>
        <w:t xml:space="preserve">dans le cadre de l'introduction du VPI au PEV </w:t>
      </w:r>
      <w:r w:rsidRPr="00DE62B6">
        <w:rPr>
          <w:rFonts w:ascii="Times New Roman" w:hAnsi="Times New Roman" w:cs="Times New Roman"/>
          <w:b/>
          <w:color w:val="1F497D" w:themeColor="text2"/>
          <w:sz w:val="24"/>
          <w:szCs w:val="24"/>
        </w:rPr>
        <w:t>:</w:t>
      </w:r>
    </w:p>
    <w:p w:rsidR="001777A7" w:rsidRPr="00DE62B6" w:rsidRDefault="001777A7" w:rsidP="00DE62B6">
      <w:pPr>
        <w:spacing w:after="0"/>
        <w:jc w:val="both"/>
        <w:rPr>
          <w:rFonts w:ascii="Times New Roman" w:hAnsi="Times New Roman" w:cs="Times New Roman"/>
          <w:b/>
          <w:bCs/>
          <w:sz w:val="24"/>
          <w:szCs w:val="24"/>
        </w:rPr>
      </w:pPr>
      <w:r w:rsidRPr="00DE62B6">
        <w:rPr>
          <w:rFonts w:ascii="Times New Roman" w:hAnsi="Times New Roman" w:cs="Times New Roman"/>
          <w:b/>
          <w:bCs/>
          <w:sz w:val="24"/>
          <w:szCs w:val="24"/>
        </w:rPr>
        <w:t>Le plaidoyer</w:t>
      </w:r>
    </w:p>
    <w:p w:rsidR="001777A7" w:rsidRPr="00DE62B6" w:rsidRDefault="001777A7" w:rsidP="00DE62B6">
      <w:pPr>
        <w:numPr>
          <w:ilvl w:val="0"/>
          <w:numId w:val="12"/>
        </w:numPr>
        <w:spacing w:after="0" w:line="240" w:lineRule="auto"/>
        <w:ind w:left="33" w:firstLine="567"/>
        <w:jc w:val="both"/>
        <w:rPr>
          <w:rFonts w:ascii="Times New Roman" w:hAnsi="Times New Roman" w:cs="Times New Roman"/>
          <w:sz w:val="24"/>
          <w:szCs w:val="24"/>
        </w:rPr>
      </w:pPr>
      <w:r w:rsidRPr="00DE62B6">
        <w:rPr>
          <w:rFonts w:ascii="Times New Roman" w:hAnsi="Times New Roman" w:cs="Times New Roman"/>
          <w:sz w:val="24"/>
          <w:szCs w:val="24"/>
        </w:rPr>
        <w:t>Une journée de plaidoyer sera organisée dans les 9 régions du pays à l’end</w:t>
      </w:r>
      <w:r w:rsidR="0088601C" w:rsidRPr="00DE62B6">
        <w:rPr>
          <w:rFonts w:ascii="Times New Roman" w:hAnsi="Times New Roman" w:cs="Times New Roman"/>
          <w:sz w:val="24"/>
          <w:szCs w:val="24"/>
        </w:rPr>
        <w:t xml:space="preserve">roit des décideurs politiques, </w:t>
      </w:r>
      <w:r w:rsidRPr="00DE62B6">
        <w:rPr>
          <w:rFonts w:ascii="Times New Roman" w:hAnsi="Times New Roman" w:cs="Times New Roman"/>
          <w:sz w:val="24"/>
          <w:szCs w:val="24"/>
        </w:rPr>
        <w:t>des décideurs admini</w:t>
      </w:r>
      <w:r w:rsidR="0088601C" w:rsidRPr="00DE62B6">
        <w:rPr>
          <w:rFonts w:ascii="Times New Roman" w:hAnsi="Times New Roman" w:cs="Times New Roman"/>
          <w:sz w:val="24"/>
          <w:szCs w:val="24"/>
        </w:rPr>
        <w:t xml:space="preserve">stratifs, de la société civile </w:t>
      </w:r>
      <w:r w:rsidRPr="00DE62B6">
        <w:rPr>
          <w:rFonts w:ascii="Times New Roman" w:hAnsi="Times New Roman" w:cs="Times New Roman"/>
          <w:sz w:val="24"/>
          <w:szCs w:val="24"/>
        </w:rPr>
        <w:t xml:space="preserve">et des leaders religieux. </w:t>
      </w:r>
    </w:p>
    <w:p w:rsidR="001777A7" w:rsidRPr="00DE62B6" w:rsidRDefault="001777A7" w:rsidP="00DE62B6">
      <w:pPr>
        <w:numPr>
          <w:ilvl w:val="0"/>
          <w:numId w:val="12"/>
        </w:numPr>
        <w:spacing w:after="0" w:line="240" w:lineRule="auto"/>
        <w:ind w:left="0" w:firstLine="600"/>
        <w:jc w:val="both"/>
        <w:rPr>
          <w:rFonts w:ascii="Times New Roman" w:hAnsi="Times New Roman" w:cs="Times New Roman"/>
          <w:sz w:val="24"/>
          <w:szCs w:val="24"/>
        </w:rPr>
      </w:pPr>
      <w:r w:rsidRPr="00DE62B6">
        <w:rPr>
          <w:rFonts w:ascii="Times New Roman" w:hAnsi="Times New Roman" w:cs="Times New Roman"/>
          <w:sz w:val="24"/>
          <w:szCs w:val="24"/>
        </w:rPr>
        <w:t xml:space="preserve">Seront conviés au niveau régional : les Gouverneurs et leurs conseillers, les directeurs des services techniques (Direction Régionale de la Santé, Directions Régionales du Développement Social et de l’Économie Solidaires et les Représentants de la Société Civile. </w:t>
      </w:r>
    </w:p>
    <w:p w:rsidR="001777A7" w:rsidRPr="00DE62B6" w:rsidRDefault="001777A7" w:rsidP="00DE62B6">
      <w:pPr>
        <w:numPr>
          <w:ilvl w:val="0"/>
          <w:numId w:val="12"/>
        </w:numPr>
        <w:spacing w:after="0" w:line="240" w:lineRule="auto"/>
        <w:ind w:left="33" w:firstLine="283"/>
        <w:jc w:val="both"/>
        <w:rPr>
          <w:rFonts w:ascii="Times New Roman" w:hAnsi="Times New Roman" w:cs="Times New Roman"/>
          <w:sz w:val="24"/>
          <w:szCs w:val="24"/>
        </w:rPr>
      </w:pPr>
      <w:r w:rsidRPr="00DE62B6">
        <w:rPr>
          <w:rFonts w:ascii="Times New Roman" w:hAnsi="Times New Roman" w:cs="Times New Roman"/>
          <w:sz w:val="24"/>
          <w:szCs w:val="24"/>
        </w:rPr>
        <w:t xml:space="preserve">Au niveau district, les représentants des structures suivantes seront conviés : </w:t>
      </w:r>
      <w:r w:rsidR="0088601C" w:rsidRPr="00DE62B6">
        <w:rPr>
          <w:rFonts w:ascii="Times New Roman" w:hAnsi="Times New Roman" w:cs="Times New Roman"/>
          <w:sz w:val="24"/>
          <w:szCs w:val="24"/>
        </w:rPr>
        <w:t>Centre de Santé de Référence</w:t>
      </w:r>
      <w:r w:rsidRPr="00DE62B6">
        <w:rPr>
          <w:rFonts w:ascii="Times New Roman" w:hAnsi="Times New Roman" w:cs="Times New Roman"/>
          <w:sz w:val="24"/>
          <w:szCs w:val="24"/>
        </w:rPr>
        <w:t>, Service Local de Développement Social, Service Local de la Promotion de la Femme, la Société Civile.</w:t>
      </w:r>
      <w:r w:rsidR="00F51A69">
        <w:rPr>
          <w:rFonts w:ascii="Times New Roman" w:hAnsi="Times New Roman" w:cs="Times New Roman"/>
          <w:sz w:val="24"/>
          <w:szCs w:val="24"/>
        </w:rPr>
        <w:t xml:space="preserve"> </w:t>
      </w:r>
      <w:r w:rsidRPr="00DE62B6">
        <w:rPr>
          <w:rFonts w:ascii="Times New Roman" w:hAnsi="Times New Roman" w:cs="Times New Roman"/>
          <w:sz w:val="24"/>
          <w:szCs w:val="24"/>
        </w:rPr>
        <w:t>L’objet de ces journées de plaidoyer et d’avoir leur adhésion et leur engagement à soutenir l’introduction du vaccin VPI dans le PEV de routine.</w:t>
      </w:r>
    </w:p>
    <w:p w:rsidR="00F51A69" w:rsidRPr="00F51A69" w:rsidRDefault="00F51A69" w:rsidP="00DE62B6">
      <w:pPr>
        <w:spacing w:after="0"/>
        <w:jc w:val="both"/>
        <w:rPr>
          <w:rFonts w:ascii="Times New Roman" w:hAnsi="Times New Roman" w:cs="Times New Roman"/>
          <w:b/>
          <w:bCs/>
          <w:sz w:val="12"/>
          <w:szCs w:val="24"/>
        </w:rPr>
      </w:pPr>
    </w:p>
    <w:p w:rsidR="001777A7" w:rsidRPr="00DE62B6" w:rsidRDefault="001777A7" w:rsidP="00DE62B6">
      <w:pPr>
        <w:spacing w:after="0"/>
        <w:jc w:val="both"/>
        <w:rPr>
          <w:rFonts w:ascii="Times New Roman" w:hAnsi="Times New Roman" w:cs="Times New Roman"/>
          <w:b/>
          <w:bCs/>
          <w:sz w:val="24"/>
          <w:szCs w:val="24"/>
        </w:rPr>
      </w:pPr>
      <w:r w:rsidRPr="00DE62B6">
        <w:rPr>
          <w:rFonts w:ascii="Times New Roman" w:hAnsi="Times New Roman" w:cs="Times New Roman"/>
          <w:b/>
          <w:bCs/>
          <w:sz w:val="24"/>
          <w:szCs w:val="24"/>
        </w:rPr>
        <w:t>La mobilisation sociale</w:t>
      </w:r>
    </w:p>
    <w:p w:rsidR="001777A7" w:rsidRPr="00DE62B6" w:rsidRDefault="001777A7" w:rsidP="00DE62B6">
      <w:pPr>
        <w:numPr>
          <w:ilvl w:val="0"/>
          <w:numId w:val="13"/>
        </w:numPr>
        <w:spacing w:after="0" w:line="240" w:lineRule="auto"/>
        <w:ind w:left="33" w:firstLine="327"/>
        <w:jc w:val="both"/>
        <w:rPr>
          <w:rFonts w:ascii="Times New Roman" w:hAnsi="Times New Roman" w:cs="Times New Roman"/>
          <w:iCs/>
          <w:sz w:val="24"/>
          <w:szCs w:val="24"/>
        </w:rPr>
      </w:pPr>
      <w:r w:rsidRPr="00DE62B6">
        <w:rPr>
          <w:rFonts w:ascii="Times New Roman" w:hAnsi="Times New Roman" w:cs="Times New Roman"/>
          <w:iCs/>
          <w:sz w:val="24"/>
          <w:szCs w:val="24"/>
        </w:rPr>
        <w:t>63 journées de dialogue communautaire seront organisées dans les 63 districts sanitaires pour une meilleure implication de la société civile, des leaders administratifs, politiques, religieux, fractions, campements, association et groupements féminins, leaders des jeunes, des  responsables des écoles et les présidents des ASACO. Les journées seront sous la responsabilité des directions régionales du développement social avec l’appui du niveau national.</w:t>
      </w:r>
    </w:p>
    <w:p w:rsidR="001777A7" w:rsidRPr="00DE62B6" w:rsidRDefault="001777A7" w:rsidP="00DE62B6">
      <w:pPr>
        <w:pStyle w:val="Commentaire"/>
        <w:numPr>
          <w:ilvl w:val="0"/>
          <w:numId w:val="13"/>
        </w:numPr>
        <w:ind w:left="33"/>
        <w:rPr>
          <w:iCs/>
          <w:sz w:val="24"/>
          <w:szCs w:val="24"/>
          <w:lang w:val="fr-FR"/>
        </w:rPr>
      </w:pPr>
      <w:r w:rsidRPr="00DE62B6">
        <w:rPr>
          <w:iCs/>
          <w:sz w:val="24"/>
          <w:szCs w:val="24"/>
          <w:lang w:val="fr-FR"/>
        </w:rPr>
        <w:t>Les médias seront mis à profit pour la diffusion des messages et l’organisation de débats interactifs. Il ya une seule TV nationale au Mali qui sera engagée.</w:t>
      </w:r>
      <w:r w:rsidRPr="00DE62B6">
        <w:rPr>
          <w:iCs/>
          <w:sz w:val="24"/>
          <w:szCs w:val="24"/>
          <w:lang w:val="fr-FR"/>
        </w:rPr>
        <w:br/>
        <w:t>Au moins 2 radios seront retenues dans les 63 districts sanitaires sur l’ensemble du Pays.</w:t>
      </w:r>
    </w:p>
    <w:p w:rsidR="001777A7" w:rsidRPr="00DE62B6" w:rsidRDefault="001777A7" w:rsidP="00DE62B6">
      <w:pPr>
        <w:pStyle w:val="Commentaire"/>
        <w:rPr>
          <w:iCs/>
          <w:sz w:val="24"/>
          <w:szCs w:val="24"/>
          <w:lang w:val="fr-FR"/>
        </w:rPr>
      </w:pPr>
      <w:r w:rsidRPr="00DE62B6">
        <w:rPr>
          <w:iCs/>
          <w:sz w:val="24"/>
          <w:szCs w:val="24"/>
          <w:lang w:val="fr-FR"/>
        </w:rPr>
        <w:t>Les populations ont des créneaux d’écoute selon la préférence des émissions surtout sur les radios de proximité. Ces créneaux seront mis à profit pour la diffusion des messages.</w:t>
      </w:r>
    </w:p>
    <w:p w:rsidR="001777A7" w:rsidRPr="00DE62B6" w:rsidRDefault="001777A7" w:rsidP="00DE62B6">
      <w:pPr>
        <w:pStyle w:val="Commentaire"/>
        <w:numPr>
          <w:ilvl w:val="0"/>
          <w:numId w:val="13"/>
        </w:numPr>
        <w:ind w:left="33" w:right="120" w:firstLine="655"/>
        <w:rPr>
          <w:iCs/>
          <w:sz w:val="24"/>
          <w:szCs w:val="24"/>
          <w:lang w:val="fr-FR"/>
        </w:rPr>
      </w:pPr>
      <w:r w:rsidRPr="00DE62B6">
        <w:rPr>
          <w:iCs/>
          <w:sz w:val="24"/>
          <w:szCs w:val="24"/>
          <w:lang w:val="fr-FR"/>
        </w:rPr>
        <w:t>Des séances de dialogue communautaire seront organisées dans les zones à problème de mobilisation en faveur des activités de vaccination. Ces zones sont repérées suivant les résultats du monitorage indépendant des JNV/Polio et la liste des districts moins performants.</w:t>
      </w:r>
    </w:p>
    <w:p w:rsidR="00F51A69" w:rsidRPr="00F51A69" w:rsidRDefault="00F51A69" w:rsidP="00F51A69">
      <w:pPr>
        <w:spacing w:after="0"/>
        <w:ind w:left="33"/>
        <w:jc w:val="both"/>
        <w:rPr>
          <w:rFonts w:ascii="Times New Roman" w:hAnsi="Times New Roman" w:cs="Times New Roman"/>
          <w:b/>
          <w:bCs/>
          <w:sz w:val="10"/>
          <w:szCs w:val="24"/>
        </w:rPr>
      </w:pPr>
    </w:p>
    <w:p w:rsidR="001777A7" w:rsidRPr="00DE62B6" w:rsidRDefault="001777A7" w:rsidP="00DE62B6">
      <w:pPr>
        <w:spacing w:after="0"/>
        <w:jc w:val="both"/>
        <w:rPr>
          <w:rFonts w:ascii="Times New Roman" w:hAnsi="Times New Roman" w:cs="Times New Roman"/>
          <w:iCs/>
          <w:sz w:val="24"/>
          <w:szCs w:val="24"/>
        </w:rPr>
      </w:pPr>
      <w:r w:rsidRPr="00DE62B6">
        <w:rPr>
          <w:rFonts w:ascii="Times New Roman" w:hAnsi="Times New Roman" w:cs="Times New Roman"/>
          <w:b/>
          <w:bCs/>
          <w:sz w:val="24"/>
          <w:szCs w:val="24"/>
        </w:rPr>
        <w:t xml:space="preserve">Communication pour le Changement Social et de Comportement </w:t>
      </w:r>
      <w:r w:rsidRPr="00DE62B6">
        <w:rPr>
          <w:rFonts w:ascii="Times New Roman" w:hAnsi="Times New Roman" w:cs="Times New Roman"/>
          <w:iCs/>
          <w:sz w:val="24"/>
          <w:szCs w:val="24"/>
        </w:rPr>
        <w:t>:</w:t>
      </w:r>
    </w:p>
    <w:p w:rsidR="001777A7" w:rsidRPr="00DE62B6" w:rsidRDefault="001777A7" w:rsidP="00DE62B6">
      <w:pPr>
        <w:numPr>
          <w:ilvl w:val="0"/>
          <w:numId w:val="14"/>
        </w:numPr>
        <w:spacing w:after="0" w:line="240" w:lineRule="auto"/>
        <w:ind w:left="33" w:firstLine="0"/>
        <w:jc w:val="both"/>
        <w:rPr>
          <w:rFonts w:ascii="Times New Roman" w:hAnsi="Times New Roman" w:cs="Times New Roman"/>
          <w:iCs/>
          <w:sz w:val="24"/>
          <w:szCs w:val="24"/>
        </w:rPr>
      </w:pPr>
      <w:r w:rsidRPr="00DE62B6">
        <w:rPr>
          <w:rFonts w:ascii="Times New Roman" w:hAnsi="Times New Roman" w:cs="Times New Roman"/>
          <w:iCs/>
          <w:sz w:val="24"/>
          <w:szCs w:val="24"/>
        </w:rPr>
        <w:t xml:space="preserve">Les agents de santé communautaires (ASC), les relais et autres mobilisateurs (enseignants, communicateurs traditionnels locaux, animateurs des ONG partenaires) seront mis à profit pour faire la communication de proximité dans les ménages </w:t>
      </w:r>
    </w:p>
    <w:p w:rsidR="001777A7" w:rsidRPr="00DE62B6" w:rsidRDefault="001777A7" w:rsidP="00DE62B6">
      <w:pPr>
        <w:numPr>
          <w:ilvl w:val="0"/>
          <w:numId w:val="14"/>
        </w:numPr>
        <w:spacing w:after="0" w:line="240" w:lineRule="auto"/>
        <w:ind w:left="33" w:firstLine="327"/>
        <w:jc w:val="both"/>
        <w:rPr>
          <w:rFonts w:ascii="Times New Roman" w:hAnsi="Times New Roman" w:cs="Times New Roman"/>
          <w:sz w:val="24"/>
          <w:szCs w:val="24"/>
        </w:rPr>
      </w:pPr>
      <w:r w:rsidRPr="00DE62B6">
        <w:rPr>
          <w:rFonts w:ascii="Times New Roman" w:hAnsi="Times New Roman" w:cs="Times New Roman"/>
          <w:iCs/>
          <w:sz w:val="24"/>
          <w:szCs w:val="24"/>
        </w:rPr>
        <w:t>Les causeries éducatives seront organisées sur les sites</w:t>
      </w:r>
      <w:r w:rsidRPr="00DE62B6">
        <w:rPr>
          <w:rFonts w:ascii="Times New Roman" w:hAnsi="Times New Roman" w:cs="Times New Roman"/>
          <w:sz w:val="24"/>
          <w:szCs w:val="24"/>
        </w:rPr>
        <w:t xml:space="preserve"> de vaccination sur les thèmes liés à l’introduction du VPI.</w:t>
      </w:r>
    </w:p>
    <w:p w:rsidR="001777A7" w:rsidRPr="00DE62B6" w:rsidRDefault="001777A7"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p>
    <w:p w:rsidR="001777A7" w:rsidRPr="00DE62B6" w:rsidRDefault="001777A7" w:rsidP="00DE62B6">
      <w:pPr>
        <w:rPr>
          <w:rFonts w:ascii="Times New Roman" w:hAnsi="Times New Roman" w:cs="Times New Roman"/>
          <w:sz w:val="24"/>
          <w:szCs w:val="24"/>
        </w:rPr>
      </w:pPr>
    </w:p>
    <w:p w:rsidR="00826F32" w:rsidRPr="00DE62B6" w:rsidRDefault="00826F32" w:rsidP="00DE62B6">
      <w:pPr>
        <w:rPr>
          <w:rFonts w:ascii="Times New Roman" w:hAnsi="Times New Roman" w:cs="Times New Roman"/>
          <w:sz w:val="24"/>
          <w:szCs w:val="24"/>
        </w:rPr>
      </w:pPr>
    </w:p>
    <w:p w:rsidR="00826F32" w:rsidRPr="00DE62B6" w:rsidRDefault="00826F32" w:rsidP="00DE62B6">
      <w:pPr>
        <w:rPr>
          <w:rFonts w:ascii="Times New Roman" w:hAnsi="Times New Roman" w:cs="Times New Roman"/>
          <w:sz w:val="24"/>
          <w:szCs w:val="24"/>
        </w:rPr>
      </w:pPr>
    </w:p>
    <w:p w:rsidR="00826F32" w:rsidRPr="00DE62B6" w:rsidRDefault="00826F32" w:rsidP="00DE62B6">
      <w:pPr>
        <w:rPr>
          <w:rFonts w:ascii="Times New Roman" w:hAnsi="Times New Roman" w:cs="Times New Roman"/>
          <w:sz w:val="24"/>
          <w:szCs w:val="24"/>
        </w:rPr>
      </w:pPr>
    </w:p>
    <w:p w:rsidR="00826F32" w:rsidRPr="00DE62B6" w:rsidRDefault="00826F32" w:rsidP="00DE62B6">
      <w:pPr>
        <w:rPr>
          <w:rFonts w:ascii="Times New Roman" w:hAnsi="Times New Roman" w:cs="Times New Roman"/>
          <w:sz w:val="24"/>
          <w:szCs w:val="24"/>
        </w:rPr>
      </w:pPr>
    </w:p>
    <w:p w:rsidR="00826F32" w:rsidRPr="00DE62B6" w:rsidRDefault="00826F32" w:rsidP="00DE62B6">
      <w:pPr>
        <w:rPr>
          <w:rFonts w:ascii="Times New Roman" w:hAnsi="Times New Roman" w:cs="Times New Roman"/>
          <w:sz w:val="24"/>
          <w:szCs w:val="24"/>
        </w:rPr>
      </w:pPr>
    </w:p>
    <w:p w:rsidR="00CD76C5" w:rsidRPr="00DE62B6" w:rsidRDefault="00CD76C5" w:rsidP="00DE62B6">
      <w:pPr>
        <w:rPr>
          <w:rFonts w:ascii="Times New Roman" w:hAnsi="Times New Roman" w:cs="Times New Roman"/>
          <w:sz w:val="24"/>
          <w:szCs w:val="24"/>
        </w:rPr>
      </w:pPr>
      <w:r w:rsidRPr="00DE62B6">
        <w:rPr>
          <w:rFonts w:ascii="Times New Roman" w:hAnsi="Times New Roman" w:cs="Times New Roman"/>
          <w:sz w:val="24"/>
          <w:szCs w:val="24"/>
        </w:rPr>
        <w:br w:type="page"/>
      </w:r>
    </w:p>
    <w:p w:rsidR="00C606CE" w:rsidRPr="00DE62B6" w:rsidRDefault="00F50F61" w:rsidP="00DE62B6">
      <w:pPr>
        <w:pStyle w:val="Paragraphedeliste"/>
        <w:numPr>
          <w:ilvl w:val="0"/>
          <w:numId w:val="15"/>
        </w:numPr>
        <w:autoSpaceDE w:val="0"/>
        <w:autoSpaceDN w:val="0"/>
        <w:adjustRightInd w:val="0"/>
        <w:spacing w:before="120" w:after="120" w:line="240" w:lineRule="auto"/>
        <w:jc w:val="both"/>
        <w:rPr>
          <w:rFonts w:ascii="Times New Roman" w:hAnsi="Times New Roman" w:cs="Times New Roman"/>
          <w:color w:val="131313"/>
          <w:sz w:val="24"/>
          <w:szCs w:val="24"/>
        </w:rPr>
      </w:pPr>
      <w:r w:rsidRPr="00DE62B6">
        <w:rPr>
          <w:rFonts w:ascii="Times New Roman" w:hAnsi="Times New Roman" w:cs="Times New Roman"/>
          <w:b/>
          <w:sz w:val="24"/>
          <w:szCs w:val="24"/>
        </w:rPr>
        <w:t xml:space="preserve">Éclaircissements pour la demande de soutien </w:t>
      </w:r>
      <w:r w:rsidR="00397A58" w:rsidRPr="00DE62B6">
        <w:rPr>
          <w:rFonts w:ascii="Times New Roman" w:hAnsi="Times New Roman" w:cs="Times New Roman"/>
          <w:b/>
          <w:color w:val="131313"/>
          <w:sz w:val="24"/>
          <w:szCs w:val="24"/>
        </w:rPr>
        <w:t>RSS</w:t>
      </w:r>
    </w:p>
    <w:p w:rsidR="00CA5921" w:rsidRPr="00DE62B6" w:rsidRDefault="00C606CE" w:rsidP="00DE62B6">
      <w:pPr>
        <w:autoSpaceDE w:val="0"/>
        <w:autoSpaceDN w:val="0"/>
        <w:adjustRightInd w:val="0"/>
        <w:spacing w:before="120" w:after="120" w:line="240" w:lineRule="auto"/>
        <w:jc w:val="both"/>
        <w:rPr>
          <w:rFonts w:ascii="Times New Roman" w:hAnsi="Times New Roman" w:cs="Times New Roman"/>
          <w:color w:val="131313"/>
          <w:sz w:val="24"/>
          <w:szCs w:val="24"/>
        </w:rPr>
      </w:pPr>
      <w:r w:rsidRPr="00DE62B6">
        <w:rPr>
          <w:rFonts w:ascii="Times New Roman" w:hAnsi="Times New Roman" w:cs="Times New Roman"/>
          <w:color w:val="131313"/>
          <w:sz w:val="24"/>
          <w:szCs w:val="24"/>
        </w:rPr>
        <w:t>2.</w:t>
      </w:r>
      <w:r w:rsidR="009704D0" w:rsidRPr="00DE62B6">
        <w:rPr>
          <w:rFonts w:ascii="Times New Roman" w:hAnsi="Times New Roman" w:cs="Times New Roman"/>
          <w:color w:val="131313"/>
          <w:sz w:val="24"/>
          <w:szCs w:val="24"/>
        </w:rPr>
        <w:t xml:space="preserve">1) </w:t>
      </w:r>
      <w:r w:rsidR="008D06C8" w:rsidRPr="00DE62B6">
        <w:rPr>
          <w:rFonts w:ascii="Times New Roman" w:hAnsi="Times New Roman" w:cs="Times New Roman"/>
          <w:color w:val="131313"/>
          <w:sz w:val="24"/>
          <w:szCs w:val="24"/>
        </w:rPr>
        <w:t>Soumettre les documents de politique générale ou les</w:t>
      </w:r>
      <w:r w:rsidR="0030483D" w:rsidRPr="00DE62B6">
        <w:rPr>
          <w:rFonts w:ascii="Times New Roman" w:hAnsi="Times New Roman" w:cs="Times New Roman"/>
          <w:color w:val="131313"/>
          <w:sz w:val="24"/>
          <w:szCs w:val="24"/>
        </w:rPr>
        <w:t xml:space="preserve"> directives sur le mécanisme de </w:t>
      </w:r>
      <w:r w:rsidR="008D06C8" w:rsidRPr="00DE62B6">
        <w:rPr>
          <w:rFonts w:ascii="Times New Roman" w:hAnsi="Times New Roman" w:cs="Times New Roman"/>
          <w:color w:val="131313"/>
          <w:sz w:val="24"/>
          <w:szCs w:val="24"/>
        </w:rPr>
        <w:t>sous-traitance fondé sur la performance des OSC.</w:t>
      </w:r>
    </w:p>
    <w:p w:rsidR="00072100" w:rsidRPr="00DE62B6" w:rsidRDefault="00787D2A" w:rsidP="00DE62B6">
      <w:pPr>
        <w:autoSpaceDE w:val="0"/>
        <w:autoSpaceDN w:val="0"/>
        <w:adjustRightInd w:val="0"/>
        <w:spacing w:before="120" w:after="120" w:line="240" w:lineRule="auto"/>
        <w:jc w:val="both"/>
        <w:rPr>
          <w:rFonts w:ascii="Times New Roman" w:hAnsi="Times New Roman"/>
          <w:b/>
          <w:color w:val="1F497D"/>
          <w:sz w:val="24"/>
          <w:szCs w:val="24"/>
        </w:rPr>
      </w:pPr>
      <w:r w:rsidRPr="00DE62B6">
        <w:rPr>
          <w:rFonts w:ascii="Times New Roman" w:hAnsi="Times New Roman" w:cs="Times New Roman"/>
          <w:b/>
          <w:color w:val="1F497D" w:themeColor="text2"/>
          <w:sz w:val="24"/>
          <w:szCs w:val="24"/>
        </w:rPr>
        <w:t>Le concept de financement basé sur l</w:t>
      </w:r>
      <w:r w:rsidR="00CF5720" w:rsidRPr="00DE62B6">
        <w:rPr>
          <w:rFonts w:ascii="Times New Roman" w:hAnsi="Times New Roman" w:cs="Times New Roman"/>
          <w:b/>
          <w:color w:val="1F497D" w:themeColor="text2"/>
          <w:sz w:val="24"/>
          <w:szCs w:val="24"/>
        </w:rPr>
        <w:t xml:space="preserve">a performance est à sa phase </w:t>
      </w:r>
      <w:r w:rsidR="00B54518" w:rsidRPr="00DE62B6">
        <w:rPr>
          <w:rFonts w:ascii="Times New Roman" w:hAnsi="Times New Roman" w:cs="Times New Roman"/>
          <w:b/>
          <w:color w:val="1F497D" w:themeColor="text2"/>
          <w:sz w:val="24"/>
          <w:szCs w:val="24"/>
        </w:rPr>
        <w:t xml:space="preserve">d'extension </w:t>
      </w:r>
      <w:r w:rsidR="00EF0F33" w:rsidRPr="00DE62B6">
        <w:rPr>
          <w:rFonts w:ascii="Times New Roman" w:hAnsi="Times New Roman" w:cs="Times New Roman"/>
          <w:b/>
          <w:color w:val="1F497D" w:themeColor="text2"/>
          <w:sz w:val="24"/>
          <w:szCs w:val="24"/>
        </w:rPr>
        <w:t>dans les districts sanitaires du pays.</w:t>
      </w:r>
      <w:r w:rsidR="00F51A69">
        <w:rPr>
          <w:rFonts w:ascii="Times New Roman" w:hAnsi="Times New Roman" w:cs="Times New Roman"/>
          <w:b/>
          <w:color w:val="1F497D" w:themeColor="text2"/>
          <w:sz w:val="24"/>
          <w:szCs w:val="24"/>
        </w:rPr>
        <w:t xml:space="preserve"> </w:t>
      </w:r>
      <w:r w:rsidR="00072100" w:rsidRPr="00DE62B6">
        <w:rPr>
          <w:rFonts w:ascii="Times New Roman" w:hAnsi="Times New Roman"/>
          <w:b/>
          <w:color w:val="1F497D"/>
          <w:sz w:val="24"/>
          <w:szCs w:val="24"/>
        </w:rPr>
        <w:t>Il existe des manuels de procédures administratives et financières qui ont été élaborés dans le cadre du projet pilote appelé « Financement Basé sur les Résultats » (FBR). Ces manuels</w:t>
      </w:r>
      <w:r w:rsidR="00F51A69">
        <w:rPr>
          <w:rFonts w:ascii="Times New Roman" w:hAnsi="Times New Roman"/>
          <w:b/>
          <w:color w:val="1F497D"/>
          <w:sz w:val="24"/>
          <w:szCs w:val="24"/>
        </w:rPr>
        <w:t xml:space="preserve"> </w:t>
      </w:r>
      <w:r w:rsidR="00072100" w:rsidRPr="00DE62B6">
        <w:rPr>
          <w:rFonts w:ascii="Times New Roman" w:hAnsi="Times New Roman"/>
          <w:b/>
          <w:color w:val="1F497D"/>
          <w:sz w:val="24"/>
          <w:szCs w:val="24"/>
        </w:rPr>
        <w:t>sont retenus par le Ministère de la Santé et de l’Hygiène Publique comme documents de référence à réadapter pour l’extension.</w:t>
      </w:r>
    </w:p>
    <w:p w:rsidR="00CA5921" w:rsidRPr="00DE62B6" w:rsidRDefault="00FE3339"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 xml:space="preserve">Ils </w:t>
      </w:r>
      <w:r w:rsidR="00541D84" w:rsidRPr="00DE62B6">
        <w:rPr>
          <w:rFonts w:ascii="Times New Roman" w:hAnsi="Times New Roman" w:cs="Times New Roman"/>
          <w:b/>
          <w:color w:val="1F497D" w:themeColor="text2"/>
          <w:sz w:val="24"/>
          <w:szCs w:val="24"/>
        </w:rPr>
        <w:t>décri</w:t>
      </w:r>
      <w:r w:rsidRPr="00DE62B6">
        <w:rPr>
          <w:rFonts w:ascii="Times New Roman" w:hAnsi="Times New Roman" w:cs="Times New Roman"/>
          <w:b/>
          <w:color w:val="1F497D" w:themeColor="text2"/>
          <w:sz w:val="24"/>
          <w:szCs w:val="24"/>
        </w:rPr>
        <w:t>ven</w:t>
      </w:r>
      <w:r w:rsidR="00541D84" w:rsidRPr="00DE62B6">
        <w:rPr>
          <w:rFonts w:ascii="Times New Roman" w:hAnsi="Times New Roman" w:cs="Times New Roman"/>
          <w:b/>
          <w:color w:val="1F497D" w:themeColor="text2"/>
          <w:sz w:val="24"/>
          <w:szCs w:val="24"/>
        </w:rPr>
        <w:t xml:space="preserve">t toutes les directives relatives </w:t>
      </w:r>
      <w:r w:rsidR="00A2140D" w:rsidRPr="00DE62B6">
        <w:rPr>
          <w:rFonts w:ascii="Times New Roman" w:hAnsi="Times New Roman" w:cs="Times New Roman"/>
          <w:b/>
          <w:color w:val="1F497D" w:themeColor="text2"/>
          <w:sz w:val="24"/>
          <w:szCs w:val="24"/>
        </w:rPr>
        <w:t>au concept de financement b</w:t>
      </w:r>
      <w:r w:rsidR="003D0480" w:rsidRPr="00DE62B6">
        <w:rPr>
          <w:rFonts w:ascii="Times New Roman" w:hAnsi="Times New Roman" w:cs="Times New Roman"/>
          <w:b/>
          <w:color w:val="1F497D" w:themeColor="text2"/>
          <w:sz w:val="24"/>
          <w:szCs w:val="24"/>
        </w:rPr>
        <w:t>asé sur les ré</w:t>
      </w:r>
      <w:r w:rsidR="00A2140D" w:rsidRPr="00DE62B6">
        <w:rPr>
          <w:rFonts w:ascii="Times New Roman" w:hAnsi="Times New Roman" w:cs="Times New Roman"/>
          <w:b/>
          <w:color w:val="1F497D" w:themeColor="text2"/>
          <w:sz w:val="24"/>
          <w:szCs w:val="24"/>
        </w:rPr>
        <w:t>sultats notamment la contractualisation à la page</w:t>
      </w:r>
      <w:r w:rsidR="00D83886" w:rsidRPr="00DE62B6">
        <w:rPr>
          <w:rFonts w:ascii="Times New Roman" w:hAnsi="Times New Roman" w:cs="Times New Roman"/>
          <w:b/>
          <w:color w:val="1F497D" w:themeColor="text2"/>
          <w:sz w:val="24"/>
          <w:szCs w:val="24"/>
        </w:rPr>
        <w:t xml:space="preserve"> 18. </w:t>
      </w:r>
    </w:p>
    <w:p w:rsidR="006E3386" w:rsidRPr="00DE62B6" w:rsidRDefault="006E3386" w:rsidP="00DE62B6">
      <w:pPr>
        <w:autoSpaceDE w:val="0"/>
        <w:autoSpaceDN w:val="0"/>
        <w:adjustRightInd w:val="0"/>
        <w:spacing w:before="120" w:after="120" w:line="240" w:lineRule="auto"/>
        <w:jc w:val="both"/>
        <w:rPr>
          <w:rFonts w:ascii="Times New Roman" w:hAnsi="Times New Roman" w:cs="Times New Roman"/>
          <w:b/>
          <w:color w:val="FF0000"/>
          <w:sz w:val="24"/>
          <w:szCs w:val="24"/>
        </w:rPr>
      </w:pPr>
      <w:r w:rsidRPr="00DE62B6">
        <w:rPr>
          <w:rFonts w:ascii="Times New Roman" w:hAnsi="Times New Roman"/>
          <w:b/>
          <w:color w:val="1F497D"/>
          <w:sz w:val="24"/>
          <w:szCs w:val="24"/>
        </w:rPr>
        <w:t>Pour ce qui concerne l'utilisation de la subvention de GAVI pour mener des prestations dans les zones d'insécurité à travers les OSC, la Fédération Nationale des Associations de Santé Communautaire (FENASCOM) qui est une organisation  de la société civile bénéficiant d'une subvention de l'État afin de mettre en œuvre la politique de santé, dirigera le recrutement d'autres OSC et/ou ONG pour atteindre les populations en zone d'insécurité. À cet effet, le manuel de procédures administratives, financières et comptables de ladite organisation est disponible.</w:t>
      </w:r>
    </w:p>
    <w:p w:rsidR="008D06C8" w:rsidRPr="00DE62B6" w:rsidRDefault="00C606CE" w:rsidP="00DE62B6">
      <w:pPr>
        <w:autoSpaceDE w:val="0"/>
        <w:autoSpaceDN w:val="0"/>
        <w:adjustRightInd w:val="0"/>
        <w:spacing w:before="120" w:after="120" w:line="240" w:lineRule="auto"/>
        <w:jc w:val="both"/>
        <w:rPr>
          <w:rFonts w:ascii="Times New Roman" w:hAnsi="Times New Roman" w:cs="Times New Roman"/>
          <w:color w:val="131313"/>
          <w:sz w:val="24"/>
          <w:szCs w:val="24"/>
        </w:rPr>
      </w:pPr>
      <w:r w:rsidRPr="00DE62B6">
        <w:rPr>
          <w:rFonts w:ascii="Times New Roman" w:hAnsi="Times New Roman" w:cs="Times New Roman"/>
          <w:color w:val="131313"/>
          <w:sz w:val="24"/>
          <w:szCs w:val="24"/>
        </w:rPr>
        <w:t>2.</w:t>
      </w:r>
      <w:r w:rsidR="008D06C8" w:rsidRPr="00DE62B6">
        <w:rPr>
          <w:rFonts w:ascii="Times New Roman" w:hAnsi="Times New Roman" w:cs="Times New Roman"/>
          <w:color w:val="131313"/>
          <w:sz w:val="24"/>
          <w:szCs w:val="24"/>
        </w:rPr>
        <w:t>2) Corriger les budgets présentés au niveau des incohérences ident</w:t>
      </w:r>
      <w:r w:rsidR="008D06C8" w:rsidRPr="00DE62B6">
        <w:rPr>
          <w:rFonts w:ascii="Times New Roman" w:hAnsi="Times New Roman" w:cs="Times New Roman"/>
          <w:color w:val="030303"/>
          <w:sz w:val="24"/>
          <w:szCs w:val="24"/>
        </w:rPr>
        <w:t>i</w:t>
      </w:r>
      <w:r w:rsidR="00E47516" w:rsidRPr="00DE62B6">
        <w:rPr>
          <w:rFonts w:ascii="Times New Roman" w:hAnsi="Times New Roman" w:cs="Times New Roman"/>
          <w:color w:val="131313"/>
          <w:sz w:val="24"/>
          <w:szCs w:val="24"/>
        </w:rPr>
        <w:t xml:space="preserve">fiées (par le </w:t>
      </w:r>
      <w:r w:rsidR="008D06C8" w:rsidRPr="00DE62B6">
        <w:rPr>
          <w:rFonts w:ascii="Times New Roman" w:hAnsi="Times New Roman" w:cs="Times New Roman"/>
          <w:color w:val="131313"/>
          <w:sz w:val="24"/>
          <w:szCs w:val="24"/>
        </w:rPr>
        <w:t xml:space="preserve">Département de </w:t>
      </w:r>
      <w:r w:rsidR="008D06C8" w:rsidRPr="00DE62B6">
        <w:rPr>
          <w:rFonts w:ascii="Times New Roman" w:hAnsi="Times New Roman" w:cs="Times New Roman"/>
          <w:color w:val="030303"/>
          <w:sz w:val="24"/>
          <w:szCs w:val="24"/>
        </w:rPr>
        <w:t>c</w:t>
      </w:r>
      <w:r w:rsidR="008D06C8" w:rsidRPr="00DE62B6">
        <w:rPr>
          <w:rFonts w:ascii="Times New Roman" w:hAnsi="Times New Roman" w:cs="Times New Roman"/>
          <w:color w:val="131313"/>
          <w:sz w:val="24"/>
          <w:szCs w:val="24"/>
        </w:rPr>
        <w:t>ontrô</w:t>
      </w:r>
      <w:r w:rsidR="008D06C8" w:rsidRPr="00DE62B6">
        <w:rPr>
          <w:rFonts w:ascii="Times New Roman" w:hAnsi="Times New Roman" w:cs="Times New Roman"/>
          <w:color w:val="030303"/>
          <w:sz w:val="24"/>
          <w:szCs w:val="24"/>
        </w:rPr>
        <w:t>l</w:t>
      </w:r>
      <w:r w:rsidR="008D06C8" w:rsidRPr="00DE62B6">
        <w:rPr>
          <w:rFonts w:ascii="Times New Roman" w:hAnsi="Times New Roman" w:cs="Times New Roman"/>
          <w:color w:val="131313"/>
          <w:sz w:val="24"/>
          <w:szCs w:val="24"/>
        </w:rPr>
        <w:t>e f</w:t>
      </w:r>
      <w:r w:rsidR="008D06C8" w:rsidRPr="00DE62B6">
        <w:rPr>
          <w:rFonts w:ascii="Times New Roman" w:hAnsi="Times New Roman" w:cs="Times New Roman"/>
          <w:color w:val="030303"/>
          <w:sz w:val="24"/>
          <w:szCs w:val="24"/>
        </w:rPr>
        <w:t>i</w:t>
      </w:r>
      <w:r w:rsidR="008D06C8" w:rsidRPr="00DE62B6">
        <w:rPr>
          <w:rFonts w:ascii="Times New Roman" w:hAnsi="Times New Roman" w:cs="Times New Roman"/>
          <w:color w:val="131313"/>
          <w:sz w:val="24"/>
          <w:szCs w:val="24"/>
        </w:rPr>
        <w:t>duc</w:t>
      </w:r>
      <w:r w:rsidR="008D06C8" w:rsidRPr="00DE62B6">
        <w:rPr>
          <w:rFonts w:ascii="Times New Roman" w:hAnsi="Times New Roman" w:cs="Times New Roman"/>
          <w:color w:val="030303"/>
          <w:sz w:val="24"/>
          <w:szCs w:val="24"/>
        </w:rPr>
        <w:t>i</w:t>
      </w:r>
      <w:r w:rsidR="008D06C8" w:rsidRPr="00DE62B6">
        <w:rPr>
          <w:rFonts w:ascii="Times New Roman" w:hAnsi="Times New Roman" w:cs="Times New Roman"/>
          <w:color w:val="131313"/>
          <w:sz w:val="24"/>
          <w:szCs w:val="24"/>
        </w:rPr>
        <w:t xml:space="preserve">aire), et </w:t>
      </w:r>
      <w:r w:rsidR="008D06C8" w:rsidRPr="00DE62B6">
        <w:rPr>
          <w:rFonts w:ascii="Times New Roman" w:hAnsi="Times New Roman" w:cs="Times New Roman"/>
          <w:color w:val="030303"/>
          <w:sz w:val="24"/>
          <w:szCs w:val="24"/>
        </w:rPr>
        <w:t>i</w:t>
      </w:r>
      <w:r w:rsidR="008D06C8" w:rsidRPr="00DE62B6">
        <w:rPr>
          <w:rFonts w:ascii="Times New Roman" w:hAnsi="Times New Roman" w:cs="Times New Roman"/>
          <w:color w:val="131313"/>
          <w:sz w:val="24"/>
          <w:szCs w:val="24"/>
        </w:rPr>
        <w:t>nd</w:t>
      </w:r>
      <w:r w:rsidR="008D06C8" w:rsidRPr="00DE62B6">
        <w:rPr>
          <w:rFonts w:ascii="Times New Roman" w:hAnsi="Times New Roman" w:cs="Times New Roman"/>
          <w:color w:val="030303"/>
          <w:sz w:val="24"/>
          <w:szCs w:val="24"/>
        </w:rPr>
        <w:t>i</w:t>
      </w:r>
      <w:r w:rsidR="008D06C8" w:rsidRPr="00DE62B6">
        <w:rPr>
          <w:rFonts w:ascii="Times New Roman" w:hAnsi="Times New Roman" w:cs="Times New Roman"/>
          <w:color w:val="131313"/>
          <w:sz w:val="24"/>
          <w:szCs w:val="24"/>
        </w:rPr>
        <w:t xml:space="preserve">quer la part du budget des OSC </w:t>
      </w:r>
      <w:r w:rsidR="0030483D" w:rsidRPr="00DE62B6">
        <w:rPr>
          <w:rFonts w:ascii="Times New Roman" w:hAnsi="Times New Roman" w:cs="Times New Roman"/>
          <w:color w:val="131313"/>
          <w:sz w:val="24"/>
          <w:szCs w:val="24"/>
        </w:rPr>
        <w:t xml:space="preserve">dans le </w:t>
      </w:r>
      <w:r w:rsidR="008D06C8" w:rsidRPr="00DE62B6">
        <w:rPr>
          <w:rFonts w:ascii="Times New Roman" w:hAnsi="Times New Roman" w:cs="Times New Roman"/>
          <w:color w:val="131313"/>
          <w:sz w:val="24"/>
          <w:szCs w:val="24"/>
        </w:rPr>
        <w:t>budget général du RSS</w:t>
      </w:r>
      <w:r w:rsidR="008D06C8" w:rsidRPr="00DE62B6">
        <w:rPr>
          <w:rFonts w:ascii="Times New Roman" w:hAnsi="Times New Roman" w:cs="Times New Roman"/>
          <w:color w:val="030303"/>
          <w:sz w:val="24"/>
          <w:szCs w:val="24"/>
        </w:rPr>
        <w:t xml:space="preserve">. </w:t>
      </w:r>
      <w:r w:rsidR="008D06C8" w:rsidRPr="00DE62B6">
        <w:rPr>
          <w:rFonts w:ascii="Times New Roman" w:hAnsi="Times New Roman" w:cs="Times New Roman"/>
          <w:color w:val="131313"/>
          <w:sz w:val="24"/>
          <w:szCs w:val="24"/>
        </w:rPr>
        <w:t>Clarifier le rôle du Bureau du m</w:t>
      </w:r>
      <w:r w:rsidR="008D06C8" w:rsidRPr="00DE62B6">
        <w:rPr>
          <w:rFonts w:ascii="Times New Roman" w:hAnsi="Times New Roman" w:cs="Times New Roman"/>
          <w:color w:val="030303"/>
          <w:sz w:val="24"/>
          <w:szCs w:val="24"/>
        </w:rPr>
        <w:t>i</w:t>
      </w:r>
      <w:r w:rsidR="0030483D" w:rsidRPr="00DE62B6">
        <w:rPr>
          <w:rFonts w:ascii="Times New Roman" w:hAnsi="Times New Roman" w:cs="Times New Roman"/>
          <w:color w:val="131313"/>
          <w:sz w:val="24"/>
          <w:szCs w:val="24"/>
        </w:rPr>
        <w:t xml:space="preserve">nistre dans le processus </w:t>
      </w:r>
      <w:r w:rsidR="008D06C8" w:rsidRPr="00DE62B6">
        <w:rPr>
          <w:rFonts w:ascii="Times New Roman" w:hAnsi="Times New Roman" w:cs="Times New Roman"/>
          <w:color w:val="131313"/>
          <w:sz w:val="24"/>
          <w:szCs w:val="24"/>
        </w:rPr>
        <w:t>d'exécut</w:t>
      </w:r>
      <w:r w:rsidR="008D06C8" w:rsidRPr="00DE62B6">
        <w:rPr>
          <w:rFonts w:ascii="Times New Roman" w:hAnsi="Times New Roman" w:cs="Times New Roman"/>
          <w:color w:val="030303"/>
          <w:sz w:val="24"/>
          <w:szCs w:val="24"/>
        </w:rPr>
        <w:t>i</w:t>
      </w:r>
      <w:r w:rsidR="008D06C8" w:rsidRPr="00DE62B6">
        <w:rPr>
          <w:rFonts w:ascii="Times New Roman" w:hAnsi="Times New Roman" w:cs="Times New Roman"/>
          <w:color w:val="131313"/>
          <w:sz w:val="24"/>
          <w:szCs w:val="24"/>
        </w:rPr>
        <w:t xml:space="preserve">on du budget et </w:t>
      </w:r>
      <w:r w:rsidR="008D06C8" w:rsidRPr="00DE62B6">
        <w:rPr>
          <w:rFonts w:ascii="Times New Roman" w:hAnsi="Times New Roman" w:cs="Times New Roman"/>
          <w:color w:val="030303"/>
          <w:sz w:val="24"/>
          <w:szCs w:val="24"/>
        </w:rPr>
        <w:t>l</w:t>
      </w:r>
      <w:r w:rsidR="008D06C8" w:rsidRPr="00DE62B6">
        <w:rPr>
          <w:rFonts w:ascii="Times New Roman" w:hAnsi="Times New Roman" w:cs="Times New Roman"/>
          <w:color w:val="131313"/>
          <w:sz w:val="24"/>
          <w:szCs w:val="24"/>
        </w:rPr>
        <w:t>e co</w:t>
      </w:r>
      <w:r w:rsidR="008D06C8" w:rsidRPr="00DE62B6">
        <w:rPr>
          <w:rFonts w:ascii="Times New Roman" w:hAnsi="Times New Roman" w:cs="Times New Roman"/>
          <w:color w:val="030303"/>
          <w:sz w:val="24"/>
          <w:szCs w:val="24"/>
        </w:rPr>
        <w:t>n</w:t>
      </w:r>
      <w:r w:rsidR="008D06C8" w:rsidRPr="00DE62B6">
        <w:rPr>
          <w:rFonts w:ascii="Times New Roman" w:hAnsi="Times New Roman" w:cs="Times New Roman"/>
          <w:color w:val="131313"/>
          <w:sz w:val="24"/>
          <w:szCs w:val="24"/>
        </w:rPr>
        <w:t xml:space="preserve">former à </w:t>
      </w:r>
      <w:r w:rsidR="008D06C8" w:rsidRPr="00DE62B6">
        <w:rPr>
          <w:rFonts w:ascii="Times New Roman" w:hAnsi="Times New Roman" w:cs="Times New Roman"/>
          <w:color w:val="030303"/>
          <w:sz w:val="24"/>
          <w:szCs w:val="24"/>
        </w:rPr>
        <w:t>l</w:t>
      </w:r>
      <w:r w:rsidR="008D06C8" w:rsidRPr="00DE62B6">
        <w:rPr>
          <w:rFonts w:ascii="Times New Roman" w:hAnsi="Times New Roman" w:cs="Times New Roman"/>
          <w:color w:val="131313"/>
          <w:sz w:val="24"/>
          <w:szCs w:val="24"/>
        </w:rPr>
        <w:t>'a</w:t>
      </w:r>
      <w:r w:rsidR="008D06C8" w:rsidRPr="00DE62B6">
        <w:rPr>
          <w:rFonts w:ascii="Times New Roman" w:hAnsi="Times New Roman" w:cs="Times New Roman"/>
          <w:color w:val="030303"/>
          <w:sz w:val="24"/>
          <w:szCs w:val="24"/>
        </w:rPr>
        <w:t>i</w:t>
      </w:r>
      <w:r w:rsidR="008D06C8" w:rsidRPr="00DE62B6">
        <w:rPr>
          <w:rFonts w:ascii="Times New Roman" w:hAnsi="Times New Roman" w:cs="Times New Roman"/>
          <w:color w:val="131313"/>
          <w:sz w:val="24"/>
          <w:szCs w:val="24"/>
        </w:rPr>
        <w:t>de-mémoire s</w:t>
      </w:r>
      <w:r w:rsidR="008D06C8" w:rsidRPr="00DE62B6">
        <w:rPr>
          <w:rFonts w:ascii="Times New Roman" w:hAnsi="Times New Roman" w:cs="Times New Roman"/>
          <w:color w:val="030303"/>
          <w:sz w:val="24"/>
          <w:szCs w:val="24"/>
        </w:rPr>
        <w:t>i</w:t>
      </w:r>
      <w:r w:rsidR="008D06C8" w:rsidRPr="00DE62B6">
        <w:rPr>
          <w:rFonts w:ascii="Times New Roman" w:hAnsi="Times New Roman" w:cs="Times New Roman"/>
          <w:color w:val="131313"/>
          <w:sz w:val="24"/>
          <w:szCs w:val="24"/>
        </w:rPr>
        <w:t>gné avec G</w:t>
      </w:r>
      <w:r w:rsidR="00F51A69">
        <w:rPr>
          <w:rFonts w:ascii="Times New Roman" w:hAnsi="Times New Roman" w:cs="Times New Roman"/>
          <w:color w:val="131313"/>
          <w:sz w:val="24"/>
          <w:szCs w:val="24"/>
        </w:rPr>
        <w:t>AVI</w:t>
      </w:r>
      <w:r w:rsidR="008D06C8" w:rsidRPr="00DE62B6">
        <w:rPr>
          <w:rFonts w:ascii="Times New Roman" w:hAnsi="Times New Roman" w:cs="Times New Roman"/>
          <w:color w:val="131313"/>
          <w:sz w:val="24"/>
          <w:szCs w:val="24"/>
        </w:rPr>
        <w:t>.</w:t>
      </w:r>
    </w:p>
    <w:p w:rsidR="00060B97" w:rsidRPr="00DE62B6" w:rsidRDefault="00060B97"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Les incohérences</w:t>
      </w:r>
      <w:r w:rsidR="00C52583" w:rsidRPr="00DE62B6">
        <w:rPr>
          <w:rFonts w:ascii="Times New Roman" w:hAnsi="Times New Roman" w:cs="Times New Roman"/>
          <w:b/>
          <w:color w:val="1F497D" w:themeColor="text2"/>
          <w:sz w:val="24"/>
          <w:szCs w:val="24"/>
        </w:rPr>
        <w:t xml:space="preserve"> identifiées au niveau du budget ont été corrigées et envoyées </w:t>
      </w:r>
      <w:r w:rsidR="00166DA6" w:rsidRPr="00DE62B6">
        <w:rPr>
          <w:rFonts w:ascii="Times New Roman" w:hAnsi="Times New Roman" w:cs="Times New Roman"/>
          <w:b/>
          <w:color w:val="1F497D" w:themeColor="text2"/>
          <w:sz w:val="24"/>
          <w:szCs w:val="24"/>
        </w:rPr>
        <w:t xml:space="preserve">à GAVI </w:t>
      </w:r>
      <w:r w:rsidR="00FB5524" w:rsidRPr="00DE62B6">
        <w:rPr>
          <w:rFonts w:ascii="Times New Roman" w:hAnsi="Times New Roman" w:cs="Times New Roman"/>
          <w:b/>
          <w:color w:val="1F497D" w:themeColor="text2"/>
          <w:sz w:val="24"/>
          <w:szCs w:val="24"/>
        </w:rPr>
        <w:t>après la pré-revue de l'OMS</w:t>
      </w:r>
      <w:r w:rsidR="001E4435" w:rsidRPr="00DE62B6">
        <w:rPr>
          <w:rFonts w:ascii="Times New Roman" w:hAnsi="Times New Roman" w:cs="Times New Roman"/>
          <w:b/>
          <w:color w:val="1F497D" w:themeColor="text2"/>
          <w:sz w:val="24"/>
          <w:szCs w:val="24"/>
        </w:rPr>
        <w:t xml:space="preserve"> du</w:t>
      </w:r>
      <w:r w:rsidR="00F51A69">
        <w:rPr>
          <w:rFonts w:ascii="Times New Roman" w:hAnsi="Times New Roman" w:cs="Times New Roman"/>
          <w:b/>
          <w:color w:val="1F497D" w:themeColor="text2"/>
          <w:sz w:val="24"/>
          <w:szCs w:val="24"/>
        </w:rPr>
        <w:t xml:space="preserve"> </w:t>
      </w:r>
      <w:r w:rsidR="00A55AEA" w:rsidRPr="00DE62B6">
        <w:rPr>
          <w:rFonts w:ascii="Times New Roman" w:hAnsi="Times New Roman" w:cs="Times New Roman"/>
          <w:b/>
          <w:color w:val="1F497D" w:themeColor="text2"/>
          <w:sz w:val="24"/>
          <w:szCs w:val="24"/>
        </w:rPr>
        <w:t xml:space="preserve">9 septembre 2014. </w:t>
      </w:r>
      <w:r w:rsidR="00A808DC" w:rsidRPr="00DE62B6">
        <w:rPr>
          <w:rFonts w:ascii="Times New Roman" w:hAnsi="Times New Roman" w:cs="Times New Roman"/>
          <w:b/>
          <w:color w:val="1F497D" w:themeColor="text2"/>
          <w:sz w:val="24"/>
          <w:szCs w:val="24"/>
        </w:rPr>
        <w:t>Ainsi, les plafonds</w:t>
      </w:r>
      <w:r w:rsidR="002E6143" w:rsidRPr="00DE62B6">
        <w:rPr>
          <w:rFonts w:ascii="Times New Roman" w:hAnsi="Times New Roman" w:cs="Times New Roman"/>
          <w:b/>
          <w:color w:val="1F497D" w:themeColor="text2"/>
          <w:sz w:val="24"/>
          <w:szCs w:val="24"/>
        </w:rPr>
        <w:t xml:space="preserve"> annuels des montants ont été respectés et </w:t>
      </w:r>
      <w:r w:rsidR="00F30760" w:rsidRPr="00DE62B6">
        <w:rPr>
          <w:rFonts w:ascii="Times New Roman" w:hAnsi="Times New Roman" w:cs="Times New Roman"/>
          <w:b/>
          <w:color w:val="1F497D" w:themeColor="text2"/>
          <w:sz w:val="24"/>
          <w:szCs w:val="24"/>
        </w:rPr>
        <w:t xml:space="preserve">les budgets détaillés et globaux </w:t>
      </w:r>
      <w:r w:rsidR="00220F5D" w:rsidRPr="00DE62B6">
        <w:rPr>
          <w:rFonts w:ascii="Times New Roman" w:hAnsi="Times New Roman" w:cs="Times New Roman"/>
          <w:b/>
          <w:color w:val="1F497D" w:themeColor="text2"/>
          <w:sz w:val="24"/>
          <w:szCs w:val="24"/>
        </w:rPr>
        <w:t>harmonis</w:t>
      </w:r>
      <w:r w:rsidR="00F30760" w:rsidRPr="00DE62B6">
        <w:rPr>
          <w:rFonts w:ascii="Times New Roman" w:hAnsi="Times New Roman" w:cs="Times New Roman"/>
          <w:b/>
          <w:color w:val="1F497D" w:themeColor="text2"/>
          <w:sz w:val="24"/>
          <w:szCs w:val="24"/>
        </w:rPr>
        <w:t>és.</w:t>
      </w:r>
      <w:r w:rsidR="009B3205" w:rsidRPr="00DE62B6">
        <w:rPr>
          <w:rFonts w:ascii="Times New Roman" w:hAnsi="Times New Roman" w:cs="Times New Roman"/>
          <w:b/>
          <w:color w:val="1F497D" w:themeColor="text2"/>
          <w:sz w:val="24"/>
          <w:szCs w:val="24"/>
        </w:rPr>
        <w:t xml:space="preserve"> (voir</w:t>
      </w:r>
      <w:r w:rsidR="00F51A69">
        <w:rPr>
          <w:rFonts w:ascii="Times New Roman" w:hAnsi="Times New Roman" w:cs="Times New Roman"/>
          <w:b/>
          <w:color w:val="1F497D" w:themeColor="text2"/>
          <w:sz w:val="24"/>
          <w:szCs w:val="24"/>
        </w:rPr>
        <w:t xml:space="preserve"> </w:t>
      </w:r>
      <w:r w:rsidR="00901F64" w:rsidRPr="00DE62B6">
        <w:rPr>
          <w:rFonts w:ascii="Times New Roman" w:hAnsi="Times New Roman" w:cs="Times New Roman"/>
          <w:b/>
          <w:color w:val="1F497D" w:themeColor="text2"/>
          <w:sz w:val="24"/>
          <w:szCs w:val="24"/>
        </w:rPr>
        <w:t>ci-dessous le</w:t>
      </w:r>
      <w:r w:rsidR="009B3205" w:rsidRPr="00DE62B6">
        <w:rPr>
          <w:rFonts w:ascii="Times New Roman" w:hAnsi="Times New Roman" w:cs="Times New Roman"/>
          <w:b/>
          <w:color w:val="1F497D" w:themeColor="text2"/>
          <w:sz w:val="24"/>
          <w:szCs w:val="24"/>
        </w:rPr>
        <w:t xml:space="preserve"> tableau de budget</w:t>
      </w:r>
      <w:r w:rsidR="003D53C2" w:rsidRPr="00DE62B6">
        <w:rPr>
          <w:rFonts w:ascii="Times New Roman" w:hAnsi="Times New Roman" w:cs="Times New Roman"/>
          <w:b/>
          <w:color w:val="1F497D" w:themeColor="text2"/>
          <w:sz w:val="24"/>
          <w:szCs w:val="24"/>
        </w:rPr>
        <w:t xml:space="preserve"> tel que présenté sur le panneau de contrôle du </w:t>
      </w:r>
      <w:r w:rsidR="00C917FB" w:rsidRPr="00DE62B6">
        <w:rPr>
          <w:rFonts w:ascii="Times New Roman" w:hAnsi="Times New Roman" w:cs="Times New Roman"/>
          <w:b/>
          <w:color w:val="1F497D" w:themeColor="text2"/>
          <w:sz w:val="24"/>
          <w:szCs w:val="24"/>
        </w:rPr>
        <w:t>budget</w:t>
      </w:r>
      <w:r w:rsidR="009B3205" w:rsidRPr="00DE62B6">
        <w:rPr>
          <w:rFonts w:ascii="Times New Roman" w:hAnsi="Times New Roman" w:cs="Times New Roman"/>
          <w:b/>
          <w:color w:val="1F497D" w:themeColor="text2"/>
          <w:sz w:val="24"/>
          <w:szCs w:val="24"/>
        </w:rPr>
        <w:t>)</w:t>
      </w:r>
    </w:p>
    <w:p w:rsidR="00901F64" w:rsidRPr="00DE62B6" w:rsidRDefault="00901F64"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u w:val="single"/>
        </w:rPr>
      </w:pPr>
      <w:r w:rsidRPr="00DE62B6">
        <w:rPr>
          <w:rFonts w:ascii="Times New Roman" w:hAnsi="Times New Roman" w:cs="Times New Roman"/>
          <w:b/>
          <w:color w:val="1F497D" w:themeColor="text2"/>
          <w:sz w:val="24"/>
          <w:szCs w:val="24"/>
          <w:u w:val="single"/>
        </w:rPr>
        <w:t>Tableau</w:t>
      </w:r>
      <w:r w:rsidR="00F51A69">
        <w:rPr>
          <w:rFonts w:ascii="Times New Roman" w:hAnsi="Times New Roman" w:cs="Times New Roman"/>
          <w:b/>
          <w:color w:val="1F497D" w:themeColor="text2"/>
          <w:sz w:val="24"/>
          <w:szCs w:val="24"/>
          <w:u w:val="single"/>
        </w:rPr>
        <w:t xml:space="preserve"> corrigé</w:t>
      </w:r>
      <w:r w:rsidRPr="00DE62B6">
        <w:rPr>
          <w:rFonts w:ascii="Times New Roman" w:hAnsi="Times New Roman" w:cs="Times New Roman"/>
          <w:b/>
          <w:color w:val="1F497D" w:themeColor="text2"/>
          <w:sz w:val="24"/>
          <w:szCs w:val="24"/>
          <w:u w:val="single"/>
        </w:rPr>
        <w:t xml:space="preserve"> de</w:t>
      </w:r>
      <w:r w:rsidR="00F51A69">
        <w:rPr>
          <w:rFonts w:ascii="Times New Roman" w:hAnsi="Times New Roman" w:cs="Times New Roman"/>
          <w:b/>
          <w:color w:val="1F497D" w:themeColor="text2"/>
          <w:sz w:val="24"/>
          <w:szCs w:val="24"/>
          <w:u w:val="single"/>
        </w:rPr>
        <w:t>s</w:t>
      </w:r>
      <w:r w:rsidRPr="00DE62B6">
        <w:rPr>
          <w:rFonts w:ascii="Times New Roman" w:hAnsi="Times New Roman" w:cs="Times New Roman"/>
          <w:b/>
          <w:color w:val="1F497D" w:themeColor="text2"/>
          <w:sz w:val="24"/>
          <w:szCs w:val="24"/>
          <w:u w:val="single"/>
        </w:rPr>
        <w:t xml:space="preserve"> budget</w:t>
      </w:r>
      <w:r w:rsidR="00F51A69">
        <w:rPr>
          <w:rFonts w:ascii="Times New Roman" w:hAnsi="Times New Roman" w:cs="Times New Roman"/>
          <w:b/>
          <w:color w:val="1F497D" w:themeColor="text2"/>
          <w:sz w:val="24"/>
          <w:szCs w:val="24"/>
          <w:u w:val="single"/>
        </w:rPr>
        <w:t>s</w:t>
      </w:r>
      <w:r w:rsidRPr="00DE62B6">
        <w:rPr>
          <w:rFonts w:ascii="Times New Roman" w:hAnsi="Times New Roman" w:cs="Times New Roman"/>
          <w:b/>
          <w:color w:val="1F497D" w:themeColor="text2"/>
          <w:sz w:val="24"/>
          <w:szCs w:val="24"/>
          <w:u w:val="single"/>
        </w:rPr>
        <w:t xml:space="preserve"> annuel</w:t>
      </w:r>
      <w:r w:rsidR="00F51A69">
        <w:rPr>
          <w:rFonts w:ascii="Times New Roman" w:hAnsi="Times New Roman" w:cs="Times New Roman"/>
          <w:b/>
          <w:color w:val="1F497D" w:themeColor="text2"/>
          <w:sz w:val="24"/>
          <w:szCs w:val="24"/>
          <w:u w:val="single"/>
        </w:rPr>
        <w:t>s</w:t>
      </w:r>
      <w:r w:rsidRPr="00DE62B6">
        <w:rPr>
          <w:rFonts w:ascii="Times New Roman" w:hAnsi="Times New Roman" w:cs="Times New Roman"/>
          <w:b/>
          <w:color w:val="1F497D" w:themeColor="text2"/>
          <w:sz w:val="24"/>
          <w:szCs w:val="24"/>
          <w:u w:val="single"/>
        </w:rPr>
        <w:t>:</w:t>
      </w:r>
    </w:p>
    <w:tbl>
      <w:tblPr>
        <w:tblW w:w="8789"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5670"/>
        <w:gridCol w:w="3119"/>
      </w:tblGrid>
      <w:tr w:rsidR="009B3205" w:rsidRPr="00DE62B6" w:rsidTr="002668AE">
        <w:trPr>
          <w:trHeight w:val="199"/>
        </w:trPr>
        <w:tc>
          <w:tcPr>
            <w:tcW w:w="8789" w:type="dxa"/>
            <w:gridSpan w:val="2"/>
            <w:shd w:val="clear" w:color="000000" w:fill="FFFFFF"/>
            <w:noWrap/>
            <w:vAlign w:val="bottom"/>
            <w:hideMark/>
          </w:tcPr>
          <w:p w:rsidR="009B3205" w:rsidRPr="00DE62B6" w:rsidRDefault="009B3205" w:rsidP="00F51A69">
            <w:pPr>
              <w:rPr>
                <w:rFonts w:ascii="Times New Roman" w:hAnsi="Times New Roman" w:cs="Times New Roman"/>
                <w:sz w:val="24"/>
                <w:szCs w:val="24"/>
              </w:rPr>
            </w:pPr>
            <w:r w:rsidRPr="00F51A69">
              <w:rPr>
                <w:rFonts w:ascii="Times New Roman" w:eastAsia="Times New Roman" w:hAnsi="Times New Roman" w:cs="Times New Roman"/>
                <w:b/>
                <w:bCs/>
                <w:color w:val="1F497D"/>
                <w:szCs w:val="24"/>
                <w:lang w:eastAsia="fr-FR"/>
              </w:rPr>
              <w:t>Plafonds annuels du RSS (tels que communiqués par le Secrétariat de GAVI)</w:t>
            </w:r>
          </w:p>
        </w:tc>
      </w:tr>
      <w:tr w:rsidR="00522BD1" w:rsidRPr="00DE62B6" w:rsidTr="003D53C2">
        <w:trPr>
          <w:trHeight w:val="300"/>
        </w:trPr>
        <w:tc>
          <w:tcPr>
            <w:tcW w:w="5670" w:type="dxa"/>
            <w:shd w:val="clear" w:color="000000" w:fill="FFFFFF"/>
            <w:noWrap/>
            <w:vAlign w:val="bottom"/>
            <w:hideMark/>
          </w:tcPr>
          <w:p w:rsidR="009B3205" w:rsidRPr="00DE62B6" w:rsidRDefault="009B3205" w:rsidP="00DE62B6">
            <w:pPr>
              <w:spacing w:after="0" w:line="240" w:lineRule="auto"/>
              <w:rPr>
                <w:rFonts w:ascii="Times New Roman" w:eastAsia="Times New Roman" w:hAnsi="Times New Roman" w:cs="Times New Roman"/>
                <w:color w:val="808080"/>
                <w:sz w:val="24"/>
                <w:szCs w:val="24"/>
                <w:lang w:eastAsia="fr-FR"/>
              </w:rPr>
            </w:pPr>
            <w:r w:rsidRPr="00DE62B6">
              <w:rPr>
                <w:rFonts w:ascii="Times New Roman" w:eastAsia="Times New Roman" w:hAnsi="Times New Roman" w:cs="Times New Roman"/>
                <w:color w:val="808080"/>
                <w:sz w:val="24"/>
                <w:szCs w:val="24"/>
                <w:lang w:eastAsia="fr-FR"/>
              </w:rPr>
              <w:t>Année 1 (2015)</w:t>
            </w:r>
          </w:p>
        </w:tc>
        <w:tc>
          <w:tcPr>
            <w:tcW w:w="3119" w:type="dxa"/>
            <w:shd w:val="clear" w:color="000000" w:fill="FFFFFF"/>
            <w:noWrap/>
            <w:vAlign w:val="bottom"/>
            <w:hideMark/>
          </w:tcPr>
          <w:p w:rsidR="009B3205" w:rsidRPr="00DE62B6" w:rsidRDefault="009B3205" w:rsidP="00DE62B6">
            <w:pPr>
              <w:spacing w:after="0" w:line="240" w:lineRule="auto"/>
              <w:ind w:firstLineChars="100" w:firstLine="241"/>
              <w:jc w:val="right"/>
              <w:rPr>
                <w:rFonts w:ascii="Times New Roman" w:eastAsia="Times New Roman" w:hAnsi="Times New Roman" w:cs="Times New Roman"/>
                <w:b/>
                <w:bCs/>
                <w:color w:val="0070C0"/>
                <w:sz w:val="24"/>
                <w:szCs w:val="24"/>
                <w:lang w:eastAsia="fr-FR"/>
              </w:rPr>
            </w:pPr>
            <w:r w:rsidRPr="00DE62B6">
              <w:rPr>
                <w:rFonts w:ascii="Times New Roman" w:eastAsia="Times New Roman" w:hAnsi="Times New Roman" w:cs="Times New Roman"/>
                <w:b/>
                <w:bCs/>
                <w:color w:val="0070C0"/>
                <w:sz w:val="24"/>
                <w:szCs w:val="24"/>
                <w:lang w:eastAsia="fr-FR"/>
              </w:rPr>
              <w:t>4 800 000,0</w:t>
            </w:r>
          </w:p>
        </w:tc>
      </w:tr>
      <w:tr w:rsidR="00522BD1" w:rsidRPr="00DE62B6" w:rsidTr="003D53C2">
        <w:trPr>
          <w:trHeight w:val="199"/>
        </w:trPr>
        <w:tc>
          <w:tcPr>
            <w:tcW w:w="5670" w:type="dxa"/>
            <w:shd w:val="clear" w:color="000000" w:fill="FFFFFF"/>
            <w:noWrap/>
            <w:vAlign w:val="bottom"/>
            <w:hideMark/>
          </w:tcPr>
          <w:p w:rsidR="009B3205" w:rsidRPr="00DE62B6" w:rsidRDefault="009B3205" w:rsidP="00DE62B6">
            <w:pPr>
              <w:spacing w:after="0" w:line="240" w:lineRule="auto"/>
              <w:rPr>
                <w:rFonts w:ascii="Times New Roman" w:eastAsia="Times New Roman" w:hAnsi="Times New Roman" w:cs="Times New Roman"/>
                <w:color w:val="808080"/>
                <w:sz w:val="24"/>
                <w:szCs w:val="24"/>
                <w:lang w:eastAsia="fr-FR"/>
              </w:rPr>
            </w:pPr>
            <w:r w:rsidRPr="00DE62B6">
              <w:rPr>
                <w:rFonts w:ascii="Times New Roman" w:eastAsia="Times New Roman" w:hAnsi="Times New Roman" w:cs="Times New Roman"/>
                <w:color w:val="808080"/>
                <w:sz w:val="24"/>
                <w:szCs w:val="24"/>
                <w:lang w:eastAsia="fr-FR"/>
              </w:rPr>
              <w:t> </w:t>
            </w:r>
          </w:p>
        </w:tc>
        <w:tc>
          <w:tcPr>
            <w:tcW w:w="3119" w:type="dxa"/>
            <w:shd w:val="clear" w:color="000000" w:fill="FFFFFF"/>
            <w:noWrap/>
            <w:vAlign w:val="bottom"/>
            <w:hideMark/>
          </w:tcPr>
          <w:p w:rsidR="009B3205" w:rsidRPr="00DE62B6" w:rsidRDefault="009B3205" w:rsidP="00DE62B6">
            <w:pPr>
              <w:spacing w:after="0" w:line="240" w:lineRule="auto"/>
              <w:rPr>
                <w:rFonts w:ascii="Times New Roman" w:eastAsia="Times New Roman" w:hAnsi="Times New Roman" w:cs="Times New Roman"/>
                <w:color w:val="000000"/>
                <w:sz w:val="24"/>
                <w:szCs w:val="24"/>
                <w:lang w:eastAsia="fr-FR"/>
              </w:rPr>
            </w:pPr>
            <w:r w:rsidRPr="00DE62B6">
              <w:rPr>
                <w:rFonts w:ascii="Times New Roman" w:eastAsia="Times New Roman" w:hAnsi="Times New Roman" w:cs="Times New Roman"/>
                <w:color w:val="000000"/>
                <w:sz w:val="24"/>
                <w:szCs w:val="24"/>
                <w:lang w:eastAsia="fr-FR"/>
              </w:rPr>
              <w:t> </w:t>
            </w:r>
          </w:p>
        </w:tc>
      </w:tr>
      <w:tr w:rsidR="00522BD1" w:rsidRPr="00DE62B6" w:rsidTr="003D53C2">
        <w:trPr>
          <w:trHeight w:val="300"/>
        </w:trPr>
        <w:tc>
          <w:tcPr>
            <w:tcW w:w="5670" w:type="dxa"/>
            <w:shd w:val="clear" w:color="000000" w:fill="FFFFFF"/>
            <w:noWrap/>
            <w:vAlign w:val="bottom"/>
            <w:hideMark/>
          </w:tcPr>
          <w:p w:rsidR="009B3205" w:rsidRPr="00DE62B6" w:rsidRDefault="009B3205" w:rsidP="00DE62B6">
            <w:pPr>
              <w:spacing w:after="0" w:line="240" w:lineRule="auto"/>
              <w:rPr>
                <w:rFonts w:ascii="Times New Roman" w:eastAsia="Times New Roman" w:hAnsi="Times New Roman" w:cs="Times New Roman"/>
                <w:color w:val="808080"/>
                <w:sz w:val="24"/>
                <w:szCs w:val="24"/>
                <w:lang w:eastAsia="fr-FR"/>
              </w:rPr>
            </w:pPr>
            <w:r w:rsidRPr="00DE62B6">
              <w:rPr>
                <w:rFonts w:ascii="Times New Roman" w:eastAsia="Times New Roman" w:hAnsi="Times New Roman" w:cs="Times New Roman"/>
                <w:color w:val="808080"/>
                <w:sz w:val="24"/>
                <w:szCs w:val="24"/>
                <w:lang w:eastAsia="fr-FR"/>
              </w:rPr>
              <w:t>Année 2 (2016)</w:t>
            </w:r>
          </w:p>
        </w:tc>
        <w:tc>
          <w:tcPr>
            <w:tcW w:w="3119" w:type="dxa"/>
            <w:shd w:val="clear" w:color="000000" w:fill="FFFFFF"/>
            <w:noWrap/>
            <w:vAlign w:val="bottom"/>
            <w:hideMark/>
          </w:tcPr>
          <w:p w:rsidR="009B3205" w:rsidRPr="00DE62B6" w:rsidRDefault="009B3205" w:rsidP="00DE62B6">
            <w:pPr>
              <w:spacing w:after="0" w:line="240" w:lineRule="auto"/>
              <w:ind w:firstLineChars="100" w:firstLine="241"/>
              <w:jc w:val="right"/>
              <w:rPr>
                <w:rFonts w:ascii="Times New Roman" w:eastAsia="Times New Roman" w:hAnsi="Times New Roman" w:cs="Times New Roman"/>
                <w:b/>
                <w:bCs/>
                <w:color w:val="0070C0"/>
                <w:sz w:val="24"/>
                <w:szCs w:val="24"/>
                <w:lang w:eastAsia="fr-FR"/>
              </w:rPr>
            </w:pPr>
            <w:r w:rsidRPr="00DE62B6">
              <w:rPr>
                <w:rFonts w:ascii="Times New Roman" w:eastAsia="Times New Roman" w:hAnsi="Times New Roman" w:cs="Times New Roman"/>
                <w:b/>
                <w:bCs/>
                <w:color w:val="0070C0"/>
                <w:sz w:val="24"/>
                <w:szCs w:val="24"/>
                <w:lang w:eastAsia="fr-FR"/>
              </w:rPr>
              <w:t>3 840 000,0</w:t>
            </w:r>
          </w:p>
        </w:tc>
      </w:tr>
      <w:tr w:rsidR="00522BD1" w:rsidRPr="00DE62B6" w:rsidTr="003D53C2">
        <w:trPr>
          <w:trHeight w:val="199"/>
        </w:trPr>
        <w:tc>
          <w:tcPr>
            <w:tcW w:w="5670" w:type="dxa"/>
            <w:shd w:val="clear" w:color="000000" w:fill="FFFFFF"/>
            <w:noWrap/>
            <w:vAlign w:val="bottom"/>
            <w:hideMark/>
          </w:tcPr>
          <w:p w:rsidR="009B3205" w:rsidRPr="00DE62B6" w:rsidRDefault="009B3205" w:rsidP="00DE62B6">
            <w:pPr>
              <w:spacing w:after="0" w:line="240" w:lineRule="auto"/>
              <w:rPr>
                <w:rFonts w:ascii="Times New Roman" w:eastAsia="Times New Roman" w:hAnsi="Times New Roman" w:cs="Times New Roman"/>
                <w:color w:val="808080"/>
                <w:sz w:val="24"/>
                <w:szCs w:val="24"/>
                <w:lang w:eastAsia="fr-FR"/>
              </w:rPr>
            </w:pPr>
            <w:r w:rsidRPr="00DE62B6">
              <w:rPr>
                <w:rFonts w:ascii="Times New Roman" w:eastAsia="Times New Roman" w:hAnsi="Times New Roman" w:cs="Times New Roman"/>
                <w:color w:val="808080"/>
                <w:sz w:val="24"/>
                <w:szCs w:val="24"/>
                <w:lang w:eastAsia="fr-FR"/>
              </w:rPr>
              <w:t> </w:t>
            </w:r>
          </w:p>
        </w:tc>
        <w:tc>
          <w:tcPr>
            <w:tcW w:w="3119" w:type="dxa"/>
            <w:shd w:val="clear" w:color="000000" w:fill="FFFFFF"/>
            <w:noWrap/>
            <w:vAlign w:val="bottom"/>
            <w:hideMark/>
          </w:tcPr>
          <w:p w:rsidR="009B3205" w:rsidRPr="00DE62B6" w:rsidRDefault="009B3205" w:rsidP="00DE62B6">
            <w:pPr>
              <w:spacing w:after="0" w:line="240" w:lineRule="auto"/>
              <w:rPr>
                <w:rFonts w:ascii="Times New Roman" w:eastAsia="Times New Roman" w:hAnsi="Times New Roman" w:cs="Times New Roman"/>
                <w:color w:val="000000"/>
                <w:sz w:val="24"/>
                <w:szCs w:val="24"/>
                <w:lang w:eastAsia="fr-FR"/>
              </w:rPr>
            </w:pPr>
            <w:r w:rsidRPr="00DE62B6">
              <w:rPr>
                <w:rFonts w:ascii="Times New Roman" w:eastAsia="Times New Roman" w:hAnsi="Times New Roman" w:cs="Times New Roman"/>
                <w:color w:val="000000"/>
                <w:sz w:val="24"/>
                <w:szCs w:val="24"/>
                <w:lang w:eastAsia="fr-FR"/>
              </w:rPr>
              <w:t> </w:t>
            </w:r>
          </w:p>
        </w:tc>
      </w:tr>
      <w:tr w:rsidR="00522BD1" w:rsidRPr="00DE62B6" w:rsidTr="003D53C2">
        <w:trPr>
          <w:trHeight w:val="300"/>
        </w:trPr>
        <w:tc>
          <w:tcPr>
            <w:tcW w:w="5670" w:type="dxa"/>
            <w:shd w:val="clear" w:color="000000" w:fill="FFFFFF"/>
            <w:noWrap/>
            <w:vAlign w:val="bottom"/>
            <w:hideMark/>
          </w:tcPr>
          <w:p w:rsidR="009B3205" w:rsidRPr="00DE62B6" w:rsidRDefault="009B3205" w:rsidP="00DE62B6">
            <w:pPr>
              <w:spacing w:after="0" w:line="240" w:lineRule="auto"/>
              <w:rPr>
                <w:rFonts w:ascii="Times New Roman" w:eastAsia="Times New Roman" w:hAnsi="Times New Roman" w:cs="Times New Roman"/>
                <w:color w:val="808080"/>
                <w:sz w:val="24"/>
                <w:szCs w:val="24"/>
                <w:lang w:eastAsia="fr-FR"/>
              </w:rPr>
            </w:pPr>
            <w:r w:rsidRPr="00DE62B6">
              <w:rPr>
                <w:rFonts w:ascii="Times New Roman" w:eastAsia="Times New Roman" w:hAnsi="Times New Roman" w:cs="Times New Roman"/>
                <w:color w:val="808080"/>
                <w:sz w:val="24"/>
                <w:szCs w:val="24"/>
                <w:lang w:eastAsia="fr-FR"/>
              </w:rPr>
              <w:t>Année 3 (2017)</w:t>
            </w:r>
          </w:p>
        </w:tc>
        <w:tc>
          <w:tcPr>
            <w:tcW w:w="3119" w:type="dxa"/>
            <w:shd w:val="clear" w:color="000000" w:fill="FFFFFF"/>
            <w:noWrap/>
            <w:vAlign w:val="bottom"/>
            <w:hideMark/>
          </w:tcPr>
          <w:p w:rsidR="009B3205" w:rsidRPr="00DE62B6" w:rsidRDefault="009B3205" w:rsidP="00DE62B6">
            <w:pPr>
              <w:spacing w:after="0" w:line="240" w:lineRule="auto"/>
              <w:ind w:firstLineChars="100" w:firstLine="241"/>
              <w:jc w:val="right"/>
              <w:rPr>
                <w:rFonts w:ascii="Times New Roman" w:eastAsia="Times New Roman" w:hAnsi="Times New Roman" w:cs="Times New Roman"/>
                <w:b/>
                <w:bCs/>
                <w:color w:val="0070C0"/>
                <w:sz w:val="24"/>
                <w:szCs w:val="24"/>
                <w:lang w:eastAsia="fr-FR"/>
              </w:rPr>
            </w:pPr>
            <w:r w:rsidRPr="00DE62B6">
              <w:rPr>
                <w:rFonts w:ascii="Times New Roman" w:eastAsia="Times New Roman" w:hAnsi="Times New Roman" w:cs="Times New Roman"/>
                <w:b/>
                <w:bCs/>
                <w:color w:val="0070C0"/>
                <w:sz w:val="24"/>
                <w:szCs w:val="24"/>
                <w:lang w:eastAsia="fr-FR"/>
              </w:rPr>
              <w:t>3 840 000,0</w:t>
            </w:r>
          </w:p>
        </w:tc>
      </w:tr>
      <w:tr w:rsidR="00522BD1" w:rsidRPr="00DE62B6" w:rsidTr="003D53C2">
        <w:trPr>
          <w:trHeight w:val="300"/>
        </w:trPr>
        <w:tc>
          <w:tcPr>
            <w:tcW w:w="5670" w:type="dxa"/>
            <w:shd w:val="clear" w:color="000000" w:fill="FFFFFF"/>
            <w:noWrap/>
            <w:vAlign w:val="bottom"/>
            <w:hideMark/>
          </w:tcPr>
          <w:p w:rsidR="009B3205" w:rsidRPr="00DE62B6" w:rsidRDefault="009B3205" w:rsidP="00DE62B6">
            <w:pPr>
              <w:spacing w:after="0" w:line="240" w:lineRule="auto"/>
              <w:rPr>
                <w:rFonts w:ascii="Times New Roman" w:eastAsia="Times New Roman" w:hAnsi="Times New Roman" w:cs="Times New Roman"/>
                <w:color w:val="808080"/>
                <w:sz w:val="24"/>
                <w:szCs w:val="24"/>
                <w:lang w:eastAsia="fr-FR"/>
              </w:rPr>
            </w:pPr>
            <w:r w:rsidRPr="00DE62B6">
              <w:rPr>
                <w:rFonts w:ascii="Times New Roman" w:eastAsia="Times New Roman" w:hAnsi="Times New Roman" w:cs="Times New Roman"/>
                <w:color w:val="808080"/>
                <w:sz w:val="24"/>
                <w:szCs w:val="24"/>
                <w:lang w:eastAsia="fr-FR"/>
              </w:rPr>
              <w:t> </w:t>
            </w:r>
          </w:p>
        </w:tc>
        <w:tc>
          <w:tcPr>
            <w:tcW w:w="3119" w:type="dxa"/>
            <w:shd w:val="clear" w:color="000000" w:fill="FFFFFF"/>
            <w:noWrap/>
            <w:vAlign w:val="bottom"/>
            <w:hideMark/>
          </w:tcPr>
          <w:p w:rsidR="009B3205" w:rsidRPr="00DE62B6" w:rsidRDefault="009B3205" w:rsidP="00DE62B6">
            <w:pPr>
              <w:spacing w:after="0" w:line="240" w:lineRule="auto"/>
              <w:rPr>
                <w:rFonts w:ascii="Times New Roman" w:eastAsia="Times New Roman" w:hAnsi="Times New Roman" w:cs="Times New Roman"/>
                <w:color w:val="000000"/>
                <w:sz w:val="24"/>
                <w:szCs w:val="24"/>
                <w:lang w:eastAsia="fr-FR"/>
              </w:rPr>
            </w:pPr>
            <w:r w:rsidRPr="00DE62B6">
              <w:rPr>
                <w:rFonts w:ascii="Times New Roman" w:eastAsia="Times New Roman" w:hAnsi="Times New Roman" w:cs="Times New Roman"/>
                <w:color w:val="000000"/>
                <w:sz w:val="24"/>
                <w:szCs w:val="24"/>
                <w:lang w:eastAsia="fr-FR"/>
              </w:rPr>
              <w:t> </w:t>
            </w:r>
          </w:p>
        </w:tc>
      </w:tr>
      <w:tr w:rsidR="00522BD1" w:rsidRPr="00DE62B6" w:rsidTr="003D53C2">
        <w:trPr>
          <w:trHeight w:val="300"/>
        </w:trPr>
        <w:tc>
          <w:tcPr>
            <w:tcW w:w="5670" w:type="dxa"/>
            <w:shd w:val="clear" w:color="000000" w:fill="FFFFFF"/>
            <w:noWrap/>
            <w:vAlign w:val="bottom"/>
            <w:hideMark/>
          </w:tcPr>
          <w:p w:rsidR="009B3205" w:rsidRPr="00DE62B6" w:rsidRDefault="009B3205" w:rsidP="00DE62B6">
            <w:pPr>
              <w:spacing w:after="0" w:line="240" w:lineRule="auto"/>
              <w:rPr>
                <w:rFonts w:ascii="Times New Roman" w:eastAsia="Times New Roman" w:hAnsi="Times New Roman" w:cs="Times New Roman"/>
                <w:color w:val="808080"/>
                <w:sz w:val="24"/>
                <w:szCs w:val="24"/>
                <w:lang w:eastAsia="fr-FR"/>
              </w:rPr>
            </w:pPr>
            <w:r w:rsidRPr="00DE62B6">
              <w:rPr>
                <w:rFonts w:ascii="Times New Roman" w:eastAsia="Times New Roman" w:hAnsi="Times New Roman" w:cs="Times New Roman"/>
                <w:color w:val="808080"/>
                <w:sz w:val="24"/>
                <w:szCs w:val="24"/>
                <w:lang w:eastAsia="fr-FR"/>
              </w:rPr>
              <w:t>Année 4 (2018)</w:t>
            </w:r>
          </w:p>
        </w:tc>
        <w:tc>
          <w:tcPr>
            <w:tcW w:w="3119" w:type="dxa"/>
            <w:shd w:val="clear" w:color="000000" w:fill="FFFFFF"/>
            <w:noWrap/>
            <w:vAlign w:val="bottom"/>
            <w:hideMark/>
          </w:tcPr>
          <w:p w:rsidR="009B3205" w:rsidRPr="00DE62B6" w:rsidRDefault="009B3205" w:rsidP="00DE62B6">
            <w:pPr>
              <w:spacing w:after="0" w:line="240" w:lineRule="auto"/>
              <w:ind w:firstLineChars="100" w:firstLine="241"/>
              <w:jc w:val="right"/>
              <w:rPr>
                <w:rFonts w:ascii="Times New Roman" w:eastAsia="Times New Roman" w:hAnsi="Times New Roman" w:cs="Times New Roman"/>
                <w:b/>
                <w:bCs/>
                <w:color w:val="0070C0"/>
                <w:sz w:val="24"/>
                <w:szCs w:val="24"/>
                <w:lang w:eastAsia="fr-FR"/>
              </w:rPr>
            </w:pPr>
            <w:r w:rsidRPr="00DE62B6">
              <w:rPr>
                <w:rFonts w:ascii="Times New Roman" w:eastAsia="Times New Roman" w:hAnsi="Times New Roman" w:cs="Times New Roman"/>
                <w:b/>
                <w:bCs/>
                <w:color w:val="0070C0"/>
                <w:sz w:val="24"/>
                <w:szCs w:val="24"/>
                <w:lang w:eastAsia="fr-FR"/>
              </w:rPr>
              <w:t>3 840 000,0</w:t>
            </w:r>
          </w:p>
        </w:tc>
      </w:tr>
      <w:tr w:rsidR="00522BD1" w:rsidRPr="00DE62B6" w:rsidTr="003D53C2">
        <w:trPr>
          <w:trHeight w:val="300"/>
        </w:trPr>
        <w:tc>
          <w:tcPr>
            <w:tcW w:w="5670" w:type="dxa"/>
            <w:shd w:val="clear" w:color="000000" w:fill="FFFFFF"/>
            <w:noWrap/>
            <w:vAlign w:val="bottom"/>
            <w:hideMark/>
          </w:tcPr>
          <w:p w:rsidR="009B3205" w:rsidRPr="00DE62B6" w:rsidRDefault="009B3205" w:rsidP="00DE62B6">
            <w:pPr>
              <w:spacing w:after="0" w:line="240" w:lineRule="auto"/>
              <w:rPr>
                <w:rFonts w:ascii="Times New Roman" w:eastAsia="Times New Roman" w:hAnsi="Times New Roman" w:cs="Times New Roman"/>
                <w:color w:val="808080"/>
                <w:sz w:val="24"/>
                <w:szCs w:val="24"/>
                <w:lang w:eastAsia="fr-FR"/>
              </w:rPr>
            </w:pPr>
            <w:r w:rsidRPr="00DE62B6">
              <w:rPr>
                <w:rFonts w:ascii="Times New Roman" w:eastAsia="Times New Roman" w:hAnsi="Times New Roman" w:cs="Times New Roman"/>
                <w:color w:val="808080"/>
                <w:sz w:val="24"/>
                <w:szCs w:val="24"/>
                <w:lang w:eastAsia="fr-FR"/>
              </w:rPr>
              <w:t> </w:t>
            </w:r>
          </w:p>
        </w:tc>
        <w:tc>
          <w:tcPr>
            <w:tcW w:w="3119" w:type="dxa"/>
            <w:shd w:val="clear" w:color="000000" w:fill="FFFFFF"/>
            <w:noWrap/>
            <w:vAlign w:val="bottom"/>
            <w:hideMark/>
          </w:tcPr>
          <w:p w:rsidR="009B3205" w:rsidRPr="00DE62B6" w:rsidRDefault="009B3205" w:rsidP="00DE62B6">
            <w:pPr>
              <w:spacing w:after="0" w:line="240" w:lineRule="auto"/>
              <w:rPr>
                <w:rFonts w:ascii="Times New Roman" w:eastAsia="Times New Roman" w:hAnsi="Times New Roman" w:cs="Times New Roman"/>
                <w:color w:val="000000"/>
                <w:sz w:val="24"/>
                <w:szCs w:val="24"/>
                <w:lang w:eastAsia="fr-FR"/>
              </w:rPr>
            </w:pPr>
            <w:r w:rsidRPr="00DE62B6">
              <w:rPr>
                <w:rFonts w:ascii="Times New Roman" w:eastAsia="Times New Roman" w:hAnsi="Times New Roman" w:cs="Times New Roman"/>
                <w:color w:val="000000"/>
                <w:sz w:val="24"/>
                <w:szCs w:val="24"/>
                <w:lang w:eastAsia="fr-FR"/>
              </w:rPr>
              <w:t> </w:t>
            </w:r>
          </w:p>
        </w:tc>
      </w:tr>
      <w:tr w:rsidR="00522BD1" w:rsidRPr="00DE62B6" w:rsidTr="003D53C2">
        <w:trPr>
          <w:trHeight w:val="300"/>
        </w:trPr>
        <w:tc>
          <w:tcPr>
            <w:tcW w:w="5670" w:type="dxa"/>
            <w:shd w:val="clear" w:color="000000" w:fill="FFFFFF"/>
            <w:noWrap/>
            <w:vAlign w:val="bottom"/>
            <w:hideMark/>
          </w:tcPr>
          <w:p w:rsidR="009B3205" w:rsidRPr="00DE62B6" w:rsidRDefault="009B3205" w:rsidP="00DE62B6">
            <w:pPr>
              <w:spacing w:after="0" w:line="240" w:lineRule="auto"/>
              <w:rPr>
                <w:rFonts w:ascii="Times New Roman" w:eastAsia="Times New Roman" w:hAnsi="Times New Roman" w:cs="Times New Roman"/>
                <w:color w:val="808080"/>
                <w:sz w:val="24"/>
                <w:szCs w:val="24"/>
                <w:lang w:eastAsia="fr-FR"/>
              </w:rPr>
            </w:pPr>
            <w:r w:rsidRPr="00DE62B6">
              <w:rPr>
                <w:rFonts w:ascii="Times New Roman" w:eastAsia="Times New Roman" w:hAnsi="Times New Roman" w:cs="Times New Roman"/>
                <w:color w:val="808080"/>
                <w:sz w:val="24"/>
                <w:szCs w:val="24"/>
                <w:lang w:eastAsia="fr-FR"/>
              </w:rPr>
              <w:t>Année 5 (2019)</w:t>
            </w:r>
          </w:p>
        </w:tc>
        <w:tc>
          <w:tcPr>
            <w:tcW w:w="3119" w:type="dxa"/>
            <w:shd w:val="clear" w:color="000000" w:fill="FFFFFF"/>
            <w:noWrap/>
            <w:vAlign w:val="bottom"/>
            <w:hideMark/>
          </w:tcPr>
          <w:p w:rsidR="009B3205" w:rsidRPr="00DE62B6" w:rsidRDefault="009B3205" w:rsidP="00DE62B6">
            <w:pPr>
              <w:spacing w:after="0" w:line="240" w:lineRule="auto"/>
              <w:ind w:firstLineChars="100" w:firstLine="241"/>
              <w:jc w:val="right"/>
              <w:rPr>
                <w:rFonts w:ascii="Times New Roman" w:eastAsia="Times New Roman" w:hAnsi="Times New Roman" w:cs="Times New Roman"/>
                <w:b/>
                <w:bCs/>
                <w:color w:val="0070C0"/>
                <w:sz w:val="24"/>
                <w:szCs w:val="24"/>
                <w:lang w:eastAsia="fr-FR"/>
              </w:rPr>
            </w:pPr>
            <w:r w:rsidRPr="00DE62B6">
              <w:rPr>
                <w:rFonts w:ascii="Times New Roman" w:eastAsia="Times New Roman" w:hAnsi="Times New Roman" w:cs="Times New Roman"/>
                <w:b/>
                <w:bCs/>
                <w:color w:val="0070C0"/>
                <w:sz w:val="24"/>
                <w:szCs w:val="24"/>
                <w:lang w:eastAsia="fr-FR"/>
              </w:rPr>
              <w:t>3 840 000,0</w:t>
            </w:r>
          </w:p>
        </w:tc>
      </w:tr>
      <w:tr w:rsidR="00522BD1" w:rsidRPr="00DE62B6" w:rsidTr="003D53C2">
        <w:trPr>
          <w:trHeight w:val="300"/>
        </w:trPr>
        <w:tc>
          <w:tcPr>
            <w:tcW w:w="5670" w:type="dxa"/>
            <w:shd w:val="clear" w:color="000000" w:fill="FFFFFF"/>
            <w:noWrap/>
            <w:vAlign w:val="bottom"/>
            <w:hideMark/>
          </w:tcPr>
          <w:p w:rsidR="009B3205" w:rsidRPr="00DE62B6" w:rsidRDefault="009B3205" w:rsidP="00DE62B6">
            <w:pPr>
              <w:spacing w:after="0" w:line="240" w:lineRule="auto"/>
              <w:rPr>
                <w:rFonts w:ascii="Times New Roman" w:eastAsia="Times New Roman" w:hAnsi="Times New Roman" w:cs="Times New Roman"/>
                <w:color w:val="808080"/>
                <w:sz w:val="24"/>
                <w:szCs w:val="24"/>
                <w:lang w:eastAsia="fr-FR"/>
              </w:rPr>
            </w:pPr>
            <w:r w:rsidRPr="00DE62B6">
              <w:rPr>
                <w:rFonts w:ascii="Times New Roman" w:eastAsia="Times New Roman" w:hAnsi="Times New Roman" w:cs="Times New Roman"/>
                <w:color w:val="808080"/>
                <w:sz w:val="24"/>
                <w:szCs w:val="24"/>
                <w:lang w:eastAsia="fr-FR"/>
              </w:rPr>
              <w:t> </w:t>
            </w:r>
          </w:p>
        </w:tc>
        <w:tc>
          <w:tcPr>
            <w:tcW w:w="3119" w:type="dxa"/>
            <w:shd w:val="clear" w:color="000000" w:fill="FFFFFF"/>
            <w:noWrap/>
            <w:vAlign w:val="bottom"/>
            <w:hideMark/>
          </w:tcPr>
          <w:p w:rsidR="009B3205" w:rsidRPr="00DE62B6" w:rsidRDefault="009B3205" w:rsidP="00DE62B6">
            <w:pPr>
              <w:spacing w:after="0" w:line="240" w:lineRule="auto"/>
              <w:rPr>
                <w:rFonts w:ascii="Times New Roman" w:eastAsia="Times New Roman" w:hAnsi="Times New Roman" w:cs="Times New Roman"/>
                <w:color w:val="000000"/>
                <w:sz w:val="24"/>
                <w:szCs w:val="24"/>
                <w:lang w:eastAsia="fr-FR"/>
              </w:rPr>
            </w:pPr>
            <w:r w:rsidRPr="00DE62B6">
              <w:rPr>
                <w:rFonts w:ascii="Times New Roman" w:eastAsia="Times New Roman" w:hAnsi="Times New Roman" w:cs="Times New Roman"/>
                <w:color w:val="000000"/>
                <w:sz w:val="24"/>
                <w:szCs w:val="24"/>
                <w:lang w:eastAsia="fr-FR"/>
              </w:rPr>
              <w:t> </w:t>
            </w:r>
          </w:p>
        </w:tc>
      </w:tr>
      <w:tr w:rsidR="00522BD1" w:rsidRPr="00DE62B6" w:rsidTr="003D53C2">
        <w:trPr>
          <w:trHeight w:val="315"/>
        </w:trPr>
        <w:tc>
          <w:tcPr>
            <w:tcW w:w="5670" w:type="dxa"/>
            <w:shd w:val="clear" w:color="000000" w:fill="FFFFFF"/>
            <w:noWrap/>
            <w:vAlign w:val="bottom"/>
            <w:hideMark/>
          </w:tcPr>
          <w:p w:rsidR="009B3205" w:rsidRPr="00DE62B6" w:rsidRDefault="009B3205" w:rsidP="00DE62B6">
            <w:pPr>
              <w:spacing w:after="0" w:line="240" w:lineRule="auto"/>
              <w:rPr>
                <w:rFonts w:ascii="Times New Roman" w:eastAsia="Times New Roman" w:hAnsi="Times New Roman" w:cs="Times New Roman"/>
                <w:b/>
                <w:color w:val="808080"/>
                <w:sz w:val="24"/>
                <w:szCs w:val="24"/>
                <w:lang w:eastAsia="fr-FR"/>
              </w:rPr>
            </w:pPr>
            <w:r w:rsidRPr="00DE62B6">
              <w:rPr>
                <w:rFonts w:ascii="Times New Roman" w:eastAsia="Times New Roman" w:hAnsi="Times New Roman" w:cs="Times New Roman"/>
                <w:b/>
                <w:color w:val="808080"/>
                <w:sz w:val="24"/>
                <w:szCs w:val="24"/>
                <w:lang w:eastAsia="fr-FR"/>
              </w:rPr>
              <w:t>Total</w:t>
            </w:r>
          </w:p>
        </w:tc>
        <w:tc>
          <w:tcPr>
            <w:tcW w:w="3119" w:type="dxa"/>
            <w:shd w:val="clear" w:color="000000" w:fill="FFFFFF"/>
            <w:noWrap/>
            <w:vAlign w:val="bottom"/>
            <w:hideMark/>
          </w:tcPr>
          <w:p w:rsidR="009B3205" w:rsidRPr="00DE62B6" w:rsidRDefault="009B3205" w:rsidP="00DE62B6">
            <w:pPr>
              <w:spacing w:after="0" w:line="240" w:lineRule="auto"/>
              <w:jc w:val="right"/>
              <w:rPr>
                <w:rFonts w:ascii="Times New Roman" w:eastAsia="Times New Roman" w:hAnsi="Times New Roman" w:cs="Times New Roman"/>
                <w:b/>
                <w:bCs/>
                <w:color w:val="000000"/>
                <w:sz w:val="24"/>
                <w:szCs w:val="24"/>
                <w:lang w:eastAsia="fr-FR"/>
              </w:rPr>
            </w:pPr>
            <w:r w:rsidRPr="00DE62B6">
              <w:rPr>
                <w:rFonts w:ascii="Times New Roman" w:eastAsia="Times New Roman" w:hAnsi="Times New Roman" w:cs="Times New Roman"/>
                <w:b/>
                <w:bCs/>
                <w:color w:val="000000"/>
                <w:sz w:val="24"/>
                <w:szCs w:val="24"/>
                <w:lang w:eastAsia="fr-FR"/>
              </w:rPr>
              <w:t>20 160 000,0</w:t>
            </w:r>
          </w:p>
        </w:tc>
      </w:tr>
    </w:tbl>
    <w:p w:rsidR="009B3205" w:rsidRPr="00DE62B6" w:rsidRDefault="009B3205"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p>
    <w:p w:rsidR="00A350D4" w:rsidRPr="00DE62B6" w:rsidRDefault="00C9554B"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 xml:space="preserve">La part du budget des OSC dans le budget général est de </w:t>
      </w:r>
      <w:r w:rsidR="00F50EA9" w:rsidRPr="00DE62B6">
        <w:rPr>
          <w:rFonts w:ascii="Times New Roman" w:hAnsi="Times New Roman" w:cs="Times New Roman"/>
          <w:b/>
          <w:color w:val="1F497D" w:themeColor="text2"/>
          <w:sz w:val="24"/>
          <w:szCs w:val="24"/>
        </w:rPr>
        <w:t>9 283 847</w:t>
      </w:r>
      <w:r w:rsidR="0081280A" w:rsidRPr="00DE62B6">
        <w:rPr>
          <w:rFonts w:ascii="Times New Roman" w:hAnsi="Times New Roman" w:cs="Times New Roman"/>
          <w:b/>
          <w:color w:val="1F497D" w:themeColor="text2"/>
          <w:sz w:val="24"/>
          <w:szCs w:val="24"/>
        </w:rPr>
        <w:t>US $</w:t>
      </w:r>
      <w:r w:rsidR="00120D52" w:rsidRPr="00DE62B6">
        <w:rPr>
          <w:rFonts w:ascii="Times New Roman" w:hAnsi="Times New Roman" w:cs="Times New Roman"/>
          <w:b/>
          <w:color w:val="1F497D" w:themeColor="text2"/>
          <w:sz w:val="24"/>
          <w:szCs w:val="24"/>
        </w:rPr>
        <w:t>.C</w:t>
      </w:r>
      <w:r w:rsidR="007C364F" w:rsidRPr="00DE62B6">
        <w:rPr>
          <w:rFonts w:ascii="Times New Roman" w:hAnsi="Times New Roman" w:cs="Times New Roman"/>
          <w:b/>
          <w:color w:val="1F497D" w:themeColor="text2"/>
          <w:sz w:val="24"/>
          <w:szCs w:val="24"/>
        </w:rPr>
        <w:t xml:space="preserve">emontant </w:t>
      </w:r>
      <w:r w:rsidR="00120D52" w:rsidRPr="00DE62B6">
        <w:rPr>
          <w:rFonts w:ascii="Times New Roman" w:hAnsi="Times New Roman" w:cs="Times New Roman"/>
          <w:b/>
          <w:color w:val="1F497D" w:themeColor="text2"/>
          <w:sz w:val="24"/>
          <w:szCs w:val="24"/>
        </w:rPr>
        <w:t>sera utilisé pour</w:t>
      </w:r>
      <w:r w:rsidR="00A350D4" w:rsidRPr="00DE62B6">
        <w:rPr>
          <w:rFonts w:ascii="Times New Roman" w:hAnsi="Times New Roman" w:cs="Times New Roman"/>
          <w:b/>
          <w:color w:val="1F497D" w:themeColor="text2"/>
          <w:sz w:val="24"/>
          <w:szCs w:val="24"/>
        </w:rPr>
        <w:t xml:space="preserve"> :</w:t>
      </w:r>
    </w:p>
    <w:p w:rsidR="00A350D4" w:rsidRPr="00DE62B6" w:rsidRDefault="00120D52" w:rsidP="00DE62B6">
      <w:pPr>
        <w:pStyle w:val="Paragraphedeliste"/>
        <w:numPr>
          <w:ilvl w:val="0"/>
          <w:numId w:val="14"/>
        </w:num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 xml:space="preserve">le </w:t>
      </w:r>
      <w:r w:rsidR="00DB7E25" w:rsidRPr="00DE62B6">
        <w:rPr>
          <w:rFonts w:ascii="Times New Roman" w:hAnsi="Times New Roman" w:cs="Times New Roman"/>
          <w:b/>
          <w:color w:val="1F497D" w:themeColor="text2"/>
          <w:sz w:val="24"/>
          <w:szCs w:val="24"/>
        </w:rPr>
        <w:t>financement des contrats de performances avec l</w:t>
      </w:r>
      <w:r w:rsidR="000705CD" w:rsidRPr="00DE62B6">
        <w:rPr>
          <w:rFonts w:ascii="Times New Roman" w:hAnsi="Times New Roman" w:cs="Times New Roman"/>
          <w:b/>
          <w:color w:val="1F497D" w:themeColor="text2"/>
          <w:sz w:val="24"/>
          <w:szCs w:val="24"/>
        </w:rPr>
        <w:t>es OSC</w:t>
      </w:r>
      <w:r w:rsidR="00E64FB9" w:rsidRPr="00DE62B6">
        <w:rPr>
          <w:rFonts w:ascii="Times New Roman" w:hAnsi="Times New Roman" w:cs="Times New Roman"/>
          <w:b/>
          <w:color w:val="1F497D" w:themeColor="text2"/>
          <w:sz w:val="24"/>
          <w:szCs w:val="24"/>
        </w:rPr>
        <w:t xml:space="preserve"> afin de </w:t>
      </w:r>
      <w:r w:rsidR="00C51573" w:rsidRPr="00DE62B6">
        <w:rPr>
          <w:rFonts w:ascii="Times New Roman" w:hAnsi="Times New Roman" w:cs="Times New Roman"/>
          <w:b/>
          <w:color w:val="1F497D" w:themeColor="text2"/>
          <w:sz w:val="24"/>
          <w:szCs w:val="24"/>
        </w:rPr>
        <w:t xml:space="preserve">servir les zones </w:t>
      </w:r>
      <w:r w:rsidR="00056932" w:rsidRPr="00DE62B6">
        <w:rPr>
          <w:rFonts w:ascii="Times New Roman" w:hAnsi="Times New Roman" w:cs="Times New Roman"/>
          <w:b/>
          <w:color w:val="1F497D" w:themeColor="text2"/>
          <w:sz w:val="24"/>
          <w:szCs w:val="24"/>
        </w:rPr>
        <w:t>d'insécurité du pays</w:t>
      </w:r>
      <w:r w:rsidR="00E64FB9" w:rsidRPr="00DE62B6">
        <w:rPr>
          <w:rFonts w:ascii="Times New Roman" w:hAnsi="Times New Roman" w:cs="Times New Roman"/>
          <w:b/>
          <w:color w:val="1F497D" w:themeColor="text2"/>
          <w:sz w:val="24"/>
          <w:szCs w:val="24"/>
        </w:rPr>
        <w:t xml:space="preserve"> dans le cadre de l'équité </w:t>
      </w:r>
      <w:r w:rsidR="00056932" w:rsidRPr="00DE62B6">
        <w:rPr>
          <w:rFonts w:ascii="Times New Roman" w:hAnsi="Times New Roman" w:cs="Times New Roman"/>
          <w:b/>
          <w:color w:val="1F497D" w:themeColor="text2"/>
          <w:sz w:val="24"/>
          <w:szCs w:val="24"/>
        </w:rPr>
        <w:t>géographique</w:t>
      </w:r>
      <w:r w:rsidR="00A350D4" w:rsidRPr="00DE62B6">
        <w:rPr>
          <w:rFonts w:ascii="Times New Roman" w:hAnsi="Times New Roman" w:cs="Times New Roman"/>
          <w:b/>
          <w:color w:val="1F497D" w:themeColor="text2"/>
          <w:sz w:val="24"/>
          <w:szCs w:val="24"/>
        </w:rPr>
        <w:t xml:space="preserve"> ;</w:t>
      </w:r>
    </w:p>
    <w:p w:rsidR="008E1052" w:rsidRPr="00DE62B6" w:rsidRDefault="00A33B50" w:rsidP="00DE62B6">
      <w:pPr>
        <w:pStyle w:val="Paragraphedeliste"/>
        <w:numPr>
          <w:ilvl w:val="0"/>
          <w:numId w:val="14"/>
        </w:num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l</w:t>
      </w:r>
      <w:r w:rsidR="00A350D4" w:rsidRPr="00DE62B6">
        <w:rPr>
          <w:rFonts w:ascii="Times New Roman" w:hAnsi="Times New Roman" w:cs="Times New Roman"/>
          <w:b/>
          <w:color w:val="1F497D" w:themeColor="text2"/>
          <w:sz w:val="24"/>
          <w:szCs w:val="24"/>
        </w:rPr>
        <w:t xml:space="preserve">e paiement des dépenses liées </w:t>
      </w:r>
      <w:r w:rsidR="008E1052" w:rsidRPr="00DE62B6">
        <w:rPr>
          <w:rFonts w:ascii="Times New Roman" w:hAnsi="Times New Roman" w:cs="Times New Roman"/>
          <w:b/>
          <w:color w:val="1F497D" w:themeColor="text2"/>
          <w:sz w:val="24"/>
          <w:szCs w:val="24"/>
        </w:rPr>
        <w:t>à la vaccination en</w:t>
      </w:r>
      <w:r w:rsidR="00A350D4" w:rsidRPr="00DE62B6">
        <w:rPr>
          <w:rFonts w:ascii="Times New Roman" w:hAnsi="Times New Roman" w:cs="Times New Roman"/>
          <w:b/>
          <w:color w:val="1F497D" w:themeColor="text2"/>
          <w:sz w:val="24"/>
          <w:szCs w:val="24"/>
        </w:rPr>
        <w:t xml:space="preserve"> stratégie</w:t>
      </w:r>
      <w:r w:rsidR="008E1052" w:rsidRPr="00DE62B6">
        <w:rPr>
          <w:rFonts w:ascii="Times New Roman" w:hAnsi="Times New Roman" w:cs="Times New Roman"/>
          <w:b/>
          <w:color w:val="1F497D" w:themeColor="text2"/>
          <w:sz w:val="24"/>
          <w:szCs w:val="24"/>
        </w:rPr>
        <w:t xml:space="preserve"> avancées ;</w:t>
      </w:r>
    </w:p>
    <w:p w:rsidR="008E1052" w:rsidRPr="00DE62B6" w:rsidRDefault="00A33B50" w:rsidP="00DE62B6">
      <w:pPr>
        <w:pStyle w:val="Paragraphedeliste"/>
        <w:numPr>
          <w:ilvl w:val="0"/>
          <w:numId w:val="14"/>
        </w:num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l</w:t>
      </w:r>
      <w:r w:rsidR="008E1052" w:rsidRPr="00DE62B6">
        <w:rPr>
          <w:rFonts w:ascii="Times New Roman" w:hAnsi="Times New Roman" w:cs="Times New Roman"/>
          <w:b/>
          <w:color w:val="1F497D" w:themeColor="text2"/>
          <w:sz w:val="24"/>
          <w:szCs w:val="24"/>
        </w:rPr>
        <w:t xml:space="preserve">e paiement des primes de motivation des agents </w:t>
      </w:r>
      <w:r w:rsidR="00CD0F4F" w:rsidRPr="00DE62B6">
        <w:rPr>
          <w:rFonts w:ascii="Times New Roman" w:hAnsi="Times New Roman" w:cs="Times New Roman"/>
          <w:b/>
          <w:color w:val="1F497D" w:themeColor="text2"/>
          <w:sz w:val="24"/>
          <w:szCs w:val="24"/>
        </w:rPr>
        <w:t>dans les zones enclavées</w:t>
      </w:r>
      <w:r w:rsidR="008E1052" w:rsidRPr="00DE62B6">
        <w:rPr>
          <w:rFonts w:ascii="Times New Roman" w:hAnsi="Times New Roman" w:cs="Times New Roman"/>
          <w:b/>
          <w:color w:val="1F497D" w:themeColor="text2"/>
          <w:sz w:val="24"/>
          <w:szCs w:val="24"/>
        </w:rPr>
        <w:t>;</w:t>
      </w:r>
    </w:p>
    <w:p w:rsidR="00CD0F4F" w:rsidRPr="00DE62B6" w:rsidRDefault="00A33B50" w:rsidP="00DE62B6">
      <w:pPr>
        <w:pStyle w:val="Paragraphedeliste"/>
        <w:numPr>
          <w:ilvl w:val="0"/>
          <w:numId w:val="14"/>
        </w:num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l</w:t>
      </w:r>
      <w:r w:rsidR="007C1958" w:rsidRPr="00DE62B6">
        <w:rPr>
          <w:rFonts w:ascii="Times New Roman" w:hAnsi="Times New Roman" w:cs="Times New Roman"/>
          <w:b/>
          <w:color w:val="1F497D" w:themeColor="text2"/>
          <w:sz w:val="24"/>
          <w:szCs w:val="24"/>
        </w:rPr>
        <w:t>a prise en charge du salaire et charges sociales des médecins au niveau des CSCom</w:t>
      </w:r>
      <w:r w:rsidR="00CD0F4F" w:rsidRPr="00DE62B6">
        <w:rPr>
          <w:rFonts w:ascii="Times New Roman" w:hAnsi="Times New Roman" w:cs="Times New Roman"/>
          <w:b/>
          <w:color w:val="1F497D" w:themeColor="text2"/>
          <w:sz w:val="24"/>
          <w:szCs w:val="24"/>
        </w:rPr>
        <w:t xml:space="preserve"> ;</w:t>
      </w:r>
    </w:p>
    <w:p w:rsidR="00E774E9" w:rsidRPr="00DE62B6" w:rsidRDefault="00A3528D" w:rsidP="00DE62B6">
      <w:pPr>
        <w:pStyle w:val="Paragraphedeliste"/>
        <w:numPr>
          <w:ilvl w:val="0"/>
          <w:numId w:val="14"/>
        </w:num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le financement basé sur les résultats (FBR) avec les OSC.</w:t>
      </w:r>
    </w:p>
    <w:p w:rsidR="00E447C3" w:rsidRPr="00DE62B6" w:rsidRDefault="005519A9"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Le bureau du ministre de la santé</w:t>
      </w:r>
      <w:r w:rsidR="00A805BF" w:rsidRPr="00DE62B6">
        <w:rPr>
          <w:rFonts w:ascii="Times New Roman" w:hAnsi="Times New Roman" w:cs="Times New Roman"/>
          <w:b/>
          <w:color w:val="1F497D" w:themeColor="text2"/>
          <w:sz w:val="24"/>
          <w:szCs w:val="24"/>
        </w:rPr>
        <w:t xml:space="preserve"> et de l'hygiène publique</w:t>
      </w:r>
      <w:r w:rsidR="00F51A69">
        <w:rPr>
          <w:rFonts w:ascii="Times New Roman" w:hAnsi="Times New Roman" w:cs="Times New Roman"/>
          <w:b/>
          <w:color w:val="1F497D" w:themeColor="text2"/>
          <w:sz w:val="24"/>
          <w:szCs w:val="24"/>
        </w:rPr>
        <w:t xml:space="preserve"> </w:t>
      </w:r>
      <w:r w:rsidR="00771F6F" w:rsidRPr="00DE62B6">
        <w:rPr>
          <w:rFonts w:ascii="Times New Roman" w:hAnsi="Times New Roman" w:cs="Times New Roman"/>
          <w:b/>
          <w:color w:val="1F497D" w:themeColor="text2"/>
          <w:sz w:val="24"/>
          <w:szCs w:val="24"/>
        </w:rPr>
        <w:t xml:space="preserve">(secrétariat général du Ministère de la </w:t>
      </w:r>
      <w:r w:rsidR="003839C7" w:rsidRPr="00DE62B6">
        <w:rPr>
          <w:rFonts w:ascii="Times New Roman" w:hAnsi="Times New Roman" w:cs="Times New Roman"/>
          <w:b/>
          <w:color w:val="1F497D" w:themeColor="text2"/>
          <w:sz w:val="24"/>
          <w:szCs w:val="24"/>
        </w:rPr>
        <w:t>Santé et de l'Hygiène Publique) a ap</w:t>
      </w:r>
      <w:r w:rsidR="00FB53BD" w:rsidRPr="00DE62B6">
        <w:rPr>
          <w:rFonts w:ascii="Times New Roman" w:hAnsi="Times New Roman" w:cs="Times New Roman"/>
          <w:b/>
          <w:color w:val="1F497D" w:themeColor="text2"/>
          <w:sz w:val="24"/>
          <w:szCs w:val="24"/>
        </w:rPr>
        <w:t xml:space="preserve">prouvé la demande de soutien au </w:t>
      </w:r>
      <w:r w:rsidR="003839C7" w:rsidRPr="00DE62B6">
        <w:rPr>
          <w:rFonts w:ascii="Times New Roman" w:hAnsi="Times New Roman" w:cs="Times New Roman"/>
          <w:b/>
          <w:color w:val="1F497D" w:themeColor="text2"/>
          <w:sz w:val="24"/>
          <w:szCs w:val="24"/>
        </w:rPr>
        <w:t>renforcement du système de san</w:t>
      </w:r>
      <w:r w:rsidR="00E52A37" w:rsidRPr="00DE62B6">
        <w:rPr>
          <w:rFonts w:ascii="Times New Roman" w:hAnsi="Times New Roman" w:cs="Times New Roman"/>
          <w:b/>
          <w:color w:val="1F497D" w:themeColor="text2"/>
          <w:sz w:val="24"/>
          <w:szCs w:val="24"/>
        </w:rPr>
        <w:t xml:space="preserve">té </w:t>
      </w:r>
      <w:r w:rsidR="003A3238" w:rsidRPr="00DE62B6">
        <w:rPr>
          <w:rFonts w:ascii="Times New Roman" w:hAnsi="Times New Roman" w:cs="Times New Roman"/>
          <w:b/>
          <w:color w:val="1F497D" w:themeColor="text2"/>
          <w:sz w:val="24"/>
          <w:szCs w:val="24"/>
        </w:rPr>
        <w:t>à travers</w:t>
      </w:r>
      <w:r w:rsidR="00E52A37" w:rsidRPr="00DE62B6">
        <w:rPr>
          <w:rFonts w:ascii="Times New Roman" w:hAnsi="Times New Roman" w:cs="Times New Roman"/>
          <w:b/>
          <w:color w:val="1F497D" w:themeColor="text2"/>
          <w:sz w:val="24"/>
          <w:szCs w:val="24"/>
        </w:rPr>
        <w:t xml:space="preserve"> la signature </w:t>
      </w:r>
      <w:r w:rsidRPr="00DE62B6">
        <w:rPr>
          <w:rFonts w:ascii="Times New Roman" w:hAnsi="Times New Roman" w:cs="Times New Roman"/>
          <w:b/>
          <w:color w:val="1F497D" w:themeColor="text2"/>
          <w:sz w:val="24"/>
          <w:szCs w:val="24"/>
        </w:rPr>
        <w:t>du</w:t>
      </w:r>
      <w:r w:rsidR="00F51A69">
        <w:rPr>
          <w:rFonts w:ascii="Times New Roman" w:hAnsi="Times New Roman" w:cs="Times New Roman"/>
          <w:b/>
          <w:color w:val="1F497D" w:themeColor="text2"/>
          <w:sz w:val="24"/>
          <w:szCs w:val="24"/>
        </w:rPr>
        <w:t xml:space="preserve"> </w:t>
      </w:r>
      <w:r w:rsidR="00E52A37" w:rsidRPr="00DE62B6">
        <w:rPr>
          <w:rFonts w:ascii="Times New Roman" w:hAnsi="Times New Roman" w:cs="Times New Roman"/>
          <w:b/>
          <w:color w:val="1F497D" w:themeColor="text2"/>
          <w:sz w:val="24"/>
          <w:szCs w:val="24"/>
        </w:rPr>
        <w:t>premier responsable</w:t>
      </w:r>
      <w:r w:rsidR="00F51A69">
        <w:rPr>
          <w:rFonts w:ascii="Times New Roman" w:hAnsi="Times New Roman" w:cs="Times New Roman"/>
          <w:b/>
          <w:color w:val="1F497D" w:themeColor="text2"/>
          <w:sz w:val="24"/>
          <w:szCs w:val="24"/>
        </w:rPr>
        <w:t xml:space="preserve"> </w:t>
      </w:r>
      <w:r w:rsidR="00A805BF" w:rsidRPr="00DE62B6">
        <w:rPr>
          <w:rFonts w:ascii="Times New Roman" w:hAnsi="Times New Roman" w:cs="Times New Roman"/>
          <w:b/>
          <w:color w:val="1F497D" w:themeColor="text2"/>
          <w:sz w:val="24"/>
          <w:szCs w:val="24"/>
        </w:rPr>
        <w:t>du département</w:t>
      </w:r>
      <w:r w:rsidR="00E52A37" w:rsidRPr="00DE62B6">
        <w:rPr>
          <w:rFonts w:ascii="Times New Roman" w:hAnsi="Times New Roman" w:cs="Times New Roman"/>
          <w:b/>
          <w:color w:val="1F497D" w:themeColor="text2"/>
          <w:sz w:val="24"/>
          <w:szCs w:val="24"/>
        </w:rPr>
        <w:t xml:space="preserve">. </w:t>
      </w:r>
      <w:r w:rsidR="006C3602" w:rsidRPr="00DE62B6">
        <w:rPr>
          <w:rFonts w:ascii="Times New Roman" w:hAnsi="Times New Roman" w:cs="Times New Roman"/>
          <w:b/>
          <w:color w:val="1F497D" w:themeColor="text2"/>
          <w:sz w:val="24"/>
          <w:szCs w:val="24"/>
        </w:rPr>
        <w:t>Le Plan</w:t>
      </w:r>
      <w:r w:rsidR="00165EFF" w:rsidRPr="00DE62B6">
        <w:rPr>
          <w:rFonts w:ascii="Times New Roman" w:hAnsi="Times New Roman" w:cs="Times New Roman"/>
          <w:b/>
          <w:color w:val="1F497D" w:themeColor="text2"/>
          <w:sz w:val="24"/>
          <w:szCs w:val="24"/>
        </w:rPr>
        <w:t xml:space="preserve"> de Travail Annuel</w:t>
      </w:r>
      <w:r w:rsidR="004D66CC" w:rsidRPr="00DE62B6">
        <w:rPr>
          <w:rFonts w:ascii="Times New Roman" w:hAnsi="Times New Roman" w:cs="Times New Roman"/>
          <w:b/>
          <w:color w:val="1F497D" w:themeColor="text2"/>
          <w:sz w:val="24"/>
          <w:szCs w:val="24"/>
        </w:rPr>
        <w:t xml:space="preserve"> (PTA)</w:t>
      </w:r>
      <w:r w:rsidR="00165EFF" w:rsidRPr="00DE62B6">
        <w:rPr>
          <w:rFonts w:ascii="Times New Roman" w:hAnsi="Times New Roman" w:cs="Times New Roman"/>
          <w:b/>
          <w:color w:val="1F497D" w:themeColor="text2"/>
          <w:sz w:val="24"/>
          <w:szCs w:val="24"/>
        </w:rPr>
        <w:t xml:space="preserve"> est aussi apprécié</w:t>
      </w:r>
      <w:r w:rsidR="005A3295" w:rsidRPr="00DE62B6">
        <w:rPr>
          <w:rFonts w:ascii="Times New Roman" w:hAnsi="Times New Roman" w:cs="Times New Roman"/>
          <w:b/>
          <w:color w:val="1F497D" w:themeColor="text2"/>
          <w:sz w:val="24"/>
          <w:szCs w:val="24"/>
        </w:rPr>
        <w:t xml:space="preserve"> et validé</w:t>
      </w:r>
      <w:r w:rsidR="00165EFF" w:rsidRPr="00DE62B6">
        <w:rPr>
          <w:rFonts w:ascii="Times New Roman" w:hAnsi="Times New Roman" w:cs="Times New Roman"/>
          <w:b/>
          <w:color w:val="1F497D" w:themeColor="text2"/>
          <w:sz w:val="24"/>
          <w:szCs w:val="24"/>
        </w:rPr>
        <w:t xml:space="preserve"> par le secrétariat général</w:t>
      </w:r>
      <w:r w:rsidR="005A3295" w:rsidRPr="00DE62B6">
        <w:rPr>
          <w:rFonts w:ascii="Times New Roman" w:hAnsi="Times New Roman" w:cs="Times New Roman"/>
          <w:b/>
          <w:color w:val="1F497D" w:themeColor="text2"/>
          <w:sz w:val="24"/>
          <w:szCs w:val="24"/>
        </w:rPr>
        <w:t xml:space="preserve">. Ainsi, l'exécution budgétaire </w:t>
      </w:r>
      <w:r w:rsidR="00CA74D9" w:rsidRPr="00DE62B6">
        <w:rPr>
          <w:rFonts w:ascii="Times New Roman" w:hAnsi="Times New Roman" w:cs="Times New Roman"/>
          <w:b/>
          <w:color w:val="1F497D" w:themeColor="text2"/>
          <w:sz w:val="24"/>
          <w:szCs w:val="24"/>
        </w:rPr>
        <w:t xml:space="preserve">de la proposition </w:t>
      </w:r>
      <w:r w:rsidR="005A3295" w:rsidRPr="00DE62B6">
        <w:rPr>
          <w:rFonts w:ascii="Times New Roman" w:hAnsi="Times New Roman" w:cs="Times New Roman"/>
          <w:b/>
          <w:color w:val="1F497D" w:themeColor="text2"/>
          <w:sz w:val="24"/>
          <w:szCs w:val="24"/>
        </w:rPr>
        <w:t>est fait</w:t>
      </w:r>
      <w:r w:rsidR="00E447C3" w:rsidRPr="00DE62B6">
        <w:rPr>
          <w:rFonts w:ascii="Times New Roman" w:hAnsi="Times New Roman" w:cs="Times New Roman"/>
          <w:b/>
          <w:color w:val="1F497D" w:themeColor="text2"/>
          <w:sz w:val="24"/>
          <w:szCs w:val="24"/>
        </w:rPr>
        <w:t>e</w:t>
      </w:r>
      <w:r w:rsidR="00F51A69">
        <w:rPr>
          <w:rFonts w:ascii="Times New Roman" w:hAnsi="Times New Roman" w:cs="Times New Roman"/>
          <w:b/>
          <w:color w:val="1F497D" w:themeColor="text2"/>
          <w:sz w:val="24"/>
          <w:szCs w:val="24"/>
        </w:rPr>
        <w:t xml:space="preserve"> </w:t>
      </w:r>
      <w:r w:rsidR="00B30251" w:rsidRPr="00DE62B6">
        <w:rPr>
          <w:rFonts w:ascii="Times New Roman" w:hAnsi="Times New Roman" w:cs="Times New Roman"/>
          <w:b/>
          <w:color w:val="1F497D" w:themeColor="text2"/>
          <w:sz w:val="24"/>
          <w:szCs w:val="24"/>
        </w:rPr>
        <w:t xml:space="preserve">suivant </w:t>
      </w:r>
      <w:r w:rsidR="00CA74D9" w:rsidRPr="00DE62B6">
        <w:rPr>
          <w:rFonts w:ascii="Times New Roman" w:hAnsi="Times New Roman" w:cs="Times New Roman"/>
          <w:b/>
          <w:color w:val="1F497D" w:themeColor="text2"/>
          <w:sz w:val="24"/>
          <w:szCs w:val="24"/>
        </w:rPr>
        <w:t>des</w:t>
      </w:r>
      <w:r w:rsidR="00E95B67" w:rsidRPr="00DE62B6">
        <w:rPr>
          <w:rFonts w:ascii="Times New Roman" w:hAnsi="Times New Roman" w:cs="Times New Roman"/>
          <w:b/>
          <w:color w:val="1F497D" w:themeColor="text2"/>
          <w:sz w:val="24"/>
          <w:szCs w:val="24"/>
        </w:rPr>
        <w:t xml:space="preserve"> projets de</w:t>
      </w:r>
      <w:r w:rsidR="008F7320" w:rsidRPr="00DE62B6">
        <w:rPr>
          <w:rFonts w:ascii="Times New Roman" w:hAnsi="Times New Roman" w:cs="Times New Roman"/>
          <w:b/>
          <w:color w:val="1F497D" w:themeColor="text2"/>
          <w:sz w:val="24"/>
          <w:szCs w:val="24"/>
        </w:rPr>
        <w:t xml:space="preserve"> requête</w:t>
      </w:r>
      <w:r w:rsidR="00CA74D9" w:rsidRPr="00DE62B6">
        <w:rPr>
          <w:rFonts w:ascii="Times New Roman" w:hAnsi="Times New Roman" w:cs="Times New Roman"/>
          <w:b/>
          <w:color w:val="1F497D" w:themeColor="text2"/>
          <w:sz w:val="24"/>
          <w:szCs w:val="24"/>
        </w:rPr>
        <w:t>s</w:t>
      </w:r>
      <w:r w:rsidR="00A91A98" w:rsidRPr="00DE62B6">
        <w:rPr>
          <w:rFonts w:ascii="Times New Roman" w:hAnsi="Times New Roman" w:cs="Times New Roman"/>
          <w:b/>
          <w:color w:val="1F497D" w:themeColor="text2"/>
          <w:sz w:val="24"/>
          <w:szCs w:val="24"/>
        </w:rPr>
        <w:t xml:space="preserve"> conformément au plan</w:t>
      </w:r>
      <w:r w:rsidR="00701BE9" w:rsidRPr="00DE62B6">
        <w:rPr>
          <w:rFonts w:ascii="Times New Roman" w:hAnsi="Times New Roman" w:cs="Times New Roman"/>
          <w:b/>
          <w:color w:val="1F497D" w:themeColor="text2"/>
          <w:sz w:val="24"/>
          <w:szCs w:val="24"/>
        </w:rPr>
        <w:t xml:space="preserve"> de travail, </w:t>
      </w:r>
      <w:r w:rsidR="00B27963" w:rsidRPr="00DE62B6">
        <w:rPr>
          <w:rFonts w:ascii="Times New Roman" w:hAnsi="Times New Roman" w:cs="Times New Roman"/>
          <w:b/>
          <w:color w:val="1F497D" w:themeColor="text2"/>
          <w:sz w:val="24"/>
          <w:szCs w:val="24"/>
        </w:rPr>
        <w:t xml:space="preserve">que la Cellule de Planification et de Statistique (CPS) </w:t>
      </w:r>
      <w:r w:rsidR="00E95B67" w:rsidRPr="00DE62B6">
        <w:rPr>
          <w:rFonts w:ascii="Times New Roman" w:hAnsi="Times New Roman" w:cs="Times New Roman"/>
          <w:b/>
          <w:color w:val="1F497D" w:themeColor="text2"/>
          <w:sz w:val="24"/>
          <w:szCs w:val="24"/>
        </w:rPr>
        <w:t xml:space="preserve">soumet </w:t>
      </w:r>
      <w:r w:rsidR="00701BE9" w:rsidRPr="00DE62B6">
        <w:rPr>
          <w:rFonts w:ascii="Times New Roman" w:hAnsi="Times New Roman" w:cs="Times New Roman"/>
          <w:b/>
          <w:color w:val="1F497D" w:themeColor="text2"/>
          <w:sz w:val="24"/>
          <w:szCs w:val="24"/>
        </w:rPr>
        <w:t xml:space="preserve">d'abord </w:t>
      </w:r>
      <w:r w:rsidR="00DC5A90" w:rsidRPr="00DE62B6">
        <w:rPr>
          <w:rFonts w:ascii="Times New Roman" w:hAnsi="Times New Roman" w:cs="Times New Roman"/>
          <w:b/>
          <w:color w:val="1F497D" w:themeColor="text2"/>
          <w:sz w:val="24"/>
          <w:szCs w:val="24"/>
        </w:rPr>
        <w:t>au</w:t>
      </w:r>
      <w:r w:rsidR="00F51A69">
        <w:rPr>
          <w:rFonts w:ascii="Times New Roman" w:hAnsi="Times New Roman" w:cs="Times New Roman"/>
          <w:b/>
          <w:color w:val="1F497D" w:themeColor="text2"/>
          <w:sz w:val="24"/>
          <w:szCs w:val="24"/>
        </w:rPr>
        <w:t xml:space="preserve"> </w:t>
      </w:r>
      <w:r w:rsidR="00DC5A90" w:rsidRPr="00DE62B6">
        <w:rPr>
          <w:rFonts w:ascii="Times New Roman" w:hAnsi="Times New Roman" w:cs="Times New Roman"/>
          <w:b/>
          <w:color w:val="1F497D" w:themeColor="text2"/>
          <w:sz w:val="24"/>
          <w:szCs w:val="24"/>
        </w:rPr>
        <w:t>secrétariat général du département.</w:t>
      </w:r>
      <w:r w:rsidR="00F51A69">
        <w:rPr>
          <w:rFonts w:ascii="Times New Roman" w:hAnsi="Times New Roman" w:cs="Times New Roman"/>
          <w:b/>
          <w:color w:val="1F497D" w:themeColor="text2"/>
          <w:sz w:val="24"/>
          <w:szCs w:val="24"/>
        </w:rPr>
        <w:t xml:space="preserve"> </w:t>
      </w:r>
      <w:r w:rsidR="00471D4A" w:rsidRPr="00DE62B6">
        <w:rPr>
          <w:rFonts w:ascii="Times New Roman" w:hAnsi="Times New Roman" w:cs="Times New Roman"/>
          <w:b/>
          <w:color w:val="1F497D" w:themeColor="text2"/>
          <w:sz w:val="24"/>
          <w:szCs w:val="24"/>
        </w:rPr>
        <w:t>Ce dernier</w:t>
      </w:r>
      <w:r w:rsidR="00E95B67" w:rsidRPr="00DE62B6">
        <w:rPr>
          <w:rFonts w:ascii="Times New Roman" w:hAnsi="Times New Roman" w:cs="Times New Roman"/>
          <w:b/>
          <w:color w:val="1F497D" w:themeColor="text2"/>
          <w:sz w:val="24"/>
          <w:szCs w:val="24"/>
        </w:rPr>
        <w:t>,</w:t>
      </w:r>
      <w:r w:rsidR="00F51A69">
        <w:rPr>
          <w:rFonts w:ascii="Times New Roman" w:hAnsi="Times New Roman" w:cs="Times New Roman"/>
          <w:b/>
          <w:color w:val="1F497D" w:themeColor="text2"/>
          <w:sz w:val="24"/>
          <w:szCs w:val="24"/>
        </w:rPr>
        <w:t xml:space="preserve"> </w:t>
      </w:r>
      <w:r w:rsidR="00E95B67" w:rsidRPr="00DE62B6">
        <w:rPr>
          <w:rFonts w:ascii="Times New Roman" w:hAnsi="Times New Roman" w:cs="Times New Roman"/>
          <w:b/>
          <w:color w:val="1F497D" w:themeColor="text2"/>
          <w:sz w:val="24"/>
          <w:szCs w:val="24"/>
        </w:rPr>
        <w:t>après une analyse approfondie des termes de référence et du budget détaillé</w:t>
      </w:r>
      <w:r w:rsidR="00F00BBE" w:rsidRPr="00DE62B6">
        <w:rPr>
          <w:rFonts w:ascii="Times New Roman" w:hAnsi="Times New Roman" w:cs="Times New Roman"/>
          <w:b/>
          <w:color w:val="1F497D" w:themeColor="text2"/>
          <w:sz w:val="24"/>
          <w:szCs w:val="24"/>
        </w:rPr>
        <w:t xml:space="preserve"> des </w:t>
      </w:r>
      <w:r w:rsidR="00E95B67" w:rsidRPr="00DE62B6">
        <w:rPr>
          <w:rFonts w:ascii="Times New Roman" w:hAnsi="Times New Roman" w:cs="Times New Roman"/>
          <w:b/>
          <w:color w:val="1F497D" w:themeColor="text2"/>
          <w:sz w:val="24"/>
          <w:szCs w:val="24"/>
        </w:rPr>
        <w:t>activité</w:t>
      </w:r>
      <w:r w:rsidR="00F00BBE" w:rsidRPr="00DE62B6">
        <w:rPr>
          <w:rFonts w:ascii="Times New Roman" w:hAnsi="Times New Roman" w:cs="Times New Roman"/>
          <w:b/>
          <w:color w:val="1F497D" w:themeColor="text2"/>
          <w:sz w:val="24"/>
          <w:szCs w:val="24"/>
        </w:rPr>
        <w:t>s</w:t>
      </w:r>
      <w:r w:rsidR="00E95B67" w:rsidRPr="00DE62B6">
        <w:rPr>
          <w:rFonts w:ascii="Times New Roman" w:hAnsi="Times New Roman" w:cs="Times New Roman"/>
          <w:b/>
          <w:color w:val="1F497D" w:themeColor="text2"/>
          <w:sz w:val="24"/>
          <w:szCs w:val="24"/>
        </w:rPr>
        <w:t xml:space="preserve">, </w:t>
      </w:r>
      <w:r w:rsidR="00366214" w:rsidRPr="00DE62B6">
        <w:rPr>
          <w:rFonts w:ascii="Times New Roman" w:hAnsi="Times New Roman" w:cs="Times New Roman"/>
          <w:b/>
          <w:color w:val="1F497D" w:themeColor="text2"/>
          <w:sz w:val="24"/>
          <w:szCs w:val="24"/>
        </w:rPr>
        <w:t xml:space="preserve">adresse </w:t>
      </w:r>
      <w:r w:rsidR="00C52817" w:rsidRPr="00DE62B6">
        <w:rPr>
          <w:rFonts w:ascii="Times New Roman" w:hAnsi="Times New Roman" w:cs="Times New Roman"/>
          <w:b/>
          <w:color w:val="1F497D" w:themeColor="text2"/>
          <w:sz w:val="24"/>
          <w:szCs w:val="24"/>
        </w:rPr>
        <w:t>l</w:t>
      </w:r>
      <w:r w:rsidR="00F00BBE" w:rsidRPr="00DE62B6">
        <w:rPr>
          <w:rFonts w:ascii="Times New Roman" w:hAnsi="Times New Roman" w:cs="Times New Roman"/>
          <w:b/>
          <w:color w:val="1F497D" w:themeColor="text2"/>
          <w:sz w:val="24"/>
          <w:szCs w:val="24"/>
        </w:rPr>
        <w:t>es</w:t>
      </w:r>
      <w:r w:rsidR="004715AD" w:rsidRPr="00DE62B6">
        <w:rPr>
          <w:rFonts w:ascii="Times New Roman" w:hAnsi="Times New Roman" w:cs="Times New Roman"/>
          <w:b/>
          <w:color w:val="1F497D" w:themeColor="text2"/>
          <w:sz w:val="24"/>
          <w:szCs w:val="24"/>
        </w:rPr>
        <w:t>dites</w:t>
      </w:r>
      <w:r w:rsidR="00366214" w:rsidRPr="00DE62B6">
        <w:rPr>
          <w:rFonts w:ascii="Times New Roman" w:hAnsi="Times New Roman" w:cs="Times New Roman"/>
          <w:b/>
          <w:color w:val="1F497D" w:themeColor="text2"/>
          <w:sz w:val="24"/>
          <w:szCs w:val="24"/>
        </w:rPr>
        <w:t xml:space="preserve"> requête</w:t>
      </w:r>
      <w:r w:rsidR="00F00BBE" w:rsidRPr="00DE62B6">
        <w:rPr>
          <w:rFonts w:ascii="Times New Roman" w:hAnsi="Times New Roman" w:cs="Times New Roman"/>
          <w:b/>
          <w:color w:val="1F497D" w:themeColor="text2"/>
          <w:sz w:val="24"/>
          <w:szCs w:val="24"/>
        </w:rPr>
        <w:t>s</w:t>
      </w:r>
      <w:r w:rsidR="00366214" w:rsidRPr="00DE62B6">
        <w:rPr>
          <w:rFonts w:ascii="Times New Roman" w:hAnsi="Times New Roman" w:cs="Times New Roman"/>
          <w:b/>
          <w:color w:val="1F497D" w:themeColor="text2"/>
          <w:sz w:val="24"/>
          <w:szCs w:val="24"/>
        </w:rPr>
        <w:t xml:space="preserve"> de financement des activités à l'organe gestionnaire des fonds</w:t>
      </w:r>
      <w:r w:rsidR="001551AB">
        <w:rPr>
          <w:rFonts w:ascii="Times New Roman" w:hAnsi="Times New Roman" w:cs="Times New Roman"/>
          <w:b/>
          <w:color w:val="1F497D" w:themeColor="text2"/>
          <w:sz w:val="24"/>
          <w:szCs w:val="24"/>
        </w:rPr>
        <w:t xml:space="preserve"> </w:t>
      </w:r>
      <w:r w:rsidR="00C52817" w:rsidRPr="00DE62B6">
        <w:rPr>
          <w:rFonts w:ascii="Times New Roman" w:hAnsi="Times New Roman" w:cs="Times New Roman"/>
          <w:b/>
          <w:color w:val="1F497D" w:themeColor="text2"/>
          <w:sz w:val="24"/>
          <w:szCs w:val="24"/>
        </w:rPr>
        <w:t xml:space="preserve">pour la </w:t>
      </w:r>
      <w:r w:rsidR="002D417F" w:rsidRPr="00DE62B6">
        <w:rPr>
          <w:rFonts w:ascii="Times New Roman" w:hAnsi="Times New Roman" w:cs="Times New Roman"/>
          <w:b/>
          <w:color w:val="1F497D" w:themeColor="text2"/>
          <w:sz w:val="24"/>
          <w:szCs w:val="24"/>
        </w:rPr>
        <w:t xml:space="preserve">mise à disposition des ressources </w:t>
      </w:r>
      <w:r w:rsidR="00120AC3" w:rsidRPr="00DE62B6">
        <w:rPr>
          <w:rFonts w:ascii="Times New Roman" w:hAnsi="Times New Roman" w:cs="Times New Roman"/>
          <w:b/>
          <w:color w:val="1F497D" w:themeColor="text2"/>
          <w:sz w:val="24"/>
          <w:szCs w:val="24"/>
        </w:rPr>
        <w:t>aux structures</w:t>
      </w:r>
      <w:r w:rsidR="001D6CE2" w:rsidRPr="00DE62B6">
        <w:rPr>
          <w:rFonts w:ascii="Times New Roman" w:hAnsi="Times New Roman" w:cs="Times New Roman"/>
          <w:b/>
          <w:color w:val="1F497D" w:themeColor="text2"/>
          <w:sz w:val="24"/>
          <w:szCs w:val="24"/>
        </w:rPr>
        <w:t xml:space="preserve"> d'exécution</w:t>
      </w:r>
      <w:r w:rsidR="002A202E" w:rsidRPr="00DE62B6">
        <w:rPr>
          <w:rFonts w:ascii="Times New Roman" w:hAnsi="Times New Roman" w:cs="Times New Roman"/>
          <w:b/>
          <w:color w:val="1F497D" w:themeColor="text2"/>
          <w:sz w:val="24"/>
          <w:szCs w:val="24"/>
        </w:rPr>
        <w:t>.</w:t>
      </w:r>
    </w:p>
    <w:p w:rsidR="0081280A" w:rsidRPr="00DE62B6" w:rsidRDefault="00964531"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Conformément à l'aid</w:t>
      </w:r>
      <w:r w:rsidR="00784710" w:rsidRPr="00DE62B6">
        <w:rPr>
          <w:rFonts w:ascii="Times New Roman" w:hAnsi="Times New Roman" w:cs="Times New Roman"/>
          <w:b/>
          <w:color w:val="1F497D" w:themeColor="text2"/>
          <w:sz w:val="24"/>
          <w:szCs w:val="24"/>
        </w:rPr>
        <w:t>e-mémoire signé entre le gouvern</w:t>
      </w:r>
      <w:r w:rsidRPr="00DE62B6">
        <w:rPr>
          <w:rFonts w:ascii="Times New Roman" w:hAnsi="Times New Roman" w:cs="Times New Roman"/>
          <w:b/>
          <w:color w:val="1F497D" w:themeColor="text2"/>
          <w:sz w:val="24"/>
          <w:szCs w:val="24"/>
        </w:rPr>
        <w:t>ement du Ma</w:t>
      </w:r>
      <w:r w:rsidR="00784710" w:rsidRPr="00DE62B6">
        <w:rPr>
          <w:rFonts w:ascii="Times New Roman" w:hAnsi="Times New Roman" w:cs="Times New Roman"/>
          <w:b/>
          <w:color w:val="1F497D" w:themeColor="text2"/>
          <w:sz w:val="24"/>
          <w:szCs w:val="24"/>
        </w:rPr>
        <w:t xml:space="preserve">li et GAVI-ALLIANCE, </w:t>
      </w:r>
      <w:r w:rsidR="00F66FE1" w:rsidRPr="00DE62B6">
        <w:rPr>
          <w:rFonts w:ascii="Times New Roman" w:hAnsi="Times New Roman" w:cs="Times New Roman"/>
          <w:b/>
          <w:color w:val="1F497D" w:themeColor="text2"/>
          <w:sz w:val="24"/>
          <w:szCs w:val="24"/>
        </w:rPr>
        <w:t xml:space="preserve">pour l'exécution du budget il sera procédé à : </w:t>
      </w:r>
    </w:p>
    <w:p w:rsidR="00F66FE1" w:rsidRPr="00DE62B6" w:rsidRDefault="005D719D"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w:t>
      </w:r>
      <w:r w:rsidR="00F66FE1" w:rsidRPr="00DE62B6">
        <w:rPr>
          <w:rFonts w:ascii="Times New Roman" w:hAnsi="Times New Roman" w:cs="Times New Roman"/>
          <w:b/>
          <w:color w:val="1F497D" w:themeColor="text2"/>
          <w:sz w:val="24"/>
          <w:szCs w:val="24"/>
        </w:rPr>
        <w:t xml:space="preserve">La transmission </w:t>
      </w:r>
      <w:r w:rsidR="008038FA" w:rsidRPr="00DE62B6">
        <w:rPr>
          <w:rFonts w:ascii="Times New Roman" w:hAnsi="Times New Roman" w:cs="Times New Roman"/>
          <w:b/>
          <w:color w:val="1F497D" w:themeColor="text2"/>
          <w:sz w:val="24"/>
          <w:szCs w:val="24"/>
        </w:rPr>
        <w:t>subséquente au cabinet du ministre de la santé,</w:t>
      </w:r>
      <w:r w:rsidR="00F51A69">
        <w:rPr>
          <w:rFonts w:ascii="Times New Roman" w:hAnsi="Times New Roman" w:cs="Times New Roman"/>
          <w:b/>
          <w:color w:val="1F497D" w:themeColor="text2"/>
          <w:sz w:val="24"/>
          <w:szCs w:val="24"/>
        </w:rPr>
        <w:t xml:space="preserve"> </w:t>
      </w:r>
      <w:r w:rsidR="00A86C8E" w:rsidRPr="00DE62B6">
        <w:rPr>
          <w:rFonts w:ascii="Times New Roman" w:hAnsi="Times New Roman" w:cs="Times New Roman"/>
          <w:b/>
          <w:color w:val="1F497D" w:themeColor="text2"/>
          <w:sz w:val="24"/>
          <w:szCs w:val="24"/>
        </w:rPr>
        <w:t xml:space="preserve">des requêtes </w:t>
      </w:r>
      <w:r w:rsidR="00783E38" w:rsidRPr="00DE62B6">
        <w:rPr>
          <w:rFonts w:ascii="Times New Roman" w:hAnsi="Times New Roman" w:cs="Times New Roman"/>
          <w:b/>
          <w:color w:val="1F497D" w:themeColor="text2"/>
          <w:sz w:val="24"/>
          <w:szCs w:val="24"/>
        </w:rPr>
        <w:t>de financement des activités</w:t>
      </w:r>
      <w:r w:rsidR="004C7D01" w:rsidRPr="00DE62B6">
        <w:rPr>
          <w:rFonts w:ascii="Times New Roman" w:hAnsi="Times New Roman" w:cs="Times New Roman"/>
          <w:b/>
          <w:color w:val="1F497D" w:themeColor="text2"/>
          <w:sz w:val="24"/>
          <w:szCs w:val="24"/>
        </w:rPr>
        <w:t xml:space="preserve"> planifiées pour validation préalable</w:t>
      </w:r>
      <w:r w:rsidR="00A05F28" w:rsidRPr="00DE62B6">
        <w:rPr>
          <w:rFonts w:ascii="Times New Roman" w:hAnsi="Times New Roman" w:cs="Times New Roman"/>
          <w:b/>
          <w:color w:val="1F497D" w:themeColor="text2"/>
          <w:sz w:val="24"/>
          <w:szCs w:val="24"/>
        </w:rPr>
        <w:t>,</w:t>
      </w:r>
      <w:r w:rsidR="0062132D" w:rsidRPr="00DE62B6">
        <w:rPr>
          <w:rFonts w:ascii="Times New Roman" w:hAnsi="Times New Roman" w:cs="Times New Roman"/>
          <w:b/>
          <w:color w:val="1F497D" w:themeColor="text2"/>
          <w:sz w:val="24"/>
          <w:szCs w:val="24"/>
        </w:rPr>
        <w:t xml:space="preserve"> sera autant que faire</w:t>
      </w:r>
      <w:r w:rsidR="00120AC3" w:rsidRPr="00DE62B6">
        <w:rPr>
          <w:rFonts w:ascii="Times New Roman" w:hAnsi="Times New Roman" w:cs="Times New Roman"/>
          <w:b/>
          <w:color w:val="1F497D" w:themeColor="text2"/>
          <w:sz w:val="24"/>
          <w:szCs w:val="24"/>
        </w:rPr>
        <w:t xml:space="preserve"> se peut</w:t>
      </w:r>
      <w:r w:rsidR="0062132D" w:rsidRPr="00DE62B6">
        <w:rPr>
          <w:rFonts w:ascii="Times New Roman" w:hAnsi="Times New Roman" w:cs="Times New Roman"/>
          <w:b/>
          <w:color w:val="1F497D" w:themeColor="text2"/>
          <w:sz w:val="24"/>
          <w:szCs w:val="24"/>
        </w:rPr>
        <w:t xml:space="preserve"> supprimée lorsque les activités</w:t>
      </w:r>
      <w:r w:rsidR="00CA7F21" w:rsidRPr="00DE62B6">
        <w:rPr>
          <w:rFonts w:ascii="Times New Roman" w:hAnsi="Times New Roman" w:cs="Times New Roman"/>
          <w:b/>
          <w:color w:val="1F497D" w:themeColor="text2"/>
          <w:sz w:val="24"/>
          <w:szCs w:val="24"/>
        </w:rPr>
        <w:t xml:space="preserve"> concernées ont déjà fait l'objet de valorisation et </w:t>
      </w:r>
      <w:r w:rsidR="00E55F12" w:rsidRPr="00DE62B6">
        <w:rPr>
          <w:rFonts w:ascii="Times New Roman" w:hAnsi="Times New Roman" w:cs="Times New Roman"/>
          <w:b/>
          <w:color w:val="1F497D" w:themeColor="text2"/>
          <w:sz w:val="24"/>
          <w:szCs w:val="24"/>
        </w:rPr>
        <w:t>de validation dans le plan opérationnel (PO)</w:t>
      </w:r>
      <w:r w:rsidR="009A428B" w:rsidRPr="00DE62B6">
        <w:rPr>
          <w:rFonts w:ascii="Times New Roman" w:hAnsi="Times New Roman" w:cs="Times New Roman"/>
          <w:b/>
          <w:color w:val="1F497D" w:themeColor="text2"/>
          <w:sz w:val="24"/>
          <w:szCs w:val="24"/>
        </w:rPr>
        <w:t>, ceci en vu</w:t>
      </w:r>
      <w:r w:rsidR="00856B25" w:rsidRPr="00DE62B6">
        <w:rPr>
          <w:rFonts w:ascii="Times New Roman" w:hAnsi="Times New Roman" w:cs="Times New Roman"/>
          <w:b/>
          <w:color w:val="1F497D" w:themeColor="text2"/>
          <w:sz w:val="24"/>
          <w:szCs w:val="24"/>
        </w:rPr>
        <w:t>e</w:t>
      </w:r>
      <w:r w:rsidR="009A428B" w:rsidRPr="00DE62B6">
        <w:rPr>
          <w:rFonts w:ascii="Times New Roman" w:hAnsi="Times New Roman" w:cs="Times New Roman"/>
          <w:b/>
          <w:color w:val="1F497D" w:themeColor="text2"/>
          <w:sz w:val="24"/>
          <w:szCs w:val="24"/>
        </w:rPr>
        <w:t xml:space="preserve"> de garantir une certaines célérité</w:t>
      </w:r>
      <w:r w:rsidR="00856B25" w:rsidRPr="00DE62B6">
        <w:rPr>
          <w:rFonts w:ascii="Times New Roman" w:hAnsi="Times New Roman" w:cs="Times New Roman"/>
          <w:b/>
          <w:color w:val="1F497D" w:themeColor="text2"/>
          <w:sz w:val="24"/>
          <w:szCs w:val="24"/>
        </w:rPr>
        <w:t xml:space="preserve"> dans l'exécution budg</w:t>
      </w:r>
      <w:r w:rsidR="008D2617" w:rsidRPr="00DE62B6">
        <w:rPr>
          <w:rFonts w:ascii="Times New Roman" w:hAnsi="Times New Roman" w:cs="Times New Roman"/>
          <w:b/>
          <w:color w:val="1F497D" w:themeColor="text2"/>
          <w:sz w:val="24"/>
          <w:szCs w:val="24"/>
        </w:rPr>
        <w:t>é</w:t>
      </w:r>
      <w:r w:rsidR="00856B25" w:rsidRPr="00DE62B6">
        <w:rPr>
          <w:rFonts w:ascii="Times New Roman" w:hAnsi="Times New Roman" w:cs="Times New Roman"/>
          <w:b/>
          <w:color w:val="1F497D" w:themeColor="text2"/>
          <w:sz w:val="24"/>
          <w:szCs w:val="24"/>
        </w:rPr>
        <w:t>t</w:t>
      </w:r>
      <w:r w:rsidR="008D2617" w:rsidRPr="00DE62B6">
        <w:rPr>
          <w:rFonts w:ascii="Times New Roman" w:hAnsi="Times New Roman" w:cs="Times New Roman"/>
          <w:b/>
          <w:color w:val="1F497D" w:themeColor="text2"/>
          <w:sz w:val="24"/>
          <w:szCs w:val="24"/>
        </w:rPr>
        <w:t>aire</w:t>
      </w:r>
      <w:r w:rsidR="00856B25" w:rsidRPr="00DE62B6">
        <w:rPr>
          <w:rFonts w:ascii="Times New Roman" w:hAnsi="Times New Roman" w:cs="Times New Roman"/>
          <w:b/>
          <w:color w:val="1F497D" w:themeColor="text2"/>
          <w:sz w:val="24"/>
          <w:szCs w:val="24"/>
        </w:rPr>
        <w:t xml:space="preserve"> et</w:t>
      </w:r>
      <w:r w:rsidR="008D2617" w:rsidRPr="00DE62B6">
        <w:rPr>
          <w:rFonts w:ascii="Times New Roman" w:hAnsi="Times New Roman" w:cs="Times New Roman"/>
          <w:b/>
          <w:color w:val="1F497D" w:themeColor="text2"/>
          <w:sz w:val="24"/>
          <w:szCs w:val="24"/>
        </w:rPr>
        <w:t xml:space="preserve"> la réalisation </w:t>
      </w:r>
      <w:r w:rsidR="00951ABE" w:rsidRPr="00DE62B6">
        <w:rPr>
          <w:rFonts w:ascii="Times New Roman" w:hAnsi="Times New Roman" w:cs="Times New Roman"/>
          <w:b/>
          <w:color w:val="1F497D" w:themeColor="text2"/>
          <w:sz w:val="24"/>
          <w:szCs w:val="24"/>
        </w:rPr>
        <w:t>dans les délais les plus court</w:t>
      </w:r>
      <w:r w:rsidR="00EB50A0" w:rsidRPr="00DE62B6">
        <w:rPr>
          <w:rFonts w:ascii="Times New Roman" w:hAnsi="Times New Roman" w:cs="Times New Roman"/>
          <w:b/>
          <w:color w:val="1F497D" w:themeColor="text2"/>
          <w:sz w:val="24"/>
          <w:szCs w:val="24"/>
        </w:rPr>
        <w:t>s</w:t>
      </w:r>
      <w:r w:rsidR="004F1D58" w:rsidRPr="00DE62B6">
        <w:rPr>
          <w:rFonts w:ascii="Times New Roman" w:hAnsi="Times New Roman" w:cs="Times New Roman"/>
          <w:b/>
          <w:color w:val="1F497D" w:themeColor="text2"/>
          <w:sz w:val="24"/>
          <w:szCs w:val="24"/>
        </w:rPr>
        <w:t xml:space="preserve"> possibles des activités</w:t>
      </w:r>
      <w:r w:rsidRPr="00DE62B6">
        <w:rPr>
          <w:rFonts w:ascii="Times New Roman" w:hAnsi="Times New Roman" w:cs="Times New Roman"/>
          <w:b/>
          <w:color w:val="1F497D" w:themeColor="text2"/>
          <w:sz w:val="24"/>
          <w:szCs w:val="24"/>
        </w:rPr>
        <w:t>"</w:t>
      </w:r>
      <w:r w:rsidR="004F1D58" w:rsidRPr="00DE62B6">
        <w:rPr>
          <w:rFonts w:ascii="Times New Roman" w:hAnsi="Times New Roman" w:cs="Times New Roman"/>
          <w:b/>
          <w:color w:val="1F497D" w:themeColor="text2"/>
          <w:sz w:val="24"/>
          <w:szCs w:val="24"/>
        </w:rPr>
        <w:t>.</w:t>
      </w:r>
    </w:p>
    <w:p w:rsidR="008D06C8" w:rsidRPr="00DE62B6" w:rsidRDefault="00C606CE" w:rsidP="00DE62B6">
      <w:pPr>
        <w:autoSpaceDE w:val="0"/>
        <w:autoSpaceDN w:val="0"/>
        <w:adjustRightInd w:val="0"/>
        <w:spacing w:before="120" w:after="120" w:line="240" w:lineRule="auto"/>
        <w:jc w:val="both"/>
        <w:rPr>
          <w:rFonts w:ascii="Times New Roman" w:hAnsi="Times New Roman" w:cs="Times New Roman"/>
          <w:color w:val="000000"/>
          <w:sz w:val="24"/>
          <w:szCs w:val="24"/>
        </w:rPr>
      </w:pPr>
      <w:r w:rsidRPr="00DE62B6">
        <w:rPr>
          <w:rFonts w:ascii="Times New Roman" w:hAnsi="Times New Roman" w:cs="Times New Roman"/>
          <w:color w:val="000000"/>
          <w:sz w:val="24"/>
          <w:szCs w:val="24"/>
        </w:rPr>
        <w:t>2.</w:t>
      </w:r>
      <w:r w:rsidR="008D06C8" w:rsidRPr="00DE62B6">
        <w:rPr>
          <w:rFonts w:ascii="Times New Roman" w:hAnsi="Times New Roman" w:cs="Times New Roman"/>
          <w:color w:val="000000"/>
          <w:sz w:val="24"/>
          <w:szCs w:val="24"/>
        </w:rPr>
        <w:t xml:space="preserve">3) Fournir un plan d'achat de 18 mois comprenant tous les biens, services et travaux </w:t>
      </w:r>
      <w:r w:rsidR="0030483D" w:rsidRPr="00DE62B6">
        <w:rPr>
          <w:rFonts w:ascii="Times New Roman" w:hAnsi="Times New Roman" w:cs="Times New Roman"/>
          <w:color w:val="000000"/>
          <w:sz w:val="24"/>
          <w:szCs w:val="24"/>
        </w:rPr>
        <w:t xml:space="preserve">à </w:t>
      </w:r>
      <w:r w:rsidR="008D06C8" w:rsidRPr="00DE62B6">
        <w:rPr>
          <w:rFonts w:ascii="Times New Roman" w:hAnsi="Times New Roman" w:cs="Times New Roman"/>
          <w:color w:val="000000"/>
          <w:sz w:val="24"/>
          <w:szCs w:val="24"/>
        </w:rPr>
        <w:t xml:space="preserve">acquérir, en indiquant la procédure d'achat à suivre et </w:t>
      </w:r>
      <w:r w:rsidR="0030483D" w:rsidRPr="00DE62B6">
        <w:rPr>
          <w:rFonts w:ascii="Times New Roman" w:hAnsi="Times New Roman" w:cs="Times New Roman"/>
          <w:color w:val="000000"/>
          <w:sz w:val="24"/>
          <w:szCs w:val="24"/>
        </w:rPr>
        <w:t xml:space="preserve">l'entité acquéreuse (par ex. MS </w:t>
      </w:r>
      <w:r w:rsidR="008D06C8" w:rsidRPr="00DE62B6">
        <w:rPr>
          <w:rFonts w:ascii="Times New Roman" w:hAnsi="Times New Roman" w:cs="Times New Roman"/>
          <w:color w:val="000000"/>
          <w:sz w:val="24"/>
          <w:szCs w:val="24"/>
        </w:rPr>
        <w:t>ou UNICEF).</w:t>
      </w:r>
    </w:p>
    <w:p w:rsidR="00DB2C85" w:rsidRPr="00DE62B6" w:rsidRDefault="00DB2C85"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Vu qu'il nous a été conseillé de revoir la période de début de mise en œuvre de la proposition de soutien au RSS</w:t>
      </w:r>
      <w:r w:rsidR="001551AB">
        <w:rPr>
          <w:rFonts w:ascii="Times New Roman" w:hAnsi="Times New Roman" w:cs="Times New Roman"/>
          <w:b/>
          <w:color w:val="1F497D" w:themeColor="text2"/>
          <w:sz w:val="24"/>
          <w:szCs w:val="24"/>
        </w:rPr>
        <w:t xml:space="preserve"> </w:t>
      </w:r>
      <w:r w:rsidR="00FC7934" w:rsidRPr="00DE62B6">
        <w:rPr>
          <w:rFonts w:ascii="Times New Roman" w:hAnsi="Times New Roman" w:cs="Times New Roman"/>
          <w:b/>
          <w:color w:val="1F497D" w:themeColor="text2"/>
          <w:sz w:val="24"/>
          <w:szCs w:val="24"/>
        </w:rPr>
        <w:t>suite à</w:t>
      </w:r>
      <w:r w:rsidR="00533DE5" w:rsidRPr="00DE62B6">
        <w:rPr>
          <w:rFonts w:ascii="Times New Roman" w:hAnsi="Times New Roman" w:cs="Times New Roman"/>
          <w:b/>
          <w:color w:val="1F497D" w:themeColor="text2"/>
          <w:sz w:val="24"/>
          <w:szCs w:val="24"/>
        </w:rPr>
        <w:t xml:space="preserve"> la pré-revue de l'</w:t>
      </w:r>
      <w:r w:rsidR="00E104A3" w:rsidRPr="00DE62B6">
        <w:rPr>
          <w:rFonts w:ascii="Times New Roman" w:hAnsi="Times New Roman" w:cs="Times New Roman"/>
          <w:b/>
          <w:color w:val="1F497D" w:themeColor="text2"/>
          <w:sz w:val="24"/>
          <w:szCs w:val="24"/>
        </w:rPr>
        <w:t xml:space="preserve">OMS en date du </w:t>
      </w:r>
      <w:r w:rsidR="006332A8" w:rsidRPr="00DE62B6">
        <w:rPr>
          <w:rFonts w:ascii="Times New Roman" w:hAnsi="Times New Roman" w:cs="Times New Roman"/>
          <w:b/>
          <w:color w:val="1F497D" w:themeColor="text2"/>
          <w:sz w:val="24"/>
          <w:szCs w:val="24"/>
        </w:rPr>
        <w:t>9 septembre 2014</w:t>
      </w:r>
      <w:r w:rsidRPr="00DE62B6">
        <w:rPr>
          <w:rFonts w:ascii="Times New Roman" w:hAnsi="Times New Roman" w:cs="Times New Roman"/>
          <w:b/>
          <w:color w:val="1F497D" w:themeColor="text2"/>
          <w:sz w:val="24"/>
          <w:szCs w:val="24"/>
        </w:rPr>
        <w:t xml:space="preserve">, </w:t>
      </w:r>
      <w:r w:rsidR="00C91526" w:rsidRPr="00DE62B6">
        <w:rPr>
          <w:rFonts w:ascii="Times New Roman" w:hAnsi="Times New Roman" w:cs="Times New Roman"/>
          <w:b/>
          <w:color w:val="1F497D" w:themeColor="text2"/>
          <w:sz w:val="24"/>
          <w:szCs w:val="24"/>
        </w:rPr>
        <w:t>nous avons proposé le mo</w:t>
      </w:r>
      <w:r w:rsidR="003A171C" w:rsidRPr="00DE62B6">
        <w:rPr>
          <w:rFonts w:ascii="Times New Roman" w:hAnsi="Times New Roman" w:cs="Times New Roman"/>
          <w:b/>
          <w:color w:val="1F497D" w:themeColor="text2"/>
          <w:sz w:val="24"/>
          <w:szCs w:val="24"/>
        </w:rPr>
        <w:t>is de juillet et par conséquent</w:t>
      </w:r>
      <w:r w:rsidR="00C91526" w:rsidRPr="00DE62B6">
        <w:rPr>
          <w:rFonts w:ascii="Times New Roman" w:hAnsi="Times New Roman" w:cs="Times New Roman"/>
          <w:b/>
          <w:color w:val="1F497D" w:themeColor="text2"/>
          <w:sz w:val="24"/>
          <w:szCs w:val="24"/>
        </w:rPr>
        <w:t xml:space="preserve"> tous nos achat</w:t>
      </w:r>
      <w:r w:rsidR="003A171C" w:rsidRPr="00DE62B6">
        <w:rPr>
          <w:rFonts w:ascii="Times New Roman" w:hAnsi="Times New Roman" w:cs="Times New Roman"/>
          <w:b/>
          <w:color w:val="1F497D" w:themeColor="text2"/>
          <w:sz w:val="24"/>
          <w:szCs w:val="24"/>
        </w:rPr>
        <w:t>s</w:t>
      </w:r>
      <w:r w:rsidR="00C91526" w:rsidRPr="00DE62B6">
        <w:rPr>
          <w:rFonts w:ascii="Times New Roman" w:hAnsi="Times New Roman" w:cs="Times New Roman"/>
          <w:b/>
          <w:color w:val="1F497D" w:themeColor="text2"/>
          <w:sz w:val="24"/>
          <w:szCs w:val="24"/>
        </w:rPr>
        <w:t xml:space="preserve"> par rapport au RSS</w:t>
      </w:r>
      <w:r w:rsidR="001551AB">
        <w:rPr>
          <w:rFonts w:ascii="Times New Roman" w:hAnsi="Times New Roman" w:cs="Times New Roman"/>
          <w:b/>
          <w:color w:val="1F497D" w:themeColor="text2"/>
          <w:sz w:val="24"/>
          <w:szCs w:val="24"/>
        </w:rPr>
        <w:t xml:space="preserve"> </w:t>
      </w:r>
      <w:r w:rsidR="00DB7B96" w:rsidRPr="00DE62B6">
        <w:rPr>
          <w:rFonts w:ascii="Times New Roman" w:hAnsi="Times New Roman" w:cs="Times New Roman"/>
          <w:b/>
          <w:color w:val="1F497D" w:themeColor="text2"/>
          <w:sz w:val="24"/>
          <w:szCs w:val="24"/>
        </w:rPr>
        <w:t>ont été concentré</w:t>
      </w:r>
      <w:r w:rsidR="00E414D3" w:rsidRPr="00DE62B6">
        <w:rPr>
          <w:rFonts w:ascii="Times New Roman" w:hAnsi="Times New Roman" w:cs="Times New Roman"/>
          <w:b/>
          <w:color w:val="1F497D" w:themeColor="text2"/>
          <w:sz w:val="24"/>
          <w:szCs w:val="24"/>
        </w:rPr>
        <w:t>s</w:t>
      </w:r>
      <w:r w:rsidR="00DB7B96" w:rsidRPr="00DE62B6">
        <w:rPr>
          <w:rFonts w:ascii="Times New Roman" w:hAnsi="Times New Roman" w:cs="Times New Roman"/>
          <w:b/>
          <w:color w:val="1F497D" w:themeColor="text2"/>
          <w:sz w:val="24"/>
          <w:szCs w:val="24"/>
        </w:rPr>
        <w:t xml:space="preserve"> sur le</w:t>
      </w:r>
      <w:r w:rsidR="003A171C" w:rsidRPr="00DE62B6">
        <w:rPr>
          <w:rFonts w:ascii="Times New Roman" w:hAnsi="Times New Roman" w:cs="Times New Roman"/>
          <w:b/>
          <w:color w:val="1F497D" w:themeColor="text2"/>
          <w:sz w:val="24"/>
          <w:szCs w:val="24"/>
        </w:rPr>
        <w:t xml:space="preserve"> 2ème semestre de l'année 2015</w:t>
      </w:r>
      <w:r w:rsidR="00DB7B96" w:rsidRPr="00DE62B6">
        <w:rPr>
          <w:rFonts w:ascii="Times New Roman" w:hAnsi="Times New Roman" w:cs="Times New Roman"/>
          <w:b/>
          <w:color w:val="1F497D" w:themeColor="text2"/>
          <w:sz w:val="24"/>
          <w:szCs w:val="24"/>
        </w:rPr>
        <w:t>.</w:t>
      </w:r>
      <w:r w:rsidR="000D50EB" w:rsidRPr="00DE62B6">
        <w:rPr>
          <w:rFonts w:ascii="Times New Roman" w:hAnsi="Times New Roman" w:cs="Times New Roman"/>
          <w:b/>
          <w:color w:val="1F497D" w:themeColor="text2"/>
          <w:sz w:val="24"/>
          <w:szCs w:val="24"/>
        </w:rPr>
        <w:t>Ci-après le plan d'achat du RSS sur six mois</w:t>
      </w:r>
      <w:r w:rsidR="001551AB">
        <w:rPr>
          <w:rFonts w:ascii="Times New Roman" w:hAnsi="Times New Roman" w:cs="Times New Roman"/>
          <w:b/>
          <w:color w:val="1F497D" w:themeColor="text2"/>
          <w:sz w:val="24"/>
          <w:szCs w:val="24"/>
        </w:rPr>
        <w:t xml:space="preserve"> </w:t>
      </w:r>
      <w:r w:rsidR="005071A8" w:rsidRPr="00DE62B6">
        <w:rPr>
          <w:rFonts w:ascii="Times New Roman" w:hAnsi="Times New Roman" w:cs="Times New Roman"/>
          <w:b/>
          <w:color w:val="1F497D" w:themeColor="text2"/>
          <w:sz w:val="24"/>
          <w:szCs w:val="24"/>
        </w:rPr>
        <w:t>avec les montants en dollars US</w:t>
      </w:r>
      <w:r w:rsidR="00B14936" w:rsidRPr="00DE62B6">
        <w:rPr>
          <w:rFonts w:ascii="Times New Roman" w:hAnsi="Times New Roman" w:cs="Times New Roman"/>
          <w:b/>
          <w:color w:val="1F497D" w:themeColor="text2"/>
          <w:sz w:val="24"/>
          <w:szCs w:val="24"/>
        </w:rPr>
        <w:t>:</w:t>
      </w:r>
    </w:p>
    <w:p w:rsidR="00D01940" w:rsidRPr="00DE62B6" w:rsidRDefault="00D01940"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u w:val="single"/>
        </w:rPr>
      </w:pPr>
      <w:r w:rsidRPr="00DE62B6">
        <w:rPr>
          <w:rFonts w:ascii="Times New Roman" w:hAnsi="Times New Roman" w:cs="Times New Roman"/>
          <w:b/>
          <w:color w:val="1F497D" w:themeColor="text2"/>
          <w:sz w:val="24"/>
          <w:szCs w:val="24"/>
          <w:u w:val="single"/>
        </w:rPr>
        <w:t>Plan d'achat sur 6 mois</w:t>
      </w:r>
      <w:r w:rsidR="001C7717" w:rsidRPr="00DE62B6">
        <w:rPr>
          <w:rFonts w:ascii="Times New Roman" w:hAnsi="Times New Roman" w:cs="Times New Roman"/>
          <w:b/>
          <w:color w:val="1F497D" w:themeColor="text2"/>
          <w:sz w:val="24"/>
          <w:szCs w:val="24"/>
          <w:u w:val="single"/>
        </w:rPr>
        <w:t xml:space="preserve"> :</w:t>
      </w:r>
    </w:p>
    <w:tbl>
      <w:tblPr>
        <w:tblW w:w="5442" w:type="pct"/>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CellMar>
          <w:left w:w="70" w:type="dxa"/>
          <w:right w:w="70" w:type="dxa"/>
        </w:tblCellMar>
        <w:tblLook w:val="04A0"/>
      </w:tblPr>
      <w:tblGrid>
        <w:gridCol w:w="1939"/>
        <w:gridCol w:w="850"/>
        <w:gridCol w:w="852"/>
        <w:gridCol w:w="1139"/>
        <w:gridCol w:w="850"/>
        <w:gridCol w:w="1135"/>
        <w:gridCol w:w="1135"/>
        <w:gridCol w:w="993"/>
        <w:gridCol w:w="1133"/>
      </w:tblGrid>
      <w:tr w:rsidR="00745AE5" w:rsidRPr="00DE62B6" w:rsidTr="00AA1953">
        <w:trPr>
          <w:trHeight w:val="228"/>
        </w:trPr>
        <w:tc>
          <w:tcPr>
            <w:tcW w:w="967" w:type="pct"/>
            <w:vMerge w:val="restart"/>
            <w:shd w:val="clear" w:color="auto" w:fill="92D050"/>
            <w:noWrap/>
            <w:vAlign w:val="center"/>
            <w:hideMark/>
          </w:tcPr>
          <w:p w:rsidR="000D24B9" w:rsidRPr="00DE62B6" w:rsidRDefault="000D24B9" w:rsidP="00DE62B6">
            <w:pPr>
              <w:spacing w:after="0" w:line="240" w:lineRule="auto"/>
              <w:rPr>
                <w:rFonts w:ascii="Times New Roman" w:hAnsi="Times New Roman" w:cs="Times New Roman"/>
                <w:b/>
                <w:color w:val="1F497D" w:themeColor="text2"/>
                <w:sz w:val="20"/>
                <w:szCs w:val="24"/>
              </w:rPr>
            </w:pPr>
            <w:r w:rsidRPr="00DE62B6">
              <w:rPr>
                <w:rFonts w:ascii="Times New Roman" w:hAnsi="Times New Roman" w:cs="Times New Roman"/>
                <w:b/>
                <w:color w:val="1F497D" w:themeColor="text2"/>
                <w:sz w:val="20"/>
                <w:szCs w:val="24"/>
              </w:rPr>
              <w:t>NATURES PRESTATIONS</w:t>
            </w:r>
          </w:p>
        </w:tc>
        <w:tc>
          <w:tcPr>
            <w:tcW w:w="1417" w:type="pct"/>
            <w:gridSpan w:val="3"/>
            <w:shd w:val="clear" w:color="auto" w:fill="92D050"/>
            <w:noWrap/>
            <w:vAlign w:val="bottom"/>
            <w:hideMark/>
          </w:tcPr>
          <w:p w:rsidR="000D24B9" w:rsidRPr="00DE62B6" w:rsidRDefault="000D24B9" w:rsidP="00DE62B6">
            <w:pPr>
              <w:spacing w:after="0" w:line="240" w:lineRule="auto"/>
              <w:rPr>
                <w:rFonts w:ascii="Times New Roman" w:hAnsi="Times New Roman" w:cs="Times New Roman"/>
                <w:b/>
                <w:color w:val="1F497D" w:themeColor="text2"/>
                <w:sz w:val="20"/>
                <w:szCs w:val="24"/>
              </w:rPr>
            </w:pPr>
            <w:r w:rsidRPr="00DE62B6">
              <w:rPr>
                <w:rFonts w:ascii="Times New Roman" w:hAnsi="Times New Roman" w:cs="Times New Roman"/>
                <w:b/>
                <w:color w:val="1F497D" w:themeColor="text2"/>
                <w:sz w:val="20"/>
                <w:szCs w:val="24"/>
              </w:rPr>
              <w:t xml:space="preserve">           3ème TRIMESTRE 2015</w:t>
            </w:r>
          </w:p>
        </w:tc>
        <w:tc>
          <w:tcPr>
            <w:tcW w:w="1555" w:type="pct"/>
            <w:gridSpan w:val="3"/>
            <w:shd w:val="clear" w:color="auto" w:fill="92D050"/>
            <w:noWrap/>
            <w:vAlign w:val="bottom"/>
            <w:hideMark/>
          </w:tcPr>
          <w:p w:rsidR="000D24B9" w:rsidRPr="00DE62B6" w:rsidRDefault="000D24B9" w:rsidP="00DE62B6">
            <w:pPr>
              <w:spacing w:after="0" w:line="240" w:lineRule="auto"/>
              <w:rPr>
                <w:rFonts w:ascii="Times New Roman" w:hAnsi="Times New Roman" w:cs="Times New Roman"/>
                <w:b/>
                <w:color w:val="1F497D" w:themeColor="text2"/>
                <w:sz w:val="20"/>
                <w:szCs w:val="24"/>
              </w:rPr>
            </w:pPr>
            <w:r w:rsidRPr="00DE62B6">
              <w:rPr>
                <w:rFonts w:ascii="Times New Roman" w:hAnsi="Times New Roman" w:cs="Times New Roman"/>
                <w:b/>
                <w:color w:val="1F497D" w:themeColor="text2"/>
                <w:sz w:val="20"/>
                <w:szCs w:val="24"/>
              </w:rPr>
              <w:t xml:space="preserve">            4ème TRIMESTRE 2015</w:t>
            </w:r>
          </w:p>
        </w:tc>
        <w:tc>
          <w:tcPr>
            <w:tcW w:w="495" w:type="pct"/>
            <w:vMerge w:val="restart"/>
            <w:shd w:val="clear" w:color="auto" w:fill="92D050"/>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4"/>
              </w:rPr>
            </w:pPr>
            <w:r w:rsidRPr="00DE62B6">
              <w:rPr>
                <w:rFonts w:ascii="Times New Roman" w:hAnsi="Times New Roman" w:cs="Times New Roman"/>
                <w:b/>
                <w:color w:val="1F497D" w:themeColor="text2"/>
                <w:sz w:val="20"/>
                <w:szCs w:val="24"/>
              </w:rPr>
              <w:t>TOTAL ($ US)</w:t>
            </w:r>
          </w:p>
        </w:tc>
        <w:tc>
          <w:tcPr>
            <w:tcW w:w="565" w:type="pct"/>
            <w:vMerge w:val="restart"/>
            <w:shd w:val="clear" w:color="auto" w:fill="92D050"/>
          </w:tcPr>
          <w:p w:rsidR="000D24B9" w:rsidRPr="00DE62B6" w:rsidRDefault="00950171" w:rsidP="00DE62B6">
            <w:pPr>
              <w:spacing w:after="0" w:line="240" w:lineRule="auto"/>
              <w:jc w:val="center"/>
              <w:rPr>
                <w:rFonts w:ascii="Times New Roman" w:hAnsi="Times New Roman" w:cs="Times New Roman"/>
                <w:b/>
                <w:color w:val="1F497D" w:themeColor="text2"/>
                <w:sz w:val="20"/>
                <w:szCs w:val="24"/>
              </w:rPr>
            </w:pPr>
            <w:r w:rsidRPr="00DE62B6">
              <w:rPr>
                <w:rFonts w:ascii="Times New Roman" w:hAnsi="Times New Roman" w:cs="Times New Roman"/>
                <w:b/>
                <w:color w:val="1F497D" w:themeColor="text2"/>
                <w:sz w:val="20"/>
                <w:szCs w:val="24"/>
              </w:rPr>
              <w:t>Entité acquéreuse</w:t>
            </w:r>
          </w:p>
        </w:tc>
      </w:tr>
      <w:tr w:rsidR="00745AE5" w:rsidRPr="00DE62B6" w:rsidTr="002A53EC">
        <w:trPr>
          <w:trHeight w:val="315"/>
        </w:trPr>
        <w:tc>
          <w:tcPr>
            <w:tcW w:w="967" w:type="pct"/>
            <w:vMerge/>
            <w:shd w:val="clear" w:color="auto" w:fill="C6D9F1" w:themeFill="text2" w:themeFillTint="33"/>
            <w:vAlign w:val="center"/>
            <w:hideMark/>
          </w:tcPr>
          <w:p w:rsidR="000D24B9" w:rsidRPr="00DE62B6" w:rsidRDefault="000D24B9" w:rsidP="00DE62B6">
            <w:pPr>
              <w:spacing w:after="0" w:line="240" w:lineRule="auto"/>
              <w:rPr>
                <w:rFonts w:ascii="Times New Roman" w:hAnsi="Times New Roman" w:cs="Times New Roman"/>
                <w:b/>
                <w:color w:val="1F497D" w:themeColor="text2"/>
                <w:sz w:val="20"/>
                <w:szCs w:val="24"/>
              </w:rPr>
            </w:pPr>
          </w:p>
        </w:tc>
        <w:tc>
          <w:tcPr>
            <w:tcW w:w="424" w:type="pct"/>
            <w:shd w:val="clear" w:color="auto" w:fill="92D050"/>
            <w:noWrap/>
            <w:vAlign w:val="bottom"/>
            <w:hideMark/>
          </w:tcPr>
          <w:p w:rsidR="000D24B9" w:rsidRPr="00DE62B6" w:rsidRDefault="000D24B9" w:rsidP="00DE62B6">
            <w:pPr>
              <w:spacing w:after="0" w:line="240" w:lineRule="auto"/>
              <w:rPr>
                <w:rFonts w:ascii="Times New Roman" w:hAnsi="Times New Roman" w:cs="Times New Roman"/>
                <w:b/>
                <w:color w:val="1F497D" w:themeColor="text2"/>
                <w:sz w:val="20"/>
                <w:szCs w:val="24"/>
              </w:rPr>
            </w:pPr>
            <w:r w:rsidRPr="00DE62B6">
              <w:rPr>
                <w:rFonts w:ascii="Times New Roman" w:hAnsi="Times New Roman" w:cs="Times New Roman"/>
                <w:b/>
                <w:color w:val="1F497D" w:themeColor="text2"/>
                <w:sz w:val="20"/>
                <w:szCs w:val="24"/>
              </w:rPr>
              <w:t>Juillet</w:t>
            </w:r>
          </w:p>
        </w:tc>
        <w:tc>
          <w:tcPr>
            <w:tcW w:w="425" w:type="pct"/>
            <w:shd w:val="clear" w:color="auto" w:fill="92D050"/>
            <w:noWrap/>
            <w:vAlign w:val="bottom"/>
            <w:hideMark/>
          </w:tcPr>
          <w:p w:rsidR="000D24B9" w:rsidRPr="00DE62B6" w:rsidRDefault="000D24B9" w:rsidP="00DE62B6">
            <w:pPr>
              <w:spacing w:after="0" w:line="240" w:lineRule="auto"/>
              <w:rPr>
                <w:rFonts w:ascii="Times New Roman" w:hAnsi="Times New Roman" w:cs="Times New Roman"/>
                <w:b/>
                <w:color w:val="1F497D" w:themeColor="text2"/>
                <w:sz w:val="20"/>
                <w:szCs w:val="24"/>
              </w:rPr>
            </w:pPr>
            <w:r w:rsidRPr="00DE62B6">
              <w:rPr>
                <w:rFonts w:ascii="Times New Roman" w:hAnsi="Times New Roman" w:cs="Times New Roman"/>
                <w:b/>
                <w:color w:val="1F497D" w:themeColor="text2"/>
                <w:sz w:val="20"/>
                <w:szCs w:val="24"/>
              </w:rPr>
              <w:t>Août</w:t>
            </w:r>
          </w:p>
        </w:tc>
        <w:tc>
          <w:tcPr>
            <w:tcW w:w="568" w:type="pct"/>
            <w:shd w:val="clear" w:color="auto" w:fill="92D050"/>
            <w:noWrap/>
            <w:vAlign w:val="bottom"/>
            <w:hideMark/>
          </w:tcPr>
          <w:p w:rsidR="000D24B9" w:rsidRPr="00DE62B6" w:rsidRDefault="000D24B9" w:rsidP="00DE62B6">
            <w:pPr>
              <w:spacing w:after="0" w:line="240" w:lineRule="auto"/>
              <w:rPr>
                <w:rFonts w:ascii="Times New Roman" w:hAnsi="Times New Roman" w:cs="Times New Roman"/>
                <w:b/>
                <w:color w:val="1F497D" w:themeColor="text2"/>
                <w:sz w:val="20"/>
                <w:szCs w:val="24"/>
              </w:rPr>
            </w:pPr>
            <w:r w:rsidRPr="00DE62B6">
              <w:rPr>
                <w:rFonts w:ascii="Times New Roman" w:hAnsi="Times New Roman" w:cs="Times New Roman"/>
                <w:b/>
                <w:color w:val="1F497D" w:themeColor="text2"/>
                <w:sz w:val="20"/>
                <w:szCs w:val="24"/>
              </w:rPr>
              <w:t>Septembre</w:t>
            </w:r>
          </w:p>
        </w:tc>
        <w:tc>
          <w:tcPr>
            <w:tcW w:w="424" w:type="pct"/>
            <w:shd w:val="clear" w:color="auto" w:fill="92D050"/>
            <w:noWrap/>
            <w:vAlign w:val="bottom"/>
            <w:hideMark/>
          </w:tcPr>
          <w:p w:rsidR="000D24B9" w:rsidRPr="00DE62B6" w:rsidRDefault="000D24B9" w:rsidP="00DE62B6">
            <w:pPr>
              <w:spacing w:after="0" w:line="240" w:lineRule="auto"/>
              <w:rPr>
                <w:rFonts w:ascii="Times New Roman" w:hAnsi="Times New Roman" w:cs="Times New Roman"/>
                <w:b/>
                <w:color w:val="1F497D" w:themeColor="text2"/>
                <w:sz w:val="20"/>
                <w:szCs w:val="24"/>
              </w:rPr>
            </w:pPr>
            <w:r w:rsidRPr="00DE62B6">
              <w:rPr>
                <w:rFonts w:ascii="Times New Roman" w:hAnsi="Times New Roman" w:cs="Times New Roman"/>
                <w:b/>
                <w:color w:val="1F497D" w:themeColor="text2"/>
                <w:sz w:val="20"/>
                <w:szCs w:val="24"/>
              </w:rPr>
              <w:t>Octobre</w:t>
            </w:r>
          </w:p>
        </w:tc>
        <w:tc>
          <w:tcPr>
            <w:tcW w:w="566" w:type="pct"/>
            <w:shd w:val="clear" w:color="auto" w:fill="92D050"/>
            <w:noWrap/>
            <w:vAlign w:val="bottom"/>
            <w:hideMark/>
          </w:tcPr>
          <w:p w:rsidR="000D24B9" w:rsidRPr="00DE62B6" w:rsidRDefault="000D24B9" w:rsidP="00DE62B6">
            <w:pPr>
              <w:spacing w:after="0" w:line="240" w:lineRule="auto"/>
              <w:rPr>
                <w:rFonts w:ascii="Times New Roman" w:hAnsi="Times New Roman" w:cs="Times New Roman"/>
                <w:b/>
                <w:color w:val="1F497D" w:themeColor="text2"/>
                <w:sz w:val="20"/>
                <w:szCs w:val="24"/>
              </w:rPr>
            </w:pPr>
            <w:r w:rsidRPr="00DE62B6">
              <w:rPr>
                <w:rFonts w:ascii="Times New Roman" w:hAnsi="Times New Roman" w:cs="Times New Roman"/>
                <w:b/>
                <w:color w:val="1F497D" w:themeColor="text2"/>
                <w:sz w:val="20"/>
                <w:szCs w:val="24"/>
              </w:rPr>
              <w:t>Novembre</w:t>
            </w:r>
          </w:p>
        </w:tc>
        <w:tc>
          <w:tcPr>
            <w:tcW w:w="566" w:type="pct"/>
            <w:shd w:val="clear" w:color="auto" w:fill="92D050"/>
            <w:noWrap/>
            <w:vAlign w:val="bottom"/>
            <w:hideMark/>
          </w:tcPr>
          <w:p w:rsidR="000D24B9" w:rsidRPr="00DE62B6" w:rsidRDefault="000D24B9" w:rsidP="00DE62B6">
            <w:pPr>
              <w:spacing w:after="0" w:line="240" w:lineRule="auto"/>
              <w:rPr>
                <w:rFonts w:ascii="Times New Roman" w:hAnsi="Times New Roman" w:cs="Times New Roman"/>
                <w:b/>
                <w:color w:val="1F497D" w:themeColor="text2"/>
                <w:sz w:val="20"/>
                <w:szCs w:val="24"/>
              </w:rPr>
            </w:pPr>
            <w:r w:rsidRPr="00DE62B6">
              <w:rPr>
                <w:rFonts w:ascii="Times New Roman" w:hAnsi="Times New Roman" w:cs="Times New Roman"/>
                <w:b/>
                <w:color w:val="1F497D" w:themeColor="text2"/>
                <w:sz w:val="20"/>
                <w:szCs w:val="24"/>
              </w:rPr>
              <w:t>Décembre</w:t>
            </w:r>
          </w:p>
        </w:tc>
        <w:tc>
          <w:tcPr>
            <w:tcW w:w="495" w:type="pct"/>
            <w:vMerge/>
            <w:shd w:val="clear" w:color="auto" w:fill="C6D9F1" w:themeFill="text2" w:themeFillTint="33"/>
            <w:vAlign w:val="center"/>
            <w:hideMark/>
          </w:tcPr>
          <w:p w:rsidR="000D24B9" w:rsidRPr="00DE62B6" w:rsidRDefault="000D24B9" w:rsidP="00DE62B6">
            <w:pPr>
              <w:spacing w:after="0" w:line="240" w:lineRule="auto"/>
              <w:rPr>
                <w:rFonts w:ascii="Times New Roman" w:hAnsi="Times New Roman" w:cs="Times New Roman"/>
                <w:b/>
                <w:color w:val="1F497D" w:themeColor="text2"/>
                <w:sz w:val="20"/>
                <w:szCs w:val="24"/>
              </w:rPr>
            </w:pPr>
          </w:p>
        </w:tc>
        <w:tc>
          <w:tcPr>
            <w:tcW w:w="565" w:type="pct"/>
            <w:vMerge/>
            <w:shd w:val="clear" w:color="auto" w:fill="C6D9F1" w:themeFill="text2" w:themeFillTint="33"/>
          </w:tcPr>
          <w:p w:rsidR="000D24B9" w:rsidRPr="00DE62B6" w:rsidRDefault="000D24B9" w:rsidP="00DE62B6">
            <w:pPr>
              <w:spacing w:after="0" w:line="240" w:lineRule="auto"/>
              <w:rPr>
                <w:rFonts w:ascii="Times New Roman" w:hAnsi="Times New Roman" w:cs="Times New Roman"/>
                <w:b/>
                <w:color w:val="1F497D" w:themeColor="text2"/>
                <w:sz w:val="20"/>
                <w:szCs w:val="24"/>
              </w:rPr>
            </w:pPr>
          </w:p>
        </w:tc>
      </w:tr>
      <w:tr w:rsidR="00745AE5" w:rsidRPr="00DE62B6" w:rsidTr="00D70482">
        <w:trPr>
          <w:trHeight w:val="315"/>
        </w:trPr>
        <w:tc>
          <w:tcPr>
            <w:tcW w:w="967" w:type="pct"/>
            <w:shd w:val="clear" w:color="auto" w:fill="auto"/>
            <w:noWrap/>
            <w:vAlign w:val="center"/>
            <w:hideMark/>
          </w:tcPr>
          <w:p w:rsidR="000D24B9" w:rsidRPr="00DE62B6" w:rsidRDefault="000D24B9" w:rsidP="00DE62B6">
            <w:pPr>
              <w:spacing w:after="0" w:line="240" w:lineRule="auto"/>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20 Véhicules 4X4</w:t>
            </w:r>
          </w:p>
        </w:tc>
        <w:tc>
          <w:tcPr>
            <w:tcW w:w="424"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280 000</w:t>
            </w:r>
          </w:p>
        </w:tc>
        <w:tc>
          <w:tcPr>
            <w:tcW w:w="425"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280 000</w:t>
            </w:r>
          </w:p>
        </w:tc>
        <w:tc>
          <w:tcPr>
            <w:tcW w:w="568"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240 000</w:t>
            </w:r>
          </w:p>
        </w:tc>
        <w:tc>
          <w:tcPr>
            <w:tcW w:w="424"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p>
        </w:tc>
        <w:tc>
          <w:tcPr>
            <w:tcW w:w="566"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p>
        </w:tc>
        <w:tc>
          <w:tcPr>
            <w:tcW w:w="566"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p>
        </w:tc>
        <w:tc>
          <w:tcPr>
            <w:tcW w:w="495"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800 000</w:t>
            </w:r>
          </w:p>
        </w:tc>
        <w:tc>
          <w:tcPr>
            <w:tcW w:w="565" w:type="pct"/>
            <w:shd w:val="clear" w:color="auto" w:fill="auto"/>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MSHP</w:t>
            </w:r>
          </w:p>
        </w:tc>
      </w:tr>
      <w:tr w:rsidR="00745AE5" w:rsidRPr="00DE62B6" w:rsidTr="00D70482">
        <w:trPr>
          <w:trHeight w:val="315"/>
        </w:trPr>
        <w:tc>
          <w:tcPr>
            <w:tcW w:w="967" w:type="pct"/>
            <w:shd w:val="clear" w:color="auto" w:fill="auto"/>
            <w:vAlign w:val="center"/>
            <w:hideMark/>
          </w:tcPr>
          <w:p w:rsidR="000D24B9" w:rsidRPr="00DE62B6" w:rsidRDefault="000D24B9" w:rsidP="00DE62B6">
            <w:pPr>
              <w:spacing w:after="0" w:line="240" w:lineRule="auto"/>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200 Moto</w:t>
            </w:r>
          </w:p>
        </w:tc>
        <w:tc>
          <w:tcPr>
            <w:tcW w:w="424"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201 000</w:t>
            </w:r>
          </w:p>
        </w:tc>
        <w:tc>
          <w:tcPr>
            <w:tcW w:w="425"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201 000</w:t>
            </w:r>
          </w:p>
        </w:tc>
        <w:tc>
          <w:tcPr>
            <w:tcW w:w="568"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198 000</w:t>
            </w:r>
          </w:p>
        </w:tc>
        <w:tc>
          <w:tcPr>
            <w:tcW w:w="424"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p>
        </w:tc>
        <w:tc>
          <w:tcPr>
            <w:tcW w:w="566"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p>
        </w:tc>
        <w:tc>
          <w:tcPr>
            <w:tcW w:w="566"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p>
        </w:tc>
        <w:tc>
          <w:tcPr>
            <w:tcW w:w="495"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600 000</w:t>
            </w:r>
          </w:p>
        </w:tc>
        <w:tc>
          <w:tcPr>
            <w:tcW w:w="565" w:type="pct"/>
            <w:shd w:val="clear" w:color="auto" w:fill="auto"/>
          </w:tcPr>
          <w:p w:rsidR="000D24B9" w:rsidRPr="00DE62B6" w:rsidRDefault="00950171"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MSHP</w:t>
            </w:r>
          </w:p>
        </w:tc>
      </w:tr>
      <w:tr w:rsidR="00745AE5" w:rsidRPr="00DE62B6" w:rsidTr="00D70482">
        <w:trPr>
          <w:trHeight w:val="315"/>
        </w:trPr>
        <w:tc>
          <w:tcPr>
            <w:tcW w:w="967" w:type="pct"/>
            <w:shd w:val="clear" w:color="auto" w:fill="auto"/>
            <w:vAlign w:val="center"/>
            <w:hideMark/>
          </w:tcPr>
          <w:p w:rsidR="00950171" w:rsidRPr="00DE62B6" w:rsidRDefault="00950171" w:rsidP="00DE62B6">
            <w:pPr>
              <w:spacing w:after="0" w:line="240" w:lineRule="auto"/>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25 Incinérateurs</w:t>
            </w:r>
          </w:p>
        </w:tc>
        <w:tc>
          <w:tcPr>
            <w:tcW w:w="424"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p>
        </w:tc>
        <w:tc>
          <w:tcPr>
            <w:tcW w:w="425"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p>
        </w:tc>
        <w:tc>
          <w:tcPr>
            <w:tcW w:w="568"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p>
        </w:tc>
        <w:tc>
          <w:tcPr>
            <w:tcW w:w="424"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63 000</w:t>
            </w:r>
          </w:p>
        </w:tc>
        <w:tc>
          <w:tcPr>
            <w:tcW w:w="566"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56 000</w:t>
            </w:r>
          </w:p>
        </w:tc>
        <w:tc>
          <w:tcPr>
            <w:tcW w:w="566"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56 000</w:t>
            </w:r>
          </w:p>
        </w:tc>
        <w:tc>
          <w:tcPr>
            <w:tcW w:w="495"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175 000</w:t>
            </w:r>
          </w:p>
        </w:tc>
        <w:tc>
          <w:tcPr>
            <w:tcW w:w="565" w:type="pct"/>
            <w:shd w:val="clear" w:color="auto" w:fill="auto"/>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MSHP</w:t>
            </w:r>
          </w:p>
        </w:tc>
      </w:tr>
      <w:tr w:rsidR="00745AE5" w:rsidRPr="00DE62B6" w:rsidTr="00D70482">
        <w:trPr>
          <w:trHeight w:val="630"/>
        </w:trPr>
        <w:tc>
          <w:tcPr>
            <w:tcW w:w="967" w:type="pct"/>
            <w:shd w:val="clear" w:color="auto" w:fill="auto"/>
            <w:vAlign w:val="center"/>
            <w:hideMark/>
          </w:tcPr>
          <w:p w:rsidR="00950171" w:rsidRPr="00DE62B6" w:rsidRDefault="00950171" w:rsidP="00DE62B6">
            <w:pPr>
              <w:spacing w:after="0" w:line="240" w:lineRule="auto"/>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25 Kits de gestion des déchets</w:t>
            </w:r>
          </w:p>
        </w:tc>
        <w:tc>
          <w:tcPr>
            <w:tcW w:w="424"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55 800</w:t>
            </w:r>
          </w:p>
        </w:tc>
        <w:tc>
          <w:tcPr>
            <w:tcW w:w="425"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49 600</w:t>
            </w:r>
          </w:p>
        </w:tc>
        <w:tc>
          <w:tcPr>
            <w:tcW w:w="568"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49 600</w:t>
            </w:r>
          </w:p>
        </w:tc>
        <w:tc>
          <w:tcPr>
            <w:tcW w:w="424"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p>
        </w:tc>
        <w:tc>
          <w:tcPr>
            <w:tcW w:w="566"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p>
        </w:tc>
        <w:tc>
          <w:tcPr>
            <w:tcW w:w="566"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p>
        </w:tc>
        <w:tc>
          <w:tcPr>
            <w:tcW w:w="495"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155 000</w:t>
            </w:r>
          </w:p>
        </w:tc>
        <w:tc>
          <w:tcPr>
            <w:tcW w:w="565" w:type="pct"/>
            <w:shd w:val="clear" w:color="auto" w:fill="auto"/>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MSHP</w:t>
            </w:r>
          </w:p>
        </w:tc>
      </w:tr>
      <w:tr w:rsidR="00745AE5" w:rsidRPr="00DE62B6" w:rsidTr="00D70482">
        <w:trPr>
          <w:trHeight w:val="315"/>
        </w:trPr>
        <w:tc>
          <w:tcPr>
            <w:tcW w:w="967" w:type="pct"/>
            <w:shd w:val="clear" w:color="auto" w:fill="auto"/>
            <w:vAlign w:val="center"/>
            <w:hideMark/>
          </w:tcPr>
          <w:p w:rsidR="00950171" w:rsidRPr="00DE62B6" w:rsidRDefault="00950171" w:rsidP="00DE62B6">
            <w:pPr>
              <w:spacing w:after="0" w:line="240" w:lineRule="auto"/>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Construction d'un magasin sec</w:t>
            </w:r>
          </w:p>
        </w:tc>
        <w:tc>
          <w:tcPr>
            <w:tcW w:w="424"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p>
        </w:tc>
        <w:tc>
          <w:tcPr>
            <w:tcW w:w="425"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p>
        </w:tc>
        <w:tc>
          <w:tcPr>
            <w:tcW w:w="568"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p>
        </w:tc>
        <w:tc>
          <w:tcPr>
            <w:tcW w:w="424"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200 000</w:t>
            </w:r>
          </w:p>
        </w:tc>
        <w:tc>
          <w:tcPr>
            <w:tcW w:w="566"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p>
        </w:tc>
        <w:tc>
          <w:tcPr>
            <w:tcW w:w="566"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p>
        </w:tc>
        <w:tc>
          <w:tcPr>
            <w:tcW w:w="495" w:type="pct"/>
            <w:shd w:val="clear" w:color="auto" w:fill="auto"/>
            <w:noWrap/>
            <w:vAlign w:val="center"/>
            <w:hideMark/>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200 000</w:t>
            </w:r>
          </w:p>
        </w:tc>
        <w:tc>
          <w:tcPr>
            <w:tcW w:w="565" w:type="pct"/>
            <w:shd w:val="clear" w:color="auto" w:fill="auto"/>
          </w:tcPr>
          <w:p w:rsidR="00950171" w:rsidRPr="00DE62B6" w:rsidRDefault="00950171"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MSHP</w:t>
            </w:r>
          </w:p>
        </w:tc>
      </w:tr>
      <w:tr w:rsidR="00745AE5" w:rsidRPr="00DE62B6" w:rsidTr="00D70482">
        <w:trPr>
          <w:trHeight w:val="315"/>
        </w:trPr>
        <w:tc>
          <w:tcPr>
            <w:tcW w:w="967" w:type="pct"/>
            <w:shd w:val="clear" w:color="auto" w:fill="auto"/>
            <w:vAlign w:val="center"/>
            <w:hideMark/>
          </w:tcPr>
          <w:p w:rsidR="000D24B9" w:rsidRPr="00DE62B6" w:rsidRDefault="000D24B9" w:rsidP="00DE62B6">
            <w:pPr>
              <w:spacing w:after="0" w:line="240" w:lineRule="auto"/>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15 Chambres froides</w:t>
            </w:r>
          </w:p>
        </w:tc>
        <w:tc>
          <w:tcPr>
            <w:tcW w:w="424"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102 600</w:t>
            </w:r>
          </w:p>
        </w:tc>
        <w:tc>
          <w:tcPr>
            <w:tcW w:w="425"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102 600</w:t>
            </w:r>
          </w:p>
        </w:tc>
        <w:tc>
          <w:tcPr>
            <w:tcW w:w="568"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102 600</w:t>
            </w:r>
          </w:p>
        </w:tc>
        <w:tc>
          <w:tcPr>
            <w:tcW w:w="424"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68 400</w:t>
            </w:r>
          </w:p>
        </w:tc>
        <w:tc>
          <w:tcPr>
            <w:tcW w:w="566"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68 400</w:t>
            </w:r>
          </w:p>
        </w:tc>
        <w:tc>
          <w:tcPr>
            <w:tcW w:w="566"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68 400</w:t>
            </w:r>
          </w:p>
        </w:tc>
        <w:tc>
          <w:tcPr>
            <w:tcW w:w="495" w:type="pct"/>
            <w:shd w:val="clear" w:color="auto" w:fill="auto"/>
            <w:noWrap/>
            <w:vAlign w:val="center"/>
            <w:hideMark/>
          </w:tcPr>
          <w:p w:rsidR="000D24B9" w:rsidRPr="00DE62B6" w:rsidRDefault="000D24B9"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513 000</w:t>
            </w:r>
          </w:p>
        </w:tc>
        <w:tc>
          <w:tcPr>
            <w:tcW w:w="565" w:type="pct"/>
            <w:shd w:val="clear" w:color="auto" w:fill="auto"/>
          </w:tcPr>
          <w:p w:rsidR="000D24B9" w:rsidRPr="00DE62B6" w:rsidRDefault="00AB2620"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UNICEF</w:t>
            </w:r>
          </w:p>
        </w:tc>
      </w:tr>
      <w:tr w:rsidR="00745AE5" w:rsidRPr="00DE62B6" w:rsidTr="00D70482">
        <w:trPr>
          <w:trHeight w:val="315"/>
        </w:trPr>
        <w:tc>
          <w:tcPr>
            <w:tcW w:w="967" w:type="pct"/>
            <w:shd w:val="clear" w:color="auto" w:fill="auto"/>
            <w:vAlign w:val="center"/>
            <w:hideMark/>
          </w:tcPr>
          <w:p w:rsidR="00AB2620" w:rsidRPr="00DE62B6" w:rsidRDefault="00AB2620" w:rsidP="00DE62B6">
            <w:pPr>
              <w:spacing w:after="0" w:line="240" w:lineRule="auto"/>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1 Équipement informatique complet</w:t>
            </w:r>
          </w:p>
        </w:tc>
        <w:tc>
          <w:tcPr>
            <w:tcW w:w="424" w:type="pct"/>
            <w:shd w:val="clear" w:color="auto" w:fill="auto"/>
            <w:noWrap/>
            <w:vAlign w:val="center"/>
            <w:hideMark/>
          </w:tcPr>
          <w:p w:rsidR="00AB2620" w:rsidRPr="00DE62B6" w:rsidRDefault="00AB2620" w:rsidP="00DE62B6">
            <w:pPr>
              <w:spacing w:after="0" w:line="240" w:lineRule="auto"/>
              <w:jc w:val="center"/>
              <w:rPr>
                <w:rFonts w:ascii="Times New Roman" w:hAnsi="Times New Roman" w:cs="Times New Roman"/>
                <w:b/>
                <w:color w:val="1F497D" w:themeColor="text2"/>
                <w:sz w:val="20"/>
                <w:szCs w:val="20"/>
              </w:rPr>
            </w:pPr>
          </w:p>
        </w:tc>
        <w:tc>
          <w:tcPr>
            <w:tcW w:w="425" w:type="pct"/>
            <w:shd w:val="clear" w:color="auto" w:fill="auto"/>
            <w:noWrap/>
            <w:vAlign w:val="center"/>
            <w:hideMark/>
          </w:tcPr>
          <w:p w:rsidR="00AB2620" w:rsidRPr="00DE62B6" w:rsidRDefault="00AB2620" w:rsidP="00DE62B6">
            <w:pPr>
              <w:spacing w:after="0" w:line="240" w:lineRule="auto"/>
              <w:jc w:val="center"/>
              <w:rPr>
                <w:rFonts w:ascii="Times New Roman" w:hAnsi="Times New Roman" w:cs="Times New Roman"/>
                <w:b/>
                <w:color w:val="1F497D" w:themeColor="text2"/>
                <w:sz w:val="20"/>
                <w:szCs w:val="20"/>
              </w:rPr>
            </w:pPr>
          </w:p>
        </w:tc>
        <w:tc>
          <w:tcPr>
            <w:tcW w:w="568" w:type="pct"/>
            <w:shd w:val="clear" w:color="auto" w:fill="auto"/>
            <w:noWrap/>
            <w:vAlign w:val="center"/>
            <w:hideMark/>
          </w:tcPr>
          <w:p w:rsidR="00AB2620" w:rsidRPr="00DE62B6" w:rsidRDefault="00AB2620" w:rsidP="00DE62B6">
            <w:pPr>
              <w:spacing w:after="0" w:line="240" w:lineRule="auto"/>
              <w:jc w:val="center"/>
              <w:rPr>
                <w:rFonts w:ascii="Times New Roman" w:hAnsi="Times New Roman" w:cs="Times New Roman"/>
                <w:b/>
                <w:color w:val="1F497D" w:themeColor="text2"/>
                <w:sz w:val="20"/>
                <w:szCs w:val="20"/>
              </w:rPr>
            </w:pPr>
          </w:p>
        </w:tc>
        <w:tc>
          <w:tcPr>
            <w:tcW w:w="424" w:type="pct"/>
            <w:shd w:val="clear" w:color="auto" w:fill="auto"/>
            <w:noWrap/>
            <w:vAlign w:val="center"/>
            <w:hideMark/>
          </w:tcPr>
          <w:p w:rsidR="00AB2620" w:rsidRPr="00DE62B6" w:rsidRDefault="00AB2620"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93 000</w:t>
            </w:r>
          </w:p>
        </w:tc>
        <w:tc>
          <w:tcPr>
            <w:tcW w:w="566" w:type="pct"/>
            <w:shd w:val="clear" w:color="auto" w:fill="auto"/>
            <w:noWrap/>
            <w:vAlign w:val="center"/>
            <w:hideMark/>
          </w:tcPr>
          <w:p w:rsidR="00AB2620" w:rsidRPr="00DE62B6" w:rsidRDefault="00AB2620" w:rsidP="00DE62B6">
            <w:pPr>
              <w:spacing w:after="0" w:line="240" w:lineRule="auto"/>
              <w:jc w:val="center"/>
              <w:rPr>
                <w:rFonts w:ascii="Times New Roman" w:hAnsi="Times New Roman" w:cs="Times New Roman"/>
                <w:b/>
                <w:color w:val="1F497D" w:themeColor="text2"/>
                <w:sz w:val="20"/>
                <w:szCs w:val="20"/>
              </w:rPr>
            </w:pPr>
          </w:p>
        </w:tc>
        <w:tc>
          <w:tcPr>
            <w:tcW w:w="566" w:type="pct"/>
            <w:shd w:val="clear" w:color="auto" w:fill="auto"/>
            <w:noWrap/>
            <w:vAlign w:val="center"/>
            <w:hideMark/>
          </w:tcPr>
          <w:p w:rsidR="00AB2620" w:rsidRPr="00DE62B6" w:rsidRDefault="00AB2620" w:rsidP="00DE62B6">
            <w:pPr>
              <w:spacing w:after="0" w:line="240" w:lineRule="auto"/>
              <w:jc w:val="center"/>
              <w:rPr>
                <w:rFonts w:ascii="Times New Roman" w:hAnsi="Times New Roman" w:cs="Times New Roman"/>
                <w:b/>
                <w:color w:val="1F497D" w:themeColor="text2"/>
                <w:sz w:val="20"/>
                <w:szCs w:val="20"/>
              </w:rPr>
            </w:pPr>
          </w:p>
        </w:tc>
        <w:tc>
          <w:tcPr>
            <w:tcW w:w="495" w:type="pct"/>
            <w:shd w:val="clear" w:color="auto" w:fill="auto"/>
            <w:noWrap/>
            <w:vAlign w:val="center"/>
            <w:hideMark/>
          </w:tcPr>
          <w:p w:rsidR="00AB2620" w:rsidRPr="00DE62B6" w:rsidRDefault="00AB2620"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93 000</w:t>
            </w:r>
          </w:p>
        </w:tc>
        <w:tc>
          <w:tcPr>
            <w:tcW w:w="565" w:type="pct"/>
            <w:shd w:val="clear" w:color="auto" w:fill="auto"/>
          </w:tcPr>
          <w:p w:rsidR="00AB2620" w:rsidRPr="00DE62B6" w:rsidRDefault="00AB2620" w:rsidP="00DE62B6">
            <w:pPr>
              <w:spacing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MSHP</w:t>
            </w:r>
          </w:p>
        </w:tc>
      </w:tr>
      <w:tr w:rsidR="00745AE5" w:rsidRPr="00DE62B6" w:rsidTr="002A53EC">
        <w:trPr>
          <w:trHeight w:val="70"/>
        </w:trPr>
        <w:tc>
          <w:tcPr>
            <w:tcW w:w="967" w:type="pct"/>
            <w:shd w:val="clear" w:color="auto" w:fill="92D050"/>
            <w:noWrap/>
            <w:vAlign w:val="bottom"/>
            <w:hideMark/>
          </w:tcPr>
          <w:p w:rsidR="00AB2620" w:rsidRPr="00DE62B6" w:rsidRDefault="00AB2620" w:rsidP="00DE62B6">
            <w:pPr>
              <w:spacing w:before="240" w:after="0" w:line="240" w:lineRule="auto"/>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TOTAL ($ US)</w:t>
            </w:r>
          </w:p>
        </w:tc>
        <w:tc>
          <w:tcPr>
            <w:tcW w:w="424" w:type="pct"/>
            <w:shd w:val="clear" w:color="auto" w:fill="92D050"/>
            <w:noWrap/>
            <w:vAlign w:val="bottom"/>
            <w:hideMark/>
          </w:tcPr>
          <w:p w:rsidR="00AB2620" w:rsidRPr="00DE62B6" w:rsidRDefault="00AB2620" w:rsidP="00DE62B6">
            <w:pPr>
              <w:spacing w:before="240" w:after="0"/>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639 400</w:t>
            </w:r>
          </w:p>
        </w:tc>
        <w:tc>
          <w:tcPr>
            <w:tcW w:w="425" w:type="pct"/>
            <w:shd w:val="clear" w:color="auto" w:fill="92D050"/>
            <w:noWrap/>
            <w:vAlign w:val="bottom"/>
            <w:hideMark/>
          </w:tcPr>
          <w:p w:rsidR="00AB2620" w:rsidRPr="00DE62B6" w:rsidRDefault="00AB2620" w:rsidP="00DE62B6">
            <w:pPr>
              <w:spacing w:before="240" w:after="0"/>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633 200</w:t>
            </w:r>
          </w:p>
        </w:tc>
        <w:tc>
          <w:tcPr>
            <w:tcW w:w="568" w:type="pct"/>
            <w:shd w:val="clear" w:color="auto" w:fill="92D050"/>
            <w:noWrap/>
            <w:vAlign w:val="bottom"/>
            <w:hideMark/>
          </w:tcPr>
          <w:p w:rsidR="00AB2620" w:rsidRPr="00DE62B6" w:rsidRDefault="00AB2620" w:rsidP="00DE62B6">
            <w:pPr>
              <w:spacing w:before="240" w:after="0"/>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590 200</w:t>
            </w:r>
          </w:p>
        </w:tc>
        <w:tc>
          <w:tcPr>
            <w:tcW w:w="424" w:type="pct"/>
            <w:shd w:val="clear" w:color="auto" w:fill="92D050"/>
            <w:noWrap/>
            <w:vAlign w:val="bottom"/>
            <w:hideMark/>
          </w:tcPr>
          <w:p w:rsidR="00AB2620" w:rsidRPr="00DE62B6" w:rsidRDefault="00AB2620" w:rsidP="00DE62B6">
            <w:pPr>
              <w:spacing w:before="240" w:after="0"/>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424 400</w:t>
            </w:r>
          </w:p>
        </w:tc>
        <w:tc>
          <w:tcPr>
            <w:tcW w:w="566" w:type="pct"/>
            <w:shd w:val="clear" w:color="auto" w:fill="92D050"/>
            <w:noWrap/>
            <w:vAlign w:val="bottom"/>
            <w:hideMark/>
          </w:tcPr>
          <w:p w:rsidR="00AB2620" w:rsidRPr="00DE62B6" w:rsidRDefault="00AB2620" w:rsidP="00DE62B6">
            <w:pPr>
              <w:spacing w:before="240" w:after="0"/>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124 400</w:t>
            </w:r>
          </w:p>
        </w:tc>
        <w:tc>
          <w:tcPr>
            <w:tcW w:w="566" w:type="pct"/>
            <w:shd w:val="clear" w:color="auto" w:fill="92D050"/>
            <w:noWrap/>
            <w:vAlign w:val="bottom"/>
            <w:hideMark/>
          </w:tcPr>
          <w:p w:rsidR="00AB2620" w:rsidRPr="00DE62B6" w:rsidRDefault="00AB2620" w:rsidP="00DE62B6">
            <w:pPr>
              <w:spacing w:before="240" w:after="0"/>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124 400</w:t>
            </w:r>
          </w:p>
        </w:tc>
        <w:tc>
          <w:tcPr>
            <w:tcW w:w="495" w:type="pct"/>
            <w:shd w:val="clear" w:color="auto" w:fill="92D050"/>
            <w:noWrap/>
            <w:vAlign w:val="bottom"/>
            <w:hideMark/>
          </w:tcPr>
          <w:p w:rsidR="00AB2620" w:rsidRPr="00DE62B6" w:rsidRDefault="00AB2620" w:rsidP="00DE62B6">
            <w:pPr>
              <w:spacing w:before="240" w:after="0"/>
              <w:jc w:val="center"/>
              <w:rPr>
                <w:rFonts w:ascii="Times New Roman" w:hAnsi="Times New Roman" w:cs="Times New Roman"/>
                <w:b/>
                <w:color w:val="1F497D" w:themeColor="text2"/>
                <w:sz w:val="20"/>
                <w:szCs w:val="20"/>
              </w:rPr>
            </w:pPr>
            <w:r w:rsidRPr="00DE62B6">
              <w:rPr>
                <w:rFonts w:ascii="Times New Roman" w:hAnsi="Times New Roman" w:cs="Times New Roman"/>
                <w:b/>
                <w:color w:val="1F497D" w:themeColor="text2"/>
                <w:sz w:val="20"/>
                <w:szCs w:val="20"/>
              </w:rPr>
              <w:t>2 536 000</w:t>
            </w:r>
          </w:p>
        </w:tc>
        <w:tc>
          <w:tcPr>
            <w:tcW w:w="565" w:type="pct"/>
            <w:shd w:val="clear" w:color="auto" w:fill="92D050"/>
          </w:tcPr>
          <w:p w:rsidR="00AB2620" w:rsidRPr="00DE62B6" w:rsidRDefault="00AB2620" w:rsidP="00DE62B6">
            <w:pPr>
              <w:spacing w:before="240" w:after="0"/>
              <w:jc w:val="center"/>
              <w:rPr>
                <w:rFonts w:ascii="Times New Roman" w:hAnsi="Times New Roman" w:cs="Times New Roman"/>
                <w:b/>
                <w:color w:val="1F497D" w:themeColor="text2"/>
                <w:sz w:val="20"/>
                <w:szCs w:val="20"/>
              </w:rPr>
            </w:pPr>
          </w:p>
        </w:tc>
      </w:tr>
    </w:tbl>
    <w:p w:rsidR="00231EBE" w:rsidRPr="00DE62B6" w:rsidRDefault="00231EBE"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color w:val="1F497D" w:themeColor="text2"/>
          <w:sz w:val="24"/>
          <w:szCs w:val="24"/>
        </w:rPr>
        <w:t xml:space="preserve">Pour l'acquisition de certains matériels notamment les chambres froides, </w:t>
      </w:r>
      <w:r w:rsidR="002A3BCF" w:rsidRPr="00DE62B6">
        <w:rPr>
          <w:rFonts w:ascii="Times New Roman" w:hAnsi="Times New Roman" w:cs="Times New Roman"/>
          <w:color w:val="1F497D" w:themeColor="text2"/>
          <w:sz w:val="24"/>
          <w:szCs w:val="24"/>
        </w:rPr>
        <w:t xml:space="preserve">les procédures de l'UNICEF seront suivies suivant le mémorandum d'entente </w:t>
      </w:r>
      <w:r w:rsidR="00492276" w:rsidRPr="00DE62B6">
        <w:rPr>
          <w:rFonts w:ascii="Times New Roman" w:hAnsi="Times New Roman" w:cs="Times New Roman"/>
          <w:color w:val="1F497D" w:themeColor="text2"/>
          <w:sz w:val="24"/>
          <w:szCs w:val="24"/>
        </w:rPr>
        <w:t xml:space="preserve">signé </w:t>
      </w:r>
      <w:r w:rsidR="002A3BCF" w:rsidRPr="00DE62B6">
        <w:rPr>
          <w:rFonts w:ascii="Times New Roman" w:hAnsi="Times New Roman" w:cs="Times New Roman"/>
          <w:color w:val="1F497D" w:themeColor="text2"/>
          <w:sz w:val="24"/>
          <w:szCs w:val="24"/>
        </w:rPr>
        <w:t xml:space="preserve">entre l'UNICEF et l'État </w:t>
      </w:r>
      <w:r w:rsidR="00B914D2" w:rsidRPr="00DE62B6">
        <w:rPr>
          <w:rFonts w:ascii="Times New Roman" w:hAnsi="Times New Roman" w:cs="Times New Roman"/>
          <w:color w:val="1F497D" w:themeColor="text2"/>
          <w:sz w:val="24"/>
          <w:szCs w:val="24"/>
        </w:rPr>
        <w:t>Malien.</w:t>
      </w:r>
      <w:r w:rsidR="006B6D72" w:rsidRPr="00DE62B6">
        <w:rPr>
          <w:rFonts w:ascii="Times New Roman" w:hAnsi="Times New Roman" w:cs="Times New Roman"/>
          <w:color w:val="1F497D" w:themeColor="text2"/>
          <w:sz w:val="24"/>
          <w:szCs w:val="24"/>
        </w:rPr>
        <w:t>(Ci-joint ledit mémorandum)</w:t>
      </w:r>
    </w:p>
    <w:p w:rsidR="00C005B9" w:rsidRPr="00DE62B6" w:rsidRDefault="00C005B9" w:rsidP="00DE62B6">
      <w:pPr>
        <w:autoSpaceDE w:val="0"/>
        <w:autoSpaceDN w:val="0"/>
        <w:adjustRightInd w:val="0"/>
        <w:spacing w:before="120" w:after="120" w:line="240" w:lineRule="auto"/>
        <w:jc w:val="both"/>
        <w:rPr>
          <w:rFonts w:ascii="Times New Roman" w:hAnsi="Times New Roman" w:cs="Times New Roman"/>
          <w:color w:val="1F497D" w:themeColor="text2"/>
          <w:sz w:val="24"/>
          <w:szCs w:val="24"/>
        </w:rPr>
      </w:pPr>
      <w:r w:rsidRPr="00DE62B6">
        <w:rPr>
          <w:rFonts w:ascii="Times New Roman" w:hAnsi="Times New Roman" w:cs="Times New Roman"/>
          <w:color w:val="1F497D" w:themeColor="text2"/>
          <w:sz w:val="24"/>
          <w:szCs w:val="24"/>
        </w:rPr>
        <w:t>Pour le reste des acquisitions, les procédures de l'État seront utilisées.</w:t>
      </w:r>
    </w:p>
    <w:p w:rsidR="008D06C8" w:rsidRPr="00DE62B6" w:rsidRDefault="00C606CE" w:rsidP="00DE62B6">
      <w:pPr>
        <w:autoSpaceDE w:val="0"/>
        <w:autoSpaceDN w:val="0"/>
        <w:adjustRightInd w:val="0"/>
        <w:spacing w:before="120" w:after="120" w:line="240" w:lineRule="auto"/>
        <w:jc w:val="both"/>
        <w:rPr>
          <w:rFonts w:ascii="Times New Roman" w:hAnsi="Times New Roman" w:cs="Times New Roman"/>
          <w:color w:val="141414"/>
          <w:sz w:val="24"/>
          <w:szCs w:val="24"/>
        </w:rPr>
      </w:pPr>
      <w:r w:rsidRPr="00DE62B6">
        <w:rPr>
          <w:rFonts w:ascii="Times New Roman" w:hAnsi="Times New Roman" w:cs="Times New Roman"/>
          <w:color w:val="000000"/>
          <w:sz w:val="24"/>
          <w:szCs w:val="24"/>
        </w:rPr>
        <w:t>2.</w:t>
      </w:r>
      <w:r w:rsidR="008D06C8" w:rsidRPr="00DE62B6">
        <w:rPr>
          <w:rFonts w:ascii="Times New Roman" w:hAnsi="Times New Roman" w:cs="Times New Roman"/>
          <w:color w:val="000000"/>
          <w:sz w:val="24"/>
          <w:szCs w:val="24"/>
        </w:rPr>
        <w:t xml:space="preserve">4) </w:t>
      </w:r>
      <w:r w:rsidR="0030483D" w:rsidRPr="00DE62B6">
        <w:rPr>
          <w:rFonts w:ascii="Times New Roman" w:hAnsi="Times New Roman" w:cs="Times New Roman"/>
          <w:color w:val="000000"/>
          <w:sz w:val="24"/>
          <w:szCs w:val="24"/>
        </w:rPr>
        <w:t>Équité</w:t>
      </w:r>
      <w:r w:rsidR="008D06C8" w:rsidRPr="00DE62B6">
        <w:rPr>
          <w:rFonts w:ascii="Times New Roman" w:hAnsi="Times New Roman" w:cs="Times New Roman"/>
          <w:color w:val="000000"/>
          <w:sz w:val="24"/>
          <w:szCs w:val="24"/>
        </w:rPr>
        <w:t xml:space="preserve"> entre hommes et femmes: Fournir une clarificatio</w:t>
      </w:r>
      <w:r w:rsidR="009D385A" w:rsidRPr="00DE62B6">
        <w:rPr>
          <w:rFonts w:ascii="Times New Roman" w:hAnsi="Times New Roman" w:cs="Times New Roman"/>
          <w:color w:val="000000"/>
          <w:sz w:val="24"/>
          <w:szCs w:val="24"/>
        </w:rPr>
        <w:t xml:space="preserve">n sur les stratégies qui seront </w:t>
      </w:r>
      <w:r w:rsidR="008D06C8" w:rsidRPr="00DE62B6">
        <w:rPr>
          <w:rFonts w:ascii="Times New Roman" w:hAnsi="Times New Roman" w:cs="Times New Roman"/>
          <w:color w:val="000000"/>
          <w:sz w:val="24"/>
          <w:szCs w:val="24"/>
        </w:rPr>
        <w:t>utilisées pour inciter les mères à faire vacciner leurs en</w:t>
      </w:r>
      <w:r w:rsidR="009D385A" w:rsidRPr="00DE62B6">
        <w:rPr>
          <w:rFonts w:ascii="Times New Roman" w:hAnsi="Times New Roman" w:cs="Times New Roman"/>
          <w:color w:val="000000"/>
          <w:sz w:val="24"/>
          <w:szCs w:val="24"/>
        </w:rPr>
        <w:t xml:space="preserve">fants avec le soutien entier de </w:t>
      </w:r>
      <w:r w:rsidR="008D06C8" w:rsidRPr="00DE62B6">
        <w:rPr>
          <w:rFonts w:ascii="Times New Roman" w:hAnsi="Times New Roman" w:cs="Times New Roman"/>
          <w:color w:val="000000"/>
          <w:sz w:val="24"/>
          <w:szCs w:val="24"/>
        </w:rPr>
        <w:t>leur communauté</w:t>
      </w:r>
      <w:r w:rsidR="008D06C8" w:rsidRPr="00DE62B6">
        <w:rPr>
          <w:rFonts w:ascii="Times New Roman" w:hAnsi="Times New Roman" w:cs="Times New Roman"/>
          <w:color w:val="282828"/>
          <w:sz w:val="24"/>
          <w:szCs w:val="24"/>
        </w:rPr>
        <w:t xml:space="preserve">, </w:t>
      </w:r>
      <w:r w:rsidR="008D06C8" w:rsidRPr="00DE62B6">
        <w:rPr>
          <w:rFonts w:ascii="Times New Roman" w:hAnsi="Times New Roman" w:cs="Times New Roman"/>
          <w:color w:val="141414"/>
          <w:sz w:val="24"/>
          <w:szCs w:val="24"/>
        </w:rPr>
        <w:t>y compris des mesures spécifiques relatives aux heures de</w:t>
      </w:r>
      <w:r w:rsidR="001551AB">
        <w:rPr>
          <w:rFonts w:ascii="Times New Roman" w:hAnsi="Times New Roman" w:cs="Times New Roman"/>
          <w:color w:val="141414"/>
          <w:sz w:val="24"/>
          <w:szCs w:val="24"/>
        </w:rPr>
        <w:t xml:space="preserve"> </w:t>
      </w:r>
      <w:r w:rsidR="008D06C8" w:rsidRPr="00DE62B6">
        <w:rPr>
          <w:rFonts w:ascii="Times New Roman" w:hAnsi="Times New Roman" w:cs="Times New Roman"/>
          <w:color w:val="141414"/>
          <w:sz w:val="24"/>
          <w:szCs w:val="24"/>
        </w:rPr>
        <w:t>consultation, à la formation ou au personnel et celles concernant les messages</w:t>
      </w:r>
      <w:r w:rsidR="001551AB">
        <w:rPr>
          <w:rFonts w:ascii="Times New Roman" w:hAnsi="Times New Roman" w:cs="Times New Roman"/>
          <w:color w:val="141414"/>
          <w:sz w:val="24"/>
          <w:szCs w:val="24"/>
        </w:rPr>
        <w:t xml:space="preserve"> </w:t>
      </w:r>
      <w:r w:rsidR="008D06C8" w:rsidRPr="00DE62B6">
        <w:rPr>
          <w:rFonts w:ascii="Times New Roman" w:hAnsi="Times New Roman" w:cs="Times New Roman"/>
          <w:color w:val="141414"/>
          <w:sz w:val="24"/>
          <w:szCs w:val="24"/>
        </w:rPr>
        <w:t xml:space="preserve">Information/ </w:t>
      </w:r>
      <w:r w:rsidR="0030483D" w:rsidRPr="00DE62B6">
        <w:rPr>
          <w:rFonts w:ascii="Times New Roman" w:hAnsi="Times New Roman" w:cs="Times New Roman"/>
          <w:color w:val="141414"/>
          <w:sz w:val="24"/>
          <w:szCs w:val="24"/>
        </w:rPr>
        <w:t>Éducation</w:t>
      </w:r>
      <w:r w:rsidR="008D06C8" w:rsidRPr="00DE62B6">
        <w:rPr>
          <w:rFonts w:ascii="Times New Roman" w:hAnsi="Times New Roman" w:cs="Times New Roman"/>
          <w:color w:val="141414"/>
          <w:sz w:val="24"/>
          <w:szCs w:val="24"/>
        </w:rPr>
        <w:t>/ Communication (lEC).</w:t>
      </w:r>
    </w:p>
    <w:p w:rsidR="00415970" w:rsidRPr="00DE62B6" w:rsidRDefault="00392A26"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Depuis un certain nombre d'année, le Mali a adopté</w:t>
      </w:r>
      <w:r w:rsidR="00415970" w:rsidRPr="00DE62B6">
        <w:rPr>
          <w:rFonts w:ascii="Times New Roman" w:hAnsi="Times New Roman" w:cs="Times New Roman"/>
          <w:b/>
          <w:color w:val="1F497D" w:themeColor="text2"/>
          <w:sz w:val="24"/>
          <w:szCs w:val="24"/>
        </w:rPr>
        <w:t xml:space="preserve"> certaines</w:t>
      </w:r>
      <w:r w:rsidRPr="00DE62B6">
        <w:rPr>
          <w:rFonts w:ascii="Times New Roman" w:hAnsi="Times New Roman" w:cs="Times New Roman"/>
          <w:b/>
          <w:color w:val="1F497D" w:themeColor="text2"/>
          <w:sz w:val="24"/>
          <w:szCs w:val="24"/>
        </w:rPr>
        <w:t xml:space="preserve"> stratégie</w:t>
      </w:r>
      <w:r w:rsidR="003F5284" w:rsidRPr="00DE62B6">
        <w:rPr>
          <w:rFonts w:ascii="Times New Roman" w:hAnsi="Times New Roman" w:cs="Times New Roman"/>
          <w:b/>
          <w:color w:val="1F497D" w:themeColor="text2"/>
          <w:sz w:val="24"/>
          <w:szCs w:val="24"/>
        </w:rPr>
        <w:t>s</w:t>
      </w:r>
      <w:r w:rsidR="00415970" w:rsidRPr="00DE62B6">
        <w:rPr>
          <w:rFonts w:ascii="Times New Roman" w:hAnsi="Times New Roman" w:cs="Times New Roman"/>
          <w:b/>
          <w:color w:val="1F497D" w:themeColor="text2"/>
          <w:sz w:val="24"/>
          <w:szCs w:val="24"/>
        </w:rPr>
        <w:t xml:space="preserve"> telles que :</w:t>
      </w:r>
    </w:p>
    <w:p w:rsidR="00415970" w:rsidRPr="00DE62B6" w:rsidRDefault="00415970" w:rsidP="00DE62B6">
      <w:pPr>
        <w:pStyle w:val="Paragraphedeliste"/>
        <w:numPr>
          <w:ilvl w:val="0"/>
          <w:numId w:val="5"/>
        </w:num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 xml:space="preserve">La </w:t>
      </w:r>
      <w:r w:rsidR="00392A26" w:rsidRPr="00DE62B6">
        <w:rPr>
          <w:rFonts w:ascii="Times New Roman" w:hAnsi="Times New Roman" w:cs="Times New Roman"/>
          <w:b/>
          <w:color w:val="1F497D" w:themeColor="text2"/>
          <w:sz w:val="24"/>
          <w:szCs w:val="24"/>
        </w:rPr>
        <w:t xml:space="preserve">distribution </w:t>
      </w:r>
      <w:r w:rsidR="003F5284" w:rsidRPr="00DE62B6">
        <w:rPr>
          <w:rFonts w:ascii="Times New Roman" w:hAnsi="Times New Roman" w:cs="Times New Roman"/>
          <w:b/>
          <w:color w:val="1F497D" w:themeColor="text2"/>
          <w:sz w:val="24"/>
          <w:szCs w:val="24"/>
        </w:rPr>
        <w:t xml:space="preserve">gratuite </w:t>
      </w:r>
      <w:r w:rsidR="00392A26" w:rsidRPr="00DE62B6">
        <w:rPr>
          <w:rFonts w:ascii="Times New Roman" w:hAnsi="Times New Roman" w:cs="Times New Roman"/>
          <w:b/>
          <w:color w:val="1F497D" w:themeColor="text2"/>
          <w:sz w:val="24"/>
          <w:szCs w:val="24"/>
        </w:rPr>
        <w:t>des m</w:t>
      </w:r>
      <w:r w:rsidR="003E049F" w:rsidRPr="00DE62B6">
        <w:rPr>
          <w:rFonts w:ascii="Times New Roman" w:hAnsi="Times New Roman" w:cs="Times New Roman"/>
          <w:b/>
          <w:color w:val="1F497D" w:themeColor="text2"/>
          <w:sz w:val="24"/>
          <w:szCs w:val="24"/>
        </w:rPr>
        <w:t>oustiquaires imprégné</w:t>
      </w:r>
      <w:r w:rsidR="006703F3" w:rsidRPr="00DE62B6">
        <w:rPr>
          <w:rFonts w:ascii="Times New Roman" w:hAnsi="Times New Roman" w:cs="Times New Roman"/>
          <w:b/>
          <w:color w:val="1F497D" w:themeColor="text2"/>
          <w:sz w:val="24"/>
          <w:szCs w:val="24"/>
        </w:rPr>
        <w:t>e</w:t>
      </w:r>
      <w:r w:rsidR="003E049F" w:rsidRPr="00DE62B6">
        <w:rPr>
          <w:rFonts w:ascii="Times New Roman" w:hAnsi="Times New Roman" w:cs="Times New Roman"/>
          <w:b/>
          <w:color w:val="1F497D" w:themeColor="text2"/>
          <w:sz w:val="24"/>
          <w:szCs w:val="24"/>
        </w:rPr>
        <w:t xml:space="preserve">s d'insecticide </w:t>
      </w:r>
      <w:r w:rsidR="00130FCA" w:rsidRPr="00DE62B6">
        <w:rPr>
          <w:rFonts w:ascii="Times New Roman" w:hAnsi="Times New Roman" w:cs="Times New Roman"/>
          <w:b/>
          <w:color w:val="1F497D" w:themeColor="text2"/>
          <w:sz w:val="24"/>
          <w:szCs w:val="24"/>
        </w:rPr>
        <w:t>de</w:t>
      </w:r>
      <w:r w:rsidR="003E049F" w:rsidRPr="00DE62B6">
        <w:rPr>
          <w:rFonts w:ascii="Times New Roman" w:hAnsi="Times New Roman" w:cs="Times New Roman"/>
          <w:b/>
          <w:color w:val="1F497D" w:themeColor="text2"/>
          <w:sz w:val="24"/>
          <w:szCs w:val="24"/>
        </w:rPr>
        <w:t xml:space="preserve"> longue durée d'actions (MILDA)</w:t>
      </w:r>
      <w:r w:rsidR="00C0492B" w:rsidRPr="00DE62B6">
        <w:rPr>
          <w:rFonts w:ascii="Times New Roman" w:hAnsi="Times New Roman" w:cs="Times New Roman"/>
          <w:b/>
          <w:color w:val="1F497D" w:themeColor="text2"/>
          <w:sz w:val="24"/>
          <w:szCs w:val="24"/>
        </w:rPr>
        <w:t xml:space="preserve"> a</w:t>
      </w:r>
      <w:r w:rsidR="00A374DF" w:rsidRPr="00DE62B6">
        <w:rPr>
          <w:rFonts w:ascii="Times New Roman" w:hAnsi="Times New Roman" w:cs="Times New Roman"/>
          <w:b/>
          <w:color w:val="1F497D" w:themeColor="text2"/>
          <w:sz w:val="24"/>
          <w:szCs w:val="24"/>
        </w:rPr>
        <w:t>vec le concours des partenaires,</w:t>
      </w:r>
      <w:r w:rsidR="001551AB">
        <w:rPr>
          <w:rFonts w:ascii="Times New Roman" w:hAnsi="Times New Roman" w:cs="Times New Roman"/>
          <w:b/>
          <w:color w:val="1F497D" w:themeColor="text2"/>
          <w:sz w:val="24"/>
          <w:szCs w:val="24"/>
        </w:rPr>
        <w:t xml:space="preserve"> </w:t>
      </w:r>
      <w:r w:rsidR="0057507B" w:rsidRPr="00DE62B6">
        <w:rPr>
          <w:rFonts w:ascii="Times New Roman" w:hAnsi="Times New Roman" w:cs="Times New Roman"/>
          <w:b/>
          <w:color w:val="1F497D" w:themeColor="text2"/>
          <w:sz w:val="24"/>
          <w:szCs w:val="24"/>
        </w:rPr>
        <w:t>aux</w:t>
      </w:r>
      <w:r w:rsidR="006703F3" w:rsidRPr="00DE62B6">
        <w:rPr>
          <w:rFonts w:ascii="Times New Roman" w:hAnsi="Times New Roman" w:cs="Times New Roman"/>
          <w:b/>
          <w:color w:val="1F497D" w:themeColor="text2"/>
          <w:sz w:val="24"/>
          <w:szCs w:val="24"/>
        </w:rPr>
        <w:t xml:space="preserve"> mères </w:t>
      </w:r>
      <w:r w:rsidR="0057507B" w:rsidRPr="00DE62B6">
        <w:rPr>
          <w:rFonts w:ascii="Times New Roman" w:hAnsi="Times New Roman" w:cs="Times New Roman"/>
          <w:b/>
          <w:color w:val="1F497D" w:themeColor="text2"/>
          <w:sz w:val="24"/>
          <w:szCs w:val="24"/>
        </w:rPr>
        <w:t xml:space="preserve">d'enfants </w:t>
      </w:r>
      <w:r w:rsidRPr="00DE62B6">
        <w:rPr>
          <w:rFonts w:ascii="Times New Roman" w:hAnsi="Times New Roman" w:cs="Times New Roman"/>
          <w:b/>
          <w:color w:val="1F497D" w:themeColor="text2"/>
          <w:sz w:val="24"/>
          <w:szCs w:val="24"/>
        </w:rPr>
        <w:t xml:space="preserve">complètement </w:t>
      </w:r>
      <w:r w:rsidR="0057507B" w:rsidRPr="00DE62B6">
        <w:rPr>
          <w:rFonts w:ascii="Times New Roman" w:hAnsi="Times New Roman" w:cs="Times New Roman"/>
          <w:b/>
          <w:color w:val="1F497D" w:themeColor="text2"/>
          <w:sz w:val="24"/>
          <w:szCs w:val="24"/>
        </w:rPr>
        <w:t>vaccinés</w:t>
      </w:r>
      <w:r w:rsidR="00130FCA" w:rsidRPr="00DE62B6">
        <w:rPr>
          <w:rFonts w:ascii="Times New Roman" w:hAnsi="Times New Roman" w:cs="Times New Roman"/>
          <w:b/>
          <w:color w:val="1F497D" w:themeColor="text2"/>
          <w:sz w:val="24"/>
          <w:szCs w:val="24"/>
        </w:rPr>
        <w:t xml:space="preserve"> et aux femmes enceintes</w:t>
      </w:r>
      <w:r w:rsidRPr="00DE62B6">
        <w:rPr>
          <w:rFonts w:ascii="Times New Roman" w:hAnsi="Times New Roman" w:cs="Times New Roman"/>
          <w:b/>
          <w:color w:val="1F497D" w:themeColor="text2"/>
          <w:sz w:val="24"/>
          <w:szCs w:val="24"/>
        </w:rPr>
        <w:t> ;</w:t>
      </w:r>
    </w:p>
    <w:p w:rsidR="00415970" w:rsidRPr="00DE62B6" w:rsidRDefault="00415970" w:rsidP="00DE62B6">
      <w:pPr>
        <w:pStyle w:val="Paragraphedeliste"/>
        <w:numPr>
          <w:ilvl w:val="0"/>
          <w:numId w:val="5"/>
        </w:num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L</w:t>
      </w:r>
      <w:r w:rsidR="002D592F" w:rsidRPr="00DE62B6">
        <w:rPr>
          <w:rFonts w:ascii="Times New Roman" w:hAnsi="Times New Roman" w:cs="Times New Roman"/>
          <w:b/>
          <w:color w:val="1F497D" w:themeColor="text2"/>
          <w:sz w:val="24"/>
          <w:szCs w:val="24"/>
        </w:rPr>
        <w:t xml:space="preserve">a distribution </w:t>
      </w:r>
      <w:r w:rsidR="0041794A" w:rsidRPr="00DE62B6">
        <w:rPr>
          <w:rFonts w:ascii="Times New Roman" w:hAnsi="Times New Roman" w:cs="Times New Roman"/>
          <w:b/>
          <w:color w:val="1F497D" w:themeColor="text2"/>
          <w:sz w:val="24"/>
          <w:szCs w:val="24"/>
        </w:rPr>
        <w:t>trimestrielle</w:t>
      </w:r>
      <w:r w:rsidR="001551AB">
        <w:rPr>
          <w:rFonts w:ascii="Times New Roman" w:hAnsi="Times New Roman" w:cs="Times New Roman"/>
          <w:b/>
          <w:color w:val="1F497D" w:themeColor="text2"/>
          <w:sz w:val="24"/>
          <w:szCs w:val="24"/>
        </w:rPr>
        <w:t xml:space="preserve"> </w:t>
      </w:r>
      <w:r w:rsidR="002D592F" w:rsidRPr="00DE62B6">
        <w:rPr>
          <w:rFonts w:ascii="Times New Roman" w:hAnsi="Times New Roman" w:cs="Times New Roman"/>
          <w:b/>
          <w:color w:val="1F497D" w:themeColor="text2"/>
          <w:sz w:val="24"/>
          <w:szCs w:val="24"/>
        </w:rPr>
        <w:t>de complément</w:t>
      </w:r>
      <w:r w:rsidR="0041794A" w:rsidRPr="00DE62B6">
        <w:rPr>
          <w:rFonts w:ascii="Times New Roman" w:hAnsi="Times New Roman" w:cs="Times New Roman"/>
          <w:b/>
          <w:color w:val="1F497D" w:themeColor="text2"/>
          <w:sz w:val="24"/>
          <w:szCs w:val="24"/>
        </w:rPr>
        <w:t>s</w:t>
      </w:r>
      <w:r w:rsidR="002D592F" w:rsidRPr="00DE62B6">
        <w:rPr>
          <w:rFonts w:ascii="Times New Roman" w:hAnsi="Times New Roman" w:cs="Times New Roman"/>
          <w:b/>
          <w:color w:val="1F497D" w:themeColor="text2"/>
          <w:sz w:val="24"/>
          <w:szCs w:val="24"/>
        </w:rPr>
        <w:t xml:space="preserve"> nutritionnel</w:t>
      </w:r>
      <w:r w:rsidR="0041794A" w:rsidRPr="00DE62B6">
        <w:rPr>
          <w:rFonts w:ascii="Times New Roman" w:hAnsi="Times New Roman" w:cs="Times New Roman"/>
          <w:b/>
          <w:color w:val="1F497D" w:themeColor="text2"/>
          <w:sz w:val="24"/>
          <w:szCs w:val="24"/>
        </w:rPr>
        <w:t>s (</w:t>
      </w:r>
      <w:r w:rsidR="00F2369F" w:rsidRPr="00DE62B6">
        <w:rPr>
          <w:rFonts w:ascii="Times New Roman" w:hAnsi="Times New Roman" w:cs="Times New Roman"/>
          <w:b/>
          <w:color w:val="1F497D" w:themeColor="text2"/>
          <w:sz w:val="24"/>
          <w:szCs w:val="24"/>
        </w:rPr>
        <w:t>farine enri</w:t>
      </w:r>
      <w:r w:rsidR="003F5284" w:rsidRPr="00DE62B6">
        <w:rPr>
          <w:rFonts w:ascii="Times New Roman" w:hAnsi="Times New Roman" w:cs="Times New Roman"/>
          <w:b/>
          <w:color w:val="1F497D" w:themeColor="text2"/>
          <w:sz w:val="24"/>
          <w:szCs w:val="24"/>
        </w:rPr>
        <w:t>chi</w:t>
      </w:r>
      <w:r w:rsidR="00C0492B" w:rsidRPr="00DE62B6">
        <w:rPr>
          <w:rFonts w:ascii="Times New Roman" w:hAnsi="Times New Roman" w:cs="Times New Roman"/>
          <w:b/>
          <w:color w:val="1F497D" w:themeColor="text2"/>
          <w:sz w:val="24"/>
          <w:szCs w:val="24"/>
        </w:rPr>
        <w:t>e</w:t>
      </w:r>
      <w:r w:rsidR="003F5284" w:rsidRPr="00DE62B6">
        <w:rPr>
          <w:rFonts w:ascii="Times New Roman" w:hAnsi="Times New Roman" w:cs="Times New Roman"/>
          <w:b/>
          <w:color w:val="1F497D" w:themeColor="text2"/>
          <w:sz w:val="24"/>
          <w:szCs w:val="24"/>
        </w:rPr>
        <w:t>, petit poi</w:t>
      </w:r>
      <w:r w:rsidR="00F51F72" w:rsidRPr="00DE62B6">
        <w:rPr>
          <w:rFonts w:ascii="Times New Roman" w:hAnsi="Times New Roman" w:cs="Times New Roman"/>
          <w:b/>
          <w:color w:val="1F497D" w:themeColor="text2"/>
          <w:sz w:val="24"/>
          <w:szCs w:val="24"/>
        </w:rPr>
        <w:t>s</w:t>
      </w:r>
      <w:r w:rsidR="003D7A0D" w:rsidRPr="00DE62B6">
        <w:rPr>
          <w:rFonts w:ascii="Times New Roman" w:hAnsi="Times New Roman" w:cs="Times New Roman"/>
          <w:b/>
          <w:color w:val="1F497D" w:themeColor="text2"/>
          <w:sz w:val="24"/>
          <w:szCs w:val="24"/>
        </w:rPr>
        <w:t xml:space="preserve"> sec</w:t>
      </w:r>
      <w:r w:rsidR="00F51F72" w:rsidRPr="00DE62B6">
        <w:rPr>
          <w:rFonts w:ascii="Times New Roman" w:hAnsi="Times New Roman" w:cs="Times New Roman"/>
          <w:b/>
          <w:color w:val="1F497D" w:themeColor="text2"/>
          <w:sz w:val="24"/>
          <w:szCs w:val="24"/>
        </w:rPr>
        <w:t>, sucre, huile</w:t>
      </w:r>
      <w:r w:rsidR="003D7A0D" w:rsidRPr="00DE62B6">
        <w:rPr>
          <w:rFonts w:ascii="Times New Roman" w:hAnsi="Times New Roman" w:cs="Times New Roman"/>
          <w:b/>
          <w:color w:val="1F497D" w:themeColor="text2"/>
          <w:sz w:val="24"/>
          <w:szCs w:val="24"/>
        </w:rPr>
        <w:t xml:space="preserve"> etc.</w:t>
      </w:r>
      <w:r w:rsidR="00F51F72" w:rsidRPr="00DE62B6">
        <w:rPr>
          <w:rFonts w:ascii="Times New Roman" w:hAnsi="Times New Roman" w:cs="Times New Roman"/>
          <w:b/>
          <w:color w:val="1F497D" w:themeColor="text2"/>
          <w:sz w:val="24"/>
          <w:szCs w:val="24"/>
        </w:rPr>
        <w:t>)</w:t>
      </w:r>
      <w:r w:rsidR="003D7A0D" w:rsidRPr="00DE62B6">
        <w:rPr>
          <w:rFonts w:ascii="Times New Roman" w:hAnsi="Times New Roman" w:cs="Times New Roman"/>
          <w:b/>
          <w:color w:val="1F497D" w:themeColor="text2"/>
          <w:sz w:val="24"/>
          <w:szCs w:val="24"/>
        </w:rPr>
        <w:t>avec le concours</w:t>
      </w:r>
      <w:r w:rsidR="00F2369F" w:rsidRPr="00DE62B6">
        <w:rPr>
          <w:rFonts w:ascii="Times New Roman" w:hAnsi="Times New Roman" w:cs="Times New Roman"/>
          <w:b/>
          <w:color w:val="1F497D" w:themeColor="text2"/>
          <w:sz w:val="24"/>
          <w:szCs w:val="24"/>
        </w:rPr>
        <w:t xml:space="preserve"> des p</w:t>
      </w:r>
      <w:r w:rsidR="00F51F72" w:rsidRPr="00DE62B6">
        <w:rPr>
          <w:rFonts w:ascii="Times New Roman" w:hAnsi="Times New Roman" w:cs="Times New Roman"/>
          <w:b/>
          <w:color w:val="1F497D" w:themeColor="text2"/>
          <w:sz w:val="24"/>
          <w:szCs w:val="24"/>
        </w:rPr>
        <w:t>artenaires,</w:t>
      </w:r>
      <w:r w:rsidR="001551AB">
        <w:rPr>
          <w:rFonts w:ascii="Times New Roman" w:hAnsi="Times New Roman" w:cs="Times New Roman"/>
          <w:b/>
          <w:color w:val="1F497D" w:themeColor="text2"/>
          <w:sz w:val="24"/>
          <w:szCs w:val="24"/>
        </w:rPr>
        <w:t xml:space="preserve"> </w:t>
      </w:r>
      <w:r w:rsidR="00F51F72" w:rsidRPr="00DE62B6">
        <w:rPr>
          <w:rFonts w:ascii="Times New Roman" w:hAnsi="Times New Roman" w:cs="Times New Roman"/>
          <w:b/>
          <w:color w:val="1F497D" w:themeColor="text2"/>
          <w:sz w:val="24"/>
          <w:szCs w:val="24"/>
        </w:rPr>
        <w:t>au</w:t>
      </w:r>
      <w:r w:rsidR="0041794A" w:rsidRPr="00DE62B6">
        <w:rPr>
          <w:rFonts w:ascii="Times New Roman" w:hAnsi="Times New Roman" w:cs="Times New Roman"/>
          <w:b/>
          <w:color w:val="1F497D" w:themeColor="text2"/>
          <w:sz w:val="24"/>
          <w:szCs w:val="24"/>
        </w:rPr>
        <w:t>x</w:t>
      </w:r>
      <w:r w:rsidR="00F51F72" w:rsidRPr="00DE62B6">
        <w:rPr>
          <w:rFonts w:ascii="Times New Roman" w:hAnsi="Times New Roman" w:cs="Times New Roman"/>
          <w:b/>
          <w:color w:val="1F497D" w:themeColor="text2"/>
          <w:sz w:val="24"/>
          <w:szCs w:val="24"/>
        </w:rPr>
        <w:t xml:space="preserve"> m</w:t>
      </w:r>
      <w:r w:rsidR="0041794A" w:rsidRPr="00DE62B6">
        <w:rPr>
          <w:rFonts w:ascii="Times New Roman" w:hAnsi="Times New Roman" w:cs="Times New Roman"/>
          <w:b/>
          <w:color w:val="1F497D" w:themeColor="text2"/>
          <w:sz w:val="24"/>
          <w:szCs w:val="24"/>
        </w:rPr>
        <w:t>ères qui amène</w:t>
      </w:r>
      <w:r w:rsidR="003D7A0D" w:rsidRPr="00DE62B6">
        <w:rPr>
          <w:rFonts w:ascii="Times New Roman" w:hAnsi="Times New Roman" w:cs="Times New Roman"/>
          <w:b/>
          <w:color w:val="1F497D" w:themeColor="text2"/>
          <w:sz w:val="24"/>
          <w:szCs w:val="24"/>
        </w:rPr>
        <w:t>nt régulièrement</w:t>
      </w:r>
      <w:r w:rsidRPr="00DE62B6">
        <w:rPr>
          <w:rFonts w:ascii="Times New Roman" w:hAnsi="Times New Roman" w:cs="Times New Roman"/>
          <w:b/>
          <w:color w:val="1F497D" w:themeColor="text2"/>
          <w:sz w:val="24"/>
          <w:szCs w:val="24"/>
        </w:rPr>
        <w:t xml:space="preserve"> leurs enfants à la vaccination ;</w:t>
      </w:r>
    </w:p>
    <w:p w:rsidR="00415970" w:rsidRPr="00DE62B6" w:rsidRDefault="00D951B9" w:rsidP="00DE62B6">
      <w:pPr>
        <w:pStyle w:val="Paragraphedeliste"/>
        <w:numPr>
          <w:ilvl w:val="0"/>
          <w:numId w:val="5"/>
        </w:num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Le Suivi Pr</w:t>
      </w:r>
      <w:r w:rsidR="00FF476A" w:rsidRPr="00DE62B6">
        <w:rPr>
          <w:rFonts w:ascii="Times New Roman" w:hAnsi="Times New Roman" w:cs="Times New Roman"/>
          <w:b/>
          <w:color w:val="1F497D" w:themeColor="text2"/>
          <w:sz w:val="24"/>
          <w:szCs w:val="24"/>
        </w:rPr>
        <w:t>é</w:t>
      </w:r>
      <w:r w:rsidRPr="00DE62B6">
        <w:rPr>
          <w:rFonts w:ascii="Times New Roman" w:hAnsi="Times New Roman" w:cs="Times New Roman"/>
          <w:b/>
          <w:color w:val="1F497D" w:themeColor="text2"/>
          <w:sz w:val="24"/>
          <w:szCs w:val="24"/>
        </w:rPr>
        <w:t xml:space="preserve">ventif de l'Enfant </w:t>
      </w:r>
      <w:r w:rsidR="00FF476A" w:rsidRPr="00DE62B6">
        <w:rPr>
          <w:rFonts w:ascii="Times New Roman" w:hAnsi="Times New Roman" w:cs="Times New Roman"/>
          <w:b/>
          <w:color w:val="1F497D" w:themeColor="text2"/>
          <w:sz w:val="24"/>
          <w:szCs w:val="24"/>
        </w:rPr>
        <w:t>(SPE) par l</w:t>
      </w:r>
      <w:r w:rsidR="00415970" w:rsidRPr="00DE62B6">
        <w:rPr>
          <w:rFonts w:ascii="Times New Roman" w:hAnsi="Times New Roman" w:cs="Times New Roman"/>
          <w:b/>
          <w:color w:val="1F497D" w:themeColor="text2"/>
          <w:sz w:val="24"/>
          <w:szCs w:val="24"/>
        </w:rPr>
        <w:t>a prise du poids et de la taille du b</w:t>
      </w:r>
      <w:r w:rsidR="00EB0B6B" w:rsidRPr="00DE62B6">
        <w:rPr>
          <w:rFonts w:ascii="Times New Roman" w:hAnsi="Times New Roman" w:cs="Times New Roman"/>
          <w:b/>
          <w:color w:val="1F497D" w:themeColor="text2"/>
          <w:sz w:val="24"/>
          <w:szCs w:val="24"/>
        </w:rPr>
        <w:t>é</w:t>
      </w:r>
      <w:r w:rsidR="001A34D1" w:rsidRPr="00DE62B6">
        <w:rPr>
          <w:rFonts w:ascii="Times New Roman" w:hAnsi="Times New Roman" w:cs="Times New Roman"/>
          <w:b/>
          <w:color w:val="1F497D" w:themeColor="text2"/>
          <w:sz w:val="24"/>
          <w:szCs w:val="24"/>
        </w:rPr>
        <w:t>bé est fait</w:t>
      </w:r>
      <w:r w:rsidR="00415970" w:rsidRPr="00DE62B6">
        <w:rPr>
          <w:rFonts w:ascii="Times New Roman" w:hAnsi="Times New Roman" w:cs="Times New Roman"/>
          <w:b/>
          <w:color w:val="1F497D" w:themeColor="text2"/>
          <w:sz w:val="24"/>
          <w:szCs w:val="24"/>
        </w:rPr>
        <w:t xml:space="preserve"> après la réception de chaque dose de vaccin et</w:t>
      </w:r>
      <w:r w:rsidR="00EB0B6B" w:rsidRPr="00DE62B6">
        <w:rPr>
          <w:rFonts w:ascii="Times New Roman" w:hAnsi="Times New Roman" w:cs="Times New Roman"/>
          <w:b/>
          <w:color w:val="1F497D" w:themeColor="text2"/>
          <w:sz w:val="24"/>
          <w:szCs w:val="24"/>
        </w:rPr>
        <w:t xml:space="preserve"> une</w:t>
      </w:r>
      <w:r w:rsidR="00415970" w:rsidRPr="00DE62B6">
        <w:rPr>
          <w:rFonts w:ascii="Times New Roman" w:hAnsi="Times New Roman" w:cs="Times New Roman"/>
          <w:b/>
          <w:color w:val="1F497D" w:themeColor="text2"/>
          <w:sz w:val="24"/>
          <w:szCs w:val="24"/>
        </w:rPr>
        <w:t xml:space="preserve"> remise de prix </w:t>
      </w:r>
      <w:r w:rsidR="00EB0B6B" w:rsidRPr="00DE62B6">
        <w:rPr>
          <w:rFonts w:ascii="Times New Roman" w:hAnsi="Times New Roman" w:cs="Times New Roman"/>
          <w:b/>
          <w:color w:val="1F497D" w:themeColor="text2"/>
          <w:sz w:val="24"/>
          <w:szCs w:val="24"/>
        </w:rPr>
        <w:t xml:space="preserve">est </w:t>
      </w:r>
      <w:r w:rsidR="00704D3E" w:rsidRPr="00DE62B6">
        <w:rPr>
          <w:rFonts w:ascii="Times New Roman" w:hAnsi="Times New Roman" w:cs="Times New Roman"/>
          <w:b/>
          <w:color w:val="1F497D" w:themeColor="text2"/>
          <w:sz w:val="24"/>
          <w:szCs w:val="24"/>
        </w:rPr>
        <w:t>faiteaux</w:t>
      </w:r>
      <w:r w:rsidR="00EB0B6B" w:rsidRPr="00DE62B6">
        <w:rPr>
          <w:rFonts w:ascii="Times New Roman" w:hAnsi="Times New Roman" w:cs="Times New Roman"/>
          <w:b/>
          <w:color w:val="1F497D" w:themeColor="text2"/>
          <w:sz w:val="24"/>
          <w:szCs w:val="24"/>
        </w:rPr>
        <w:t xml:space="preserve"> parents ayant</w:t>
      </w:r>
      <w:r w:rsidR="00415970" w:rsidRPr="00DE62B6">
        <w:rPr>
          <w:rFonts w:ascii="Times New Roman" w:hAnsi="Times New Roman" w:cs="Times New Roman"/>
          <w:b/>
          <w:color w:val="1F497D" w:themeColor="text2"/>
          <w:sz w:val="24"/>
          <w:szCs w:val="24"/>
        </w:rPr>
        <w:t xml:space="preserve"> des </w:t>
      </w:r>
      <w:r w:rsidRPr="00DE62B6">
        <w:rPr>
          <w:rFonts w:ascii="Times New Roman" w:hAnsi="Times New Roman" w:cs="Times New Roman"/>
          <w:b/>
          <w:color w:val="1F497D" w:themeColor="text2"/>
          <w:sz w:val="24"/>
          <w:szCs w:val="24"/>
        </w:rPr>
        <w:t>bébés</w:t>
      </w:r>
      <w:r w:rsidR="001551AB">
        <w:rPr>
          <w:rFonts w:ascii="Times New Roman" w:hAnsi="Times New Roman" w:cs="Times New Roman"/>
          <w:b/>
          <w:color w:val="1F497D" w:themeColor="text2"/>
          <w:sz w:val="24"/>
          <w:szCs w:val="24"/>
        </w:rPr>
        <w:t xml:space="preserve"> </w:t>
      </w:r>
      <w:r w:rsidR="00EB0B6B" w:rsidRPr="00DE62B6">
        <w:rPr>
          <w:rFonts w:ascii="Times New Roman" w:hAnsi="Times New Roman" w:cs="Times New Roman"/>
          <w:b/>
          <w:color w:val="1F497D" w:themeColor="text2"/>
          <w:sz w:val="24"/>
          <w:szCs w:val="24"/>
        </w:rPr>
        <w:t>en très bonne santé.</w:t>
      </w:r>
    </w:p>
    <w:p w:rsidR="00392A26" w:rsidRPr="00DE62B6" w:rsidRDefault="009C6982"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 xml:space="preserve"> C</w:t>
      </w:r>
      <w:r w:rsidR="00CD7366" w:rsidRPr="00DE62B6">
        <w:rPr>
          <w:rFonts w:ascii="Times New Roman" w:hAnsi="Times New Roman" w:cs="Times New Roman"/>
          <w:b/>
          <w:color w:val="1F497D" w:themeColor="text2"/>
          <w:sz w:val="24"/>
          <w:szCs w:val="24"/>
        </w:rPr>
        <w:t>es</w:t>
      </w:r>
      <w:r w:rsidRPr="00DE62B6">
        <w:rPr>
          <w:rFonts w:ascii="Times New Roman" w:hAnsi="Times New Roman" w:cs="Times New Roman"/>
          <w:b/>
          <w:color w:val="1F497D" w:themeColor="text2"/>
          <w:sz w:val="24"/>
          <w:szCs w:val="24"/>
        </w:rPr>
        <w:t xml:space="preserve"> stratégie</w:t>
      </w:r>
      <w:r w:rsidR="00CD7366" w:rsidRPr="00DE62B6">
        <w:rPr>
          <w:rFonts w:ascii="Times New Roman" w:hAnsi="Times New Roman" w:cs="Times New Roman"/>
          <w:b/>
          <w:color w:val="1F497D" w:themeColor="text2"/>
          <w:sz w:val="24"/>
          <w:szCs w:val="24"/>
        </w:rPr>
        <w:t>s</w:t>
      </w:r>
      <w:r w:rsidR="001551AB">
        <w:rPr>
          <w:rFonts w:ascii="Times New Roman" w:hAnsi="Times New Roman" w:cs="Times New Roman"/>
          <w:b/>
          <w:color w:val="1F497D" w:themeColor="text2"/>
          <w:sz w:val="24"/>
          <w:szCs w:val="24"/>
        </w:rPr>
        <w:t xml:space="preserve"> </w:t>
      </w:r>
      <w:r w:rsidR="00891F35" w:rsidRPr="00DE62B6">
        <w:rPr>
          <w:rFonts w:ascii="Times New Roman" w:hAnsi="Times New Roman" w:cs="Times New Roman"/>
          <w:b/>
          <w:color w:val="1F497D" w:themeColor="text2"/>
          <w:sz w:val="24"/>
          <w:szCs w:val="24"/>
        </w:rPr>
        <w:t>ont</w:t>
      </w:r>
      <w:r w:rsidR="001551AB">
        <w:rPr>
          <w:rFonts w:ascii="Times New Roman" w:hAnsi="Times New Roman" w:cs="Times New Roman"/>
          <w:b/>
          <w:color w:val="1F497D" w:themeColor="text2"/>
          <w:sz w:val="24"/>
          <w:szCs w:val="24"/>
        </w:rPr>
        <w:t xml:space="preserve"> </w:t>
      </w:r>
      <w:r w:rsidR="00FE36B8" w:rsidRPr="00DE62B6">
        <w:rPr>
          <w:rFonts w:ascii="Times New Roman" w:hAnsi="Times New Roman" w:cs="Times New Roman"/>
          <w:b/>
          <w:color w:val="1F497D" w:themeColor="text2"/>
          <w:sz w:val="24"/>
          <w:szCs w:val="24"/>
        </w:rPr>
        <w:t>motivé</w:t>
      </w:r>
      <w:r w:rsidR="001551AB">
        <w:rPr>
          <w:rFonts w:ascii="Times New Roman" w:hAnsi="Times New Roman" w:cs="Times New Roman"/>
          <w:b/>
          <w:color w:val="1F497D" w:themeColor="text2"/>
          <w:sz w:val="24"/>
          <w:szCs w:val="24"/>
        </w:rPr>
        <w:t xml:space="preserve"> </w:t>
      </w:r>
      <w:r w:rsidR="0002236E" w:rsidRPr="00DE62B6">
        <w:rPr>
          <w:rFonts w:ascii="Times New Roman" w:hAnsi="Times New Roman" w:cs="Times New Roman"/>
          <w:b/>
          <w:color w:val="1F497D" w:themeColor="text2"/>
          <w:sz w:val="24"/>
          <w:szCs w:val="24"/>
        </w:rPr>
        <w:t>les pères de famille</w:t>
      </w:r>
      <w:r w:rsidR="001551AB">
        <w:rPr>
          <w:rFonts w:ascii="Times New Roman" w:hAnsi="Times New Roman" w:cs="Times New Roman"/>
          <w:b/>
          <w:color w:val="1F497D" w:themeColor="text2"/>
          <w:sz w:val="24"/>
          <w:szCs w:val="24"/>
        </w:rPr>
        <w:t xml:space="preserve"> </w:t>
      </w:r>
      <w:r w:rsidR="00D77964" w:rsidRPr="00DE62B6">
        <w:rPr>
          <w:rFonts w:ascii="Times New Roman" w:hAnsi="Times New Roman" w:cs="Times New Roman"/>
          <w:b/>
          <w:color w:val="1F497D" w:themeColor="text2"/>
          <w:sz w:val="24"/>
          <w:szCs w:val="24"/>
        </w:rPr>
        <w:t xml:space="preserve">à </w:t>
      </w:r>
      <w:r w:rsidR="00FE36B8" w:rsidRPr="00DE62B6">
        <w:rPr>
          <w:rFonts w:ascii="Times New Roman" w:hAnsi="Times New Roman" w:cs="Times New Roman"/>
          <w:b/>
          <w:color w:val="1F497D" w:themeColor="text2"/>
          <w:sz w:val="24"/>
          <w:szCs w:val="24"/>
        </w:rPr>
        <w:t>faire vacciner les enfants</w:t>
      </w:r>
      <w:r w:rsidR="00EC2748" w:rsidRPr="00DE62B6">
        <w:rPr>
          <w:rFonts w:ascii="Times New Roman" w:hAnsi="Times New Roman" w:cs="Times New Roman"/>
          <w:b/>
          <w:color w:val="1F497D" w:themeColor="text2"/>
          <w:sz w:val="24"/>
          <w:szCs w:val="24"/>
        </w:rPr>
        <w:t>, les jours de vaccination</w:t>
      </w:r>
      <w:r w:rsidR="0002236E" w:rsidRPr="00DE62B6">
        <w:rPr>
          <w:rFonts w:ascii="Times New Roman" w:hAnsi="Times New Roman" w:cs="Times New Roman"/>
          <w:b/>
          <w:color w:val="1F497D" w:themeColor="text2"/>
          <w:sz w:val="24"/>
          <w:szCs w:val="24"/>
        </w:rPr>
        <w:t>,</w:t>
      </w:r>
      <w:r w:rsidR="00EC2748" w:rsidRPr="00DE62B6">
        <w:rPr>
          <w:rFonts w:ascii="Times New Roman" w:hAnsi="Times New Roman" w:cs="Times New Roman"/>
          <w:b/>
          <w:color w:val="1F497D" w:themeColor="text2"/>
          <w:sz w:val="24"/>
          <w:szCs w:val="24"/>
        </w:rPr>
        <w:t xml:space="preserve"> lorsque la mère n'es</w:t>
      </w:r>
      <w:r w:rsidRPr="00DE62B6">
        <w:rPr>
          <w:rFonts w:ascii="Times New Roman" w:hAnsi="Times New Roman" w:cs="Times New Roman"/>
          <w:b/>
          <w:color w:val="1F497D" w:themeColor="text2"/>
          <w:sz w:val="24"/>
          <w:szCs w:val="24"/>
        </w:rPr>
        <w:t>t pas disponible</w:t>
      </w:r>
      <w:r w:rsidR="00EC2748" w:rsidRPr="00DE62B6">
        <w:rPr>
          <w:rFonts w:ascii="Times New Roman" w:hAnsi="Times New Roman" w:cs="Times New Roman"/>
          <w:b/>
          <w:color w:val="1F497D" w:themeColor="text2"/>
          <w:sz w:val="24"/>
          <w:szCs w:val="24"/>
        </w:rPr>
        <w:t>.</w:t>
      </w:r>
    </w:p>
    <w:p w:rsidR="00EC07E3" w:rsidRPr="00DE62B6" w:rsidRDefault="00EC07E3"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Il faut égalemen</w:t>
      </w:r>
      <w:r w:rsidR="00585D38" w:rsidRPr="00DE62B6">
        <w:rPr>
          <w:rFonts w:ascii="Times New Roman" w:hAnsi="Times New Roman" w:cs="Times New Roman"/>
          <w:b/>
          <w:color w:val="1F497D" w:themeColor="text2"/>
          <w:sz w:val="24"/>
          <w:szCs w:val="24"/>
        </w:rPr>
        <w:t>t noter que des séances de causeries/</w:t>
      </w:r>
      <w:r w:rsidRPr="00DE62B6">
        <w:rPr>
          <w:rFonts w:ascii="Times New Roman" w:hAnsi="Times New Roman" w:cs="Times New Roman"/>
          <w:b/>
          <w:color w:val="1F497D" w:themeColor="text2"/>
          <w:sz w:val="24"/>
          <w:szCs w:val="24"/>
        </w:rPr>
        <w:t>d</w:t>
      </w:r>
      <w:r w:rsidR="00585D38" w:rsidRPr="00DE62B6">
        <w:rPr>
          <w:rFonts w:ascii="Times New Roman" w:hAnsi="Times New Roman" w:cs="Times New Roman"/>
          <w:b/>
          <w:color w:val="1F497D" w:themeColor="text2"/>
          <w:sz w:val="24"/>
          <w:szCs w:val="24"/>
        </w:rPr>
        <w:t>ébats</w:t>
      </w:r>
      <w:r w:rsidR="00764FA0" w:rsidRPr="00DE62B6">
        <w:rPr>
          <w:rFonts w:ascii="Times New Roman" w:hAnsi="Times New Roman" w:cs="Times New Roman"/>
          <w:b/>
          <w:color w:val="1F497D" w:themeColor="text2"/>
          <w:sz w:val="24"/>
          <w:szCs w:val="24"/>
        </w:rPr>
        <w:t xml:space="preserve"> et </w:t>
      </w:r>
      <w:r w:rsidR="00765347" w:rsidRPr="00DE62B6">
        <w:rPr>
          <w:rFonts w:ascii="Times New Roman" w:hAnsi="Times New Roman" w:cs="Times New Roman"/>
          <w:b/>
          <w:color w:val="1F497D" w:themeColor="text2"/>
          <w:sz w:val="24"/>
          <w:szCs w:val="24"/>
        </w:rPr>
        <w:t>de</w:t>
      </w:r>
      <w:r w:rsidR="00764FA0" w:rsidRPr="00DE62B6">
        <w:rPr>
          <w:rFonts w:ascii="Times New Roman" w:hAnsi="Times New Roman" w:cs="Times New Roman"/>
          <w:b/>
          <w:color w:val="1F497D" w:themeColor="text2"/>
          <w:sz w:val="24"/>
          <w:szCs w:val="24"/>
        </w:rPr>
        <w:t xml:space="preserve"> diffusion de </w:t>
      </w:r>
      <w:r w:rsidR="00765347" w:rsidRPr="00DE62B6">
        <w:rPr>
          <w:rFonts w:ascii="Times New Roman" w:hAnsi="Times New Roman" w:cs="Times New Roman"/>
          <w:b/>
          <w:color w:val="1F497D" w:themeColor="text2"/>
          <w:sz w:val="24"/>
          <w:szCs w:val="24"/>
        </w:rPr>
        <w:t>film</w:t>
      </w:r>
      <w:r w:rsidR="00335029" w:rsidRPr="00DE62B6">
        <w:rPr>
          <w:rFonts w:ascii="Times New Roman" w:hAnsi="Times New Roman" w:cs="Times New Roman"/>
          <w:b/>
          <w:color w:val="1F497D" w:themeColor="text2"/>
          <w:sz w:val="24"/>
          <w:szCs w:val="24"/>
        </w:rPr>
        <w:t xml:space="preserve"> sur la vaccination,</w:t>
      </w:r>
      <w:r w:rsidR="00585D38" w:rsidRPr="00DE62B6">
        <w:rPr>
          <w:rFonts w:ascii="Times New Roman" w:hAnsi="Times New Roman" w:cs="Times New Roman"/>
          <w:b/>
          <w:color w:val="1F497D" w:themeColor="text2"/>
          <w:sz w:val="24"/>
          <w:szCs w:val="24"/>
        </w:rPr>
        <w:t xml:space="preserve"> sont régulièrement organisées dans les centres de vaccinations afin de sensibiliser les mères sur l'importance de la vaccin</w:t>
      </w:r>
      <w:r w:rsidR="00284A10" w:rsidRPr="00DE62B6">
        <w:rPr>
          <w:rFonts w:ascii="Times New Roman" w:hAnsi="Times New Roman" w:cs="Times New Roman"/>
          <w:b/>
          <w:color w:val="1F497D" w:themeColor="text2"/>
          <w:sz w:val="24"/>
          <w:szCs w:val="24"/>
        </w:rPr>
        <w:t>ation</w:t>
      </w:r>
      <w:r w:rsidR="00D13D11" w:rsidRPr="00DE62B6">
        <w:rPr>
          <w:rFonts w:ascii="Times New Roman" w:hAnsi="Times New Roman" w:cs="Times New Roman"/>
          <w:b/>
          <w:color w:val="1F497D" w:themeColor="text2"/>
          <w:sz w:val="24"/>
          <w:szCs w:val="24"/>
        </w:rPr>
        <w:t xml:space="preserve"> et de sa régularité.</w:t>
      </w:r>
    </w:p>
    <w:p w:rsidR="00201FA1" w:rsidRPr="00DE62B6" w:rsidRDefault="00201FA1"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Aussi, l’objectif stratégique 2 du P</w:t>
      </w:r>
      <w:r w:rsidR="001551AB">
        <w:rPr>
          <w:rFonts w:ascii="Times New Roman" w:hAnsi="Times New Roman" w:cs="Times New Roman"/>
          <w:b/>
          <w:color w:val="1F497D" w:themeColor="text2"/>
          <w:sz w:val="24"/>
          <w:szCs w:val="24"/>
        </w:rPr>
        <w:t>lan pluriannuel complet (P</w:t>
      </w:r>
      <w:r w:rsidRPr="00DE62B6">
        <w:rPr>
          <w:rFonts w:ascii="Times New Roman" w:hAnsi="Times New Roman" w:cs="Times New Roman"/>
          <w:b/>
          <w:color w:val="1F497D" w:themeColor="text2"/>
          <w:sz w:val="24"/>
          <w:szCs w:val="24"/>
        </w:rPr>
        <w:t>PaC</w:t>
      </w:r>
      <w:r w:rsidR="001551AB">
        <w:rPr>
          <w:rFonts w:ascii="Times New Roman" w:hAnsi="Times New Roman" w:cs="Times New Roman"/>
          <w:b/>
          <w:color w:val="1F497D" w:themeColor="text2"/>
          <w:sz w:val="24"/>
          <w:szCs w:val="24"/>
        </w:rPr>
        <w:t>)</w:t>
      </w:r>
      <w:r w:rsidRPr="00DE62B6">
        <w:rPr>
          <w:rFonts w:ascii="Times New Roman" w:hAnsi="Times New Roman" w:cs="Times New Roman"/>
          <w:b/>
          <w:color w:val="1F497D" w:themeColor="text2"/>
          <w:sz w:val="24"/>
          <w:szCs w:val="24"/>
        </w:rPr>
        <w:t xml:space="preserve"> révisé 2012-2016 </w:t>
      </w:r>
      <w:r w:rsidR="001551AB">
        <w:rPr>
          <w:rFonts w:ascii="Times New Roman" w:hAnsi="Times New Roman" w:cs="Times New Roman"/>
          <w:b/>
          <w:color w:val="1F497D" w:themeColor="text2"/>
          <w:sz w:val="24"/>
          <w:szCs w:val="24"/>
        </w:rPr>
        <w:t xml:space="preserve">pour la vaccination au Mali </w:t>
      </w:r>
      <w:r w:rsidRPr="00DE62B6">
        <w:rPr>
          <w:rFonts w:ascii="Times New Roman" w:hAnsi="Times New Roman" w:cs="Times New Roman"/>
          <w:b/>
          <w:color w:val="1F497D" w:themeColor="text2"/>
          <w:sz w:val="24"/>
          <w:szCs w:val="24"/>
        </w:rPr>
        <w:t xml:space="preserve">définit toutes les stratégies pour que les individus et les communautés comprennent la valeur des vaccins et réclament la vaccination comme un droit et comme une responsabilité. Il s’agit entre autres : de recruter un ambassadeur de bonne volonté pour la vaccination des enfants au Mali, de recruter de nouveaux porte-parole, notamment parmi les formateurs, leaders religieux, politiques et médias traditionnels et sociaux, identifier, habiliter et soutenir les OSC auprès des collectivités, des décideurs et médias locaux en appui à l’approche </w:t>
      </w:r>
      <w:r w:rsidR="00DA6481" w:rsidRPr="00DE62B6">
        <w:rPr>
          <w:rFonts w:ascii="Times New Roman" w:hAnsi="Times New Roman" w:cs="Times New Roman"/>
          <w:b/>
          <w:color w:val="1F497D" w:themeColor="text2"/>
          <w:sz w:val="24"/>
          <w:szCs w:val="24"/>
        </w:rPr>
        <w:t>"</w:t>
      </w:r>
      <w:r w:rsidRPr="00DE62B6">
        <w:rPr>
          <w:rFonts w:ascii="Times New Roman" w:hAnsi="Times New Roman" w:cs="Times New Roman"/>
          <w:b/>
          <w:color w:val="1F497D" w:themeColor="text2"/>
          <w:sz w:val="24"/>
          <w:szCs w:val="24"/>
        </w:rPr>
        <w:t>Atteindre chaque communauté</w:t>
      </w:r>
      <w:r w:rsidR="00DA6481" w:rsidRPr="00DE62B6">
        <w:rPr>
          <w:rFonts w:ascii="Times New Roman" w:hAnsi="Times New Roman" w:cs="Times New Roman"/>
          <w:b/>
          <w:color w:val="1F497D" w:themeColor="text2"/>
          <w:sz w:val="24"/>
          <w:szCs w:val="24"/>
        </w:rPr>
        <w:t>"</w:t>
      </w:r>
      <w:r w:rsidRPr="00DE62B6">
        <w:rPr>
          <w:rFonts w:ascii="Times New Roman" w:hAnsi="Times New Roman" w:cs="Times New Roman"/>
          <w:b/>
          <w:color w:val="1F497D" w:themeColor="text2"/>
          <w:sz w:val="24"/>
          <w:szCs w:val="24"/>
        </w:rPr>
        <w:t>.</w:t>
      </w:r>
    </w:p>
    <w:p w:rsidR="0015559A" w:rsidRPr="00DE62B6" w:rsidRDefault="0015559A" w:rsidP="00DE62B6">
      <w:pPr>
        <w:autoSpaceDE w:val="0"/>
        <w:autoSpaceDN w:val="0"/>
        <w:adjustRightInd w:val="0"/>
        <w:spacing w:before="120" w:after="120" w:line="240" w:lineRule="auto"/>
        <w:jc w:val="both"/>
        <w:rPr>
          <w:rFonts w:ascii="Times New Roman" w:hAnsi="Times New Roman" w:cs="Times New Roman"/>
          <w:b/>
          <w:color w:val="141414"/>
          <w:sz w:val="24"/>
          <w:szCs w:val="24"/>
          <w:u w:val="single"/>
        </w:rPr>
      </w:pPr>
    </w:p>
    <w:p w:rsidR="008D06C8" w:rsidRPr="00DE62B6" w:rsidRDefault="008D06C8" w:rsidP="00DE62B6">
      <w:pPr>
        <w:autoSpaceDE w:val="0"/>
        <w:autoSpaceDN w:val="0"/>
        <w:adjustRightInd w:val="0"/>
        <w:spacing w:before="120" w:after="120" w:line="240" w:lineRule="auto"/>
        <w:jc w:val="both"/>
        <w:rPr>
          <w:rFonts w:ascii="Times New Roman" w:hAnsi="Times New Roman" w:cs="Times New Roman"/>
          <w:b/>
          <w:color w:val="141414"/>
          <w:sz w:val="24"/>
          <w:szCs w:val="24"/>
          <w:u w:val="single"/>
        </w:rPr>
      </w:pPr>
      <w:r w:rsidRPr="00DE62B6">
        <w:rPr>
          <w:rFonts w:ascii="Times New Roman" w:hAnsi="Times New Roman" w:cs="Times New Roman"/>
          <w:b/>
          <w:color w:val="141414"/>
          <w:sz w:val="24"/>
          <w:szCs w:val="24"/>
          <w:u w:val="single"/>
        </w:rPr>
        <w:t>Chaîne du froid</w:t>
      </w:r>
    </w:p>
    <w:p w:rsidR="008D06C8" w:rsidRPr="00DE62B6" w:rsidRDefault="00C606CE" w:rsidP="00DE62B6">
      <w:pPr>
        <w:autoSpaceDE w:val="0"/>
        <w:autoSpaceDN w:val="0"/>
        <w:adjustRightInd w:val="0"/>
        <w:spacing w:before="120" w:after="120" w:line="240" w:lineRule="auto"/>
        <w:jc w:val="both"/>
        <w:rPr>
          <w:rFonts w:ascii="Times New Roman" w:hAnsi="Times New Roman" w:cs="Times New Roman"/>
          <w:color w:val="141414"/>
          <w:sz w:val="24"/>
          <w:szCs w:val="24"/>
        </w:rPr>
      </w:pPr>
      <w:r w:rsidRPr="00DE62B6">
        <w:rPr>
          <w:rFonts w:ascii="Times New Roman" w:hAnsi="Times New Roman" w:cs="Times New Roman"/>
          <w:color w:val="141414"/>
          <w:sz w:val="24"/>
          <w:szCs w:val="24"/>
        </w:rPr>
        <w:t>2.</w:t>
      </w:r>
      <w:r w:rsidR="008D06C8" w:rsidRPr="00DE62B6">
        <w:rPr>
          <w:rFonts w:ascii="Times New Roman" w:hAnsi="Times New Roman" w:cs="Times New Roman"/>
          <w:color w:val="141414"/>
          <w:sz w:val="24"/>
          <w:szCs w:val="24"/>
        </w:rPr>
        <w:t>5) Redéfinir les activités de l'objectif 4 pour résoudre les pr</w:t>
      </w:r>
      <w:r w:rsidR="009D385A" w:rsidRPr="00DE62B6">
        <w:rPr>
          <w:rFonts w:ascii="Times New Roman" w:hAnsi="Times New Roman" w:cs="Times New Roman"/>
          <w:color w:val="141414"/>
          <w:sz w:val="24"/>
          <w:szCs w:val="24"/>
        </w:rPr>
        <w:t xml:space="preserve">oblèmes de gestion efficace des </w:t>
      </w:r>
      <w:r w:rsidR="008D06C8" w:rsidRPr="00DE62B6">
        <w:rPr>
          <w:rFonts w:ascii="Times New Roman" w:hAnsi="Times New Roman" w:cs="Times New Roman"/>
          <w:color w:val="141414"/>
          <w:sz w:val="24"/>
          <w:szCs w:val="24"/>
        </w:rPr>
        <w:t>vaccins ainsi que le renforcement de la chaîne d</w:t>
      </w:r>
      <w:r w:rsidR="008D06C8" w:rsidRPr="00DE62B6">
        <w:rPr>
          <w:rFonts w:ascii="Times New Roman" w:hAnsi="Times New Roman" w:cs="Times New Roman"/>
          <w:color w:val="282828"/>
          <w:sz w:val="24"/>
          <w:szCs w:val="24"/>
        </w:rPr>
        <w:t>'</w:t>
      </w:r>
      <w:r w:rsidR="008D06C8" w:rsidRPr="00DE62B6">
        <w:rPr>
          <w:rFonts w:ascii="Times New Roman" w:hAnsi="Times New Roman" w:cs="Times New Roman"/>
          <w:color w:val="141414"/>
          <w:sz w:val="24"/>
          <w:szCs w:val="24"/>
        </w:rPr>
        <w:t>approvisionnement.</w:t>
      </w:r>
    </w:p>
    <w:p w:rsidR="00FA0AE5" w:rsidRPr="00DE62B6" w:rsidRDefault="007967D3" w:rsidP="00DE62B6">
      <w:pPr>
        <w:autoSpaceDE w:val="0"/>
        <w:autoSpaceDN w:val="0"/>
        <w:adjustRightInd w:val="0"/>
        <w:spacing w:before="120" w:after="120" w:line="240" w:lineRule="auto"/>
        <w:jc w:val="both"/>
        <w:rPr>
          <w:rFonts w:ascii="Times New Roman" w:hAnsi="Times New Roman" w:cs="Times New Roman"/>
          <w:b/>
          <w:sz w:val="24"/>
          <w:szCs w:val="24"/>
        </w:rPr>
      </w:pPr>
      <w:r w:rsidRPr="00DE62B6">
        <w:rPr>
          <w:rFonts w:ascii="Times New Roman" w:hAnsi="Times New Roman" w:cs="Times New Roman"/>
          <w:b/>
          <w:color w:val="1F497D" w:themeColor="text2"/>
          <w:sz w:val="24"/>
          <w:szCs w:val="24"/>
        </w:rPr>
        <w:t xml:space="preserve">Suite à la pré-revue de </w:t>
      </w:r>
      <w:r w:rsidR="00550AE8" w:rsidRPr="00DE62B6">
        <w:rPr>
          <w:rFonts w:ascii="Times New Roman" w:hAnsi="Times New Roman" w:cs="Times New Roman"/>
          <w:b/>
          <w:color w:val="1F497D" w:themeColor="text2"/>
          <w:sz w:val="24"/>
          <w:szCs w:val="24"/>
        </w:rPr>
        <w:t>l'OMS</w:t>
      </w:r>
      <w:r w:rsidRPr="00DE62B6">
        <w:rPr>
          <w:rFonts w:ascii="Times New Roman" w:hAnsi="Times New Roman" w:cs="Times New Roman"/>
          <w:b/>
          <w:color w:val="1F497D" w:themeColor="text2"/>
          <w:sz w:val="24"/>
          <w:szCs w:val="24"/>
        </w:rPr>
        <w:t xml:space="preserve"> du </w:t>
      </w:r>
      <w:r w:rsidR="00550AE8" w:rsidRPr="00DE62B6">
        <w:rPr>
          <w:rFonts w:ascii="Times New Roman" w:hAnsi="Times New Roman" w:cs="Times New Roman"/>
          <w:b/>
          <w:color w:val="1F497D" w:themeColor="text2"/>
          <w:sz w:val="24"/>
          <w:szCs w:val="24"/>
        </w:rPr>
        <w:t>09 septembre 2014</w:t>
      </w:r>
      <w:r w:rsidRPr="00DE62B6">
        <w:rPr>
          <w:rFonts w:ascii="Times New Roman" w:hAnsi="Times New Roman" w:cs="Times New Roman"/>
          <w:b/>
          <w:color w:val="1F497D" w:themeColor="text2"/>
          <w:sz w:val="24"/>
          <w:szCs w:val="24"/>
        </w:rPr>
        <w:t xml:space="preserve">, nous avions donné des </w:t>
      </w:r>
      <w:r w:rsidR="00540141" w:rsidRPr="00DE62B6">
        <w:rPr>
          <w:rFonts w:ascii="Times New Roman" w:hAnsi="Times New Roman" w:cs="Times New Roman"/>
          <w:b/>
          <w:color w:val="1F497D" w:themeColor="text2"/>
          <w:sz w:val="24"/>
          <w:szCs w:val="24"/>
        </w:rPr>
        <w:t>éclaircissement</w:t>
      </w:r>
      <w:r w:rsidRPr="00DE62B6">
        <w:rPr>
          <w:rFonts w:ascii="Times New Roman" w:hAnsi="Times New Roman" w:cs="Times New Roman"/>
          <w:b/>
          <w:color w:val="1F497D" w:themeColor="text2"/>
          <w:sz w:val="24"/>
          <w:szCs w:val="24"/>
        </w:rPr>
        <w:t>s</w:t>
      </w:r>
      <w:r w:rsidR="00341FDB" w:rsidRPr="00DE62B6">
        <w:rPr>
          <w:rFonts w:ascii="Times New Roman" w:hAnsi="Times New Roman" w:cs="Times New Roman"/>
          <w:b/>
          <w:color w:val="1F497D" w:themeColor="text2"/>
          <w:sz w:val="24"/>
          <w:szCs w:val="24"/>
        </w:rPr>
        <w:t xml:space="preserve"> sur la restriction</w:t>
      </w:r>
      <w:r w:rsidR="001551AB">
        <w:rPr>
          <w:rFonts w:ascii="Times New Roman" w:hAnsi="Times New Roman" w:cs="Times New Roman"/>
          <w:b/>
          <w:color w:val="1F497D" w:themeColor="text2"/>
          <w:sz w:val="24"/>
          <w:szCs w:val="24"/>
        </w:rPr>
        <w:t xml:space="preserve"> </w:t>
      </w:r>
      <w:r w:rsidR="00540141" w:rsidRPr="00DE62B6">
        <w:rPr>
          <w:rFonts w:ascii="Times New Roman" w:hAnsi="Times New Roman" w:cs="Times New Roman"/>
          <w:b/>
          <w:color w:val="1F497D" w:themeColor="text2"/>
          <w:sz w:val="24"/>
          <w:szCs w:val="24"/>
        </w:rPr>
        <w:t>relative</w:t>
      </w:r>
      <w:r w:rsidR="00D14CB5" w:rsidRPr="00DE62B6">
        <w:rPr>
          <w:rFonts w:ascii="Times New Roman" w:hAnsi="Times New Roman" w:cs="Times New Roman"/>
          <w:b/>
          <w:color w:val="1F497D" w:themeColor="text2"/>
          <w:sz w:val="24"/>
          <w:szCs w:val="24"/>
        </w:rPr>
        <w:t xml:space="preserve"> aux activités de l'objectif 4</w:t>
      </w:r>
      <w:r w:rsidR="006672EE" w:rsidRPr="00DE62B6">
        <w:rPr>
          <w:rFonts w:ascii="Times New Roman" w:hAnsi="Times New Roman" w:cs="Times New Roman"/>
          <w:b/>
          <w:color w:val="1F497D" w:themeColor="text2"/>
          <w:sz w:val="24"/>
          <w:szCs w:val="24"/>
        </w:rPr>
        <w:t>.</w:t>
      </w:r>
      <w:r w:rsidR="00A43783" w:rsidRPr="00DE62B6">
        <w:rPr>
          <w:rFonts w:ascii="Times New Roman" w:hAnsi="Times New Roman" w:cs="Times New Roman"/>
          <w:b/>
          <w:color w:val="1F497D" w:themeColor="text2"/>
          <w:sz w:val="24"/>
          <w:szCs w:val="24"/>
        </w:rPr>
        <w:t>Ainsi, d</w:t>
      </w:r>
      <w:r w:rsidR="006672EE" w:rsidRPr="00DE62B6">
        <w:rPr>
          <w:rFonts w:ascii="Times New Roman" w:hAnsi="Times New Roman" w:cs="Times New Roman"/>
          <w:b/>
          <w:color w:val="1F497D" w:themeColor="text2"/>
          <w:sz w:val="24"/>
          <w:szCs w:val="24"/>
        </w:rPr>
        <w:t xml:space="preserve">ans le document de proposition de soutien RSS, à la page </w:t>
      </w:r>
      <w:r w:rsidR="001E7137" w:rsidRPr="00DE62B6">
        <w:rPr>
          <w:rFonts w:ascii="Times New Roman" w:hAnsi="Times New Roman" w:cs="Times New Roman"/>
          <w:b/>
          <w:color w:val="1F497D" w:themeColor="text2"/>
          <w:sz w:val="24"/>
          <w:szCs w:val="24"/>
        </w:rPr>
        <w:t>5</w:t>
      </w:r>
      <w:r w:rsidR="006672EE" w:rsidRPr="00DE62B6">
        <w:rPr>
          <w:rFonts w:ascii="Times New Roman" w:hAnsi="Times New Roman" w:cs="Times New Roman"/>
          <w:b/>
          <w:color w:val="1F497D" w:themeColor="text2"/>
          <w:sz w:val="24"/>
          <w:szCs w:val="24"/>
        </w:rPr>
        <w:t>8 il est mentionné que" afin de renforcer la chaine d'approvisionnement, l'UNICEF a planifié pour 2015 la dotation de la Section Immunisation de la Direction Nationale de la Santé en 2 camions frigorifiques, ainsi que des structures à l'échelle nationale en 148 réfrigérateurs électriques, 400 réfrigérateurs solaires et 400 motos. Aussi, la coopération canadienne a signé un accord de financement avec l'UNICEF, pour l'achat et la mise à disposition de huit cent (800) réfrigérateurs solaires dans les structures. L'État et d'autres partenaires se proposent de prendre en charge le GAP pour les structures. Dans ce contexte, la subvention GAVI (912 019 $ US) comblera le GAP pour l'achat et l'installation de chambres froides dans les neuf (9) régions et les dix (10) districts sanitaires.</w:t>
      </w:r>
      <w:r w:rsidR="00BF3E1D" w:rsidRPr="00DE62B6">
        <w:rPr>
          <w:rFonts w:ascii="Times New Roman" w:hAnsi="Times New Roman" w:cs="Times New Roman"/>
          <w:b/>
          <w:color w:val="1F497D" w:themeColor="text2"/>
          <w:sz w:val="24"/>
          <w:szCs w:val="24"/>
        </w:rPr>
        <w:t>"</w:t>
      </w:r>
      <w:r w:rsidR="00C04C2C" w:rsidRPr="00DE62B6">
        <w:rPr>
          <w:rFonts w:ascii="Times New Roman" w:hAnsi="Times New Roman" w:cs="Times New Roman"/>
          <w:b/>
          <w:color w:val="1F497D" w:themeColor="text2"/>
          <w:sz w:val="24"/>
          <w:szCs w:val="24"/>
        </w:rPr>
        <w:t xml:space="preserve"> Il est </w:t>
      </w:r>
      <w:r w:rsidR="00AB032A" w:rsidRPr="00DE62B6">
        <w:rPr>
          <w:rFonts w:ascii="Times New Roman" w:hAnsi="Times New Roman" w:cs="Times New Roman"/>
          <w:b/>
          <w:color w:val="1F497D" w:themeColor="text2"/>
          <w:sz w:val="24"/>
          <w:szCs w:val="24"/>
        </w:rPr>
        <w:t>à noter</w:t>
      </w:r>
      <w:r w:rsidR="00C04C2C" w:rsidRPr="00DE62B6">
        <w:rPr>
          <w:rFonts w:ascii="Times New Roman" w:hAnsi="Times New Roman" w:cs="Times New Roman"/>
          <w:b/>
          <w:color w:val="1F497D" w:themeColor="text2"/>
          <w:sz w:val="24"/>
          <w:szCs w:val="24"/>
        </w:rPr>
        <w:t xml:space="preserve"> également qu'après la pré-revue de l'OMS, six (</w:t>
      </w:r>
      <w:r w:rsidR="008B6886" w:rsidRPr="00DE62B6">
        <w:rPr>
          <w:rFonts w:ascii="Times New Roman" w:hAnsi="Times New Roman" w:cs="Times New Roman"/>
          <w:b/>
          <w:color w:val="1F497D" w:themeColor="text2"/>
          <w:sz w:val="24"/>
          <w:szCs w:val="24"/>
        </w:rPr>
        <w:t>6) activités ont été retenues pour l'objectif 4</w:t>
      </w:r>
      <w:r w:rsidR="00617500" w:rsidRPr="00DE62B6">
        <w:rPr>
          <w:rFonts w:ascii="Times New Roman" w:hAnsi="Times New Roman" w:cs="Times New Roman"/>
          <w:b/>
          <w:color w:val="1F497D" w:themeColor="text2"/>
          <w:sz w:val="24"/>
          <w:szCs w:val="24"/>
        </w:rPr>
        <w:t xml:space="preserve">. </w:t>
      </w:r>
      <w:r w:rsidR="00FA0AE5" w:rsidRPr="00DE62B6">
        <w:rPr>
          <w:rFonts w:ascii="Times New Roman" w:hAnsi="Times New Roman" w:cs="Times New Roman"/>
          <w:b/>
          <w:color w:val="1F497D" w:themeColor="text2"/>
          <w:sz w:val="24"/>
          <w:szCs w:val="24"/>
        </w:rPr>
        <w:t>Ces six activités contribue</w:t>
      </w:r>
      <w:r w:rsidR="00AB0FB6" w:rsidRPr="00DE62B6">
        <w:rPr>
          <w:rFonts w:ascii="Times New Roman" w:hAnsi="Times New Roman" w:cs="Times New Roman"/>
          <w:b/>
          <w:color w:val="1F497D" w:themeColor="text2"/>
          <w:sz w:val="24"/>
          <w:szCs w:val="24"/>
        </w:rPr>
        <w:t>ro</w:t>
      </w:r>
      <w:r w:rsidR="00FA0AE5" w:rsidRPr="00DE62B6">
        <w:rPr>
          <w:rFonts w:ascii="Times New Roman" w:hAnsi="Times New Roman" w:cs="Times New Roman"/>
          <w:b/>
          <w:color w:val="1F497D" w:themeColor="text2"/>
          <w:sz w:val="24"/>
          <w:szCs w:val="24"/>
        </w:rPr>
        <w:t>nt à résoudre les problèmes rencontrés au cours de l’Évaluation de la Gestion Efficace des vaccins.  Les autres activités du plan d’amélioration de la GEV seront mises en œuvre avec l’appui d’autres partenaires techniques et financiers (OMS, UNICEF, ACDI, Plan Mali…).</w:t>
      </w:r>
    </w:p>
    <w:p w:rsidR="002E0833" w:rsidRPr="00DE62B6" w:rsidRDefault="00AB0FB6"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Ces différentes activités sont</w:t>
      </w:r>
      <w:r w:rsidR="008B6886" w:rsidRPr="00DE62B6">
        <w:rPr>
          <w:rFonts w:ascii="Times New Roman" w:hAnsi="Times New Roman" w:cs="Times New Roman"/>
          <w:b/>
          <w:color w:val="1F497D" w:themeColor="text2"/>
          <w:sz w:val="24"/>
          <w:szCs w:val="24"/>
        </w:rPr>
        <w:t xml:space="preserve"> :</w:t>
      </w:r>
    </w:p>
    <w:p w:rsidR="003861A5" w:rsidRPr="00DE62B6" w:rsidRDefault="003861A5" w:rsidP="00DE62B6">
      <w:pPr>
        <w:spacing w:after="0" w:line="240" w:lineRule="auto"/>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Activité 4.1 : Construire un magasin sec au niveau central</w:t>
      </w:r>
    </w:p>
    <w:p w:rsidR="003861A5" w:rsidRPr="00DE62B6" w:rsidRDefault="003861A5" w:rsidP="00DE62B6">
      <w:pPr>
        <w:spacing w:after="0" w:line="240" w:lineRule="auto"/>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Activité 4.2 : Doter et installer des chambres froides de 20 m</w:t>
      </w:r>
      <w:r w:rsidR="001731C1" w:rsidRPr="00DE62B6">
        <w:rPr>
          <w:rFonts w:ascii="Times New Roman" w:hAnsi="Times New Roman" w:cs="Times New Roman"/>
          <w:b/>
          <w:color w:val="1F497D" w:themeColor="text2"/>
          <w:sz w:val="24"/>
          <w:szCs w:val="24"/>
          <w:vertAlign w:val="superscript"/>
        </w:rPr>
        <w:t>3</w:t>
      </w:r>
      <w:r w:rsidRPr="00DE62B6">
        <w:rPr>
          <w:rFonts w:ascii="Times New Roman" w:hAnsi="Times New Roman" w:cs="Times New Roman"/>
          <w:b/>
          <w:color w:val="1F497D" w:themeColor="text2"/>
          <w:sz w:val="24"/>
          <w:szCs w:val="24"/>
        </w:rPr>
        <w:t xml:space="preserve"> dans 9 directions régionales et 5 districts de Bougouni, Kita, Kati, Koutiala, San, Bandiagara</w:t>
      </w:r>
    </w:p>
    <w:p w:rsidR="003861A5" w:rsidRPr="00DE62B6" w:rsidRDefault="003861A5" w:rsidP="00DE62B6">
      <w:pPr>
        <w:spacing w:after="0" w:line="240" w:lineRule="auto"/>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Activité 4.3 : Former les cadres moyens en logistique de la vaccination (3 section immunisation, 18 régionaux, 63 districts)</w:t>
      </w:r>
    </w:p>
    <w:p w:rsidR="003861A5" w:rsidRPr="00DE62B6" w:rsidRDefault="003861A5" w:rsidP="00DE62B6">
      <w:pPr>
        <w:spacing w:after="0" w:line="240" w:lineRule="auto"/>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Activité 4.4 : Sensibiliser des agents de douanes et du transit sur la gestion des vaccins</w:t>
      </w:r>
    </w:p>
    <w:p w:rsidR="003861A5" w:rsidRPr="00DE62B6" w:rsidRDefault="003861A5" w:rsidP="00DE62B6">
      <w:pPr>
        <w:spacing w:after="0" w:line="240" w:lineRule="auto"/>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Activité 4.5 : Appuyer les missions de maintenance de la chaîne du froid aux niveaux central et régional par le SEPAUMAT</w:t>
      </w:r>
    </w:p>
    <w:p w:rsidR="003861A5" w:rsidRPr="00DE62B6" w:rsidRDefault="003861A5" w:rsidP="00DE62B6">
      <w:pPr>
        <w:spacing w:after="0" w:line="240" w:lineRule="auto"/>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Activité 4.6 : Réaliser une évaluation GEV en 2017</w:t>
      </w:r>
    </w:p>
    <w:p w:rsidR="008D06C8" w:rsidRPr="00DE62B6" w:rsidRDefault="00C606CE" w:rsidP="00DE62B6">
      <w:pPr>
        <w:autoSpaceDE w:val="0"/>
        <w:autoSpaceDN w:val="0"/>
        <w:adjustRightInd w:val="0"/>
        <w:spacing w:before="120" w:after="120" w:line="240" w:lineRule="auto"/>
        <w:jc w:val="both"/>
        <w:rPr>
          <w:rFonts w:ascii="Times New Roman" w:hAnsi="Times New Roman" w:cs="Times New Roman"/>
          <w:color w:val="141414"/>
          <w:sz w:val="24"/>
          <w:szCs w:val="24"/>
        </w:rPr>
      </w:pPr>
      <w:r w:rsidRPr="00DE62B6">
        <w:rPr>
          <w:rFonts w:ascii="Times New Roman" w:hAnsi="Times New Roman" w:cs="Times New Roman"/>
          <w:color w:val="141414"/>
          <w:sz w:val="24"/>
          <w:szCs w:val="24"/>
        </w:rPr>
        <w:t>2.</w:t>
      </w:r>
      <w:r w:rsidR="008D06C8" w:rsidRPr="00DE62B6">
        <w:rPr>
          <w:rFonts w:ascii="Times New Roman" w:hAnsi="Times New Roman" w:cs="Times New Roman"/>
          <w:color w:val="141414"/>
          <w:sz w:val="24"/>
          <w:szCs w:val="24"/>
        </w:rPr>
        <w:t>6) Clarifier le renforcement de la capacité de la chaî</w:t>
      </w:r>
      <w:r w:rsidR="00E414D3" w:rsidRPr="00DE62B6">
        <w:rPr>
          <w:rFonts w:ascii="Times New Roman" w:hAnsi="Times New Roman" w:cs="Times New Roman"/>
          <w:color w:val="141414"/>
          <w:sz w:val="24"/>
          <w:szCs w:val="24"/>
        </w:rPr>
        <w:t xml:space="preserve">ne d'approvisionnement et de la </w:t>
      </w:r>
      <w:r w:rsidR="008D06C8" w:rsidRPr="00DE62B6">
        <w:rPr>
          <w:rFonts w:ascii="Times New Roman" w:hAnsi="Times New Roman" w:cs="Times New Roman"/>
          <w:color w:val="141414"/>
          <w:sz w:val="24"/>
          <w:szCs w:val="24"/>
        </w:rPr>
        <w:t>logistique prévu pour résorber les goulots d'étrangle</w:t>
      </w:r>
      <w:r w:rsidR="00E414D3" w:rsidRPr="00DE62B6">
        <w:rPr>
          <w:rFonts w:ascii="Times New Roman" w:hAnsi="Times New Roman" w:cs="Times New Roman"/>
          <w:color w:val="141414"/>
          <w:sz w:val="24"/>
          <w:szCs w:val="24"/>
        </w:rPr>
        <w:t xml:space="preserve">ment liés aux pannes fréquentes </w:t>
      </w:r>
      <w:r w:rsidR="008D06C8" w:rsidRPr="00DE62B6">
        <w:rPr>
          <w:rFonts w:ascii="Times New Roman" w:hAnsi="Times New Roman" w:cs="Times New Roman"/>
          <w:color w:val="141414"/>
          <w:sz w:val="24"/>
          <w:szCs w:val="24"/>
        </w:rPr>
        <w:t>des équipements et les stratégies d'entretien envisagées.</w:t>
      </w:r>
    </w:p>
    <w:p w:rsidR="000B476F" w:rsidRPr="00DE62B6" w:rsidRDefault="003F3031"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Dans la descriptio</w:t>
      </w:r>
      <w:r w:rsidR="00A06955" w:rsidRPr="00DE62B6">
        <w:rPr>
          <w:rFonts w:ascii="Times New Roman" w:hAnsi="Times New Roman" w:cs="Times New Roman"/>
          <w:b/>
          <w:color w:val="1F497D" w:themeColor="text2"/>
          <w:sz w:val="24"/>
          <w:szCs w:val="24"/>
        </w:rPr>
        <w:t>n des activités</w:t>
      </w:r>
      <w:r w:rsidR="007A02A9" w:rsidRPr="00DE62B6">
        <w:rPr>
          <w:rFonts w:ascii="Times New Roman" w:hAnsi="Times New Roman" w:cs="Times New Roman"/>
          <w:b/>
          <w:color w:val="1F497D" w:themeColor="text2"/>
          <w:sz w:val="24"/>
          <w:szCs w:val="24"/>
        </w:rPr>
        <w:t xml:space="preserve"> inscrites dans le document de soutien au renforcement du système de santé</w:t>
      </w:r>
      <w:r w:rsidR="00F20484" w:rsidRPr="00DE62B6">
        <w:rPr>
          <w:rFonts w:ascii="Times New Roman" w:hAnsi="Times New Roman" w:cs="Times New Roman"/>
          <w:b/>
          <w:color w:val="1F497D" w:themeColor="text2"/>
          <w:sz w:val="24"/>
          <w:szCs w:val="24"/>
        </w:rPr>
        <w:t xml:space="preserve"> (</w:t>
      </w:r>
      <w:r w:rsidR="004F750C" w:rsidRPr="00DE62B6">
        <w:rPr>
          <w:rFonts w:ascii="Times New Roman" w:hAnsi="Times New Roman" w:cs="Times New Roman"/>
          <w:b/>
          <w:color w:val="1F497D" w:themeColor="text2"/>
          <w:sz w:val="24"/>
          <w:szCs w:val="24"/>
        </w:rPr>
        <w:t>page</w:t>
      </w:r>
      <w:r w:rsidR="00DC20B2" w:rsidRPr="00DE62B6">
        <w:rPr>
          <w:rFonts w:ascii="Times New Roman" w:hAnsi="Times New Roman" w:cs="Times New Roman"/>
          <w:b/>
          <w:color w:val="1F497D" w:themeColor="text2"/>
          <w:sz w:val="24"/>
          <w:szCs w:val="24"/>
        </w:rPr>
        <w:t>s</w:t>
      </w:r>
      <w:r w:rsidR="004F750C" w:rsidRPr="00DE62B6">
        <w:rPr>
          <w:rFonts w:ascii="Times New Roman" w:hAnsi="Times New Roman" w:cs="Times New Roman"/>
          <w:b/>
          <w:color w:val="1F497D" w:themeColor="text2"/>
          <w:sz w:val="24"/>
          <w:szCs w:val="24"/>
        </w:rPr>
        <w:t xml:space="preserve"> 38 à 42)</w:t>
      </w:r>
      <w:r w:rsidR="00A06955" w:rsidRPr="00DE62B6">
        <w:rPr>
          <w:rFonts w:ascii="Times New Roman" w:hAnsi="Times New Roman" w:cs="Times New Roman"/>
          <w:b/>
          <w:color w:val="1F497D" w:themeColor="text2"/>
          <w:sz w:val="24"/>
          <w:szCs w:val="24"/>
        </w:rPr>
        <w:t>, il a été prévu de mener certaines actions afin de r</w:t>
      </w:r>
      <w:r w:rsidR="00CC0BC3" w:rsidRPr="00DE62B6">
        <w:rPr>
          <w:rFonts w:ascii="Times New Roman" w:hAnsi="Times New Roman" w:cs="Times New Roman"/>
          <w:b/>
          <w:color w:val="1F497D" w:themeColor="text2"/>
          <w:sz w:val="24"/>
          <w:szCs w:val="24"/>
        </w:rPr>
        <w:t>é</w:t>
      </w:r>
      <w:r w:rsidR="00A06955" w:rsidRPr="00DE62B6">
        <w:rPr>
          <w:rFonts w:ascii="Times New Roman" w:hAnsi="Times New Roman" w:cs="Times New Roman"/>
          <w:b/>
          <w:color w:val="1F497D" w:themeColor="text2"/>
          <w:sz w:val="24"/>
          <w:szCs w:val="24"/>
        </w:rPr>
        <w:t>pon</w:t>
      </w:r>
      <w:r w:rsidR="007D14CE" w:rsidRPr="00DE62B6">
        <w:rPr>
          <w:rFonts w:ascii="Times New Roman" w:hAnsi="Times New Roman" w:cs="Times New Roman"/>
          <w:b/>
          <w:color w:val="1F497D" w:themeColor="text2"/>
          <w:sz w:val="24"/>
          <w:szCs w:val="24"/>
        </w:rPr>
        <w:t>dre</w:t>
      </w:r>
      <w:r w:rsidR="001551AB">
        <w:rPr>
          <w:rFonts w:ascii="Times New Roman" w:hAnsi="Times New Roman" w:cs="Times New Roman"/>
          <w:b/>
          <w:color w:val="1F497D" w:themeColor="text2"/>
          <w:sz w:val="24"/>
          <w:szCs w:val="24"/>
        </w:rPr>
        <w:t xml:space="preserve"> </w:t>
      </w:r>
      <w:r w:rsidR="004F750C" w:rsidRPr="00DE62B6">
        <w:rPr>
          <w:rFonts w:ascii="Times New Roman" w:hAnsi="Times New Roman" w:cs="Times New Roman"/>
          <w:b/>
          <w:color w:val="1F497D" w:themeColor="text2"/>
          <w:sz w:val="24"/>
          <w:szCs w:val="24"/>
        </w:rPr>
        <w:t>aux</w:t>
      </w:r>
      <w:r w:rsidR="00A06955" w:rsidRPr="00DE62B6">
        <w:rPr>
          <w:rFonts w:ascii="Times New Roman" w:hAnsi="Times New Roman" w:cs="Times New Roman"/>
          <w:b/>
          <w:color w:val="1F497D" w:themeColor="text2"/>
          <w:sz w:val="24"/>
          <w:szCs w:val="24"/>
        </w:rPr>
        <w:t xml:space="preserve"> questions</w:t>
      </w:r>
      <w:r w:rsidR="00F20484" w:rsidRPr="00DE62B6">
        <w:rPr>
          <w:rFonts w:ascii="Times New Roman" w:hAnsi="Times New Roman" w:cs="Times New Roman"/>
          <w:b/>
          <w:color w:val="1F497D" w:themeColor="text2"/>
          <w:sz w:val="24"/>
          <w:szCs w:val="24"/>
        </w:rPr>
        <w:t xml:space="preserve"> relatives à la chaine d'approvisionnement et</w:t>
      </w:r>
      <w:r w:rsidR="002B7E0C" w:rsidRPr="00DE62B6">
        <w:rPr>
          <w:rFonts w:ascii="Times New Roman" w:hAnsi="Times New Roman" w:cs="Times New Roman"/>
          <w:b/>
          <w:color w:val="1F497D" w:themeColor="text2"/>
          <w:sz w:val="24"/>
          <w:szCs w:val="24"/>
        </w:rPr>
        <w:t xml:space="preserve"> à la logistique. Il s'agit de </w:t>
      </w:r>
      <w:r w:rsidR="007E63A0" w:rsidRPr="00DE62B6">
        <w:rPr>
          <w:rFonts w:ascii="Times New Roman" w:hAnsi="Times New Roman" w:cs="Times New Roman"/>
          <w:b/>
          <w:color w:val="1F497D" w:themeColor="text2"/>
          <w:sz w:val="24"/>
          <w:szCs w:val="24"/>
        </w:rPr>
        <w:t>:</w:t>
      </w:r>
    </w:p>
    <w:p w:rsidR="00CF3033" w:rsidRPr="00DE62B6" w:rsidRDefault="00CF3033" w:rsidP="00DE62B6">
      <w:pPr>
        <w:pStyle w:val="Paragraphedeliste"/>
        <w:numPr>
          <w:ilvl w:val="0"/>
          <w:numId w:val="6"/>
        </w:num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 xml:space="preserve">la sensibilisation des agents de douanes et du transit sur la gestion des vaccins </w:t>
      </w:r>
    </w:p>
    <w:p w:rsidR="00DF594A" w:rsidRPr="00DE62B6" w:rsidRDefault="00DF594A" w:rsidP="00DE62B6">
      <w:pPr>
        <w:pStyle w:val="Paragraphedeliste"/>
        <w:numPr>
          <w:ilvl w:val="0"/>
          <w:numId w:val="6"/>
        </w:num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 xml:space="preserve">la dotation en </w:t>
      </w:r>
      <w:r w:rsidR="007E63A0" w:rsidRPr="00DE62B6">
        <w:rPr>
          <w:rFonts w:ascii="Times New Roman" w:hAnsi="Times New Roman" w:cs="Times New Roman"/>
          <w:b/>
          <w:color w:val="1F497D" w:themeColor="text2"/>
          <w:sz w:val="24"/>
          <w:szCs w:val="24"/>
        </w:rPr>
        <w:t>chambres froides de 20 m</w:t>
      </w:r>
      <w:r w:rsidR="001731C1" w:rsidRPr="00DE62B6">
        <w:rPr>
          <w:rFonts w:ascii="Times New Roman" w:hAnsi="Times New Roman" w:cs="Times New Roman"/>
          <w:b/>
          <w:color w:val="1F497D" w:themeColor="text2"/>
          <w:sz w:val="24"/>
          <w:szCs w:val="24"/>
          <w:vertAlign w:val="superscript"/>
        </w:rPr>
        <w:t>3</w:t>
      </w:r>
      <w:r w:rsidRPr="00DE62B6">
        <w:rPr>
          <w:rFonts w:ascii="Times New Roman" w:hAnsi="Times New Roman" w:cs="Times New Roman"/>
          <w:b/>
          <w:color w:val="1F497D" w:themeColor="text2"/>
          <w:sz w:val="24"/>
          <w:szCs w:val="24"/>
        </w:rPr>
        <w:t>de</w:t>
      </w:r>
      <w:r w:rsidR="007D14CE" w:rsidRPr="00DE62B6">
        <w:rPr>
          <w:rFonts w:ascii="Times New Roman" w:hAnsi="Times New Roman" w:cs="Times New Roman"/>
          <w:b/>
          <w:color w:val="1F497D" w:themeColor="text2"/>
          <w:sz w:val="24"/>
          <w:szCs w:val="24"/>
        </w:rPr>
        <w:t>s</w:t>
      </w:r>
      <w:r w:rsidR="007E63A0" w:rsidRPr="00DE62B6">
        <w:rPr>
          <w:rFonts w:ascii="Times New Roman" w:hAnsi="Times New Roman" w:cs="Times New Roman"/>
          <w:b/>
          <w:color w:val="1F497D" w:themeColor="text2"/>
          <w:sz w:val="24"/>
          <w:szCs w:val="24"/>
        </w:rPr>
        <w:t xml:space="preserve"> 9 directions régionales </w:t>
      </w:r>
      <w:r w:rsidR="007D14CE" w:rsidRPr="00DE62B6">
        <w:rPr>
          <w:rFonts w:ascii="Times New Roman" w:hAnsi="Times New Roman" w:cs="Times New Roman"/>
          <w:b/>
          <w:color w:val="1F497D" w:themeColor="text2"/>
          <w:sz w:val="24"/>
          <w:szCs w:val="24"/>
        </w:rPr>
        <w:t xml:space="preserve">de la santé </w:t>
      </w:r>
      <w:r w:rsidR="007E63A0" w:rsidRPr="00DE62B6">
        <w:rPr>
          <w:rFonts w:ascii="Times New Roman" w:hAnsi="Times New Roman" w:cs="Times New Roman"/>
          <w:b/>
          <w:color w:val="1F497D" w:themeColor="text2"/>
          <w:sz w:val="24"/>
          <w:szCs w:val="24"/>
        </w:rPr>
        <w:t xml:space="preserve">et 6 districts </w:t>
      </w:r>
      <w:r w:rsidRPr="00DE62B6">
        <w:rPr>
          <w:rFonts w:ascii="Times New Roman" w:hAnsi="Times New Roman" w:cs="Times New Roman"/>
          <w:b/>
          <w:color w:val="1F497D" w:themeColor="text2"/>
          <w:sz w:val="24"/>
          <w:szCs w:val="24"/>
        </w:rPr>
        <w:t>sanitaires (</w:t>
      </w:r>
      <w:r w:rsidR="007E63A0" w:rsidRPr="00DE62B6">
        <w:rPr>
          <w:rFonts w:ascii="Times New Roman" w:hAnsi="Times New Roman" w:cs="Times New Roman"/>
          <w:b/>
          <w:color w:val="1F497D" w:themeColor="text2"/>
          <w:sz w:val="24"/>
          <w:szCs w:val="24"/>
        </w:rPr>
        <w:t>Bougouni, Kita, Kati, Koutiala, San, Bandiagara</w:t>
      </w:r>
      <w:r w:rsidRPr="00DE62B6">
        <w:rPr>
          <w:rFonts w:ascii="Times New Roman" w:hAnsi="Times New Roman" w:cs="Times New Roman"/>
          <w:b/>
          <w:color w:val="1F497D" w:themeColor="text2"/>
          <w:sz w:val="24"/>
          <w:szCs w:val="24"/>
        </w:rPr>
        <w:t>)</w:t>
      </w:r>
    </w:p>
    <w:p w:rsidR="00655C0A" w:rsidRPr="00DE62B6" w:rsidRDefault="00655C0A" w:rsidP="00DE62B6">
      <w:pPr>
        <w:pStyle w:val="Paragraphedeliste"/>
        <w:numPr>
          <w:ilvl w:val="0"/>
          <w:numId w:val="6"/>
        </w:num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 xml:space="preserve">la formation des cadres moyens en logistique de la vaccination (3 </w:t>
      </w:r>
      <w:r w:rsidR="007D14CE" w:rsidRPr="00DE62B6">
        <w:rPr>
          <w:rFonts w:ascii="Times New Roman" w:hAnsi="Times New Roman" w:cs="Times New Roman"/>
          <w:b/>
          <w:color w:val="1F497D" w:themeColor="text2"/>
          <w:sz w:val="24"/>
          <w:szCs w:val="24"/>
        </w:rPr>
        <w:t xml:space="preserve">à la </w:t>
      </w:r>
      <w:r w:rsidRPr="00DE62B6">
        <w:rPr>
          <w:rFonts w:ascii="Times New Roman" w:hAnsi="Times New Roman" w:cs="Times New Roman"/>
          <w:b/>
          <w:color w:val="1F497D" w:themeColor="text2"/>
          <w:sz w:val="24"/>
          <w:szCs w:val="24"/>
        </w:rPr>
        <w:t>section immunisation, 18</w:t>
      </w:r>
      <w:r w:rsidR="007D14CE" w:rsidRPr="00DE62B6">
        <w:rPr>
          <w:rFonts w:ascii="Times New Roman" w:hAnsi="Times New Roman" w:cs="Times New Roman"/>
          <w:b/>
          <w:color w:val="1F497D" w:themeColor="text2"/>
          <w:sz w:val="24"/>
          <w:szCs w:val="24"/>
        </w:rPr>
        <w:t xml:space="preserve"> au niveau</w:t>
      </w:r>
      <w:r w:rsidRPr="00DE62B6">
        <w:rPr>
          <w:rFonts w:ascii="Times New Roman" w:hAnsi="Times New Roman" w:cs="Times New Roman"/>
          <w:b/>
          <w:color w:val="1F497D" w:themeColor="text2"/>
          <w:sz w:val="24"/>
          <w:szCs w:val="24"/>
        </w:rPr>
        <w:t xml:space="preserve"> régiona</w:t>
      </w:r>
      <w:r w:rsidR="009056D6" w:rsidRPr="00DE62B6">
        <w:rPr>
          <w:rFonts w:ascii="Times New Roman" w:hAnsi="Times New Roman" w:cs="Times New Roman"/>
          <w:b/>
          <w:color w:val="1F497D" w:themeColor="text2"/>
          <w:sz w:val="24"/>
          <w:szCs w:val="24"/>
        </w:rPr>
        <w:t>l</w:t>
      </w:r>
      <w:r w:rsidRPr="00DE62B6">
        <w:rPr>
          <w:rFonts w:ascii="Times New Roman" w:hAnsi="Times New Roman" w:cs="Times New Roman"/>
          <w:b/>
          <w:color w:val="1F497D" w:themeColor="text2"/>
          <w:sz w:val="24"/>
          <w:szCs w:val="24"/>
        </w:rPr>
        <w:t xml:space="preserve">, 63 </w:t>
      </w:r>
      <w:r w:rsidR="009056D6" w:rsidRPr="00DE62B6">
        <w:rPr>
          <w:rFonts w:ascii="Times New Roman" w:hAnsi="Times New Roman" w:cs="Times New Roman"/>
          <w:b/>
          <w:color w:val="1F497D" w:themeColor="text2"/>
          <w:sz w:val="24"/>
          <w:szCs w:val="24"/>
        </w:rPr>
        <w:t xml:space="preserve">au niveau des </w:t>
      </w:r>
      <w:r w:rsidRPr="00DE62B6">
        <w:rPr>
          <w:rFonts w:ascii="Times New Roman" w:hAnsi="Times New Roman" w:cs="Times New Roman"/>
          <w:b/>
          <w:color w:val="1F497D" w:themeColor="text2"/>
          <w:sz w:val="24"/>
          <w:szCs w:val="24"/>
        </w:rPr>
        <w:t>districts)</w:t>
      </w:r>
      <w:r w:rsidR="001B2FFA" w:rsidRPr="00DE62B6">
        <w:rPr>
          <w:rFonts w:ascii="Times New Roman" w:hAnsi="Times New Roman" w:cs="Times New Roman"/>
          <w:b/>
          <w:color w:val="1F497D" w:themeColor="text2"/>
          <w:sz w:val="24"/>
          <w:szCs w:val="24"/>
        </w:rPr>
        <w:t>.</w:t>
      </w:r>
    </w:p>
    <w:p w:rsidR="00D41B2D" w:rsidRPr="00DE62B6" w:rsidRDefault="00C979C6" w:rsidP="00DE62B6">
      <w:pPr>
        <w:autoSpaceDE w:val="0"/>
        <w:autoSpaceDN w:val="0"/>
        <w:adjustRightInd w:val="0"/>
        <w:spacing w:before="120" w:after="120" w:line="240" w:lineRule="auto"/>
        <w:jc w:val="both"/>
        <w:rPr>
          <w:rFonts w:ascii="Times New Roman" w:hAnsi="Times New Roman" w:cs="Times New Roman"/>
          <w:b/>
          <w:color w:val="FF0000"/>
          <w:sz w:val="24"/>
          <w:szCs w:val="24"/>
        </w:rPr>
      </w:pPr>
      <w:r w:rsidRPr="00DE62B6">
        <w:rPr>
          <w:rFonts w:ascii="Times New Roman" w:hAnsi="Times New Roman" w:cs="Times New Roman"/>
          <w:b/>
          <w:color w:val="1F497D" w:themeColor="text2"/>
          <w:sz w:val="24"/>
          <w:szCs w:val="24"/>
        </w:rPr>
        <w:t>Il est également prévu</w:t>
      </w:r>
      <w:r w:rsidR="00EA2C58" w:rsidRPr="00DE62B6">
        <w:rPr>
          <w:rFonts w:ascii="Times New Roman" w:hAnsi="Times New Roman" w:cs="Times New Roman"/>
          <w:b/>
          <w:color w:val="FF0000"/>
          <w:sz w:val="24"/>
          <w:szCs w:val="24"/>
        </w:rPr>
        <w:t>:</w:t>
      </w:r>
    </w:p>
    <w:p w:rsidR="006953CC" w:rsidRPr="00DE62B6" w:rsidRDefault="006953CC" w:rsidP="00DE62B6">
      <w:pPr>
        <w:pStyle w:val="Paragraphedeliste"/>
        <w:numPr>
          <w:ilvl w:val="0"/>
          <w:numId w:val="8"/>
        </w:num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L’installation de trois chambres froides au niveau Central (deux de 40m</w:t>
      </w:r>
      <w:r w:rsidR="001731C1" w:rsidRPr="00DE62B6">
        <w:rPr>
          <w:rFonts w:ascii="Times New Roman" w:hAnsi="Times New Roman" w:cs="Times New Roman"/>
          <w:b/>
          <w:color w:val="1F497D" w:themeColor="text2"/>
          <w:sz w:val="24"/>
          <w:szCs w:val="24"/>
        </w:rPr>
        <w:t>3</w:t>
      </w:r>
      <w:r w:rsidRPr="00DE62B6">
        <w:rPr>
          <w:rFonts w:ascii="Times New Roman" w:hAnsi="Times New Roman" w:cs="Times New Roman"/>
          <w:b/>
          <w:color w:val="1F497D" w:themeColor="text2"/>
          <w:sz w:val="24"/>
          <w:szCs w:val="24"/>
        </w:rPr>
        <w:t xml:space="preserve"> et un</w:t>
      </w:r>
      <w:r w:rsidR="00A6288E" w:rsidRPr="00DE62B6">
        <w:rPr>
          <w:rFonts w:ascii="Times New Roman" w:hAnsi="Times New Roman" w:cs="Times New Roman"/>
          <w:b/>
          <w:color w:val="1F497D" w:themeColor="text2"/>
          <w:sz w:val="24"/>
          <w:szCs w:val="24"/>
        </w:rPr>
        <w:t>e</w:t>
      </w:r>
      <w:r w:rsidRPr="00DE62B6">
        <w:rPr>
          <w:rFonts w:ascii="Times New Roman" w:hAnsi="Times New Roman" w:cs="Times New Roman"/>
          <w:b/>
          <w:color w:val="1F497D" w:themeColor="text2"/>
          <w:sz w:val="24"/>
          <w:szCs w:val="24"/>
        </w:rPr>
        <w:t xml:space="preserve"> de 30m</w:t>
      </w:r>
      <w:r w:rsidR="001731C1" w:rsidRPr="00DE62B6">
        <w:rPr>
          <w:rFonts w:ascii="Times New Roman" w:hAnsi="Times New Roman" w:cs="Times New Roman"/>
          <w:b/>
          <w:color w:val="1F497D" w:themeColor="text2"/>
          <w:sz w:val="24"/>
          <w:szCs w:val="24"/>
        </w:rPr>
        <w:t>3</w:t>
      </w:r>
      <w:r w:rsidRPr="00DE62B6">
        <w:rPr>
          <w:rFonts w:ascii="Times New Roman" w:hAnsi="Times New Roman" w:cs="Times New Roman"/>
          <w:b/>
          <w:color w:val="1F497D" w:themeColor="text2"/>
          <w:sz w:val="24"/>
          <w:szCs w:val="24"/>
        </w:rPr>
        <w:t>) ;</w:t>
      </w:r>
      <w:r w:rsidR="00B07D93" w:rsidRPr="00DE62B6">
        <w:rPr>
          <w:rFonts w:ascii="Times New Roman" w:hAnsi="Times New Roman" w:cs="Times New Roman"/>
          <w:b/>
          <w:color w:val="1F497D" w:themeColor="text2"/>
          <w:sz w:val="24"/>
          <w:szCs w:val="24"/>
        </w:rPr>
        <w:t xml:space="preserve"> (UNICEF)</w:t>
      </w:r>
    </w:p>
    <w:p w:rsidR="006953CC" w:rsidRPr="00DE62B6" w:rsidRDefault="006953CC" w:rsidP="00DE62B6">
      <w:pPr>
        <w:pStyle w:val="Paragraphedeliste"/>
        <w:numPr>
          <w:ilvl w:val="0"/>
          <w:numId w:val="8"/>
        </w:num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Le redimensionnement de la chambre froide de 100m</w:t>
      </w:r>
      <w:r w:rsidR="001731C1" w:rsidRPr="00DE62B6">
        <w:rPr>
          <w:rFonts w:ascii="Times New Roman" w:hAnsi="Times New Roman" w:cs="Times New Roman"/>
          <w:b/>
          <w:color w:val="1F497D" w:themeColor="text2"/>
          <w:sz w:val="24"/>
          <w:szCs w:val="24"/>
        </w:rPr>
        <w:t>3</w:t>
      </w:r>
      <w:r w:rsidRPr="00DE62B6">
        <w:rPr>
          <w:rFonts w:ascii="Times New Roman" w:hAnsi="Times New Roman" w:cs="Times New Roman"/>
          <w:b/>
          <w:color w:val="1F497D" w:themeColor="text2"/>
          <w:sz w:val="24"/>
          <w:szCs w:val="24"/>
        </w:rPr>
        <w:t xml:space="preserve"> en 60m</w:t>
      </w:r>
      <w:r w:rsidR="001731C1" w:rsidRPr="00DE62B6">
        <w:rPr>
          <w:rFonts w:ascii="Times New Roman" w:hAnsi="Times New Roman" w:cs="Times New Roman"/>
          <w:b/>
          <w:color w:val="1F497D" w:themeColor="text2"/>
          <w:sz w:val="24"/>
          <w:szCs w:val="24"/>
        </w:rPr>
        <w:t>3</w:t>
      </w:r>
      <w:r w:rsidR="00A30D8C" w:rsidRPr="00DE62B6">
        <w:rPr>
          <w:rFonts w:ascii="Times New Roman" w:hAnsi="Times New Roman" w:cs="Times New Roman"/>
          <w:b/>
          <w:color w:val="1F497D" w:themeColor="text2"/>
          <w:sz w:val="24"/>
          <w:szCs w:val="24"/>
        </w:rPr>
        <w:t>;</w:t>
      </w:r>
      <w:r w:rsidR="00B07D93" w:rsidRPr="00DE62B6">
        <w:rPr>
          <w:rFonts w:ascii="Times New Roman" w:hAnsi="Times New Roman" w:cs="Times New Roman"/>
          <w:b/>
          <w:color w:val="1F497D" w:themeColor="text2"/>
          <w:sz w:val="24"/>
          <w:szCs w:val="24"/>
        </w:rPr>
        <w:t xml:space="preserve"> (UNICEF)</w:t>
      </w:r>
    </w:p>
    <w:p w:rsidR="00FF0516" w:rsidRPr="00DE62B6" w:rsidRDefault="006953CC" w:rsidP="00DE62B6">
      <w:pPr>
        <w:pStyle w:val="Paragraphedeliste"/>
        <w:numPr>
          <w:ilvl w:val="0"/>
          <w:numId w:val="8"/>
        </w:num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L’acquisition de deux camions frigorifiques et de 670 réfrigérateurs solaires sur financement GAVI, ACDI et UNICEF et Plan Mali au cours de l’année 2015.</w:t>
      </w:r>
    </w:p>
    <w:p w:rsidR="0015123D" w:rsidRPr="00DE62B6" w:rsidRDefault="0015123D"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u w:val="single"/>
        </w:rPr>
        <w:t>NB</w:t>
      </w:r>
      <w:r w:rsidRPr="00DE62B6">
        <w:rPr>
          <w:rFonts w:ascii="Times New Roman" w:hAnsi="Times New Roman" w:cs="Times New Roman"/>
          <w:b/>
          <w:color w:val="1F497D" w:themeColor="text2"/>
          <w:sz w:val="24"/>
          <w:szCs w:val="24"/>
        </w:rPr>
        <w:t>: les quarante-sept (47) réfrigérateurs de Plan-Mali sont disponibles et seront réceptionnés en janvier 2015.</w:t>
      </w:r>
    </w:p>
    <w:p w:rsidR="006953CC" w:rsidRPr="00DE62B6" w:rsidRDefault="006953CC"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 xml:space="preserve">Contrairement à ce qui est écrit dans le document d’examen du CEI, la Section Immunisation dispose de trois générateurs d’une puissance de 70 KVA, </w:t>
      </w:r>
      <w:r w:rsidR="006F6914" w:rsidRPr="00DE62B6">
        <w:rPr>
          <w:rFonts w:ascii="Times New Roman" w:hAnsi="Times New Roman" w:cs="Times New Roman"/>
          <w:b/>
          <w:color w:val="1F497D" w:themeColor="text2"/>
          <w:sz w:val="24"/>
          <w:szCs w:val="24"/>
        </w:rPr>
        <w:t>8</w:t>
      </w:r>
      <w:r w:rsidRPr="00DE62B6">
        <w:rPr>
          <w:rFonts w:ascii="Times New Roman" w:hAnsi="Times New Roman" w:cs="Times New Roman"/>
          <w:b/>
          <w:color w:val="1F497D" w:themeColor="text2"/>
          <w:sz w:val="24"/>
          <w:szCs w:val="24"/>
        </w:rPr>
        <w:t xml:space="preserve">0 KVA et de 15 KVA. Ces groupes sont tous en bon état avec système de démarrage automatique en cas de coupure d’électricité. </w:t>
      </w:r>
    </w:p>
    <w:p w:rsidR="00ED0B5B" w:rsidRPr="00DE62B6" w:rsidRDefault="001B2FFA"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A</w:t>
      </w:r>
      <w:r w:rsidR="00C56E04" w:rsidRPr="00DE62B6">
        <w:rPr>
          <w:rFonts w:ascii="Times New Roman" w:hAnsi="Times New Roman" w:cs="Times New Roman"/>
          <w:b/>
          <w:color w:val="1F497D" w:themeColor="text2"/>
          <w:sz w:val="24"/>
          <w:szCs w:val="24"/>
        </w:rPr>
        <w:t xml:space="preserve">fin de faire face aux pannes </w:t>
      </w:r>
      <w:r w:rsidR="00143836" w:rsidRPr="00DE62B6">
        <w:rPr>
          <w:rFonts w:ascii="Times New Roman" w:hAnsi="Times New Roman" w:cs="Times New Roman"/>
          <w:b/>
          <w:color w:val="1F497D" w:themeColor="text2"/>
          <w:sz w:val="24"/>
          <w:szCs w:val="24"/>
        </w:rPr>
        <w:t xml:space="preserve">fréquentes de la logistique de la chaine de froid, </w:t>
      </w:r>
      <w:r w:rsidR="004A2104" w:rsidRPr="00DE62B6">
        <w:rPr>
          <w:rFonts w:ascii="Times New Roman" w:hAnsi="Times New Roman" w:cs="Times New Roman"/>
          <w:b/>
          <w:color w:val="1F497D" w:themeColor="text2"/>
          <w:sz w:val="24"/>
          <w:szCs w:val="24"/>
        </w:rPr>
        <w:t xml:space="preserve">le Service d'Entretien </w:t>
      </w:r>
      <w:r w:rsidR="00AA74CB" w:rsidRPr="00DE62B6">
        <w:rPr>
          <w:rFonts w:ascii="Times New Roman" w:hAnsi="Times New Roman" w:cs="Times New Roman"/>
          <w:b/>
          <w:color w:val="1F497D" w:themeColor="text2"/>
          <w:sz w:val="24"/>
          <w:szCs w:val="24"/>
        </w:rPr>
        <w:t xml:space="preserve">du </w:t>
      </w:r>
      <w:r w:rsidR="001F38A9" w:rsidRPr="00DE62B6">
        <w:rPr>
          <w:rFonts w:ascii="Times New Roman" w:hAnsi="Times New Roman" w:cs="Times New Roman"/>
          <w:b/>
          <w:color w:val="1F497D" w:themeColor="text2"/>
          <w:sz w:val="24"/>
          <w:szCs w:val="24"/>
        </w:rPr>
        <w:t xml:space="preserve">Parc Automobile </w:t>
      </w:r>
      <w:r w:rsidR="00AA74CB" w:rsidRPr="00DE62B6">
        <w:rPr>
          <w:rFonts w:ascii="Times New Roman" w:hAnsi="Times New Roman" w:cs="Times New Roman"/>
          <w:b/>
          <w:color w:val="1F497D" w:themeColor="text2"/>
          <w:sz w:val="24"/>
          <w:szCs w:val="24"/>
        </w:rPr>
        <w:t>et du</w:t>
      </w:r>
      <w:r w:rsidR="004A2104" w:rsidRPr="00DE62B6">
        <w:rPr>
          <w:rFonts w:ascii="Times New Roman" w:hAnsi="Times New Roman" w:cs="Times New Roman"/>
          <w:b/>
          <w:color w:val="1F497D" w:themeColor="text2"/>
          <w:sz w:val="24"/>
          <w:szCs w:val="24"/>
        </w:rPr>
        <w:t xml:space="preserve"> M</w:t>
      </w:r>
      <w:r w:rsidR="00AA74CB" w:rsidRPr="00DE62B6">
        <w:rPr>
          <w:rFonts w:ascii="Times New Roman" w:hAnsi="Times New Roman" w:cs="Times New Roman"/>
          <w:b/>
          <w:color w:val="1F497D" w:themeColor="text2"/>
          <w:sz w:val="24"/>
          <w:szCs w:val="24"/>
        </w:rPr>
        <w:t>atériel Technique</w:t>
      </w:r>
      <w:r w:rsidR="00414109" w:rsidRPr="00DE62B6">
        <w:rPr>
          <w:rFonts w:ascii="Times New Roman" w:hAnsi="Times New Roman" w:cs="Times New Roman"/>
          <w:b/>
          <w:color w:val="1F497D" w:themeColor="text2"/>
          <w:sz w:val="24"/>
          <w:szCs w:val="24"/>
        </w:rPr>
        <w:t xml:space="preserve"> (SEPAUMAT)</w:t>
      </w:r>
      <w:r w:rsidR="006D4C6F" w:rsidRPr="00DE62B6">
        <w:rPr>
          <w:rFonts w:ascii="Times New Roman" w:hAnsi="Times New Roman" w:cs="Times New Roman"/>
          <w:b/>
          <w:color w:val="1F497D" w:themeColor="text2"/>
          <w:sz w:val="24"/>
          <w:szCs w:val="24"/>
        </w:rPr>
        <w:t xml:space="preserve"> du Ministère de la Santé et de l'Hygiène Publique</w:t>
      </w:r>
      <w:r w:rsidR="00414109" w:rsidRPr="00DE62B6">
        <w:rPr>
          <w:rFonts w:ascii="Times New Roman" w:hAnsi="Times New Roman" w:cs="Times New Roman"/>
          <w:b/>
          <w:color w:val="1F497D" w:themeColor="text2"/>
          <w:sz w:val="24"/>
          <w:szCs w:val="24"/>
        </w:rPr>
        <w:t xml:space="preserve"> fera d</w:t>
      </w:r>
      <w:r w:rsidR="00E5341B" w:rsidRPr="00DE62B6">
        <w:rPr>
          <w:rFonts w:ascii="Times New Roman" w:hAnsi="Times New Roman" w:cs="Times New Roman"/>
          <w:b/>
          <w:color w:val="1F497D" w:themeColor="text2"/>
          <w:sz w:val="24"/>
          <w:szCs w:val="24"/>
        </w:rPr>
        <w:t>es missions d'entretien et de ré</w:t>
      </w:r>
      <w:r w:rsidR="00414109" w:rsidRPr="00DE62B6">
        <w:rPr>
          <w:rFonts w:ascii="Times New Roman" w:hAnsi="Times New Roman" w:cs="Times New Roman"/>
          <w:b/>
          <w:color w:val="1F497D" w:themeColor="text2"/>
          <w:sz w:val="24"/>
          <w:szCs w:val="24"/>
        </w:rPr>
        <w:t>parations de</w:t>
      </w:r>
      <w:r w:rsidR="00E5341B" w:rsidRPr="00DE62B6">
        <w:rPr>
          <w:rFonts w:ascii="Times New Roman" w:hAnsi="Times New Roman" w:cs="Times New Roman"/>
          <w:b/>
          <w:color w:val="1F497D" w:themeColor="text2"/>
          <w:sz w:val="24"/>
          <w:szCs w:val="24"/>
        </w:rPr>
        <w:t>s équipements avec transfert des compétences aux</w:t>
      </w:r>
      <w:r w:rsidR="00122FD9" w:rsidRPr="00DE62B6">
        <w:rPr>
          <w:rFonts w:ascii="Times New Roman" w:hAnsi="Times New Roman" w:cs="Times New Roman"/>
          <w:b/>
          <w:color w:val="1F497D" w:themeColor="text2"/>
          <w:sz w:val="24"/>
          <w:szCs w:val="24"/>
        </w:rPr>
        <w:t xml:space="preserve"> agents des structures locales.</w:t>
      </w:r>
    </w:p>
    <w:p w:rsidR="00EA2C58" w:rsidRPr="00DE62B6" w:rsidRDefault="00EA2C58"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La maintenance préventive est mise en œuvre tous les six mois et la maintenance curative au besoin. Il exi</w:t>
      </w:r>
      <w:r w:rsidR="000657F9" w:rsidRPr="00DE62B6">
        <w:rPr>
          <w:rFonts w:ascii="Times New Roman" w:hAnsi="Times New Roman" w:cs="Times New Roman"/>
          <w:b/>
          <w:color w:val="1F497D" w:themeColor="text2"/>
          <w:sz w:val="24"/>
          <w:szCs w:val="24"/>
        </w:rPr>
        <w:t>ste une équipe de maintenance</w:t>
      </w:r>
      <w:r w:rsidRPr="00DE62B6">
        <w:rPr>
          <w:rFonts w:ascii="Times New Roman" w:hAnsi="Times New Roman" w:cs="Times New Roman"/>
          <w:b/>
          <w:color w:val="1F497D" w:themeColor="text2"/>
          <w:sz w:val="24"/>
          <w:szCs w:val="24"/>
        </w:rPr>
        <w:t xml:space="preserve"> bien formée au niveau central.</w:t>
      </w:r>
    </w:p>
    <w:p w:rsidR="000A2355" w:rsidRPr="00DE62B6" w:rsidRDefault="000A2355"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 xml:space="preserve">L’État Malien achète chaque année </w:t>
      </w:r>
      <w:r w:rsidR="000657F9" w:rsidRPr="00DE62B6">
        <w:rPr>
          <w:rFonts w:ascii="Times New Roman" w:hAnsi="Times New Roman" w:cs="Times New Roman"/>
          <w:b/>
          <w:color w:val="1F497D" w:themeColor="text2"/>
          <w:sz w:val="24"/>
          <w:szCs w:val="24"/>
        </w:rPr>
        <w:t>240</w:t>
      </w:r>
      <w:r w:rsidRPr="00DE62B6">
        <w:rPr>
          <w:rFonts w:ascii="Times New Roman" w:hAnsi="Times New Roman" w:cs="Times New Roman"/>
          <w:b/>
          <w:color w:val="1F497D" w:themeColor="text2"/>
          <w:sz w:val="24"/>
          <w:szCs w:val="24"/>
        </w:rPr>
        <w:t> 000</w:t>
      </w:r>
      <w:r w:rsidR="008F3335" w:rsidRPr="00DE62B6">
        <w:rPr>
          <w:rFonts w:ascii="Times New Roman" w:hAnsi="Times New Roman" w:cs="Times New Roman"/>
          <w:b/>
          <w:color w:val="1F497D" w:themeColor="text2"/>
          <w:sz w:val="24"/>
          <w:szCs w:val="24"/>
        </w:rPr>
        <w:t xml:space="preserve"> US $</w:t>
      </w:r>
      <w:r w:rsidRPr="00DE62B6">
        <w:rPr>
          <w:rFonts w:ascii="Times New Roman" w:hAnsi="Times New Roman" w:cs="Times New Roman"/>
          <w:b/>
          <w:color w:val="1F497D" w:themeColor="text2"/>
          <w:sz w:val="24"/>
          <w:szCs w:val="24"/>
        </w:rPr>
        <w:t xml:space="preserve"> de pièces de rechange pour la chaine de froid et pour tous les niveaux. </w:t>
      </w:r>
    </w:p>
    <w:p w:rsidR="008D06C8" w:rsidRPr="00DE62B6" w:rsidRDefault="00C606CE" w:rsidP="00DE62B6">
      <w:pPr>
        <w:autoSpaceDE w:val="0"/>
        <w:autoSpaceDN w:val="0"/>
        <w:adjustRightInd w:val="0"/>
        <w:spacing w:before="120" w:after="120" w:line="240" w:lineRule="auto"/>
        <w:jc w:val="both"/>
        <w:rPr>
          <w:rFonts w:ascii="Times New Roman" w:hAnsi="Times New Roman" w:cs="Times New Roman"/>
          <w:color w:val="141414"/>
          <w:sz w:val="24"/>
          <w:szCs w:val="24"/>
        </w:rPr>
      </w:pPr>
      <w:r w:rsidRPr="00DE62B6">
        <w:rPr>
          <w:rFonts w:ascii="Times New Roman" w:hAnsi="Times New Roman" w:cs="Times New Roman"/>
          <w:b/>
          <w:color w:val="1F497D" w:themeColor="text2"/>
          <w:sz w:val="24"/>
          <w:szCs w:val="24"/>
        </w:rPr>
        <w:t>2.</w:t>
      </w:r>
      <w:r w:rsidR="008D06C8" w:rsidRPr="00DE62B6">
        <w:rPr>
          <w:rFonts w:ascii="Times New Roman" w:hAnsi="Times New Roman" w:cs="Times New Roman"/>
          <w:color w:val="141414"/>
          <w:sz w:val="24"/>
          <w:szCs w:val="24"/>
        </w:rPr>
        <w:t xml:space="preserve">7) Plans/actions à prendre en compte quant à </w:t>
      </w:r>
      <w:r w:rsidR="00E414D3" w:rsidRPr="00DE62B6">
        <w:rPr>
          <w:rFonts w:ascii="Times New Roman" w:hAnsi="Times New Roman" w:cs="Times New Roman"/>
          <w:color w:val="141414"/>
          <w:sz w:val="24"/>
          <w:szCs w:val="24"/>
        </w:rPr>
        <w:t xml:space="preserve">la température de la chaîne </w:t>
      </w:r>
      <w:r w:rsidR="008D06C8" w:rsidRPr="00DE62B6">
        <w:rPr>
          <w:rFonts w:ascii="Times New Roman" w:hAnsi="Times New Roman" w:cs="Times New Roman"/>
          <w:color w:val="141414"/>
          <w:sz w:val="24"/>
          <w:szCs w:val="24"/>
        </w:rPr>
        <w:t>d'approvisionnement et à la gestion de l'</w:t>
      </w:r>
      <w:r w:rsidR="008D06C8" w:rsidRPr="00DE62B6">
        <w:rPr>
          <w:rFonts w:ascii="Times New Roman" w:hAnsi="Times New Roman" w:cs="Times New Roman"/>
          <w:color w:val="282828"/>
          <w:sz w:val="24"/>
          <w:szCs w:val="24"/>
        </w:rPr>
        <w:t>i</w:t>
      </w:r>
      <w:r w:rsidR="008D06C8" w:rsidRPr="00DE62B6">
        <w:rPr>
          <w:rFonts w:ascii="Times New Roman" w:hAnsi="Times New Roman" w:cs="Times New Roman"/>
          <w:color w:val="141414"/>
          <w:sz w:val="24"/>
          <w:szCs w:val="24"/>
        </w:rPr>
        <w:t>nventaire, à la</w:t>
      </w:r>
      <w:r w:rsidR="009D385A" w:rsidRPr="00DE62B6">
        <w:rPr>
          <w:rFonts w:ascii="Times New Roman" w:hAnsi="Times New Roman" w:cs="Times New Roman"/>
          <w:color w:val="141414"/>
          <w:sz w:val="24"/>
          <w:szCs w:val="24"/>
        </w:rPr>
        <w:t xml:space="preserve"> communication des informations </w:t>
      </w:r>
      <w:r w:rsidR="008D06C8" w:rsidRPr="00DE62B6">
        <w:rPr>
          <w:rFonts w:ascii="Times New Roman" w:hAnsi="Times New Roman" w:cs="Times New Roman"/>
          <w:color w:val="141414"/>
          <w:sz w:val="24"/>
          <w:szCs w:val="24"/>
        </w:rPr>
        <w:t>relatives à la chaîne d'approvisionnement et à la l</w:t>
      </w:r>
      <w:r w:rsidR="009D385A" w:rsidRPr="00DE62B6">
        <w:rPr>
          <w:rFonts w:ascii="Times New Roman" w:hAnsi="Times New Roman" w:cs="Times New Roman"/>
          <w:color w:val="141414"/>
          <w:sz w:val="24"/>
          <w:szCs w:val="24"/>
        </w:rPr>
        <w:t xml:space="preserve">ogistique et la manière dont ce </w:t>
      </w:r>
      <w:r w:rsidR="008D06C8" w:rsidRPr="00DE62B6">
        <w:rPr>
          <w:rFonts w:ascii="Times New Roman" w:hAnsi="Times New Roman" w:cs="Times New Roman"/>
          <w:color w:val="141414"/>
          <w:sz w:val="24"/>
          <w:szCs w:val="24"/>
        </w:rPr>
        <w:t>système garantira qu'aucun dommage ne sera occa</w:t>
      </w:r>
      <w:r w:rsidR="009D385A" w:rsidRPr="00DE62B6">
        <w:rPr>
          <w:rFonts w:ascii="Times New Roman" w:hAnsi="Times New Roman" w:cs="Times New Roman"/>
          <w:color w:val="141414"/>
          <w:sz w:val="24"/>
          <w:szCs w:val="24"/>
        </w:rPr>
        <w:t xml:space="preserve">sionné au Rotateq et aux autres </w:t>
      </w:r>
      <w:r w:rsidR="008D06C8" w:rsidRPr="00DE62B6">
        <w:rPr>
          <w:rFonts w:ascii="Times New Roman" w:hAnsi="Times New Roman" w:cs="Times New Roman"/>
          <w:color w:val="141414"/>
          <w:sz w:val="24"/>
          <w:szCs w:val="24"/>
        </w:rPr>
        <w:t>vaccins tout au long de la chaîne d</w:t>
      </w:r>
      <w:r w:rsidR="008D06C8" w:rsidRPr="00DE62B6">
        <w:rPr>
          <w:rFonts w:ascii="Times New Roman" w:hAnsi="Times New Roman" w:cs="Times New Roman"/>
          <w:color w:val="282828"/>
          <w:sz w:val="24"/>
          <w:szCs w:val="24"/>
        </w:rPr>
        <w:t>'</w:t>
      </w:r>
      <w:r w:rsidR="008D06C8" w:rsidRPr="00DE62B6">
        <w:rPr>
          <w:rFonts w:ascii="Times New Roman" w:hAnsi="Times New Roman" w:cs="Times New Roman"/>
          <w:color w:val="141414"/>
          <w:sz w:val="24"/>
          <w:szCs w:val="24"/>
        </w:rPr>
        <w:t>approvisionnement.</w:t>
      </w:r>
    </w:p>
    <w:p w:rsidR="00F934B8" w:rsidRPr="00DE62B6" w:rsidRDefault="00F934B8"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 xml:space="preserve">Au niveau Central, les multi logs ont été installés dans toutes les chambres froides au cours du mois de décembre 2014. Des freedge tag ont commencé à être installés au niveau des régions, des districts sanitaires et des CSCom. Les réfrigérateurs à pétrole sont progressivement remplacés par les réfrigérateurs solaires. L’outil de gestion des stocks (SMT) permet de suivre régulièrement l’utilisation des vaccins et des intrants. Les inventaires physiques, autrefois annuels, se feront désormais semestriellement à partir de 2015. </w:t>
      </w:r>
    </w:p>
    <w:p w:rsidR="00251151" w:rsidRPr="00DE62B6" w:rsidRDefault="00F934B8"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La formation en cours de deux agents en logistique permettra à la fin de renforcer les capacités techniques en chaine d’approvisionnement et en gestion des stocks.</w:t>
      </w:r>
    </w:p>
    <w:p w:rsidR="00561811" w:rsidRPr="00DE62B6" w:rsidRDefault="00561811"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Le redimensionnement de la chambre froide de 100m3 en 60m3</w:t>
      </w:r>
      <w:r w:rsidR="007A2FD2" w:rsidRPr="00DE62B6">
        <w:rPr>
          <w:rFonts w:ascii="Times New Roman" w:hAnsi="Times New Roman" w:cs="Times New Roman"/>
          <w:b/>
          <w:color w:val="1F497D" w:themeColor="text2"/>
          <w:sz w:val="24"/>
          <w:szCs w:val="24"/>
        </w:rPr>
        <w:t xml:space="preserve"> aussi permettra </w:t>
      </w:r>
      <w:r w:rsidR="00383DF9" w:rsidRPr="00DE62B6">
        <w:rPr>
          <w:rFonts w:ascii="Times New Roman" w:hAnsi="Times New Roman" w:cs="Times New Roman"/>
          <w:b/>
          <w:color w:val="1F497D" w:themeColor="text2"/>
          <w:sz w:val="24"/>
          <w:szCs w:val="24"/>
        </w:rPr>
        <w:t xml:space="preserve">de prendre </w:t>
      </w:r>
      <w:r w:rsidR="007A2FD2" w:rsidRPr="00DE62B6">
        <w:rPr>
          <w:rFonts w:ascii="Times New Roman" w:hAnsi="Times New Roman" w:cs="Times New Roman"/>
          <w:b/>
          <w:color w:val="1F497D" w:themeColor="text2"/>
          <w:sz w:val="24"/>
          <w:szCs w:val="24"/>
        </w:rPr>
        <w:t xml:space="preserve">en compte la température de la chaine </w:t>
      </w:r>
      <w:r w:rsidR="00482F0A" w:rsidRPr="00DE62B6">
        <w:rPr>
          <w:rFonts w:ascii="Times New Roman" w:hAnsi="Times New Roman" w:cs="Times New Roman"/>
          <w:b/>
          <w:color w:val="1F497D" w:themeColor="text2"/>
          <w:sz w:val="24"/>
          <w:szCs w:val="24"/>
        </w:rPr>
        <w:t>d'approvisionnement.</w:t>
      </w:r>
    </w:p>
    <w:p w:rsidR="00FB0113" w:rsidRPr="00DE62B6" w:rsidRDefault="00C606CE" w:rsidP="00DE62B6">
      <w:pPr>
        <w:autoSpaceDE w:val="0"/>
        <w:autoSpaceDN w:val="0"/>
        <w:adjustRightInd w:val="0"/>
        <w:spacing w:before="120" w:after="120" w:line="240" w:lineRule="auto"/>
        <w:jc w:val="both"/>
        <w:rPr>
          <w:rFonts w:ascii="Times New Roman" w:hAnsi="Times New Roman" w:cs="Times New Roman"/>
          <w:color w:val="141414"/>
          <w:sz w:val="24"/>
          <w:szCs w:val="24"/>
        </w:rPr>
      </w:pPr>
      <w:r w:rsidRPr="00DE62B6">
        <w:rPr>
          <w:rFonts w:ascii="Times New Roman" w:hAnsi="Times New Roman" w:cs="Times New Roman"/>
          <w:color w:val="141414"/>
          <w:sz w:val="24"/>
          <w:szCs w:val="24"/>
        </w:rPr>
        <w:t>2.</w:t>
      </w:r>
      <w:r w:rsidR="008D06C8" w:rsidRPr="00DE62B6">
        <w:rPr>
          <w:rFonts w:ascii="Times New Roman" w:hAnsi="Times New Roman" w:cs="Times New Roman"/>
          <w:color w:val="141414"/>
          <w:sz w:val="24"/>
          <w:szCs w:val="24"/>
        </w:rPr>
        <w:t>8) Envisager de définir une stratégie nationale pour l</w:t>
      </w:r>
      <w:r w:rsidR="00E414D3" w:rsidRPr="00DE62B6">
        <w:rPr>
          <w:rFonts w:ascii="Times New Roman" w:hAnsi="Times New Roman" w:cs="Times New Roman"/>
          <w:color w:val="141414"/>
          <w:sz w:val="24"/>
          <w:szCs w:val="24"/>
        </w:rPr>
        <w:t xml:space="preserve">a gestion des déchets en tenant </w:t>
      </w:r>
      <w:r w:rsidR="008D06C8" w:rsidRPr="00DE62B6">
        <w:rPr>
          <w:rFonts w:ascii="Times New Roman" w:hAnsi="Times New Roman" w:cs="Times New Roman"/>
          <w:color w:val="141414"/>
          <w:sz w:val="24"/>
          <w:szCs w:val="24"/>
        </w:rPr>
        <w:t>compte du grand nombre d'incinérateurs installé</w:t>
      </w:r>
      <w:r w:rsidR="00E414D3" w:rsidRPr="00DE62B6">
        <w:rPr>
          <w:rFonts w:ascii="Times New Roman" w:hAnsi="Times New Roman" w:cs="Times New Roman"/>
          <w:color w:val="141414"/>
          <w:sz w:val="24"/>
          <w:szCs w:val="24"/>
        </w:rPr>
        <w:t xml:space="preserve">s et des unités supplémentaires </w:t>
      </w:r>
      <w:r w:rsidR="009D385A" w:rsidRPr="00DE62B6">
        <w:rPr>
          <w:rFonts w:ascii="Times New Roman" w:hAnsi="Times New Roman" w:cs="Times New Roman"/>
          <w:color w:val="141414"/>
          <w:sz w:val="24"/>
          <w:szCs w:val="24"/>
        </w:rPr>
        <w:t xml:space="preserve">prévues pour les déchets. </w:t>
      </w:r>
    </w:p>
    <w:p w:rsidR="00FB0113" w:rsidRPr="00DE62B6" w:rsidRDefault="00EE5F5F"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 xml:space="preserve">Contrairement à ce qui est mentionné dans la question, moins de 45% </w:t>
      </w:r>
      <w:r w:rsidR="00FB0113" w:rsidRPr="00DE62B6">
        <w:rPr>
          <w:rFonts w:ascii="Times New Roman" w:hAnsi="Times New Roman" w:cs="Times New Roman"/>
          <w:b/>
          <w:color w:val="1F497D" w:themeColor="text2"/>
          <w:sz w:val="24"/>
          <w:szCs w:val="24"/>
        </w:rPr>
        <w:t xml:space="preserve">des structures dispose </w:t>
      </w:r>
      <w:r w:rsidR="001B4D37" w:rsidRPr="00DE62B6">
        <w:rPr>
          <w:rFonts w:ascii="Times New Roman" w:hAnsi="Times New Roman" w:cs="Times New Roman"/>
          <w:b/>
          <w:color w:val="1F497D" w:themeColor="text2"/>
          <w:sz w:val="24"/>
          <w:szCs w:val="24"/>
        </w:rPr>
        <w:t xml:space="preserve">actuellement </w:t>
      </w:r>
      <w:r w:rsidR="00FB0113" w:rsidRPr="00DE62B6">
        <w:rPr>
          <w:rFonts w:ascii="Times New Roman" w:hAnsi="Times New Roman" w:cs="Times New Roman"/>
          <w:b/>
          <w:color w:val="1F497D" w:themeColor="text2"/>
          <w:sz w:val="24"/>
          <w:szCs w:val="24"/>
        </w:rPr>
        <w:t xml:space="preserve">d'un incinérateur. </w:t>
      </w:r>
      <w:r w:rsidR="001B4D37" w:rsidRPr="00DE62B6">
        <w:rPr>
          <w:rFonts w:ascii="Times New Roman" w:hAnsi="Times New Roman" w:cs="Times New Roman"/>
          <w:b/>
          <w:color w:val="1F497D" w:themeColor="text2"/>
          <w:sz w:val="24"/>
          <w:szCs w:val="24"/>
        </w:rPr>
        <w:t>Avec la proposition de soutien au RSS, il</w:t>
      </w:r>
      <w:r w:rsidR="00211DBD" w:rsidRPr="00DE62B6">
        <w:rPr>
          <w:rFonts w:ascii="Times New Roman" w:hAnsi="Times New Roman" w:cs="Times New Roman"/>
          <w:b/>
          <w:color w:val="1F497D" w:themeColor="text2"/>
          <w:sz w:val="24"/>
          <w:szCs w:val="24"/>
        </w:rPr>
        <w:t xml:space="preserve"> est</w:t>
      </w:r>
      <w:r w:rsidR="001B4D37" w:rsidRPr="00DE62B6">
        <w:rPr>
          <w:rFonts w:ascii="Times New Roman" w:hAnsi="Times New Roman" w:cs="Times New Roman"/>
          <w:b/>
          <w:color w:val="1F497D" w:themeColor="text2"/>
          <w:sz w:val="24"/>
          <w:szCs w:val="24"/>
        </w:rPr>
        <w:t xml:space="preserve"> prévu la dotation de 25 structures en incinérateur sur </w:t>
      </w:r>
      <w:r w:rsidR="00433DE5" w:rsidRPr="00DE62B6">
        <w:rPr>
          <w:rFonts w:ascii="Times New Roman" w:hAnsi="Times New Roman" w:cs="Times New Roman"/>
          <w:b/>
          <w:color w:val="1F497D" w:themeColor="text2"/>
          <w:sz w:val="24"/>
          <w:szCs w:val="24"/>
        </w:rPr>
        <w:t>644</w:t>
      </w:r>
      <w:r w:rsidR="001B4D37" w:rsidRPr="00DE62B6">
        <w:rPr>
          <w:rFonts w:ascii="Times New Roman" w:hAnsi="Times New Roman" w:cs="Times New Roman"/>
          <w:b/>
          <w:color w:val="1F497D" w:themeColor="text2"/>
          <w:sz w:val="24"/>
          <w:szCs w:val="24"/>
        </w:rPr>
        <w:t xml:space="preserve"> centres de santé</w:t>
      </w:r>
      <w:r w:rsidR="001551AB">
        <w:rPr>
          <w:rFonts w:ascii="Times New Roman" w:hAnsi="Times New Roman" w:cs="Times New Roman"/>
          <w:b/>
          <w:color w:val="1F497D" w:themeColor="text2"/>
          <w:sz w:val="24"/>
          <w:szCs w:val="24"/>
        </w:rPr>
        <w:t xml:space="preserve"> </w:t>
      </w:r>
      <w:r w:rsidR="00874152" w:rsidRPr="00DE62B6">
        <w:rPr>
          <w:rFonts w:ascii="Times New Roman" w:hAnsi="Times New Roman" w:cs="Times New Roman"/>
          <w:b/>
          <w:color w:val="1F497D" w:themeColor="text2"/>
          <w:sz w:val="24"/>
          <w:szCs w:val="24"/>
        </w:rPr>
        <w:t xml:space="preserve">communautaires (CSCom) </w:t>
      </w:r>
      <w:r w:rsidR="001C6364" w:rsidRPr="00DE62B6">
        <w:rPr>
          <w:rFonts w:ascii="Times New Roman" w:hAnsi="Times New Roman" w:cs="Times New Roman"/>
          <w:b/>
          <w:color w:val="1F497D" w:themeColor="text2"/>
          <w:sz w:val="24"/>
          <w:szCs w:val="24"/>
        </w:rPr>
        <w:t>qui n'en dispose</w:t>
      </w:r>
      <w:r w:rsidR="00874152" w:rsidRPr="00DE62B6">
        <w:rPr>
          <w:rFonts w:ascii="Times New Roman" w:hAnsi="Times New Roman" w:cs="Times New Roman"/>
          <w:b/>
          <w:color w:val="1F497D" w:themeColor="text2"/>
          <w:sz w:val="24"/>
          <w:szCs w:val="24"/>
        </w:rPr>
        <w:t>nt</w:t>
      </w:r>
      <w:r w:rsidR="001C6364" w:rsidRPr="00DE62B6">
        <w:rPr>
          <w:rFonts w:ascii="Times New Roman" w:hAnsi="Times New Roman" w:cs="Times New Roman"/>
          <w:b/>
          <w:color w:val="1F497D" w:themeColor="text2"/>
          <w:sz w:val="24"/>
          <w:szCs w:val="24"/>
        </w:rPr>
        <w:t xml:space="preserve"> pas</w:t>
      </w:r>
      <w:r w:rsidR="001B4D37" w:rsidRPr="00DE62B6">
        <w:rPr>
          <w:rFonts w:ascii="Times New Roman" w:hAnsi="Times New Roman" w:cs="Times New Roman"/>
          <w:b/>
          <w:color w:val="1F497D" w:themeColor="text2"/>
          <w:sz w:val="24"/>
          <w:szCs w:val="24"/>
        </w:rPr>
        <w:t>.</w:t>
      </w:r>
    </w:p>
    <w:p w:rsidR="001E3005" w:rsidRPr="00DE62B6" w:rsidRDefault="00570938" w:rsidP="00DE62B6">
      <w:pPr>
        <w:autoSpaceDE w:val="0"/>
        <w:autoSpaceDN w:val="0"/>
        <w:adjustRightInd w:val="0"/>
        <w:spacing w:before="120" w:after="120" w:line="240" w:lineRule="auto"/>
        <w:jc w:val="both"/>
        <w:rPr>
          <w:rFonts w:ascii="Times New Roman" w:hAnsi="Times New Roman" w:cs="Times New Roman"/>
          <w:color w:val="141414"/>
          <w:sz w:val="24"/>
          <w:szCs w:val="24"/>
        </w:rPr>
      </w:pPr>
      <w:r w:rsidRPr="00DE62B6">
        <w:rPr>
          <w:rFonts w:ascii="Times New Roman" w:hAnsi="Times New Roman" w:cs="Times New Roman"/>
          <w:b/>
          <w:color w:val="1F497D" w:themeColor="text2"/>
          <w:sz w:val="24"/>
          <w:szCs w:val="24"/>
        </w:rPr>
        <w:t>Le Mali dispose d'un</w:t>
      </w:r>
      <w:r w:rsidR="007E650B" w:rsidRPr="00DE62B6">
        <w:rPr>
          <w:rFonts w:ascii="Times New Roman" w:hAnsi="Times New Roman" w:cs="Times New Roman"/>
          <w:b/>
          <w:color w:val="1F497D" w:themeColor="text2"/>
          <w:sz w:val="24"/>
          <w:szCs w:val="24"/>
        </w:rPr>
        <w:t xml:space="preserve"> plan stratégique de gestion des déchets biomédicaux</w:t>
      </w:r>
      <w:r w:rsidRPr="00DE62B6">
        <w:rPr>
          <w:rFonts w:ascii="Times New Roman" w:hAnsi="Times New Roman" w:cs="Times New Roman"/>
          <w:b/>
          <w:color w:val="1F497D" w:themeColor="text2"/>
          <w:sz w:val="24"/>
          <w:szCs w:val="24"/>
        </w:rPr>
        <w:t>, qui</w:t>
      </w:r>
      <w:r w:rsidR="007E650B" w:rsidRPr="00DE62B6">
        <w:rPr>
          <w:rFonts w:ascii="Times New Roman" w:hAnsi="Times New Roman" w:cs="Times New Roman"/>
          <w:b/>
          <w:color w:val="1F497D" w:themeColor="text2"/>
          <w:sz w:val="24"/>
          <w:szCs w:val="24"/>
        </w:rPr>
        <w:t xml:space="preserve"> a été actualisé en 2011 afin de couvrir la</w:t>
      </w:r>
      <w:r w:rsidR="006A4428" w:rsidRPr="00DE62B6">
        <w:rPr>
          <w:rFonts w:ascii="Times New Roman" w:hAnsi="Times New Roman" w:cs="Times New Roman"/>
          <w:b/>
          <w:color w:val="1F497D" w:themeColor="text2"/>
          <w:sz w:val="24"/>
          <w:szCs w:val="24"/>
        </w:rPr>
        <w:t xml:space="preserve"> période 2011-2015. </w:t>
      </w:r>
      <w:r w:rsidR="001E3005" w:rsidRPr="00DE62B6">
        <w:rPr>
          <w:rFonts w:ascii="Times New Roman" w:hAnsi="Times New Roman" w:cs="Times New Roman"/>
          <w:b/>
          <w:color w:val="1F497D" w:themeColor="text2"/>
          <w:sz w:val="24"/>
          <w:szCs w:val="24"/>
        </w:rPr>
        <w:t>Ainsi</w:t>
      </w:r>
      <w:r w:rsidR="008D77D9" w:rsidRPr="00DE62B6">
        <w:rPr>
          <w:rFonts w:ascii="Times New Roman" w:hAnsi="Times New Roman" w:cs="Times New Roman"/>
          <w:b/>
          <w:color w:val="1F497D" w:themeColor="text2"/>
          <w:sz w:val="24"/>
          <w:szCs w:val="24"/>
        </w:rPr>
        <w:t>, huit (8) objectifs ont été définis :</w:t>
      </w:r>
    </w:p>
    <w:p w:rsidR="001E3005" w:rsidRPr="00DE62B6" w:rsidRDefault="00745AE5"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 xml:space="preserve">Objectif </w:t>
      </w:r>
      <w:r w:rsidR="001E3005" w:rsidRPr="00DE62B6">
        <w:rPr>
          <w:rFonts w:ascii="Times New Roman" w:hAnsi="Times New Roman" w:cs="Times New Roman"/>
          <w:b/>
          <w:color w:val="1F497D" w:themeColor="text2"/>
          <w:sz w:val="24"/>
          <w:szCs w:val="24"/>
        </w:rPr>
        <w:t xml:space="preserve">1 : Renforcer le cadre planification et gestion des DBM dans les formations sanitaires </w:t>
      </w:r>
    </w:p>
    <w:p w:rsidR="001E3005" w:rsidRPr="00DE62B6" w:rsidRDefault="001E3005"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 xml:space="preserve">Objectif 2: Renforcer le cadre réglementaire et organisationnel </w:t>
      </w:r>
    </w:p>
    <w:p w:rsidR="001E3005" w:rsidRPr="00DE62B6" w:rsidRDefault="001E3005"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Objectif 3: Assurer la for</w:t>
      </w:r>
      <w:r w:rsidR="00482F0A" w:rsidRPr="00DE62B6">
        <w:rPr>
          <w:rFonts w:ascii="Times New Roman" w:hAnsi="Times New Roman" w:cs="Times New Roman"/>
          <w:b/>
          <w:color w:val="1F497D" w:themeColor="text2"/>
          <w:sz w:val="24"/>
          <w:szCs w:val="24"/>
        </w:rPr>
        <w:t xml:space="preserve">mation de tous agents de santé </w:t>
      </w:r>
      <w:r w:rsidRPr="00DE62B6">
        <w:rPr>
          <w:rFonts w:ascii="Times New Roman" w:hAnsi="Times New Roman" w:cs="Times New Roman"/>
          <w:b/>
          <w:color w:val="1F497D" w:themeColor="text2"/>
          <w:sz w:val="24"/>
          <w:szCs w:val="24"/>
        </w:rPr>
        <w:t>à tous les niveaux dans la gestion des DBM</w:t>
      </w:r>
    </w:p>
    <w:p w:rsidR="001E3005" w:rsidRPr="00DE62B6" w:rsidRDefault="001E3005"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Objectif 4: Assurer la sensibilisation du personnel de santé et des populations</w:t>
      </w:r>
    </w:p>
    <w:p w:rsidR="001E3005" w:rsidRPr="00DE62B6" w:rsidRDefault="001E3005"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 xml:space="preserve">Objectif 5 : Doter les formations sanitaires et équipements, infrastructures de gestion et d’élimination des déchets </w:t>
      </w:r>
    </w:p>
    <w:p w:rsidR="001E3005" w:rsidRPr="00DE62B6" w:rsidRDefault="001E3005"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Objectif 6 : Assurer le plaidoyer pour la mobilisation des ressources</w:t>
      </w:r>
    </w:p>
    <w:p w:rsidR="001E3005" w:rsidRPr="00DE62B6" w:rsidRDefault="001E3005"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Objectif 7 : Développer la collaboration intersectorielle et le partenariat public-privé</w:t>
      </w:r>
    </w:p>
    <w:p w:rsidR="001E3005" w:rsidRPr="00DE62B6" w:rsidRDefault="001E3005"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Objectif 8: Assurer suivi/évaluation et la supervision de la gestion des DBM</w:t>
      </w:r>
    </w:p>
    <w:p w:rsidR="008754F2" w:rsidRDefault="00B95B61" w:rsidP="00DE62B6">
      <w:pPr>
        <w:autoSpaceDE w:val="0"/>
        <w:autoSpaceDN w:val="0"/>
        <w:adjustRightInd w:val="0"/>
        <w:spacing w:before="120" w:after="120" w:line="240" w:lineRule="auto"/>
        <w:jc w:val="both"/>
        <w:rPr>
          <w:rFonts w:ascii="Times New Roman" w:hAnsi="Times New Roman" w:cs="Times New Roman"/>
          <w:b/>
          <w:color w:val="1F497D" w:themeColor="text2"/>
          <w:sz w:val="24"/>
          <w:szCs w:val="24"/>
        </w:rPr>
      </w:pPr>
      <w:r w:rsidRPr="00DE62B6">
        <w:rPr>
          <w:rFonts w:ascii="Times New Roman" w:hAnsi="Times New Roman" w:cs="Times New Roman"/>
          <w:b/>
          <w:color w:val="1F497D" w:themeColor="text2"/>
          <w:sz w:val="24"/>
          <w:szCs w:val="24"/>
        </w:rPr>
        <w:t xml:space="preserve">La subvention de GAVI, permettra de mettre en œuvre </w:t>
      </w:r>
      <w:r w:rsidR="006A4428" w:rsidRPr="00DE62B6">
        <w:rPr>
          <w:rFonts w:ascii="Times New Roman" w:hAnsi="Times New Roman" w:cs="Times New Roman"/>
          <w:b/>
          <w:color w:val="1F497D" w:themeColor="text2"/>
          <w:sz w:val="24"/>
          <w:szCs w:val="24"/>
        </w:rPr>
        <w:t>le</w:t>
      </w:r>
      <w:r w:rsidR="007E650B" w:rsidRPr="00DE62B6">
        <w:rPr>
          <w:rFonts w:ascii="Times New Roman" w:hAnsi="Times New Roman" w:cs="Times New Roman"/>
          <w:b/>
          <w:color w:val="1F497D" w:themeColor="text2"/>
          <w:sz w:val="24"/>
          <w:szCs w:val="24"/>
        </w:rPr>
        <w:t xml:space="preserve">dit plan </w:t>
      </w:r>
      <w:r w:rsidR="00972881" w:rsidRPr="00DE62B6">
        <w:rPr>
          <w:rFonts w:ascii="Times New Roman" w:hAnsi="Times New Roman" w:cs="Times New Roman"/>
          <w:b/>
          <w:color w:val="1F497D" w:themeColor="text2"/>
          <w:sz w:val="24"/>
          <w:szCs w:val="24"/>
        </w:rPr>
        <w:t xml:space="preserve">stratégique </w:t>
      </w:r>
      <w:r w:rsidR="007E650B" w:rsidRPr="00DE62B6">
        <w:rPr>
          <w:rFonts w:ascii="Times New Roman" w:hAnsi="Times New Roman" w:cs="Times New Roman"/>
          <w:b/>
          <w:color w:val="1F497D" w:themeColor="text2"/>
          <w:sz w:val="24"/>
          <w:szCs w:val="24"/>
        </w:rPr>
        <w:t>révisé</w:t>
      </w:r>
      <w:r w:rsidR="000B5BA5" w:rsidRPr="00DE62B6">
        <w:rPr>
          <w:rFonts w:ascii="Times New Roman" w:hAnsi="Times New Roman" w:cs="Times New Roman"/>
          <w:b/>
          <w:color w:val="1F497D" w:themeColor="text2"/>
          <w:sz w:val="24"/>
          <w:szCs w:val="24"/>
        </w:rPr>
        <w:t>.</w:t>
      </w:r>
      <w:r w:rsidR="00653977" w:rsidRPr="00DE62B6">
        <w:rPr>
          <w:rFonts w:ascii="Times New Roman" w:hAnsi="Times New Roman" w:cs="Times New Roman"/>
          <w:b/>
          <w:color w:val="1F497D" w:themeColor="text2"/>
          <w:sz w:val="24"/>
          <w:szCs w:val="24"/>
        </w:rPr>
        <w:t xml:space="preserve"> (Voir c</w:t>
      </w:r>
      <w:r w:rsidR="00972881" w:rsidRPr="00DE62B6">
        <w:rPr>
          <w:rFonts w:ascii="Times New Roman" w:hAnsi="Times New Roman" w:cs="Times New Roman"/>
          <w:b/>
          <w:color w:val="1F497D" w:themeColor="text2"/>
          <w:sz w:val="24"/>
          <w:szCs w:val="24"/>
        </w:rPr>
        <w:t>i-joint</w:t>
      </w:r>
      <w:r w:rsidR="002D45DA" w:rsidRPr="00DE62B6">
        <w:rPr>
          <w:rFonts w:ascii="Times New Roman" w:hAnsi="Times New Roman" w:cs="Times New Roman"/>
          <w:b/>
          <w:color w:val="1F497D" w:themeColor="text2"/>
          <w:sz w:val="24"/>
          <w:szCs w:val="24"/>
        </w:rPr>
        <w:t>)</w:t>
      </w:r>
    </w:p>
    <w:sectPr w:rsidR="008754F2" w:rsidSect="006D421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12E" w:rsidRDefault="005C612E" w:rsidP="00292808">
      <w:pPr>
        <w:spacing w:after="0" w:line="240" w:lineRule="auto"/>
      </w:pPr>
      <w:r>
        <w:separator/>
      </w:r>
    </w:p>
  </w:endnote>
  <w:endnote w:type="continuationSeparator" w:id="1">
    <w:p w:rsidR="005C612E" w:rsidRDefault="005C612E" w:rsidP="002928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0705032"/>
      <w:docPartObj>
        <w:docPartGallery w:val="Page Numbers (Bottom of Page)"/>
        <w:docPartUnique/>
      </w:docPartObj>
    </w:sdtPr>
    <w:sdtContent>
      <w:p w:rsidR="00292808" w:rsidRDefault="005028F9">
        <w:pPr>
          <w:pStyle w:val="Pieddepage"/>
        </w:pPr>
        <w:r>
          <w:rPr>
            <w:noProof/>
            <w:lang w:eastAsia="fr-FR"/>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 o:spid="_x0000_s2049" type="#_x0000_t15" style="position:absolute;margin-left:461.05pt;margin-top:-4.7pt;width:36.65pt;height:20.75pt;rotation:135;flip:x;z-index:25165926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" adj="14672" filled="f" fillcolor="#5c83b4" strokecolor="#5c83b4">
              <v:textbox inset=",0,,0">
                <w:txbxContent>
                  <w:p w:rsidR="00292808" w:rsidRPr="00494145" w:rsidRDefault="005028F9" w:rsidP="00494145">
                    <w:pPr>
                      <w:pStyle w:val="Pieddepage"/>
                      <w:jc w:val="center"/>
                      <w:rPr>
                        <w:sz w:val="20"/>
                      </w:rPr>
                    </w:pPr>
                    <w:r w:rsidRPr="00494145">
                      <w:rPr>
                        <w:sz w:val="20"/>
                      </w:rPr>
                      <w:fldChar w:fldCharType="begin"/>
                    </w:r>
                    <w:r w:rsidR="00292808" w:rsidRPr="00494145">
                      <w:rPr>
                        <w:sz w:val="20"/>
                      </w:rPr>
                      <w:instrText>PAGE   \* MERGEFORMAT</w:instrText>
                    </w:r>
                    <w:r w:rsidRPr="00494145">
                      <w:rPr>
                        <w:sz w:val="20"/>
                      </w:rPr>
                      <w:fldChar w:fldCharType="separate"/>
                    </w:r>
                    <w:r w:rsidR="005C612E">
                      <w:rPr>
                        <w:noProof/>
                        <w:sz w:val="20"/>
                      </w:rPr>
                      <w:t>1</w:t>
                    </w:r>
                    <w:r w:rsidRPr="00494145">
                      <w:rPr>
                        <w:sz w:val="20"/>
                      </w:rPr>
                      <w:fldChar w:fldCharType="end"/>
                    </w:r>
                  </w:p>
                </w:txbxContent>
              </v:textbox>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12E" w:rsidRDefault="005C612E" w:rsidP="00292808">
      <w:pPr>
        <w:spacing w:after="0" w:line="240" w:lineRule="auto"/>
      </w:pPr>
      <w:r>
        <w:separator/>
      </w:r>
    </w:p>
  </w:footnote>
  <w:footnote w:type="continuationSeparator" w:id="1">
    <w:p w:rsidR="005C612E" w:rsidRDefault="005C612E" w:rsidP="002928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6B8C"/>
    <w:multiLevelType w:val="hybridMultilevel"/>
    <w:tmpl w:val="6C021D1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6B963AD"/>
    <w:multiLevelType w:val="hybridMultilevel"/>
    <w:tmpl w:val="05A87962"/>
    <w:lvl w:ilvl="0" w:tplc="CF44E942">
      <w:numFmt w:val="bullet"/>
      <w:lvlText w:val="-"/>
      <w:lvlJc w:val="left"/>
      <w:pPr>
        <w:ind w:left="360" w:hanging="360"/>
      </w:pPr>
      <w:rPr>
        <w:rFonts w:ascii="Arial" w:eastAsia="Calibri" w:hAnsi="Arial" w:cs="Arial"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EC40D06"/>
    <w:multiLevelType w:val="hybridMultilevel"/>
    <w:tmpl w:val="F0CED5E6"/>
    <w:lvl w:ilvl="0" w:tplc="78E43412">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4E34C24"/>
    <w:multiLevelType w:val="hybridMultilevel"/>
    <w:tmpl w:val="2548A5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A5820AC"/>
    <w:multiLevelType w:val="hybridMultilevel"/>
    <w:tmpl w:val="5BF66320"/>
    <w:lvl w:ilvl="0" w:tplc="2B8CF6E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FB316DB"/>
    <w:multiLevelType w:val="hybridMultilevel"/>
    <w:tmpl w:val="FE244C12"/>
    <w:lvl w:ilvl="0" w:tplc="920680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C9C362F"/>
    <w:multiLevelType w:val="hybridMultilevel"/>
    <w:tmpl w:val="B85C34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F687F79"/>
    <w:multiLevelType w:val="hybridMultilevel"/>
    <w:tmpl w:val="AF140A70"/>
    <w:lvl w:ilvl="0" w:tplc="3BDE2592">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1131821"/>
    <w:multiLevelType w:val="hybridMultilevel"/>
    <w:tmpl w:val="D24EA7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FFA323E"/>
    <w:multiLevelType w:val="hybridMultilevel"/>
    <w:tmpl w:val="A8DA4896"/>
    <w:lvl w:ilvl="0" w:tplc="2F10D8A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F184B93"/>
    <w:multiLevelType w:val="hybridMultilevel"/>
    <w:tmpl w:val="078E4326"/>
    <w:lvl w:ilvl="0" w:tplc="3BDE2592">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0B50E38"/>
    <w:multiLevelType w:val="hybridMultilevel"/>
    <w:tmpl w:val="67CC6C20"/>
    <w:lvl w:ilvl="0" w:tplc="920680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99A4C4A"/>
    <w:multiLevelType w:val="hybridMultilevel"/>
    <w:tmpl w:val="F35EFD3E"/>
    <w:lvl w:ilvl="0" w:tplc="5F8261B0">
      <w:start w:val="1"/>
      <w:numFmt w:val="decimal"/>
      <w:lvlText w:val="%1)"/>
      <w:lvlJc w:val="left"/>
      <w:pPr>
        <w:ind w:left="720" w:hanging="360"/>
      </w:pPr>
      <w:rPr>
        <w:rFonts w:hint="default"/>
        <w:color w:val="13131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C5B7C21"/>
    <w:multiLevelType w:val="hybridMultilevel"/>
    <w:tmpl w:val="53EA9B80"/>
    <w:lvl w:ilvl="0" w:tplc="3BDE2592">
      <w:start w:val="2"/>
      <w:numFmt w:val="bullet"/>
      <w:lvlText w:val="-"/>
      <w:lvlJc w:val="left"/>
      <w:pPr>
        <w:ind w:left="928"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EE7429D"/>
    <w:multiLevelType w:val="hybridMultilevel"/>
    <w:tmpl w:val="9C4A61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4"/>
  </w:num>
  <w:num w:numId="3">
    <w:abstractNumId w:val="6"/>
  </w:num>
  <w:num w:numId="4">
    <w:abstractNumId w:val="3"/>
  </w:num>
  <w:num w:numId="5">
    <w:abstractNumId w:val="8"/>
  </w:num>
  <w:num w:numId="6">
    <w:abstractNumId w:val="5"/>
  </w:num>
  <w:num w:numId="7">
    <w:abstractNumId w:val="9"/>
  </w:num>
  <w:num w:numId="8">
    <w:abstractNumId w:val="11"/>
  </w:num>
  <w:num w:numId="9">
    <w:abstractNumId w:val="0"/>
  </w:num>
  <w:num w:numId="10">
    <w:abstractNumId w:val="1"/>
  </w:num>
  <w:num w:numId="11">
    <w:abstractNumId w:val="2"/>
  </w:num>
  <w:num w:numId="12">
    <w:abstractNumId w:val="7"/>
  </w:num>
  <w:num w:numId="13">
    <w:abstractNumId w:val="13"/>
  </w:num>
  <w:num w:numId="14">
    <w:abstractNumId w:val="10"/>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rsids>
    <w:rsidRoot w:val="008D06C8"/>
    <w:rsid w:val="00007902"/>
    <w:rsid w:val="000172F4"/>
    <w:rsid w:val="0002236E"/>
    <w:rsid w:val="00022ABB"/>
    <w:rsid w:val="00033003"/>
    <w:rsid w:val="00037410"/>
    <w:rsid w:val="000422B0"/>
    <w:rsid w:val="00056932"/>
    <w:rsid w:val="00060B97"/>
    <w:rsid w:val="00064890"/>
    <w:rsid w:val="000650B5"/>
    <w:rsid w:val="000657F9"/>
    <w:rsid w:val="00066F51"/>
    <w:rsid w:val="000705CD"/>
    <w:rsid w:val="00072100"/>
    <w:rsid w:val="00082142"/>
    <w:rsid w:val="000966A2"/>
    <w:rsid w:val="000A004D"/>
    <w:rsid w:val="000A2355"/>
    <w:rsid w:val="000B476F"/>
    <w:rsid w:val="000B5BA5"/>
    <w:rsid w:val="000C367B"/>
    <w:rsid w:val="000D24B9"/>
    <w:rsid w:val="000D2761"/>
    <w:rsid w:val="000D37FB"/>
    <w:rsid w:val="000D50EB"/>
    <w:rsid w:val="000E5E3A"/>
    <w:rsid w:val="000F247F"/>
    <w:rsid w:val="00106EDA"/>
    <w:rsid w:val="00110FE2"/>
    <w:rsid w:val="00120AC3"/>
    <w:rsid w:val="00120D52"/>
    <w:rsid w:val="00122FD9"/>
    <w:rsid w:val="001246B2"/>
    <w:rsid w:val="00130FCA"/>
    <w:rsid w:val="00140E93"/>
    <w:rsid w:val="00143836"/>
    <w:rsid w:val="0015123D"/>
    <w:rsid w:val="001551AB"/>
    <w:rsid w:val="0015559A"/>
    <w:rsid w:val="001656D2"/>
    <w:rsid w:val="00165EFF"/>
    <w:rsid w:val="00166DA6"/>
    <w:rsid w:val="001731C1"/>
    <w:rsid w:val="00174B57"/>
    <w:rsid w:val="00174F12"/>
    <w:rsid w:val="001777A7"/>
    <w:rsid w:val="001928E6"/>
    <w:rsid w:val="001972BA"/>
    <w:rsid w:val="001A0EC6"/>
    <w:rsid w:val="001A34D1"/>
    <w:rsid w:val="001A69DD"/>
    <w:rsid w:val="001A7B6B"/>
    <w:rsid w:val="001B2FFA"/>
    <w:rsid w:val="001B4D37"/>
    <w:rsid w:val="001C2118"/>
    <w:rsid w:val="001C3303"/>
    <w:rsid w:val="001C6364"/>
    <w:rsid w:val="001C7717"/>
    <w:rsid w:val="001D6CE2"/>
    <w:rsid w:val="001E3005"/>
    <w:rsid w:val="001E4435"/>
    <w:rsid w:val="001E7137"/>
    <w:rsid w:val="001F1671"/>
    <w:rsid w:val="001F38A9"/>
    <w:rsid w:val="001F4747"/>
    <w:rsid w:val="001F7D92"/>
    <w:rsid w:val="00201FA1"/>
    <w:rsid w:val="00211DBD"/>
    <w:rsid w:val="00216981"/>
    <w:rsid w:val="00220F5D"/>
    <w:rsid w:val="00227F61"/>
    <w:rsid w:val="00231EBE"/>
    <w:rsid w:val="00240D70"/>
    <w:rsid w:val="0024241C"/>
    <w:rsid w:val="002426A8"/>
    <w:rsid w:val="00246645"/>
    <w:rsid w:val="00251151"/>
    <w:rsid w:val="00251B70"/>
    <w:rsid w:val="0026063F"/>
    <w:rsid w:val="0026669E"/>
    <w:rsid w:val="002668AE"/>
    <w:rsid w:val="002843B0"/>
    <w:rsid w:val="00284A10"/>
    <w:rsid w:val="00291DC6"/>
    <w:rsid w:val="00292808"/>
    <w:rsid w:val="002A202E"/>
    <w:rsid w:val="002A3BCF"/>
    <w:rsid w:val="002A53EC"/>
    <w:rsid w:val="002B7E0C"/>
    <w:rsid w:val="002C0E39"/>
    <w:rsid w:val="002D417F"/>
    <w:rsid w:val="002D45DA"/>
    <w:rsid w:val="002D592F"/>
    <w:rsid w:val="002E0833"/>
    <w:rsid w:val="002E6143"/>
    <w:rsid w:val="002F4595"/>
    <w:rsid w:val="002F6ABA"/>
    <w:rsid w:val="0030483D"/>
    <w:rsid w:val="00321031"/>
    <w:rsid w:val="0032175F"/>
    <w:rsid w:val="00322362"/>
    <w:rsid w:val="00323A67"/>
    <w:rsid w:val="00335029"/>
    <w:rsid w:val="00341FDB"/>
    <w:rsid w:val="003644F8"/>
    <w:rsid w:val="00366214"/>
    <w:rsid w:val="00373E15"/>
    <w:rsid w:val="003839C7"/>
    <w:rsid w:val="00383DF9"/>
    <w:rsid w:val="003861A5"/>
    <w:rsid w:val="0038673E"/>
    <w:rsid w:val="00390D71"/>
    <w:rsid w:val="00391260"/>
    <w:rsid w:val="00392A26"/>
    <w:rsid w:val="00397A58"/>
    <w:rsid w:val="003A171C"/>
    <w:rsid w:val="003A3238"/>
    <w:rsid w:val="003B3E53"/>
    <w:rsid w:val="003D0480"/>
    <w:rsid w:val="003D2175"/>
    <w:rsid w:val="003D53C2"/>
    <w:rsid w:val="003D7A0D"/>
    <w:rsid w:val="003E049F"/>
    <w:rsid w:val="003E5570"/>
    <w:rsid w:val="003F3031"/>
    <w:rsid w:val="003F5284"/>
    <w:rsid w:val="00414109"/>
    <w:rsid w:val="00415970"/>
    <w:rsid w:val="0041794A"/>
    <w:rsid w:val="00422548"/>
    <w:rsid w:val="004336A2"/>
    <w:rsid w:val="00433DE5"/>
    <w:rsid w:val="0044170D"/>
    <w:rsid w:val="00454856"/>
    <w:rsid w:val="0046437F"/>
    <w:rsid w:val="0047081F"/>
    <w:rsid w:val="00470C26"/>
    <w:rsid w:val="004715AD"/>
    <w:rsid w:val="00471C80"/>
    <w:rsid w:val="00471D4A"/>
    <w:rsid w:val="0047423B"/>
    <w:rsid w:val="0047505E"/>
    <w:rsid w:val="00482F0A"/>
    <w:rsid w:val="00491BA8"/>
    <w:rsid w:val="00492276"/>
    <w:rsid w:val="00493BC2"/>
    <w:rsid w:val="00494145"/>
    <w:rsid w:val="00495D47"/>
    <w:rsid w:val="004A1BEB"/>
    <w:rsid w:val="004A2104"/>
    <w:rsid w:val="004A4977"/>
    <w:rsid w:val="004A4B3F"/>
    <w:rsid w:val="004B302F"/>
    <w:rsid w:val="004B71B4"/>
    <w:rsid w:val="004C7341"/>
    <w:rsid w:val="004C7D01"/>
    <w:rsid w:val="004D66CC"/>
    <w:rsid w:val="004E0348"/>
    <w:rsid w:val="004F1D58"/>
    <w:rsid w:val="004F750C"/>
    <w:rsid w:val="00501D1A"/>
    <w:rsid w:val="005028F9"/>
    <w:rsid w:val="00505336"/>
    <w:rsid w:val="005071A8"/>
    <w:rsid w:val="005110DF"/>
    <w:rsid w:val="005137F6"/>
    <w:rsid w:val="0051551B"/>
    <w:rsid w:val="00522BD1"/>
    <w:rsid w:val="00533DE5"/>
    <w:rsid w:val="0053709E"/>
    <w:rsid w:val="00540141"/>
    <w:rsid w:val="00541D84"/>
    <w:rsid w:val="00550AE8"/>
    <w:rsid w:val="005519A9"/>
    <w:rsid w:val="00561811"/>
    <w:rsid w:val="00562267"/>
    <w:rsid w:val="00570938"/>
    <w:rsid w:val="005729E2"/>
    <w:rsid w:val="005749A7"/>
    <w:rsid w:val="0057507B"/>
    <w:rsid w:val="00585D38"/>
    <w:rsid w:val="00597489"/>
    <w:rsid w:val="005A3295"/>
    <w:rsid w:val="005C612E"/>
    <w:rsid w:val="005C671D"/>
    <w:rsid w:val="005D719D"/>
    <w:rsid w:val="005D7731"/>
    <w:rsid w:val="005F711F"/>
    <w:rsid w:val="0061414E"/>
    <w:rsid w:val="0061574D"/>
    <w:rsid w:val="00617500"/>
    <w:rsid w:val="00617BD6"/>
    <w:rsid w:val="0062132D"/>
    <w:rsid w:val="006332A8"/>
    <w:rsid w:val="006348A8"/>
    <w:rsid w:val="0065171E"/>
    <w:rsid w:val="006530B6"/>
    <w:rsid w:val="00653977"/>
    <w:rsid w:val="006549CB"/>
    <w:rsid w:val="00655C0A"/>
    <w:rsid w:val="00660215"/>
    <w:rsid w:val="00666112"/>
    <w:rsid w:val="006672EE"/>
    <w:rsid w:val="00670070"/>
    <w:rsid w:val="006703F3"/>
    <w:rsid w:val="00676BD3"/>
    <w:rsid w:val="006953CC"/>
    <w:rsid w:val="006A415B"/>
    <w:rsid w:val="006A4356"/>
    <w:rsid w:val="006A4428"/>
    <w:rsid w:val="006B6D72"/>
    <w:rsid w:val="006C0D4E"/>
    <w:rsid w:val="006C3602"/>
    <w:rsid w:val="006C4E96"/>
    <w:rsid w:val="006D2F16"/>
    <w:rsid w:val="006D4210"/>
    <w:rsid w:val="006D476A"/>
    <w:rsid w:val="006D4C6F"/>
    <w:rsid w:val="006E10F3"/>
    <w:rsid w:val="006E3386"/>
    <w:rsid w:val="006F1395"/>
    <w:rsid w:val="006F6914"/>
    <w:rsid w:val="00700CA5"/>
    <w:rsid w:val="00701BE9"/>
    <w:rsid w:val="00704D3E"/>
    <w:rsid w:val="00715198"/>
    <w:rsid w:val="00723F37"/>
    <w:rsid w:val="00745AE5"/>
    <w:rsid w:val="00754DFB"/>
    <w:rsid w:val="00763191"/>
    <w:rsid w:val="00764FA0"/>
    <w:rsid w:val="00765347"/>
    <w:rsid w:val="007669E3"/>
    <w:rsid w:val="00770ECA"/>
    <w:rsid w:val="00771F6F"/>
    <w:rsid w:val="00782155"/>
    <w:rsid w:val="00783E38"/>
    <w:rsid w:val="00784710"/>
    <w:rsid w:val="00787D2A"/>
    <w:rsid w:val="007967D3"/>
    <w:rsid w:val="007A02A9"/>
    <w:rsid w:val="007A2FD2"/>
    <w:rsid w:val="007B26DF"/>
    <w:rsid w:val="007C1958"/>
    <w:rsid w:val="007C364F"/>
    <w:rsid w:val="007C7145"/>
    <w:rsid w:val="007D14CE"/>
    <w:rsid w:val="007D512B"/>
    <w:rsid w:val="007E1C2D"/>
    <w:rsid w:val="007E4596"/>
    <w:rsid w:val="007E5FA3"/>
    <w:rsid w:val="007E63A0"/>
    <w:rsid w:val="007E650B"/>
    <w:rsid w:val="007E676D"/>
    <w:rsid w:val="007F1D30"/>
    <w:rsid w:val="00802DDF"/>
    <w:rsid w:val="008038FA"/>
    <w:rsid w:val="0080519A"/>
    <w:rsid w:val="0081278A"/>
    <w:rsid w:val="0081280A"/>
    <w:rsid w:val="00812B35"/>
    <w:rsid w:val="00817D3B"/>
    <w:rsid w:val="00826F32"/>
    <w:rsid w:val="008431A9"/>
    <w:rsid w:val="00850F46"/>
    <w:rsid w:val="00852380"/>
    <w:rsid w:val="00854A88"/>
    <w:rsid w:val="00856B25"/>
    <w:rsid w:val="0087313C"/>
    <w:rsid w:val="00873403"/>
    <w:rsid w:val="00874093"/>
    <w:rsid w:val="00874152"/>
    <w:rsid w:val="008754F2"/>
    <w:rsid w:val="00877A05"/>
    <w:rsid w:val="0088601C"/>
    <w:rsid w:val="00891F35"/>
    <w:rsid w:val="008B0D81"/>
    <w:rsid w:val="008B6886"/>
    <w:rsid w:val="008D06C8"/>
    <w:rsid w:val="008D2617"/>
    <w:rsid w:val="008D77D9"/>
    <w:rsid w:val="008E1052"/>
    <w:rsid w:val="008E4D87"/>
    <w:rsid w:val="008F3335"/>
    <w:rsid w:val="008F7320"/>
    <w:rsid w:val="00901F64"/>
    <w:rsid w:val="009056D6"/>
    <w:rsid w:val="009107A2"/>
    <w:rsid w:val="00931316"/>
    <w:rsid w:val="00936068"/>
    <w:rsid w:val="00937F64"/>
    <w:rsid w:val="00950171"/>
    <w:rsid w:val="00950B45"/>
    <w:rsid w:val="00951ABE"/>
    <w:rsid w:val="009563E1"/>
    <w:rsid w:val="00963781"/>
    <w:rsid w:val="00964531"/>
    <w:rsid w:val="0096683E"/>
    <w:rsid w:val="009704D0"/>
    <w:rsid w:val="00972881"/>
    <w:rsid w:val="00980BA8"/>
    <w:rsid w:val="00997479"/>
    <w:rsid w:val="009A428B"/>
    <w:rsid w:val="009B3205"/>
    <w:rsid w:val="009C6982"/>
    <w:rsid w:val="009D385A"/>
    <w:rsid w:val="009D5D00"/>
    <w:rsid w:val="009E0608"/>
    <w:rsid w:val="009F019B"/>
    <w:rsid w:val="009F57BB"/>
    <w:rsid w:val="00A054BE"/>
    <w:rsid w:val="00A05F28"/>
    <w:rsid w:val="00A06955"/>
    <w:rsid w:val="00A1196B"/>
    <w:rsid w:val="00A2140D"/>
    <w:rsid w:val="00A30D8C"/>
    <w:rsid w:val="00A33B50"/>
    <w:rsid w:val="00A350D4"/>
    <w:rsid w:val="00A3528D"/>
    <w:rsid w:val="00A374DF"/>
    <w:rsid w:val="00A4277B"/>
    <w:rsid w:val="00A43783"/>
    <w:rsid w:val="00A51004"/>
    <w:rsid w:val="00A536D8"/>
    <w:rsid w:val="00A54406"/>
    <w:rsid w:val="00A5504B"/>
    <w:rsid w:val="00A55AEA"/>
    <w:rsid w:val="00A6288E"/>
    <w:rsid w:val="00A675BE"/>
    <w:rsid w:val="00A75633"/>
    <w:rsid w:val="00A76356"/>
    <w:rsid w:val="00A805BF"/>
    <w:rsid w:val="00A808DC"/>
    <w:rsid w:val="00A84614"/>
    <w:rsid w:val="00A86C8E"/>
    <w:rsid w:val="00A87492"/>
    <w:rsid w:val="00A91A98"/>
    <w:rsid w:val="00AA1953"/>
    <w:rsid w:val="00AA2B3C"/>
    <w:rsid w:val="00AA6F06"/>
    <w:rsid w:val="00AA74CB"/>
    <w:rsid w:val="00AB032A"/>
    <w:rsid w:val="00AB0FB6"/>
    <w:rsid w:val="00AB2620"/>
    <w:rsid w:val="00AB62D5"/>
    <w:rsid w:val="00AB748D"/>
    <w:rsid w:val="00AC2597"/>
    <w:rsid w:val="00AC63CC"/>
    <w:rsid w:val="00AD4B36"/>
    <w:rsid w:val="00AE7E53"/>
    <w:rsid w:val="00AF4483"/>
    <w:rsid w:val="00B07D93"/>
    <w:rsid w:val="00B14936"/>
    <w:rsid w:val="00B14F3E"/>
    <w:rsid w:val="00B27963"/>
    <w:rsid w:val="00B30251"/>
    <w:rsid w:val="00B3361C"/>
    <w:rsid w:val="00B34FCB"/>
    <w:rsid w:val="00B37CA4"/>
    <w:rsid w:val="00B463A3"/>
    <w:rsid w:val="00B54518"/>
    <w:rsid w:val="00B56136"/>
    <w:rsid w:val="00B5713F"/>
    <w:rsid w:val="00B64238"/>
    <w:rsid w:val="00B808A4"/>
    <w:rsid w:val="00B83BCF"/>
    <w:rsid w:val="00B84C5C"/>
    <w:rsid w:val="00B86D04"/>
    <w:rsid w:val="00B914D2"/>
    <w:rsid w:val="00B9574F"/>
    <w:rsid w:val="00B95B61"/>
    <w:rsid w:val="00BA0626"/>
    <w:rsid w:val="00BC244D"/>
    <w:rsid w:val="00BD3D5C"/>
    <w:rsid w:val="00BD640D"/>
    <w:rsid w:val="00BD641A"/>
    <w:rsid w:val="00BF3E1D"/>
    <w:rsid w:val="00C005B9"/>
    <w:rsid w:val="00C045FB"/>
    <w:rsid w:val="00C0492B"/>
    <w:rsid w:val="00C04C2C"/>
    <w:rsid w:val="00C21668"/>
    <w:rsid w:val="00C267F9"/>
    <w:rsid w:val="00C270EA"/>
    <w:rsid w:val="00C44CA5"/>
    <w:rsid w:val="00C51573"/>
    <w:rsid w:val="00C52583"/>
    <w:rsid w:val="00C52817"/>
    <w:rsid w:val="00C554EB"/>
    <w:rsid w:val="00C56E04"/>
    <w:rsid w:val="00C606CE"/>
    <w:rsid w:val="00C67D34"/>
    <w:rsid w:val="00C73909"/>
    <w:rsid w:val="00C831AE"/>
    <w:rsid w:val="00C91526"/>
    <w:rsid w:val="00C917FB"/>
    <w:rsid w:val="00C9554B"/>
    <w:rsid w:val="00C96B94"/>
    <w:rsid w:val="00C979C6"/>
    <w:rsid w:val="00CA5921"/>
    <w:rsid w:val="00CA74D9"/>
    <w:rsid w:val="00CA7F21"/>
    <w:rsid w:val="00CB1D44"/>
    <w:rsid w:val="00CC0BC3"/>
    <w:rsid w:val="00CD0F4F"/>
    <w:rsid w:val="00CD60F0"/>
    <w:rsid w:val="00CD7366"/>
    <w:rsid w:val="00CD76C5"/>
    <w:rsid w:val="00CF3033"/>
    <w:rsid w:val="00CF42AB"/>
    <w:rsid w:val="00CF5720"/>
    <w:rsid w:val="00D01940"/>
    <w:rsid w:val="00D056FA"/>
    <w:rsid w:val="00D13D11"/>
    <w:rsid w:val="00D14CB5"/>
    <w:rsid w:val="00D20C31"/>
    <w:rsid w:val="00D31123"/>
    <w:rsid w:val="00D32D97"/>
    <w:rsid w:val="00D3332B"/>
    <w:rsid w:val="00D33D59"/>
    <w:rsid w:val="00D41B2D"/>
    <w:rsid w:val="00D50B63"/>
    <w:rsid w:val="00D70482"/>
    <w:rsid w:val="00D77827"/>
    <w:rsid w:val="00D77964"/>
    <w:rsid w:val="00D83886"/>
    <w:rsid w:val="00D951B9"/>
    <w:rsid w:val="00DA2A5D"/>
    <w:rsid w:val="00DA343A"/>
    <w:rsid w:val="00DA6481"/>
    <w:rsid w:val="00DA74A4"/>
    <w:rsid w:val="00DB2C85"/>
    <w:rsid w:val="00DB7B96"/>
    <w:rsid w:val="00DB7E25"/>
    <w:rsid w:val="00DC20B2"/>
    <w:rsid w:val="00DC2C6F"/>
    <w:rsid w:val="00DC5A90"/>
    <w:rsid w:val="00DE0DB6"/>
    <w:rsid w:val="00DE3280"/>
    <w:rsid w:val="00DE62B6"/>
    <w:rsid w:val="00DF176D"/>
    <w:rsid w:val="00DF594A"/>
    <w:rsid w:val="00E104A3"/>
    <w:rsid w:val="00E10CD6"/>
    <w:rsid w:val="00E15BB3"/>
    <w:rsid w:val="00E17E24"/>
    <w:rsid w:val="00E20F80"/>
    <w:rsid w:val="00E27F16"/>
    <w:rsid w:val="00E414D3"/>
    <w:rsid w:val="00E447C3"/>
    <w:rsid w:val="00E47516"/>
    <w:rsid w:val="00E52A37"/>
    <w:rsid w:val="00E5341B"/>
    <w:rsid w:val="00E55F12"/>
    <w:rsid w:val="00E64FB9"/>
    <w:rsid w:val="00E7477E"/>
    <w:rsid w:val="00E774E9"/>
    <w:rsid w:val="00E95B67"/>
    <w:rsid w:val="00EA2C58"/>
    <w:rsid w:val="00EA6033"/>
    <w:rsid w:val="00EA650C"/>
    <w:rsid w:val="00EB0B6B"/>
    <w:rsid w:val="00EB28C4"/>
    <w:rsid w:val="00EB2993"/>
    <w:rsid w:val="00EB50A0"/>
    <w:rsid w:val="00EC07E3"/>
    <w:rsid w:val="00EC2748"/>
    <w:rsid w:val="00EC2F6E"/>
    <w:rsid w:val="00EC41DF"/>
    <w:rsid w:val="00ED0B5B"/>
    <w:rsid w:val="00ED5C77"/>
    <w:rsid w:val="00ED6736"/>
    <w:rsid w:val="00EE4DD4"/>
    <w:rsid w:val="00EE5F5F"/>
    <w:rsid w:val="00EF0F33"/>
    <w:rsid w:val="00F00BBE"/>
    <w:rsid w:val="00F01F16"/>
    <w:rsid w:val="00F1390F"/>
    <w:rsid w:val="00F16BAB"/>
    <w:rsid w:val="00F20484"/>
    <w:rsid w:val="00F21DAF"/>
    <w:rsid w:val="00F2369F"/>
    <w:rsid w:val="00F30760"/>
    <w:rsid w:val="00F50EA9"/>
    <w:rsid w:val="00F50F61"/>
    <w:rsid w:val="00F51A69"/>
    <w:rsid w:val="00F51F72"/>
    <w:rsid w:val="00F5749C"/>
    <w:rsid w:val="00F66FE1"/>
    <w:rsid w:val="00F85D48"/>
    <w:rsid w:val="00F905F6"/>
    <w:rsid w:val="00F934B8"/>
    <w:rsid w:val="00FA0AE5"/>
    <w:rsid w:val="00FA46D7"/>
    <w:rsid w:val="00FB0113"/>
    <w:rsid w:val="00FB53BD"/>
    <w:rsid w:val="00FB5524"/>
    <w:rsid w:val="00FC2E45"/>
    <w:rsid w:val="00FC609E"/>
    <w:rsid w:val="00FC7934"/>
    <w:rsid w:val="00FE3339"/>
    <w:rsid w:val="00FE36B8"/>
    <w:rsid w:val="00FE6E34"/>
    <w:rsid w:val="00FF0516"/>
    <w:rsid w:val="00FF476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8F9"/>
  </w:style>
  <w:style w:type="paragraph" w:styleId="Titre1">
    <w:name w:val="heading 1"/>
    <w:basedOn w:val="Normal"/>
    <w:next w:val="Normal"/>
    <w:link w:val="Titre1Car"/>
    <w:uiPriority w:val="9"/>
    <w:qFormat/>
    <w:rsid w:val="00F50F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5921"/>
    <w:pPr>
      <w:ind w:left="720"/>
      <w:contextualSpacing/>
    </w:pPr>
  </w:style>
  <w:style w:type="paragraph" w:styleId="Retraitcorpsdetexte3">
    <w:name w:val="Body Text Indent 3"/>
    <w:basedOn w:val="Normal"/>
    <w:link w:val="Retraitcorpsdetexte3Car"/>
    <w:rsid w:val="00064890"/>
    <w:pPr>
      <w:spacing w:after="0" w:line="240" w:lineRule="auto"/>
      <w:ind w:left="5664"/>
      <w:jc w:val="center"/>
    </w:pPr>
    <w:rPr>
      <w:rFonts w:ascii="Verdana" w:eastAsia="Times New Roman" w:hAnsi="Verdana" w:cs="Times New Roman"/>
      <w:sz w:val="24"/>
      <w:szCs w:val="20"/>
      <w:lang w:eastAsia="fr-FR"/>
    </w:rPr>
  </w:style>
  <w:style w:type="character" w:customStyle="1" w:styleId="Retraitcorpsdetexte3Car">
    <w:name w:val="Retrait corps de texte 3 Car"/>
    <w:basedOn w:val="Policepardfaut"/>
    <w:link w:val="Retraitcorpsdetexte3"/>
    <w:rsid w:val="00064890"/>
    <w:rPr>
      <w:rFonts w:ascii="Verdana" w:eastAsia="Times New Roman" w:hAnsi="Verdana" w:cs="Times New Roman"/>
      <w:sz w:val="24"/>
      <w:szCs w:val="20"/>
      <w:lang w:eastAsia="fr-FR"/>
    </w:rPr>
  </w:style>
  <w:style w:type="character" w:styleId="Lienhypertexte">
    <w:name w:val="Hyperlink"/>
    <w:basedOn w:val="Policepardfaut"/>
    <w:uiPriority w:val="99"/>
    <w:unhideWhenUsed/>
    <w:rsid w:val="006530B6"/>
    <w:rPr>
      <w:color w:val="0000FF" w:themeColor="hyperlink"/>
      <w:u w:val="single"/>
    </w:rPr>
  </w:style>
  <w:style w:type="character" w:styleId="Lienhypertextesuivivisit">
    <w:name w:val="FollowedHyperlink"/>
    <w:basedOn w:val="Policepardfaut"/>
    <w:uiPriority w:val="99"/>
    <w:semiHidden/>
    <w:unhideWhenUsed/>
    <w:rsid w:val="00EC07E3"/>
    <w:rPr>
      <w:color w:val="800080" w:themeColor="followedHyperlink"/>
      <w:u w:val="single"/>
    </w:rPr>
  </w:style>
  <w:style w:type="paragraph" w:styleId="En-tte">
    <w:name w:val="header"/>
    <w:basedOn w:val="Normal"/>
    <w:link w:val="En-tteCar"/>
    <w:uiPriority w:val="99"/>
    <w:unhideWhenUsed/>
    <w:rsid w:val="00292808"/>
    <w:pPr>
      <w:tabs>
        <w:tab w:val="center" w:pos="4536"/>
        <w:tab w:val="right" w:pos="9072"/>
      </w:tabs>
      <w:spacing w:after="0" w:line="240" w:lineRule="auto"/>
    </w:pPr>
  </w:style>
  <w:style w:type="character" w:customStyle="1" w:styleId="En-tteCar">
    <w:name w:val="En-tête Car"/>
    <w:basedOn w:val="Policepardfaut"/>
    <w:link w:val="En-tte"/>
    <w:uiPriority w:val="99"/>
    <w:rsid w:val="00292808"/>
  </w:style>
  <w:style w:type="paragraph" w:styleId="Pieddepage">
    <w:name w:val="footer"/>
    <w:basedOn w:val="Normal"/>
    <w:link w:val="PieddepageCar"/>
    <w:uiPriority w:val="99"/>
    <w:unhideWhenUsed/>
    <w:rsid w:val="002928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2808"/>
  </w:style>
  <w:style w:type="paragraph" w:styleId="Textedebulles">
    <w:name w:val="Balloon Text"/>
    <w:basedOn w:val="Normal"/>
    <w:link w:val="TextedebullesCar"/>
    <w:uiPriority w:val="99"/>
    <w:semiHidden/>
    <w:unhideWhenUsed/>
    <w:rsid w:val="00493B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3BC2"/>
    <w:rPr>
      <w:rFonts w:ascii="Tahoma" w:hAnsi="Tahoma" w:cs="Tahoma"/>
      <w:sz w:val="16"/>
      <w:szCs w:val="16"/>
    </w:rPr>
  </w:style>
  <w:style w:type="paragraph" w:styleId="Commentaire">
    <w:name w:val="annotation text"/>
    <w:basedOn w:val="Normal"/>
    <w:link w:val="CommentaireCar"/>
    <w:uiPriority w:val="99"/>
    <w:rsid w:val="00852380"/>
    <w:pPr>
      <w:spacing w:after="0" w:line="240" w:lineRule="auto"/>
    </w:pPr>
    <w:rPr>
      <w:rFonts w:ascii="Times New Roman" w:eastAsia="Times New Roman" w:hAnsi="Times New Roman" w:cs="Times New Roman"/>
      <w:sz w:val="20"/>
      <w:szCs w:val="20"/>
      <w:lang w:val="en-GB" w:eastAsia="en-GB"/>
    </w:rPr>
  </w:style>
  <w:style w:type="character" w:customStyle="1" w:styleId="CommentaireCar">
    <w:name w:val="Commentaire Car"/>
    <w:basedOn w:val="Policepardfaut"/>
    <w:link w:val="Commentaire"/>
    <w:uiPriority w:val="99"/>
    <w:rsid w:val="00852380"/>
    <w:rPr>
      <w:rFonts w:ascii="Times New Roman" w:eastAsia="Times New Roman" w:hAnsi="Times New Roman" w:cs="Times New Roman"/>
      <w:sz w:val="20"/>
      <w:szCs w:val="20"/>
      <w:lang w:val="en-GB" w:eastAsia="en-GB"/>
    </w:rPr>
  </w:style>
  <w:style w:type="character" w:customStyle="1" w:styleId="Titre1Car">
    <w:name w:val="Titre 1 Car"/>
    <w:basedOn w:val="Policepardfaut"/>
    <w:link w:val="Titre1"/>
    <w:uiPriority w:val="9"/>
    <w:rsid w:val="00F50F6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0F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5921"/>
    <w:pPr>
      <w:ind w:left="720"/>
      <w:contextualSpacing/>
    </w:pPr>
  </w:style>
  <w:style w:type="paragraph" w:styleId="Retraitcorpsdetexte3">
    <w:name w:val="Body Text Indent 3"/>
    <w:basedOn w:val="Normal"/>
    <w:link w:val="Retraitcorpsdetexte3Car"/>
    <w:rsid w:val="00064890"/>
    <w:pPr>
      <w:spacing w:after="0" w:line="240" w:lineRule="auto"/>
      <w:ind w:left="5664"/>
      <w:jc w:val="center"/>
    </w:pPr>
    <w:rPr>
      <w:rFonts w:ascii="Verdana" w:eastAsia="Times New Roman" w:hAnsi="Verdana" w:cs="Times New Roman"/>
      <w:sz w:val="24"/>
      <w:szCs w:val="20"/>
      <w:lang w:eastAsia="fr-FR"/>
    </w:rPr>
  </w:style>
  <w:style w:type="character" w:customStyle="1" w:styleId="Retraitcorpsdetexte3Car">
    <w:name w:val="Retrait corps de texte 3 Car"/>
    <w:basedOn w:val="Policepardfaut"/>
    <w:link w:val="Retraitcorpsdetexte3"/>
    <w:rsid w:val="00064890"/>
    <w:rPr>
      <w:rFonts w:ascii="Verdana" w:eastAsia="Times New Roman" w:hAnsi="Verdana" w:cs="Times New Roman"/>
      <w:sz w:val="24"/>
      <w:szCs w:val="20"/>
      <w:lang w:eastAsia="fr-FR"/>
    </w:rPr>
  </w:style>
  <w:style w:type="character" w:styleId="Lienhypertexte">
    <w:name w:val="Hyperlink"/>
    <w:basedOn w:val="Policepardfaut"/>
    <w:uiPriority w:val="99"/>
    <w:unhideWhenUsed/>
    <w:rsid w:val="006530B6"/>
    <w:rPr>
      <w:color w:val="0000FF" w:themeColor="hyperlink"/>
      <w:u w:val="single"/>
    </w:rPr>
  </w:style>
  <w:style w:type="character" w:styleId="Lienhypertextesuivivisit">
    <w:name w:val="FollowedHyperlink"/>
    <w:basedOn w:val="Policepardfaut"/>
    <w:uiPriority w:val="99"/>
    <w:semiHidden/>
    <w:unhideWhenUsed/>
    <w:rsid w:val="00EC07E3"/>
    <w:rPr>
      <w:color w:val="800080" w:themeColor="followedHyperlink"/>
      <w:u w:val="single"/>
    </w:rPr>
  </w:style>
  <w:style w:type="paragraph" w:styleId="En-tte">
    <w:name w:val="header"/>
    <w:basedOn w:val="Normal"/>
    <w:link w:val="En-tteCar"/>
    <w:uiPriority w:val="99"/>
    <w:unhideWhenUsed/>
    <w:rsid w:val="00292808"/>
    <w:pPr>
      <w:tabs>
        <w:tab w:val="center" w:pos="4536"/>
        <w:tab w:val="right" w:pos="9072"/>
      </w:tabs>
      <w:spacing w:after="0" w:line="240" w:lineRule="auto"/>
    </w:pPr>
  </w:style>
  <w:style w:type="character" w:customStyle="1" w:styleId="En-tteCar">
    <w:name w:val="En-tête Car"/>
    <w:basedOn w:val="Policepardfaut"/>
    <w:link w:val="En-tte"/>
    <w:uiPriority w:val="99"/>
    <w:rsid w:val="00292808"/>
  </w:style>
  <w:style w:type="paragraph" w:styleId="Pieddepage">
    <w:name w:val="footer"/>
    <w:basedOn w:val="Normal"/>
    <w:link w:val="PieddepageCar"/>
    <w:uiPriority w:val="99"/>
    <w:unhideWhenUsed/>
    <w:rsid w:val="002928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2808"/>
  </w:style>
  <w:style w:type="paragraph" w:styleId="Textedebulles">
    <w:name w:val="Balloon Text"/>
    <w:basedOn w:val="Normal"/>
    <w:link w:val="TextedebullesCar"/>
    <w:uiPriority w:val="99"/>
    <w:semiHidden/>
    <w:unhideWhenUsed/>
    <w:rsid w:val="00493B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3BC2"/>
    <w:rPr>
      <w:rFonts w:ascii="Tahoma" w:hAnsi="Tahoma" w:cs="Tahoma"/>
      <w:sz w:val="16"/>
      <w:szCs w:val="16"/>
    </w:rPr>
  </w:style>
  <w:style w:type="paragraph" w:styleId="Commentaire">
    <w:name w:val="annotation text"/>
    <w:basedOn w:val="Normal"/>
    <w:link w:val="CommentaireCar"/>
    <w:uiPriority w:val="99"/>
    <w:rsid w:val="00852380"/>
    <w:pPr>
      <w:spacing w:after="0" w:line="240" w:lineRule="auto"/>
    </w:pPr>
    <w:rPr>
      <w:rFonts w:ascii="Times New Roman" w:eastAsia="Times New Roman" w:hAnsi="Times New Roman" w:cs="Times New Roman"/>
      <w:sz w:val="20"/>
      <w:szCs w:val="20"/>
      <w:lang w:val="en-GB" w:eastAsia="en-GB"/>
    </w:rPr>
  </w:style>
  <w:style w:type="character" w:customStyle="1" w:styleId="CommentaireCar">
    <w:name w:val="Commentaire Car"/>
    <w:basedOn w:val="Policepardfaut"/>
    <w:link w:val="Commentaire"/>
    <w:uiPriority w:val="99"/>
    <w:rsid w:val="00852380"/>
    <w:rPr>
      <w:rFonts w:ascii="Times New Roman" w:eastAsia="Times New Roman" w:hAnsi="Times New Roman" w:cs="Times New Roman"/>
      <w:sz w:val="20"/>
      <w:szCs w:val="20"/>
      <w:lang w:val="en-GB" w:eastAsia="en-GB"/>
    </w:rPr>
  </w:style>
  <w:style w:type="character" w:customStyle="1" w:styleId="Titre1Car">
    <w:name w:val="Titre 1 Car"/>
    <w:basedOn w:val="Policepardfaut"/>
    <w:link w:val="Titre1"/>
    <w:uiPriority w:val="9"/>
    <w:rsid w:val="00F50F6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73847285">
      <w:bodyDiv w:val="1"/>
      <w:marLeft w:val="0"/>
      <w:marRight w:val="0"/>
      <w:marTop w:val="0"/>
      <w:marBottom w:val="0"/>
      <w:divBdr>
        <w:top w:val="none" w:sz="0" w:space="0" w:color="auto"/>
        <w:left w:val="none" w:sz="0" w:space="0" w:color="auto"/>
        <w:bottom w:val="none" w:sz="0" w:space="0" w:color="auto"/>
        <w:right w:val="none" w:sz="0" w:space="0" w:color="auto"/>
      </w:divBdr>
    </w:div>
    <w:div w:id="730353369">
      <w:bodyDiv w:val="1"/>
      <w:marLeft w:val="0"/>
      <w:marRight w:val="0"/>
      <w:marTop w:val="0"/>
      <w:marBottom w:val="0"/>
      <w:divBdr>
        <w:top w:val="none" w:sz="0" w:space="0" w:color="auto"/>
        <w:left w:val="none" w:sz="0" w:space="0" w:color="auto"/>
        <w:bottom w:val="none" w:sz="0" w:space="0" w:color="auto"/>
        <w:right w:val="none" w:sz="0" w:space="0" w:color="auto"/>
      </w:divBdr>
    </w:div>
    <w:div w:id="906917049">
      <w:bodyDiv w:val="1"/>
      <w:marLeft w:val="0"/>
      <w:marRight w:val="0"/>
      <w:marTop w:val="0"/>
      <w:marBottom w:val="0"/>
      <w:divBdr>
        <w:top w:val="none" w:sz="0" w:space="0" w:color="auto"/>
        <w:left w:val="none" w:sz="0" w:space="0" w:color="auto"/>
        <w:bottom w:val="none" w:sz="0" w:space="0" w:color="auto"/>
        <w:right w:val="none" w:sz="0" w:space="0" w:color="auto"/>
      </w:divBdr>
    </w:div>
    <w:div w:id="15250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3174</Words>
  <Characters>17458</Characters>
  <Application>Microsoft Office Word</Application>
  <DocSecurity>0</DocSecurity>
  <Lines>145</Lines>
  <Paragraphs>41</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RÉPONSES DU MALI RELATIVES AUX ÉCLAIRCISSEMENTS DEMANDÉS PAR GAVI-ALLIANCE</vt:lpstr>
    </vt:vector>
  </TitlesOfParts>
  <Company/>
  <LinksUpToDate>false</LinksUpToDate>
  <CharactersWithSpaces>20591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Alpha</dc:creator>
  <cp:lastModifiedBy>CTBORE</cp:lastModifiedBy>
  <cp:revision>2</cp:revision>
  <cp:lastPrinted>2014-12-31T07:30:00Z</cp:lastPrinted>
  <dcterms:created xsi:type="dcterms:W3CDTF">2015-01-09T10:16:00Z</dcterms:created>
  <dcterms:modified xsi:type="dcterms:W3CDTF">2015-01-09T10:16:00Z</dcterms:modified>
</cp:coreProperties>
</file>