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27" w:rsidRPr="008805E8" w:rsidRDefault="00C97664" w:rsidP="00771A98">
      <w:pPr>
        <w:rPr>
          <w:rFonts w:ascii="Tahoma" w:hAnsi="Tahoma" w:cs="Tahoma"/>
          <w:b/>
          <w:sz w:val="22"/>
          <w:szCs w:val="22"/>
          <w:u w:val="single"/>
        </w:rPr>
      </w:pPr>
      <w:bookmarkStart w:id="0" w:name="_GoBack"/>
      <w:bookmarkEnd w:id="0"/>
      <w:r w:rsidRPr="008805E8">
        <w:rPr>
          <w:rFonts w:ascii="Tahoma" w:hAnsi="Tahoma" w:cs="Tahoma"/>
          <w:b/>
          <w:sz w:val="22"/>
          <w:szCs w:val="22"/>
          <w:u w:val="single"/>
        </w:rPr>
        <w:t>Clarification on Nigeria’s MenAfriVac Application to GAVI</w:t>
      </w:r>
    </w:p>
    <w:p w:rsidR="00301607" w:rsidRPr="008805E8" w:rsidRDefault="00301607" w:rsidP="00266482">
      <w:pPr>
        <w:rPr>
          <w:rFonts w:ascii="Tahoma" w:hAnsi="Tahoma" w:cs="Tahoma"/>
          <w:sz w:val="22"/>
          <w:szCs w:val="22"/>
        </w:rPr>
      </w:pPr>
    </w:p>
    <w:p w:rsidR="003E2211" w:rsidRPr="003E2211" w:rsidRDefault="003E2211" w:rsidP="00C97664">
      <w:pPr>
        <w:jc w:val="both"/>
        <w:rPr>
          <w:rFonts w:ascii="Tahoma" w:hAnsi="Tahoma" w:cs="Tahoma"/>
          <w:b/>
          <w:sz w:val="22"/>
          <w:szCs w:val="22"/>
        </w:rPr>
      </w:pPr>
      <w:r>
        <w:rPr>
          <w:rFonts w:ascii="Tahoma" w:hAnsi="Tahoma" w:cs="Tahoma"/>
          <w:b/>
          <w:sz w:val="22"/>
          <w:szCs w:val="22"/>
        </w:rPr>
        <w:t>Issue 1: T</w:t>
      </w:r>
      <w:r w:rsidRPr="003E2211">
        <w:rPr>
          <w:rFonts w:ascii="Tahoma" w:hAnsi="Tahoma" w:cs="Tahoma"/>
          <w:b/>
          <w:sz w:val="22"/>
          <w:szCs w:val="22"/>
        </w:rPr>
        <w:t>arget population viz a viz vaccine requirements and costs</w:t>
      </w:r>
    </w:p>
    <w:p w:rsidR="003E2211" w:rsidRDefault="003E2211" w:rsidP="00C97664">
      <w:pPr>
        <w:jc w:val="both"/>
        <w:rPr>
          <w:rFonts w:ascii="Tahoma" w:hAnsi="Tahoma" w:cs="Tahoma"/>
          <w:sz w:val="22"/>
          <w:szCs w:val="22"/>
        </w:rPr>
      </w:pPr>
    </w:p>
    <w:p w:rsidR="00266482" w:rsidRPr="008805E8" w:rsidRDefault="00301607" w:rsidP="00C97664">
      <w:pPr>
        <w:jc w:val="both"/>
        <w:rPr>
          <w:rFonts w:ascii="Tahoma" w:hAnsi="Tahoma" w:cs="Tahoma"/>
          <w:sz w:val="22"/>
          <w:szCs w:val="22"/>
        </w:rPr>
      </w:pPr>
      <w:r w:rsidRPr="008805E8">
        <w:rPr>
          <w:rFonts w:ascii="Tahoma" w:hAnsi="Tahoma" w:cs="Tahoma"/>
          <w:sz w:val="22"/>
          <w:szCs w:val="22"/>
        </w:rPr>
        <w:t>Table 6 in the Introductory Plan refers to target population</w:t>
      </w:r>
      <w:r w:rsidR="00266482" w:rsidRPr="008805E8">
        <w:rPr>
          <w:rFonts w:ascii="Tahoma" w:hAnsi="Tahoma" w:cs="Tahoma"/>
          <w:sz w:val="22"/>
          <w:szCs w:val="22"/>
        </w:rPr>
        <w:t xml:space="preserve"> 1-29years</w:t>
      </w:r>
      <w:r w:rsidRPr="008805E8">
        <w:rPr>
          <w:rFonts w:ascii="Tahoma" w:hAnsi="Tahoma" w:cs="Tahoma"/>
          <w:sz w:val="22"/>
          <w:szCs w:val="22"/>
        </w:rPr>
        <w:t xml:space="preserve"> and the vaccine doses required </w:t>
      </w:r>
      <w:r w:rsidR="00B94A95" w:rsidRPr="008805E8">
        <w:rPr>
          <w:rFonts w:ascii="Tahoma" w:hAnsi="Tahoma" w:cs="Tahoma"/>
          <w:sz w:val="22"/>
          <w:szCs w:val="22"/>
        </w:rPr>
        <w:t>to vaccinate th</w:t>
      </w:r>
      <w:r w:rsidR="00266482" w:rsidRPr="008805E8">
        <w:rPr>
          <w:rFonts w:ascii="Tahoma" w:hAnsi="Tahoma" w:cs="Tahoma"/>
          <w:sz w:val="22"/>
          <w:szCs w:val="22"/>
        </w:rPr>
        <w:t>is</w:t>
      </w:r>
      <w:r w:rsidR="00B94A95" w:rsidRPr="008805E8">
        <w:rPr>
          <w:rFonts w:ascii="Tahoma" w:hAnsi="Tahoma" w:cs="Tahoma"/>
          <w:sz w:val="22"/>
          <w:szCs w:val="22"/>
        </w:rPr>
        <w:t xml:space="preserve"> population using the buffer provided in the costing tool </w:t>
      </w:r>
      <w:r w:rsidR="00266482" w:rsidRPr="008805E8">
        <w:rPr>
          <w:rFonts w:ascii="Tahoma" w:hAnsi="Tahoma" w:cs="Tahoma"/>
          <w:sz w:val="22"/>
          <w:szCs w:val="22"/>
        </w:rPr>
        <w:t>provided originally.</w:t>
      </w:r>
      <w:r w:rsidR="00D917DB" w:rsidRPr="008805E8">
        <w:rPr>
          <w:rFonts w:ascii="Tahoma" w:hAnsi="Tahoma" w:cs="Tahoma"/>
          <w:sz w:val="22"/>
          <w:szCs w:val="22"/>
        </w:rPr>
        <w:t xml:space="preserve"> </w:t>
      </w:r>
      <w:r w:rsidR="00B94A95" w:rsidRPr="008805E8">
        <w:rPr>
          <w:rFonts w:ascii="Tahoma" w:hAnsi="Tahoma" w:cs="Tahoma"/>
          <w:sz w:val="22"/>
          <w:szCs w:val="22"/>
        </w:rPr>
        <w:t>Th</w:t>
      </w:r>
      <w:r w:rsidR="00266482" w:rsidRPr="008805E8">
        <w:rPr>
          <w:rFonts w:ascii="Tahoma" w:hAnsi="Tahoma" w:cs="Tahoma"/>
          <w:sz w:val="22"/>
          <w:szCs w:val="22"/>
        </w:rPr>
        <w:t>is costing tool (Annex 3)</w:t>
      </w:r>
      <w:r w:rsidR="00B94A95" w:rsidRPr="008805E8">
        <w:rPr>
          <w:rFonts w:ascii="Tahoma" w:hAnsi="Tahoma" w:cs="Tahoma"/>
          <w:sz w:val="22"/>
          <w:szCs w:val="22"/>
        </w:rPr>
        <w:t xml:space="preserve"> contains </w:t>
      </w:r>
      <w:r w:rsidR="00D917DB" w:rsidRPr="008805E8">
        <w:rPr>
          <w:rFonts w:ascii="Tahoma" w:hAnsi="Tahoma" w:cs="Tahoma"/>
          <w:sz w:val="22"/>
          <w:szCs w:val="22"/>
        </w:rPr>
        <w:t>errors, which we have drawn</w:t>
      </w:r>
      <w:r w:rsidR="00B94A95" w:rsidRPr="008805E8">
        <w:rPr>
          <w:rFonts w:ascii="Tahoma" w:hAnsi="Tahoma" w:cs="Tahoma"/>
          <w:sz w:val="22"/>
          <w:szCs w:val="22"/>
        </w:rPr>
        <w:t xml:space="preserve"> </w:t>
      </w:r>
      <w:r w:rsidR="00266482" w:rsidRPr="008805E8">
        <w:rPr>
          <w:rFonts w:ascii="Tahoma" w:hAnsi="Tahoma" w:cs="Tahoma"/>
          <w:sz w:val="22"/>
          <w:szCs w:val="22"/>
        </w:rPr>
        <w:t xml:space="preserve">the </w:t>
      </w:r>
      <w:r w:rsidR="00B94A95" w:rsidRPr="008805E8">
        <w:rPr>
          <w:rFonts w:ascii="Tahoma" w:hAnsi="Tahoma" w:cs="Tahoma"/>
          <w:sz w:val="22"/>
          <w:szCs w:val="22"/>
        </w:rPr>
        <w:t>attention</w:t>
      </w:r>
      <w:r w:rsidR="00D917DB" w:rsidRPr="008805E8">
        <w:rPr>
          <w:rFonts w:ascii="Tahoma" w:hAnsi="Tahoma" w:cs="Tahoma"/>
          <w:sz w:val="22"/>
          <w:szCs w:val="22"/>
        </w:rPr>
        <w:t xml:space="preserve"> of the Secretariat</w:t>
      </w:r>
      <w:r w:rsidR="00B94A95" w:rsidRPr="008805E8">
        <w:rPr>
          <w:rFonts w:ascii="Tahoma" w:hAnsi="Tahoma" w:cs="Tahoma"/>
          <w:sz w:val="22"/>
          <w:szCs w:val="22"/>
        </w:rPr>
        <w:t xml:space="preserve"> to but were advised not to amend it and hence the footnote in the introductory plan</w:t>
      </w:r>
      <w:r w:rsidR="00D917DB" w:rsidRPr="008805E8">
        <w:rPr>
          <w:rFonts w:ascii="Tahoma" w:hAnsi="Tahoma" w:cs="Tahoma"/>
          <w:sz w:val="22"/>
          <w:szCs w:val="22"/>
        </w:rPr>
        <w:t>.</w:t>
      </w:r>
      <w:r w:rsidR="00E0296A" w:rsidRPr="008805E8">
        <w:rPr>
          <w:rFonts w:ascii="Tahoma" w:hAnsi="Tahoma" w:cs="Tahoma"/>
          <w:sz w:val="22"/>
          <w:szCs w:val="22"/>
        </w:rPr>
        <w:t xml:space="preserve"> </w:t>
      </w:r>
      <w:r w:rsidR="00266482" w:rsidRPr="008805E8">
        <w:rPr>
          <w:rFonts w:ascii="Tahoma" w:hAnsi="Tahoma" w:cs="Tahoma"/>
          <w:sz w:val="22"/>
          <w:szCs w:val="22"/>
        </w:rPr>
        <w:t xml:space="preserve">With clarifications being sought on the buffer used and </w:t>
      </w:r>
      <w:r w:rsidR="00B94A95" w:rsidRPr="008805E8">
        <w:rPr>
          <w:rFonts w:ascii="Tahoma" w:hAnsi="Tahoma" w:cs="Tahoma"/>
          <w:sz w:val="22"/>
          <w:szCs w:val="22"/>
        </w:rPr>
        <w:t>the inconsistencies, we have amended the table 6 in the introductory plan</w:t>
      </w:r>
      <w:r w:rsidR="00266482" w:rsidRPr="008805E8">
        <w:rPr>
          <w:rFonts w:ascii="Tahoma" w:hAnsi="Tahoma" w:cs="Tahoma"/>
          <w:sz w:val="22"/>
          <w:szCs w:val="22"/>
        </w:rPr>
        <w:t xml:space="preserve"> to reflect </w:t>
      </w:r>
      <w:r w:rsidR="00E0296A" w:rsidRPr="008805E8">
        <w:rPr>
          <w:rFonts w:ascii="Tahoma" w:hAnsi="Tahoma" w:cs="Tahoma"/>
          <w:sz w:val="22"/>
          <w:szCs w:val="22"/>
        </w:rPr>
        <w:t xml:space="preserve">the </w:t>
      </w:r>
      <w:r w:rsidR="00266482" w:rsidRPr="008805E8">
        <w:rPr>
          <w:rFonts w:ascii="Tahoma" w:hAnsi="Tahoma" w:cs="Tahoma"/>
          <w:sz w:val="22"/>
          <w:szCs w:val="22"/>
        </w:rPr>
        <w:t>buff</w:t>
      </w:r>
      <w:r w:rsidR="00E0296A" w:rsidRPr="008805E8">
        <w:rPr>
          <w:rFonts w:ascii="Tahoma" w:hAnsi="Tahoma" w:cs="Tahoma"/>
          <w:sz w:val="22"/>
          <w:szCs w:val="22"/>
        </w:rPr>
        <w:t>e</w:t>
      </w:r>
      <w:r w:rsidR="00266482" w:rsidRPr="008805E8">
        <w:rPr>
          <w:rFonts w:ascii="Tahoma" w:hAnsi="Tahoma" w:cs="Tahoma"/>
          <w:sz w:val="22"/>
          <w:szCs w:val="22"/>
        </w:rPr>
        <w:t>r of 15% we are proposing</w:t>
      </w:r>
      <w:r w:rsidR="00B94A95" w:rsidRPr="008805E8">
        <w:rPr>
          <w:rFonts w:ascii="Tahoma" w:hAnsi="Tahoma" w:cs="Tahoma"/>
          <w:sz w:val="22"/>
          <w:szCs w:val="22"/>
        </w:rPr>
        <w:t>.</w:t>
      </w:r>
      <w:r w:rsidR="00266482" w:rsidRPr="008805E8">
        <w:rPr>
          <w:rFonts w:ascii="Tahoma" w:hAnsi="Tahoma" w:cs="Tahoma"/>
          <w:sz w:val="22"/>
          <w:szCs w:val="22"/>
          <w:lang w:val="en-GB"/>
        </w:rPr>
        <w:t xml:space="preserve"> </w:t>
      </w:r>
    </w:p>
    <w:p w:rsidR="00266482" w:rsidRPr="008805E8" w:rsidRDefault="002D0349" w:rsidP="00266482">
      <w:pPr>
        <w:pStyle w:val="Caption"/>
        <w:jc w:val="both"/>
        <w:rPr>
          <w:rFonts w:ascii="Tahoma" w:hAnsi="Tahoma" w:cs="Tahoma"/>
          <w:b w:val="0"/>
          <w:sz w:val="22"/>
          <w:szCs w:val="22"/>
          <w:lang w:val="en-GB"/>
        </w:rPr>
      </w:pPr>
      <w:r w:rsidRPr="008805E8">
        <w:rPr>
          <w:rFonts w:ascii="Tahoma" w:hAnsi="Tahoma" w:cs="Tahoma"/>
          <w:b w:val="0"/>
          <w:sz w:val="22"/>
          <w:szCs w:val="22"/>
        </w:rPr>
        <w:t xml:space="preserve">The </w:t>
      </w:r>
      <w:r w:rsidR="008805E8">
        <w:rPr>
          <w:rFonts w:ascii="Tahoma" w:hAnsi="Tahoma" w:cs="Tahoma"/>
          <w:b w:val="0"/>
          <w:sz w:val="22"/>
          <w:szCs w:val="22"/>
        </w:rPr>
        <w:t xml:space="preserve">vaccine requirement </w:t>
      </w:r>
      <w:r w:rsidRPr="008805E8">
        <w:rPr>
          <w:rFonts w:ascii="Tahoma" w:hAnsi="Tahoma" w:cs="Tahoma"/>
          <w:b w:val="0"/>
          <w:sz w:val="22"/>
          <w:szCs w:val="22"/>
        </w:rPr>
        <w:t>based on 100% of the target population (1 -29yrs) to be immunized using a buffer of 15% and costs have been amended to reflect this. Table 6 in the introduction</w:t>
      </w:r>
      <w:r w:rsidR="008805E8">
        <w:rPr>
          <w:rFonts w:ascii="Tahoma" w:hAnsi="Tahoma" w:cs="Tahoma"/>
          <w:b w:val="0"/>
          <w:sz w:val="22"/>
          <w:szCs w:val="22"/>
        </w:rPr>
        <w:t xml:space="preserve"> plan should be replaced with the </w:t>
      </w:r>
      <w:r w:rsidRPr="008805E8">
        <w:rPr>
          <w:rFonts w:ascii="Tahoma" w:hAnsi="Tahoma" w:cs="Tahoma"/>
          <w:b w:val="0"/>
          <w:sz w:val="22"/>
          <w:szCs w:val="22"/>
        </w:rPr>
        <w:t>table</w:t>
      </w:r>
      <w:r w:rsidR="008805E8">
        <w:rPr>
          <w:rFonts w:ascii="Tahoma" w:hAnsi="Tahoma" w:cs="Tahoma"/>
          <w:b w:val="0"/>
          <w:sz w:val="22"/>
          <w:szCs w:val="22"/>
        </w:rPr>
        <w:t xml:space="preserve"> below:</w:t>
      </w:r>
    </w:p>
    <w:p w:rsidR="00266482" w:rsidRPr="00805260" w:rsidRDefault="00266482" w:rsidP="00266482">
      <w:pPr>
        <w:pStyle w:val="Caption"/>
        <w:jc w:val="both"/>
        <w:rPr>
          <w:rFonts w:ascii="Tahoma" w:hAnsi="Tahoma" w:cs="Tahoma"/>
          <w:b w:val="0"/>
          <w:sz w:val="22"/>
          <w:szCs w:val="22"/>
          <w:lang w:val="en-GB"/>
        </w:rPr>
      </w:pPr>
      <w:r w:rsidRPr="00805260">
        <w:rPr>
          <w:rFonts w:ascii="Tahoma" w:hAnsi="Tahoma" w:cs="Tahoma"/>
          <w:b w:val="0"/>
          <w:sz w:val="22"/>
          <w:szCs w:val="22"/>
          <w:lang w:val="en-GB"/>
        </w:rPr>
        <w:t>Table 6: Estimated costs for MenAfriVac introduction in 2011 – 2013, Nigeria</w:t>
      </w:r>
    </w:p>
    <w:p w:rsidR="00B94A95" w:rsidRPr="008805E8" w:rsidRDefault="008805E8" w:rsidP="00266482">
      <w:pPr>
        <w:ind w:left="360"/>
        <w:jc w:val="both"/>
        <w:rPr>
          <w:rFonts w:ascii="Tahoma" w:hAnsi="Tahoma" w:cs="Tahoma"/>
          <w:sz w:val="22"/>
          <w:szCs w:val="22"/>
        </w:rPr>
      </w:pPr>
      <w:r w:rsidRPr="008805E8">
        <w:rPr>
          <w:rFonts w:ascii="Tahoma" w:hAnsi="Tahoma" w:cs="Tahoma"/>
          <w:sz w:val="22"/>
          <w:szCs w:val="22"/>
          <w:lang w:val="en-GB"/>
        </w:rPr>
        <w:object w:dxaOrig="11022" w:dyaOrig="3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5pt;height:153.95pt" o:ole="">
            <v:imagedata r:id="rId7" o:title=""/>
          </v:shape>
          <o:OLEObject Type="Embed" ProgID="Excel.Sheet.12" ShapeID="_x0000_i1025" DrawAspect="Content" ObjectID="_1237698315" r:id="rId8"/>
        </w:object>
      </w:r>
    </w:p>
    <w:p w:rsidR="00FB598B" w:rsidRPr="008805E8" w:rsidRDefault="00FB598B" w:rsidP="00C97664">
      <w:pPr>
        <w:jc w:val="both"/>
        <w:rPr>
          <w:rFonts w:ascii="Tahoma" w:hAnsi="Tahoma" w:cs="Tahoma"/>
          <w:sz w:val="22"/>
          <w:szCs w:val="22"/>
        </w:rPr>
      </w:pPr>
    </w:p>
    <w:p w:rsidR="008805E8" w:rsidRDefault="008805E8" w:rsidP="00C97664">
      <w:pPr>
        <w:jc w:val="both"/>
        <w:rPr>
          <w:rFonts w:ascii="Tahoma" w:hAnsi="Tahoma" w:cs="Tahoma"/>
          <w:sz w:val="22"/>
          <w:szCs w:val="22"/>
        </w:rPr>
      </w:pPr>
    </w:p>
    <w:p w:rsidR="00135CAD" w:rsidRPr="008805E8" w:rsidRDefault="002B4635" w:rsidP="00C97664">
      <w:pPr>
        <w:jc w:val="both"/>
        <w:rPr>
          <w:rFonts w:ascii="Tahoma" w:hAnsi="Tahoma" w:cs="Tahoma"/>
          <w:sz w:val="22"/>
          <w:szCs w:val="22"/>
        </w:rPr>
      </w:pPr>
      <w:r w:rsidRPr="008805E8">
        <w:rPr>
          <w:rFonts w:ascii="Tahoma" w:hAnsi="Tahoma" w:cs="Tahoma"/>
          <w:sz w:val="22"/>
          <w:szCs w:val="22"/>
        </w:rPr>
        <w:t xml:space="preserve">The population in the </w:t>
      </w:r>
      <w:r w:rsidR="0069568F" w:rsidRPr="008805E8">
        <w:rPr>
          <w:rFonts w:ascii="Tahoma" w:hAnsi="Tahoma" w:cs="Tahoma"/>
          <w:sz w:val="22"/>
          <w:szCs w:val="22"/>
        </w:rPr>
        <w:t xml:space="preserve">meningitis belt of Nigeria that needs to be vaccinated is 81,619,808 and we regret the mistake made in </w:t>
      </w:r>
      <w:r w:rsidR="00D917DB" w:rsidRPr="008805E8">
        <w:rPr>
          <w:rFonts w:ascii="Tahoma" w:hAnsi="Tahoma" w:cs="Tahoma"/>
          <w:sz w:val="22"/>
          <w:szCs w:val="22"/>
        </w:rPr>
        <w:t>inputting</w:t>
      </w:r>
      <w:r w:rsidR="0069568F" w:rsidRPr="008805E8">
        <w:rPr>
          <w:rFonts w:ascii="Tahoma" w:hAnsi="Tahoma" w:cs="Tahoma"/>
          <w:sz w:val="22"/>
          <w:szCs w:val="22"/>
        </w:rPr>
        <w:t xml:space="preserve"> this figure in section 4 of the Application form therefore the map in the section and map 4 of introductory plan is revised and </w:t>
      </w:r>
      <w:r w:rsidR="00140285" w:rsidRPr="008805E8">
        <w:rPr>
          <w:rFonts w:ascii="Tahoma" w:hAnsi="Tahoma" w:cs="Tahoma"/>
          <w:sz w:val="22"/>
          <w:szCs w:val="22"/>
        </w:rPr>
        <w:t xml:space="preserve">replaced with the </w:t>
      </w:r>
      <w:r w:rsidR="0069568F" w:rsidRPr="008805E8">
        <w:rPr>
          <w:rFonts w:ascii="Tahoma" w:hAnsi="Tahoma" w:cs="Tahoma"/>
          <w:sz w:val="22"/>
          <w:szCs w:val="22"/>
        </w:rPr>
        <w:t>attached</w:t>
      </w:r>
      <w:r w:rsidR="00140285" w:rsidRPr="008805E8">
        <w:rPr>
          <w:rFonts w:ascii="Tahoma" w:hAnsi="Tahoma" w:cs="Tahoma"/>
          <w:sz w:val="22"/>
          <w:szCs w:val="22"/>
        </w:rPr>
        <w:t>.</w:t>
      </w:r>
    </w:p>
    <w:p w:rsidR="00135CAD" w:rsidRPr="008805E8" w:rsidRDefault="00135CAD" w:rsidP="00135CAD">
      <w:pPr>
        <w:ind w:left="360"/>
        <w:jc w:val="both"/>
        <w:rPr>
          <w:rFonts w:ascii="Tahoma" w:hAnsi="Tahoma" w:cs="Tahoma"/>
          <w:sz w:val="22"/>
          <w:szCs w:val="22"/>
        </w:rPr>
      </w:pPr>
    </w:p>
    <w:p w:rsidR="00C97664" w:rsidRPr="008805E8" w:rsidRDefault="00C21606" w:rsidP="00C97664">
      <w:pPr>
        <w:keepNext/>
        <w:ind w:left="360"/>
        <w:rPr>
          <w:rFonts w:ascii="Tahoma" w:hAnsi="Tahoma" w:cs="Tahoma"/>
          <w:sz w:val="22"/>
          <w:szCs w:val="22"/>
        </w:rPr>
      </w:pPr>
      <w:r>
        <w:rPr>
          <w:rFonts w:ascii="Tahoma" w:hAnsi="Tahoma" w:cs="Tahoma"/>
          <w:noProof/>
          <w:sz w:val="22"/>
          <w:szCs w:val="22"/>
        </w:rPr>
        <mc:AlternateContent>
          <mc:Choice Requires="wpg">
            <w:drawing>
              <wp:anchor distT="0" distB="0" distL="114300" distR="114300" simplePos="0" relativeHeight="251665408" behindDoc="0" locked="0" layoutInCell="1" allowOverlap="1">
                <wp:simplePos x="0" y="0"/>
                <wp:positionH relativeFrom="column">
                  <wp:posOffset>2926715</wp:posOffset>
                </wp:positionH>
                <wp:positionV relativeFrom="paragraph">
                  <wp:posOffset>1490980</wp:posOffset>
                </wp:positionV>
                <wp:extent cx="1500505" cy="613410"/>
                <wp:effectExtent l="5715" t="5080" r="17780" b="1651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613410"/>
                          <a:chOff x="5963" y="3759"/>
                          <a:chExt cx="2363" cy="966"/>
                        </a:xfrm>
                      </wpg:grpSpPr>
                      <wps:wsp>
                        <wps:cNvPr id="6" name="Text Box 12"/>
                        <wps:cNvSpPr txBox="1">
                          <a:spLocks noChangeArrowheads="1"/>
                        </wps:cNvSpPr>
                        <wps:spPr bwMode="auto">
                          <a:xfrm>
                            <a:off x="5963" y="3759"/>
                            <a:ext cx="2363" cy="404"/>
                          </a:xfrm>
                          <a:prstGeom prst="rect">
                            <a:avLst/>
                          </a:prstGeom>
                          <a:solidFill>
                            <a:srgbClr val="FFFFFF"/>
                          </a:solidFill>
                          <a:ln w="9525">
                            <a:solidFill>
                              <a:srgbClr val="000000"/>
                            </a:solidFill>
                            <a:miter lim="800000"/>
                            <a:headEnd/>
                            <a:tailEnd/>
                          </a:ln>
                        </wps:spPr>
                        <wps:txbx>
                          <w:txbxContent>
                            <w:p w:rsidR="007C2EBC" w:rsidRPr="007C2EBC" w:rsidRDefault="007C2EBC">
                              <w:pPr>
                                <w:rPr>
                                  <w:rFonts w:ascii="Tahoma" w:hAnsi="Tahoma" w:cs="Tahoma"/>
                                  <w:sz w:val="18"/>
                                  <w:szCs w:val="20"/>
                                  <w:lang w:val="en-GB"/>
                                </w:rPr>
                              </w:pPr>
                              <w:r w:rsidRPr="007C2EBC">
                                <w:rPr>
                                  <w:rFonts w:ascii="Tahoma" w:hAnsi="Tahoma" w:cs="Tahoma"/>
                                  <w:sz w:val="18"/>
                                  <w:szCs w:val="20"/>
                                  <w:lang w:val="en-GB"/>
                                </w:rPr>
                                <w:t>Phase 1: 35,413,510</w:t>
                              </w:r>
                            </w:p>
                          </w:txbxContent>
                        </wps:txbx>
                        <wps:bodyPr rot="0" vert="horz" wrap="square" lIns="91440" tIns="45720" rIns="91440" bIns="45720" anchor="t" anchorCtr="0" upright="1">
                          <a:noAutofit/>
                        </wps:bodyPr>
                      </wps:wsp>
                      <wps:wsp>
                        <wps:cNvPr id="8" name="Text Box 13"/>
                        <wps:cNvSpPr txBox="1">
                          <a:spLocks noChangeArrowheads="1"/>
                        </wps:cNvSpPr>
                        <wps:spPr bwMode="auto">
                          <a:xfrm>
                            <a:off x="5963" y="4365"/>
                            <a:ext cx="2363" cy="360"/>
                          </a:xfrm>
                          <a:prstGeom prst="rect">
                            <a:avLst/>
                          </a:prstGeom>
                          <a:solidFill>
                            <a:srgbClr val="FFFFFF"/>
                          </a:solidFill>
                          <a:ln w="9525">
                            <a:solidFill>
                              <a:srgbClr val="000000"/>
                            </a:solidFill>
                            <a:miter lim="800000"/>
                            <a:headEnd/>
                            <a:tailEnd/>
                          </a:ln>
                        </wps:spPr>
                        <wps:txbx>
                          <w:txbxContent>
                            <w:p w:rsidR="007C2EBC" w:rsidRPr="007C2EBC" w:rsidRDefault="007C2EBC" w:rsidP="007C2EBC">
                              <w:pPr>
                                <w:rPr>
                                  <w:rFonts w:ascii="Tahoma" w:hAnsi="Tahoma" w:cs="Tahoma"/>
                                  <w:sz w:val="18"/>
                                </w:rPr>
                              </w:pPr>
                              <w:r w:rsidRPr="007C2EBC">
                                <w:rPr>
                                  <w:rFonts w:ascii="Tahoma" w:hAnsi="Tahoma" w:cs="Tahoma"/>
                                  <w:sz w:val="18"/>
                                </w:rPr>
                                <w:t>Phase 3: 21,874,815</w:t>
                              </w:r>
                            </w:p>
                          </w:txbxContent>
                        </wps:txbx>
                        <wps:bodyPr rot="0" vert="horz" wrap="square" lIns="91440" tIns="45720" rIns="91440" bIns="45720" anchor="t" anchorCtr="0" upright="1">
                          <a:noAutofit/>
                        </wps:bodyPr>
                      </wps:wsp>
                      <wps:wsp>
                        <wps:cNvPr id="9" name="Text Box 14"/>
                        <wps:cNvSpPr txBox="1">
                          <a:spLocks noChangeArrowheads="1"/>
                        </wps:cNvSpPr>
                        <wps:spPr bwMode="auto">
                          <a:xfrm>
                            <a:off x="5963" y="4050"/>
                            <a:ext cx="2363" cy="359"/>
                          </a:xfrm>
                          <a:prstGeom prst="rect">
                            <a:avLst/>
                          </a:prstGeom>
                          <a:solidFill>
                            <a:srgbClr val="FFFFFF"/>
                          </a:solidFill>
                          <a:ln w="9525">
                            <a:solidFill>
                              <a:srgbClr val="000000"/>
                            </a:solidFill>
                            <a:miter lim="800000"/>
                            <a:headEnd/>
                            <a:tailEnd/>
                          </a:ln>
                        </wps:spPr>
                        <wps:txbx>
                          <w:txbxContent>
                            <w:p w:rsidR="007C2EBC" w:rsidRPr="007C2EBC" w:rsidRDefault="007C2EBC" w:rsidP="007C2EBC">
                              <w:pPr>
                                <w:rPr>
                                  <w:rFonts w:ascii="Tahoma" w:hAnsi="Tahoma" w:cs="Tahoma"/>
                                  <w:sz w:val="18"/>
                                </w:rPr>
                              </w:pPr>
                              <w:r w:rsidRPr="007C2EBC">
                                <w:rPr>
                                  <w:rFonts w:ascii="Tahoma" w:hAnsi="Tahoma" w:cs="Tahoma"/>
                                  <w:sz w:val="18"/>
                                </w:rPr>
                                <w:t>Phase 2: 24,331,483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230.45pt;margin-top:117.4pt;width:118.15pt;height:48.3pt;z-index:251665408" coordorigin="5963,3759" coordsize="2363,9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">
                <v:shapetype id="_x0000_t202" coordsize="21600,21600" o:spt="202" path="m0,0l0,21600,21600,21600,21600,0xe">
                  <v:stroke joinstyle="miter"/>
                  <v:path gradientshapeok="t" o:connecttype="rect"/>
                </v:shapetype>
                <v:shape id="Text Box 12" o:spid="_x0000_s1027" type="#_x0000_t202" style="position:absolute;left:5963;top:3759;width:2363;height:4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SAdwwAA&#10;ANoAAAAPAAAAZHJzL2Rvd25yZXYueG1sRI9Ba8JAFITvQv/D8gpeRDe1JWrqKiJY9NZa0esj+0xC&#10;s2/T3TXGf+8KhR6HmfmGmS87U4uWnK8sK3gZJSCIc6srLhQcvjfDKQgfkDXWlknBjTwsF0+9OWba&#10;XvmL2n0oRISwz1BBGUKTSenzkgz6kW2Io3e2zmCI0hVSO7xGuKnlOElSabDiuFBiQ+uS8p/9xSiY&#10;vm3bk9+9fh7z9FzPwmDSfvw6pfrP3eodRKAu/If/2lutIIXHlXgD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FSAdwwAAANoAAAAPAAAAAAAAAAAAAAAAAJcCAABkcnMvZG93&#10;bnJldi54bWxQSwUGAAAAAAQABAD1AAAAhwMAAAAA&#10;">
                  <v:textbox>
                    <w:txbxContent>
                      <w:p w:rsidR="007C2EBC" w:rsidRPr="007C2EBC" w:rsidRDefault="007C2EBC">
                        <w:pPr>
                          <w:rPr>
                            <w:rFonts w:ascii="Tahoma" w:hAnsi="Tahoma" w:cs="Tahoma"/>
                            <w:sz w:val="18"/>
                            <w:szCs w:val="20"/>
                            <w:lang w:val="en-GB"/>
                          </w:rPr>
                        </w:pPr>
                        <w:r w:rsidRPr="007C2EBC">
                          <w:rPr>
                            <w:rFonts w:ascii="Tahoma" w:hAnsi="Tahoma" w:cs="Tahoma"/>
                            <w:sz w:val="18"/>
                            <w:szCs w:val="20"/>
                            <w:lang w:val="en-GB"/>
                          </w:rPr>
                          <w:t>Phase 1: 35,413,510</w:t>
                        </w:r>
                      </w:p>
                    </w:txbxContent>
                  </v:textbox>
                </v:shape>
                <v:shape id="Text Box 13" o:spid="_x0000_s1028" type="#_x0000_t202" style="position:absolute;left:5963;top:4365;width:2363;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hH0xAAA&#10;ANoAAAAPAAAAZHJzL2Rvd25yZXYueG1sRI9Pa8JAFMTvQr/D8gpeRDfaojbNRkrBYm/1D/b6yD6T&#10;0OzbuLvG+O3dQqHHYeY3w2Sr3jSiI+drywqmkwQEcWF1zaWCw349XoLwAVljY5kU3MjDKn8YZJhq&#10;e+UtdbtQiljCPkUFVQhtKqUvKjLoJ7Yljt7JOoMhSldK7fAay00jZ0kylwZrjgsVtvReUfGzuxgF&#10;y+dN9+0/n76OxfzUvITRovs4O6WGj/3bK4hAffgP/9EbHTn4vRJv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8YR9MQAAADaAAAADwAAAAAAAAAAAAAAAACXAgAAZHJzL2Rv&#10;d25yZXYueG1sUEsFBgAAAAAEAAQA9QAAAIgDAAAAAA==&#10;">
                  <v:textbox>
                    <w:txbxContent>
                      <w:p w:rsidR="007C2EBC" w:rsidRPr="007C2EBC" w:rsidRDefault="007C2EBC" w:rsidP="007C2EBC">
                        <w:pPr>
                          <w:rPr>
                            <w:rFonts w:ascii="Tahoma" w:hAnsi="Tahoma" w:cs="Tahoma"/>
                            <w:sz w:val="18"/>
                          </w:rPr>
                        </w:pPr>
                        <w:r w:rsidRPr="007C2EBC">
                          <w:rPr>
                            <w:rFonts w:ascii="Tahoma" w:hAnsi="Tahoma" w:cs="Tahoma"/>
                            <w:sz w:val="18"/>
                          </w:rPr>
                          <w:t>Phase 3: 21,874,815</w:t>
                        </w:r>
                      </w:p>
                    </w:txbxContent>
                  </v:textbox>
                </v:shape>
                <v:shape id="Text Box 14" o:spid="_x0000_s1029" type="#_x0000_t202" style="position:absolute;left:5963;top:4050;width:2363;height:3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rRvxAAA&#10;ANoAAAAPAAAAZHJzL2Rvd25yZXYueG1sRI9bawIxFITfhf6HcAq+iGar4mW7UUqhYt+sir4eNmcv&#10;dHOyTdJ1+++bgtDHYWa+YbJtbxrRkfO1ZQVPkwQEcW51zaWC8+ltvALhA7LGxjIp+CEP283DIMNU&#10;2xt/UHcMpYgQ9ikqqEJoUyl9XpFBP7EtcfQK6wyGKF0ptcNbhJtGTpNkIQ3WHBcqbOm1ovzz+G0U&#10;rOb77urfZ4dLviiadRgtu92XU2r42L88gwjUh//wvb3XCt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Iq0b8QAAADaAAAADwAAAAAAAAAAAAAAAACXAgAAZHJzL2Rv&#10;d25yZXYueG1sUEsFBgAAAAAEAAQA9QAAAIgDAAAAAA==&#10;">
                  <v:textbox>
                    <w:txbxContent>
                      <w:p w:rsidR="007C2EBC" w:rsidRPr="007C2EBC" w:rsidRDefault="007C2EBC" w:rsidP="007C2EBC">
                        <w:pPr>
                          <w:rPr>
                            <w:rFonts w:ascii="Tahoma" w:hAnsi="Tahoma" w:cs="Tahoma"/>
                            <w:sz w:val="18"/>
                          </w:rPr>
                        </w:pPr>
                        <w:r w:rsidRPr="007C2EBC">
                          <w:rPr>
                            <w:rFonts w:ascii="Tahoma" w:hAnsi="Tahoma" w:cs="Tahoma"/>
                            <w:sz w:val="18"/>
                          </w:rPr>
                          <w:t>Phase 2: 24,331,483</w:t>
                        </w:r>
                      </w:p>
                    </w:txbxContent>
                  </v:textbox>
                </v:shape>
              </v:group>
            </w:pict>
          </mc:Fallback>
        </mc:AlternateContent>
      </w:r>
      <w:r>
        <w:rPr>
          <w:rFonts w:ascii="Tahoma" w:hAnsi="Tahoma" w:cs="Tahoma"/>
          <w:noProof/>
          <w:sz w:val="22"/>
          <w:szCs w:val="22"/>
        </w:rPr>
        <mc:AlternateContent>
          <mc:Choice Requires="wpg">
            <w:drawing>
              <wp:anchor distT="0" distB="0" distL="114300" distR="114300" simplePos="0" relativeHeight="251657216" behindDoc="0" locked="0" layoutInCell="1" allowOverlap="1">
                <wp:simplePos x="0" y="0"/>
                <wp:positionH relativeFrom="column">
                  <wp:posOffset>2512060</wp:posOffset>
                </wp:positionH>
                <wp:positionV relativeFrom="paragraph">
                  <wp:posOffset>1547495</wp:posOffset>
                </wp:positionV>
                <wp:extent cx="314960" cy="556895"/>
                <wp:effectExtent l="0" t="0" r="17780" b="1651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556895"/>
                          <a:chOff x="5310" y="3848"/>
                          <a:chExt cx="496" cy="877"/>
                        </a:xfrm>
                      </wpg:grpSpPr>
                      <wps:wsp>
                        <wps:cNvPr id="2" name="Rectangle 4"/>
                        <wps:cNvSpPr>
                          <a:spLocks noChangeArrowheads="1"/>
                        </wps:cNvSpPr>
                        <wps:spPr bwMode="auto">
                          <a:xfrm>
                            <a:off x="5310" y="3848"/>
                            <a:ext cx="496" cy="202"/>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wps:wsp>
                        <wps:cNvPr id="3" name="Rectangle 7"/>
                        <wps:cNvSpPr>
                          <a:spLocks noChangeArrowheads="1"/>
                        </wps:cNvSpPr>
                        <wps:spPr bwMode="auto">
                          <a:xfrm>
                            <a:off x="5310" y="4523"/>
                            <a:ext cx="496" cy="202"/>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5310" y="4163"/>
                            <a:ext cx="496" cy="202"/>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97.8pt;margin-top:121.85pt;width:24.8pt;height:43.85pt;z-index:251657216" coordorigin="5310,3848" coordsize="496,8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">
                <v:rect id="Rectangle 4" o:spid="_x0000_s1027" style="position:absolute;left:5310;top:3848;width:496;height:2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rXYwQAA&#10;ANoAAAAPAAAAZHJzL2Rvd25yZXYueG1sRI/disIwFITvhX2HcBa803QVRLtGWYRl1Sv/HuDQnG2i&#10;zUlpYq1vbwTBy2FmvmHmy85VoqUmWM8KvoYZCOLCa8ulgtPxdzAFESKyxsozKbhTgOXiozfHXPsb&#10;76k9xFIkCIccFZgY61zKUBhyGIa+Jk7ev28cxiSbUuoGbwnuKjnKsol0aDktGKxpZai4HK5OQXEc&#10;+21rzW51z2ab899Udlcrlep/dj/fICJ18R1+tddawQieV9IN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612MEAAADaAAAADwAAAAAAAAAAAAAAAACXAgAAZHJzL2Rvd25y&#10;ZXYueG1sUEsFBgAAAAAEAAQA9QAAAIUDAAAAAA==&#10;" fillcolor="#f3c"/>
                <v:rect id="Rectangle 7" o:spid="_x0000_s1028" style="position:absolute;left:5310;top:4523;width:496;height:2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225xAAA&#10;ANoAAAAPAAAAZHJzL2Rvd25yZXYueG1sRI9La8MwEITvhfwHsYHeGjkNeeBECaFQ4lNL8zjktlgb&#10;y461MpZqu/++KhRyHGbmG2azG2wtOmp96VjBdJKAIM6dLrlQcD69v6xA+ICssXZMCn7Iw247etpg&#10;ql3PX9QdQyEihH2KCkwITSqlzw1Z9BPXEEfv5lqLIcq2kLrFPsJtLV+TZCEtlhwXDDb0Zii/H7+t&#10;girMq+V0UcnlNZsfTv4iM/PxqdTzeNivQQQawiP83860ghn8XYk3QG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dNtucQAAADaAAAADwAAAAAAAAAAAAAAAACXAgAAZHJzL2Rv&#10;d25yZXYueG1sUEsFBgAAAAAEAAQA9QAAAIgDAAAAAA==&#10;" fillcolor="#92d050"/>
                <v:rect id="Rectangle 8" o:spid="_x0000_s1029" style="position:absolute;left:5310;top:4163;width:496;height:2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VP+wwAA&#10;ANoAAAAPAAAAZHJzL2Rvd25yZXYueG1sRI9Pi8IwFMTvwn6H8Ba8abqi0q1GWfzHehG3iudH82yL&#10;zUtpotZvvxEEj8PM/IaZzltTiRs1rrSs4KsfgSDOrC45V3A8rHsxCOeRNVaWScGDHMxnH50pJtre&#10;+Y9uqc9FgLBLUEHhfZ1I6bKCDLq+rYmDd7aNQR9kk0vd4D3ATSUHUTSWBksOCwXWtCgou6RXo2Bz&#10;rLeXdPEYxLv9aJXGy9P3eXdSqvvZ/kxAeGr9O/xq/2oFQ3heCTd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VP+wwAAANoAAAAPAAAAAAAAAAAAAAAAAJcCAABkcnMvZG93&#10;bnJldi54bWxQSwUGAAAAAAQABAD1AAAAhwMAAAAA&#10;" fillcolor="yellow"/>
              </v:group>
            </w:pict>
          </mc:Fallback>
        </mc:AlternateContent>
      </w:r>
      <w:r w:rsidR="009903FD" w:rsidRPr="008805E8">
        <w:rPr>
          <w:rFonts w:ascii="Tahoma" w:hAnsi="Tahoma" w:cs="Tahoma"/>
          <w:noProof/>
          <w:sz w:val="22"/>
          <w:szCs w:val="22"/>
        </w:rPr>
        <w:drawing>
          <wp:inline distT="0" distB="0" distL="0" distR="0">
            <wp:extent cx="3195638" cy="2600325"/>
            <wp:effectExtent l="19050" t="0" r="476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0400" cy="2604200"/>
                    </a:xfrm>
                    <a:prstGeom prst="rect">
                      <a:avLst/>
                    </a:prstGeom>
                    <a:noFill/>
                    <a:ln w="9525">
                      <a:noFill/>
                      <a:miter lim="800000"/>
                      <a:headEnd/>
                      <a:tailEnd/>
                    </a:ln>
                  </pic:spPr>
                </pic:pic>
              </a:graphicData>
            </a:graphic>
          </wp:inline>
        </w:drawing>
      </w:r>
    </w:p>
    <w:p w:rsidR="002F1CE5" w:rsidRPr="00805260" w:rsidRDefault="00C97664" w:rsidP="00C97664">
      <w:pPr>
        <w:pStyle w:val="Caption"/>
        <w:rPr>
          <w:rFonts w:ascii="Tahoma" w:hAnsi="Tahoma" w:cs="Tahoma"/>
          <w:b w:val="0"/>
          <w:sz w:val="22"/>
          <w:szCs w:val="22"/>
        </w:rPr>
      </w:pPr>
      <w:r w:rsidRPr="00805260">
        <w:rPr>
          <w:rFonts w:ascii="Tahoma" w:hAnsi="Tahoma" w:cs="Tahoma"/>
          <w:b w:val="0"/>
          <w:sz w:val="22"/>
          <w:szCs w:val="22"/>
        </w:rPr>
        <w:t>Figure 4: Map of Nigeria showing States proposed for MenAfriVac intervention</w:t>
      </w:r>
    </w:p>
    <w:p w:rsidR="00D20913" w:rsidRPr="00805260" w:rsidRDefault="00D20913" w:rsidP="00C64AF5">
      <w:pPr>
        <w:jc w:val="both"/>
        <w:rPr>
          <w:rFonts w:ascii="Tahoma" w:hAnsi="Tahoma" w:cs="Tahoma"/>
          <w:sz w:val="22"/>
          <w:szCs w:val="22"/>
        </w:rPr>
        <w:sectPr w:rsidR="00D20913" w:rsidRPr="00805260" w:rsidSect="00FE1C86">
          <w:pgSz w:w="11907" w:h="16840" w:code="9"/>
          <w:pgMar w:top="1411" w:right="1267" w:bottom="1411" w:left="1354" w:header="850" w:footer="720" w:gutter="0"/>
          <w:cols w:space="720"/>
          <w:docGrid w:linePitch="326"/>
        </w:sectPr>
      </w:pPr>
    </w:p>
    <w:p w:rsidR="0087333A" w:rsidRDefault="00FA68EA" w:rsidP="0064194F">
      <w:pPr>
        <w:rPr>
          <w:rFonts w:ascii="Tahoma" w:hAnsi="Tahoma" w:cs="Tahoma"/>
          <w:sz w:val="22"/>
          <w:szCs w:val="22"/>
        </w:rPr>
      </w:pPr>
      <w:r w:rsidRPr="000B6C73">
        <w:rPr>
          <w:rFonts w:ascii="Tahoma" w:hAnsi="Tahoma" w:cs="Tahoma"/>
          <w:sz w:val="22"/>
          <w:szCs w:val="22"/>
        </w:rPr>
        <w:object w:dxaOrig="9176" w:dyaOrig="14259">
          <v:shape id="_x0000_i1026" type="#_x0000_t75" style="width:445.3pt;height:712.25pt" o:ole="">
            <v:imagedata r:id="rId10" o:title=""/>
          </v:shape>
          <o:OLEObject Type="Embed" ProgID="Excel.Sheet.12" ShapeID="_x0000_i1026" DrawAspect="Content" ObjectID="_1237698316" r:id="rId11"/>
        </w:object>
      </w:r>
    </w:p>
    <w:p w:rsidR="000B6C73" w:rsidRDefault="000B6C73" w:rsidP="000B6C73">
      <w:pPr>
        <w:jc w:val="both"/>
        <w:rPr>
          <w:rFonts w:ascii="Tahoma" w:hAnsi="Tahoma" w:cs="Tahoma"/>
          <w:b/>
          <w:sz w:val="22"/>
          <w:szCs w:val="22"/>
        </w:rPr>
      </w:pPr>
      <w:r>
        <w:rPr>
          <w:rFonts w:ascii="Tahoma" w:hAnsi="Tahoma" w:cs="Tahoma"/>
          <w:b/>
          <w:sz w:val="22"/>
          <w:szCs w:val="22"/>
        </w:rPr>
        <w:lastRenderedPageBreak/>
        <w:t>Issue 2: Cold chain capacity</w:t>
      </w:r>
    </w:p>
    <w:p w:rsidR="0087333A" w:rsidRDefault="0087333A" w:rsidP="0064194F">
      <w:pPr>
        <w:rPr>
          <w:rFonts w:ascii="Tahoma" w:hAnsi="Tahoma" w:cs="Tahoma"/>
          <w:sz w:val="22"/>
          <w:szCs w:val="22"/>
        </w:rPr>
      </w:pPr>
    </w:p>
    <w:p w:rsidR="0064194F" w:rsidRDefault="0064194F" w:rsidP="0064194F">
      <w:pPr>
        <w:rPr>
          <w:rFonts w:ascii="Tahoma" w:hAnsi="Tahoma" w:cs="Tahoma"/>
          <w:sz w:val="22"/>
          <w:szCs w:val="22"/>
        </w:rPr>
      </w:pPr>
      <w:r>
        <w:rPr>
          <w:rFonts w:ascii="Tahoma" w:hAnsi="Tahoma" w:cs="Tahoma"/>
          <w:sz w:val="22"/>
          <w:szCs w:val="22"/>
        </w:rPr>
        <w:t xml:space="preserve">The existing positive and negative net cold chain capacity at the National and the States has been verified and is </w:t>
      </w:r>
      <w:r w:rsidR="003E730D">
        <w:rPr>
          <w:rFonts w:ascii="Tahoma" w:hAnsi="Tahoma" w:cs="Tahoma"/>
          <w:sz w:val="22"/>
          <w:szCs w:val="22"/>
        </w:rPr>
        <w:t xml:space="preserve">as </w:t>
      </w:r>
      <w:r>
        <w:rPr>
          <w:rFonts w:ascii="Tahoma" w:hAnsi="Tahoma" w:cs="Tahoma"/>
          <w:sz w:val="22"/>
          <w:szCs w:val="22"/>
        </w:rPr>
        <w:t xml:space="preserve">in the table above.  The information contained here is newer. The Inventory Replacement Plan that was used in developing the proposal was as “at June 2010” which we have now updated to “as at December 2010”.  </w:t>
      </w:r>
    </w:p>
    <w:p w:rsidR="0064194F" w:rsidRDefault="0064194F" w:rsidP="00C97664">
      <w:pPr>
        <w:jc w:val="both"/>
        <w:rPr>
          <w:rFonts w:ascii="Tahoma" w:hAnsi="Tahoma" w:cs="Tahoma"/>
          <w:sz w:val="22"/>
          <w:szCs w:val="22"/>
        </w:rPr>
      </w:pPr>
    </w:p>
    <w:p w:rsidR="00935570" w:rsidRDefault="002F3A37" w:rsidP="00C97664">
      <w:pPr>
        <w:jc w:val="both"/>
        <w:rPr>
          <w:rFonts w:ascii="Tahoma" w:hAnsi="Tahoma" w:cs="Tahoma"/>
          <w:sz w:val="22"/>
          <w:szCs w:val="22"/>
        </w:rPr>
      </w:pPr>
      <w:r>
        <w:rPr>
          <w:rFonts w:ascii="Tahoma" w:hAnsi="Tahoma" w:cs="Tahoma"/>
          <w:sz w:val="22"/>
          <w:szCs w:val="22"/>
        </w:rPr>
        <w:t>The</w:t>
      </w:r>
      <w:r w:rsidR="003E730D">
        <w:rPr>
          <w:rFonts w:ascii="Tahoma" w:hAnsi="Tahoma" w:cs="Tahoma"/>
          <w:sz w:val="22"/>
          <w:szCs w:val="22"/>
        </w:rPr>
        <w:t>se</w:t>
      </w:r>
      <w:r>
        <w:rPr>
          <w:rFonts w:ascii="Tahoma" w:hAnsi="Tahoma" w:cs="Tahoma"/>
          <w:sz w:val="22"/>
          <w:szCs w:val="22"/>
        </w:rPr>
        <w:t xml:space="preserve"> volumes have been confirmed to be physically available</w:t>
      </w:r>
      <w:r w:rsidR="003E730D">
        <w:rPr>
          <w:rFonts w:ascii="Tahoma" w:hAnsi="Tahoma" w:cs="Tahoma"/>
          <w:sz w:val="22"/>
          <w:szCs w:val="22"/>
        </w:rPr>
        <w:t xml:space="preserve">. </w:t>
      </w:r>
      <w:r w:rsidR="00935570">
        <w:rPr>
          <w:rFonts w:ascii="Tahoma" w:hAnsi="Tahoma" w:cs="Tahoma"/>
          <w:sz w:val="22"/>
          <w:szCs w:val="22"/>
        </w:rPr>
        <w:t>In Sokoto, Zamfara and Kaduna states, the cold rooms are waiting for commissioning and this would be before June 2011. T</w:t>
      </w:r>
      <w:r>
        <w:rPr>
          <w:rFonts w:ascii="Tahoma" w:hAnsi="Tahoma" w:cs="Tahoma"/>
          <w:sz w:val="22"/>
          <w:szCs w:val="22"/>
        </w:rPr>
        <w:t xml:space="preserve">here are </w:t>
      </w:r>
      <w:r w:rsidR="00935570">
        <w:rPr>
          <w:rFonts w:ascii="Tahoma" w:hAnsi="Tahoma" w:cs="Tahoma"/>
          <w:sz w:val="22"/>
          <w:szCs w:val="22"/>
        </w:rPr>
        <w:t xml:space="preserve">also available capacity </w:t>
      </w:r>
      <w:r>
        <w:rPr>
          <w:rFonts w:ascii="Tahoma" w:hAnsi="Tahoma" w:cs="Tahoma"/>
          <w:sz w:val="22"/>
          <w:szCs w:val="22"/>
        </w:rPr>
        <w:t>contributed by refrigerators and solar fridges</w:t>
      </w:r>
      <w:r w:rsidR="00935570">
        <w:rPr>
          <w:rFonts w:ascii="Tahoma" w:hAnsi="Tahoma" w:cs="Tahoma"/>
          <w:sz w:val="22"/>
          <w:szCs w:val="22"/>
        </w:rPr>
        <w:t xml:space="preserve">.  </w:t>
      </w:r>
      <w:r>
        <w:rPr>
          <w:rFonts w:ascii="Tahoma" w:hAnsi="Tahoma" w:cs="Tahoma"/>
          <w:sz w:val="22"/>
          <w:szCs w:val="22"/>
        </w:rPr>
        <w:t xml:space="preserve"> </w:t>
      </w:r>
    </w:p>
    <w:p w:rsidR="00935570" w:rsidRDefault="00935570" w:rsidP="00C97664">
      <w:pPr>
        <w:jc w:val="both"/>
        <w:rPr>
          <w:rFonts w:ascii="Tahoma" w:hAnsi="Tahoma" w:cs="Tahoma"/>
          <w:sz w:val="22"/>
          <w:szCs w:val="22"/>
        </w:rPr>
      </w:pPr>
    </w:p>
    <w:p w:rsidR="00E0296A" w:rsidRPr="008805E8" w:rsidRDefault="00E0296A" w:rsidP="00C97664">
      <w:pPr>
        <w:jc w:val="both"/>
        <w:rPr>
          <w:rFonts w:ascii="Tahoma" w:hAnsi="Tahoma" w:cs="Tahoma"/>
          <w:sz w:val="22"/>
          <w:szCs w:val="22"/>
        </w:rPr>
      </w:pPr>
      <w:r w:rsidRPr="008805E8">
        <w:rPr>
          <w:rFonts w:ascii="Tahoma" w:hAnsi="Tahoma" w:cs="Tahoma"/>
          <w:sz w:val="22"/>
          <w:szCs w:val="22"/>
        </w:rPr>
        <w:t xml:space="preserve">The Federal Government of Nigeria </w:t>
      </w:r>
      <w:r w:rsidR="00935570">
        <w:rPr>
          <w:rFonts w:ascii="Tahoma" w:hAnsi="Tahoma" w:cs="Tahoma"/>
          <w:sz w:val="22"/>
          <w:szCs w:val="22"/>
        </w:rPr>
        <w:t xml:space="preserve">has been funding </w:t>
      </w:r>
      <w:r w:rsidR="003E730D">
        <w:rPr>
          <w:rFonts w:ascii="Tahoma" w:hAnsi="Tahoma" w:cs="Tahoma"/>
          <w:sz w:val="22"/>
          <w:szCs w:val="22"/>
        </w:rPr>
        <w:t xml:space="preserve">the </w:t>
      </w:r>
      <w:r w:rsidRPr="008805E8">
        <w:rPr>
          <w:rFonts w:ascii="Tahoma" w:hAnsi="Tahoma" w:cs="Tahoma"/>
          <w:sz w:val="22"/>
          <w:szCs w:val="22"/>
        </w:rPr>
        <w:t xml:space="preserve">revamping of the cold chain </w:t>
      </w:r>
      <w:r w:rsidR="00935570">
        <w:rPr>
          <w:rFonts w:ascii="Tahoma" w:hAnsi="Tahoma" w:cs="Tahoma"/>
          <w:sz w:val="22"/>
          <w:szCs w:val="22"/>
        </w:rPr>
        <w:t xml:space="preserve">from </w:t>
      </w:r>
      <w:r w:rsidRPr="008805E8">
        <w:rPr>
          <w:rFonts w:ascii="Tahoma" w:hAnsi="Tahoma" w:cs="Tahoma"/>
          <w:sz w:val="22"/>
          <w:szCs w:val="22"/>
        </w:rPr>
        <w:t xml:space="preserve">the 2010 appropriation. </w:t>
      </w:r>
      <w:r w:rsidR="00935570">
        <w:rPr>
          <w:rFonts w:ascii="Tahoma" w:hAnsi="Tahoma" w:cs="Tahoma"/>
          <w:sz w:val="22"/>
          <w:szCs w:val="22"/>
        </w:rPr>
        <w:t>The c</w:t>
      </w:r>
      <w:r w:rsidRPr="008805E8">
        <w:rPr>
          <w:rFonts w:ascii="Tahoma" w:hAnsi="Tahoma" w:cs="Tahoma"/>
          <w:sz w:val="22"/>
          <w:szCs w:val="22"/>
        </w:rPr>
        <w:t>ontracts for t</w:t>
      </w:r>
      <w:r w:rsidR="00A066E0" w:rsidRPr="008805E8">
        <w:rPr>
          <w:rFonts w:ascii="Tahoma" w:hAnsi="Tahoma" w:cs="Tahoma"/>
          <w:sz w:val="22"/>
          <w:szCs w:val="22"/>
        </w:rPr>
        <w:t xml:space="preserve">he revamping </w:t>
      </w:r>
      <w:r w:rsidR="003E2211">
        <w:rPr>
          <w:rFonts w:ascii="Tahoma" w:hAnsi="Tahoma" w:cs="Tahoma"/>
          <w:sz w:val="22"/>
          <w:szCs w:val="22"/>
        </w:rPr>
        <w:t>were awarded in December 2010</w:t>
      </w:r>
      <w:r w:rsidRPr="008805E8">
        <w:rPr>
          <w:rFonts w:ascii="Tahoma" w:hAnsi="Tahoma" w:cs="Tahoma"/>
          <w:sz w:val="22"/>
          <w:szCs w:val="22"/>
        </w:rPr>
        <w:t xml:space="preserve"> </w:t>
      </w:r>
      <w:r w:rsidR="00935570">
        <w:rPr>
          <w:rFonts w:ascii="Tahoma" w:hAnsi="Tahoma" w:cs="Tahoma"/>
          <w:sz w:val="22"/>
          <w:szCs w:val="22"/>
        </w:rPr>
        <w:t xml:space="preserve">with expected </w:t>
      </w:r>
      <w:r w:rsidR="003E730D">
        <w:rPr>
          <w:rFonts w:ascii="Tahoma" w:hAnsi="Tahoma" w:cs="Tahoma"/>
          <w:sz w:val="22"/>
          <w:szCs w:val="22"/>
        </w:rPr>
        <w:t xml:space="preserve">date of </w:t>
      </w:r>
      <w:r w:rsidR="00935570">
        <w:rPr>
          <w:rFonts w:ascii="Tahoma" w:hAnsi="Tahoma" w:cs="Tahoma"/>
          <w:sz w:val="22"/>
          <w:szCs w:val="22"/>
        </w:rPr>
        <w:t xml:space="preserve">delivery </w:t>
      </w:r>
      <w:r w:rsidR="003E730D">
        <w:rPr>
          <w:rFonts w:ascii="Tahoma" w:hAnsi="Tahoma" w:cs="Tahoma"/>
          <w:sz w:val="22"/>
          <w:szCs w:val="22"/>
        </w:rPr>
        <w:t xml:space="preserve">as </w:t>
      </w:r>
      <w:r w:rsidR="00935570">
        <w:rPr>
          <w:rFonts w:ascii="Tahoma" w:hAnsi="Tahoma" w:cs="Tahoma"/>
          <w:sz w:val="22"/>
          <w:szCs w:val="22"/>
        </w:rPr>
        <w:t xml:space="preserve">end of March 2011. </w:t>
      </w:r>
      <w:r w:rsidR="003E2211">
        <w:rPr>
          <w:rFonts w:ascii="Tahoma" w:hAnsi="Tahoma" w:cs="Tahoma"/>
          <w:sz w:val="22"/>
          <w:szCs w:val="22"/>
        </w:rPr>
        <w:t xml:space="preserve">In many places, </w:t>
      </w:r>
      <w:r w:rsidR="003E2211" w:rsidRPr="008805E8">
        <w:rPr>
          <w:rFonts w:ascii="Tahoma" w:hAnsi="Tahoma" w:cs="Tahoma"/>
          <w:sz w:val="22"/>
          <w:szCs w:val="22"/>
        </w:rPr>
        <w:t>work ha</w:t>
      </w:r>
      <w:r w:rsidR="003E2211">
        <w:rPr>
          <w:rFonts w:ascii="Tahoma" w:hAnsi="Tahoma" w:cs="Tahoma"/>
          <w:sz w:val="22"/>
          <w:szCs w:val="22"/>
        </w:rPr>
        <w:t xml:space="preserve">s reached advanced stage e.g. </w:t>
      </w:r>
      <w:r w:rsidRPr="008805E8">
        <w:rPr>
          <w:rFonts w:ascii="Tahoma" w:hAnsi="Tahoma" w:cs="Tahoma"/>
          <w:sz w:val="22"/>
          <w:szCs w:val="22"/>
        </w:rPr>
        <w:t xml:space="preserve">all the southern States cold rooms have been installed. </w:t>
      </w:r>
      <w:r w:rsidR="00935570">
        <w:rPr>
          <w:rFonts w:ascii="Tahoma" w:hAnsi="Tahoma" w:cs="Tahoma"/>
          <w:sz w:val="22"/>
          <w:szCs w:val="22"/>
        </w:rPr>
        <w:t xml:space="preserve">Additional cold stores for the zonal cold stores are already at the ports. </w:t>
      </w:r>
    </w:p>
    <w:p w:rsidR="00AC4385" w:rsidRPr="008805E8" w:rsidRDefault="00AC4385" w:rsidP="00E0296A">
      <w:pPr>
        <w:ind w:left="360"/>
        <w:jc w:val="both"/>
        <w:rPr>
          <w:rFonts w:ascii="Tahoma" w:hAnsi="Tahoma" w:cs="Tahoma"/>
          <w:sz w:val="22"/>
          <w:szCs w:val="22"/>
        </w:rPr>
      </w:pPr>
    </w:p>
    <w:p w:rsidR="003E2211" w:rsidRPr="003E2211" w:rsidRDefault="003E2211" w:rsidP="006B7270">
      <w:pPr>
        <w:jc w:val="both"/>
        <w:rPr>
          <w:rFonts w:ascii="Tahoma" w:hAnsi="Tahoma" w:cs="Tahoma"/>
          <w:b/>
          <w:sz w:val="22"/>
          <w:szCs w:val="22"/>
        </w:rPr>
      </w:pPr>
      <w:r w:rsidRPr="003E2211">
        <w:rPr>
          <w:rFonts w:ascii="Tahoma" w:hAnsi="Tahoma" w:cs="Tahoma"/>
          <w:b/>
          <w:sz w:val="22"/>
          <w:szCs w:val="22"/>
        </w:rPr>
        <w:t>Issue 3: Operational costs</w:t>
      </w:r>
    </w:p>
    <w:p w:rsidR="003E2211" w:rsidRDefault="003E2211" w:rsidP="006B7270">
      <w:pPr>
        <w:jc w:val="both"/>
        <w:rPr>
          <w:rFonts w:ascii="Tahoma" w:hAnsi="Tahoma" w:cs="Tahoma"/>
          <w:sz w:val="22"/>
          <w:szCs w:val="22"/>
        </w:rPr>
      </w:pPr>
    </w:p>
    <w:p w:rsidR="006B7270" w:rsidRDefault="006B7270" w:rsidP="006B7270">
      <w:pPr>
        <w:jc w:val="both"/>
        <w:rPr>
          <w:rFonts w:ascii="Tahoma" w:hAnsi="Tahoma" w:cs="Tahoma"/>
          <w:sz w:val="22"/>
          <w:szCs w:val="22"/>
        </w:rPr>
      </w:pPr>
      <w:r>
        <w:rPr>
          <w:rFonts w:ascii="Tahoma" w:hAnsi="Tahoma" w:cs="Tahoma"/>
          <w:sz w:val="22"/>
          <w:szCs w:val="22"/>
        </w:rPr>
        <w:t>The operational cost of the campaign over the three-year period has been amended to include the actual cost details of the Gio-styles, cold boxes and the ice packs that were in-advertently omitted in the previous budget. The new operational cost details and summary is now added to the Annex 3 workbook</w:t>
      </w:r>
      <w:r w:rsidR="00CF69AF">
        <w:rPr>
          <w:rFonts w:ascii="Tahoma" w:hAnsi="Tahoma" w:cs="Tahoma"/>
          <w:sz w:val="22"/>
          <w:szCs w:val="22"/>
        </w:rPr>
        <w:t xml:space="preserve"> and reflected in table 6 appropriately</w:t>
      </w:r>
      <w:r>
        <w:rPr>
          <w:rFonts w:ascii="Tahoma" w:hAnsi="Tahoma" w:cs="Tahoma"/>
          <w:sz w:val="22"/>
          <w:szCs w:val="22"/>
        </w:rPr>
        <w:t xml:space="preserve">. </w:t>
      </w:r>
    </w:p>
    <w:p w:rsidR="006B7270" w:rsidRDefault="006B7270" w:rsidP="00C97664">
      <w:pPr>
        <w:jc w:val="both"/>
        <w:rPr>
          <w:rFonts w:ascii="Tahoma" w:hAnsi="Tahoma" w:cs="Tahoma"/>
          <w:sz w:val="22"/>
          <w:szCs w:val="22"/>
        </w:rPr>
      </w:pPr>
    </w:p>
    <w:p w:rsidR="003E2211" w:rsidRPr="003E2211" w:rsidRDefault="003E2211" w:rsidP="00C97664">
      <w:pPr>
        <w:jc w:val="both"/>
        <w:rPr>
          <w:rFonts w:ascii="Tahoma" w:hAnsi="Tahoma" w:cs="Tahoma"/>
          <w:b/>
          <w:sz w:val="22"/>
          <w:szCs w:val="22"/>
        </w:rPr>
      </w:pPr>
      <w:r w:rsidRPr="003E2211">
        <w:rPr>
          <w:rFonts w:ascii="Tahoma" w:hAnsi="Tahoma" w:cs="Tahoma"/>
          <w:b/>
          <w:sz w:val="22"/>
          <w:szCs w:val="22"/>
        </w:rPr>
        <w:t>Issue 4: Waste management mechanism</w:t>
      </w:r>
    </w:p>
    <w:p w:rsidR="003E2211" w:rsidRDefault="003E2211" w:rsidP="00C97664">
      <w:pPr>
        <w:jc w:val="both"/>
        <w:rPr>
          <w:rFonts w:ascii="Tahoma" w:hAnsi="Tahoma" w:cs="Tahoma"/>
          <w:sz w:val="22"/>
          <w:szCs w:val="22"/>
        </w:rPr>
      </w:pPr>
    </w:p>
    <w:p w:rsidR="00E0296A" w:rsidRPr="008805E8" w:rsidRDefault="00E0296A" w:rsidP="00C97664">
      <w:pPr>
        <w:jc w:val="both"/>
        <w:rPr>
          <w:rFonts w:ascii="Tahoma" w:hAnsi="Tahoma" w:cs="Tahoma"/>
          <w:sz w:val="22"/>
          <w:szCs w:val="22"/>
        </w:rPr>
      </w:pPr>
      <w:r w:rsidRPr="008805E8">
        <w:rPr>
          <w:rFonts w:ascii="Tahoma" w:hAnsi="Tahoma" w:cs="Tahoma"/>
          <w:sz w:val="22"/>
          <w:szCs w:val="22"/>
        </w:rPr>
        <w:t>The mechanism to be used in the disposal of injection materials during the meningi</w:t>
      </w:r>
      <w:r w:rsidR="00AC4385" w:rsidRPr="008805E8">
        <w:rPr>
          <w:rFonts w:ascii="Tahoma" w:hAnsi="Tahoma" w:cs="Tahoma"/>
          <w:sz w:val="22"/>
          <w:szCs w:val="22"/>
        </w:rPr>
        <w:t>tis campaign is by incineration</w:t>
      </w:r>
      <w:r w:rsidRPr="008805E8">
        <w:rPr>
          <w:rFonts w:ascii="Tahoma" w:hAnsi="Tahoma" w:cs="Tahoma"/>
          <w:sz w:val="22"/>
          <w:szCs w:val="22"/>
        </w:rPr>
        <w:t xml:space="preserve">. </w:t>
      </w:r>
      <w:r w:rsidR="008805E8">
        <w:rPr>
          <w:rFonts w:ascii="Tahoma" w:hAnsi="Tahoma" w:cs="Tahoma"/>
          <w:sz w:val="22"/>
          <w:szCs w:val="22"/>
        </w:rPr>
        <w:t>Injection wastes would be collected using the safety boxes which would be transported for incineration</w:t>
      </w:r>
      <w:r w:rsidR="006B7270">
        <w:rPr>
          <w:rFonts w:ascii="Tahoma" w:hAnsi="Tahoma" w:cs="Tahoma"/>
          <w:sz w:val="22"/>
          <w:szCs w:val="22"/>
        </w:rPr>
        <w:t xml:space="preserve"> </w:t>
      </w:r>
      <w:r w:rsidR="00455187">
        <w:rPr>
          <w:rFonts w:ascii="Tahoma" w:hAnsi="Tahoma" w:cs="Tahoma"/>
          <w:sz w:val="22"/>
          <w:szCs w:val="22"/>
        </w:rPr>
        <w:t xml:space="preserve">under supervision. </w:t>
      </w:r>
      <w:r w:rsidR="008805E8">
        <w:rPr>
          <w:rFonts w:ascii="Tahoma" w:hAnsi="Tahoma" w:cs="Tahoma"/>
          <w:sz w:val="22"/>
          <w:szCs w:val="22"/>
        </w:rPr>
        <w:t>In our introductory plan, the costing for th</w:t>
      </w:r>
      <w:r w:rsidR="006B7270">
        <w:rPr>
          <w:rFonts w:ascii="Tahoma" w:hAnsi="Tahoma" w:cs="Tahoma"/>
          <w:sz w:val="22"/>
          <w:szCs w:val="22"/>
        </w:rPr>
        <w:t>is</w:t>
      </w:r>
      <w:r w:rsidR="008805E8">
        <w:rPr>
          <w:rFonts w:ascii="Tahoma" w:hAnsi="Tahoma" w:cs="Tahoma"/>
          <w:sz w:val="22"/>
          <w:szCs w:val="22"/>
        </w:rPr>
        <w:t xml:space="preserve"> </w:t>
      </w:r>
      <w:r w:rsidR="006B7270">
        <w:rPr>
          <w:rFonts w:ascii="Tahoma" w:hAnsi="Tahoma" w:cs="Tahoma"/>
          <w:sz w:val="22"/>
          <w:szCs w:val="22"/>
        </w:rPr>
        <w:t xml:space="preserve">was </w:t>
      </w:r>
      <w:r w:rsidR="008805E8">
        <w:rPr>
          <w:rFonts w:ascii="Tahoma" w:hAnsi="Tahoma" w:cs="Tahoma"/>
          <w:sz w:val="22"/>
          <w:szCs w:val="22"/>
        </w:rPr>
        <w:t xml:space="preserve">not </w:t>
      </w:r>
      <w:r w:rsidR="00455187">
        <w:rPr>
          <w:rFonts w:ascii="Tahoma" w:hAnsi="Tahoma" w:cs="Tahoma"/>
          <w:sz w:val="22"/>
          <w:szCs w:val="22"/>
        </w:rPr>
        <w:t>c</w:t>
      </w:r>
      <w:r w:rsidR="008805E8">
        <w:rPr>
          <w:rFonts w:ascii="Tahoma" w:hAnsi="Tahoma" w:cs="Tahoma"/>
          <w:sz w:val="22"/>
          <w:szCs w:val="22"/>
        </w:rPr>
        <w:t xml:space="preserve">omputed as their </w:t>
      </w:r>
      <w:r w:rsidR="00285C33">
        <w:rPr>
          <w:rFonts w:ascii="Tahoma" w:hAnsi="Tahoma" w:cs="Tahoma"/>
          <w:sz w:val="22"/>
          <w:szCs w:val="22"/>
        </w:rPr>
        <w:t xml:space="preserve">exact location could not be determined at the time of submission of the proposal. </w:t>
      </w:r>
      <w:r w:rsidR="008805E8">
        <w:rPr>
          <w:rFonts w:ascii="Tahoma" w:hAnsi="Tahoma" w:cs="Tahoma"/>
          <w:sz w:val="22"/>
          <w:szCs w:val="22"/>
        </w:rPr>
        <w:t xml:space="preserve">This </w:t>
      </w:r>
      <w:r w:rsidR="00285C33">
        <w:rPr>
          <w:rFonts w:ascii="Tahoma" w:hAnsi="Tahoma" w:cs="Tahoma"/>
          <w:sz w:val="22"/>
          <w:szCs w:val="22"/>
        </w:rPr>
        <w:t xml:space="preserve">parameter is required to </w:t>
      </w:r>
      <w:r w:rsidR="008805E8">
        <w:rPr>
          <w:rFonts w:ascii="Tahoma" w:hAnsi="Tahoma" w:cs="Tahoma"/>
          <w:sz w:val="22"/>
          <w:szCs w:val="22"/>
        </w:rPr>
        <w:t>cost</w:t>
      </w:r>
      <w:r w:rsidR="00285C33">
        <w:rPr>
          <w:rFonts w:ascii="Tahoma" w:hAnsi="Tahoma" w:cs="Tahoma"/>
          <w:sz w:val="22"/>
          <w:szCs w:val="22"/>
        </w:rPr>
        <w:t xml:space="preserve"> the</w:t>
      </w:r>
      <w:r w:rsidR="008805E8">
        <w:rPr>
          <w:rFonts w:ascii="Tahoma" w:hAnsi="Tahoma" w:cs="Tahoma"/>
          <w:sz w:val="22"/>
          <w:szCs w:val="22"/>
        </w:rPr>
        <w:t xml:space="preserve"> transportation of wastes to disposal sites. </w:t>
      </w:r>
      <w:r w:rsidR="00455187">
        <w:rPr>
          <w:rFonts w:ascii="Tahoma" w:hAnsi="Tahoma" w:cs="Tahoma"/>
          <w:sz w:val="22"/>
          <w:szCs w:val="22"/>
        </w:rPr>
        <w:t>The prototype incinerator</w:t>
      </w:r>
      <w:r w:rsidR="00DD2CBB">
        <w:rPr>
          <w:rFonts w:ascii="Tahoma" w:hAnsi="Tahoma" w:cs="Tahoma"/>
          <w:sz w:val="22"/>
          <w:szCs w:val="22"/>
        </w:rPr>
        <w:t xml:space="preserve"> (De Montfort)</w:t>
      </w:r>
      <w:r w:rsidR="00455187">
        <w:rPr>
          <w:rFonts w:ascii="Tahoma" w:hAnsi="Tahoma" w:cs="Tahoma"/>
          <w:sz w:val="22"/>
          <w:szCs w:val="22"/>
        </w:rPr>
        <w:t xml:space="preserve"> is </w:t>
      </w:r>
      <w:r w:rsidR="00285C33">
        <w:rPr>
          <w:rFonts w:ascii="Tahoma" w:hAnsi="Tahoma" w:cs="Tahoma"/>
          <w:sz w:val="22"/>
          <w:szCs w:val="22"/>
        </w:rPr>
        <w:t xml:space="preserve">still under consideration. However </w:t>
      </w:r>
      <w:r w:rsidR="00455187">
        <w:rPr>
          <w:rFonts w:ascii="Tahoma" w:hAnsi="Tahoma" w:cs="Tahoma"/>
          <w:sz w:val="22"/>
          <w:szCs w:val="22"/>
        </w:rPr>
        <w:t>the final decision on choic</w:t>
      </w:r>
      <w:r w:rsidR="0003200F">
        <w:rPr>
          <w:rFonts w:ascii="Tahoma" w:hAnsi="Tahoma" w:cs="Tahoma"/>
          <w:sz w:val="22"/>
          <w:szCs w:val="22"/>
        </w:rPr>
        <w:t>e depends on the Local G</w:t>
      </w:r>
      <w:r w:rsidR="00455187">
        <w:rPr>
          <w:rFonts w:ascii="Tahoma" w:hAnsi="Tahoma" w:cs="Tahoma"/>
          <w:sz w:val="22"/>
          <w:szCs w:val="22"/>
        </w:rPr>
        <w:t xml:space="preserve">overnments and the States that have agreed to shoulder this responsibility. Each unit is estimated to cost around $7000.00 with a lot of local inputs being considered in the </w:t>
      </w:r>
      <w:r w:rsidR="00222534">
        <w:rPr>
          <w:rFonts w:ascii="Tahoma" w:hAnsi="Tahoma" w:cs="Tahoma"/>
          <w:sz w:val="22"/>
          <w:szCs w:val="22"/>
        </w:rPr>
        <w:t>production.</w:t>
      </w:r>
      <w:r w:rsidR="00455187">
        <w:rPr>
          <w:rFonts w:ascii="Tahoma" w:hAnsi="Tahoma" w:cs="Tahoma"/>
          <w:sz w:val="22"/>
          <w:szCs w:val="22"/>
        </w:rPr>
        <w:t xml:space="preserve"> The country would however welcome any assistance and further guidance on this especially </w:t>
      </w:r>
      <w:r w:rsidR="00285C33">
        <w:rPr>
          <w:rFonts w:ascii="Tahoma" w:hAnsi="Tahoma" w:cs="Tahoma"/>
          <w:sz w:val="22"/>
          <w:szCs w:val="22"/>
        </w:rPr>
        <w:t xml:space="preserve">in </w:t>
      </w:r>
      <w:r w:rsidR="00DD2CBB">
        <w:rPr>
          <w:rFonts w:ascii="Tahoma" w:hAnsi="Tahoma" w:cs="Tahoma"/>
          <w:sz w:val="22"/>
          <w:szCs w:val="22"/>
        </w:rPr>
        <w:t xml:space="preserve">ensuring technological transfer and not </w:t>
      </w:r>
      <w:r w:rsidR="00222534">
        <w:rPr>
          <w:rFonts w:ascii="Tahoma" w:hAnsi="Tahoma" w:cs="Tahoma"/>
          <w:sz w:val="22"/>
          <w:szCs w:val="22"/>
        </w:rPr>
        <w:t xml:space="preserve">just </w:t>
      </w:r>
      <w:r w:rsidR="00455187">
        <w:rPr>
          <w:rFonts w:ascii="Tahoma" w:hAnsi="Tahoma" w:cs="Tahoma"/>
          <w:sz w:val="22"/>
          <w:szCs w:val="22"/>
        </w:rPr>
        <w:t>procuring and installing</w:t>
      </w:r>
      <w:r w:rsidR="00DD2CBB">
        <w:rPr>
          <w:rFonts w:ascii="Tahoma" w:hAnsi="Tahoma" w:cs="Tahoma"/>
          <w:sz w:val="22"/>
          <w:szCs w:val="22"/>
        </w:rPr>
        <w:t>.</w:t>
      </w:r>
      <w:r w:rsidR="00455187">
        <w:rPr>
          <w:rFonts w:ascii="Tahoma" w:hAnsi="Tahoma" w:cs="Tahoma"/>
          <w:sz w:val="22"/>
          <w:szCs w:val="22"/>
        </w:rPr>
        <w:t xml:space="preserve"> </w:t>
      </w:r>
      <w:r w:rsidR="00285C33">
        <w:rPr>
          <w:rFonts w:ascii="Tahoma" w:hAnsi="Tahoma" w:cs="Tahoma"/>
          <w:sz w:val="22"/>
          <w:szCs w:val="22"/>
        </w:rPr>
        <w:t xml:space="preserve">Among </w:t>
      </w:r>
      <w:r w:rsidR="002F3A37">
        <w:rPr>
          <w:rFonts w:ascii="Tahoma" w:hAnsi="Tahoma" w:cs="Tahoma"/>
          <w:sz w:val="22"/>
          <w:szCs w:val="22"/>
        </w:rPr>
        <w:t xml:space="preserve">the phase </w:t>
      </w:r>
      <w:r w:rsidR="00CF69AF">
        <w:rPr>
          <w:rFonts w:ascii="Tahoma" w:hAnsi="Tahoma" w:cs="Tahoma"/>
          <w:sz w:val="22"/>
          <w:szCs w:val="22"/>
        </w:rPr>
        <w:t>1 implementing S</w:t>
      </w:r>
      <w:r w:rsidR="002F3A37">
        <w:rPr>
          <w:rFonts w:ascii="Tahoma" w:hAnsi="Tahoma" w:cs="Tahoma"/>
          <w:sz w:val="22"/>
          <w:szCs w:val="22"/>
        </w:rPr>
        <w:t>tates</w:t>
      </w:r>
      <w:r w:rsidR="00CF69AF">
        <w:rPr>
          <w:rFonts w:ascii="Tahoma" w:hAnsi="Tahoma" w:cs="Tahoma"/>
          <w:sz w:val="22"/>
          <w:szCs w:val="22"/>
        </w:rPr>
        <w:t>,</w:t>
      </w:r>
      <w:r w:rsidR="002F3A37">
        <w:rPr>
          <w:rFonts w:ascii="Tahoma" w:hAnsi="Tahoma" w:cs="Tahoma"/>
          <w:sz w:val="22"/>
          <w:szCs w:val="22"/>
        </w:rPr>
        <w:t xml:space="preserve"> 30 incinerators would be provided by the affected state governments and 238 will come from the LGAs. </w:t>
      </w:r>
    </w:p>
    <w:p w:rsidR="00AC4385" w:rsidRPr="008805E8" w:rsidRDefault="00AC4385" w:rsidP="00E0296A">
      <w:pPr>
        <w:ind w:left="360"/>
        <w:jc w:val="both"/>
        <w:rPr>
          <w:rFonts w:ascii="Tahoma" w:hAnsi="Tahoma" w:cs="Tahoma"/>
          <w:sz w:val="22"/>
          <w:szCs w:val="22"/>
        </w:rPr>
      </w:pPr>
    </w:p>
    <w:p w:rsidR="003E2211" w:rsidRPr="003E2211" w:rsidRDefault="003E2211" w:rsidP="00C97664">
      <w:pPr>
        <w:jc w:val="both"/>
        <w:rPr>
          <w:rFonts w:ascii="Tahoma" w:hAnsi="Tahoma" w:cs="Tahoma"/>
          <w:b/>
          <w:sz w:val="22"/>
          <w:szCs w:val="22"/>
        </w:rPr>
      </w:pPr>
      <w:r w:rsidRPr="003E2211">
        <w:rPr>
          <w:rFonts w:ascii="Tahoma" w:hAnsi="Tahoma" w:cs="Tahoma"/>
          <w:b/>
          <w:sz w:val="22"/>
          <w:szCs w:val="22"/>
        </w:rPr>
        <w:t xml:space="preserve">Issue 5: </w:t>
      </w:r>
      <w:r w:rsidR="00CF69AF">
        <w:rPr>
          <w:rFonts w:ascii="Tahoma" w:hAnsi="Tahoma" w:cs="Tahoma"/>
          <w:b/>
          <w:sz w:val="22"/>
          <w:szCs w:val="22"/>
        </w:rPr>
        <w:t>B</w:t>
      </w:r>
      <w:r w:rsidRPr="003E2211">
        <w:rPr>
          <w:rFonts w:ascii="Tahoma" w:hAnsi="Tahoma" w:cs="Tahoma"/>
          <w:b/>
          <w:sz w:val="22"/>
          <w:szCs w:val="22"/>
        </w:rPr>
        <w:t>anking details</w:t>
      </w:r>
    </w:p>
    <w:p w:rsidR="003E2211" w:rsidRDefault="003E2211" w:rsidP="00C97664">
      <w:pPr>
        <w:jc w:val="both"/>
        <w:rPr>
          <w:rFonts w:ascii="Tahoma" w:hAnsi="Tahoma" w:cs="Tahoma"/>
          <w:sz w:val="22"/>
          <w:szCs w:val="22"/>
        </w:rPr>
      </w:pPr>
    </w:p>
    <w:p w:rsidR="00E0296A" w:rsidRPr="008805E8" w:rsidRDefault="00E0296A" w:rsidP="00C97664">
      <w:pPr>
        <w:jc w:val="both"/>
        <w:rPr>
          <w:rFonts w:ascii="Tahoma" w:hAnsi="Tahoma" w:cs="Tahoma"/>
          <w:sz w:val="22"/>
          <w:szCs w:val="22"/>
        </w:rPr>
      </w:pPr>
      <w:r w:rsidRPr="008805E8">
        <w:rPr>
          <w:rFonts w:ascii="Tahoma" w:hAnsi="Tahoma" w:cs="Tahoma"/>
          <w:sz w:val="22"/>
          <w:szCs w:val="22"/>
        </w:rPr>
        <w:t>The banking detail</w:t>
      </w:r>
      <w:r w:rsidR="00AC4385" w:rsidRPr="008805E8">
        <w:rPr>
          <w:rFonts w:ascii="Tahoma" w:hAnsi="Tahoma" w:cs="Tahoma"/>
          <w:sz w:val="22"/>
          <w:szCs w:val="22"/>
        </w:rPr>
        <w:t xml:space="preserve"> as provided by Government is attached. </w:t>
      </w:r>
    </w:p>
    <w:p w:rsidR="00323FF8" w:rsidRPr="008805E8" w:rsidRDefault="00323FF8" w:rsidP="00BC2187">
      <w:pPr>
        <w:ind w:left="360"/>
        <w:jc w:val="both"/>
        <w:rPr>
          <w:rFonts w:ascii="Tahoma" w:hAnsi="Tahoma" w:cs="Tahoma"/>
          <w:sz w:val="22"/>
          <w:szCs w:val="22"/>
        </w:rPr>
      </w:pPr>
    </w:p>
    <w:p w:rsidR="00140285" w:rsidRPr="008805E8" w:rsidRDefault="00140285" w:rsidP="00D61B59">
      <w:pPr>
        <w:jc w:val="both"/>
        <w:rPr>
          <w:rFonts w:ascii="Tahoma" w:hAnsi="Tahoma" w:cs="Tahoma"/>
          <w:sz w:val="22"/>
          <w:szCs w:val="22"/>
        </w:rPr>
      </w:pPr>
    </w:p>
    <w:sectPr w:rsidR="00140285" w:rsidRPr="008805E8" w:rsidSect="0087333A">
      <w:pgSz w:w="11907" w:h="16840" w:code="9"/>
      <w:pgMar w:top="1134" w:right="1264" w:bottom="1412" w:left="1134" w:header="85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1E6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043A96"/>
    <w:multiLevelType w:val="hybridMultilevel"/>
    <w:tmpl w:val="3184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40516"/>
    <w:multiLevelType w:val="hybridMultilevel"/>
    <w:tmpl w:val="BDE68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E"/>
    <w:rsid w:val="00016AC1"/>
    <w:rsid w:val="000229B0"/>
    <w:rsid w:val="0003200F"/>
    <w:rsid w:val="00040D09"/>
    <w:rsid w:val="00051C5B"/>
    <w:rsid w:val="00061B13"/>
    <w:rsid w:val="000B6C73"/>
    <w:rsid w:val="00113D17"/>
    <w:rsid w:val="00122F3E"/>
    <w:rsid w:val="00135CAD"/>
    <w:rsid w:val="00140285"/>
    <w:rsid w:val="00222534"/>
    <w:rsid w:val="00266482"/>
    <w:rsid w:val="00285C33"/>
    <w:rsid w:val="002B4635"/>
    <w:rsid w:val="002D0349"/>
    <w:rsid w:val="002D5B7D"/>
    <w:rsid w:val="002F1CE5"/>
    <w:rsid w:val="002F3A37"/>
    <w:rsid w:val="00301607"/>
    <w:rsid w:val="00312492"/>
    <w:rsid w:val="00323FF8"/>
    <w:rsid w:val="00351B07"/>
    <w:rsid w:val="003803C7"/>
    <w:rsid w:val="00391A30"/>
    <w:rsid w:val="003B4A5E"/>
    <w:rsid w:val="003D4F19"/>
    <w:rsid w:val="003E2211"/>
    <w:rsid w:val="003E730D"/>
    <w:rsid w:val="003F7C91"/>
    <w:rsid w:val="00434F7B"/>
    <w:rsid w:val="00455187"/>
    <w:rsid w:val="00482CFD"/>
    <w:rsid w:val="004F0585"/>
    <w:rsid w:val="00507317"/>
    <w:rsid w:val="00557C51"/>
    <w:rsid w:val="005C54F6"/>
    <w:rsid w:val="006050BD"/>
    <w:rsid w:val="0064194F"/>
    <w:rsid w:val="00685455"/>
    <w:rsid w:val="0069568F"/>
    <w:rsid w:val="006B7270"/>
    <w:rsid w:val="006B7E38"/>
    <w:rsid w:val="006D6FB6"/>
    <w:rsid w:val="00751833"/>
    <w:rsid w:val="00771A98"/>
    <w:rsid w:val="00780427"/>
    <w:rsid w:val="0078555F"/>
    <w:rsid w:val="007958A1"/>
    <w:rsid w:val="007C2EBC"/>
    <w:rsid w:val="00805260"/>
    <w:rsid w:val="0087333A"/>
    <w:rsid w:val="008805E8"/>
    <w:rsid w:val="008A5F17"/>
    <w:rsid w:val="008B2861"/>
    <w:rsid w:val="008E46DE"/>
    <w:rsid w:val="009059F7"/>
    <w:rsid w:val="0092658C"/>
    <w:rsid w:val="00935570"/>
    <w:rsid w:val="009903FD"/>
    <w:rsid w:val="009A3273"/>
    <w:rsid w:val="009D36B4"/>
    <w:rsid w:val="00A066E0"/>
    <w:rsid w:val="00A45CD3"/>
    <w:rsid w:val="00A64B5E"/>
    <w:rsid w:val="00AC4385"/>
    <w:rsid w:val="00AC6EA1"/>
    <w:rsid w:val="00AF2864"/>
    <w:rsid w:val="00B24898"/>
    <w:rsid w:val="00B83A62"/>
    <w:rsid w:val="00B94A95"/>
    <w:rsid w:val="00BA160D"/>
    <w:rsid w:val="00BC2187"/>
    <w:rsid w:val="00C072F0"/>
    <w:rsid w:val="00C21606"/>
    <w:rsid w:val="00C64AF5"/>
    <w:rsid w:val="00C97449"/>
    <w:rsid w:val="00C97664"/>
    <w:rsid w:val="00C9778A"/>
    <w:rsid w:val="00CF69AF"/>
    <w:rsid w:val="00CF7A63"/>
    <w:rsid w:val="00D1648D"/>
    <w:rsid w:val="00D20913"/>
    <w:rsid w:val="00D61B59"/>
    <w:rsid w:val="00D64B40"/>
    <w:rsid w:val="00D80C20"/>
    <w:rsid w:val="00D823DD"/>
    <w:rsid w:val="00D917DB"/>
    <w:rsid w:val="00D97630"/>
    <w:rsid w:val="00DD2CBB"/>
    <w:rsid w:val="00E0296A"/>
    <w:rsid w:val="00E25FCB"/>
    <w:rsid w:val="00E31E79"/>
    <w:rsid w:val="00F00129"/>
    <w:rsid w:val="00F16DA7"/>
    <w:rsid w:val="00F659BE"/>
    <w:rsid w:val="00FA2C3C"/>
    <w:rsid w:val="00FA68EA"/>
    <w:rsid w:val="00FB598B"/>
    <w:rsid w:val="00FE1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colormru v:ext="edit" colors="#f3c"/>
      <o:colormenu v:ext="edit" fillcolor="none" strokecolor="re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D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5CD3"/>
    <w:pPr>
      <w:spacing w:after="200" w:line="276" w:lineRule="auto"/>
    </w:pPr>
    <w:rPr>
      <w:rFonts w:ascii="Calibri" w:eastAsia="Calibri" w:hAnsi="Calibri"/>
      <w:b/>
      <w:bCs/>
      <w:sz w:val="20"/>
      <w:szCs w:val="20"/>
    </w:rPr>
  </w:style>
  <w:style w:type="paragraph" w:styleId="BalloonText">
    <w:name w:val="Balloon Text"/>
    <w:basedOn w:val="Normal"/>
    <w:link w:val="BalloonTextChar"/>
    <w:rsid w:val="007C2EBC"/>
    <w:rPr>
      <w:rFonts w:ascii="Tahoma" w:hAnsi="Tahoma" w:cs="Tahoma"/>
      <w:sz w:val="16"/>
      <w:szCs w:val="16"/>
    </w:rPr>
  </w:style>
  <w:style w:type="character" w:customStyle="1" w:styleId="BalloonTextChar">
    <w:name w:val="Balloon Text Char"/>
    <w:basedOn w:val="DefaultParagraphFont"/>
    <w:link w:val="BalloonText"/>
    <w:rsid w:val="007C2EBC"/>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D0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45CD3"/>
    <w:pPr>
      <w:spacing w:after="200" w:line="276" w:lineRule="auto"/>
    </w:pPr>
    <w:rPr>
      <w:rFonts w:ascii="Calibri" w:eastAsia="Calibri" w:hAnsi="Calibri"/>
      <w:b/>
      <w:bCs/>
      <w:sz w:val="20"/>
      <w:szCs w:val="20"/>
    </w:rPr>
  </w:style>
  <w:style w:type="paragraph" w:styleId="BalloonText">
    <w:name w:val="Balloon Text"/>
    <w:basedOn w:val="Normal"/>
    <w:link w:val="BalloonTextChar"/>
    <w:rsid w:val="007C2EBC"/>
    <w:rPr>
      <w:rFonts w:ascii="Tahoma" w:hAnsi="Tahoma" w:cs="Tahoma"/>
      <w:sz w:val="16"/>
      <w:szCs w:val="16"/>
    </w:rPr>
  </w:style>
  <w:style w:type="character" w:customStyle="1" w:styleId="BalloonTextChar">
    <w:name w:val="Balloon Text Char"/>
    <w:basedOn w:val="DefaultParagraphFont"/>
    <w:link w:val="BalloonText"/>
    <w:rsid w:val="007C2E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5549">
      <w:bodyDiv w:val="1"/>
      <w:marLeft w:val="0"/>
      <w:marRight w:val="0"/>
      <w:marTop w:val="0"/>
      <w:marBottom w:val="0"/>
      <w:divBdr>
        <w:top w:val="none" w:sz="0" w:space="0" w:color="auto"/>
        <w:left w:val="none" w:sz="0" w:space="0" w:color="auto"/>
        <w:bottom w:val="none" w:sz="0" w:space="0" w:color="auto"/>
        <w:right w:val="none" w:sz="0" w:space="0" w:color="auto"/>
      </w:divBdr>
    </w:div>
    <w:div w:id="245652274">
      <w:bodyDiv w:val="1"/>
      <w:marLeft w:val="0"/>
      <w:marRight w:val="0"/>
      <w:marTop w:val="0"/>
      <w:marBottom w:val="0"/>
      <w:divBdr>
        <w:top w:val="none" w:sz="0" w:space="0" w:color="auto"/>
        <w:left w:val="none" w:sz="0" w:space="0" w:color="auto"/>
        <w:bottom w:val="none" w:sz="0" w:space="0" w:color="auto"/>
        <w:right w:val="none" w:sz="0" w:space="0" w:color="auto"/>
      </w:divBdr>
    </w:div>
    <w:div w:id="263198055">
      <w:bodyDiv w:val="1"/>
      <w:marLeft w:val="0"/>
      <w:marRight w:val="0"/>
      <w:marTop w:val="0"/>
      <w:marBottom w:val="0"/>
      <w:divBdr>
        <w:top w:val="none" w:sz="0" w:space="0" w:color="auto"/>
        <w:left w:val="none" w:sz="0" w:space="0" w:color="auto"/>
        <w:bottom w:val="none" w:sz="0" w:space="0" w:color="auto"/>
        <w:right w:val="none" w:sz="0" w:space="0" w:color="auto"/>
      </w:divBdr>
    </w:div>
    <w:div w:id="368536430">
      <w:bodyDiv w:val="1"/>
      <w:marLeft w:val="0"/>
      <w:marRight w:val="0"/>
      <w:marTop w:val="0"/>
      <w:marBottom w:val="0"/>
      <w:divBdr>
        <w:top w:val="none" w:sz="0" w:space="0" w:color="auto"/>
        <w:left w:val="none" w:sz="0" w:space="0" w:color="auto"/>
        <w:bottom w:val="none" w:sz="0" w:space="0" w:color="auto"/>
        <w:right w:val="none" w:sz="0" w:space="0" w:color="auto"/>
      </w:divBdr>
    </w:div>
    <w:div w:id="513543011">
      <w:bodyDiv w:val="1"/>
      <w:marLeft w:val="0"/>
      <w:marRight w:val="0"/>
      <w:marTop w:val="0"/>
      <w:marBottom w:val="0"/>
      <w:divBdr>
        <w:top w:val="none" w:sz="0" w:space="0" w:color="auto"/>
        <w:left w:val="none" w:sz="0" w:space="0" w:color="auto"/>
        <w:bottom w:val="none" w:sz="0" w:space="0" w:color="auto"/>
        <w:right w:val="none" w:sz="0" w:space="0" w:color="auto"/>
      </w:divBdr>
    </w:div>
    <w:div w:id="772747148">
      <w:bodyDiv w:val="1"/>
      <w:marLeft w:val="0"/>
      <w:marRight w:val="0"/>
      <w:marTop w:val="0"/>
      <w:marBottom w:val="0"/>
      <w:divBdr>
        <w:top w:val="none" w:sz="0" w:space="0" w:color="auto"/>
        <w:left w:val="none" w:sz="0" w:space="0" w:color="auto"/>
        <w:bottom w:val="none" w:sz="0" w:space="0" w:color="auto"/>
        <w:right w:val="none" w:sz="0" w:space="0" w:color="auto"/>
      </w:divBdr>
    </w:div>
    <w:div w:id="890002591">
      <w:bodyDiv w:val="1"/>
      <w:marLeft w:val="0"/>
      <w:marRight w:val="0"/>
      <w:marTop w:val="0"/>
      <w:marBottom w:val="0"/>
      <w:divBdr>
        <w:top w:val="none" w:sz="0" w:space="0" w:color="auto"/>
        <w:left w:val="none" w:sz="0" w:space="0" w:color="auto"/>
        <w:bottom w:val="none" w:sz="0" w:space="0" w:color="auto"/>
        <w:right w:val="none" w:sz="0" w:space="0" w:color="auto"/>
      </w:divBdr>
    </w:div>
    <w:div w:id="895746818">
      <w:bodyDiv w:val="1"/>
      <w:marLeft w:val="0"/>
      <w:marRight w:val="0"/>
      <w:marTop w:val="0"/>
      <w:marBottom w:val="0"/>
      <w:divBdr>
        <w:top w:val="none" w:sz="0" w:space="0" w:color="auto"/>
        <w:left w:val="none" w:sz="0" w:space="0" w:color="auto"/>
        <w:bottom w:val="none" w:sz="0" w:space="0" w:color="auto"/>
        <w:right w:val="none" w:sz="0" w:space="0" w:color="auto"/>
      </w:divBdr>
    </w:div>
    <w:div w:id="937787194">
      <w:bodyDiv w:val="1"/>
      <w:marLeft w:val="0"/>
      <w:marRight w:val="0"/>
      <w:marTop w:val="0"/>
      <w:marBottom w:val="0"/>
      <w:divBdr>
        <w:top w:val="none" w:sz="0" w:space="0" w:color="auto"/>
        <w:left w:val="none" w:sz="0" w:space="0" w:color="auto"/>
        <w:bottom w:val="none" w:sz="0" w:space="0" w:color="auto"/>
        <w:right w:val="none" w:sz="0" w:space="0" w:color="auto"/>
      </w:divBdr>
    </w:div>
    <w:div w:id="1114329806">
      <w:bodyDiv w:val="1"/>
      <w:marLeft w:val="0"/>
      <w:marRight w:val="0"/>
      <w:marTop w:val="0"/>
      <w:marBottom w:val="0"/>
      <w:divBdr>
        <w:top w:val="none" w:sz="0" w:space="0" w:color="auto"/>
        <w:left w:val="none" w:sz="0" w:space="0" w:color="auto"/>
        <w:bottom w:val="none" w:sz="0" w:space="0" w:color="auto"/>
        <w:right w:val="none" w:sz="0" w:space="0" w:color="auto"/>
      </w:divBdr>
    </w:div>
    <w:div w:id="1154685279">
      <w:bodyDiv w:val="1"/>
      <w:marLeft w:val="0"/>
      <w:marRight w:val="0"/>
      <w:marTop w:val="0"/>
      <w:marBottom w:val="0"/>
      <w:divBdr>
        <w:top w:val="none" w:sz="0" w:space="0" w:color="auto"/>
        <w:left w:val="none" w:sz="0" w:space="0" w:color="auto"/>
        <w:bottom w:val="none" w:sz="0" w:space="0" w:color="auto"/>
        <w:right w:val="none" w:sz="0" w:space="0" w:color="auto"/>
      </w:divBdr>
    </w:div>
    <w:div w:id="1306621695">
      <w:bodyDiv w:val="1"/>
      <w:marLeft w:val="0"/>
      <w:marRight w:val="0"/>
      <w:marTop w:val="0"/>
      <w:marBottom w:val="0"/>
      <w:divBdr>
        <w:top w:val="none" w:sz="0" w:space="0" w:color="auto"/>
        <w:left w:val="none" w:sz="0" w:space="0" w:color="auto"/>
        <w:bottom w:val="none" w:sz="0" w:space="0" w:color="auto"/>
        <w:right w:val="none" w:sz="0" w:space="0" w:color="auto"/>
      </w:divBdr>
    </w:div>
    <w:div w:id="1330446802">
      <w:bodyDiv w:val="1"/>
      <w:marLeft w:val="0"/>
      <w:marRight w:val="0"/>
      <w:marTop w:val="0"/>
      <w:marBottom w:val="0"/>
      <w:divBdr>
        <w:top w:val="none" w:sz="0" w:space="0" w:color="auto"/>
        <w:left w:val="none" w:sz="0" w:space="0" w:color="auto"/>
        <w:bottom w:val="none" w:sz="0" w:space="0" w:color="auto"/>
        <w:right w:val="none" w:sz="0" w:space="0" w:color="auto"/>
      </w:divBdr>
    </w:div>
    <w:div w:id="1552841500">
      <w:bodyDiv w:val="1"/>
      <w:marLeft w:val="0"/>
      <w:marRight w:val="0"/>
      <w:marTop w:val="0"/>
      <w:marBottom w:val="0"/>
      <w:divBdr>
        <w:top w:val="none" w:sz="0" w:space="0" w:color="auto"/>
        <w:left w:val="none" w:sz="0" w:space="0" w:color="auto"/>
        <w:bottom w:val="none" w:sz="0" w:space="0" w:color="auto"/>
        <w:right w:val="none" w:sz="0" w:space="0" w:color="auto"/>
      </w:divBdr>
    </w:div>
    <w:div w:id="1588339713">
      <w:bodyDiv w:val="1"/>
      <w:marLeft w:val="0"/>
      <w:marRight w:val="0"/>
      <w:marTop w:val="0"/>
      <w:marBottom w:val="0"/>
      <w:divBdr>
        <w:top w:val="none" w:sz="0" w:space="0" w:color="auto"/>
        <w:left w:val="none" w:sz="0" w:space="0" w:color="auto"/>
        <w:bottom w:val="none" w:sz="0" w:space="0" w:color="auto"/>
        <w:right w:val="none" w:sz="0" w:space="0" w:color="auto"/>
      </w:divBdr>
    </w:div>
    <w:div w:id="1880629312">
      <w:bodyDiv w:val="1"/>
      <w:marLeft w:val="0"/>
      <w:marRight w:val="0"/>
      <w:marTop w:val="0"/>
      <w:marBottom w:val="0"/>
      <w:divBdr>
        <w:top w:val="none" w:sz="0" w:space="0" w:color="auto"/>
        <w:left w:val="none" w:sz="0" w:space="0" w:color="auto"/>
        <w:bottom w:val="none" w:sz="0" w:space="0" w:color="auto"/>
        <w:right w:val="none" w:sz="0" w:space="0" w:color="auto"/>
      </w:divBdr>
    </w:div>
    <w:div w:id="20079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_Sheet2.xlsx"/><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package" Target="embeddings/Microsoft_Excel_Sheet1.xlsx"/><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6F79-9D77-A042-A6B8-71904C13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Company>World Health Organization</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dedee</dc:creator>
  <cp:lastModifiedBy>Avuwa Joseph Oteri</cp:lastModifiedBy>
  <cp:revision>2</cp:revision>
  <cp:lastPrinted>2011-03-29T08:16:00Z</cp:lastPrinted>
  <dcterms:created xsi:type="dcterms:W3CDTF">2011-04-09T07:19:00Z</dcterms:created>
  <dcterms:modified xsi:type="dcterms:W3CDTF">2011-04-09T07:19:00Z</dcterms:modified>
</cp:coreProperties>
</file>