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434" w:rsidRDefault="000C4905" w:rsidP="000C4905">
      <w:pPr>
        <w:jc w:val="center"/>
        <w:rPr>
          <w:sz w:val="24"/>
        </w:rPr>
      </w:pPr>
      <w:r>
        <w:rPr>
          <w:b/>
          <w:sz w:val="28"/>
        </w:rPr>
        <w:t xml:space="preserve"> Eclaircissements sur l’introduction de VPI  au Bénin </w:t>
      </w:r>
    </w:p>
    <w:tbl>
      <w:tblPr>
        <w:tblStyle w:val="Grilledutableau"/>
        <w:tblW w:w="10207" w:type="dxa"/>
        <w:tblInd w:w="-318" w:type="dxa"/>
        <w:tblLook w:val="04A0" w:firstRow="1" w:lastRow="0" w:firstColumn="1" w:lastColumn="0" w:noHBand="0" w:noVBand="1"/>
      </w:tblPr>
      <w:tblGrid>
        <w:gridCol w:w="2746"/>
        <w:gridCol w:w="5721"/>
        <w:gridCol w:w="1740"/>
      </w:tblGrid>
      <w:tr w:rsidR="00D17434" w:rsidTr="006938E0">
        <w:trPr>
          <w:trHeight w:val="687"/>
        </w:trPr>
        <w:tc>
          <w:tcPr>
            <w:tcW w:w="2836" w:type="dxa"/>
          </w:tcPr>
          <w:p w:rsidR="00D17434" w:rsidRPr="00D17434" w:rsidRDefault="00D17434" w:rsidP="00D17434">
            <w:pPr>
              <w:rPr>
                <w:b/>
                <w:sz w:val="24"/>
              </w:rPr>
            </w:pPr>
            <w:r w:rsidRPr="00D17434">
              <w:rPr>
                <w:rFonts w:ascii="Arial" w:hAnsi="Arial" w:cs="Arial"/>
                <w:b/>
                <w:color w:val="0C0C0C"/>
                <w:sz w:val="24"/>
              </w:rPr>
              <w:t xml:space="preserve">Commentaires du </w:t>
            </w:r>
            <w:proofErr w:type="spellStart"/>
            <w:r w:rsidRPr="00D17434">
              <w:rPr>
                <w:rFonts w:ascii="Arial" w:hAnsi="Arial" w:cs="Arial"/>
                <w:b/>
                <w:color w:val="0C0C0C"/>
                <w:sz w:val="24"/>
              </w:rPr>
              <w:t>CEl</w:t>
            </w:r>
            <w:proofErr w:type="spellEnd"/>
            <w:r w:rsidRPr="00D17434">
              <w:rPr>
                <w:rFonts w:ascii="Arial" w:hAnsi="Arial" w:cs="Arial"/>
                <w:b/>
                <w:color w:val="0C0C0C"/>
                <w:sz w:val="24"/>
              </w:rPr>
              <w:t xml:space="preserve"> </w:t>
            </w:r>
          </w:p>
        </w:tc>
        <w:tc>
          <w:tcPr>
            <w:tcW w:w="6095" w:type="dxa"/>
          </w:tcPr>
          <w:p w:rsidR="00D17434" w:rsidRPr="00D17434" w:rsidRDefault="00D17434" w:rsidP="00D17434">
            <w:pPr>
              <w:rPr>
                <w:b/>
                <w:sz w:val="24"/>
              </w:rPr>
            </w:pPr>
            <w:r w:rsidRPr="00D17434">
              <w:rPr>
                <w:rFonts w:ascii="Arial" w:hAnsi="Arial" w:cs="Arial"/>
                <w:b/>
                <w:color w:val="0C0C0C"/>
                <w:sz w:val="24"/>
              </w:rPr>
              <w:t xml:space="preserve">Réponses du pays </w:t>
            </w:r>
          </w:p>
        </w:tc>
        <w:tc>
          <w:tcPr>
            <w:tcW w:w="1276" w:type="dxa"/>
          </w:tcPr>
          <w:p w:rsidR="00D17434" w:rsidRPr="00D17434" w:rsidRDefault="00D17434">
            <w:pPr>
              <w:rPr>
                <w:b/>
                <w:sz w:val="24"/>
              </w:rPr>
            </w:pPr>
            <w:r w:rsidRPr="00D17434">
              <w:rPr>
                <w:rFonts w:ascii="Arial" w:hAnsi="Arial" w:cs="Arial"/>
                <w:b/>
                <w:color w:val="0C0C0C"/>
                <w:sz w:val="24"/>
              </w:rPr>
              <w:t>Date limite</w:t>
            </w:r>
          </w:p>
        </w:tc>
      </w:tr>
      <w:tr w:rsidR="00D17434" w:rsidTr="006938E0">
        <w:tc>
          <w:tcPr>
            <w:tcW w:w="2836" w:type="dxa"/>
          </w:tcPr>
          <w:p w:rsidR="00D17434" w:rsidRPr="00D17434" w:rsidRDefault="00D17434" w:rsidP="00D17434">
            <w:pPr>
              <w:autoSpaceDE w:val="0"/>
              <w:autoSpaceDN w:val="0"/>
              <w:adjustRightInd w:val="0"/>
              <w:rPr>
                <w:rFonts w:ascii="Arial" w:hAnsi="Arial" w:cs="Arial"/>
                <w:b/>
                <w:color w:val="0C0C0C"/>
              </w:rPr>
            </w:pPr>
            <w:r w:rsidRPr="00D17434">
              <w:rPr>
                <w:rFonts w:ascii="Arial" w:hAnsi="Arial" w:cs="Arial"/>
                <w:b/>
                <w:color w:val="0C0C0C"/>
              </w:rPr>
              <w:t xml:space="preserve">Questions sur </w:t>
            </w:r>
            <w:proofErr w:type="spellStart"/>
            <w:r w:rsidRPr="00D17434">
              <w:rPr>
                <w:rFonts w:ascii="Arial" w:hAnsi="Arial" w:cs="Arial"/>
                <w:b/>
                <w:color w:val="0C0C0C"/>
              </w:rPr>
              <w:t>I'éguité</w:t>
            </w:r>
            <w:proofErr w:type="spellEnd"/>
            <w:r w:rsidRPr="00D17434">
              <w:rPr>
                <w:rFonts w:ascii="Arial" w:hAnsi="Arial" w:cs="Arial"/>
                <w:b/>
                <w:color w:val="0C0C0C"/>
              </w:rPr>
              <w:t xml:space="preserve"> et le</w:t>
            </w:r>
          </w:p>
          <w:p w:rsidR="00D17434" w:rsidRPr="00D17434" w:rsidRDefault="00D17434" w:rsidP="00D17434">
            <w:pPr>
              <w:autoSpaceDE w:val="0"/>
              <w:autoSpaceDN w:val="0"/>
              <w:adjustRightInd w:val="0"/>
              <w:rPr>
                <w:rFonts w:ascii="Arial" w:hAnsi="Arial" w:cs="Arial"/>
                <w:b/>
                <w:color w:val="0C0C0C"/>
              </w:rPr>
            </w:pPr>
            <w:r w:rsidRPr="00D17434">
              <w:rPr>
                <w:rFonts w:ascii="Arial" w:hAnsi="Arial" w:cs="Arial"/>
                <w:b/>
                <w:color w:val="0C0C0C"/>
              </w:rPr>
              <w:t>genre</w:t>
            </w:r>
          </w:p>
          <w:p w:rsidR="00D17434" w:rsidRDefault="00D17434" w:rsidP="00D17434">
            <w:pPr>
              <w:autoSpaceDE w:val="0"/>
              <w:autoSpaceDN w:val="0"/>
              <w:adjustRightInd w:val="0"/>
              <w:rPr>
                <w:rFonts w:ascii="Arial" w:hAnsi="Arial" w:cs="Arial"/>
                <w:color w:val="0C0C0C"/>
              </w:rPr>
            </w:pPr>
            <w:r>
              <w:rPr>
                <w:rFonts w:ascii="Arial" w:hAnsi="Arial" w:cs="Arial"/>
                <w:color w:val="0C0C0C"/>
              </w:rPr>
              <w:t>Considérer et traiter</w:t>
            </w:r>
          </w:p>
          <w:p w:rsidR="00D17434" w:rsidRDefault="00D17434" w:rsidP="00D17434">
            <w:pPr>
              <w:autoSpaceDE w:val="0"/>
              <w:autoSpaceDN w:val="0"/>
              <w:adjustRightInd w:val="0"/>
              <w:rPr>
                <w:rFonts w:ascii="Arial" w:hAnsi="Arial" w:cs="Arial"/>
                <w:color w:val="0C0C0C"/>
              </w:rPr>
            </w:pPr>
            <w:r>
              <w:rPr>
                <w:rFonts w:ascii="Arial" w:hAnsi="Arial" w:cs="Arial"/>
                <w:color w:val="0C0C0C"/>
              </w:rPr>
              <w:t>soigneusement les</w:t>
            </w:r>
          </w:p>
          <w:p w:rsidR="00D17434" w:rsidRDefault="00D17434" w:rsidP="00D17434">
            <w:pPr>
              <w:autoSpaceDE w:val="0"/>
              <w:autoSpaceDN w:val="0"/>
              <w:adjustRightInd w:val="0"/>
              <w:rPr>
                <w:rFonts w:ascii="Arial" w:hAnsi="Arial" w:cs="Arial"/>
                <w:color w:val="0C0C0C"/>
              </w:rPr>
            </w:pPr>
            <w:r>
              <w:rPr>
                <w:rFonts w:ascii="Arial" w:hAnsi="Arial" w:cs="Arial"/>
                <w:color w:val="0C0C0C"/>
              </w:rPr>
              <w:t>questions sur l'équité et le</w:t>
            </w:r>
          </w:p>
          <w:p w:rsidR="00D17434" w:rsidRDefault="00D17434" w:rsidP="00D17434">
            <w:pPr>
              <w:autoSpaceDE w:val="0"/>
              <w:autoSpaceDN w:val="0"/>
              <w:adjustRightInd w:val="0"/>
              <w:rPr>
                <w:rFonts w:ascii="Arial" w:hAnsi="Arial" w:cs="Arial"/>
                <w:color w:val="0C0C0C"/>
              </w:rPr>
            </w:pPr>
            <w:r>
              <w:rPr>
                <w:rFonts w:ascii="Arial" w:hAnsi="Arial" w:cs="Arial"/>
                <w:color w:val="0C0C0C"/>
              </w:rPr>
              <w:t>genre puis indiquer l'accès</w:t>
            </w:r>
          </w:p>
          <w:p w:rsidR="00D17434" w:rsidRDefault="00D17434" w:rsidP="00D17434">
            <w:pPr>
              <w:autoSpaceDE w:val="0"/>
              <w:autoSpaceDN w:val="0"/>
              <w:adjustRightInd w:val="0"/>
              <w:rPr>
                <w:rFonts w:ascii="Arial" w:hAnsi="Arial" w:cs="Arial"/>
                <w:color w:val="0C0C0C"/>
              </w:rPr>
            </w:pPr>
            <w:r>
              <w:rPr>
                <w:rFonts w:ascii="Arial" w:hAnsi="Arial" w:cs="Arial"/>
                <w:color w:val="0C0C0C"/>
              </w:rPr>
              <w:t>aux populations difficiles</w:t>
            </w:r>
          </w:p>
          <w:p w:rsidR="00D17434" w:rsidRDefault="00D17434" w:rsidP="00D17434">
            <w:pPr>
              <w:autoSpaceDE w:val="0"/>
              <w:autoSpaceDN w:val="0"/>
              <w:adjustRightInd w:val="0"/>
              <w:rPr>
                <w:rFonts w:ascii="Arial" w:hAnsi="Arial" w:cs="Arial"/>
                <w:sz w:val="20"/>
                <w:szCs w:val="20"/>
              </w:rPr>
            </w:pPr>
            <w:r>
              <w:rPr>
                <w:rFonts w:ascii="Arial" w:hAnsi="Arial" w:cs="Arial"/>
                <w:color w:val="0C0C0C"/>
              </w:rPr>
              <w:t>par le PEV ainsi que les</w:t>
            </w:r>
            <w:r w:rsidR="00510217">
              <w:rPr>
                <w:rFonts w:ascii="Arial" w:hAnsi="Arial" w:cs="Arial"/>
                <w:color w:val="0C0C0C"/>
              </w:rPr>
              <w:t xml:space="preserve"> </w:t>
            </w:r>
            <w:r>
              <w:rPr>
                <w:rFonts w:ascii="Arial" w:hAnsi="Arial" w:cs="Arial"/>
                <w:sz w:val="20"/>
                <w:szCs w:val="20"/>
              </w:rPr>
              <w:t>méthodes de</w:t>
            </w:r>
          </w:p>
          <w:p w:rsidR="00D17434" w:rsidRDefault="00D17434" w:rsidP="00D17434">
            <w:pPr>
              <w:autoSpaceDE w:val="0"/>
              <w:autoSpaceDN w:val="0"/>
              <w:adjustRightInd w:val="0"/>
              <w:rPr>
                <w:rFonts w:ascii="Arial" w:hAnsi="Arial" w:cs="Arial"/>
                <w:sz w:val="20"/>
                <w:szCs w:val="20"/>
              </w:rPr>
            </w:pPr>
            <w:r>
              <w:rPr>
                <w:rFonts w:ascii="Arial" w:hAnsi="Arial" w:cs="Arial"/>
                <w:sz w:val="20"/>
                <w:szCs w:val="20"/>
              </w:rPr>
              <w:t>communication pour gérer</w:t>
            </w:r>
          </w:p>
          <w:p w:rsidR="00D17434" w:rsidRDefault="00D17434" w:rsidP="00D17434">
            <w:pPr>
              <w:autoSpaceDE w:val="0"/>
              <w:autoSpaceDN w:val="0"/>
              <w:adjustRightInd w:val="0"/>
              <w:rPr>
                <w:rFonts w:ascii="Arial" w:hAnsi="Arial" w:cs="Arial"/>
                <w:sz w:val="20"/>
                <w:szCs w:val="20"/>
              </w:rPr>
            </w:pPr>
            <w:r>
              <w:rPr>
                <w:rFonts w:ascii="Arial" w:hAnsi="Arial" w:cs="Arial"/>
                <w:sz w:val="20"/>
                <w:szCs w:val="20"/>
              </w:rPr>
              <w:t>les rumeurs et les</w:t>
            </w:r>
          </w:p>
          <w:p w:rsidR="00D17434" w:rsidRDefault="00D17434" w:rsidP="00D17434">
            <w:pPr>
              <w:rPr>
                <w:sz w:val="24"/>
              </w:rPr>
            </w:pPr>
            <w:r>
              <w:rPr>
                <w:rFonts w:ascii="Arial" w:hAnsi="Arial" w:cs="Arial"/>
                <w:sz w:val="20"/>
                <w:szCs w:val="20"/>
              </w:rPr>
              <w:t>populations spéciales</w:t>
            </w:r>
          </w:p>
        </w:tc>
        <w:tc>
          <w:tcPr>
            <w:tcW w:w="6095" w:type="dxa"/>
          </w:tcPr>
          <w:p w:rsidR="00D17434" w:rsidRDefault="00510217" w:rsidP="00510217">
            <w:pPr>
              <w:rPr>
                <w:sz w:val="24"/>
              </w:rPr>
            </w:pPr>
            <w:r w:rsidRPr="00510217">
              <w:rPr>
                <w:sz w:val="24"/>
              </w:rPr>
              <w:t>-</w:t>
            </w:r>
            <w:r>
              <w:rPr>
                <w:sz w:val="24"/>
              </w:rPr>
              <w:t xml:space="preserve"> </w:t>
            </w:r>
            <w:r w:rsidRPr="00510217">
              <w:rPr>
                <w:sz w:val="24"/>
              </w:rPr>
              <w:t>Aucune différenciation ne sera faite par rapport au sexe : les filles et les garçons</w:t>
            </w:r>
            <w:r>
              <w:rPr>
                <w:sz w:val="24"/>
              </w:rPr>
              <w:t xml:space="preserve"> cibles seront entièrement pris</w:t>
            </w:r>
            <w:r w:rsidRPr="00510217">
              <w:rPr>
                <w:sz w:val="24"/>
              </w:rPr>
              <w:t xml:space="preserve"> en compte par cette vaccination</w:t>
            </w:r>
          </w:p>
          <w:p w:rsidR="00510217" w:rsidRDefault="00510217" w:rsidP="00217BDA">
            <w:pPr>
              <w:rPr>
                <w:sz w:val="24"/>
              </w:rPr>
            </w:pPr>
            <w:r>
              <w:rPr>
                <w:sz w:val="24"/>
              </w:rPr>
              <w:t xml:space="preserve">- les populations d’accès difficile au PEV sont essentiellement </w:t>
            </w:r>
            <w:r w:rsidR="00217BDA">
              <w:rPr>
                <w:sz w:val="24"/>
              </w:rPr>
              <w:t>celles qui résident</w:t>
            </w:r>
            <w:r>
              <w:rPr>
                <w:sz w:val="24"/>
              </w:rPr>
              <w:t xml:space="preserve"> dans des zones </w:t>
            </w:r>
            <w:r w:rsidR="00217BDA">
              <w:rPr>
                <w:sz w:val="24"/>
              </w:rPr>
              <w:t>de « terre noire » et dans les zones de cours d’eau notamment en période pluvieuse. Les cibles qui y vivent seront prises en charge en saison sèche si l’accès ne le permet pas en saison pluvieuse</w:t>
            </w:r>
          </w:p>
          <w:p w:rsidR="00217BDA" w:rsidRDefault="00217BDA" w:rsidP="00217BDA">
            <w:pPr>
              <w:rPr>
                <w:sz w:val="24"/>
              </w:rPr>
            </w:pPr>
            <w:r>
              <w:rPr>
                <w:sz w:val="24"/>
              </w:rPr>
              <w:t xml:space="preserve">- un plan de communication prenant en compte la gestion des rumeurs sera </w:t>
            </w:r>
            <w:r w:rsidR="009B3F1B">
              <w:rPr>
                <w:sz w:val="24"/>
              </w:rPr>
              <w:t>élaborée</w:t>
            </w:r>
            <w:r>
              <w:rPr>
                <w:sz w:val="24"/>
              </w:rPr>
              <w:t xml:space="preserve"> pour juguler cette difficulté</w:t>
            </w:r>
          </w:p>
          <w:p w:rsidR="00217BDA" w:rsidRPr="00510217" w:rsidRDefault="00217BDA" w:rsidP="00217BDA">
            <w:pPr>
              <w:rPr>
                <w:sz w:val="24"/>
              </w:rPr>
            </w:pPr>
            <w:r>
              <w:rPr>
                <w:sz w:val="24"/>
              </w:rPr>
              <w:t xml:space="preserve">- </w:t>
            </w:r>
            <w:r w:rsidR="003B4B4C">
              <w:rPr>
                <w:sz w:val="24"/>
              </w:rPr>
              <w:t>les populations spéciales sont essentiellement constituées par les peuls qui résident dans les régions du nord et du centre. Elles seront vaccinées dans les localités où elles transitent pendant la vaccination au VPI</w:t>
            </w:r>
          </w:p>
        </w:tc>
        <w:tc>
          <w:tcPr>
            <w:tcW w:w="1276" w:type="dxa"/>
          </w:tcPr>
          <w:p w:rsidR="00D17434" w:rsidRDefault="00D17434">
            <w:pPr>
              <w:rPr>
                <w:sz w:val="24"/>
              </w:rPr>
            </w:pPr>
          </w:p>
          <w:p w:rsidR="002D0FF1" w:rsidRDefault="002D0FF1">
            <w:pPr>
              <w:rPr>
                <w:sz w:val="24"/>
              </w:rPr>
            </w:pPr>
          </w:p>
          <w:p w:rsidR="002D0FF1" w:rsidRDefault="002D0FF1">
            <w:pPr>
              <w:rPr>
                <w:sz w:val="24"/>
              </w:rPr>
            </w:pPr>
          </w:p>
          <w:p w:rsidR="002D0FF1" w:rsidRDefault="002D0FF1">
            <w:pPr>
              <w:rPr>
                <w:sz w:val="24"/>
              </w:rPr>
            </w:pPr>
          </w:p>
          <w:p w:rsidR="002D0FF1" w:rsidRDefault="002D0FF1">
            <w:pPr>
              <w:rPr>
                <w:sz w:val="24"/>
              </w:rPr>
            </w:pPr>
          </w:p>
          <w:p w:rsidR="002D0FF1" w:rsidRDefault="002D0FF1">
            <w:pPr>
              <w:rPr>
                <w:sz w:val="24"/>
              </w:rPr>
            </w:pPr>
          </w:p>
          <w:p w:rsidR="002D0FF1" w:rsidRDefault="002D0FF1">
            <w:pPr>
              <w:rPr>
                <w:sz w:val="24"/>
              </w:rPr>
            </w:pPr>
          </w:p>
          <w:p w:rsidR="002D0FF1" w:rsidRDefault="002D0FF1">
            <w:pPr>
              <w:rPr>
                <w:sz w:val="24"/>
              </w:rPr>
            </w:pPr>
            <w:r>
              <w:rPr>
                <w:sz w:val="24"/>
              </w:rPr>
              <w:t>Le plan de communication sera élaboré au plus tard dans la 2</w:t>
            </w:r>
            <w:r w:rsidRPr="002D0FF1">
              <w:rPr>
                <w:sz w:val="24"/>
                <w:vertAlign w:val="superscript"/>
              </w:rPr>
              <w:t>ème</w:t>
            </w:r>
            <w:r>
              <w:rPr>
                <w:sz w:val="24"/>
              </w:rPr>
              <w:t xml:space="preserve"> quinzaine de mois de  mars  2015</w:t>
            </w:r>
          </w:p>
        </w:tc>
      </w:tr>
      <w:tr w:rsidR="00D17434" w:rsidTr="006938E0">
        <w:tc>
          <w:tcPr>
            <w:tcW w:w="2836" w:type="dxa"/>
          </w:tcPr>
          <w:p w:rsidR="00D17434" w:rsidRPr="00D17434" w:rsidRDefault="00D17434" w:rsidP="00D17434">
            <w:pPr>
              <w:autoSpaceDE w:val="0"/>
              <w:autoSpaceDN w:val="0"/>
              <w:adjustRightInd w:val="0"/>
              <w:rPr>
                <w:rFonts w:ascii="Arial" w:hAnsi="Arial" w:cs="Arial"/>
                <w:b/>
                <w:sz w:val="20"/>
                <w:szCs w:val="20"/>
              </w:rPr>
            </w:pPr>
            <w:r w:rsidRPr="00D17434">
              <w:rPr>
                <w:rFonts w:ascii="Arial" w:hAnsi="Arial" w:cs="Arial"/>
                <w:b/>
                <w:sz w:val="20"/>
                <w:szCs w:val="20"/>
              </w:rPr>
              <w:t>Information sur le site</w:t>
            </w:r>
          </w:p>
          <w:p w:rsidR="00D17434" w:rsidRPr="00D17434" w:rsidRDefault="00D17434" w:rsidP="00D17434">
            <w:pPr>
              <w:autoSpaceDE w:val="0"/>
              <w:autoSpaceDN w:val="0"/>
              <w:adjustRightInd w:val="0"/>
              <w:rPr>
                <w:rFonts w:ascii="Arial" w:hAnsi="Arial" w:cs="Arial"/>
                <w:b/>
                <w:sz w:val="20"/>
                <w:szCs w:val="20"/>
              </w:rPr>
            </w:pPr>
            <w:r w:rsidRPr="00D17434">
              <w:rPr>
                <w:rFonts w:ascii="Arial" w:hAnsi="Arial" w:cs="Arial"/>
                <w:b/>
                <w:sz w:val="20"/>
                <w:szCs w:val="20"/>
              </w:rPr>
              <w:t>d'injection</w:t>
            </w:r>
          </w:p>
          <w:p w:rsidR="00D17434" w:rsidRDefault="00D17434" w:rsidP="00D17434">
            <w:pPr>
              <w:autoSpaceDE w:val="0"/>
              <w:autoSpaceDN w:val="0"/>
              <w:adjustRightInd w:val="0"/>
              <w:rPr>
                <w:rFonts w:ascii="Arial" w:hAnsi="Arial" w:cs="Arial"/>
                <w:sz w:val="20"/>
                <w:szCs w:val="20"/>
              </w:rPr>
            </w:pPr>
            <w:r>
              <w:rPr>
                <w:rFonts w:ascii="Arial" w:hAnsi="Arial" w:cs="Arial"/>
                <w:sz w:val="20"/>
                <w:szCs w:val="20"/>
              </w:rPr>
              <w:t>Prêter une attention</w:t>
            </w:r>
          </w:p>
          <w:p w:rsidR="00D17434" w:rsidRDefault="00D17434" w:rsidP="00D17434">
            <w:pPr>
              <w:autoSpaceDE w:val="0"/>
              <w:autoSpaceDN w:val="0"/>
              <w:adjustRightInd w:val="0"/>
              <w:rPr>
                <w:rFonts w:ascii="Arial" w:hAnsi="Arial" w:cs="Arial"/>
                <w:sz w:val="20"/>
                <w:szCs w:val="20"/>
              </w:rPr>
            </w:pPr>
            <w:r>
              <w:rPr>
                <w:rFonts w:ascii="Arial" w:hAnsi="Arial" w:cs="Arial"/>
                <w:sz w:val="20"/>
                <w:szCs w:val="20"/>
              </w:rPr>
              <w:t>particulière au site</w:t>
            </w:r>
          </w:p>
          <w:p w:rsidR="00D17434" w:rsidRDefault="00D17434" w:rsidP="00D17434">
            <w:pPr>
              <w:autoSpaceDE w:val="0"/>
              <w:autoSpaceDN w:val="0"/>
              <w:adjustRightInd w:val="0"/>
              <w:rPr>
                <w:rFonts w:ascii="Arial" w:hAnsi="Arial" w:cs="Arial"/>
                <w:sz w:val="20"/>
                <w:szCs w:val="20"/>
              </w:rPr>
            </w:pPr>
            <w:r>
              <w:rPr>
                <w:rFonts w:ascii="Arial" w:hAnsi="Arial" w:cs="Arial"/>
                <w:sz w:val="20"/>
                <w:szCs w:val="20"/>
              </w:rPr>
              <w:t>d'injection conformément</w:t>
            </w:r>
          </w:p>
          <w:p w:rsidR="00D17434" w:rsidRPr="00D17434" w:rsidRDefault="00D17434" w:rsidP="00D17434">
            <w:pPr>
              <w:autoSpaceDE w:val="0"/>
              <w:autoSpaceDN w:val="0"/>
              <w:adjustRightInd w:val="0"/>
              <w:rPr>
                <w:rFonts w:ascii="Arial" w:hAnsi="Arial" w:cs="Arial"/>
                <w:sz w:val="20"/>
                <w:szCs w:val="20"/>
              </w:rPr>
            </w:pPr>
            <w:r>
              <w:rPr>
                <w:rFonts w:ascii="Arial" w:hAnsi="Arial" w:cs="Arial"/>
                <w:sz w:val="20"/>
                <w:szCs w:val="20"/>
              </w:rPr>
              <w:t>aux recommandations de l'OMS</w:t>
            </w:r>
          </w:p>
        </w:tc>
        <w:tc>
          <w:tcPr>
            <w:tcW w:w="6095" w:type="dxa"/>
          </w:tcPr>
          <w:p w:rsidR="00D17434" w:rsidRDefault="002F0BF4" w:rsidP="002F0BF4">
            <w:pPr>
              <w:rPr>
                <w:sz w:val="24"/>
              </w:rPr>
            </w:pPr>
            <w:r>
              <w:rPr>
                <w:sz w:val="24"/>
              </w:rPr>
              <w:t>Le VPI sera administré en intra musculaire sur la f</w:t>
            </w:r>
            <w:r w:rsidRPr="002F0BF4">
              <w:rPr>
                <w:sz w:val="24"/>
              </w:rPr>
              <w:t xml:space="preserve">ace antérieure </w:t>
            </w:r>
            <w:r>
              <w:rPr>
                <w:sz w:val="24"/>
              </w:rPr>
              <w:t xml:space="preserve">de la </w:t>
            </w:r>
            <w:r w:rsidRPr="002F0BF4">
              <w:rPr>
                <w:sz w:val="24"/>
              </w:rPr>
              <w:t>cuisse droite</w:t>
            </w:r>
          </w:p>
        </w:tc>
        <w:tc>
          <w:tcPr>
            <w:tcW w:w="1276" w:type="dxa"/>
          </w:tcPr>
          <w:p w:rsidR="00D17434" w:rsidRDefault="00AF21B9">
            <w:pPr>
              <w:rPr>
                <w:sz w:val="24"/>
              </w:rPr>
            </w:pPr>
            <w:r>
              <w:rPr>
                <w:sz w:val="24"/>
              </w:rPr>
              <w:t>Dès l’introduction en juin 2015</w:t>
            </w:r>
          </w:p>
        </w:tc>
      </w:tr>
      <w:tr w:rsidR="00D17434" w:rsidTr="006938E0">
        <w:tc>
          <w:tcPr>
            <w:tcW w:w="2836" w:type="dxa"/>
          </w:tcPr>
          <w:p w:rsidR="00D17434" w:rsidRPr="00D17434" w:rsidRDefault="00D17434" w:rsidP="00D17434">
            <w:pPr>
              <w:autoSpaceDE w:val="0"/>
              <w:autoSpaceDN w:val="0"/>
              <w:adjustRightInd w:val="0"/>
              <w:rPr>
                <w:rFonts w:ascii="Arial" w:hAnsi="Arial" w:cs="Arial"/>
                <w:b/>
                <w:sz w:val="20"/>
                <w:szCs w:val="20"/>
              </w:rPr>
            </w:pPr>
            <w:r w:rsidRPr="00D17434">
              <w:rPr>
                <w:rFonts w:ascii="Arial" w:hAnsi="Arial" w:cs="Arial"/>
                <w:b/>
                <w:sz w:val="20"/>
                <w:szCs w:val="20"/>
              </w:rPr>
              <w:t xml:space="preserve">Assistance </w:t>
            </w:r>
            <w:r w:rsidR="00326DA9" w:rsidRPr="00D17434">
              <w:rPr>
                <w:rFonts w:ascii="Arial" w:hAnsi="Arial" w:cs="Arial"/>
                <w:b/>
                <w:sz w:val="20"/>
                <w:szCs w:val="20"/>
              </w:rPr>
              <w:t>technique</w:t>
            </w:r>
            <w:r w:rsidRPr="00D17434">
              <w:rPr>
                <w:rFonts w:ascii="Arial" w:hAnsi="Arial" w:cs="Arial"/>
                <w:b/>
                <w:sz w:val="20"/>
                <w:szCs w:val="20"/>
              </w:rPr>
              <w:t xml:space="preserve"> des</w:t>
            </w:r>
          </w:p>
          <w:p w:rsidR="00D17434" w:rsidRPr="00D17434" w:rsidRDefault="00D17434" w:rsidP="00D17434">
            <w:pPr>
              <w:autoSpaceDE w:val="0"/>
              <w:autoSpaceDN w:val="0"/>
              <w:adjustRightInd w:val="0"/>
              <w:rPr>
                <w:rFonts w:ascii="Arial" w:hAnsi="Arial" w:cs="Arial"/>
                <w:b/>
                <w:sz w:val="20"/>
                <w:szCs w:val="20"/>
              </w:rPr>
            </w:pPr>
            <w:r w:rsidRPr="00D17434">
              <w:rPr>
                <w:rFonts w:ascii="Arial" w:hAnsi="Arial" w:cs="Arial"/>
                <w:b/>
                <w:sz w:val="20"/>
                <w:szCs w:val="20"/>
              </w:rPr>
              <w:t>partenaires</w:t>
            </w:r>
          </w:p>
          <w:p w:rsidR="00D17434" w:rsidRDefault="00D17434" w:rsidP="00D17434">
            <w:pPr>
              <w:autoSpaceDE w:val="0"/>
              <w:autoSpaceDN w:val="0"/>
              <w:adjustRightInd w:val="0"/>
              <w:rPr>
                <w:rFonts w:ascii="Arial" w:hAnsi="Arial" w:cs="Arial"/>
                <w:sz w:val="20"/>
                <w:szCs w:val="20"/>
              </w:rPr>
            </w:pPr>
            <w:r>
              <w:rPr>
                <w:rFonts w:ascii="Arial" w:hAnsi="Arial" w:cs="Arial"/>
                <w:sz w:val="20"/>
                <w:szCs w:val="20"/>
              </w:rPr>
              <w:t>Bien formuler</w:t>
            </w:r>
          </w:p>
          <w:p w:rsidR="00D17434" w:rsidRDefault="00D17434" w:rsidP="00D17434">
            <w:pPr>
              <w:autoSpaceDE w:val="0"/>
              <w:autoSpaceDN w:val="0"/>
              <w:adjustRightInd w:val="0"/>
              <w:rPr>
                <w:rFonts w:ascii="Arial" w:hAnsi="Arial" w:cs="Arial"/>
                <w:sz w:val="20"/>
                <w:szCs w:val="20"/>
              </w:rPr>
            </w:pPr>
            <w:r>
              <w:rPr>
                <w:rFonts w:ascii="Arial" w:hAnsi="Arial" w:cs="Arial"/>
                <w:sz w:val="20"/>
                <w:szCs w:val="20"/>
              </w:rPr>
              <w:t>l'assistance technique</w:t>
            </w:r>
          </w:p>
          <w:p w:rsidR="00D17434" w:rsidRDefault="00D17434" w:rsidP="00D17434">
            <w:pPr>
              <w:autoSpaceDE w:val="0"/>
              <w:autoSpaceDN w:val="0"/>
              <w:adjustRightInd w:val="0"/>
              <w:rPr>
                <w:rFonts w:ascii="Arial" w:hAnsi="Arial" w:cs="Arial"/>
                <w:sz w:val="20"/>
                <w:szCs w:val="20"/>
              </w:rPr>
            </w:pPr>
            <w:r>
              <w:rPr>
                <w:rFonts w:ascii="Arial" w:hAnsi="Arial" w:cs="Arial"/>
                <w:sz w:val="20"/>
                <w:szCs w:val="20"/>
              </w:rPr>
              <w:t>requise des partenaires</w:t>
            </w:r>
          </w:p>
          <w:p w:rsidR="00D17434" w:rsidRDefault="00D17434" w:rsidP="00D17434">
            <w:pPr>
              <w:rPr>
                <w:sz w:val="24"/>
              </w:rPr>
            </w:pPr>
            <w:r>
              <w:rPr>
                <w:rFonts w:ascii="Arial" w:hAnsi="Arial" w:cs="Arial"/>
                <w:sz w:val="20"/>
                <w:szCs w:val="20"/>
              </w:rPr>
              <w:t>dans la proposition</w:t>
            </w:r>
          </w:p>
        </w:tc>
        <w:tc>
          <w:tcPr>
            <w:tcW w:w="6095" w:type="dxa"/>
          </w:tcPr>
          <w:p w:rsidR="00D17434" w:rsidRDefault="00031DFB">
            <w:pPr>
              <w:rPr>
                <w:sz w:val="24"/>
              </w:rPr>
            </w:pPr>
            <w:r>
              <w:rPr>
                <w:sz w:val="24"/>
              </w:rPr>
              <w:t xml:space="preserve">L’assistance technique des partenaires interviendra à chaque niveau des préparatifs et de la mise en œuvre de la vaccination au VPI : Planification, formation des acteurs, vaccination des cibles et évaluation de la mise en </w:t>
            </w:r>
            <w:r w:rsidR="0018480C">
              <w:rPr>
                <w:sz w:val="24"/>
              </w:rPr>
              <w:t>œuvre</w:t>
            </w:r>
          </w:p>
        </w:tc>
        <w:tc>
          <w:tcPr>
            <w:tcW w:w="1276" w:type="dxa"/>
          </w:tcPr>
          <w:p w:rsidR="00D17434" w:rsidRDefault="00F320D5">
            <w:pPr>
              <w:rPr>
                <w:sz w:val="24"/>
              </w:rPr>
            </w:pPr>
            <w:r>
              <w:rPr>
                <w:sz w:val="24"/>
              </w:rPr>
              <w:t>A partir de janvier 2015</w:t>
            </w:r>
          </w:p>
        </w:tc>
      </w:tr>
      <w:tr w:rsidR="00D17434" w:rsidTr="006938E0">
        <w:tc>
          <w:tcPr>
            <w:tcW w:w="2836" w:type="dxa"/>
          </w:tcPr>
          <w:p w:rsidR="00D17434" w:rsidRPr="00D17434" w:rsidRDefault="00D17434" w:rsidP="00D17434">
            <w:pPr>
              <w:autoSpaceDE w:val="0"/>
              <w:autoSpaceDN w:val="0"/>
              <w:adjustRightInd w:val="0"/>
              <w:rPr>
                <w:rFonts w:ascii="Arial" w:hAnsi="Arial" w:cs="Arial"/>
                <w:b/>
                <w:color w:val="070707"/>
                <w:sz w:val="20"/>
                <w:szCs w:val="20"/>
              </w:rPr>
            </w:pPr>
            <w:r w:rsidRPr="00D17434">
              <w:rPr>
                <w:rFonts w:ascii="Arial" w:hAnsi="Arial" w:cs="Arial"/>
                <w:b/>
                <w:color w:val="000000"/>
                <w:sz w:val="20"/>
                <w:szCs w:val="20"/>
              </w:rPr>
              <w:t>Plan</w:t>
            </w:r>
            <w:r w:rsidRPr="00D17434">
              <w:rPr>
                <w:rFonts w:ascii="Arial" w:hAnsi="Arial" w:cs="Arial"/>
                <w:b/>
                <w:color w:val="343434"/>
                <w:sz w:val="20"/>
                <w:szCs w:val="20"/>
              </w:rPr>
              <w:t>i</w:t>
            </w:r>
            <w:r w:rsidRPr="00D17434">
              <w:rPr>
                <w:rFonts w:ascii="Arial" w:hAnsi="Arial" w:cs="Arial"/>
                <w:b/>
                <w:color w:val="070707"/>
                <w:sz w:val="20"/>
                <w:szCs w:val="20"/>
              </w:rPr>
              <w:t>f</w:t>
            </w:r>
            <w:r w:rsidRPr="00D17434">
              <w:rPr>
                <w:rFonts w:ascii="Arial" w:hAnsi="Arial" w:cs="Arial"/>
                <w:b/>
                <w:color w:val="1E1E1E"/>
                <w:sz w:val="20"/>
                <w:szCs w:val="20"/>
              </w:rPr>
              <w:t>i</w:t>
            </w:r>
            <w:r w:rsidRPr="00D17434">
              <w:rPr>
                <w:rFonts w:ascii="Arial" w:hAnsi="Arial" w:cs="Arial"/>
                <w:b/>
                <w:color w:val="070707"/>
                <w:sz w:val="20"/>
                <w:szCs w:val="20"/>
              </w:rPr>
              <w:t>cation de l'EPI du</w:t>
            </w:r>
          </w:p>
          <w:p w:rsidR="00D17434" w:rsidRPr="00D17434" w:rsidRDefault="00D17434" w:rsidP="00D17434">
            <w:pPr>
              <w:autoSpaceDE w:val="0"/>
              <w:autoSpaceDN w:val="0"/>
              <w:adjustRightInd w:val="0"/>
              <w:rPr>
                <w:rFonts w:ascii="Arial" w:hAnsi="Arial" w:cs="Arial"/>
                <w:b/>
                <w:color w:val="070707"/>
                <w:sz w:val="20"/>
                <w:szCs w:val="20"/>
              </w:rPr>
            </w:pPr>
            <w:r w:rsidRPr="00D17434">
              <w:rPr>
                <w:rFonts w:ascii="Arial" w:hAnsi="Arial" w:cs="Arial"/>
                <w:b/>
                <w:color w:val="070707"/>
                <w:sz w:val="20"/>
                <w:szCs w:val="20"/>
              </w:rPr>
              <w:t>VPI</w:t>
            </w:r>
          </w:p>
          <w:p w:rsidR="00D17434" w:rsidRDefault="00D17434" w:rsidP="00D17434">
            <w:pPr>
              <w:autoSpaceDE w:val="0"/>
              <w:autoSpaceDN w:val="0"/>
              <w:adjustRightInd w:val="0"/>
              <w:rPr>
                <w:rFonts w:ascii="Arial" w:hAnsi="Arial" w:cs="Arial"/>
                <w:color w:val="070707"/>
                <w:sz w:val="20"/>
                <w:szCs w:val="20"/>
              </w:rPr>
            </w:pPr>
            <w:r>
              <w:rPr>
                <w:rFonts w:ascii="Arial" w:hAnsi="Arial" w:cs="Arial"/>
                <w:color w:val="070707"/>
                <w:sz w:val="20"/>
                <w:szCs w:val="20"/>
              </w:rPr>
              <w:t>Faire une bonne</w:t>
            </w:r>
          </w:p>
          <w:p w:rsidR="00D17434" w:rsidRDefault="00D17434" w:rsidP="00D17434">
            <w:pPr>
              <w:autoSpaceDE w:val="0"/>
              <w:autoSpaceDN w:val="0"/>
              <w:adjustRightInd w:val="0"/>
              <w:rPr>
                <w:rFonts w:ascii="Arial" w:hAnsi="Arial" w:cs="Arial"/>
                <w:color w:val="070707"/>
                <w:sz w:val="20"/>
                <w:szCs w:val="20"/>
              </w:rPr>
            </w:pPr>
            <w:r>
              <w:rPr>
                <w:rFonts w:ascii="Arial" w:hAnsi="Arial" w:cs="Arial"/>
                <w:color w:val="070707"/>
                <w:sz w:val="20"/>
                <w:szCs w:val="20"/>
              </w:rPr>
              <w:t>planification de</w:t>
            </w:r>
          </w:p>
          <w:p w:rsidR="00D17434" w:rsidRDefault="00D17434" w:rsidP="00D17434">
            <w:pPr>
              <w:autoSpaceDE w:val="0"/>
              <w:autoSpaceDN w:val="0"/>
              <w:adjustRightInd w:val="0"/>
              <w:rPr>
                <w:rFonts w:ascii="Arial" w:hAnsi="Arial" w:cs="Arial"/>
                <w:color w:val="070707"/>
                <w:sz w:val="20"/>
                <w:szCs w:val="20"/>
              </w:rPr>
            </w:pPr>
            <w:r>
              <w:rPr>
                <w:rFonts w:ascii="Arial" w:hAnsi="Arial" w:cs="Arial"/>
                <w:color w:val="070707"/>
                <w:sz w:val="20"/>
                <w:szCs w:val="20"/>
              </w:rPr>
              <w:t>l'évaluation post</w:t>
            </w:r>
          </w:p>
          <w:p w:rsidR="00D17434" w:rsidRDefault="00D17434" w:rsidP="00D17434">
            <w:pPr>
              <w:rPr>
                <w:sz w:val="24"/>
              </w:rPr>
            </w:pPr>
            <w:r>
              <w:rPr>
                <w:rFonts w:ascii="Arial" w:hAnsi="Arial" w:cs="Arial"/>
                <w:color w:val="070707"/>
                <w:sz w:val="20"/>
                <w:szCs w:val="20"/>
              </w:rPr>
              <w:t>introduction du VPI</w:t>
            </w:r>
          </w:p>
        </w:tc>
        <w:tc>
          <w:tcPr>
            <w:tcW w:w="6095" w:type="dxa"/>
          </w:tcPr>
          <w:p w:rsidR="00D17434" w:rsidRDefault="0018480C" w:rsidP="0018480C">
            <w:pPr>
              <w:rPr>
                <w:sz w:val="24"/>
              </w:rPr>
            </w:pPr>
            <w:r>
              <w:rPr>
                <w:sz w:val="24"/>
              </w:rPr>
              <w:t>L’EPI est prévue pour le mois de juin 2016. Elle bénéficiera de l’appui des partenaires pour son organisation et prendra en compte tous les volets ayant contribué à l’introduction du VPI</w:t>
            </w:r>
          </w:p>
        </w:tc>
        <w:tc>
          <w:tcPr>
            <w:tcW w:w="1276" w:type="dxa"/>
          </w:tcPr>
          <w:p w:rsidR="00D17434" w:rsidRDefault="00AF21B9">
            <w:pPr>
              <w:rPr>
                <w:sz w:val="24"/>
              </w:rPr>
            </w:pPr>
            <w:r>
              <w:rPr>
                <w:sz w:val="24"/>
              </w:rPr>
              <w:t>Juin 2016</w:t>
            </w:r>
          </w:p>
        </w:tc>
      </w:tr>
      <w:tr w:rsidR="00D17434" w:rsidTr="006938E0">
        <w:tc>
          <w:tcPr>
            <w:tcW w:w="2836" w:type="dxa"/>
          </w:tcPr>
          <w:p w:rsidR="00D17434" w:rsidRPr="00D17434" w:rsidRDefault="00D17434" w:rsidP="00D17434">
            <w:pPr>
              <w:autoSpaceDE w:val="0"/>
              <w:autoSpaceDN w:val="0"/>
              <w:adjustRightInd w:val="0"/>
              <w:rPr>
                <w:rFonts w:ascii="Arial" w:hAnsi="Arial" w:cs="Arial"/>
                <w:b/>
                <w:color w:val="070707"/>
              </w:rPr>
            </w:pPr>
            <w:r w:rsidRPr="00D17434">
              <w:rPr>
                <w:rFonts w:ascii="Arial" w:hAnsi="Arial" w:cs="Arial"/>
                <w:b/>
                <w:color w:val="070707"/>
                <w:sz w:val="20"/>
                <w:szCs w:val="20"/>
              </w:rPr>
              <w:t xml:space="preserve">Formation </w:t>
            </w:r>
            <w:r w:rsidRPr="00D17434">
              <w:rPr>
                <w:rFonts w:ascii="Times New Roman" w:hAnsi="Times New Roman" w:cs="Times New Roman"/>
                <w:b/>
                <w:color w:val="070707"/>
                <w:sz w:val="24"/>
                <w:szCs w:val="24"/>
              </w:rPr>
              <w:t xml:space="preserve">à </w:t>
            </w:r>
            <w:r w:rsidRPr="00D17434">
              <w:rPr>
                <w:rFonts w:ascii="Arial" w:hAnsi="Arial" w:cs="Arial"/>
                <w:b/>
                <w:color w:val="070707"/>
              </w:rPr>
              <w:t>l'outil de</w:t>
            </w:r>
          </w:p>
          <w:p w:rsidR="00D17434" w:rsidRPr="00D17434" w:rsidRDefault="00D17434" w:rsidP="00D17434">
            <w:pPr>
              <w:autoSpaceDE w:val="0"/>
              <w:autoSpaceDN w:val="0"/>
              <w:adjustRightInd w:val="0"/>
              <w:rPr>
                <w:rFonts w:ascii="Arial" w:hAnsi="Arial" w:cs="Arial"/>
                <w:b/>
                <w:color w:val="070707"/>
              </w:rPr>
            </w:pPr>
            <w:r w:rsidRPr="00D17434">
              <w:rPr>
                <w:rFonts w:ascii="Arial" w:hAnsi="Arial" w:cs="Arial"/>
                <w:b/>
                <w:color w:val="070707"/>
              </w:rPr>
              <w:t>gestion du vaccin</w:t>
            </w:r>
          </w:p>
          <w:p w:rsidR="00D17434" w:rsidRDefault="00D17434" w:rsidP="00D17434">
            <w:pPr>
              <w:autoSpaceDE w:val="0"/>
              <w:autoSpaceDN w:val="0"/>
              <w:adjustRightInd w:val="0"/>
              <w:rPr>
                <w:rFonts w:ascii="Arial" w:hAnsi="Arial" w:cs="Arial"/>
                <w:color w:val="070707"/>
              </w:rPr>
            </w:pPr>
            <w:r>
              <w:rPr>
                <w:rFonts w:ascii="Arial" w:hAnsi="Arial" w:cs="Arial"/>
                <w:color w:val="070707"/>
              </w:rPr>
              <w:t>Etendre et renforcer le</w:t>
            </w:r>
          </w:p>
          <w:p w:rsidR="00D17434" w:rsidRDefault="00D17434" w:rsidP="00D17434">
            <w:pPr>
              <w:autoSpaceDE w:val="0"/>
              <w:autoSpaceDN w:val="0"/>
              <w:adjustRightInd w:val="0"/>
              <w:rPr>
                <w:rFonts w:ascii="Arial" w:hAnsi="Arial" w:cs="Arial"/>
                <w:color w:val="070707"/>
              </w:rPr>
            </w:pPr>
            <w:r>
              <w:rPr>
                <w:rFonts w:ascii="Arial" w:hAnsi="Arial" w:cs="Arial"/>
                <w:color w:val="070707"/>
              </w:rPr>
              <w:t>programme de fo</w:t>
            </w:r>
            <w:r>
              <w:rPr>
                <w:rFonts w:ascii="Arial" w:hAnsi="Arial" w:cs="Arial"/>
                <w:color w:val="1E1E1E"/>
              </w:rPr>
              <w:t>r</w:t>
            </w:r>
            <w:r>
              <w:rPr>
                <w:rFonts w:ascii="Arial" w:hAnsi="Arial" w:cs="Arial"/>
                <w:color w:val="070707"/>
              </w:rPr>
              <w:t>mation</w:t>
            </w:r>
          </w:p>
          <w:p w:rsidR="00D17434" w:rsidRDefault="00D17434" w:rsidP="00D17434">
            <w:pPr>
              <w:autoSpaceDE w:val="0"/>
              <w:autoSpaceDN w:val="0"/>
              <w:adjustRightInd w:val="0"/>
              <w:rPr>
                <w:rFonts w:ascii="Arial" w:hAnsi="Arial" w:cs="Arial"/>
                <w:color w:val="070707"/>
              </w:rPr>
            </w:pPr>
            <w:r>
              <w:rPr>
                <w:rFonts w:ascii="Times New Roman" w:hAnsi="Times New Roman" w:cs="Times New Roman"/>
                <w:color w:val="070707"/>
                <w:sz w:val="26"/>
                <w:szCs w:val="26"/>
              </w:rPr>
              <w:t xml:space="preserve">à </w:t>
            </w:r>
            <w:r>
              <w:rPr>
                <w:rFonts w:ascii="Arial" w:hAnsi="Arial" w:cs="Arial"/>
                <w:color w:val="070707"/>
              </w:rPr>
              <w:t>l'outil de gestion du</w:t>
            </w:r>
          </w:p>
          <w:p w:rsidR="00D17434" w:rsidRDefault="00D17434" w:rsidP="00D17434">
            <w:pPr>
              <w:rPr>
                <w:rFonts w:ascii="Arial" w:hAnsi="Arial" w:cs="Arial"/>
                <w:color w:val="070707"/>
              </w:rPr>
            </w:pPr>
            <w:r>
              <w:rPr>
                <w:rFonts w:ascii="Arial" w:hAnsi="Arial" w:cs="Arial"/>
                <w:color w:val="070707"/>
              </w:rPr>
              <w:t>vaccin (DVD-MT).</w:t>
            </w:r>
          </w:p>
          <w:p w:rsidR="009B3F1B" w:rsidRDefault="009B3F1B" w:rsidP="00D17434">
            <w:pPr>
              <w:rPr>
                <w:rFonts w:ascii="Arial" w:hAnsi="Arial" w:cs="Arial"/>
                <w:color w:val="070707"/>
              </w:rPr>
            </w:pPr>
          </w:p>
          <w:p w:rsidR="009B3F1B" w:rsidRDefault="009B3F1B" w:rsidP="00D17434">
            <w:pPr>
              <w:rPr>
                <w:rFonts w:ascii="Arial" w:hAnsi="Arial" w:cs="Arial"/>
                <w:color w:val="070707"/>
              </w:rPr>
            </w:pPr>
          </w:p>
          <w:p w:rsidR="009B3F1B" w:rsidRDefault="009B3F1B" w:rsidP="00D17434">
            <w:pPr>
              <w:rPr>
                <w:rFonts w:ascii="Arial" w:hAnsi="Arial" w:cs="Arial"/>
                <w:color w:val="070707"/>
              </w:rPr>
            </w:pPr>
          </w:p>
          <w:p w:rsidR="009B3F1B" w:rsidRDefault="009B3F1B" w:rsidP="00D17434">
            <w:pPr>
              <w:rPr>
                <w:rFonts w:ascii="Arial" w:hAnsi="Arial" w:cs="Arial"/>
                <w:color w:val="070707"/>
              </w:rPr>
            </w:pPr>
          </w:p>
          <w:p w:rsidR="009B3F1B" w:rsidRDefault="009B3F1B" w:rsidP="00D17434">
            <w:pPr>
              <w:rPr>
                <w:rFonts w:ascii="Arial" w:hAnsi="Arial" w:cs="Arial"/>
                <w:color w:val="070707"/>
              </w:rPr>
            </w:pPr>
          </w:p>
          <w:p w:rsidR="009B3F1B" w:rsidRDefault="009B3F1B" w:rsidP="00D17434">
            <w:pPr>
              <w:rPr>
                <w:rFonts w:ascii="Arial" w:hAnsi="Arial" w:cs="Arial"/>
                <w:color w:val="070707"/>
              </w:rPr>
            </w:pPr>
          </w:p>
          <w:p w:rsidR="009B3F1B" w:rsidRDefault="009B3F1B" w:rsidP="00D17434">
            <w:pPr>
              <w:rPr>
                <w:sz w:val="24"/>
              </w:rPr>
            </w:pPr>
          </w:p>
        </w:tc>
        <w:tc>
          <w:tcPr>
            <w:tcW w:w="6095" w:type="dxa"/>
          </w:tcPr>
          <w:p w:rsidR="00D17434" w:rsidRDefault="00AF21B9">
            <w:pPr>
              <w:rPr>
                <w:sz w:val="24"/>
              </w:rPr>
            </w:pPr>
            <w:r>
              <w:rPr>
                <w:sz w:val="24"/>
              </w:rPr>
              <w:lastRenderedPageBreak/>
              <w:t xml:space="preserve">Les </w:t>
            </w:r>
            <w:r w:rsidR="006E1634">
              <w:rPr>
                <w:sz w:val="24"/>
              </w:rPr>
              <w:t xml:space="preserve"> agents </w:t>
            </w:r>
            <w:r>
              <w:rPr>
                <w:sz w:val="24"/>
              </w:rPr>
              <w:t xml:space="preserve">  </w:t>
            </w:r>
            <w:proofErr w:type="spellStart"/>
            <w:r>
              <w:rPr>
                <w:sz w:val="24"/>
              </w:rPr>
              <w:t>des</w:t>
            </w:r>
            <w:proofErr w:type="spellEnd"/>
            <w:r w:rsidR="006E1634">
              <w:rPr>
                <w:sz w:val="24"/>
              </w:rPr>
              <w:t xml:space="preserve"> </w:t>
            </w:r>
            <w:r>
              <w:rPr>
                <w:sz w:val="24"/>
              </w:rPr>
              <w:t xml:space="preserve">six </w:t>
            </w:r>
            <w:r w:rsidR="006E1634">
              <w:rPr>
                <w:sz w:val="24"/>
              </w:rPr>
              <w:t>départements</w:t>
            </w:r>
            <w:r>
              <w:rPr>
                <w:sz w:val="24"/>
              </w:rPr>
              <w:t xml:space="preserve">  sont déjà formés  avec ceux des communes de </w:t>
            </w:r>
            <w:proofErr w:type="gramStart"/>
            <w:r>
              <w:rPr>
                <w:sz w:val="24"/>
              </w:rPr>
              <w:t>l’ Atlantique</w:t>
            </w:r>
            <w:proofErr w:type="gramEnd"/>
            <w:r>
              <w:rPr>
                <w:sz w:val="24"/>
              </w:rPr>
              <w:t xml:space="preserve"> Littoral</w:t>
            </w:r>
          </w:p>
          <w:p w:rsidR="00AF21B9" w:rsidRDefault="00AF21B9">
            <w:pPr>
              <w:rPr>
                <w:sz w:val="24"/>
              </w:rPr>
            </w:pPr>
            <w:r>
              <w:rPr>
                <w:sz w:val="24"/>
              </w:rPr>
              <w:t xml:space="preserve">Deux sessions de formation sont </w:t>
            </w:r>
            <w:r w:rsidR="006E1634">
              <w:rPr>
                <w:sz w:val="24"/>
              </w:rPr>
              <w:t>prévues</w:t>
            </w:r>
            <w:r>
              <w:rPr>
                <w:sz w:val="24"/>
              </w:rPr>
              <w:t xml:space="preserve">  pour les 65 responsables PEV  des communes </w:t>
            </w:r>
            <w:r w:rsidR="006E1634">
              <w:rPr>
                <w:sz w:val="24"/>
              </w:rPr>
              <w:t xml:space="preserve">restantes. </w:t>
            </w:r>
            <w:r>
              <w:rPr>
                <w:sz w:val="24"/>
              </w:rPr>
              <w:t xml:space="preserve">Ces sessions se </w:t>
            </w:r>
            <w:r w:rsidR="006E1634">
              <w:rPr>
                <w:sz w:val="24"/>
              </w:rPr>
              <w:t>dérouleront</w:t>
            </w:r>
            <w:r>
              <w:rPr>
                <w:sz w:val="24"/>
              </w:rPr>
              <w:t xml:space="preserve"> dans la première quinzaine du mois d’avril 2015</w:t>
            </w:r>
          </w:p>
        </w:tc>
        <w:tc>
          <w:tcPr>
            <w:tcW w:w="1276" w:type="dxa"/>
          </w:tcPr>
          <w:p w:rsidR="00D17434" w:rsidRDefault="00AF21B9">
            <w:pPr>
              <w:rPr>
                <w:sz w:val="24"/>
              </w:rPr>
            </w:pPr>
            <w:r>
              <w:rPr>
                <w:sz w:val="24"/>
              </w:rPr>
              <w:t>1ere quinzaine 2015</w:t>
            </w:r>
          </w:p>
        </w:tc>
      </w:tr>
      <w:tr w:rsidR="00D17434" w:rsidTr="006938E0">
        <w:tc>
          <w:tcPr>
            <w:tcW w:w="2836" w:type="dxa"/>
          </w:tcPr>
          <w:p w:rsidR="00D17434" w:rsidRPr="00D17434" w:rsidRDefault="00D17434" w:rsidP="00D17434">
            <w:pPr>
              <w:autoSpaceDE w:val="0"/>
              <w:autoSpaceDN w:val="0"/>
              <w:adjustRightInd w:val="0"/>
              <w:rPr>
                <w:rFonts w:ascii="Arial" w:hAnsi="Arial" w:cs="Arial"/>
                <w:b/>
                <w:color w:val="070707"/>
              </w:rPr>
            </w:pPr>
            <w:r w:rsidRPr="00D17434">
              <w:rPr>
                <w:rFonts w:ascii="Arial" w:hAnsi="Arial" w:cs="Arial"/>
                <w:b/>
                <w:color w:val="070707"/>
              </w:rPr>
              <w:lastRenderedPageBreak/>
              <w:t>Calendrier des</w:t>
            </w:r>
          </w:p>
          <w:p w:rsidR="00D17434" w:rsidRPr="00D17434" w:rsidRDefault="00D17434" w:rsidP="00D17434">
            <w:pPr>
              <w:autoSpaceDE w:val="0"/>
              <w:autoSpaceDN w:val="0"/>
              <w:adjustRightInd w:val="0"/>
              <w:rPr>
                <w:rFonts w:ascii="Arial" w:hAnsi="Arial" w:cs="Arial"/>
                <w:b/>
                <w:color w:val="070707"/>
              </w:rPr>
            </w:pPr>
            <w:r w:rsidRPr="00D17434">
              <w:rPr>
                <w:rFonts w:ascii="Arial" w:hAnsi="Arial" w:cs="Arial"/>
                <w:b/>
                <w:color w:val="070707"/>
              </w:rPr>
              <w:t>introductions</w:t>
            </w:r>
          </w:p>
          <w:p w:rsidR="00D17434" w:rsidRDefault="00D17434" w:rsidP="00D17434">
            <w:pPr>
              <w:autoSpaceDE w:val="0"/>
              <w:autoSpaceDN w:val="0"/>
              <w:adjustRightInd w:val="0"/>
              <w:rPr>
                <w:rFonts w:ascii="Arial" w:hAnsi="Arial" w:cs="Arial"/>
                <w:color w:val="070707"/>
              </w:rPr>
            </w:pPr>
            <w:r>
              <w:rPr>
                <w:rFonts w:ascii="Arial" w:hAnsi="Arial" w:cs="Arial"/>
                <w:color w:val="070707"/>
              </w:rPr>
              <w:t>Prévoir une bonne</w:t>
            </w:r>
          </w:p>
          <w:p w:rsidR="00D17434" w:rsidRDefault="00D17434" w:rsidP="00D17434">
            <w:pPr>
              <w:autoSpaceDE w:val="0"/>
              <w:autoSpaceDN w:val="0"/>
              <w:adjustRightInd w:val="0"/>
              <w:rPr>
                <w:rFonts w:ascii="Arial" w:hAnsi="Arial" w:cs="Arial"/>
                <w:color w:val="070707"/>
              </w:rPr>
            </w:pPr>
            <w:r>
              <w:rPr>
                <w:rFonts w:ascii="Arial" w:hAnsi="Arial" w:cs="Arial"/>
                <w:color w:val="070707"/>
              </w:rPr>
              <w:t>harmonisation des trois</w:t>
            </w:r>
          </w:p>
          <w:p w:rsidR="00D17434" w:rsidRDefault="00D17434" w:rsidP="00D17434">
            <w:pPr>
              <w:autoSpaceDE w:val="0"/>
              <w:autoSpaceDN w:val="0"/>
              <w:adjustRightInd w:val="0"/>
              <w:rPr>
                <w:rFonts w:ascii="Arial" w:hAnsi="Arial" w:cs="Arial"/>
                <w:color w:val="070707"/>
              </w:rPr>
            </w:pPr>
            <w:r>
              <w:rPr>
                <w:rFonts w:ascii="Arial" w:hAnsi="Arial" w:cs="Arial"/>
                <w:color w:val="070707"/>
              </w:rPr>
              <w:t xml:space="preserve">introductions </w:t>
            </w:r>
            <w:r>
              <w:rPr>
                <w:rFonts w:ascii="Times New Roman" w:hAnsi="Times New Roman" w:cs="Times New Roman"/>
                <w:color w:val="070707"/>
                <w:sz w:val="26"/>
                <w:szCs w:val="26"/>
              </w:rPr>
              <w:t xml:space="preserve">à </w:t>
            </w:r>
            <w:r>
              <w:rPr>
                <w:rFonts w:ascii="Arial" w:hAnsi="Arial" w:cs="Arial"/>
                <w:color w:val="070707"/>
              </w:rPr>
              <w:t>cause</w:t>
            </w:r>
          </w:p>
          <w:p w:rsidR="00D17434" w:rsidRDefault="00D17434" w:rsidP="00D17434">
            <w:pPr>
              <w:autoSpaceDE w:val="0"/>
              <w:autoSpaceDN w:val="0"/>
              <w:adjustRightInd w:val="0"/>
              <w:rPr>
                <w:rFonts w:ascii="Arial" w:hAnsi="Arial" w:cs="Arial"/>
                <w:color w:val="070707"/>
              </w:rPr>
            </w:pPr>
            <w:r>
              <w:rPr>
                <w:rFonts w:ascii="Arial" w:hAnsi="Arial" w:cs="Arial"/>
                <w:color w:val="070707"/>
              </w:rPr>
              <w:t>des ressources et des</w:t>
            </w:r>
          </w:p>
          <w:p w:rsidR="00D17434" w:rsidRDefault="00D17434" w:rsidP="00D17434">
            <w:pPr>
              <w:autoSpaceDE w:val="0"/>
              <w:autoSpaceDN w:val="0"/>
              <w:adjustRightInd w:val="0"/>
              <w:rPr>
                <w:rFonts w:ascii="Arial" w:hAnsi="Arial" w:cs="Arial"/>
                <w:color w:val="070707"/>
              </w:rPr>
            </w:pPr>
            <w:r>
              <w:rPr>
                <w:rFonts w:ascii="Arial" w:hAnsi="Arial" w:cs="Arial"/>
                <w:color w:val="070707"/>
              </w:rPr>
              <w:t>synergies entre les</w:t>
            </w:r>
          </w:p>
          <w:p w:rsidR="00D17434" w:rsidRDefault="00D17434" w:rsidP="00D17434">
            <w:pPr>
              <w:autoSpaceDE w:val="0"/>
              <w:autoSpaceDN w:val="0"/>
              <w:adjustRightInd w:val="0"/>
              <w:rPr>
                <w:rFonts w:ascii="Arial" w:hAnsi="Arial" w:cs="Arial"/>
                <w:color w:val="070707"/>
                <w:sz w:val="20"/>
                <w:szCs w:val="20"/>
              </w:rPr>
            </w:pPr>
            <w:r>
              <w:rPr>
                <w:rFonts w:ascii="Arial" w:hAnsi="Arial" w:cs="Arial"/>
                <w:color w:val="070707"/>
              </w:rPr>
              <w:t>programmes</w:t>
            </w:r>
          </w:p>
        </w:tc>
        <w:tc>
          <w:tcPr>
            <w:tcW w:w="6095" w:type="dxa"/>
          </w:tcPr>
          <w:p w:rsidR="00326DA9" w:rsidRDefault="00326DA9">
            <w:pPr>
              <w:rPr>
                <w:sz w:val="24"/>
              </w:rPr>
            </w:pPr>
            <w:r>
              <w:rPr>
                <w:sz w:val="24"/>
              </w:rPr>
              <w:t>Le Benin envisage introduire :</w:t>
            </w:r>
          </w:p>
          <w:p w:rsidR="00326DA9" w:rsidRDefault="00326DA9" w:rsidP="00326DA9">
            <w:pPr>
              <w:pStyle w:val="Paragraphedeliste"/>
              <w:numPr>
                <w:ilvl w:val="0"/>
                <w:numId w:val="2"/>
              </w:numPr>
              <w:rPr>
                <w:sz w:val="24"/>
              </w:rPr>
            </w:pPr>
            <w:r w:rsidRPr="00326DA9">
              <w:rPr>
                <w:sz w:val="24"/>
              </w:rPr>
              <w:t xml:space="preserve">le vaccin Rota virus  en 2018, </w:t>
            </w:r>
          </w:p>
          <w:p w:rsidR="00326DA9" w:rsidRDefault="00326DA9" w:rsidP="00326DA9">
            <w:pPr>
              <w:pStyle w:val="Paragraphedeliste"/>
              <w:numPr>
                <w:ilvl w:val="0"/>
                <w:numId w:val="2"/>
              </w:numPr>
              <w:rPr>
                <w:sz w:val="24"/>
              </w:rPr>
            </w:pPr>
            <w:r w:rsidRPr="00326DA9">
              <w:rPr>
                <w:sz w:val="24"/>
              </w:rPr>
              <w:t xml:space="preserve">le Vaccin  VPI </w:t>
            </w:r>
            <w:r>
              <w:rPr>
                <w:sz w:val="24"/>
              </w:rPr>
              <w:t xml:space="preserve"> en juin 2015 dans la vaccination de Routine  chez les cibles de 0- 11mois</w:t>
            </w:r>
          </w:p>
          <w:p w:rsidR="00326DA9" w:rsidRDefault="00326DA9" w:rsidP="00326DA9">
            <w:pPr>
              <w:pStyle w:val="Paragraphedeliste"/>
              <w:numPr>
                <w:ilvl w:val="0"/>
                <w:numId w:val="2"/>
              </w:numPr>
              <w:rPr>
                <w:sz w:val="24"/>
              </w:rPr>
            </w:pPr>
            <w:r>
              <w:rPr>
                <w:sz w:val="24"/>
              </w:rPr>
              <w:t xml:space="preserve">le vaccin HPV  en octobre 2015   chez les fillettes de 9  ans </w:t>
            </w:r>
            <w:r w:rsidR="009B3F1B">
              <w:rPr>
                <w:sz w:val="24"/>
              </w:rPr>
              <w:t xml:space="preserve"> en  deux campagnes de masse de trois jours chacune et espacés de 6mois </w:t>
            </w:r>
          </w:p>
          <w:p w:rsidR="00D17434" w:rsidRPr="00326DA9" w:rsidRDefault="003B2EC8" w:rsidP="00326DA9">
            <w:pPr>
              <w:ind w:left="360"/>
              <w:rPr>
                <w:sz w:val="24"/>
              </w:rPr>
            </w:pPr>
            <w:r>
              <w:rPr>
                <w:sz w:val="24"/>
              </w:rPr>
              <w:t>Il n’</w:t>
            </w:r>
            <w:r w:rsidR="009B3F1B">
              <w:rPr>
                <w:sz w:val="24"/>
              </w:rPr>
              <w:t xml:space="preserve">y </w:t>
            </w:r>
            <w:r>
              <w:rPr>
                <w:sz w:val="24"/>
              </w:rPr>
              <w:t xml:space="preserve">aura donc pas de chevauchement </w:t>
            </w:r>
            <w:r w:rsidR="00326DA9">
              <w:rPr>
                <w:sz w:val="24"/>
              </w:rPr>
              <w:t xml:space="preserve"> pour le bon déroulement des trois introduction</w:t>
            </w:r>
            <w:proofErr w:type="gramStart"/>
            <w:r>
              <w:rPr>
                <w:sz w:val="24"/>
              </w:rPr>
              <w:t>..</w:t>
            </w:r>
            <w:proofErr w:type="gramEnd"/>
            <w:r w:rsidR="00326DA9">
              <w:rPr>
                <w:sz w:val="24"/>
              </w:rPr>
              <w:t xml:space="preserve"> </w:t>
            </w:r>
            <w:r w:rsidR="00326DA9" w:rsidRPr="00326DA9">
              <w:rPr>
                <w:sz w:val="24"/>
              </w:rPr>
              <w:t xml:space="preserve"> </w:t>
            </w:r>
          </w:p>
        </w:tc>
        <w:tc>
          <w:tcPr>
            <w:tcW w:w="1276" w:type="dxa"/>
          </w:tcPr>
          <w:p w:rsidR="00D17434" w:rsidRDefault="006E1634">
            <w:pPr>
              <w:rPr>
                <w:sz w:val="24"/>
              </w:rPr>
            </w:pPr>
            <w:r>
              <w:rPr>
                <w:sz w:val="24"/>
              </w:rPr>
              <w:t xml:space="preserve">     Une attention particulière sera observée lors de la mise en </w:t>
            </w:r>
            <w:r w:rsidR="00233C04">
              <w:rPr>
                <w:sz w:val="24"/>
              </w:rPr>
              <w:t>œuvre</w:t>
            </w:r>
            <w:bookmarkStart w:id="0" w:name="_GoBack"/>
            <w:bookmarkEnd w:id="0"/>
            <w:r>
              <w:rPr>
                <w:sz w:val="24"/>
              </w:rPr>
              <w:t xml:space="preserve">   </w:t>
            </w:r>
            <w:r w:rsidR="00233C04">
              <w:rPr>
                <w:sz w:val="24"/>
              </w:rPr>
              <w:t>des différentes introductions</w:t>
            </w:r>
            <w:r>
              <w:rPr>
                <w:sz w:val="24"/>
              </w:rPr>
              <w:t xml:space="preserve"> </w:t>
            </w:r>
          </w:p>
        </w:tc>
      </w:tr>
    </w:tbl>
    <w:p w:rsidR="00D17434" w:rsidRPr="00D570B5" w:rsidRDefault="00D17434">
      <w:pPr>
        <w:rPr>
          <w:sz w:val="24"/>
        </w:rPr>
      </w:pPr>
    </w:p>
    <w:sectPr w:rsidR="00D17434" w:rsidRPr="00D570B5">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6BE" w:rsidRDefault="00DF56BE" w:rsidP="00DA6002">
      <w:pPr>
        <w:spacing w:after="0" w:line="240" w:lineRule="auto"/>
      </w:pPr>
      <w:r>
        <w:separator/>
      </w:r>
    </w:p>
  </w:endnote>
  <w:endnote w:type="continuationSeparator" w:id="0">
    <w:p w:rsidR="00DF56BE" w:rsidRDefault="00DF56BE" w:rsidP="00DA60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02" w:rsidRDefault="00DA600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02" w:rsidRDefault="00DA600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02" w:rsidRDefault="00DA600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6BE" w:rsidRDefault="00DF56BE" w:rsidP="00DA6002">
      <w:pPr>
        <w:spacing w:after="0" w:line="240" w:lineRule="auto"/>
      </w:pPr>
      <w:r>
        <w:separator/>
      </w:r>
    </w:p>
  </w:footnote>
  <w:footnote w:type="continuationSeparator" w:id="0">
    <w:p w:rsidR="00DF56BE" w:rsidRDefault="00DF56BE" w:rsidP="00DA60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02" w:rsidRDefault="00DA600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02" w:rsidRDefault="00DA600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6002" w:rsidRDefault="00DA600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A4683"/>
    <w:multiLevelType w:val="hybridMultilevel"/>
    <w:tmpl w:val="B472120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5D264AF8"/>
    <w:multiLevelType w:val="hybridMultilevel"/>
    <w:tmpl w:val="F822F1CA"/>
    <w:lvl w:ilvl="0" w:tplc="849821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E4B"/>
    <w:rsid w:val="00001D55"/>
    <w:rsid w:val="00002CB1"/>
    <w:rsid w:val="0001395D"/>
    <w:rsid w:val="00015C14"/>
    <w:rsid w:val="00031DFB"/>
    <w:rsid w:val="00037D44"/>
    <w:rsid w:val="0004791B"/>
    <w:rsid w:val="00087631"/>
    <w:rsid w:val="000C1EE8"/>
    <w:rsid w:val="000C4905"/>
    <w:rsid w:val="00111667"/>
    <w:rsid w:val="001207B3"/>
    <w:rsid w:val="0013246C"/>
    <w:rsid w:val="00156A90"/>
    <w:rsid w:val="001654FB"/>
    <w:rsid w:val="00174865"/>
    <w:rsid w:val="00175B75"/>
    <w:rsid w:val="00180977"/>
    <w:rsid w:val="00182E38"/>
    <w:rsid w:val="00184628"/>
    <w:rsid w:val="0018480C"/>
    <w:rsid w:val="001A2C53"/>
    <w:rsid w:val="001C6517"/>
    <w:rsid w:val="001E19A8"/>
    <w:rsid w:val="001E738F"/>
    <w:rsid w:val="001F3AE7"/>
    <w:rsid w:val="0020159A"/>
    <w:rsid w:val="0020166F"/>
    <w:rsid w:val="00212697"/>
    <w:rsid w:val="002175D5"/>
    <w:rsid w:val="00217BDA"/>
    <w:rsid w:val="002305C6"/>
    <w:rsid w:val="00232B1C"/>
    <w:rsid w:val="00233C04"/>
    <w:rsid w:val="00273DAD"/>
    <w:rsid w:val="002B2C12"/>
    <w:rsid w:val="002B6079"/>
    <w:rsid w:val="002D0FF1"/>
    <w:rsid w:val="002F0BF4"/>
    <w:rsid w:val="00326DA9"/>
    <w:rsid w:val="0033008B"/>
    <w:rsid w:val="00350816"/>
    <w:rsid w:val="00356EFC"/>
    <w:rsid w:val="00362FF1"/>
    <w:rsid w:val="00384F11"/>
    <w:rsid w:val="00393760"/>
    <w:rsid w:val="003B163E"/>
    <w:rsid w:val="003B2EC8"/>
    <w:rsid w:val="003B4B4C"/>
    <w:rsid w:val="003B527E"/>
    <w:rsid w:val="003D1B05"/>
    <w:rsid w:val="004203F8"/>
    <w:rsid w:val="004377B1"/>
    <w:rsid w:val="00477938"/>
    <w:rsid w:val="00482975"/>
    <w:rsid w:val="00484B52"/>
    <w:rsid w:val="00497B5B"/>
    <w:rsid w:val="004E2D43"/>
    <w:rsid w:val="004F61E7"/>
    <w:rsid w:val="00505B89"/>
    <w:rsid w:val="00510217"/>
    <w:rsid w:val="005102A4"/>
    <w:rsid w:val="00522B11"/>
    <w:rsid w:val="005B6D0E"/>
    <w:rsid w:val="005C0571"/>
    <w:rsid w:val="005D791C"/>
    <w:rsid w:val="006426DA"/>
    <w:rsid w:val="00662328"/>
    <w:rsid w:val="00662C45"/>
    <w:rsid w:val="00676083"/>
    <w:rsid w:val="006938E0"/>
    <w:rsid w:val="006970DA"/>
    <w:rsid w:val="006D24C0"/>
    <w:rsid w:val="006D43CE"/>
    <w:rsid w:val="006E1634"/>
    <w:rsid w:val="00717EED"/>
    <w:rsid w:val="0072756F"/>
    <w:rsid w:val="00773A1E"/>
    <w:rsid w:val="007827B6"/>
    <w:rsid w:val="007A2A76"/>
    <w:rsid w:val="007A2C2C"/>
    <w:rsid w:val="007B4851"/>
    <w:rsid w:val="007C4A33"/>
    <w:rsid w:val="0081684C"/>
    <w:rsid w:val="00827A1E"/>
    <w:rsid w:val="00837A49"/>
    <w:rsid w:val="0085305A"/>
    <w:rsid w:val="008642DF"/>
    <w:rsid w:val="008822B0"/>
    <w:rsid w:val="008829C6"/>
    <w:rsid w:val="008839A8"/>
    <w:rsid w:val="008A7862"/>
    <w:rsid w:val="008D1669"/>
    <w:rsid w:val="008D2228"/>
    <w:rsid w:val="008E6D01"/>
    <w:rsid w:val="008F5C1C"/>
    <w:rsid w:val="00913F2C"/>
    <w:rsid w:val="009158B2"/>
    <w:rsid w:val="00921AFA"/>
    <w:rsid w:val="00965C9B"/>
    <w:rsid w:val="00967BF9"/>
    <w:rsid w:val="00981E2A"/>
    <w:rsid w:val="00995133"/>
    <w:rsid w:val="009A3E60"/>
    <w:rsid w:val="009B3F1B"/>
    <w:rsid w:val="009C3AB0"/>
    <w:rsid w:val="009D3AB6"/>
    <w:rsid w:val="009E423B"/>
    <w:rsid w:val="009F282F"/>
    <w:rsid w:val="00A17975"/>
    <w:rsid w:val="00A70CB5"/>
    <w:rsid w:val="00A754D2"/>
    <w:rsid w:val="00AA0B00"/>
    <w:rsid w:val="00AA17C3"/>
    <w:rsid w:val="00AC074F"/>
    <w:rsid w:val="00AE3603"/>
    <w:rsid w:val="00AF21B9"/>
    <w:rsid w:val="00B05ECE"/>
    <w:rsid w:val="00B10548"/>
    <w:rsid w:val="00B51598"/>
    <w:rsid w:val="00B55A22"/>
    <w:rsid w:val="00B568EB"/>
    <w:rsid w:val="00B814C0"/>
    <w:rsid w:val="00B92B88"/>
    <w:rsid w:val="00BA71F4"/>
    <w:rsid w:val="00BB2F74"/>
    <w:rsid w:val="00BE57C8"/>
    <w:rsid w:val="00C145A4"/>
    <w:rsid w:val="00C21B93"/>
    <w:rsid w:val="00C25C25"/>
    <w:rsid w:val="00C26227"/>
    <w:rsid w:val="00C337D4"/>
    <w:rsid w:val="00C548DB"/>
    <w:rsid w:val="00C572B5"/>
    <w:rsid w:val="00C63564"/>
    <w:rsid w:val="00C946E6"/>
    <w:rsid w:val="00CA2474"/>
    <w:rsid w:val="00CC5AF9"/>
    <w:rsid w:val="00CD6636"/>
    <w:rsid w:val="00CD7437"/>
    <w:rsid w:val="00CF067D"/>
    <w:rsid w:val="00CF4D6D"/>
    <w:rsid w:val="00D168C2"/>
    <w:rsid w:val="00D17434"/>
    <w:rsid w:val="00D570B5"/>
    <w:rsid w:val="00D816C7"/>
    <w:rsid w:val="00D86DDC"/>
    <w:rsid w:val="00DA6002"/>
    <w:rsid w:val="00DB3E77"/>
    <w:rsid w:val="00DD3C26"/>
    <w:rsid w:val="00DF0AE3"/>
    <w:rsid w:val="00DF0E4B"/>
    <w:rsid w:val="00DF56BE"/>
    <w:rsid w:val="00DF74EB"/>
    <w:rsid w:val="00E035CC"/>
    <w:rsid w:val="00E10BC3"/>
    <w:rsid w:val="00E32CAD"/>
    <w:rsid w:val="00E32F0A"/>
    <w:rsid w:val="00ED50A3"/>
    <w:rsid w:val="00EE36CC"/>
    <w:rsid w:val="00EE4047"/>
    <w:rsid w:val="00EE7ECA"/>
    <w:rsid w:val="00EF462B"/>
    <w:rsid w:val="00F320D5"/>
    <w:rsid w:val="00F342FC"/>
    <w:rsid w:val="00F51AF5"/>
    <w:rsid w:val="00F52E80"/>
    <w:rsid w:val="00F83482"/>
    <w:rsid w:val="00F94AFB"/>
    <w:rsid w:val="00FA05F3"/>
    <w:rsid w:val="00FC06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1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0217"/>
    <w:pPr>
      <w:ind w:left="720"/>
      <w:contextualSpacing/>
    </w:pPr>
  </w:style>
  <w:style w:type="paragraph" w:styleId="En-tte">
    <w:name w:val="header"/>
    <w:basedOn w:val="Normal"/>
    <w:link w:val="En-tteCar"/>
    <w:uiPriority w:val="99"/>
    <w:unhideWhenUsed/>
    <w:rsid w:val="00DA6002"/>
    <w:pPr>
      <w:tabs>
        <w:tab w:val="center" w:pos="4536"/>
        <w:tab w:val="right" w:pos="9072"/>
      </w:tabs>
      <w:spacing w:after="0" w:line="240" w:lineRule="auto"/>
    </w:pPr>
  </w:style>
  <w:style w:type="character" w:customStyle="1" w:styleId="En-tteCar">
    <w:name w:val="En-tête Car"/>
    <w:basedOn w:val="Policepardfaut"/>
    <w:link w:val="En-tte"/>
    <w:uiPriority w:val="99"/>
    <w:rsid w:val="00DA6002"/>
  </w:style>
  <w:style w:type="paragraph" w:styleId="Pieddepage">
    <w:name w:val="footer"/>
    <w:basedOn w:val="Normal"/>
    <w:link w:val="PieddepageCar"/>
    <w:uiPriority w:val="99"/>
    <w:unhideWhenUsed/>
    <w:rsid w:val="00DA60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600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17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10217"/>
    <w:pPr>
      <w:ind w:left="720"/>
      <w:contextualSpacing/>
    </w:pPr>
  </w:style>
  <w:style w:type="paragraph" w:styleId="En-tte">
    <w:name w:val="header"/>
    <w:basedOn w:val="Normal"/>
    <w:link w:val="En-tteCar"/>
    <w:uiPriority w:val="99"/>
    <w:unhideWhenUsed/>
    <w:rsid w:val="00DA6002"/>
    <w:pPr>
      <w:tabs>
        <w:tab w:val="center" w:pos="4536"/>
        <w:tab w:val="right" w:pos="9072"/>
      </w:tabs>
      <w:spacing w:after="0" w:line="240" w:lineRule="auto"/>
    </w:pPr>
  </w:style>
  <w:style w:type="character" w:customStyle="1" w:styleId="En-tteCar">
    <w:name w:val="En-tête Car"/>
    <w:basedOn w:val="Policepardfaut"/>
    <w:link w:val="En-tte"/>
    <w:uiPriority w:val="99"/>
    <w:rsid w:val="00DA6002"/>
  </w:style>
  <w:style w:type="paragraph" w:styleId="Pieddepage">
    <w:name w:val="footer"/>
    <w:basedOn w:val="Normal"/>
    <w:link w:val="PieddepageCar"/>
    <w:uiPriority w:val="99"/>
    <w:unhideWhenUsed/>
    <w:rsid w:val="00DA60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60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497</Words>
  <Characters>2737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25</cp:revision>
  <dcterms:created xsi:type="dcterms:W3CDTF">2014-08-06T16:46:00Z</dcterms:created>
  <dcterms:modified xsi:type="dcterms:W3CDTF">2014-08-06T21:19:00Z</dcterms:modified>
</cp:coreProperties>
</file>