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165" w:rsidRPr="00C369C9" w:rsidRDefault="00515293" w:rsidP="002B1B3F">
      <w:pPr>
        <w:pStyle w:val="Style3"/>
        <w:numPr>
          <w:ilvl w:val="0"/>
          <w:numId w:val="0"/>
        </w:numPr>
        <w:divId w:val="410156154"/>
        <w:rPr>
          <w:rFonts w:asciiTheme="minorHAnsi" w:hAnsiTheme="minorHAnsi"/>
          <w:snapToGrid w:val="0"/>
          <w:color w:val="365F91"/>
          <w:sz w:val="28"/>
          <w:szCs w:val="28"/>
          <w:lang w:val="fr-FR"/>
        </w:rPr>
      </w:pPr>
      <w:bookmarkStart w:id="0" w:name="_Toc370126821"/>
      <w:bookmarkStart w:id="1" w:name="_Toc325114432"/>
      <w:r w:rsidRPr="00C369C9">
        <w:rPr>
          <w:rFonts w:asciiTheme="minorHAnsi" w:hAnsiTheme="minorHAnsi"/>
          <w:snapToGrid w:val="0"/>
          <w:color w:val="365F91"/>
          <w:sz w:val="28"/>
          <w:szCs w:val="28"/>
          <w:lang w:val="fr-FR"/>
        </w:rPr>
        <w:t xml:space="preserve">Annexe A. </w:t>
      </w:r>
      <w:bookmarkEnd w:id="0"/>
      <w:r w:rsidRPr="00C369C9">
        <w:rPr>
          <w:rFonts w:asciiTheme="minorHAnsi" w:hAnsiTheme="minorHAnsi"/>
          <w:snapToGrid w:val="0"/>
          <w:color w:val="365F91"/>
          <w:sz w:val="28"/>
          <w:szCs w:val="28"/>
          <w:lang w:val="fr-FR"/>
        </w:rPr>
        <w:t xml:space="preserve">Plan d’introduction du VPI    </w:t>
      </w:r>
    </w:p>
    <w:p w:rsidR="00E10165" w:rsidRPr="00C369C9" w:rsidRDefault="00E10165" w:rsidP="00E10165">
      <w:pPr>
        <w:divId w:val="410156154"/>
        <w:rPr>
          <w:rFonts w:asciiTheme="minorHAnsi" w:hAnsiTheme="minorHAnsi" w:cs="Calibri"/>
          <w:sz w:val="22"/>
          <w:szCs w:val="22"/>
          <w:lang w:val="fr-FR"/>
        </w:rPr>
      </w:pPr>
    </w:p>
    <w:p w:rsidR="00835105" w:rsidRPr="00C369C9" w:rsidRDefault="00835105" w:rsidP="00835105">
      <w:pPr>
        <w:jc w:val="both"/>
        <w:divId w:val="410156154"/>
        <w:rPr>
          <w:rFonts w:asciiTheme="minorHAnsi" w:hAnsiTheme="minorHAnsi" w:cs="Calibri"/>
          <w:sz w:val="22"/>
          <w:szCs w:val="22"/>
          <w:lang w:val="fr-FR"/>
        </w:rPr>
      </w:pPr>
    </w:p>
    <w:p w:rsidR="00C36D41" w:rsidRPr="00397B4B" w:rsidRDefault="00C36D41" w:rsidP="00C36D41">
      <w:pPr>
        <w:pStyle w:val="NormalWeb"/>
        <w:shd w:val="clear" w:color="auto" w:fill="FFFFFF"/>
        <w:spacing w:before="0" w:beforeAutospacing="0" w:after="0" w:afterAutospacing="0"/>
        <w:divId w:val="410156154"/>
        <w:rPr>
          <w:rFonts w:ascii="Calibri" w:hAnsi="Calibri" w:cs="MS Shell Dlg 2"/>
          <w:color w:val="000000"/>
          <w:sz w:val="22"/>
          <w:szCs w:val="22"/>
          <w:lang w:val="fr-FR"/>
        </w:rPr>
      </w:pPr>
      <w:r w:rsidRPr="00C150A9">
        <w:rPr>
          <w:rFonts w:ascii="Calibri" w:hAnsi="Calibri"/>
          <w:color w:val="000000"/>
          <w:sz w:val="22"/>
          <w:lang w:val="fr-FR"/>
        </w:rPr>
        <w:t xml:space="preserve">Le pays devra élaborer un plan d’introduction du VPI puis le soumettre avec sa demande. </w:t>
      </w:r>
      <w:r>
        <w:rPr>
          <w:rFonts w:ascii="Calibri" w:hAnsi="Calibri"/>
          <w:color w:val="000000"/>
          <w:sz w:val="22"/>
          <w:lang w:val="fr-FR"/>
        </w:rPr>
        <w:t xml:space="preserve">L’OMS a développé une note d’orientation pour aider les pays à développer leurs plans d’introduction vaccinale. Pour un modèle, veuillez cliquer sur </w:t>
      </w:r>
      <w:hyperlink r:id="rId11" w:history="1">
        <w:r w:rsidRPr="00397B4B">
          <w:rPr>
            <w:rStyle w:val="Lienhypertexte"/>
            <w:rFonts w:ascii="Calibri" w:hAnsi="Calibri" w:cs="MS Shell Dlg 2"/>
            <w:sz w:val="22"/>
            <w:szCs w:val="22"/>
            <w:lang w:val="fr-FR"/>
          </w:rPr>
          <w:t>http://www.who.int/immunization/programmes_systems/policies_strategies/vaccine_intro_resources/nvi_guidelines/en/</w:t>
        </w:r>
      </w:hyperlink>
    </w:p>
    <w:p w:rsidR="00C36D41" w:rsidRDefault="00C36D41" w:rsidP="00C36D41">
      <w:pPr>
        <w:jc w:val="both"/>
        <w:divId w:val="410156154"/>
        <w:rPr>
          <w:rFonts w:ascii="Calibri" w:hAnsi="Calibri"/>
          <w:color w:val="000000"/>
          <w:sz w:val="22"/>
          <w:lang w:val="fr-FR"/>
        </w:rPr>
      </w:pPr>
    </w:p>
    <w:p w:rsidR="00C36D41" w:rsidRDefault="00C36D41" w:rsidP="00C36D41">
      <w:pPr>
        <w:jc w:val="both"/>
        <w:divId w:val="410156154"/>
        <w:rPr>
          <w:rFonts w:ascii="Calibri" w:hAnsi="Calibri"/>
          <w:color w:val="000000"/>
          <w:sz w:val="22"/>
          <w:lang w:val="fr-FR"/>
        </w:rPr>
      </w:pPr>
      <w:r>
        <w:rPr>
          <w:rFonts w:ascii="Calibri" w:hAnsi="Calibri"/>
          <w:color w:val="000000"/>
          <w:sz w:val="22"/>
          <w:lang w:val="fr-FR"/>
        </w:rPr>
        <w:t xml:space="preserve">Ce modèle générique guide les pays dans le développement d’un plan pour l’introduction d’un nouveau vaccin. Ce modèle vise à suggérer des domaines clés à considérer. Il est possible que certains éléments importants pour un pays spécifique ne soient pas inclus, et de la même manière, certains éléments inclus peuvent ne pas s’avérer utiles. Les pays devront rendre compte à GAVI de leur progrès dans la planification d’introductions vaccinales selon les activités listées dans leur plan d’introduction d’un nouveau vaccin. </w:t>
      </w:r>
    </w:p>
    <w:p w:rsidR="00C36D41" w:rsidRDefault="00C36D41" w:rsidP="00C36D41">
      <w:pPr>
        <w:jc w:val="both"/>
        <w:divId w:val="410156154"/>
        <w:rPr>
          <w:rFonts w:ascii="Calibri" w:hAnsi="Calibri"/>
          <w:color w:val="000000"/>
          <w:sz w:val="22"/>
          <w:lang w:val="fr-FR"/>
        </w:rPr>
      </w:pPr>
    </w:p>
    <w:p w:rsidR="00C36D41" w:rsidRPr="00C150A9" w:rsidRDefault="00C36D41" w:rsidP="00C36D41">
      <w:pPr>
        <w:jc w:val="both"/>
        <w:divId w:val="410156154"/>
        <w:rPr>
          <w:rFonts w:ascii="Calibri" w:hAnsi="Calibri"/>
          <w:color w:val="000000"/>
          <w:sz w:val="22"/>
          <w:lang w:val="fr-FR"/>
        </w:rPr>
      </w:pPr>
      <w:r w:rsidRPr="00C150A9">
        <w:rPr>
          <w:rFonts w:ascii="Calibri" w:hAnsi="Calibri"/>
          <w:color w:val="000000"/>
          <w:sz w:val="22"/>
          <w:lang w:val="fr-FR"/>
        </w:rPr>
        <w:t>Ce plan d’introduction est le principal document qui sera utilisé par le CEI pour évaluer la capacité d’un pays à introduire le VPI. Il est fortement conseillé aux pays de s’assurer que leur plan d’introduction est complet et qu’il comporte l’ensemble des informations requises</w:t>
      </w:r>
      <w:r>
        <w:rPr>
          <w:rFonts w:ascii="Calibri" w:hAnsi="Calibri"/>
          <w:color w:val="000000"/>
          <w:sz w:val="22"/>
          <w:lang w:val="fr-FR"/>
        </w:rPr>
        <w:t xml:space="preserve"> listées dans ce document</w:t>
      </w:r>
      <w:r w:rsidRPr="00C150A9">
        <w:rPr>
          <w:rFonts w:ascii="Calibri" w:hAnsi="Calibri"/>
          <w:color w:val="000000"/>
          <w:sz w:val="22"/>
          <w:lang w:val="fr-FR"/>
        </w:rPr>
        <w:t xml:space="preserve">.   </w:t>
      </w:r>
    </w:p>
    <w:p w:rsidR="00C36D41" w:rsidRDefault="00C36D41" w:rsidP="00C36D41">
      <w:pPr>
        <w:jc w:val="both"/>
        <w:divId w:val="410156154"/>
        <w:rPr>
          <w:rFonts w:ascii="Calibri" w:hAnsi="Calibri"/>
          <w:color w:val="000000"/>
          <w:sz w:val="22"/>
          <w:lang w:val="fr-FR"/>
        </w:rPr>
      </w:pPr>
    </w:p>
    <w:p w:rsidR="00C36D41" w:rsidRPr="00C150A9" w:rsidRDefault="00C36D41" w:rsidP="00C36D41">
      <w:pPr>
        <w:jc w:val="both"/>
        <w:divId w:val="410156154"/>
        <w:rPr>
          <w:rFonts w:ascii="Calibri" w:hAnsi="Calibri"/>
          <w:color w:val="000000"/>
          <w:sz w:val="22"/>
          <w:lang w:val="fr-FR"/>
        </w:rPr>
      </w:pPr>
      <w:r w:rsidRPr="00C150A9">
        <w:rPr>
          <w:rFonts w:ascii="Calibri" w:hAnsi="Calibri"/>
          <w:color w:val="000000"/>
          <w:sz w:val="22"/>
          <w:lang w:val="fr-FR"/>
        </w:rPr>
        <w:t xml:space="preserve">L’introduction du VPI ne devra pas décaler les autres introductions de vaccins prévues la même année. Le pays est encouragé à créer une synergie entre le plan d’introduction du VPI et les autres plans d’introduction de nouveaux vaccins pour 2014 ou 2015. Les bénéfices et défis potentiels associés à une introduction quasi-simultanée du VPI avec d’autres nouveaux vaccins doivent être examinés et planifiés attentivement.  </w:t>
      </w:r>
    </w:p>
    <w:p w:rsidR="00C36D41" w:rsidRPr="00C150A9" w:rsidRDefault="00C36D41" w:rsidP="00C36D41">
      <w:pPr>
        <w:jc w:val="both"/>
        <w:divId w:val="410156154"/>
        <w:rPr>
          <w:rFonts w:ascii="Calibri" w:hAnsi="Calibri"/>
          <w:color w:val="000000"/>
          <w:sz w:val="22"/>
          <w:lang w:val="fr-FR"/>
        </w:rPr>
      </w:pPr>
    </w:p>
    <w:p w:rsidR="00C63E63" w:rsidRPr="00C369C9" w:rsidRDefault="00C63E63" w:rsidP="00E10165">
      <w:pPr>
        <w:divId w:val="410156154"/>
        <w:rPr>
          <w:rFonts w:asciiTheme="minorHAnsi" w:hAnsiTheme="minorHAnsi" w:cs="Calibri"/>
          <w:sz w:val="22"/>
          <w:szCs w:val="22"/>
          <w:lang w:val="fr-FR"/>
        </w:rPr>
      </w:pPr>
    </w:p>
    <w:p w:rsidR="000A2CB6" w:rsidRPr="00C369C9" w:rsidRDefault="00515293">
      <w:pPr>
        <w:spacing w:after="120"/>
        <w:divId w:val="410156154"/>
        <w:rPr>
          <w:rFonts w:asciiTheme="minorHAnsi" w:eastAsia="SimSun" w:hAnsiTheme="minorHAnsi"/>
          <w:b/>
          <w:color w:val="1F497D" w:themeColor="text2"/>
          <w:sz w:val="28"/>
          <w:szCs w:val="28"/>
          <w:lang w:val="fr-FR"/>
        </w:rPr>
      </w:pPr>
      <w:bookmarkStart w:id="2" w:name="_Toc324935280"/>
      <w:bookmarkStart w:id="3" w:name="_Toc357671659"/>
      <w:bookmarkStart w:id="4" w:name="_Toc324433275"/>
      <w:bookmarkStart w:id="5" w:name="_Toc325114433"/>
      <w:bookmarkEnd w:id="1"/>
      <w:r w:rsidRPr="00C369C9">
        <w:rPr>
          <w:rFonts w:asciiTheme="minorHAnsi" w:eastAsia="SimSun" w:hAnsiTheme="minorHAnsi"/>
          <w:b/>
          <w:color w:val="1F497D" w:themeColor="text2"/>
          <w:sz w:val="28"/>
          <w:szCs w:val="28"/>
          <w:lang w:val="fr-FR"/>
        </w:rPr>
        <w:t xml:space="preserve">Résumé du plan d’introduction   </w:t>
      </w:r>
    </w:p>
    <w:p w:rsidR="008667EC" w:rsidRPr="00405FD3" w:rsidRDefault="00515293">
      <w:pPr>
        <w:pStyle w:val="Paragraphedeliste"/>
        <w:numPr>
          <w:ilvl w:val="0"/>
          <w:numId w:val="2"/>
        </w:numPr>
        <w:spacing w:after="0" w:line="240" w:lineRule="auto"/>
        <w:ind w:right="115"/>
        <w:jc w:val="both"/>
        <w:divId w:val="410156154"/>
        <w:rPr>
          <w:highlight w:val="cyan"/>
          <w:lang w:val="fr-FR"/>
        </w:rPr>
      </w:pPr>
      <w:r w:rsidRPr="00405FD3">
        <w:rPr>
          <w:highlight w:val="cyan"/>
          <w:lang w:val="fr-FR"/>
        </w:rPr>
        <w:t xml:space="preserve">Brève justification de l’introduction du VPI et considérations complémentaires prises en compte, y compris les stratégies </w:t>
      </w:r>
      <w:r w:rsidR="008364EA" w:rsidRPr="00405FD3">
        <w:rPr>
          <w:highlight w:val="cyan"/>
          <w:lang w:val="fr-FR"/>
        </w:rPr>
        <w:t>intégrées</w:t>
      </w:r>
      <w:r w:rsidRPr="00405FD3">
        <w:rPr>
          <w:highlight w:val="cyan"/>
          <w:lang w:val="fr-FR"/>
        </w:rPr>
        <w:t xml:space="preserve"> de lutte contre la maladie.    </w:t>
      </w:r>
    </w:p>
    <w:p w:rsidR="00405FD3" w:rsidRPr="00860CC3" w:rsidRDefault="00405FD3" w:rsidP="00F6588B">
      <w:pPr>
        <w:spacing w:before="120"/>
        <w:ind w:right="120"/>
        <w:jc w:val="both"/>
        <w:divId w:val="410156154"/>
        <w:rPr>
          <w:lang w:val="fr-FR"/>
        </w:rPr>
      </w:pPr>
      <w:r w:rsidRPr="00860CC3">
        <w:rPr>
          <w:lang w:val="fr-FR"/>
        </w:rPr>
        <w:t>En 1988, l'Assemblée Mondiale de la Santé a adopté l’objectif d'éradication de la poliomyélite d’ici à l’an 2000. Les bénéfices maximums de cette initiative mondiale d'éradication de la maladie ne seront pleinement effectifs que lorsque la transmission du poliovirus sauvage aura été interrompue partout dans le monde, l’éradication du poliovirus sauvage certifiée et que la vaccination contre le poliovirus aura éventuellement cessé.</w:t>
      </w:r>
    </w:p>
    <w:p w:rsidR="00405FD3" w:rsidRPr="00860CC3" w:rsidRDefault="00405FD3" w:rsidP="00E06D67">
      <w:pPr>
        <w:autoSpaceDE w:val="0"/>
        <w:autoSpaceDN w:val="0"/>
        <w:adjustRightInd w:val="0"/>
        <w:spacing w:before="120"/>
        <w:ind w:right="120"/>
        <w:jc w:val="both"/>
        <w:divId w:val="410156154"/>
        <w:rPr>
          <w:lang w:val="fr-FR"/>
        </w:rPr>
      </w:pPr>
      <w:r w:rsidRPr="00860CC3">
        <w:rPr>
          <w:lang w:val="fr-FR"/>
        </w:rPr>
        <w:t>C’est pourquoi l’OMS a décidé d’en finir avec cette maladie. En réponse à la déclaration de l’Assemblée mondiale de la Santé de 2012 faisant de l’éradication de la poliomyélite une urgen</w:t>
      </w:r>
      <w:r w:rsidR="00E06D67" w:rsidRPr="00860CC3">
        <w:rPr>
          <w:lang w:val="fr-FR"/>
        </w:rPr>
        <w:t>ce de santé publique mondiale, un</w:t>
      </w:r>
      <w:r w:rsidRPr="00860CC3">
        <w:rPr>
          <w:lang w:val="fr-FR"/>
        </w:rPr>
        <w:t xml:space="preserve"> Plan stratégique pour l’éradication de la poliomyélite</w:t>
      </w:r>
      <w:r w:rsidR="00E06D67" w:rsidRPr="00860CC3">
        <w:rPr>
          <w:lang w:val="fr-FR"/>
        </w:rPr>
        <w:t xml:space="preserve"> 2013-2018 a été élaboré</w:t>
      </w:r>
      <w:r w:rsidRPr="00860CC3">
        <w:rPr>
          <w:lang w:val="fr-FR"/>
        </w:rPr>
        <w:t xml:space="preserve">. </w:t>
      </w:r>
    </w:p>
    <w:p w:rsidR="00405FD3" w:rsidRPr="00860CC3" w:rsidRDefault="00405FD3" w:rsidP="00F6588B">
      <w:pPr>
        <w:autoSpaceDE w:val="0"/>
        <w:autoSpaceDN w:val="0"/>
        <w:adjustRightInd w:val="0"/>
        <w:spacing w:before="120"/>
        <w:ind w:right="120"/>
        <w:jc w:val="both"/>
        <w:divId w:val="410156154"/>
        <w:rPr>
          <w:lang w:val="fr-FR"/>
        </w:rPr>
      </w:pPr>
      <w:r w:rsidRPr="00860CC3">
        <w:rPr>
          <w:lang w:val="fr-FR"/>
        </w:rPr>
        <w:t>Ce plan préconise l’intensification des actions visant à stopper la poliomyélite dans les pays encore infectés, le renforcement des programmes de vaccination de routine de tous les pays et le remplacement du vaccin poliomyélitique oral trivalent (VPOt) par le vaccin poliomyélitique oral bivalent (VPOb) en 2016. Cela vise entre autres, l’élimination des cas de poliomyélite et des flambées épidémiques dues à la</w:t>
      </w:r>
      <w:r w:rsidR="00E06D67" w:rsidRPr="00860CC3">
        <w:rPr>
          <w:lang w:val="fr-FR"/>
        </w:rPr>
        <w:t xml:space="preserve"> composante de type 2 du </w:t>
      </w:r>
      <w:r w:rsidRPr="00860CC3">
        <w:rPr>
          <w:lang w:val="fr-FR"/>
        </w:rPr>
        <w:t xml:space="preserve">VPO. </w:t>
      </w:r>
    </w:p>
    <w:p w:rsidR="00405FD3" w:rsidRPr="00860CC3" w:rsidRDefault="00405FD3" w:rsidP="00E06D67">
      <w:pPr>
        <w:spacing w:before="120"/>
        <w:ind w:right="240"/>
        <w:jc w:val="both"/>
        <w:divId w:val="410156154"/>
        <w:rPr>
          <w:lang w:val="fr-FR"/>
        </w:rPr>
      </w:pPr>
      <w:r w:rsidRPr="00860CC3">
        <w:rPr>
          <w:lang w:val="fr-FR"/>
        </w:rPr>
        <w:lastRenderedPageBreak/>
        <w:t>Dans le but de minimiser aussi les risques associés au retrait du VPOb, ce plan prévoit également l’introduction d’au moins une dose de vaccin antipoliomyélitique inactivé (VPI) dans les calendriers de vaccination systématique avant la fin 2015</w:t>
      </w:r>
      <w:r w:rsidR="00E06D67" w:rsidRPr="00860CC3">
        <w:rPr>
          <w:lang w:val="fr-FR"/>
        </w:rPr>
        <w:t xml:space="preserve">. Cette </w:t>
      </w:r>
      <w:r w:rsidRPr="00860CC3">
        <w:rPr>
          <w:lang w:val="fr-FR"/>
        </w:rPr>
        <w:t>stratégie</w:t>
      </w:r>
      <w:r w:rsidR="00E06D67" w:rsidRPr="00860CC3">
        <w:rPr>
          <w:lang w:val="fr-FR"/>
        </w:rPr>
        <w:t xml:space="preserve"> vise à</w:t>
      </w:r>
      <w:r w:rsidRPr="00860CC3">
        <w:rPr>
          <w:lang w:val="fr-FR"/>
        </w:rPr>
        <w:t xml:space="preserve"> atténuer le risque potentiel de réémergence du poliovirus de type 2 après le retrait des souches Sabin de type 2 du vaccin antipoliomyélitique oral (VPO).</w:t>
      </w:r>
    </w:p>
    <w:p w:rsidR="00405FD3" w:rsidRPr="00860CC3" w:rsidRDefault="00405FD3" w:rsidP="003D1ADD">
      <w:pPr>
        <w:autoSpaceDE w:val="0"/>
        <w:autoSpaceDN w:val="0"/>
        <w:adjustRightInd w:val="0"/>
        <w:spacing w:before="120"/>
        <w:ind w:right="240"/>
        <w:jc w:val="both"/>
        <w:divId w:val="410156154"/>
        <w:rPr>
          <w:lang w:val="fr-FR"/>
        </w:rPr>
      </w:pPr>
      <w:r w:rsidRPr="00860CC3">
        <w:rPr>
          <w:lang w:val="fr-FR"/>
        </w:rPr>
        <w:t xml:space="preserve">Le Burkina Faso a souscrit </w:t>
      </w:r>
      <w:r w:rsidRPr="00860CC3">
        <w:rPr>
          <w:color w:val="000000"/>
          <w:lang w:val="fr-FR"/>
        </w:rPr>
        <w:t>à</w:t>
      </w:r>
      <w:r w:rsidRPr="00860CC3">
        <w:rPr>
          <w:lang w:val="fr-FR"/>
        </w:rPr>
        <w:t xml:space="preserve"> toutes les recommandations de l’OMS en matière d’éradication de la poliomyélite. Ainsi, </w:t>
      </w:r>
      <w:r w:rsidR="003D1ADD" w:rsidRPr="00860CC3">
        <w:rPr>
          <w:lang w:val="fr-FR"/>
        </w:rPr>
        <w:t>il</w:t>
      </w:r>
      <w:r w:rsidRPr="00860CC3">
        <w:rPr>
          <w:lang w:val="fr-FR"/>
        </w:rPr>
        <w:t xml:space="preserve"> prévoit d’introduire une dose du VPI dans son PEV de routine en 2015.</w:t>
      </w:r>
    </w:p>
    <w:p w:rsidR="00405FD3" w:rsidRPr="00860CC3" w:rsidRDefault="00405FD3" w:rsidP="00F6588B">
      <w:pPr>
        <w:autoSpaceDE w:val="0"/>
        <w:autoSpaceDN w:val="0"/>
        <w:adjustRightInd w:val="0"/>
        <w:spacing w:before="120"/>
        <w:ind w:right="240"/>
        <w:jc w:val="both"/>
        <w:divId w:val="410156154"/>
        <w:rPr>
          <w:lang w:val="fr-FR"/>
        </w:rPr>
      </w:pPr>
    </w:p>
    <w:p w:rsidR="00405FD3" w:rsidRPr="00276829" w:rsidRDefault="00515293">
      <w:pPr>
        <w:pStyle w:val="Paragraphedeliste"/>
        <w:numPr>
          <w:ilvl w:val="0"/>
          <w:numId w:val="2"/>
        </w:numPr>
        <w:spacing w:after="0" w:line="240" w:lineRule="auto"/>
        <w:ind w:right="115"/>
        <w:jc w:val="both"/>
        <w:divId w:val="410156154"/>
        <w:rPr>
          <w:highlight w:val="cyan"/>
          <w:lang w:val="fr-FR"/>
        </w:rPr>
      </w:pPr>
      <w:r w:rsidRPr="00276829">
        <w:rPr>
          <w:highlight w:val="cyan"/>
          <w:lang w:val="fr-FR"/>
        </w:rPr>
        <w:t xml:space="preserve">Mise en exergue des avantages de l’introduction du VPI pour la population et des coûts inhérents pour le programme ; la façon dont le pays entend supporter ces coûts.   </w:t>
      </w:r>
    </w:p>
    <w:p w:rsidR="00276829" w:rsidRPr="00860CC3" w:rsidRDefault="00276829" w:rsidP="00F6588B">
      <w:pPr>
        <w:autoSpaceDE w:val="0"/>
        <w:autoSpaceDN w:val="0"/>
        <w:adjustRightInd w:val="0"/>
        <w:spacing w:before="120"/>
        <w:ind w:left="120" w:right="120"/>
        <w:jc w:val="both"/>
        <w:divId w:val="410156154"/>
        <w:rPr>
          <w:lang w:val="fr-FR"/>
        </w:rPr>
      </w:pPr>
      <w:r w:rsidRPr="00860CC3">
        <w:rPr>
          <w:lang w:val="fr-FR"/>
        </w:rPr>
        <w:t xml:space="preserve">L’introduction d’au moins une dose du VPI </w:t>
      </w:r>
      <w:r w:rsidR="00FC089D" w:rsidRPr="00860CC3">
        <w:rPr>
          <w:lang w:val="fr-FR"/>
        </w:rPr>
        <w:t xml:space="preserve">dans le PEV de routine </w:t>
      </w:r>
      <w:r w:rsidRPr="00860CC3">
        <w:rPr>
          <w:lang w:val="fr-FR"/>
        </w:rPr>
        <w:t xml:space="preserve">procure trois avantages </w:t>
      </w:r>
      <w:r w:rsidR="003D1ADD" w:rsidRPr="00860CC3">
        <w:rPr>
          <w:lang w:val="fr-FR"/>
        </w:rPr>
        <w:t>considérables:</w:t>
      </w:r>
    </w:p>
    <w:p w:rsidR="00276829" w:rsidRPr="00860CC3" w:rsidRDefault="00276829" w:rsidP="00F6588B">
      <w:pPr>
        <w:autoSpaceDE w:val="0"/>
        <w:autoSpaceDN w:val="0"/>
        <w:adjustRightInd w:val="0"/>
        <w:spacing w:before="120"/>
        <w:ind w:left="600" w:right="120"/>
        <w:jc w:val="both"/>
        <w:divId w:val="410156154"/>
        <w:rPr>
          <w:lang w:val="fr-FR"/>
        </w:rPr>
      </w:pPr>
      <w:r w:rsidRPr="00860CC3">
        <w:rPr>
          <w:lang w:val="fr-FR"/>
        </w:rPr>
        <w:t>- réduire le risque de la réémergence du poliovirus de type 2 après le retrait de la composant</w:t>
      </w:r>
      <w:r w:rsidR="00FC089D" w:rsidRPr="00860CC3">
        <w:rPr>
          <w:lang w:val="fr-FR"/>
        </w:rPr>
        <w:t>e</w:t>
      </w:r>
      <w:r w:rsidRPr="00860CC3">
        <w:rPr>
          <w:lang w:val="fr-FR"/>
        </w:rPr>
        <w:t xml:space="preserve"> 2 du VPO. </w:t>
      </w:r>
    </w:p>
    <w:p w:rsidR="00276829" w:rsidRPr="00860CC3" w:rsidRDefault="00276829" w:rsidP="00F6588B">
      <w:pPr>
        <w:autoSpaceDE w:val="0"/>
        <w:autoSpaceDN w:val="0"/>
        <w:adjustRightInd w:val="0"/>
        <w:spacing w:before="120"/>
        <w:ind w:left="600" w:right="120"/>
        <w:jc w:val="both"/>
        <w:divId w:val="410156154"/>
        <w:rPr>
          <w:lang w:val="fr-FR"/>
        </w:rPr>
      </w:pPr>
      <w:r w:rsidRPr="00860CC3">
        <w:rPr>
          <w:lang w:val="fr-FR"/>
        </w:rPr>
        <w:t xml:space="preserve">- stimuler l’immunité contre les poliovirus de types 1 et 3, ce qui permettra de réduire la vulnérabilité aux poliovirus sauvages encore existants mais </w:t>
      </w:r>
      <w:r w:rsidR="00FC089D" w:rsidRPr="00860CC3">
        <w:rPr>
          <w:lang w:val="fr-FR"/>
        </w:rPr>
        <w:t>d</w:t>
      </w:r>
      <w:r w:rsidRPr="00860CC3">
        <w:rPr>
          <w:lang w:val="fr-FR"/>
        </w:rPr>
        <w:t xml:space="preserve">’accélérer </w:t>
      </w:r>
      <w:r w:rsidR="00FC089D" w:rsidRPr="00276829">
        <w:rPr>
          <w:lang w:val="fr-FR"/>
        </w:rPr>
        <w:t>l’interruption de la transmission du poliovirus sauvage dans le pays</w:t>
      </w:r>
      <w:r w:rsidRPr="00860CC3">
        <w:rPr>
          <w:lang w:val="fr-FR"/>
        </w:rPr>
        <w:t xml:space="preserve">. </w:t>
      </w:r>
    </w:p>
    <w:p w:rsidR="00276829" w:rsidRPr="00860CC3" w:rsidRDefault="00276829" w:rsidP="003D1ADD">
      <w:pPr>
        <w:autoSpaceDE w:val="0"/>
        <w:autoSpaceDN w:val="0"/>
        <w:adjustRightInd w:val="0"/>
        <w:spacing w:before="120"/>
        <w:ind w:left="600" w:right="120"/>
        <w:jc w:val="both"/>
        <w:divId w:val="410156154"/>
        <w:rPr>
          <w:lang w:val="fr-FR"/>
        </w:rPr>
      </w:pPr>
      <w:r w:rsidRPr="00860CC3">
        <w:rPr>
          <w:lang w:val="fr-FR"/>
        </w:rPr>
        <w:t xml:space="preserve">- faciliter l’interruption de toute flambée épidémique de type 2 en garantissant une réponse immunitaire plus rapide et plus efficace </w:t>
      </w:r>
      <w:r w:rsidR="003D1ADD" w:rsidRPr="00860CC3">
        <w:rPr>
          <w:lang w:val="fr-FR"/>
        </w:rPr>
        <w:t xml:space="preserve">que le </w:t>
      </w:r>
      <w:r w:rsidRPr="00860CC3">
        <w:rPr>
          <w:lang w:val="fr-FR"/>
        </w:rPr>
        <w:t>VPO monovalent de type 2 à ce moment précis.</w:t>
      </w:r>
    </w:p>
    <w:p w:rsidR="00405FD3" w:rsidRPr="00276829" w:rsidRDefault="00FC089D" w:rsidP="00F6588B">
      <w:pPr>
        <w:spacing w:before="120"/>
        <w:ind w:right="235"/>
        <w:jc w:val="both"/>
        <w:divId w:val="410156154"/>
        <w:rPr>
          <w:lang w:val="fr-FR"/>
        </w:rPr>
      </w:pPr>
      <w:r w:rsidRPr="00276829">
        <w:rPr>
          <w:lang w:val="fr-FR"/>
        </w:rPr>
        <w:t xml:space="preserve">En outre, cette introduction permettra </w:t>
      </w:r>
      <w:r w:rsidR="00405FD3" w:rsidRPr="00276829">
        <w:rPr>
          <w:lang w:val="fr-FR"/>
        </w:rPr>
        <w:t xml:space="preserve">de réduire la morbidité, les handicaps et la mortalité liés à la maladie. </w:t>
      </w:r>
    </w:p>
    <w:p w:rsidR="00405FD3" w:rsidRPr="00E95450" w:rsidRDefault="00405FD3" w:rsidP="008447E9">
      <w:pPr>
        <w:pStyle w:val="Listecouleur-Accent11"/>
        <w:spacing w:before="120" w:after="120" w:line="240" w:lineRule="auto"/>
        <w:ind w:left="0" w:right="240"/>
        <w:jc w:val="both"/>
        <w:divId w:val="410156154"/>
        <w:rPr>
          <w:rFonts w:ascii="Times New Roman" w:hAnsi="Times New Roman"/>
          <w:sz w:val="24"/>
          <w:szCs w:val="24"/>
          <w:lang w:val="fr-FR"/>
        </w:rPr>
      </w:pPr>
      <w:r w:rsidRPr="00FC089D">
        <w:rPr>
          <w:rFonts w:ascii="Times New Roman" w:hAnsi="Times New Roman"/>
          <w:sz w:val="24"/>
          <w:szCs w:val="24"/>
          <w:lang w:val="fr-FR"/>
        </w:rPr>
        <w:t xml:space="preserve">Le </w:t>
      </w:r>
      <w:r w:rsidR="00276829" w:rsidRPr="00FC089D">
        <w:rPr>
          <w:sz w:val="24"/>
          <w:szCs w:val="24"/>
          <w:lang w:val="fr-FR"/>
        </w:rPr>
        <w:t>c</w:t>
      </w:r>
      <w:r w:rsidRPr="00FC089D">
        <w:rPr>
          <w:rFonts w:ascii="Times New Roman" w:hAnsi="Times New Roman"/>
          <w:sz w:val="24"/>
          <w:szCs w:val="24"/>
          <w:lang w:val="fr-FR"/>
        </w:rPr>
        <w:t xml:space="preserve">oût global de l’introductiondu VPI  </w:t>
      </w:r>
      <w:r w:rsidRPr="00106C7F">
        <w:rPr>
          <w:rFonts w:ascii="Times New Roman" w:hAnsi="Times New Roman"/>
          <w:sz w:val="24"/>
          <w:szCs w:val="24"/>
          <w:lang w:val="fr-FR"/>
        </w:rPr>
        <w:t xml:space="preserve">s’élève </w:t>
      </w:r>
      <w:r w:rsidRPr="00E95450">
        <w:rPr>
          <w:rFonts w:ascii="Times New Roman" w:hAnsi="Times New Roman"/>
          <w:sz w:val="24"/>
          <w:szCs w:val="24"/>
          <w:lang w:val="fr-FR"/>
        </w:rPr>
        <w:t xml:space="preserve">à </w:t>
      </w:r>
      <w:r w:rsidR="005D2581" w:rsidRPr="005D2581">
        <w:rPr>
          <w:rFonts w:ascii="Times New Roman" w:hAnsi="Times New Roman"/>
          <w:sz w:val="24"/>
          <w:szCs w:val="24"/>
          <w:lang w:val="fr-FR"/>
        </w:rPr>
        <w:t>465</w:t>
      </w:r>
      <w:r w:rsidR="00775EDC">
        <w:rPr>
          <w:rFonts w:ascii="Times New Roman" w:hAnsi="Times New Roman"/>
          <w:sz w:val="24"/>
          <w:szCs w:val="24"/>
          <w:lang w:val="fr-FR"/>
        </w:rPr>
        <w:t> </w:t>
      </w:r>
      <w:r w:rsidR="005D2581" w:rsidRPr="005D2581">
        <w:rPr>
          <w:rFonts w:ascii="Times New Roman" w:hAnsi="Times New Roman"/>
          <w:sz w:val="24"/>
          <w:szCs w:val="24"/>
          <w:lang w:val="fr-FR"/>
        </w:rPr>
        <w:t>758</w:t>
      </w:r>
      <w:r w:rsidR="00775EDC">
        <w:rPr>
          <w:rFonts w:ascii="Times New Roman" w:hAnsi="Times New Roman"/>
          <w:sz w:val="24"/>
          <w:szCs w:val="24"/>
          <w:lang w:val="fr-FR"/>
        </w:rPr>
        <w:t xml:space="preserve"> </w:t>
      </w:r>
      <w:r w:rsidR="005D2581" w:rsidRPr="005D2581">
        <w:rPr>
          <w:rFonts w:ascii="Times New Roman" w:hAnsi="Times New Roman"/>
          <w:sz w:val="24"/>
          <w:szCs w:val="24"/>
          <w:lang w:val="fr-FR"/>
        </w:rPr>
        <w:t>186</w:t>
      </w:r>
      <w:r w:rsidR="00157261">
        <w:rPr>
          <w:rFonts w:ascii="Times New Roman" w:hAnsi="Times New Roman"/>
          <w:sz w:val="24"/>
          <w:szCs w:val="24"/>
          <w:lang w:val="fr-FR"/>
        </w:rPr>
        <w:t xml:space="preserve"> </w:t>
      </w:r>
      <w:r w:rsidR="00E95450" w:rsidRPr="00E95450">
        <w:rPr>
          <w:rFonts w:ascii="Times New Roman" w:hAnsi="Times New Roman"/>
          <w:sz w:val="24"/>
          <w:szCs w:val="24"/>
          <w:lang w:val="fr-FR"/>
        </w:rPr>
        <w:t>F CFA, soit 1 035 018</w:t>
      </w:r>
      <w:r w:rsidR="00BC3307">
        <w:rPr>
          <w:rFonts w:ascii="Times New Roman" w:hAnsi="Times New Roman"/>
          <w:sz w:val="24"/>
          <w:szCs w:val="24"/>
          <w:lang w:val="fr-FR"/>
        </w:rPr>
        <w:t xml:space="preserve"> U</w:t>
      </w:r>
      <w:r w:rsidR="00E95450" w:rsidRPr="00E95450">
        <w:rPr>
          <w:rFonts w:ascii="Times New Roman" w:hAnsi="Times New Roman"/>
          <w:sz w:val="24"/>
          <w:szCs w:val="24"/>
          <w:lang w:val="fr-FR"/>
        </w:rPr>
        <w:t xml:space="preserve">$ </w:t>
      </w:r>
      <w:r w:rsidR="003D1ADD" w:rsidRPr="00E95450">
        <w:rPr>
          <w:rFonts w:ascii="Times New Roman" w:hAnsi="Times New Roman"/>
          <w:sz w:val="24"/>
          <w:szCs w:val="24"/>
          <w:lang w:val="fr-FR"/>
        </w:rPr>
        <w:t xml:space="preserve">et </w:t>
      </w:r>
      <w:r w:rsidR="00E95450" w:rsidRPr="00E95450">
        <w:rPr>
          <w:rFonts w:ascii="Times New Roman" w:hAnsi="Times New Roman"/>
          <w:sz w:val="24"/>
          <w:szCs w:val="24"/>
          <w:lang w:val="fr-FR"/>
        </w:rPr>
        <w:t xml:space="preserve">571 500 </w:t>
      </w:r>
      <w:r w:rsidR="00BC3307">
        <w:rPr>
          <w:rFonts w:ascii="Times New Roman" w:hAnsi="Times New Roman"/>
          <w:sz w:val="24"/>
          <w:szCs w:val="24"/>
          <w:lang w:val="fr-FR"/>
        </w:rPr>
        <w:t>U</w:t>
      </w:r>
      <w:r w:rsidR="00E95450" w:rsidRPr="00E95450">
        <w:rPr>
          <w:rFonts w:ascii="Times New Roman" w:hAnsi="Times New Roman"/>
          <w:sz w:val="24"/>
          <w:szCs w:val="24"/>
          <w:lang w:val="fr-FR"/>
        </w:rPr>
        <w:t xml:space="preserve">$ </w:t>
      </w:r>
      <w:r w:rsidR="003D1ADD" w:rsidRPr="00E95450">
        <w:rPr>
          <w:rFonts w:ascii="Times New Roman" w:hAnsi="Times New Roman"/>
          <w:sz w:val="24"/>
          <w:szCs w:val="24"/>
          <w:lang w:val="fr-FR"/>
        </w:rPr>
        <w:t>sera supporté par GAVI</w:t>
      </w:r>
      <w:r w:rsidR="008447E9">
        <w:rPr>
          <w:rFonts w:ascii="Times New Roman" w:hAnsi="Times New Roman"/>
          <w:sz w:val="24"/>
          <w:szCs w:val="24"/>
          <w:lang w:val="fr-FR"/>
        </w:rPr>
        <w:t xml:space="preserve"> et 463 518 U$ par le budget de l’Etat</w:t>
      </w:r>
      <w:r w:rsidR="003D1ADD" w:rsidRPr="00E95450">
        <w:rPr>
          <w:rFonts w:ascii="Times New Roman" w:hAnsi="Times New Roman"/>
          <w:sz w:val="24"/>
          <w:szCs w:val="24"/>
          <w:lang w:val="fr-FR"/>
        </w:rPr>
        <w:t>.</w:t>
      </w:r>
    </w:p>
    <w:p w:rsidR="007B60C5" w:rsidRPr="00405FD3" w:rsidRDefault="007B60C5" w:rsidP="00F6588B">
      <w:pPr>
        <w:spacing w:before="120" w:after="120"/>
        <w:ind w:right="235"/>
        <w:jc w:val="both"/>
        <w:divId w:val="410156154"/>
        <w:rPr>
          <w:lang w:val="fr-FR"/>
        </w:rPr>
      </w:pPr>
    </w:p>
    <w:p w:rsidR="00276829" w:rsidRDefault="00515293">
      <w:pPr>
        <w:pStyle w:val="Paragraphedeliste"/>
        <w:numPr>
          <w:ilvl w:val="0"/>
          <w:numId w:val="2"/>
        </w:numPr>
        <w:spacing w:after="0" w:line="240" w:lineRule="auto"/>
        <w:ind w:right="115"/>
        <w:jc w:val="both"/>
        <w:divId w:val="410156154"/>
        <w:rPr>
          <w:highlight w:val="cyan"/>
          <w:lang w:val="fr-FR"/>
        </w:rPr>
      </w:pPr>
      <w:r w:rsidRPr="00276829">
        <w:rPr>
          <w:highlight w:val="cyan"/>
          <w:lang w:val="fr-FR"/>
        </w:rPr>
        <w:t xml:space="preserve">Aperçu de la façon dont le vaccin sera introduit (introduction nationale ou progressive) et revue des principales étapes et activités (calendrier d’introduction du vaccin et début des activités préparatoires, par exemple). </w:t>
      </w:r>
    </w:p>
    <w:p w:rsidR="000842C4" w:rsidRPr="000842C4" w:rsidRDefault="00FC089D" w:rsidP="00F6588B">
      <w:pPr>
        <w:spacing w:before="120"/>
        <w:ind w:right="120"/>
        <w:jc w:val="both"/>
        <w:divId w:val="410156154"/>
        <w:rPr>
          <w:lang w:val="fr-FR"/>
        </w:rPr>
      </w:pPr>
      <w:r w:rsidRPr="00860CC3">
        <w:rPr>
          <w:lang w:val="fr-FR"/>
        </w:rPr>
        <w:t xml:space="preserve">Le Burkina Faso compte introduire </w:t>
      </w:r>
      <w:r w:rsidR="000842C4" w:rsidRPr="00860CC3">
        <w:rPr>
          <w:lang w:val="fr-FR"/>
        </w:rPr>
        <w:t xml:space="preserve">d’emblée en juillet 2015 </w:t>
      </w:r>
      <w:r w:rsidRPr="000842C4">
        <w:rPr>
          <w:lang w:val="fr-FR"/>
        </w:rPr>
        <w:t>ce nouve</w:t>
      </w:r>
      <w:r w:rsidR="00FA6CB7">
        <w:rPr>
          <w:lang w:val="fr-FR"/>
        </w:rPr>
        <w:t>au vaccin à l’échelle nationale</w:t>
      </w:r>
      <w:r w:rsidRPr="000842C4">
        <w:rPr>
          <w:lang w:val="fr-FR"/>
        </w:rPr>
        <w:t xml:space="preserve"> afin </w:t>
      </w:r>
      <w:r w:rsidR="000842C4" w:rsidRPr="000842C4">
        <w:rPr>
          <w:lang w:val="fr-FR"/>
        </w:rPr>
        <w:t>de:</w:t>
      </w:r>
    </w:p>
    <w:p w:rsidR="000842C4" w:rsidRPr="000842C4" w:rsidRDefault="000842C4" w:rsidP="00F6588B">
      <w:pPr>
        <w:numPr>
          <w:ilvl w:val="0"/>
          <w:numId w:val="17"/>
        </w:numPr>
        <w:divId w:val="410156154"/>
        <w:rPr>
          <w:lang w:val="fr-FR"/>
        </w:rPr>
      </w:pPr>
      <w:r w:rsidRPr="00860CC3">
        <w:rPr>
          <w:lang w:val="fr-FR"/>
        </w:rPr>
        <w:t xml:space="preserve">minimiser le temps d’introduction </w:t>
      </w:r>
      <w:r w:rsidR="00FA6CB7" w:rsidRPr="00860CC3">
        <w:rPr>
          <w:lang w:val="fr-FR"/>
        </w:rPr>
        <w:t>pour</w:t>
      </w:r>
      <w:r w:rsidRPr="00860CC3">
        <w:rPr>
          <w:lang w:val="fr-FR"/>
        </w:rPr>
        <w:t xml:space="preserve"> que toutes les cibles bénéficient du vaccin au même moment</w:t>
      </w:r>
      <w:r w:rsidRPr="000842C4">
        <w:rPr>
          <w:lang w:val="fr-FR"/>
        </w:rPr>
        <w:t> ;</w:t>
      </w:r>
    </w:p>
    <w:p w:rsidR="000842C4" w:rsidRPr="000842C4" w:rsidRDefault="000842C4" w:rsidP="00F6588B">
      <w:pPr>
        <w:numPr>
          <w:ilvl w:val="0"/>
          <w:numId w:val="17"/>
        </w:numPr>
        <w:divId w:val="410156154"/>
        <w:rPr>
          <w:lang w:val="fr-FR"/>
        </w:rPr>
      </w:pPr>
      <w:r w:rsidRPr="000842C4">
        <w:rPr>
          <w:lang w:val="fr-FR"/>
        </w:rPr>
        <w:t>faciliter la planification, la mise en œuvre et le suivi des activités liées à l’introduction du vaccin à tous les niveaux ;</w:t>
      </w:r>
    </w:p>
    <w:p w:rsidR="000842C4" w:rsidRPr="000842C4" w:rsidRDefault="000842C4" w:rsidP="00F6588B">
      <w:pPr>
        <w:numPr>
          <w:ilvl w:val="0"/>
          <w:numId w:val="17"/>
        </w:numPr>
        <w:divId w:val="410156154"/>
        <w:rPr>
          <w:lang w:val="fr-FR"/>
        </w:rPr>
      </w:pPr>
      <w:r w:rsidRPr="000842C4">
        <w:rPr>
          <w:lang w:val="fr-FR"/>
        </w:rPr>
        <w:t>faciliter l’utilisation rationnelle des fonds ;</w:t>
      </w:r>
    </w:p>
    <w:p w:rsidR="000842C4" w:rsidRPr="000842C4" w:rsidRDefault="000842C4" w:rsidP="00F6588B">
      <w:pPr>
        <w:numPr>
          <w:ilvl w:val="0"/>
          <w:numId w:val="17"/>
        </w:numPr>
        <w:divId w:val="410156154"/>
        <w:rPr>
          <w:color w:val="FF0000"/>
          <w:lang w:val="fr-FR"/>
        </w:rPr>
      </w:pPr>
      <w:r w:rsidRPr="000842C4">
        <w:rPr>
          <w:lang w:val="fr-FR"/>
        </w:rPr>
        <w:t>satisfaire au délai de retrait effectif du VPO2 à tous les niveaux.</w:t>
      </w:r>
    </w:p>
    <w:p w:rsidR="00FC089D" w:rsidRPr="000842C4" w:rsidRDefault="000842C4" w:rsidP="009C3125">
      <w:pPr>
        <w:spacing w:before="120"/>
        <w:ind w:right="240"/>
        <w:jc w:val="both"/>
        <w:divId w:val="410156154"/>
        <w:rPr>
          <w:lang w:val="fr-FR"/>
        </w:rPr>
      </w:pPr>
      <w:r w:rsidRPr="000842C4">
        <w:rPr>
          <w:lang w:val="fr-FR"/>
        </w:rPr>
        <w:t>Six mois avant, les activités préparatoires suivantes seront conduites : planification, formation des prestataires, sensibilisation et mobilisation des communautés, supervision pré-introduction, approvisionnement et distribution des vaccins et intr</w:t>
      </w:r>
      <w:r>
        <w:rPr>
          <w:lang w:val="fr-FR"/>
        </w:rPr>
        <w:t>ants, renforcement de la chaine</w:t>
      </w:r>
      <w:r w:rsidRPr="000842C4">
        <w:rPr>
          <w:lang w:val="fr-FR"/>
        </w:rPr>
        <w:t xml:space="preserve"> de froid,</w:t>
      </w:r>
      <w:r w:rsidR="009C3125">
        <w:rPr>
          <w:lang w:val="fr-FR"/>
        </w:rPr>
        <w:t xml:space="preserve"> acquisition de fonderies, </w:t>
      </w:r>
      <w:r w:rsidRPr="000842C4">
        <w:rPr>
          <w:lang w:val="fr-FR"/>
        </w:rPr>
        <w:t xml:space="preserve"> révision et adaptation des documents techniques et des directives</w:t>
      </w:r>
      <w:r>
        <w:rPr>
          <w:lang w:val="fr-FR"/>
        </w:rPr>
        <w:t>.</w:t>
      </w:r>
    </w:p>
    <w:p w:rsidR="00515293" w:rsidRPr="00276829" w:rsidRDefault="00515293" w:rsidP="00F6588B">
      <w:pPr>
        <w:spacing w:before="120" w:after="120"/>
        <w:ind w:right="235"/>
        <w:jc w:val="both"/>
        <w:divId w:val="410156154"/>
        <w:rPr>
          <w:lang w:val="fr-FR"/>
        </w:rPr>
      </w:pPr>
    </w:p>
    <w:p w:rsidR="00515293" w:rsidRDefault="00515293">
      <w:pPr>
        <w:pStyle w:val="Paragraphedeliste"/>
        <w:numPr>
          <w:ilvl w:val="0"/>
          <w:numId w:val="2"/>
        </w:numPr>
        <w:spacing w:after="0" w:line="240" w:lineRule="auto"/>
        <w:ind w:right="115"/>
        <w:jc w:val="both"/>
        <w:divId w:val="410156154"/>
        <w:rPr>
          <w:highlight w:val="cyan"/>
          <w:lang w:val="fr-FR"/>
        </w:rPr>
      </w:pPr>
      <w:r w:rsidRPr="00105205">
        <w:rPr>
          <w:highlight w:val="cyan"/>
          <w:lang w:val="fr-FR"/>
        </w:rPr>
        <w:lastRenderedPageBreak/>
        <w:t xml:space="preserve">Aperçu de la capacité du programme de vaccination à introduire le VPI, y compris tous les aspects de la chaîne d’approvisionnement et de la logistique, la capacité des personnels de santé, etc.   </w:t>
      </w:r>
    </w:p>
    <w:p w:rsidR="00C96E97" w:rsidRPr="00860CC3" w:rsidRDefault="00E8573D" w:rsidP="00F6588B">
      <w:pPr>
        <w:spacing w:before="120"/>
        <w:ind w:right="120"/>
        <w:jc w:val="both"/>
        <w:divId w:val="410156154"/>
        <w:rPr>
          <w:color w:val="000000"/>
          <w:lang w:val="fr-FR"/>
        </w:rPr>
      </w:pPr>
      <w:r w:rsidRPr="00860CC3">
        <w:rPr>
          <w:color w:val="000000"/>
          <w:lang w:val="fr-FR"/>
        </w:rPr>
        <w:t>Les c</w:t>
      </w:r>
      <w:r w:rsidR="00772A20" w:rsidRPr="00860CC3">
        <w:rPr>
          <w:color w:val="000000"/>
          <w:lang w:val="fr-FR"/>
        </w:rPr>
        <w:t>apacités du PEV du Burkina Faso</w:t>
      </w:r>
      <w:r w:rsidR="00802F63">
        <w:rPr>
          <w:color w:val="000000"/>
          <w:lang w:val="fr-FR"/>
        </w:rPr>
        <w:t xml:space="preserve"> </w:t>
      </w:r>
      <w:r w:rsidR="00772A20" w:rsidRPr="00860CC3">
        <w:rPr>
          <w:color w:val="000000"/>
          <w:lang w:val="fr-FR"/>
        </w:rPr>
        <w:t xml:space="preserve">à </w:t>
      </w:r>
      <w:r w:rsidRPr="00860CC3">
        <w:rPr>
          <w:color w:val="000000"/>
          <w:lang w:val="fr-FR"/>
        </w:rPr>
        <w:t xml:space="preserve">réussir l’introduction d’un nouveau vaccin sont avérées. </w:t>
      </w:r>
    </w:p>
    <w:p w:rsidR="00E8573D" w:rsidRPr="00860CC3" w:rsidRDefault="00E8573D" w:rsidP="00772A20">
      <w:pPr>
        <w:spacing w:before="120"/>
        <w:ind w:right="120"/>
        <w:jc w:val="both"/>
        <w:divId w:val="410156154"/>
        <w:rPr>
          <w:lang w:val="fr-FR"/>
        </w:rPr>
      </w:pPr>
      <w:r w:rsidRPr="00860CC3">
        <w:rPr>
          <w:color w:val="000000"/>
          <w:lang w:val="fr-FR"/>
        </w:rPr>
        <w:t xml:space="preserve">En effet, </w:t>
      </w:r>
      <w:r w:rsidR="00C96E97" w:rsidRPr="00C96E97">
        <w:rPr>
          <w:lang w:val="fr-FR"/>
        </w:rPr>
        <w:t>depuis le lancement du PEV au Burkina Faso en 19</w:t>
      </w:r>
      <w:r w:rsidR="00772A20">
        <w:rPr>
          <w:lang w:val="fr-FR"/>
        </w:rPr>
        <w:t>80</w:t>
      </w:r>
      <w:r w:rsidR="00C96E97" w:rsidRPr="00C96E97">
        <w:rPr>
          <w:lang w:val="fr-FR"/>
        </w:rPr>
        <w:t xml:space="preserve">, </w:t>
      </w:r>
      <w:r w:rsidRPr="00860CC3">
        <w:rPr>
          <w:color w:val="000000"/>
          <w:lang w:val="fr-FR"/>
        </w:rPr>
        <w:t xml:space="preserve">le pays a introduit avec succès </w:t>
      </w:r>
      <w:r w:rsidR="00C96E97" w:rsidRPr="00C96E97">
        <w:rPr>
          <w:lang w:val="fr-FR"/>
        </w:rPr>
        <w:t>quatre nouveaux v</w:t>
      </w:r>
      <w:r w:rsidR="00772A20">
        <w:rPr>
          <w:lang w:val="fr-FR"/>
        </w:rPr>
        <w:t>accins</w:t>
      </w:r>
      <w:r w:rsidR="00F6588B">
        <w:rPr>
          <w:lang w:val="fr-FR"/>
        </w:rPr>
        <w:t xml:space="preserve"> dans </w:t>
      </w:r>
      <w:r w:rsidR="00C96E97" w:rsidRPr="00C96E97">
        <w:rPr>
          <w:lang w:val="fr-FR"/>
        </w:rPr>
        <w:t xml:space="preserve">son programme : le vaccin anti- amaril en 1984, </w:t>
      </w:r>
      <w:r w:rsidRPr="00860CC3">
        <w:rPr>
          <w:color w:val="000000"/>
          <w:lang w:val="fr-FR"/>
        </w:rPr>
        <w:t>le vaccin</w:t>
      </w:r>
      <w:r w:rsidRPr="00860CC3">
        <w:rPr>
          <w:lang w:val="fr-FR"/>
        </w:rPr>
        <w:t xml:space="preserve"> pentavalent  en janvier  2006, le vaccin contre les infections à pneumocoques et</w:t>
      </w:r>
      <w:r w:rsidR="00F6588B" w:rsidRPr="00860CC3">
        <w:rPr>
          <w:lang w:val="fr-FR"/>
        </w:rPr>
        <w:t xml:space="preserve"> les infections à rotavirus en o</w:t>
      </w:r>
      <w:r w:rsidRPr="00860CC3">
        <w:rPr>
          <w:lang w:val="fr-FR"/>
        </w:rPr>
        <w:t>ctobre 2013</w:t>
      </w:r>
      <w:r w:rsidRPr="00860CC3">
        <w:rPr>
          <w:color w:val="000000"/>
          <w:lang w:val="fr-FR"/>
        </w:rPr>
        <w:t xml:space="preserve">. Il </w:t>
      </w:r>
      <w:r w:rsidRPr="00860CC3">
        <w:rPr>
          <w:lang w:val="fr-FR"/>
        </w:rPr>
        <w:t xml:space="preserve">compte poursuivre  sur cette lancée avec l’introduction d’une deuxième dose du vaccin anti-rougeoleux (VAR2) en </w:t>
      </w:r>
      <w:r w:rsidR="00ED28B5" w:rsidRPr="00860CC3">
        <w:rPr>
          <w:lang w:val="fr-FR"/>
        </w:rPr>
        <w:t xml:space="preserve">octobre </w:t>
      </w:r>
      <w:r w:rsidRPr="00860CC3">
        <w:rPr>
          <w:lang w:val="fr-FR"/>
        </w:rPr>
        <w:t>2014</w:t>
      </w:r>
      <w:r w:rsidR="00772A20" w:rsidRPr="00860CC3">
        <w:rPr>
          <w:lang w:val="fr-FR"/>
        </w:rPr>
        <w:t xml:space="preserve"> et </w:t>
      </w:r>
      <w:r w:rsidRPr="00860CC3">
        <w:rPr>
          <w:lang w:val="fr-FR"/>
        </w:rPr>
        <w:t>l’introduction du vaccin contre la rougeole et la rubéole (RR) en janvier 2015</w:t>
      </w:r>
      <w:r w:rsidR="00772A20" w:rsidRPr="00860CC3">
        <w:rPr>
          <w:lang w:val="fr-FR"/>
        </w:rPr>
        <w:t xml:space="preserve">. </w:t>
      </w:r>
    </w:p>
    <w:p w:rsidR="00E8573D" w:rsidRPr="00860CC3" w:rsidRDefault="00C96E97" w:rsidP="00F6588B">
      <w:pPr>
        <w:spacing w:before="120"/>
        <w:ind w:right="120"/>
        <w:jc w:val="both"/>
        <w:divId w:val="410156154"/>
        <w:rPr>
          <w:color w:val="000000"/>
          <w:lang w:val="fr-FR"/>
        </w:rPr>
      </w:pPr>
      <w:r w:rsidRPr="00C96E97">
        <w:rPr>
          <w:lang w:val="fr-FR"/>
        </w:rPr>
        <w:t>Au fur et à mesure</w:t>
      </w:r>
      <w:r w:rsidR="00772A20">
        <w:rPr>
          <w:lang w:val="fr-FR"/>
        </w:rPr>
        <w:t>,</w:t>
      </w:r>
      <w:r w:rsidRPr="0033138A">
        <w:rPr>
          <w:lang w:val="fr-FR"/>
        </w:rPr>
        <w:t>de</w:t>
      </w:r>
      <w:r w:rsidRPr="00C96E97">
        <w:rPr>
          <w:lang w:val="fr-FR"/>
        </w:rPr>
        <w:t xml:space="preserve"> l’introduction de ces </w:t>
      </w:r>
      <w:r w:rsidR="00772A20" w:rsidRPr="00C96E97">
        <w:rPr>
          <w:lang w:val="fr-FR"/>
        </w:rPr>
        <w:t>vaccins</w:t>
      </w:r>
      <w:r w:rsidR="00772A20">
        <w:rPr>
          <w:lang w:val="fr-FR"/>
        </w:rPr>
        <w:t>,</w:t>
      </w:r>
      <w:r w:rsidRPr="00C96E97">
        <w:rPr>
          <w:lang w:val="fr-FR"/>
        </w:rPr>
        <w:t xml:space="preserve"> des actions ont été conduite</w:t>
      </w:r>
      <w:r w:rsidR="0033138A">
        <w:rPr>
          <w:lang w:val="fr-FR"/>
        </w:rPr>
        <w:t>s</w:t>
      </w:r>
      <w:r w:rsidRPr="00C96E97">
        <w:rPr>
          <w:lang w:val="fr-FR"/>
        </w:rPr>
        <w:t xml:space="preserve"> pour corriger les insuffisances en matière de chaîne de froid, de logistique et de renforcement des capacités du personnel. </w:t>
      </w:r>
      <w:r w:rsidR="00E8573D" w:rsidRPr="00860CC3">
        <w:rPr>
          <w:color w:val="000000"/>
          <w:lang w:val="fr-FR"/>
        </w:rPr>
        <w:t>L’expérience acquise lors de l’introduction de ces différents vaccins contribuera sans doute à faciliter l’introduction du VPI.</w:t>
      </w:r>
    </w:p>
    <w:p w:rsidR="00E8573D" w:rsidRPr="00860CC3" w:rsidRDefault="00E8573D" w:rsidP="0033138A">
      <w:pPr>
        <w:spacing w:before="120"/>
        <w:ind w:right="120"/>
        <w:jc w:val="both"/>
        <w:divId w:val="410156154"/>
        <w:rPr>
          <w:rFonts w:eastAsia="MS ??"/>
          <w:color w:val="000000"/>
          <w:lang w:val="fr-FR" w:bidi="si-LK"/>
        </w:rPr>
      </w:pPr>
      <w:r w:rsidRPr="00C96E97">
        <w:rPr>
          <w:lang w:val="fr-CH"/>
        </w:rPr>
        <w:t>Les capacités de stockage ont été analysées à partir de l’outil de planification logistique de l’OMS en fonction de notre calendrier vaccinal</w:t>
      </w:r>
      <w:r w:rsidR="0033138A">
        <w:rPr>
          <w:lang w:val="fr-CH"/>
        </w:rPr>
        <w:t xml:space="preserve">. Ces analyses </w:t>
      </w:r>
      <w:r w:rsidRPr="00C96E97">
        <w:rPr>
          <w:lang w:val="fr-CH"/>
        </w:rPr>
        <w:t>inclue</w:t>
      </w:r>
      <w:r w:rsidR="0033138A">
        <w:rPr>
          <w:lang w:val="fr-CH"/>
        </w:rPr>
        <w:t>nt</w:t>
      </w:r>
      <w:r w:rsidRPr="00C96E97">
        <w:rPr>
          <w:lang w:val="fr-CH"/>
        </w:rPr>
        <w:t xml:space="preserve"> toutes les prévisions d’introduction d’autre</w:t>
      </w:r>
      <w:r w:rsidR="0033138A">
        <w:rPr>
          <w:lang w:val="fr-CH"/>
        </w:rPr>
        <w:t>s</w:t>
      </w:r>
      <w:r w:rsidRPr="00C96E97">
        <w:rPr>
          <w:lang w:val="fr-CH"/>
        </w:rPr>
        <w:t xml:space="preserve"> vaccins (le VPI et le vaccin HPV) jusqu’en 2018. </w:t>
      </w:r>
      <w:r w:rsidRPr="00860CC3">
        <w:rPr>
          <w:rFonts w:eastAsia="MS ??"/>
          <w:color w:val="000000"/>
          <w:lang w:val="fr-FR" w:bidi="si-LK"/>
        </w:rPr>
        <w:t xml:space="preserve">L’introduction d’une dose de VPI dans le PEV systématique aura comme conséquence l’augmentation des besoins en consommables (seringues et boîtes de sécurité) par rapport au calendrier existant. </w:t>
      </w:r>
    </w:p>
    <w:p w:rsidR="00C96E97" w:rsidRPr="00860CC3" w:rsidRDefault="00C96E97" w:rsidP="00F6588B">
      <w:pPr>
        <w:autoSpaceDE w:val="0"/>
        <w:autoSpaceDN w:val="0"/>
        <w:adjustRightInd w:val="0"/>
        <w:jc w:val="both"/>
        <w:divId w:val="410156154"/>
        <w:rPr>
          <w:rFonts w:eastAsia="MS ??"/>
          <w:color w:val="000000"/>
          <w:lang w:val="fr-FR" w:bidi="si-LK"/>
        </w:rPr>
      </w:pPr>
    </w:p>
    <w:p w:rsidR="00E8573D" w:rsidRPr="00860CC3" w:rsidRDefault="00E8573D" w:rsidP="00F6588B">
      <w:pPr>
        <w:autoSpaceDE w:val="0"/>
        <w:autoSpaceDN w:val="0"/>
        <w:adjustRightInd w:val="0"/>
        <w:jc w:val="both"/>
        <w:divId w:val="410156154"/>
        <w:rPr>
          <w:color w:val="000000"/>
          <w:lang w:val="fr-FR"/>
        </w:rPr>
      </w:pPr>
      <w:r w:rsidRPr="00860CC3">
        <w:rPr>
          <w:rFonts w:eastAsia="MS ??"/>
          <w:color w:val="000000"/>
          <w:lang w:val="fr-FR"/>
        </w:rPr>
        <w:t xml:space="preserve">En matière de renforcement des </w:t>
      </w:r>
      <w:r w:rsidR="0033138A" w:rsidRPr="00860CC3">
        <w:rPr>
          <w:rFonts w:eastAsia="MS ??"/>
          <w:color w:val="000000"/>
          <w:lang w:val="fr-FR"/>
        </w:rPr>
        <w:t>compétences des</w:t>
      </w:r>
      <w:r w:rsidRPr="00860CC3">
        <w:rPr>
          <w:rFonts w:eastAsia="MS ??"/>
          <w:color w:val="000000"/>
          <w:lang w:val="fr-FR"/>
        </w:rPr>
        <w:t xml:space="preserve"> agents chargés de la vaccination, il est prévu l’organisation de s</w:t>
      </w:r>
      <w:r w:rsidR="0033138A" w:rsidRPr="00860CC3">
        <w:rPr>
          <w:rFonts w:eastAsia="MS ??"/>
          <w:color w:val="000000"/>
          <w:lang w:val="fr-FR"/>
        </w:rPr>
        <w:t>essions de formation en cascade</w:t>
      </w:r>
      <w:r w:rsidRPr="00860CC3">
        <w:rPr>
          <w:rFonts w:eastAsia="MS ??"/>
          <w:color w:val="000000"/>
          <w:lang w:val="fr-FR"/>
        </w:rPr>
        <w:t xml:space="preserve"> à tous les niveaux sur l’introduction du nouveau vaccin pour renforcer les capacités des prestataires.</w:t>
      </w:r>
    </w:p>
    <w:p w:rsidR="00E8573D" w:rsidRPr="00860CC3" w:rsidRDefault="00E8573D" w:rsidP="00F6588B">
      <w:pPr>
        <w:autoSpaceDE w:val="0"/>
        <w:autoSpaceDN w:val="0"/>
        <w:adjustRightInd w:val="0"/>
        <w:jc w:val="both"/>
        <w:divId w:val="410156154"/>
        <w:rPr>
          <w:color w:val="000000"/>
          <w:lang w:val="fr-FR"/>
        </w:rPr>
      </w:pPr>
    </w:p>
    <w:p w:rsidR="00E8573D" w:rsidRPr="00860CC3" w:rsidRDefault="00E8573D" w:rsidP="00F6588B">
      <w:pPr>
        <w:autoSpaceDE w:val="0"/>
        <w:autoSpaceDN w:val="0"/>
        <w:adjustRightInd w:val="0"/>
        <w:jc w:val="both"/>
        <w:divId w:val="410156154"/>
        <w:rPr>
          <w:rFonts w:eastAsia="MS ??"/>
          <w:color w:val="000000"/>
          <w:lang w:val="fr-FR" w:bidi="si-LK"/>
        </w:rPr>
      </w:pPr>
      <w:r w:rsidRPr="00860CC3">
        <w:rPr>
          <w:color w:val="000000"/>
          <w:lang w:val="fr-FR"/>
        </w:rPr>
        <w:t>Le suivi de la mise en œuvre des directives se fera à travers les rapports mensuels de vaccination, les rencontres et la supervision formative des prestataires.</w:t>
      </w:r>
    </w:p>
    <w:p w:rsidR="00105205" w:rsidRPr="00105205" w:rsidRDefault="00105205" w:rsidP="00FC7D6C">
      <w:pPr>
        <w:ind w:right="235"/>
        <w:jc w:val="both"/>
        <w:divId w:val="410156154"/>
        <w:rPr>
          <w:highlight w:val="cyan"/>
          <w:lang w:val="fr-FR"/>
        </w:rPr>
      </w:pPr>
    </w:p>
    <w:p w:rsidR="00C34663" w:rsidRDefault="00515293">
      <w:pPr>
        <w:pStyle w:val="Paragraphedeliste"/>
        <w:numPr>
          <w:ilvl w:val="0"/>
          <w:numId w:val="2"/>
        </w:numPr>
        <w:spacing w:after="0" w:line="240" w:lineRule="auto"/>
        <w:ind w:right="115"/>
        <w:jc w:val="both"/>
        <w:divId w:val="410156154"/>
        <w:rPr>
          <w:highlight w:val="cyan"/>
          <w:lang w:val="fr-FR"/>
        </w:rPr>
      </w:pPr>
      <w:r w:rsidRPr="00C34663">
        <w:rPr>
          <w:highlight w:val="cyan"/>
          <w:lang w:val="fr-FR"/>
        </w:rPr>
        <w:t xml:space="preserve">Brève description des activités préparatoires déjà réalisées ou à mettre en œuvre.  </w:t>
      </w:r>
    </w:p>
    <w:p w:rsidR="00EC0239" w:rsidRPr="00C34663" w:rsidRDefault="00EC0239" w:rsidP="00EC0239">
      <w:pPr>
        <w:pStyle w:val="Paragraphedeliste"/>
        <w:spacing w:after="0" w:line="240" w:lineRule="auto"/>
        <w:ind w:left="928" w:right="115"/>
        <w:jc w:val="both"/>
        <w:divId w:val="410156154"/>
        <w:rPr>
          <w:highlight w:val="cyan"/>
          <w:lang w:val="fr-FR"/>
        </w:rPr>
      </w:pPr>
    </w:p>
    <w:p w:rsidR="00C34663" w:rsidRPr="006262DD" w:rsidRDefault="00C34663" w:rsidP="00F6588B">
      <w:pPr>
        <w:pStyle w:val="Listecouleur-Accent11"/>
        <w:spacing w:after="0" w:line="240" w:lineRule="auto"/>
        <w:ind w:left="0" w:right="115"/>
        <w:jc w:val="both"/>
        <w:divId w:val="410156154"/>
        <w:rPr>
          <w:rFonts w:ascii="Times New Roman" w:hAnsi="Times New Roman"/>
          <w:sz w:val="24"/>
          <w:szCs w:val="24"/>
          <w:lang w:val="fr-FR"/>
        </w:rPr>
      </w:pPr>
      <w:r w:rsidRPr="006262DD">
        <w:rPr>
          <w:rFonts w:ascii="Times New Roman" w:hAnsi="Times New Roman"/>
          <w:sz w:val="24"/>
          <w:szCs w:val="24"/>
          <w:lang w:val="fr-FR"/>
        </w:rPr>
        <w:t xml:space="preserve">Les principales activités conduites dans le cadre de l’introduction du VPI sont : </w:t>
      </w:r>
    </w:p>
    <w:p w:rsidR="00C34663" w:rsidRPr="006262DD" w:rsidRDefault="00C34663" w:rsidP="00F6588B">
      <w:pPr>
        <w:pStyle w:val="Listecouleur-Accent11"/>
        <w:numPr>
          <w:ilvl w:val="0"/>
          <w:numId w:val="18"/>
        </w:numPr>
        <w:spacing w:after="0" w:line="240" w:lineRule="auto"/>
        <w:ind w:right="115"/>
        <w:jc w:val="both"/>
        <w:divId w:val="410156154"/>
        <w:rPr>
          <w:rFonts w:ascii="Times New Roman" w:hAnsi="Times New Roman"/>
          <w:sz w:val="24"/>
          <w:szCs w:val="24"/>
          <w:lang w:val="fr-FR"/>
        </w:rPr>
      </w:pPr>
      <w:r w:rsidRPr="006262DD">
        <w:rPr>
          <w:rFonts w:ascii="Times New Roman" w:hAnsi="Times New Roman"/>
          <w:sz w:val="24"/>
          <w:szCs w:val="24"/>
          <w:lang w:val="fr-FR"/>
        </w:rPr>
        <w:t>le plaidoyer auprès des autorités pour l’engagement politique</w:t>
      </w:r>
      <w:r w:rsidR="0052770E">
        <w:rPr>
          <w:rFonts w:ascii="Times New Roman" w:hAnsi="Times New Roman"/>
          <w:sz w:val="24"/>
          <w:szCs w:val="24"/>
          <w:lang w:val="fr-FR"/>
        </w:rPr>
        <w:t xml:space="preserve"> en faveur de l’introduction</w:t>
      </w:r>
    </w:p>
    <w:p w:rsidR="00C34663" w:rsidRPr="006262DD" w:rsidRDefault="00C34663" w:rsidP="00802F63">
      <w:pPr>
        <w:pStyle w:val="Listecouleur-Accent11"/>
        <w:numPr>
          <w:ilvl w:val="0"/>
          <w:numId w:val="18"/>
        </w:numPr>
        <w:spacing w:after="0" w:line="240" w:lineRule="auto"/>
        <w:ind w:right="115"/>
        <w:jc w:val="both"/>
        <w:divId w:val="410156154"/>
        <w:rPr>
          <w:rFonts w:ascii="Times New Roman" w:hAnsi="Times New Roman"/>
          <w:sz w:val="24"/>
          <w:szCs w:val="24"/>
          <w:lang w:val="fr-FR"/>
        </w:rPr>
      </w:pPr>
      <w:r w:rsidRPr="006262DD">
        <w:rPr>
          <w:rFonts w:ascii="Times New Roman" w:hAnsi="Times New Roman"/>
          <w:sz w:val="24"/>
          <w:szCs w:val="24"/>
          <w:lang w:val="fr-FR"/>
        </w:rPr>
        <w:t xml:space="preserve">l’enregistrement du vaccin auprès de la Direction </w:t>
      </w:r>
      <w:r w:rsidR="0052770E">
        <w:rPr>
          <w:rFonts w:ascii="Times New Roman" w:hAnsi="Times New Roman"/>
          <w:sz w:val="24"/>
          <w:szCs w:val="24"/>
          <w:lang w:val="fr-FR"/>
        </w:rPr>
        <w:t xml:space="preserve">Générale </w:t>
      </w:r>
      <w:r w:rsidRPr="006262DD">
        <w:rPr>
          <w:rFonts w:ascii="Times New Roman" w:hAnsi="Times New Roman"/>
          <w:sz w:val="24"/>
          <w:szCs w:val="24"/>
          <w:lang w:val="fr-FR"/>
        </w:rPr>
        <w:t>de la Pharmacie</w:t>
      </w:r>
      <w:r w:rsidR="0052770E">
        <w:rPr>
          <w:rFonts w:ascii="Times New Roman" w:hAnsi="Times New Roman"/>
          <w:sz w:val="24"/>
          <w:szCs w:val="24"/>
          <w:lang w:val="fr-FR"/>
        </w:rPr>
        <w:t>, du Médicament e</w:t>
      </w:r>
      <w:r w:rsidRPr="006262DD">
        <w:rPr>
          <w:rFonts w:ascii="Times New Roman" w:hAnsi="Times New Roman"/>
          <w:sz w:val="24"/>
          <w:szCs w:val="24"/>
          <w:lang w:val="fr-FR"/>
        </w:rPr>
        <w:t>t d</w:t>
      </w:r>
      <w:r w:rsidR="0052770E">
        <w:rPr>
          <w:rFonts w:ascii="Times New Roman" w:hAnsi="Times New Roman"/>
          <w:sz w:val="24"/>
          <w:szCs w:val="24"/>
          <w:lang w:val="fr-FR"/>
        </w:rPr>
        <w:t>es Laboratoires</w:t>
      </w:r>
      <w:r w:rsidR="00802F63">
        <w:rPr>
          <w:rFonts w:ascii="Times New Roman" w:hAnsi="Times New Roman"/>
          <w:sz w:val="24"/>
          <w:szCs w:val="24"/>
          <w:lang w:val="fr-FR"/>
        </w:rPr>
        <w:t xml:space="preserve"> à travers la Direction de la Règlementation et des Licences Pharmaceutiques</w:t>
      </w:r>
    </w:p>
    <w:p w:rsidR="00C34663" w:rsidRPr="006262DD" w:rsidRDefault="00C34663" w:rsidP="00F6588B">
      <w:pPr>
        <w:pStyle w:val="Listecouleur-Accent11"/>
        <w:numPr>
          <w:ilvl w:val="0"/>
          <w:numId w:val="18"/>
        </w:numPr>
        <w:spacing w:after="0" w:line="240" w:lineRule="auto"/>
        <w:ind w:right="115"/>
        <w:jc w:val="both"/>
        <w:divId w:val="410156154"/>
        <w:rPr>
          <w:rFonts w:ascii="Times New Roman" w:hAnsi="Times New Roman"/>
          <w:sz w:val="24"/>
          <w:szCs w:val="24"/>
          <w:lang w:val="fr-FR"/>
        </w:rPr>
      </w:pPr>
      <w:r w:rsidRPr="006262DD">
        <w:rPr>
          <w:rFonts w:ascii="Times New Roman" w:hAnsi="Times New Roman"/>
          <w:sz w:val="24"/>
          <w:szCs w:val="24"/>
          <w:lang w:val="fr-FR"/>
        </w:rPr>
        <w:t xml:space="preserve">la rédaction et la transmission de la </w:t>
      </w:r>
      <w:r w:rsidR="0052770E">
        <w:rPr>
          <w:rFonts w:ascii="Times New Roman" w:hAnsi="Times New Roman"/>
          <w:sz w:val="24"/>
          <w:szCs w:val="24"/>
          <w:lang w:val="fr-FR"/>
        </w:rPr>
        <w:t>manifestation d’intérêt à GAVI</w:t>
      </w:r>
    </w:p>
    <w:p w:rsidR="00C34663" w:rsidRPr="006262DD" w:rsidRDefault="00C34663" w:rsidP="00F6588B">
      <w:pPr>
        <w:pStyle w:val="Listecouleur-Accent11"/>
        <w:numPr>
          <w:ilvl w:val="0"/>
          <w:numId w:val="18"/>
        </w:numPr>
        <w:spacing w:after="0" w:line="240" w:lineRule="auto"/>
        <w:ind w:right="115"/>
        <w:jc w:val="both"/>
        <w:divId w:val="410156154"/>
        <w:rPr>
          <w:rFonts w:ascii="Times New Roman" w:hAnsi="Times New Roman"/>
          <w:sz w:val="24"/>
          <w:szCs w:val="24"/>
          <w:lang w:val="fr-FR"/>
        </w:rPr>
      </w:pPr>
      <w:r w:rsidRPr="006262DD">
        <w:rPr>
          <w:rFonts w:ascii="Times New Roman" w:hAnsi="Times New Roman"/>
          <w:sz w:val="24"/>
          <w:szCs w:val="24"/>
          <w:lang w:val="fr-FR"/>
        </w:rPr>
        <w:t xml:space="preserve">la présentation du </w:t>
      </w:r>
      <w:r w:rsidR="006262DD" w:rsidRPr="006262DD">
        <w:rPr>
          <w:rFonts w:ascii="Times New Roman" w:hAnsi="Times New Roman"/>
          <w:sz w:val="24"/>
          <w:szCs w:val="24"/>
          <w:lang w:val="fr-FR"/>
        </w:rPr>
        <w:t>document de soumission</w:t>
      </w:r>
      <w:r w:rsidRPr="006262DD">
        <w:rPr>
          <w:rFonts w:ascii="Times New Roman" w:hAnsi="Times New Roman"/>
          <w:sz w:val="24"/>
          <w:szCs w:val="24"/>
          <w:lang w:val="fr-FR"/>
        </w:rPr>
        <w:t xml:space="preserve"> au </w:t>
      </w:r>
      <w:r w:rsidRPr="006262DD">
        <w:rPr>
          <w:rFonts w:ascii="Times New Roman" w:hAnsi="Times New Roman"/>
          <w:sz w:val="24"/>
          <w:szCs w:val="24"/>
          <w:lang w:val="fr-FR" w:eastAsia="fr-FR"/>
        </w:rPr>
        <w:t xml:space="preserve">Comité de Coordination Inter-Agence </w:t>
      </w:r>
      <w:r w:rsidR="006262DD" w:rsidRPr="006262DD">
        <w:rPr>
          <w:rFonts w:ascii="Times New Roman" w:hAnsi="Times New Roman"/>
          <w:sz w:val="24"/>
          <w:szCs w:val="24"/>
          <w:lang w:val="fr-FR" w:eastAsia="fr-FR"/>
        </w:rPr>
        <w:t>(</w:t>
      </w:r>
      <w:r w:rsidRPr="006262DD">
        <w:rPr>
          <w:rFonts w:ascii="Times New Roman" w:hAnsi="Times New Roman"/>
          <w:sz w:val="24"/>
          <w:szCs w:val="24"/>
          <w:lang w:val="fr-FR"/>
        </w:rPr>
        <w:t>CCIA</w:t>
      </w:r>
      <w:r w:rsidR="006262DD" w:rsidRPr="006262DD">
        <w:rPr>
          <w:rFonts w:ascii="Times New Roman" w:hAnsi="Times New Roman"/>
          <w:sz w:val="24"/>
          <w:szCs w:val="24"/>
          <w:lang w:val="fr-FR"/>
        </w:rPr>
        <w:t>)</w:t>
      </w:r>
      <w:r w:rsidRPr="006262DD">
        <w:rPr>
          <w:rFonts w:ascii="Times New Roman" w:hAnsi="Times New Roman"/>
          <w:sz w:val="24"/>
          <w:szCs w:val="24"/>
          <w:lang w:val="fr-FR"/>
        </w:rPr>
        <w:t xml:space="preserve"> pour approbation</w:t>
      </w:r>
    </w:p>
    <w:p w:rsidR="00C34663" w:rsidRPr="006262DD" w:rsidRDefault="00C34663" w:rsidP="00F6588B">
      <w:pPr>
        <w:pStyle w:val="Listecouleur-Accent11"/>
        <w:numPr>
          <w:ilvl w:val="0"/>
          <w:numId w:val="18"/>
        </w:numPr>
        <w:spacing w:after="0" w:line="240" w:lineRule="auto"/>
        <w:ind w:right="115"/>
        <w:jc w:val="both"/>
        <w:divId w:val="410156154"/>
        <w:rPr>
          <w:rFonts w:ascii="Times New Roman" w:hAnsi="Times New Roman"/>
          <w:sz w:val="24"/>
          <w:szCs w:val="24"/>
          <w:lang w:val="fr-FR"/>
        </w:rPr>
      </w:pPr>
      <w:r w:rsidRPr="006262DD">
        <w:rPr>
          <w:rFonts w:ascii="Times New Roman" w:hAnsi="Times New Roman"/>
          <w:sz w:val="24"/>
          <w:szCs w:val="24"/>
          <w:lang w:val="fr-FR"/>
        </w:rPr>
        <w:t xml:space="preserve">l’élaboration du plan d’introduction et des documents de soumission à GAVI </w:t>
      </w:r>
    </w:p>
    <w:p w:rsidR="00C34663" w:rsidRPr="006262DD" w:rsidRDefault="00C34663" w:rsidP="00F6588B">
      <w:pPr>
        <w:pStyle w:val="Listecouleur-Accent11"/>
        <w:numPr>
          <w:ilvl w:val="0"/>
          <w:numId w:val="18"/>
        </w:numPr>
        <w:spacing w:after="0" w:line="240" w:lineRule="auto"/>
        <w:ind w:right="115"/>
        <w:jc w:val="both"/>
        <w:divId w:val="410156154"/>
        <w:rPr>
          <w:rFonts w:ascii="Times New Roman" w:hAnsi="Times New Roman"/>
          <w:sz w:val="24"/>
          <w:szCs w:val="24"/>
          <w:lang w:val="fr-FR"/>
        </w:rPr>
      </w:pPr>
      <w:r w:rsidRPr="006262DD">
        <w:rPr>
          <w:rFonts w:ascii="Times New Roman" w:hAnsi="Times New Roman"/>
          <w:sz w:val="24"/>
          <w:szCs w:val="24"/>
          <w:lang w:val="fr-FR"/>
        </w:rPr>
        <w:t>la soumission à GAVI du plan d’introduction du VPI.</w:t>
      </w:r>
    </w:p>
    <w:p w:rsidR="00C34663" w:rsidRDefault="00C34663" w:rsidP="00F6588B">
      <w:pPr>
        <w:jc w:val="both"/>
        <w:divId w:val="410156154"/>
        <w:rPr>
          <w:lang w:val="fr-FR"/>
        </w:rPr>
      </w:pPr>
      <w:r w:rsidRPr="006262DD">
        <w:rPr>
          <w:lang w:val="fr-FR"/>
        </w:rPr>
        <w:t>Les prochaines étapes s</w:t>
      </w:r>
      <w:r w:rsidR="0033138A">
        <w:rPr>
          <w:lang w:val="fr-FR"/>
        </w:rPr>
        <w:t>er</w:t>
      </w:r>
      <w:r w:rsidRPr="006262DD">
        <w:rPr>
          <w:lang w:val="fr-FR"/>
        </w:rPr>
        <w:t>ont l’obtention de la lettre de décision par le pays et la mise en œuvre des activités.</w:t>
      </w:r>
    </w:p>
    <w:p w:rsidR="0033138A" w:rsidRDefault="0033138A" w:rsidP="00F6588B">
      <w:pPr>
        <w:jc w:val="both"/>
        <w:divId w:val="410156154"/>
        <w:rPr>
          <w:lang w:val="fr-FR"/>
        </w:rPr>
      </w:pPr>
    </w:p>
    <w:p w:rsidR="0033138A" w:rsidRDefault="0033138A" w:rsidP="00F6588B">
      <w:pPr>
        <w:jc w:val="both"/>
        <w:divId w:val="410156154"/>
        <w:rPr>
          <w:lang w:val="fr-FR"/>
        </w:rPr>
      </w:pPr>
    </w:p>
    <w:p w:rsidR="0033138A" w:rsidRPr="006262DD" w:rsidRDefault="0033138A" w:rsidP="00F6588B">
      <w:pPr>
        <w:jc w:val="both"/>
        <w:divId w:val="410156154"/>
        <w:rPr>
          <w:lang w:val="fr-FR"/>
        </w:rPr>
      </w:pPr>
    </w:p>
    <w:p w:rsidR="00110C5D" w:rsidRPr="006262DD" w:rsidRDefault="00110C5D" w:rsidP="00F6588B">
      <w:pPr>
        <w:jc w:val="both"/>
        <w:divId w:val="410156154"/>
        <w:rPr>
          <w:lang w:val="fr-FR"/>
        </w:rPr>
      </w:pPr>
    </w:p>
    <w:p w:rsidR="000A2CB6" w:rsidRPr="0052770E" w:rsidRDefault="00515293">
      <w:pPr>
        <w:pStyle w:val="Paragraphedeliste"/>
        <w:numPr>
          <w:ilvl w:val="0"/>
          <w:numId w:val="2"/>
        </w:numPr>
        <w:spacing w:after="0" w:line="240" w:lineRule="auto"/>
        <w:ind w:right="115"/>
        <w:jc w:val="both"/>
        <w:divId w:val="410156154"/>
        <w:rPr>
          <w:highlight w:val="cyan"/>
          <w:lang w:val="fr-FR"/>
        </w:rPr>
      </w:pPr>
      <w:r w:rsidRPr="0052770E">
        <w:rPr>
          <w:highlight w:val="cyan"/>
          <w:lang w:val="fr-FR"/>
        </w:rPr>
        <w:t xml:space="preserve">Description succincte des principaux risques/défis associés à l’introduction du VPI et des stratégies mises en place pour réduire ces risques (ou relever ces défis).    </w:t>
      </w:r>
    </w:p>
    <w:p w:rsidR="00110C5D" w:rsidRPr="00860CC3" w:rsidRDefault="00110C5D" w:rsidP="00F6588B">
      <w:pPr>
        <w:spacing w:before="120"/>
        <w:ind w:right="120"/>
        <w:jc w:val="both"/>
        <w:divId w:val="410156154"/>
        <w:rPr>
          <w:lang w:val="fr-FR"/>
        </w:rPr>
      </w:pPr>
      <w:r w:rsidRPr="00860CC3">
        <w:rPr>
          <w:lang w:val="fr-FR"/>
        </w:rPr>
        <w:t xml:space="preserve">Les principaux risques </w:t>
      </w:r>
      <w:r w:rsidR="0063165C" w:rsidRPr="00860CC3">
        <w:rPr>
          <w:lang w:val="fr-FR"/>
        </w:rPr>
        <w:t>et défi</w:t>
      </w:r>
      <w:r w:rsidR="00CA1534" w:rsidRPr="00860CC3">
        <w:rPr>
          <w:lang w:val="fr-FR"/>
        </w:rPr>
        <w:t xml:space="preserve">s </w:t>
      </w:r>
      <w:r w:rsidRPr="00860CC3">
        <w:rPr>
          <w:lang w:val="fr-FR"/>
        </w:rPr>
        <w:t>liés à l’introduction du VPI sont d’ordre financier et programmatique</w:t>
      </w:r>
      <w:r w:rsidR="00CA1534" w:rsidRPr="00860CC3">
        <w:rPr>
          <w:lang w:val="fr-FR"/>
        </w:rPr>
        <w:t>, à savoir:</w:t>
      </w:r>
    </w:p>
    <w:p w:rsidR="005974FF" w:rsidRPr="00CA1534" w:rsidRDefault="005974FF" w:rsidP="00F6588B">
      <w:pPr>
        <w:pStyle w:val="Paragraphedeliste"/>
        <w:numPr>
          <w:ilvl w:val="0"/>
          <w:numId w:val="20"/>
        </w:numPr>
        <w:spacing w:before="120" w:after="120" w:line="240" w:lineRule="auto"/>
        <w:ind w:right="600"/>
        <w:jc w:val="both"/>
        <w:divId w:val="410156154"/>
        <w:rPr>
          <w:rFonts w:ascii="Times New Roman" w:hAnsi="Times New Roman"/>
          <w:sz w:val="24"/>
          <w:szCs w:val="24"/>
          <w:lang w:val="fr-FR"/>
        </w:rPr>
      </w:pPr>
      <w:r w:rsidRPr="00CA1534">
        <w:rPr>
          <w:rFonts w:ascii="Times New Roman" w:hAnsi="Times New Roman"/>
          <w:sz w:val="24"/>
          <w:szCs w:val="24"/>
          <w:lang w:val="fr-FR"/>
        </w:rPr>
        <w:t>la capacité à stocker et à conserver les vaccins dans de bonnes conditions</w:t>
      </w:r>
    </w:p>
    <w:p w:rsidR="0063165C" w:rsidRPr="00AC61BB" w:rsidRDefault="0063165C" w:rsidP="0063165C">
      <w:pPr>
        <w:pStyle w:val="Paragraphedeliste"/>
        <w:numPr>
          <w:ilvl w:val="0"/>
          <w:numId w:val="20"/>
        </w:numPr>
        <w:spacing w:after="0" w:line="240" w:lineRule="auto"/>
        <w:jc w:val="both"/>
        <w:divId w:val="410156154"/>
        <w:rPr>
          <w:rFonts w:ascii="Times New Roman" w:hAnsi="Times New Roman"/>
          <w:sz w:val="24"/>
          <w:szCs w:val="24"/>
          <w:lang w:val="fr-FR"/>
        </w:rPr>
      </w:pPr>
      <w:r w:rsidRPr="00AC61BB">
        <w:rPr>
          <w:rFonts w:ascii="Times New Roman" w:hAnsi="Times New Roman"/>
          <w:sz w:val="24"/>
          <w:szCs w:val="24"/>
          <w:lang w:val="fr-FR"/>
        </w:rPr>
        <w:t>la sécurité vaccinale, notamment la gestion des déchets et la sécurité des injections</w:t>
      </w:r>
    </w:p>
    <w:p w:rsidR="005974FF" w:rsidRPr="00AC61BB" w:rsidRDefault="005974FF" w:rsidP="00F6588B">
      <w:pPr>
        <w:pStyle w:val="Paragraphedeliste"/>
        <w:numPr>
          <w:ilvl w:val="0"/>
          <w:numId w:val="20"/>
        </w:numPr>
        <w:spacing w:before="120" w:after="120" w:line="240" w:lineRule="auto"/>
        <w:ind w:right="720"/>
        <w:jc w:val="both"/>
        <w:divId w:val="410156154"/>
        <w:rPr>
          <w:rFonts w:ascii="Times New Roman" w:hAnsi="Times New Roman"/>
          <w:sz w:val="24"/>
          <w:szCs w:val="24"/>
          <w:lang w:val="fr-FR"/>
        </w:rPr>
      </w:pPr>
      <w:r w:rsidRPr="00AC61BB">
        <w:rPr>
          <w:rFonts w:ascii="Times New Roman" w:hAnsi="Times New Roman"/>
          <w:sz w:val="24"/>
          <w:szCs w:val="24"/>
          <w:lang w:val="fr-FR"/>
        </w:rPr>
        <w:t>la gestion des rumeurs et des MAP</w:t>
      </w:r>
      <w:r w:rsidR="0052770E" w:rsidRPr="00AC61BB">
        <w:rPr>
          <w:rFonts w:ascii="Times New Roman" w:hAnsi="Times New Roman"/>
          <w:sz w:val="24"/>
          <w:szCs w:val="24"/>
          <w:lang w:val="fr-FR"/>
        </w:rPr>
        <w:t>I</w:t>
      </w:r>
    </w:p>
    <w:p w:rsidR="0063165C" w:rsidRPr="00AC61BB" w:rsidRDefault="0063165C" w:rsidP="0063165C">
      <w:pPr>
        <w:pStyle w:val="Paragraphedeliste"/>
        <w:numPr>
          <w:ilvl w:val="0"/>
          <w:numId w:val="20"/>
        </w:numPr>
        <w:spacing w:after="0" w:line="240" w:lineRule="auto"/>
        <w:jc w:val="both"/>
        <w:divId w:val="410156154"/>
        <w:rPr>
          <w:rFonts w:ascii="Times New Roman" w:hAnsi="Times New Roman"/>
          <w:sz w:val="24"/>
          <w:szCs w:val="24"/>
          <w:lang w:val="fr-FR"/>
        </w:rPr>
      </w:pPr>
      <w:r w:rsidRPr="00AC61BB">
        <w:rPr>
          <w:rFonts w:ascii="Times New Roman" w:hAnsi="Times New Roman"/>
          <w:sz w:val="24"/>
          <w:szCs w:val="24"/>
          <w:lang w:val="fr-FR"/>
        </w:rPr>
        <w:t>l’acceptation des injections multiples par les parents et le personnel de santé</w:t>
      </w:r>
    </w:p>
    <w:p w:rsidR="0063165C" w:rsidRPr="00AC61BB" w:rsidRDefault="0063165C" w:rsidP="003046BF">
      <w:pPr>
        <w:pStyle w:val="Paragraphedeliste"/>
        <w:numPr>
          <w:ilvl w:val="0"/>
          <w:numId w:val="63"/>
        </w:numPr>
        <w:spacing w:after="0" w:line="240" w:lineRule="auto"/>
        <w:jc w:val="both"/>
        <w:divId w:val="410156154"/>
        <w:rPr>
          <w:rFonts w:ascii="Times New Roman" w:hAnsi="Times New Roman"/>
          <w:sz w:val="24"/>
          <w:szCs w:val="24"/>
          <w:lang w:val="fr-FR"/>
        </w:rPr>
      </w:pPr>
      <w:r w:rsidRPr="00AC61BB">
        <w:rPr>
          <w:rFonts w:ascii="Times New Roman" w:hAnsi="Times New Roman"/>
          <w:sz w:val="24"/>
          <w:szCs w:val="24"/>
          <w:lang w:val="fr-FR"/>
        </w:rPr>
        <w:t>la mobilisation des coûts liés à l’introduction</w:t>
      </w:r>
    </w:p>
    <w:p w:rsidR="0063165C" w:rsidRPr="00AC61BB" w:rsidRDefault="0063165C" w:rsidP="00F6588B">
      <w:pPr>
        <w:jc w:val="both"/>
        <w:divId w:val="410156154"/>
        <w:rPr>
          <w:lang w:val="fr-FR"/>
        </w:rPr>
      </w:pPr>
    </w:p>
    <w:p w:rsidR="005974FF" w:rsidRPr="00CA1534" w:rsidRDefault="005974FF" w:rsidP="00F6588B">
      <w:pPr>
        <w:jc w:val="both"/>
        <w:divId w:val="410156154"/>
        <w:rPr>
          <w:lang w:val="fr-FR"/>
        </w:rPr>
      </w:pPr>
      <w:r w:rsidRPr="00CA1534">
        <w:rPr>
          <w:lang w:val="fr-FR"/>
        </w:rPr>
        <w:t xml:space="preserve">Les </w:t>
      </w:r>
      <w:r w:rsidRPr="00F6588B">
        <w:rPr>
          <w:lang w:val="fr-FR"/>
        </w:rPr>
        <w:t>principales stratégies</w:t>
      </w:r>
      <w:r w:rsidR="00802F63">
        <w:rPr>
          <w:lang w:val="fr-FR"/>
        </w:rPr>
        <w:t xml:space="preserve"> </w:t>
      </w:r>
      <w:r w:rsidR="002E586E">
        <w:rPr>
          <w:lang w:val="fr-FR"/>
        </w:rPr>
        <w:t>qui seront mises en place pour lever ces risques sont :</w:t>
      </w:r>
    </w:p>
    <w:p w:rsidR="00CA1534" w:rsidRPr="00CA1534" w:rsidRDefault="00CA1534" w:rsidP="00F6588B">
      <w:pPr>
        <w:pStyle w:val="Paragraphedeliste"/>
        <w:numPr>
          <w:ilvl w:val="0"/>
          <w:numId w:val="19"/>
        </w:numPr>
        <w:spacing w:line="240" w:lineRule="auto"/>
        <w:jc w:val="both"/>
        <w:divId w:val="410156154"/>
        <w:rPr>
          <w:rFonts w:ascii="Times New Roman" w:hAnsi="Times New Roman"/>
          <w:sz w:val="24"/>
          <w:szCs w:val="24"/>
          <w:lang w:val="fr-FR"/>
        </w:rPr>
      </w:pPr>
      <w:r w:rsidRPr="00CA1534">
        <w:rPr>
          <w:rFonts w:ascii="Times New Roman" w:hAnsi="Times New Roman"/>
          <w:sz w:val="24"/>
          <w:szCs w:val="24"/>
          <w:lang w:val="fr-FR"/>
        </w:rPr>
        <w:t>le plaidoyer auprès de l’Etat et ses partenaires en faveur de la mobilisation de ressources additionnelles</w:t>
      </w:r>
    </w:p>
    <w:p w:rsidR="00CA1534" w:rsidRPr="00CA1534" w:rsidRDefault="00CA1534" w:rsidP="00F6588B">
      <w:pPr>
        <w:pStyle w:val="Paragraphedeliste"/>
        <w:numPr>
          <w:ilvl w:val="0"/>
          <w:numId w:val="19"/>
        </w:numPr>
        <w:spacing w:line="240" w:lineRule="auto"/>
        <w:jc w:val="both"/>
        <w:divId w:val="410156154"/>
        <w:rPr>
          <w:rFonts w:ascii="Times New Roman" w:hAnsi="Times New Roman"/>
          <w:sz w:val="24"/>
          <w:szCs w:val="24"/>
          <w:lang w:val="fr-FR"/>
        </w:rPr>
      </w:pPr>
      <w:r w:rsidRPr="00CA1534">
        <w:rPr>
          <w:rFonts w:ascii="Times New Roman" w:hAnsi="Times New Roman"/>
          <w:sz w:val="24"/>
          <w:szCs w:val="24"/>
          <w:lang w:val="fr-FR"/>
        </w:rPr>
        <w:t>le renforcement de la capacité de stockage et de conservation,</w:t>
      </w:r>
    </w:p>
    <w:p w:rsidR="00CA1534" w:rsidRPr="00CA1534" w:rsidRDefault="00CA1534" w:rsidP="00F6588B">
      <w:pPr>
        <w:pStyle w:val="Paragraphedeliste"/>
        <w:numPr>
          <w:ilvl w:val="0"/>
          <w:numId w:val="19"/>
        </w:numPr>
        <w:spacing w:line="240" w:lineRule="auto"/>
        <w:ind w:right="120"/>
        <w:jc w:val="both"/>
        <w:divId w:val="410156154"/>
        <w:rPr>
          <w:rFonts w:ascii="Times New Roman" w:hAnsi="Times New Roman"/>
          <w:sz w:val="24"/>
          <w:szCs w:val="24"/>
          <w:lang w:val="fr-FR"/>
        </w:rPr>
      </w:pPr>
      <w:r w:rsidRPr="00CA1534">
        <w:rPr>
          <w:rFonts w:ascii="Times New Roman" w:hAnsi="Times New Roman"/>
          <w:sz w:val="24"/>
          <w:szCs w:val="24"/>
          <w:lang w:val="fr-FR"/>
        </w:rPr>
        <w:t>le renforcement des capacités techniques des gestionnaires du PEV à tous les niveaux en matière de gestion des vaccins</w:t>
      </w:r>
    </w:p>
    <w:p w:rsidR="005974FF" w:rsidRPr="00CA1534" w:rsidRDefault="00E51FFC" w:rsidP="00F6588B">
      <w:pPr>
        <w:pStyle w:val="Paragraphedeliste"/>
        <w:numPr>
          <w:ilvl w:val="0"/>
          <w:numId w:val="19"/>
        </w:numPr>
        <w:spacing w:before="120" w:after="120" w:line="240" w:lineRule="auto"/>
        <w:ind w:right="240"/>
        <w:jc w:val="both"/>
        <w:divId w:val="410156154"/>
        <w:rPr>
          <w:rFonts w:ascii="Times New Roman" w:hAnsi="Times New Roman"/>
          <w:sz w:val="24"/>
          <w:szCs w:val="24"/>
          <w:lang w:val="fr-FR"/>
        </w:rPr>
      </w:pPr>
      <w:r w:rsidRPr="00860CC3">
        <w:rPr>
          <w:rFonts w:ascii="Times New Roman" w:hAnsi="Times New Roman"/>
          <w:sz w:val="24"/>
          <w:szCs w:val="24"/>
          <w:lang w:val="fr-FR"/>
        </w:rPr>
        <w:t>la</w:t>
      </w:r>
      <w:r w:rsidR="005974FF" w:rsidRPr="00860CC3">
        <w:rPr>
          <w:rFonts w:ascii="Times New Roman" w:hAnsi="Times New Roman"/>
          <w:sz w:val="24"/>
          <w:szCs w:val="24"/>
          <w:lang w:val="fr-FR"/>
        </w:rPr>
        <w:t xml:space="preserve"> révision des directives existantes ainsi qu’un rappel des aspects de conservation et d’utilisation des vaccins lors des formations et des supervisions des prestataires</w:t>
      </w:r>
    </w:p>
    <w:p w:rsidR="00CA1534" w:rsidRPr="00CA1534" w:rsidRDefault="00CA1534" w:rsidP="00F6588B">
      <w:pPr>
        <w:pStyle w:val="Paragraphedeliste"/>
        <w:numPr>
          <w:ilvl w:val="0"/>
          <w:numId w:val="19"/>
        </w:numPr>
        <w:spacing w:before="120" w:after="120" w:line="240" w:lineRule="auto"/>
        <w:ind w:right="240"/>
        <w:jc w:val="both"/>
        <w:divId w:val="410156154"/>
        <w:rPr>
          <w:rFonts w:ascii="Times New Roman" w:hAnsi="Times New Roman"/>
          <w:sz w:val="24"/>
          <w:szCs w:val="24"/>
          <w:lang w:val="fr-FR"/>
        </w:rPr>
      </w:pPr>
      <w:r w:rsidRPr="00860CC3">
        <w:rPr>
          <w:rFonts w:ascii="Times New Roman" w:hAnsi="Times New Roman"/>
          <w:sz w:val="24"/>
          <w:szCs w:val="24"/>
          <w:lang w:val="fr-FR"/>
        </w:rPr>
        <w:t>l’intégration de la surveillance et la prise de charge des MAPI dans le système de pharmacovigilance existant</w:t>
      </w:r>
    </w:p>
    <w:p w:rsidR="00CA1534" w:rsidRPr="00CA1534" w:rsidRDefault="00CA1534" w:rsidP="00F6588B">
      <w:pPr>
        <w:pStyle w:val="Paragraphedeliste"/>
        <w:numPr>
          <w:ilvl w:val="0"/>
          <w:numId w:val="19"/>
        </w:numPr>
        <w:spacing w:before="120" w:after="120" w:line="240" w:lineRule="auto"/>
        <w:ind w:right="240"/>
        <w:jc w:val="both"/>
        <w:divId w:val="410156154"/>
        <w:rPr>
          <w:rFonts w:ascii="Times New Roman" w:hAnsi="Times New Roman"/>
          <w:sz w:val="24"/>
          <w:szCs w:val="24"/>
          <w:lang w:val="fr-FR"/>
        </w:rPr>
      </w:pPr>
      <w:r w:rsidRPr="00860CC3">
        <w:rPr>
          <w:rFonts w:ascii="Times New Roman" w:hAnsi="Times New Roman"/>
          <w:sz w:val="24"/>
          <w:szCs w:val="24"/>
          <w:lang w:val="fr-FR"/>
        </w:rPr>
        <w:t>l’élaboration d’un plan spécifique de communication mettant l’accent sur la communication interpersonnelle</w:t>
      </w:r>
      <w:r w:rsidR="007B60C5" w:rsidRPr="00860CC3">
        <w:rPr>
          <w:rFonts w:ascii="Times New Roman" w:hAnsi="Times New Roman"/>
          <w:sz w:val="24"/>
          <w:szCs w:val="24"/>
          <w:lang w:val="fr-FR"/>
        </w:rPr>
        <w:t xml:space="preserve">, </w:t>
      </w:r>
      <w:r w:rsidRPr="00860CC3">
        <w:rPr>
          <w:rFonts w:ascii="Times New Roman" w:hAnsi="Times New Roman"/>
          <w:sz w:val="24"/>
          <w:szCs w:val="24"/>
          <w:lang w:val="fr-FR"/>
        </w:rPr>
        <w:t>la communication de proximité</w:t>
      </w:r>
      <w:r w:rsidR="007B60C5" w:rsidRPr="00860CC3">
        <w:rPr>
          <w:rFonts w:ascii="Times New Roman" w:hAnsi="Times New Roman"/>
          <w:sz w:val="24"/>
          <w:szCs w:val="24"/>
          <w:lang w:val="fr-FR"/>
        </w:rPr>
        <w:t xml:space="preserve"> et la communication de crise</w:t>
      </w:r>
    </w:p>
    <w:p w:rsidR="00CA1534" w:rsidRPr="00CA1534" w:rsidRDefault="00CA1534" w:rsidP="00F6588B">
      <w:pPr>
        <w:pStyle w:val="Paragraphedeliste"/>
        <w:numPr>
          <w:ilvl w:val="0"/>
          <w:numId w:val="19"/>
        </w:numPr>
        <w:spacing w:line="240" w:lineRule="auto"/>
        <w:jc w:val="both"/>
        <w:divId w:val="410156154"/>
        <w:rPr>
          <w:rFonts w:ascii="Times New Roman" w:hAnsi="Times New Roman"/>
          <w:sz w:val="24"/>
          <w:szCs w:val="24"/>
          <w:lang w:val="fr-FR"/>
        </w:rPr>
      </w:pPr>
      <w:r w:rsidRPr="00CA1534">
        <w:rPr>
          <w:rFonts w:ascii="Times New Roman" w:hAnsi="Times New Roman"/>
          <w:sz w:val="24"/>
          <w:szCs w:val="24"/>
          <w:lang w:val="fr-FR"/>
        </w:rPr>
        <w:t>le renforcement des capacités techniques des gestionnaires du PEV à tous les niveaux en matière de communication de crises et à la gestion des vaccins</w:t>
      </w:r>
    </w:p>
    <w:p w:rsidR="00CA1534" w:rsidRPr="00CA1534" w:rsidRDefault="00CA1534" w:rsidP="00802F63">
      <w:pPr>
        <w:pStyle w:val="Paragraphedeliste"/>
        <w:numPr>
          <w:ilvl w:val="0"/>
          <w:numId w:val="19"/>
        </w:numPr>
        <w:spacing w:after="0" w:line="240" w:lineRule="auto"/>
        <w:ind w:right="240"/>
        <w:jc w:val="both"/>
        <w:divId w:val="410156154"/>
        <w:rPr>
          <w:rFonts w:ascii="Times New Roman" w:hAnsi="Times New Roman"/>
          <w:sz w:val="24"/>
          <w:szCs w:val="24"/>
          <w:lang w:val="fr-FR"/>
        </w:rPr>
      </w:pPr>
      <w:r w:rsidRPr="00CA1534">
        <w:rPr>
          <w:rFonts w:ascii="Times New Roman" w:hAnsi="Times New Roman"/>
          <w:sz w:val="24"/>
          <w:szCs w:val="24"/>
          <w:lang w:val="fr-FR"/>
        </w:rPr>
        <w:t>l</w:t>
      </w:r>
      <w:r w:rsidR="00802F63">
        <w:rPr>
          <w:rFonts w:ascii="Times New Roman" w:hAnsi="Times New Roman"/>
          <w:sz w:val="24"/>
          <w:szCs w:val="24"/>
          <w:lang w:val="fr-FR"/>
        </w:rPr>
        <w:t>’</w:t>
      </w:r>
      <w:r w:rsidRPr="00CA1534">
        <w:rPr>
          <w:rFonts w:ascii="Times New Roman" w:hAnsi="Times New Roman"/>
          <w:sz w:val="24"/>
          <w:szCs w:val="24"/>
          <w:lang w:val="fr-FR"/>
        </w:rPr>
        <w:t>a</w:t>
      </w:r>
      <w:r w:rsidR="00802F63">
        <w:rPr>
          <w:rFonts w:ascii="Times New Roman" w:hAnsi="Times New Roman"/>
          <w:sz w:val="24"/>
          <w:szCs w:val="24"/>
          <w:lang w:val="fr-FR"/>
        </w:rPr>
        <w:t>cquisition de fonderies</w:t>
      </w:r>
    </w:p>
    <w:p w:rsidR="00110C5D" w:rsidRDefault="00110C5D" w:rsidP="00F6588B">
      <w:pPr>
        <w:ind w:right="235"/>
        <w:jc w:val="both"/>
        <w:divId w:val="410156154"/>
        <w:rPr>
          <w:lang w:val="fr-FR"/>
        </w:rPr>
      </w:pPr>
    </w:p>
    <w:p w:rsidR="007F5242" w:rsidRDefault="007F5242" w:rsidP="00F6588B">
      <w:pPr>
        <w:ind w:right="235"/>
        <w:jc w:val="both"/>
        <w:divId w:val="410156154"/>
        <w:rPr>
          <w:lang w:val="fr-FR"/>
        </w:rPr>
      </w:pPr>
    </w:p>
    <w:p w:rsidR="007F5242" w:rsidRDefault="007F5242" w:rsidP="00F6588B">
      <w:pPr>
        <w:ind w:right="235"/>
        <w:jc w:val="both"/>
        <w:divId w:val="410156154"/>
        <w:rPr>
          <w:lang w:val="fr-FR"/>
        </w:rPr>
      </w:pPr>
    </w:p>
    <w:p w:rsidR="007F5242" w:rsidRDefault="007F5242" w:rsidP="00F6588B">
      <w:pPr>
        <w:ind w:right="235"/>
        <w:jc w:val="both"/>
        <w:divId w:val="410156154"/>
        <w:rPr>
          <w:lang w:val="fr-FR"/>
        </w:rPr>
      </w:pPr>
    </w:p>
    <w:p w:rsidR="007F5242" w:rsidRDefault="007F5242" w:rsidP="00F6588B">
      <w:pPr>
        <w:ind w:right="235"/>
        <w:jc w:val="both"/>
        <w:divId w:val="410156154"/>
        <w:rPr>
          <w:lang w:val="fr-FR"/>
        </w:rPr>
      </w:pPr>
    </w:p>
    <w:p w:rsidR="007F5242" w:rsidRDefault="007F5242" w:rsidP="00F6588B">
      <w:pPr>
        <w:ind w:right="235"/>
        <w:jc w:val="both"/>
        <w:divId w:val="410156154"/>
        <w:rPr>
          <w:lang w:val="fr-FR"/>
        </w:rPr>
      </w:pPr>
    </w:p>
    <w:p w:rsidR="007F5242" w:rsidRDefault="007F5242" w:rsidP="00F6588B">
      <w:pPr>
        <w:ind w:right="235"/>
        <w:jc w:val="both"/>
        <w:divId w:val="410156154"/>
        <w:rPr>
          <w:lang w:val="fr-FR"/>
        </w:rPr>
      </w:pPr>
    </w:p>
    <w:p w:rsidR="007F5242" w:rsidRDefault="007F5242" w:rsidP="00F6588B">
      <w:pPr>
        <w:ind w:right="235"/>
        <w:jc w:val="both"/>
        <w:divId w:val="410156154"/>
        <w:rPr>
          <w:lang w:val="fr-FR"/>
        </w:rPr>
      </w:pPr>
    </w:p>
    <w:p w:rsidR="007F5242" w:rsidRDefault="007F5242" w:rsidP="00F6588B">
      <w:pPr>
        <w:ind w:right="235"/>
        <w:jc w:val="both"/>
        <w:divId w:val="410156154"/>
        <w:rPr>
          <w:lang w:val="fr-FR"/>
        </w:rPr>
      </w:pPr>
    </w:p>
    <w:p w:rsidR="007F5242" w:rsidRDefault="007F5242" w:rsidP="00F6588B">
      <w:pPr>
        <w:ind w:right="235"/>
        <w:jc w:val="both"/>
        <w:divId w:val="410156154"/>
        <w:rPr>
          <w:lang w:val="fr-FR"/>
        </w:rPr>
      </w:pPr>
    </w:p>
    <w:p w:rsidR="007F5242" w:rsidRDefault="007F5242" w:rsidP="00F6588B">
      <w:pPr>
        <w:ind w:right="235"/>
        <w:jc w:val="both"/>
        <w:divId w:val="410156154"/>
        <w:rPr>
          <w:lang w:val="fr-FR"/>
        </w:rPr>
      </w:pPr>
    </w:p>
    <w:p w:rsidR="007F5242" w:rsidRDefault="007F5242" w:rsidP="00F6588B">
      <w:pPr>
        <w:ind w:right="235"/>
        <w:jc w:val="both"/>
        <w:divId w:val="410156154"/>
        <w:rPr>
          <w:lang w:val="fr-FR"/>
        </w:rPr>
      </w:pPr>
    </w:p>
    <w:p w:rsidR="007F5242" w:rsidRDefault="007F5242" w:rsidP="00F6588B">
      <w:pPr>
        <w:ind w:right="235"/>
        <w:jc w:val="both"/>
        <w:divId w:val="410156154"/>
        <w:rPr>
          <w:lang w:val="fr-FR"/>
        </w:rPr>
      </w:pPr>
    </w:p>
    <w:p w:rsidR="007F5242" w:rsidRDefault="007F5242" w:rsidP="00F6588B">
      <w:pPr>
        <w:ind w:right="235"/>
        <w:jc w:val="both"/>
        <w:divId w:val="410156154"/>
        <w:rPr>
          <w:lang w:val="fr-FR"/>
        </w:rPr>
      </w:pPr>
    </w:p>
    <w:p w:rsidR="007F5242" w:rsidRDefault="007F5242" w:rsidP="00F6588B">
      <w:pPr>
        <w:ind w:right="235"/>
        <w:jc w:val="both"/>
        <w:divId w:val="410156154"/>
        <w:rPr>
          <w:lang w:val="fr-FR"/>
        </w:rPr>
      </w:pPr>
    </w:p>
    <w:p w:rsidR="007F5242" w:rsidRDefault="007F5242" w:rsidP="00F6588B">
      <w:pPr>
        <w:ind w:right="235"/>
        <w:jc w:val="both"/>
        <w:divId w:val="410156154"/>
        <w:rPr>
          <w:lang w:val="fr-FR"/>
        </w:rPr>
      </w:pPr>
    </w:p>
    <w:p w:rsidR="007F5242" w:rsidRDefault="007F5242" w:rsidP="00F6588B">
      <w:pPr>
        <w:ind w:right="235"/>
        <w:jc w:val="both"/>
        <w:divId w:val="410156154"/>
        <w:rPr>
          <w:lang w:val="fr-FR"/>
        </w:rPr>
      </w:pPr>
    </w:p>
    <w:p w:rsidR="007F5242" w:rsidRDefault="007F5242" w:rsidP="00F6588B">
      <w:pPr>
        <w:ind w:right="235"/>
        <w:jc w:val="both"/>
        <w:divId w:val="410156154"/>
        <w:rPr>
          <w:lang w:val="fr-FR"/>
        </w:rPr>
      </w:pPr>
    </w:p>
    <w:p w:rsidR="007F5242" w:rsidRDefault="007F5242" w:rsidP="00F6588B">
      <w:pPr>
        <w:ind w:right="235"/>
        <w:jc w:val="both"/>
        <w:divId w:val="410156154"/>
        <w:rPr>
          <w:lang w:val="fr-FR"/>
        </w:rPr>
      </w:pPr>
    </w:p>
    <w:p w:rsidR="007F5242" w:rsidRDefault="007F5242" w:rsidP="007B60C5">
      <w:pPr>
        <w:ind w:right="235"/>
        <w:jc w:val="both"/>
        <w:divId w:val="410156154"/>
        <w:rPr>
          <w:rFonts w:eastAsia="SimSun"/>
          <w:b/>
          <w:color w:val="1F497D" w:themeColor="text2"/>
          <w:lang w:val="fr-FR"/>
        </w:rPr>
      </w:pPr>
    </w:p>
    <w:p w:rsidR="000A2CB6" w:rsidRPr="00E51FFC" w:rsidRDefault="00515293" w:rsidP="007B60C5">
      <w:pPr>
        <w:ind w:right="235"/>
        <w:jc w:val="both"/>
        <w:divId w:val="410156154"/>
        <w:rPr>
          <w:rFonts w:eastAsia="SimSun"/>
          <w:b/>
          <w:color w:val="1F497D" w:themeColor="text2"/>
          <w:lang w:val="fr-FR"/>
        </w:rPr>
      </w:pPr>
      <w:r w:rsidRPr="00E51FFC">
        <w:rPr>
          <w:rFonts w:eastAsia="SimSun"/>
          <w:b/>
          <w:color w:val="1F497D" w:themeColor="text2"/>
          <w:lang w:val="fr-FR"/>
        </w:rPr>
        <w:lastRenderedPageBreak/>
        <w:t xml:space="preserve">Le présent document couvre les domaines suivants :    </w:t>
      </w:r>
    </w:p>
    <w:p w:rsidR="000A2CB6" w:rsidRPr="00A254D6" w:rsidRDefault="00515293" w:rsidP="00A254D6">
      <w:pPr>
        <w:pStyle w:val="Paragraphedeliste"/>
        <w:spacing w:after="0" w:line="240" w:lineRule="auto"/>
        <w:ind w:left="840" w:right="235"/>
        <w:jc w:val="both"/>
        <w:divId w:val="410156154"/>
        <w:rPr>
          <w:lang w:val="fr-FR"/>
        </w:rPr>
      </w:pPr>
      <w:r w:rsidRPr="00E51FFC">
        <w:rPr>
          <w:rFonts w:eastAsia="SimSun"/>
          <w:lang w:val="fr-FR"/>
        </w:rPr>
        <w:t xml:space="preserve">1. </w:t>
      </w:r>
      <w:r w:rsidRPr="00A254D6">
        <w:rPr>
          <w:lang w:val="fr-FR"/>
        </w:rPr>
        <w:t xml:space="preserve">Justification de l’introduction du VPI et processus décisionnel national    </w:t>
      </w:r>
    </w:p>
    <w:p w:rsidR="000A2CB6" w:rsidRPr="00A254D6" w:rsidRDefault="00515293" w:rsidP="00A254D6">
      <w:pPr>
        <w:pStyle w:val="Paragraphedeliste"/>
        <w:spacing w:after="0" w:line="240" w:lineRule="auto"/>
        <w:ind w:left="840" w:right="235"/>
        <w:jc w:val="both"/>
        <w:divId w:val="410156154"/>
        <w:rPr>
          <w:lang w:val="fr-FR"/>
        </w:rPr>
      </w:pPr>
      <w:r w:rsidRPr="00A254D6">
        <w:rPr>
          <w:lang w:val="fr-FR"/>
        </w:rPr>
        <w:t xml:space="preserve">2. Présentation générale du VPI   </w:t>
      </w:r>
    </w:p>
    <w:p w:rsidR="000A2CB6" w:rsidRPr="00A254D6" w:rsidRDefault="00515293" w:rsidP="00A254D6">
      <w:pPr>
        <w:pStyle w:val="Paragraphedeliste"/>
        <w:spacing w:after="0" w:line="240" w:lineRule="auto"/>
        <w:ind w:left="840" w:right="235"/>
        <w:jc w:val="both"/>
        <w:divId w:val="410156154"/>
        <w:rPr>
          <w:lang w:val="fr-FR"/>
        </w:rPr>
      </w:pPr>
      <w:r w:rsidRPr="00A254D6">
        <w:rPr>
          <w:lang w:val="fr-FR"/>
        </w:rPr>
        <w:t xml:space="preserve">3. Considérations liées à l’introduction et à la mise en œuvre   </w:t>
      </w:r>
    </w:p>
    <w:p w:rsidR="000A2CB6" w:rsidRPr="00A254D6" w:rsidRDefault="00515293" w:rsidP="00A254D6">
      <w:pPr>
        <w:pStyle w:val="Paragraphedeliste"/>
        <w:spacing w:after="0" w:line="240" w:lineRule="auto"/>
        <w:ind w:left="840" w:right="235"/>
        <w:jc w:val="both"/>
        <w:divId w:val="410156154"/>
        <w:rPr>
          <w:lang w:val="fr-FR"/>
        </w:rPr>
      </w:pPr>
      <w:r w:rsidRPr="00A254D6">
        <w:rPr>
          <w:lang w:val="fr-FR"/>
        </w:rPr>
        <w:t xml:space="preserve">4. Analyse situationnelle du programme de vaccination   </w:t>
      </w:r>
    </w:p>
    <w:p w:rsidR="000A2CB6" w:rsidRPr="00A254D6" w:rsidRDefault="00E51FFC" w:rsidP="00A254D6">
      <w:pPr>
        <w:pStyle w:val="Paragraphedeliste"/>
        <w:spacing w:after="0" w:line="240" w:lineRule="auto"/>
        <w:ind w:left="840" w:right="235"/>
        <w:jc w:val="both"/>
        <w:divId w:val="410156154"/>
        <w:rPr>
          <w:lang w:val="fr-FR"/>
        </w:rPr>
      </w:pPr>
      <w:r w:rsidRPr="00A254D6">
        <w:rPr>
          <w:lang w:val="fr-FR"/>
        </w:rPr>
        <w:t xml:space="preserve">5. Suivi et </w:t>
      </w:r>
      <w:r w:rsidR="00515293" w:rsidRPr="00A254D6">
        <w:rPr>
          <w:lang w:val="fr-FR"/>
        </w:rPr>
        <w:t xml:space="preserve">évaluation   </w:t>
      </w:r>
    </w:p>
    <w:p w:rsidR="000A2CB6" w:rsidRPr="00A254D6" w:rsidRDefault="00515293" w:rsidP="00A254D6">
      <w:pPr>
        <w:pStyle w:val="Paragraphedeliste"/>
        <w:spacing w:after="0" w:line="240" w:lineRule="auto"/>
        <w:ind w:left="840" w:right="235"/>
        <w:jc w:val="both"/>
        <w:divId w:val="410156154"/>
        <w:rPr>
          <w:lang w:val="fr-FR"/>
        </w:rPr>
      </w:pPr>
      <w:r w:rsidRPr="00A254D6">
        <w:rPr>
          <w:lang w:val="fr-FR"/>
        </w:rPr>
        <w:t>6. Plaidoyer, communication et mobilisation sociale</w:t>
      </w:r>
    </w:p>
    <w:p w:rsidR="00A254D6" w:rsidRPr="00A254D6" w:rsidRDefault="00A254D6" w:rsidP="00A254D6">
      <w:pPr>
        <w:pStyle w:val="Paragraphedeliste"/>
        <w:spacing w:after="0" w:line="240" w:lineRule="auto"/>
        <w:ind w:left="840" w:right="235"/>
        <w:jc w:val="both"/>
        <w:divId w:val="410156154"/>
        <w:rPr>
          <w:highlight w:val="cyan"/>
          <w:lang w:val="fr-FR"/>
        </w:rPr>
      </w:pPr>
    </w:p>
    <w:p w:rsidR="000A2CB6" w:rsidRPr="00C369C9" w:rsidRDefault="00515293">
      <w:pPr>
        <w:spacing w:after="120"/>
        <w:divId w:val="410156154"/>
        <w:rPr>
          <w:rFonts w:asciiTheme="minorHAnsi" w:eastAsia="SimSun" w:hAnsiTheme="minorHAnsi"/>
          <w:b/>
          <w:color w:val="1F497D" w:themeColor="text2"/>
          <w:sz w:val="28"/>
          <w:szCs w:val="28"/>
          <w:lang w:val="fr-FR"/>
        </w:rPr>
      </w:pPr>
      <w:r w:rsidRPr="00C369C9">
        <w:rPr>
          <w:rFonts w:asciiTheme="minorHAnsi" w:eastAsia="SimSun" w:hAnsiTheme="minorHAnsi"/>
          <w:b/>
          <w:color w:val="1F497D" w:themeColor="text2"/>
          <w:sz w:val="28"/>
          <w:szCs w:val="28"/>
          <w:lang w:val="fr-FR"/>
        </w:rPr>
        <w:t xml:space="preserve">1. Justification de l’introduction du VPI et processus décisionnelnational </w:t>
      </w:r>
    </w:p>
    <w:p w:rsidR="00302E2F" w:rsidRDefault="00515293">
      <w:pPr>
        <w:pStyle w:val="Paragraphedeliste"/>
        <w:numPr>
          <w:ilvl w:val="0"/>
          <w:numId w:val="2"/>
        </w:numPr>
        <w:spacing w:after="0" w:line="240" w:lineRule="auto"/>
        <w:ind w:right="115"/>
        <w:jc w:val="both"/>
        <w:divId w:val="410156154"/>
        <w:rPr>
          <w:highlight w:val="cyan"/>
          <w:lang w:val="fr-FR"/>
        </w:rPr>
      </w:pPr>
      <w:r w:rsidRPr="00817490">
        <w:rPr>
          <w:highlight w:val="cyan"/>
          <w:lang w:val="fr-FR"/>
        </w:rPr>
        <w:t xml:space="preserve">Attester que les principaux décideurs des organismes concernés (ministère de la Santé, ministère des Finances, etc.) ont participé aux débats sur l’introduction, pris part aux décisions finales concernant l’introduction du VPI et approuvé celle-ci.   </w:t>
      </w:r>
    </w:p>
    <w:p w:rsidR="00E51FFC" w:rsidRPr="00817490" w:rsidRDefault="00E51FFC" w:rsidP="00E51FFC">
      <w:pPr>
        <w:pStyle w:val="Paragraphedeliste"/>
        <w:spacing w:after="0" w:line="240" w:lineRule="auto"/>
        <w:ind w:right="115"/>
        <w:jc w:val="both"/>
        <w:divId w:val="410156154"/>
        <w:rPr>
          <w:highlight w:val="cyan"/>
          <w:lang w:val="fr-FR"/>
        </w:rPr>
      </w:pPr>
    </w:p>
    <w:p w:rsidR="00817490" w:rsidRPr="00860CC3" w:rsidRDefault="00817490" w:rsidP="00FD4940">
      <w:pPr>
        <w:autoSpaceDE w:val="0"/>
        <w:autoSpaceDN w:val="0"/>
        <w:adjustRightInd w:val="0"/>
        <w:jc w:val="both"/>
        <w:divId w:val="410156154"/>
        <w:rPr>
          <w:lang w:val="fr-FR"/>
        </w:rPr>
      </w:pPr>
      <w:r w:rsidRPr="00860CC3">
        <w:rPr>
          <w:lang w:val="fr-FR"/>
        </w:rPr>
        <w:t>En 1988, l'Assemblée Mondiale de la Santé a adopté l’objectif d'éradication de la poliomyélite d’ici à l’an 2000.</w:t>
      </w:r>
    </w:p>
    <w:p w:rsidR="00E51FFC" w:rsidRPr="00860CC3" w:rsidRDefault="00817490" w:rsidP="00E51FFC">
      <w:pPr>
        <w:autoSpaceDE w:val="0"/>
        <w:autoSpaceDN w:val="0"/>
        <w:adjustRightInd w:val="0"/>
        <w:spacing w:before="120"/>
        <w:ind w:right="120"/>
        <w:jc w:val="both"/>
        <w:divId w:val="410156154"/>
        <w:rPr>
          <w:lang w:val="fr-FR"/>
        </w:rPr>
      </w:pPr>
      <w:r w:rsidRPr="00860CC3">
        <w:rPr>
          <w:lang w:val="fr-FR"/>
        </w:rPr>
        <w:t xml:space="preserve">En réponse à la déclaration de l’Assemblée mondiale de la Santé de 2012 faisant de l’éradication de la poliomyélite une urgence de santé publique mondiale, </w:t>
      </w:r>
      <w:r w:rsidR="00E51FFC" w:rsidRPr="00860CC3">
        <w:rPr>
          <w:lang w:val="fr-FR"/>
        </w:rPr>
        <w:t xml:space="preserve">un Plan stratégique pour l’éradication de la poliomyélite 2013-2018 a été élaboré. </w:t>
      </w:r>
    </w:p>
    <w:p w:rsidR="00817490" w:rsidRPr="00860CC3" w:rsidRDefault="00817490" w:rsidP="00FD4940">
      <w:pPr>
        <w:autoSpaceDE w:val="0"/>
        <w:autoSpaceDN w:val="0"/>
        <w:adjustRightInd w:val="0"/>
        <w:jc w:val="both"/>
        <w:divId w:val="410156154"/>
        <w:rPr>
          <w:lang w:val="fr-FR"/>
        </w:rPr>
      </w:pPr>
      <w:r w:rsidRPr="00860CC3">
        <w:rPr>
          <w:lang w:val="fr-FR"/>
        </w:rPr>
        <w:t xml:space="preserve">En plus d’intensifier les actions visant à arrêter la poliomyélite dans les pays encore infectés, le plan stratégique appelle tous les pays à renforcer leurs programmes de vaccination de routine et à remplacer le vaccin antipoliomyélitique oral trivalent (VPOt) par le vaccin antipoliomyélitique oral bivalent (VPOb) en 2016, éliminant ainsi les cas de poliomyélite et les flambées épidémiques dues à la composante de type 2 du VPO. </w:t>
      </w:r>
    </w:p>
    <w:p w:rsidR="00817490" w:rsidRPr="00860CC3" w:rsidRDefault="00817490" w:rsidP="00FD4940">
      <w:pPr>
        <w:autoSpaceDE w:val="0"/>
        <w:autoSpaceDN w:val="0"/>
        <w:adjustRightInd w:val="0"/>
        <w:jc w:val="both"/>
        <w:divId w:val="410156154"/>
        <w:rPr>
          <w:lang w:val="fr-FR"/>
        </w:rPr>
      </w:pPr>
      <w:r w:rsidRPr="00860CC3">
        <w:rPr>
          <w:lang w:val="fr-FR"/>
        </w:rPr>
        <w:t xml:space="preserve">Afin de minimiser les risques associés au retrait du VPOb, le Groupe stratégique consultatif d’experts (SAGE) sur la vaccination de l’OMS a recommandé que : </w:t>
      </w:r>
    </w:p>
    <w:p w:rsidR="00817490" w:rsidRPr="007F5242" w:rsidRDefault="00817490" w:rsidP="00FD4940">
      <w:pPr>
        <w:pStyle w:val="Paragraphedeliste"/>
        <w:numPr>
          <w:ilvl w:val="0"/>
          <w:numId w:val="21"/>
        </w:numPr>
        <w:autoSpaceDE w:val="0"/>
        <w:autoSpaceDN w:val="0"/>
        <w:adjustRightInd w:val="0"/>
        <w:spacing w:after="0" w:line="240" w:lineRule="auto"/>
        <w:ind w:right="120"/>
        <w:jc w:val="both"/>
        <w:divId w:val="410156154"/>
        <w:rPr>
          <w:rFonts w:ascii="Times New Roman" w:eastAsia="Times New Roman" w:hAnsi="Times New Roman"/>
          <w:sz w:val="24"/>
          <w:szCs w:val="24"/>
          <w:lang w:val="fr-FR" w:eastAsia="en-GB"/>
        </w:rPr>
      </w:pPr>
      <w:r w:rsidRPr="007F5242">
        <w:rPr>
          <w:rFonts w:ascii="Times New Roman" w:eastAsia="Times New Roman" w:hAnsi="Times New Roman"/>
          <w:sz w:val="24"/>
          <w:szCs w:val="24"/>
          <w:lang w:val="fr-FR" w:eastAsia="en-GB"/>
        </w:rPr>
        <w:t xml:space="preserve">tous les pays introduisent au moins une dose du vaccin antipoliomyélitique inactivé (VPI) dans leur calendrier de vaccination de routine avant la fin 2015 ; </w:t>
      </w:r>
    </w:p>
    <w:p w:rsidR="00817490" w:rsidRPr="007F5242" w:rsidRDefault="00817490" w:rsidP="00FD4940">
      <w:pPr>
        <w:pStyle w:val="Paragraphedeliste"/>
        <w:numPr>
          <w:ilvl w:val="0"/>
          <w:numId w:val="21"/>
        </w:numPr>
        <w:autoSpaceDE w:val="0"/>
        <w:autoSpaceDN w:val="0"/>
        <w:adjustRightInd w:val="0"/>
        <w:spacing w:before="120" w:after="120" w:line="240" w:lineRule="auto"/>
        <w:ind w:right="120"/>
        <w:jc w:val="both"/>
        <w:divId w:val="410156154"/>
        <w:rPr>
          <w:rFonts w:ascii="Times New Roman" w:eastAsia="Times New Roman" w:hAnsi="Times New Roman"/>
          <w:sz w:val="24"/>
          <w:szCs w:val="24"/>
          <w:lang w:val="fr-FR" w:eastAsia="en-GB"/>
        </w:rPr>
      </w:pPr>
      <w:r w:rsidRPr="007F5242">
        <w:rPr>
          <w:rFonts w:ascii="Times New Roman" w:eastAsia="Times New Roman" w:hAnsi="Times New Roman"/>
          <w:sz w:val="24"/>
          <w:szCs w:val="24"/>
          <w:lang w:val="fr-FR" w:eastAsia="en-GB"/>
        </w:rPr>
        <w:t xml:space="preserve">la dose de VPI soit administrée à partir de la 14èmesemaine après la naissance, au moment de l’administration du DTC3 ; </w:t>
      </w:r>
    </w:p>
    <w:p w:rsidR="00817490" w:rsidRPr="007F5242" w:rsidRDefault="00817490" w:rsidP="00FD4940">
      <w:pPr>
        <w:pStyle w:val="Paragraphedeliste"/>
        <w:numPr>
          <w:ilvl w:val="0"/>
          <w:numId w:val="21"/>
        </w:numPr>
        <w:autoSpaceDE w:val="0"/>
        <w:autoSpaceDN w:val="0"/>
        <w:adjustRightInd w:val="0"/>
        <w:spacing w:after="0" w:line="240" w:lineRule="auto"/>
        <w:ind w:right="120"/>
        <w:jc w:val="both"/>
        <w:divId w:val="410156154"/>
        <w:rPr>
          <w:rFonts w:ascii="Times New Roman" w:eastAsia="Times New Roman" w:hAnsi="Times New Roman"/>
          <w:sz w:val="24"/>
          <w:szCs w:val="24"/>
          <w:lang w:val="fr-FR" w:eastAsia="en-GB"/>
        </w:rPr>
      </w:pPr>
      <w:r w:rsidRPr="007F5242">
        <w:rPr>
          <w:rFonts w:ascii="Times New Roman" w:eastAsia="Times New Roman" w:hAnsi="Times New Roman"/>
          <w:sz w:val="24"/>
          <w:szCs w:val="24"/>
          <w:lang w:val="fr-FR" w:eastAsia="en-GB"/>
        </w:rPr>
        <w:t>et le VPI soit administré en plus des doses existantes de VPO.</w:t>
      </w:r>
    </w:p>
    <w:p w:rsidR="00817490" w:rsidRPr="00860CC3" w:rsidRDefault="00817490" w:rsidP="00FD4940">
      <w:pPr>
        <w:autoSpaceDE w:val="0"/>
        <w:autoSpaceDN w:val="0"/>
        <w:adjustRightInd w:val="0"/>
        <w:jc w:val="both"/>
        <w:divId w:val="410156154"/>
        <w:rPr>
          <w:lang w:val="fr-FR"/>
        </w:rPr>
      </w:pPr>
    </w:p>
    <w:p w:rsidR="00817490" w:rsidRPr="00860CC3" w:rsidRDefault="00817490" w:rsidP="00FD4940">
      <w:pPr>
        <w:autoSpaceDE w:val="0"/>
        <w:autoSpaceDN w:val="0"/>
        <w:adjustRightInd w:val="0"/>
        <w:jc w:val="both"/>
        <w:divId w:val="410156154"/>
        <w:rPr>
          <w:lang w:val="fr-FR"/>
        </w:rPr>
      </w:pPr>
      <w:r w:rsidRPr="00860CC3">
        <w:rPr>
          <w:lang w:val="fr-FR"/>
        </w:rPr>
        <w:t>Le Burkina Faso a souscrit aux recommandations du SAGE et prévoit d’introduire une dose du VPI dans son PEV de routine en 2015.</w:t>
      </w:r>
    </w:p>
    <w:p w:rsidR="002B377B" w:rsidRPr="0063165C" w:rsidRDefault="002B377B" w:rsidP="0063165C">
      <w:pPr>
        <w:spacing w:before="120" w:after="120"/>
        <w:ind w:right="235"/>
        <w:jc w:val="both"/>
        <w:divId w:val="410156154"/>
        <w:rPr>
          <w:lang w:val="fr-FR"/>
        </w:rPr>
      </w:pPr>
    </w:p>
    <w:p w:rsidR="00A254D6" w:rsidRDefault="00515293" w:rsidP="00A254D6">
      <w:pPr>
        <w:pStyle w:val="Paragraphedeliste"/>
        <w:numPr>
          <w:ilvl w:val="0"/>
          <w:numId w:val="2"/>
        </w:numPr>
        <w:spacing w:after="0" w:line="240" w:lineRule="auto"/>
        <w:ind w:left="1048" w:right="235"/>
        <w:jc w:val="both"/>
        <w:divId w:val="410156154"/>
        <w:rPr>
          <w:highlight w:val="cyan"/>
          <w:lang w:val="fr-FR"/>
        </w:rPr>
      </w:pPr>
      <w:r w:rsidRPr="00817490">
        <w:rPr>
          <w:highlight w:val="cyan"/>
          <w:lang w:val="fr-FR"/>
        </w:rPr>
        <w:t xml:space="preserve">Décrire le niveau de participation des principales parties prenantes </w:t>
      </w:r>
      <w:r w:rsidR="00797214" w:rsidRPr="00817490">
        <w:rPr>
          <w:highlight w:val="cyan"/>
          <w:lang w:val="fr-FR"/>
        </w:rPr>
        <w:t>(</w:t>
      </w:r>
      <w:r w:rsidRPr="00817490">
        <w:rPr>
          <w:highlight w:val="cyan"/>
          <w:lang w:val="fr-FR"/>
        </w:rPr>
        <w:t xml:space="preserve">organisations de la société civile, représentants communautaires, autorités nationales de régulation, établissements universitaires, centres de formation et, le cas échéant, le secteur privé) au processus de prise de décision finale.   </w:t>
      </w:r>
    </w:p>
    <w:p w:rsidR="00A254D6" w:rsidRPr="00A254D6" w:rsidRDefault="00A254D6" w:rsidP="00A254D6">
      <w:pPr>
        <w:spacing w:before="120" w:after="120"/>
        <w:ind w:left="840" w:right="355"/>
        <w:jc w:val="both"/>
        <w:divId w:val="410156154"/>
        <w:rPr>
          <w:highlight w:val="cyan"/>
          <w:lang w:val="fr-FR"/>
        </w:rPr>
      </w:pPr>
    </w:p>
    <w:p w:rsidR="00817490" w:rsidRPr="00860CC3" w:rsidRDefault="00817490" w:rsidP="00493B58">
      <w:pPr>
        <w:autoSpaceDE w:val="0"/>
        <w:autoSpaceDN w:val="0"/>
        <w:adjustRightInd w:val="0"/>
        <w:jc w:val="both"/>
        <w:divId w:val="410156154"/>
        <w:rPr>
          <w:lang w:val="fr-FR"/>
        </w:rPr>
      </w:pPr>
      <w:r w:rsidRPr="00860CC3">
        <w:rPr>
          <w:lang w:val="fr-FR"/>
        </w:rPr>
        <w:t xml:space="preserve">Suite à la lettre conjointe adressée au pays par les partenaires (GAVI, OMS, UNICEF,…), le Burkina Faso a manifesté son intérêt pour introduire une dose du vaccin VPI dans son PEV systématique. La proposition a été </w:t>
      </w:r>
      <w:r w:rsidR="0063165C" w:rsidRPr="00860CC3">
        <w:rPr>
          <w:lang w:val="fr-FR"/>
        </w:rPr>
        <w:t xml:space="preserve">approuvée </w:t>
      </w:r>
      <w:r w:rsidRPr="00860CC3">
        <w:rPr>
          <w:lang w:val="fr-FR"/>
        </w:rPr>
        <w:t xml:space="preserve">par le Comité de Coordination Inter- Agences (CCIA) </w:t>
      </w:r>
      <w:r w:rsidR="0024069A">
        <w:rPr>
          <w:lang w:val="fr-FR"/>
        </w:rPr>
        <w:t xml:space="preserve">du 22 juillet 2014 </w:t>
      </w:r>
      <w:r w:rsidRPr="00860CC3">
        <w:rPr>
          <w:lang w:val="fr-FR"/>
        </w:rPr>
        <w:t xml:space="preserve">et un avis favorable a été donné. </w:t>
      </w:r>
    </w:p>
    <w:p w:rsidR="00817490" w:rsidRDefault="00817490" w:rsidP="00FD4940">
      <w:pPr>
        <w:autoSpaceDE w:val="0"/>
        <w:autoSpaceDN w:val="0"/>
        <w:adjustRightInd w:val="0"/>
        <w:jc w:val="both"/>
        <w:divId w:val="410156154"/>
        <w:rPr>
          <w:lang w:val="fr-FR"/>
        </w:rPr>
      </w:pPr>
      <w:r w:rsidRPr="00860CC3">
        <w:rPr>
          <w:lang w:val="fr-FR"/>
        </w:rPr>
        <w:t xml:space="preserve">L’introduction d’une dose du vaccin VPI procure des avantages considérables : </w:t>
      </w:r>
    </w:p>
    <w:p w:rsidR="00A254D6" w:rsidRPr="00493B58" w:rsidRDefault="00A254D6" w:rsidP="00FD4940">
      <w:pPr>
        <w:autoSpaceDE w:val="0"/>
        <w:autoSpaceDN w:val="0"/>
        <w:adjustRightInd w:val="0"/>
        <w:jc w:val="both"/>
        <w:divId w:val="410156154"/>
        <w:rPr>
          <w:sz w:val="6"/>
          <w:lang w:val="fr-FR"/>
        </w:rPr>
      </w:pPr>
    </w:p>
    <w:p w:rsidR="00817490" w:rsidRPr="00493B58" w:rsidRDefault="00817490" w:rsidP="00A254D6">
      <w:pPr>
        <w:pStyle w:val="Paragraphedeliste"/>
        <w:numPr>
          <w:ilvl w:val="0"/>
          <w:numId w:val="77"/>
        </w:numPr>
        <w:autoSpaceDE w:val="0"/>
        <w:autoSpaceDN w:val="0"/>
        <w:adjustRightInd w:val="0"/>
        <w:spacing w:before="120" w:after="120"/>
        <w:ind w:right="240"/>
        <w:jc w:val="both"/>
        <w:divId w:val="410156154"/>
        <w:rPr>
          <w:rFonts w:ascii="Times New Roman" w:hAnsi="Times New Roman"/>
          <w:sz w:val="24"/>
          <w:lang w:val="fr-FR"/>
        </w:rPr>
      </w:pPr>
      <w:r w:rsidRPr="00493B58">
        <w:rPr>
          <w:rFonts w:ascii="Times New Roman" w:hAnsi="Times New Roman"/>
          <w:sz w:val="24"/>
          <w:lang w:val="fr-FR"/>
        </w:rPr>
        <w:lastRenderedPageBreak/>
        <w:t xml:space="preserve">réduire le risque de la réémergence du poliovirus de type 2 après le retrait du VPO2. </w:t>
      </w:r>
    </w:p>
    <w:p w:rsidR="00817490" w:rsidRPr="00493B58" w:rsidRDefault="00817490" w:rsidP="00A254D6">
      <w:pPr>
        <w:pStyle w:val="Paragraphedeliste"/>
        <w:numPr>
          <w:ilvl w:val="0"/>
          <w:numId w:val="77"/>
        </w:numPr>
        <w:autoSpaceDE w:val="0"/>
        <w:autoSpaceDN w:val="0"/>
        <w:adjustRightInd w:val="0"/>
        <w:spacing w:before="120" w:after="120"/>
        <w:ind w:right="240"/>
        <w:jc w:val="both"/>
        <w:divId w:val="410156154"/>
        <w:rPr>
          <w:rFonts w:ascii="Times New Roman" w:hAnsi="Times New Roman"/>
          <w:sz w:val="24"/>
          <w:lang w:val="fr-FR"/>
        </w:rPr>
      </w:pPr>
      <w:r w:rsidRPr="00493B58">
        <w:rPr>
          <w:rFonts w:ascii="Times New Roman" w:hAnsi="Times New Roman"/>
          <w:sz w:val="24"/>
          <w:lang w:val="fr-FR"/>
        </w:rPr>
        <w:t xml:space="preserve">stimuler l’immunité contre les poliovirus de types 1 et 3, ce qui permettra de réduire la vulnérabilité mondiale aux poliovirus sauvages encore existants mais aussi d’accélérer l’éradication dans les zones infectées. </w:t>
      </w:r>
    </w:p>
    <w:p w:rsidR="00817490" w:rsidRPr="00493B58" w:rsidRDefault="00817490" w:rsidP="00A254D6">
      <w:pPr>
        <w:pStyle w:val="Paragraphedeliste"/>
        <w:numPr>
          <w:ilvl w:val="0"/>
          <w:numId w:val="77"/>
        </w:numPr>
        <w:autoSpaceDE w:val="0"/>
        <w:autoSpaceDN w:val="0"/>
        <w:adjustRightInd w:val="0"/>
        <w:spacing w:before="120" w:after="120"/>
        <w:ind w:right="240"/>
        <w:jc w:val="both"/>
        <w:divId w:val="410156154"/>
        <w:rPr>
          <w:rFonts w:ascii="Times New Roman" w:hAnsi="Times New Roman"/>
          <w:sz w:val="24"/>
          <w:lang w:val="fr-FR"/>
        </w:rPr>
      </w:pPr>
      <w:r w:rsidRPr="00493B58">
        <w:rPr>
          <w:rFonts w:ascii="Times New Roman" w:hAnsi="Times New Roman"/>
          <w:sz w:val="24"/>
          <w:lang w:val="fr-FR"/>
        </w:rPr>
        <w:t>faciliter l’interruption de toute flambée épidémique de type 2 en garantissant une réponse immunitaire plus rapide et plus efficace au VPO monovalent de type 2 à ce moment précis.</w:t>
      </w:r>
    </w:p>
    <w:p w:rsidR="00817490" w:rsidRPr="00860CC3" w:rsidRDefault="00817490" w:rsidP="00FD4940">
      <w:pPr>
        <w:autoSpaceDE w:val="0"/>
        <w:autoSpaceDN w:val="0"/>
        <w:adjustRightInd w:val="0"/>
        <w:jc w:val="both"/>
        <w:divId w:val="410156154"/>
        <w:rPr>
          <w:lang w:val="fr-FR"/>
        </w:rPr>
      </w:pPr>
      <w:r w:rsidRPr="00860CC3">
        <w:rPr>
          <w:lang w:val="fr-FR"/>
        </w:rPr>
        <w:t>Compte tenu du calendrier de la phase finale, le SAGE a recommandé l’élaboration de plans nationaux pour faciliter l’introduction du vaccin VPI dans les pays endémiques et ceux qui présentent un risque élevé de poliomyélite d’ici à la mi-2014, et dans les pays qui n’utilisent actuellement que le VPO d’ici la fin 2014.</w:t>
      </w:r>
    </w:p>
    <w:p w:rsidR="00817490" w:rsidRPr="00860CC3" w:rsidRDefault="00817490" w:rsidP="00FD4940">
      <w:pPr>
        <w:autoSpaceDE w:val="0"/>
        <w:autoSpaceDN w:val="0"/>
        <w:adjustRightInd w:val="0"/>
        <w:jc w:val="both"/>
        <w:divId w:val="410156154"/>
        <w:rPr>
          <w:lang w:val="fr-FR"/>
        </w:rPr>
      </w:pPr>
      <w:r w:rsidRPr="00860CC3">
        <w:rPr>
          <w:lang w:val="fr-FR"/>
        </w:rPr>
        <w:t xml:space="preserve">Malgré le succès global de l’Initiative Mondiale d’Eradication de la Poliomyélite (IMEP), certains pays comme le Nigéria, le Pakistan et l’Afghanistan restent encore endémiques en 2014. Des pays de la Corne de l’Afrique, le Cameroun et certaines parties du Moyen-Orient (Egypte, Israël et Syrie) qui avaient interrompu la circulation du PVS dans leur pays sont devenus des pays importateurs du virus en 2013. </w:t>
      </w:r>
    </w:p>
    <w:p w:rsidR="00817490" w:rsidRPr="00860CC3" w:rsidRDefault="00817490" w:rsidP="00FD4940">
      <w:pPr>
        <w:autoSpaceDE w:val="0"/>
        <w:autoSpaceDN w:val="0"/>
        <w:adjustRightInd w:val="0"/>
        <w:jc w:val="both"/>
        <w:divId w:val="410156154"/>
        <w:rPr>
          <w:lang w:val="fr-FR"/>
        </w:rPr>
      </w:pPr>
    </w:p>
    <w:p w:rsidR="00817490" w:rsidRPr="00860CC3" w:rsidRDefault="00817490" w:rsidP="00FD4940">
      <w:pPr>
        <w:autoSpaceDE w:val="0"/>
        <w:autoSpaceDN w:val="0"/>
        <w:adjustRightInd w:val="0"/>
        <w:jc w:val="both"/>
        <w:divId w:val="410156154"/>
        <w:rPr>
          <w:lang w:val="fr-FR"/>
        </w:rPr>
      </w:pPr>
      <w:r w:rsidRPr="00860CC3">
        <w:rPr>
          <w:lang w:val="fr-FR"/>
        </w:rPr>
        <w:t>En plus, en 2013 des pays (le Cameroun, le Tchad, le Nigéria et le Niger) de la région africaine ont rapporté des cas de poliovirus dérivés de la vaccination (cVDPV).</w:t>
      </w:r>
    </w:p>
    <w:p w:rsidR="00817490" w:rsidRPr="00860CC3" w:rsidRDefault="00817490" w:rsidP="00FD4940">
      <w:pPr>
        <w:autoSpaceDE w:val="0"/>
        <w:autoSpaceDN w:val="0"/>
        <w:adjustRightInd w:val="0"/>
        <w:jc w:val="both"/>
        <w:divId w:val="410156154"/>
        <w:rPr>
          <w:lang w:val="fr-FR"/>
        </w:rPr>
      </w:pPr>
    </w:p>
    <w:p w:rsidR="00817490" w:rsidRPr="00860CC3" w:rsidRDefault="00817490" w:rsidP="00ED28B5">
      <w:pPr>
        <w:autoSpaceDE w:val="0"/>
        <w:autoSpaceDN w:val="0"/>
        <w:adjustRightInd w:val="0"/>
        <w:jc w:val="both"/>
        <w:divId w:val="410156154"/>
        <w:rPr>
          <w:lang w:val="fr-FR"/>
        </w:rPr>
      </w:pPr>
      <w:r w:rsidRPr="00860CC3">
        <w:rPr>
          <w:lang w:val="fr-FR"/>
        </w:rPr>
        <w:t xml:space="preserve">Au Burkina Faso, aucun cas de PVS n’a été notifié depuis </w:t>
      </w:r>
      <w:r w:rsidR="00ED28B5" w:rsidRPr="00860CC3">
        <w:rPr>
          <w:lang w:val="fr-FR"/>
        </w:rPr>
        <w:t>octobre 2009</w:t>
      </w:r>
      <w:r w:rsidRPr="00860CC3">
        <w:rPr>
          <w:lang w:val="fr-FR"/>
        </w:rPr>
        <w:t xml:space="preserve">, ce qui vaut au pays d’être invité par l’OMS à élaborer et soumettre une documentation nationale pour être traité comme un « pays libéré du Polio Virus Sauvage ». </w:t>
      </w:r>
    </w:p>
    <w:p w:rsidR="0063165C" w:rsidRPr="00860CC3" w:rsidRDefault="0063165C" w:rsidP="00FD4940">
      <w:pPr>
        <w:autoSpaceDE w:val="0"/>
        <w:autoSpaceDN w:val="0"/>
        <w:adjustRightInd w:val="0"/>
        <w:jc w:val="both"/>
        <w:divId w:val="410156154"/>
        <w:rPr>
          <w:lang w:val="fr-FR"/>
        </w:rPr>
      </w:pPr>
    </w:p>
    <w:p w:rsidR="00636267" w:rsidRDefault="00636267" w:rsidP="0063165C">
      <w:pPr>
        <w:jc w:val="center"/>
        <w:divId w:val="410156154"/>
        <w:rPr>
          <w:rFonts w:ascii="Arial" w:hAnsi="Arial" w:cs="Arial"/>
          <w:noProof/>
          <w:lang w:val="fr-FR" w:eastAsia="fr-FR"/>
        </w:rPr>
      </w:pPr>
    </w:p>
    <w:p w:rsidR="00636267" w:rsidRPr="005A610E" w:rsidRDefault="00636267" w:rsidP="0063165C">
      <w:pPr>
        <w:jc w:val="center"/>
        <w:divId w:val="410156154"/>
        <w:rPr>
          <w:rFonts w:ascii="Arial" w:hAnsi="Arial" w:cs="Arial"/>
          <w:lang w:eastAsia="fr-FR"/>
        </w:rPr>
      </w:pPr>
      <w:r>
        <w:rPr>
          <w:noProof/>
          <w:lang w:val="fr-FR" w:eastAsia="fr-FR"/>
        </w:rPr>
        <w:drawing>
          <wp:inline distT="0" distB="0" distL="0" distR="0">
            <wp:extent cx="5759450" cy="2592070"/>
            <wp:effectExtent l="0" t="0" r="12700" b="1778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3165C" w:rsidRPr="00860CC3" w:rsidRDefault="009A5801" w:rsidP="00636267">
      <w:pPr>
        <w:pStyle w:val="Titre8"/>
        <w:jc w:val="both"/>
        <w:divId w:val="410156154"/>
        <w:rPr>
          <w:rFonts w:ascii="Arial" w:hAnsi="Arial" w:cs="Arial"/>
          <w:b/>
          <w:noProof/>
          <w:sz w:val="24"/>
          <w:szCs w:val="24"/>
          <w:lang w:val="fr-FR" w:eastAsia="fr-FR"/>
        </w:rPr>
      </w:pPr>
      <w:r w:rsidRPr="00860CC3">
        <w:rPr>
          <w:rFonts w:ascii="Arial" w:hAnsi="Arial" w:cs="Arial"/>
          <w:sz w:val="24"/>
          <w:szCs w:val="24"/>
          <w:lang w:val="fr-FR"/>
        </w:rPr>
        <w:t>Graphique</w:t>
      </w:r>
      <w:r w:rsidR="00A52D39">
        <w:rPr>
          <w:rFonts w:ascii="Arial" w:hAnsi="Arial" w:cs="Arial"/>
          <w:sz w:val="24"/>
          <w:szCs w:val="24"/>
          <w:lang w:val="fr-FR"/>
        </w:rPr>
        <w:t xml:space="preserve"> n°1</w:t>
      </w:r>
      <w:r w:rsidRPr="00860CC3">
        <w:rPr>
          <w:rFonts w:ascii="Arial" w:hAnsi="Arial" w:cs="Arial"/>
          <w:sz w:val="24"/>
          <w:szCs w:val="24"/>
          <w:lang w:val="fr-FR"/>
        </w:rPr>
        <w:t>:</w:t>
      </w:r>
      <w:r w:rsidR="00A52D39">
        <w:rPr>
          <w:rFonts w:ascii="Arial" w:hAnsi="Arial" w:cs="Arial"/>
          <w:sz w:val="24"/>
          <w:szCs w:val="24"/>
          <w:lang w:val="fr-FR"/>
        </w:rPr>
        <w:t xml:space="preserve"> </w:t>
      </w:r>
      <w:r w:rsidR="00636267" w:rsidRPr="00860CC3">
        <w:rPr>
          <w:rFonts w:ascii="Arial" w:hAnsi="Arial" w:cs="Arial"/>
          <w:sz w:val="24"/>
          <w:szCs w:val="24"/>
          <w:lang w:val="fr-FR"/>
        </w:rPr>
        <w:t>I</w:t>
      </w:r>
      <w:r w:rsidR="0063165C" w:rsidRPr="00860CC3">
        <w:rPr>
          <w:rFonts w:ascii="Arial" w:hAnsi="Arial" w:cs="Arial"/>
          <w:sz w:val="24"/>
          <w:szCs w:val="24"/>
          <w:lang w:val="fr-FR"/>
        </w:rPr>
        <w:t>ncidence de la poliomyélite de 1997 à 2013</w:t>
      </w:r>
    </w:p>
    <w:p w:rsidR="0063165C" w:rsidRDefault="0063165C" w:rsidP="00FD4940">
      <w:pPr>
        <w:autoSpaceDE w:val="0"/>
        <w:autoSpaceDN w:val="0"/>
        <w:adjustRightInd w:val="0"/>
        <w:jc w:val="both"/>
        <w:divId w:val="410156154"/>
        <w:rPr>
          <w:lang w:val="fr-FR"/>
        </w:rPr>
      </w:pPr>
    </w:p>
    <w:p w:rsidR="00A52D39" w:rsidRDefault="00A52D39" w:rsidP="00FD4940">
      <w:pPr>
        <w:autoSpaceDE w:val="0"/>
        <w:autoSpaceDN w:val="0"/>
        <w:adjustRightInd w:val="0"/>
        <w:jc w:val="both"/>
        <w:divId w:val="410156154"/>
        <w:rPr>
          <w:lang w:val="fr-FR"/>
        </w:rPr>
      </w:pPr>
    </w:p>
    <w:p w:rsidR="00A52D39" w:rsidRPr="00860CC3" w:rsidRDefault="00A52D39" w:rsidP="00FD4940">
      <w:pPr>
        <w:autoSpaceDE w:val="0"/>
        <w:autoSpaceDN w:val="0"/>
        <w:adjustRightInd w:val="0"/>
        <w:jc w:val="both"/>
        <w:divId w:val="410156154"/>
        <w:rPr>
          <w:lang w:val="fr-FR"/>
        </w:rPr>
      </w:pPr>
    </w:p>
    <w:p w:rsidR="000A2CB6" w:rsidRPr="00817490" w:rsidRDefault="00515293">
      <w:pPr>
        <w:pStyle w:val="Paragraphedeliste"/>
        <w:numPr>
          <w:ilvl w:val="0"/>
          <w:numId w:val="2"/>
        </w:numPr>
        <w:spacing w:after="0" w:line="240" w:lineRule="auto"/>
        <w:ind w:right="115"/>
        <w:jc w:val="both"/>
        <w:divId w:val="410156154"/>
        <w:rPr>
          <w:highlight w:val="cyan"/>
          <w:lang w:val="fr-FR"/>
        </w:rPr>
      </w:pPr>
      <w:r w:rsidRPr="00817490">
        <w:rPr>
          <w:highlight w:val="cyan"/>
          <w:lang w:val="fr-FR"/>
        </w:rPr>
        <w:lastRenderedPageBreak/>
        <w:t xml:space="preserve">Etablir la faisabilité technique et opérationnelle de l’introduction du VPI, compte tenu de l’expérience acquise par le pays en matière d’introduction d’autres nouveaux vaccins.     </w:t>
      </w:r>
    </w:p>
    <w:p w:rsidR="00CD4AD9" w:rsidRPr="00FD4940" w:rsidRDefault="00CD4AD9" w:rsidP="00FD4940">
      <w:pPr>
        <w:spacing w:before="120"/>
        <w:ind w:left="120" w:right="235"/>
        <w:jc w:val="both"/>
        <w:divId w:val="410156154"/>
        <w:rPr>
          <w:lang w:val="fr-FR"/>
        </w:rPr>
      </w:pPr>
      <w:r w:rsidRPr="00FD4940">
        <w:rPr>
          <w:lang w:val="fr-FR"/>
        </w:rPr>
        <w:t xml:space="preserve">L’introduction du VPI sera facilitée grâce à l’expérience que le pays connait en matière d’introduction de nouveaux vaccins et de </w:t>
      </w:r>
      <w:r w:rsidRPr="00FD4940">
        <w:rPr>
          <w:lang w:val="fr-FR" w:eastAsia="fr-FR"/>
        </w:rPr>
        <w:t>vaccins sous-utilisés</w:t>
      </w:r>
      <w:r w:rsidRPr="00FD4940">
        <w:rPr>
          <w:lang w:val="fr-FR"/>
        </w:rPr>
        <w:t xml:space="preserve"> tels que :</w:t>
      </w:r>
    </w:p>
    <w:p w:rsidR="00817490" w:rsidRPr="00FD4940" w:rsidRDefault="00CD4AD9" w:rsidP="00FD4940">
      <w:pPr>
        <w:pStyle w:val="Listecouleur-Accent11"/>
        <w:numPr>
          <w:ilvl w:val="0"/>
          <w:numId w:val="23"/>
        </w:numPr>
        <w:spacing w:after="0" w:line="240" w:lineRule="auto"/>
        <w:ind w:right="115"/>
        <w:jc w:val="both"/>
        <w:divId w:val="410156154"/>
        <w:rPr>
          <w:rFonts w:ascii="Times New Roman" w:hAnsi="Times New Roman"/>
          <w:sz w:val="24"/>
          <w:szCs w:val="24"/>
          <w:lang w:val="fr-FR" w:eastAsia="fr-FR"/>
        </w:rPr>
      </w:pPr>
      <w:r w:rsidRPr="00FD4940">
        <w:rPr>
          <w:rFonts w:ascii="Times New Roman" w:hAnsi="Times New Roman"/>
          <w:sz w:val="24"/>
          <w:szCs w:val="24"/>
          <w:lang w:val="fr-FR" w:eastAsia="fr-FR"/>
        </w:rPr>
        <w:t>1984</w:t>
      </w:r>
      <w:r w:rsidR="00817490" w:rsidRPr="00FD4940">
        <w:rPr>
          <w:rFonts w:ascii="Times New Roman" w:hAnsi="Times New Roman"/>
          <w:sz w:val="24"/>
          <w:szCs w:val="24"/>
          <w:lang w:val="fr-FR" w:eastAsia="fr-FR"/>
        </w:rPr>
        <w:t> : in</w:t>
      </w:r>
      <w:r w:rsidRPr="00FD4940">
        <w:rPr>
          <w:rFonts w:ascii="Times New Roman" w:hAnsi="Times New Roman"/>
          <w:sz w:val="24"/>
          <w:szCs w:val="24"/>
          <w:lang w:val="fr-FR" w:eastAsia="fr-FR"/>
        </w:rPr>
        <w:t>troduction du vaccin antiamaril</w:t>
      </w:r>
    </w:p>
    <w:p w:rsidR="00CD4AD9" w:rsidRPr="00FD4940" w:rsidRDefault="00CD4AD9" w:rsidP="00FD4940">
      <w:pPr>
        <w:pStyle w:val="Listecouleur-Accent11"/>
        <w:numPr>
          <w:ilvl w:val="0"/>
          <w:numId w:val="23"/>
        </w:numPr>
        <w:spacing w:after="0" w:line="240" w:lineRule="auto"/>
        <w:ind w:right="115"/>
        <w:jc w:val="both"/>
        <w:divId w:val="410156154"/>
        <w:rPr>
          <w:rFonts w:ascii="Times New Roman" w:hAnsi="Times New Roman"/>
          <w:sz w:val="24"/>
          <w:szCs w:val="24"/>
          <w:lang w:val="fr-FR" w:eastAsia="fr-FR"/>
        </w:rPr>
      </w:pPr>
      <w:r w:rsidRPr="00FD4940">
        <w:rPr>
          <w:rFonts w:ascii="Times New Roman" w:hAnsi="Times New Roman"/>
          <w:sz w:val="24"/>
          <w:szCs w:val="24"/>
          <w:lang w:val="fr-FR" w:eastAsia="fr-FR"/>
        </w:rPr>
        <w:t>2006</w:t>
      </w:r>
      <w:r w:rsidR="00817490" w:rsidRPr="00FD4940">
        <w:rPr>
          <w:rFonts w:ascii="Times New Roman" w:hAnsi="Times New Roman"/>
          <w:sz w:val="24"/>
          <w:szCs w:val="24"/>
          <w:lang w:val="fr-FR" w:eastAsia="fr-FR"/>
        </w:rPr>
        <w:t xml:space="preserve"> : introduction du vaccin </w:t>
      </w:r>
      <w:r w:rsidRPr="00FD4940">
        <w:rPr>
          <w:rFonts w:ascii="Times New Roman" w:hAnsi="Times New Roman"/>
          <w:sz w:val="24"/>
          <w:szCs w:val="24"/>
          <w:lang w:val="fr-FR" w:eastAsia="fr-FR"/>
        </w:rPr>
        <w:t>pentavalent (DTC-HepB-Hib)</w:t>
      </w:r>
    </w:p>
    <w:p w:rsidR="00CD4AD9" w:rsidRPr="00FD4940" w:rsidRDefault="00CD4AD9" w:rsidP="00FD4940">
      <w:pPr>
        <w:pStyle w:val="Listecouleur-Accent11"/>
        <w:numPr>
          <w:ilvl w:val="0"/>
          <w:numId w:val="23"/>
        </w:numPr>
        <w:spacing w:after="0" w:line="240" w:lineRule="auto"/>
        <w:ind w:right="115"/>
        <w:jc w:val="both"/>
        <w:divId w:val="410156154"/>
        <w:rPr>
          <w:rFonts w:ascii="Times New Roman" w:hAnsi="Times New Roman"/>
          <w:sz w:val="24"/>
          <w:szCs w:val="24"/>
          <w:lang w:val="fr-FR" w:eastAsia="fr-FR"/>
        </w:rPr>
      </w:pPr>
      <w:r w:rsidRPr="00FD4940">
        <w:rPr>
          <w:rFonts w:ascii="Times New Roman" w:hAnsi="Times New Roman"/>
          <w:sz w:val="24"/>
          <w:szCs w:val="24"/>
          <w:lang w:val="fr-FR" w:eastAsia="fr-FR"/>
        </w:rPr>
        <w:t>2013</w:t>
      </w:r>
      <w:r w:rsidR="00817490" w:rsidRPr="00FD4940">
        <w:rPr>
          <w:rFonts w:ascii="Times New Roman" w:hAnsi="Times New Roman"/>
          <w:sz w:val="24"/>
          <w:szCs w:val="24"/>
          <w:lang w:val="fr-FR" w:eastAsia="fr-FR"/>
        </w:rPr>
        <w:t xml:space="preserve"> : introduction du vaccin </w:t>
      </w:r>
      <w:r w:rsidRPr="00FD4940">
        <w:rPr>
          <w:rFonts w:ascii="Times New Roman" w:hAnsi="Times New Roman"/>
          <w:sz w:val="24"/>
          <w:szCs w:val="24"/>
          <w:lang w:val="fr-FR" w:eastAsia="fr-FR"/>
        </w:rPr>
        <w:t>PCV13 et Rotateq</w:t>
      </w:r>
    </w:p>
    <w:p w:rsidR="00817490" w:rsidRPr="00FD4940" w:rsidRDefault="00817490" w:rsidP="00FD4940">
      <w:pPr>
        <w:pStyle w:val="Listecouleur-Accent11"/>
        <w:spacing w:after="0" w:line="240" w:lineRule="auto"/>
        <w:ind w:left="0" w:right="115"/>
        <w:jc w:val="both"/>
        <w:divId w:val="410156154"/>
        <w:rPr>
          <w:rFonts w:ascii="Times New Roman" w:hAnsi="Times New Roman"/>
          <w:sz w:val="24"/>
          <w:szCs w:val="24"/>
          <w:lang w:val="fr-FR" w:eastAsia="fr-FR"/>
        </w:rPr>
      </w:pPr>
      <w:r w:rsidRPr="00FD4940">
        <w:rPr>
          <w:rFonts w:ascii="Times New Roman" w:eastAsia="Times New Roman" w:hAnsi="Times New Roman"/>
          <w:sz w:val="24"/>
          <w:szCs w:val="24"/>
          <w:lang w:val="fr-FR" w:eastAsia="fr-FR"/>
        </w:rPr>
        <w:t xml:space="preserve">Sur la base des leçons apprises des précédentes introductions de nouveaux vaccins un </w:t>
      </w:r>
      <w:r w:rsidR="00F87BEE" w:rsidRPr="00FD4940">
        <w:rPr>
          <w:rFonts w:ascii="Times New Roman" w:eastAsia="Times New Roman" w:hAnsi="Times New Roman"/>
          <w:sz w:val="24"/>
          <w:szCs w:val="24"/>
          <w:lang w:val="fr-FR" w:eastAsia="fr-FR"/>
        </w:rPr>
        <w:t xml:space="preserve">groupe de travail a été </w:t>
      </w:r>
      <w:r w:rsidRPr="00FD4940">
        <w:rPr>
          <w:rFonts w:ascii="Times New Roman" w:eastAsia="Times New Roman" w:hAnsi="Times New Roman"/>
          <w:sz w:val="24"/>
          <w:szCs w:val="24"/>
          <w:lang w:val="fr-FR" w:eastAsia="fr-FR"/>
        </w:rPr>
        <w:t>mis en place. Les différentes étapes de planification, de mise en œuvre et d’évaluation de la vaccination VPI tiendront compte de ces expériences et leçons apprises. De plus, certaines actions correctrices ont été conduites et d’autres sont en cours de mise en œuvre</w:t>
      </w:r>
      <w:r w:rsidRPr="00FD4940">
        <w:rPr>
          <w:rFonts w:ascii="Times New Roman" w:hAnsi="Times New Roman"/>
          <w:i/>
          <w:sz w:val="24"/>
          <w:szCs w:val="24"/>
          <w:lang w:val="fr-FR" w:eastAsia="fr-FR"/>
        </w:rPr>
        <w:t>.</w:t>
      </w:r>
    </w:p>
    <w:p w:rsidR="00817490" w:rsidRPr="00FD4940" w:rsidRDefault="00817490" w:rsidP="00FD4940">
      <w:pPr>
        <w:pStyle w:val="Listecouleur-Accent11"/>
        <w:spacing w:after="0" w:line="240" w:lineRule="auto"/>
        <w:ind w:left="0" w:right="115"/>
        <w:jc w:val="both"/>
        <w:divId w:val="410156154"/>
        <w:rPr>
          <w:rFonts w:ascii="Times New Roman" w:eastAsia="Times New Roman" w:hAnsi="Times New Roman"/>
          <w:sz w:val="24"/>
          <w:szCs w:val="24"/>
          <w:lang w:val="fr-FR" w:eastAsia="fr-FR"/>
        </w:rPr>
      </w:pPr>
    </w:p>
    <w:p w:rsidR="00F87BEE" w:rsidRPr="00FD4940" w:rsidRDefault="00817490" w:rsidP="00FD4940">
      <w:pPr>
        <w:pStyle w:val="Listecouleur-Accent11"/>
        <w:spacing w:after="0" w:line="240" w:lineRule="auto"/>
        <w:ind w:left="0" w:right="115"/>
        <w:jc w:val="both"/>
        <w:divId w:val="410156154"/>
        <w:rPr>
          <w:rFonts w:ascii="Times New Roman" w:hAnsi="Times New Roman"/>
          <w:sz w:val="24"/>
          <w:szCs w:val="24"/>
          <w:lang w:val="fr-FR"/>
        </w:rPr>
      </w:pPr>
      <w:r w:rsidRPr="00FD4940">
        <w:rPr>
          <w:rFonts w:ascii="Times New Roman" w:hAnsi="Times New Roman"/>
          <w:sz w:val="24"/>
          <w:szCs w:val="24"/>
          <w:lang w:val="fr-FR"/>
        </w:rPr>
        <w:t xml:space="preserve">Les principales activités conduites dans le cadre de ces introductions sont : </w:t>
      </w:r>
    </w:p>
    <w:p w:rsidR="00F87BEE" w:rsidRPr="00FD4940" w:rsidRDefault="00F87BEE" w:rsidP="00FD4940">
      <w:pPr>
        <w:pStyle w:val="Listecouleur-Accent11"/>
        <w:numPr>
          <w:ilvl w:val="0"/>
          <w:numId w:val="25"/>
        </w:numPr>
        <w:spacing w:after="0" w:line="240" w:lineRule="auto"/>
        <w:ind w:right="115"/>
        <w:jc w:val="both"/>
        <w:divId w:val="410156154"/>
        <w:rPr>
          <w:rFonts w:ascii="Times New Roman" w:hAnsi="Times New Roman"/>
          <w:sz w:val="24"/>
          <w:szCs w:val="24"/>
          <w:lang w:val="fr-FR"/>
        </w:rPr>
      </w:pPr>
      <w:r w:rsidRPr="00FD4940">
        <w:rPr>
          <w:rFonts w:ascii="Times New Roman" w:hAnsi="Times New Roman"/>
          <w:sz w:val="24"/>
          <w:szCs w:val="24"/>
          <w:lang w:val="fr-FR"/>
        </w:rPr>
        <w:t>l’</w:t>
      </w:r>
      <w:r w:rsidR="00817490" w:rsidRPr="00FD4940">
        <w:rPr>
          <w:rFonts w:ascii="Times New Roman" w:hAnsi="Times New Roman"/>
          <w:sz w:val="24"/>
          <w:szCs w:val="24"/>
          <w:lang w:val="fr-FR"/>
        </w:rPr>
        <w:t>élaboration des plans d’introduction (et documents de soumissions</w:t>
      </w:r>
      <w:r w:rsidR="003F3D6E" w:rsidRPr="00FD4940">
        <w:rPr>
          <w:rFonts w:ascii="Times New Roman" w:hAnsi="Times New Roman"/>
          <w:sz w:val="24"/>
          <w:szCs w:val="24"/>
          <w:lang w:val="fr-FR"/>
        </w:rPr>
        <w:t>)</w:t>
      </w:r>
    </w:p>
    <w:p w:rsidR="00F87BEE" w:rsidRPr="00FD4940" w:rsidRDefault="00F87BEE" w:rsidP="00FD4940">
      <w:pPr>
        <w:pStyle w:val="Listecouleur-Accent11"/>
        <w:numPr>
          <w:ilvl w:val="0"/>
          <w:numId w:val="25"/>
        </w:numPr>
        <w:spacing w:after="0" w:line="240" w:lineRule="auto"/>
        <w:ind w:right="115"/>
        <w:jc w:val="both"/>
        <w:divId w:val="410156154"/>
        <w:rPr>
          <w:rFonts w:ascii="Times New Roman" w:hAnsi="Times New Roman"/>
          <w:sz w:val="24"/>
          <w:szCs w:val="24"/>
          <w:lang w:val="fr-FR"/>
        </w:rPr>
      </w:pPr>
      <w:r w:rsidRPr="00FD4940">
        <w:rPr>
          <w:rFonts w:ascii="Times New Roman" w:hAnsi="Times New Roman"/>
          <w:sz w:val="24"/>
          <w:szCs w:val="24"/>
          <w:lang w:val="fr-FR"/>
        </w:rPr>
        <w:t>l’estimation</w:t>
      </w:r>
      <w:r w:rsidR="00817490" w:rsidRPr="00FD4940">
        <w:rPr>
          <w:rFonts w:ascii="Times New Roman" w:hAnsi="Times New Roman"/>
          <w:sz w:val="24"/>
          <w:szCs w:val="24"/>
          <w:lang w:val="fr-FR"/>
        </w:rPr>
        <w:t xml:space="preserve"> des besoins (vaccins, </w:t>
      </w:r>
      <w:r w:rsidRPr="00FD4940">
        <w:rPr>
          <w:rFonts w:ascii="Times New Roman" w:hAnsi="Times New Roman"/>
          <w:sz w:val="24"/>
          <w:szCs w:val="24"/>
          <w:lang w:val="fr-FR"/>
        </w:rPr>
        <w:t xml:space="preserve">matériels d’injection et boîtes de sécurité, matériel </w:t>
      </w:r>
      <w:r w:rsidR="00817490" w:rsidRPr="00FD4940">
        <w:rPr>
          <w:rFonts w:ascii="Times New Roman" w:hAnsi="Times New Roman"/>
          <w:sz w:val="24"/>
          <w:szCs w:val="24"/>
          <w:lang w:val="fr-FR"/>
        </w:rPr>
        <w:t xml:space="preserve">chaîne du froid, logistique de transport) </w:t>
      </w:r>
    </w:p>
    <w:p w:rsidR="00F87BEE" w:rsidRPr="00FD4940" w:rsidRDefault="00F87BEE" w:rsidP="00FD4940">
      <w:pPr>
        <w:pStyle w:val="Listecouleur-Accent11"/>
        <w:numPr>
          <w:ilvl w:val="0"/>
          <w:numId w:val="25"/>
        </w:numPr>
        <w:spacing w:after="0" w:line="240" w:lineRule="auto"/>
        <w:ind w:right="115"/>
        <w:jc w:val="both"/>
        <w:divId w:val="410156154"/>
        <w:rPr>
          <w:rFonts w:ascii="Times New Roman" w:hAnsi="Times New Roman"/>
          <w:sz w:val="24"/>
          <w:szCs w:val="24"/>
          <w:lang w:val="fr-FR"/>
        </w:rPr>
      </w:pPr>
      <w:r w:rsidRPr="00FD4940">
        <w:rPr>
          <w:rFonts w:ascii="Times New Roman" w:hAnsi="Times New Roman"/>
          <w:sz w:val="24"/>
          <w:szCs w:val="24"/>
          <w:lang w:val="fr-FR"/>
        </w:rPr>
        <w:t xml:space="preserve">la </w:t>
      </w:r>
      <w:r w:rsidR="00817490" w:rsidRPr="00FD4940">
        <w:rPr>
          <w:rFonts w:ascii="Times New Roman" w:hAnsi="Times New Roman"/>
          <w:sz w:val="24"/>
          <w:szCs w:val="24"/>
          <w:lang w:val="fr-FR"/>
        </w:rPr>
        <w:t>mobilisation des ressources</w:t>
      </w:r>
      <w:r w:rsidR="003F3D6E" w:rsidRPr="00FD4940">
        <w:rPr>
          <w:rFonts w:ascii="Times New Roman" w:hAnsi="Times New Roman"/>
          <w:sz w:val="24"/>
          <w:szCs w:val="24"/>
          <w:lang w:val="fr-FR"/>
        </w:rPr>
        <w:t xml:space="preserve"> financières</w:t>
      </w:r>
    </w:p>
    <w:p w:rsidR="00F87BEE" w:rsidRPr="00FD4940" w:rsidRDefault="00F87BEE" w:rsidP="00FD4940">
      <w:pPr>
        <w:pStyle w:val="Listecouleur-Accent11"/>
        <w:numPr>
          <w:ilvl w:val="0"/>
          <w:numId w:val="25"/>
        </w:numPr>
        <w:spacing w:after="0" w:line="240" w:lineRule="auto"/>
        <w:ind w:right="115"/>
        <w:jc w:val="both"/>
        <w:divId w:val="410156154"/>
        <w:rPr>
          <w:rFonts w:ascii="Times New Roman" w:hAnsi="Times New Roman"/>
          <w:sz w:val="24"/>
          <w:szCs w:val="24"/>
          <w:lang w:val="fr-FR"/>
        </w:rPr>
      </w:pPr>
      <w:r w:rsidRPr="00FD4940">
        <w:rPr>
          <w:rFonts w:ascii="Times New Roman" w:hAnsi="Times New Roman"/>
          <w:sz w:val="24"/>
          <w:szCs w:val="24"/>
          <w:lang w:val="fr-FR"/>
        </w:rPr>
        <w:t>la révision</w:t>
      </w:r>
      <w:r w:rsidR="00817490" w:rsidRPr="00FD4940">
        <w:rPr>
          <w:rFonts w:ascii="Times New Roman" w:hAnsi="Times New Roman"/>
          <w:sz w:val="24"/>
          <w:szCs w:val="24"/>
          <w:lang w:val="fr-FR"/>
        </w:rPr>
        <w:t xml:space="preserve"> des directives, modules et outils de gestion du pro</w:t>
      </w:r>
      <w:r w:rsidR="003F3D6E" w:rsidRPr="00FD4940">
        <w:rPr>
          <w:rFonts w:ascii="Times New Roman" w:hAnsi="Times New Roman"/>
          <w:sz w:val="24"/>
          <w:szCs w:val="24"/>
          <w:lang w:val="fr-FR"/>
        </w:rPr>
        <w:t>gramme, formation du personnel</w:t>
      </w:r>
    </w:p>
    <w:p w:rsidR="00F87BEE" w:rsidRPr="00FD4940" w:rsidRDefault="00F87BEE" w:rsidP="00FD4940">
      <w:pPr>
        <w:pStyle w:val="Listecouleur-Accent11"/>
        <w:numPr>
          <w:ilvl w:val="0"/>
          <w:numId w:val="25"/>
        </w:numPr>
        <w:spacing w:after="0" w:line="240" w:lineRule="auto"/>
        <w:ind w:right="115"/>
        <w:jc w:val="both"/>
        <w:divId w:val="410156154"/>
        <w:rPr>
          <w:rFonts w:ascii="Times New Roman" w:hAnsi="Times New Roman"/>
          <w:sz w:val="24"/>
          <w:szCs w:val="24"/>
          <w:lang w:val="fr-FR"/>
        </w:rPr>
      </w:pPr>
      <w:r w:rsidRPr="00FD4940">
        <w:rPr>
          <w:rFonts w:ascii="Times New Roman" w:hAnsi="Times New Roman"/>
          <w:sz w:val="24"/>
          <w:szCs w:val="24"/>
          <w:lang w:val="fr-FR"/>
        </w:rPr>
        <w:t>l’approvisionnement</w:t>
      </w:r>
      <w:r w:rsidR="00817490" w:rsidRPr="00FD4940">
        <w:rPr>
          <w:rFonts w:ascii="Times New Roman" w:hAnsi="Times New Roman"/>
          <w:sz w:val="24"/>
          <w:szCs w:val="24"/>
          <w:lang w:val="fr-FR"/>
        </w:rPr>
        <w:t xml:space="preserve"> des régions, districts et centres</w:t>
      </w:r>
      <w:r w:rsidR="003F3D6E" w:rsidRPr="00FD4940">
        <w:rPr>
          <w:rFonts w:ascii="Times New Roman" w:hAnsi="Times New Roman"/>
          <w:sz w:val="24"/>
          <w:szCs w:val="24"/>
          <w:lang w:val="fr-FR"/>
        </w:rPr>
        <w:t xml:space="preserve"> de santé</w:t>
      </w:r>
    </w:p>
    <w:p w:rsidR="00F87BEE" w:rsidRPr="00FD4940" w:rsidRDefault="00F87BEE" w:rsidP="00FD4940">
      <w:pPr>
        <w:pStyle w:val="Listecouleur-Accent11"/>
        <w:numPr>
          <w:ilvl w:val="0"/>
          <w:numId w:val="25"/>
        </w:numPr>
        <w:spacing w:after="0" w:line="240" w:lineRule="auto"/>
        <w:ind w:right="115"/>
        <w:jc w:val="both"/>
        <w:divId w:val="410156154"/>
        <w:rPr>
          <w:rFonts w:ascii="Times New Roman" w:hAnsi="Times New Roman"/>
          <w:sz w:val="24"/>
          <w:szCs w:val="24"/>
          <w:lang w:val="fr-FR"/>
        </w:rPr>
      </w:pPr>
      <w:r w:rsidRPr="00FD4940">
        <w:rPr>
          <w:rFonts w:ascii="Times New Roman" w:hAnsi="Times New Roman"/>
          <w:sz w:val="24"/>
          <w:szCs w:val="24"/>
          <w:lang w:val="fr-FR"/>
        </w:rPr>
        <w:t xml:space="preserve">la </w:t>
      </w:r>
      <w:r w:rsidR="00817490" w:rsidRPr="00FD4940">
        <w:rPr>
          <w:rFonts w:ascii="Times New Roman" w:hAnsi="Times New Roman"/>
          <w:sz w:val="24"/>
          <w:szCs w:val="24"/>
          <w:lang w:val="fr-FR"/>
        </w:rPr>
        <w:t>mobilisation/</w:t>
      </w:r>
      <w:r w:rsidR="003F3D6E" w:rsidRPr="00FD4940">
        <w:rPr>
          <w:rFonts w:ascii="Times New Roman" w:hAnsi="Times New Roman"/>
          <w:sz w:val="24"/>
          <w:szCs w:val="24"/>
          <w:lang w:val="fr-FR"/>
        </w:rPr>
        <w:t>sensibilisation des populations</w:t>
      </w:r>
    </w:p>
    <w:p w:rsidR="00F87BEE" w:rsidRPr="00FD4940" w:rsidRDefault="00F87BEE" w:rsidP="00FD4940">
      <w:pPr>
        <w:pStyle w:val="Listecouleur-Accent11"/>
        <w:numPr>
          <w:ilvl w:val="0"/>
          <w:numId w:val="25"/>
        </w:numPr>
        <w:spacing w:after="0" w:line="240" w:lineRule="auto"/>
        <w:ind w:right="115"/>
        <w:jc w:val="both"/>
        <w:divId w:val="410156154"/>
        <w:rPr>
          <w:rFonts w:ascii="Times New Roman" w:hAnsi="Times New Roman"/>
          <w:sz w:val="24"/>
          <w:szCs w:val="24"/>
          <w:lang w:val="fr-FR"/>
        </w:rPr>
      </w:pPr>
      <w:r w:rsidRPr="00FD4940">
        <w:rPr>
          <w:rFonts w:ascii="Times New Roman" w:hAnsi="Times New Roman"/>
          <w:sz w:val="24"/>
          <w:szCs w:val="24"/>
          <w:lang w:val="fr-FR"/>
        </w:rPr>
        <w:t xml:space="preserve">la </w:t>
      </w:r>
      <w:r w:rsidR="00817490" w:rsidRPr="00FD4940">
        <w:rPr>
          <w:rFonts w:ascii="Times New Roman" w:hAnsi="Times New Roman"/>
          <w:sz w:val="24"/>
          <w:szCs w:val="24"/>
          <w:lang w:val="fr-FR"/>
        </w:rPr>
        <w:t>supervision pré</w:t>
      </w:r>
      <w:r w:rsidRPr="00FD4940">
        <w:rPr>
          <w:rFonts w:ascii="Times New Roman" w:hAnsi="Times New Roman"/>
          <w:sz w:val="24"/>
          <w:szCs w:val="24"/>
          <w:lang w:val="fr-FR"/>
        </w:rPr>
        <w:t>-</w:t>
      </w:r>
      <w:r w:rsidR="00817490" w:rsidRPr="00FD4940">
        <w:rPr>
          <w:rFonts w:ascii="Times New Roman" w:hAnsi="Times New Roman"/>
          <w:sz w:val="24"/>
          <w:szCs w:val="24"/>
          <w:lang w:val="fr-FR"/>
        </w:rPr>
        <w:t xml:space="preserve"> et post</w:t>
      </w:r>
      <w:r w:rsidRPr="00FD4940">
        <w:rPr>
          <w:rFonts w:ascii="Times New Roman" w:hAnsi="Times New Roman"/>
          <w:sz w:val="24"/>
          <w:szCs w:val="24"/>
          <w:lang w:val="fr-FR"/>
        </w:rPr>
        <w:t>-</w:t>
      </w:r>
      <w:r w:rsidR="003F3D6E" w:rsidRPr="00FD4940">
        <w:rPr>
          <w:rFonts w:ascii="Times New Roman" w:hAnsi="Times New Roman"/>
          <w:sz w:val="24"/>
          <w:szCs w:val="24"/>
          <w:lang w:val="fr-FR"/>
        </w:rPr>
        <w:t xml:space="preserve"> introduction</w:t>
      </w:r>
    </w:p>
    <w:p w:rsidR="00F87BEE" w:rsidRPr="00FD4940" w:rsidRDefault="00F87BEE" w:rsidP="00FD4940">
      <w:pPr>
        <w:pStyle w:val="Listecouleur-Accent11"/>
        <w:numPr>
          <w:ilvl w:val="0"/>
          <w:numId w:val="25"/>
        </w:numPr>
        <w:spacing w:after="0" w:line="240" w:lineRule="auto"/>
        <w:ind w:right="115"/>
        <w:jc w:val="both"/>
        <w:divId w:val="410156154"/>
        <w:rPr>
          <w:rFonts w:ascii="Times New Roman" w:hAnsi="Times New Roman"/>
          <w:sz w:val="24"/>
          <w:szCs w:val="24"/>
          <w:lang w:val="fr-FR"/>
        </w:rPr>
      </w:pPr>
      <w:r w:rsidRPr="00FD4940">
        <w:rPr>
          <w:rFonts w:ascii="Times New Roman" w:hAnsi="Times New Roman"/>
          <w:sz w:val="24"/>
          <w:szCs w:val="24"/>
          <w:lang w:val="fr-FR"/>
        </w:rPr>
        <w:t xml:space="preserve">le </w:t>
      </w:r>
      <w:r w:rsidR="00817490" w:rsidRPr="00FD4940">
        <w:rPr>
          <w:rFonts w:ascii="Times New Roman" w:hAnsi="Times New Roman"/>
          <w:sz w:val="24"/>
          <w:szCs w:val="24"/>
          <w:lang w:val="fr-FR"/>
        </w:rPr>
        <w:t>suivi des performances</w:t>
      </w:r>
      <w:r w:rsidR="003F3D6E" w:rsidRPr="00FD4940">
        <w:rPr>
          <w:rFonts w:ascii="Times New Roman" w:hAnsi="Times New Roman"/>
          <w:sz w:val="24"/>
          <w:szCs w:val="24"/>
          <w:lang w:val="fr-FR"/>
        </w:rPr>
        <w:t>.</w:t>
      </w:r>
    </w:p>
    <w:p w:rsidR="00817490" w:rsidRPr="00FD4940" w:rsidRDefault="00817490" w:rsidP="00FD4940">
      <w:pPr>
        <w:pStyle w:val="Listecouleur-Accent11"/>
        <w:spacing w:after="0" w:line="240" w:lineRule="auto"/>
        <w:ind w:left="0" w:right="115"/>
        <w:jc w:val="both"/>
        <w:divId w:val="410156154"/>
        <w:rPr>
          <w:rFonts w:ascii="Times New Roman" w:hAnsi="Times New Roman"/>
          <w:sz w:val="24"/>
          <w:szCs w:val="24"/>
          <w:lang w:val="fr-FR"/>
        </w:rPr>
      </w:pPr>
    </w:p>
    <w:p w:rsidR="00817490" w:rsidRPr="00FD4940" w:rsidRDefault="00817490" w:rsidP="00FD4940">
      <w:pPr>
        <w:pStyle w:val="Listecouleur-Accent11"/>
        <w:spacing w:after="0" w:line="240" w:lineRule="auto"/>
        <w:ind w:left="0" w:right="115"/>
        <w:jc w:val="both"/>
        <w:divId w:val="410156154"/>
        <w:rPr>
          <w:rFonts w:ascii="Times New Roman" w:hAnsi="Times New Roman"/>
          <w:sz w:val="24"/>
          <w:szCs w:val="24"/>
          <w:lang w:val="fr-FR"/>
        </w:rPr>
      </w:pPr>
      <w:r w:rsidRPr="00FD4940">
        <w:rPr>
          <w:rFonts w:ascii="Times New Roman" w:hAnsi="Times New Roman"/>
          <w:sz w:val="24"/>
          <w:szCs w:val="24"/>
          <w:lang w:val="fr-FR"/>
        </w:rPr>
        <w:t xml:space="preserve">Les principaux problèmes rencontrés ont été : </w:t>
      </w:r>
    </w:p>
    <w:p w:rsidR="00F17F55" w:rsidRPr="00FD4940" w:rsidRDefault="00F17F55" w:rsidP="00FD4940">
      <w:pPr>
        <w:pStyle w:val="Listecouleur-Accent11"/>
        <w:numPr>
          <w:ilvl w:val="0"/>
          <w:numId w:val="26"/>
        </w:numPr>
        <w:spacing w:after="0" w:line="240" w:lineRule="auto"/>
        <w:ind w:right="235"/>
        <w:jc w:val="both"/>
        <w:divId w:val="410156154"/>
        <w:rPr>
          <w:rFonts w:ascii="Times New Roman" w:hAnsi="Times New Roman"/>
          <w:sz w:val="24"/>
          <w:szCs w:val="24"/>
          <w:lang w:val="fr-FR"/>
        </w:rPr>
      </w:pPr>
      <w:r w:rsidRPr="00FD4940">
        <w:rPr>
          <w:rFonts w:ascii="Times New Roman" w:hAnsi="Times New Roman"/>
          <w:sz w:val="24"/>
          <w:szCs w:val="24"/>
          <w:lang w:val="fr-FR"/>
        </w:rPr>
        <w:t xml:space="preserve">la </w:t>
      </w:r>
      <w:r w:rsidR="00817490" w:rsidRPr="00FD4940">
        <w:rPr>
          <w:rFonts w:ascii="Times New Roman" w:hAnsi="Times New Roman"/>
          <w:sz w:val="24"/>
          <w:szCs w:val="24"/>
          <w:lang w:val="fr-FR"/>
        </w:rPr>
        <w:t xml:space="preserve">faible capacité dans la gestion des déchets, </w:t>
      </w:r>
    </w:p>
    <w:p w:rsidR="00817490" w:rsidRPr="00FD4940" w:rsidRDefault="00F17F55" w:rsidP="00FD4940">
      <w:pPr>
        <w:pStyle w:val="Listecouleur-Accent11"/>
        <w:numPr>
          <w:ilvl w:val="0"/>
          <w:numId w:val="26"/>
        </w:numPr>
        <w:spacing w:after="0" w:line="240" w:lineRule="auto"/>
        <w:ind w:right="235"/>
        <w:jc w:val="both"/>
        <w:divId w:val="410156154"/>
        <w:rPr>
          <w:rFonts w:ascii="Times New Roman" w:hAnsi="Times New Roman"/>
          <w:sz w:val="24"/>
          <w:szCs w:val="24"/>
          <w:lang w:val="fr-FR"/>
        </w:rPr>
      </w:pPr>
      <w:r w:rsidRPr="00FD4940">
        <w:rPr>
          <w:rFonts w:ascii="Times New Roman" w:hAnsi="Times New Roman"/>
          <w:sz w:val="24"/>
          <w:szCs w:val="24"/>
          <w:lang w:val="fr-FR"/>
        </w:rPr>
        <w:t xml:space="preserve">la faible capacité dans </w:t>
      </w:r>
      <w:r w:rsidR="00817490" w:rsidRPr="00FD4940">
        <w:rPr>
          <w:rFonts w:ascii="Times New Roman" w:hAnsi="Times New Roman"/>
          <w:sz w:val="24"/>
          <w:szCs w:val="24"/>
          <w:lang w:val="fr-FR"/>
        </w:rPr>
        <w:t xml:space="preserve">le stockage. </w:t>
      </w:r>
    </w:p>
    <w:p w:rsidR="00817490" w:rsidRPr="00FD4940" w:rsidRDefault="00817490" w:rsidP="00FD4940">
      <w:pPr>
        <w:pStyle w:val="Listecouleur-Accent11"/>
        <w:spacing w:after="0" w:line="240" w:lineRule="auto"/>
        <w:ind w:left="0" w:right="115"/>
        <w:jc w:val="both"/>
        <w:divId w:val="410156154"/>
        <w:rPr>
          <w:rFonts w:ascii="Times New Roman" w:hAnsi="Times New Roman"/>
          <w:sz w:val="24"/>
          <w:szCs w:val="24"/>
          <w:lang w:val="fr-FR"/>
        </w:rPr>
      </w:pPr>
    </w:p>
    <w:p w:rsidR="00817490" w:rsidRPr="00FD4940" w:rsidRDefault="00817490" w:rsidP="00FD4940">
      <w:pPr>
        <w:pStyle w:val="Listecouleur-Accent11"/>
        <w:spacing w:after="0" w:line="240" w:lineRule="auto"/>
        <w:ind w:left="0" w:right="115"/>
        <w:jc w:val="both"/>
        <w:divId w:val="410156154"/>
        <w:rPr>
          <w:rFonts w:ascii="Times New Roman" w:hAnsi="Times New Roman"/>
          <w:sz w:val="24"/>
          <w:szCs w:val="24"/>
          <w:lang w:val="fr-FR"/>
        </w:rPr>
      </w:pPr>
      <w:r w:rsidRPr="00FD4940">
        <w:rPr>
          <w:rFonts w:ascii="Times New Roman" w:hAnsi="Times New Roman"/>
          <w:sz w:val="24"/>
          <w:szCs w:val="24"/>
          <w:lang w:val="fr-FR"/>
        </w:rPr>
        <w:t xml:space="preserve">Face à ces problèmes les solutions suivantes ont été proposées et mises en œuvre : </w:t>
      </w:r>
    </w:p>
    <w:p w:rsidR="00817490" w:rsidRPr="00FD4940" w:rsidRDefault="00F17F55" w:rsidP="00FD4940">
      <w:pPr>
        <w:pStyle w:val="Listecouleur-Accent11"/>
        <w:numPr>
          <w:ilvl w:val="0"/>
          <w:numId w:val="24"/>
        </w:numPr>
        <w:spacing w:after="0" w:line="240" w:lineRule="auto"/>
        <w:ind w:right="115"/>
        <w:jc w:val="both"/>
        <w:divId w:val="410156154"/>
        <w:rPr>
          <w:rFonts w:ascii="Times New Roman" w:hAnsi="Times New Roman"/>
          <w:sz w:val="24"/>
          <w:szCs w:val="24"/>
          <w:lang w:val="fr-FR"/>
        </w:rPr>
      </w:pPr>
      <w:r w:rsidRPr="00FD4940">
        <w:rPr>
          <w:rFonts w:ascii="Times New Roman" w:hAnsi="Times New Roman"/>
          <w:sz w:val="24"/>
          <w:szCs w:val="24"/>
          <w:lang w:val="fr-FR"/>
        </w:rPr>
        <w:t>le r</w:t>
      </w:r>
      <w:r w:rsidR="00817490" w:rsidRPr="00FD4940">
        <w:rPr>
          <w:rFonts w:ascii="Times New Roman" w:hAnsi="Times New Roman"/>
          <w:sz w:val="24"/>
          <w:szCs w:val="24"/>
          <w:lang w:val="fr-FR"/>
        </w:rPr>
        <w:t xml:space="preserve">enforcement des capacités de stockage des vaccins  </w:t>
      </w:r>
    </w:p>
    <w:p w:rsidR="00817490" w:rsidRPr="00FD4940" w:rsidRDefault="00F17F55" w:rsidP="00FD4940">
      <w:pPr>
        <w:pStyle w:val="Listecouleur-Accent11"/>
        <w:numPr>
          <w:ilvl w:val="0"/>
          <w:numId w:val="24"/>
        </w:numPr>
        <w:spacing w:after="0" w:line="240" w:lineRule="auto"/>
        <w:ind w:right="115"/>
        <w:jc w:val="both"/>
        <w:divId w:val="410156154"/>
        <w:rPr>
          <w:rFonts w:ascii="Times New Roman" w:hAnsi="Times New Roman"/>
          <w:sz w:val="24"/>
          <w:szCs w:val="24"/>
          <w:lang w:val="fr-FR"/>
        </w:rPr>
      </w:pPr>
      <w:r w:rsidRPr="00FD4940">
        <w:rPr>
          <w:rFonts w:ascii="Times New Roman" w:hAnsi="Times New Roman"/>
          <w:sz w:val="24"/>
          <w:szCs w:val="24"/>
          <w:lang w:val="fr-FR"/>
        </w:rPr>
        <w:t>la c</w:t>
      </w:r>
      <w:r w:rsidR="00817490" w:rsidRPr="00FD4940">
        <w:rPr>
          <w:rFonts w:ascii="Times New Roman" w:hAnsi="Times New Roman"/>
          <w:sz w:val="24"/>
          <w:szCs w:val="24"/>
          <w:lang w:val="fr-FR"/>
        </w:rPr>
        <w:t>onstruction d’incinérateurs dans certaines régions et districts</w:t>
      </w:r>
      <w:r w:rsidRPr="00FD4940">
        <w:rPr>
          <w:rFonts w:ascii="Times New Roman" w:hAnsi="Times New Roman"/>
          <w:sz w:val="24"/>
          <w:szCs w:val="24"/>
          <w:lang w:val="fr-FR"/>
        </w:rPr>
        <w:t xml:space="preserve"> sanitaires</w:t>
      </w:r>
    </w:p>
    <w:p w:rsidR="00FD4940" w:rsidRPr="00FD4940" w:rsidRDefault="00FD4940" w:rsidP="00FD4940">
      <w:pPr>
        <w:autoSpaceDE w:val="0"/>
        <w:autoSpaceDN w:val="0"/>
        <w:adjustRightInd w:val="0"/>
        <w:jc w:val="both"/>
        <w:divId w:val="410156154"/>
        <w:rPr>
          <w:rFonts w:eastAsia="SimSun"/>
          <w:color w:val="000000"/>
          <w:lang w:val="fr-FR"/>
        </w:rPr>
      </w:pPr>
    </w:p>
    <w:p w:rsidR="000A2CB6" w:rsidRPr="00C369C9" w:rsidRDefault="00515293">
      <w:pPr>
        <w:spacing w:after="120"/>
        <w:divId w:val="410156154"/>
        <w:rPr>
          <w:rFonts w:asciiTheme="minorHAnsi" w:eastAsia="SimSun" w:hAnsiTheme="minorHAnsi"/>
          <w:b/>
          <w:color w:val="1F497D" w:themeColor="text2"/>
          <w:sz w:val="28"/>
          <w:szCs w:val="28"/>
          <w:lang w:val="fr-FR"/>
        </w:rPr>
      </w:pPr>
      <w:r w:rsidRPr="00C369C9">
        <w:rPr>
          <w:rFonts w:asciiTheme="minorHAnsi" w:eastAsia="SimSun" w:hAnsiTheme="minorHAnsi"/>
          <w:b/>
          <w:color w:val="1F497D" w:themeColor="text2"/>
          <w:sz w:val="28"/>
          <w:szCs w:val="28"/>
          <w:lang w:val="fr-FR"/>
        </w:rPr>
        <w:t>2. Présentation générale du VPI</w:t>
      </w:r>
    </w:p>
    <w:p w:rsidR="000A2CB6" w:rsidRPr="00C369C9" w:rsidRDefault="00515293">
      <w:pPr>
        <w:ind w:right="120"/>
        <w:jc w:val="both"/>
        <w:divId w:val="410156154"/>
        <w:rPr>
          <w:rFonts w:asciiTheme="minorHAnsi" w:hAnsiTheme="minorHAnsi" w:cs="Arial"/>
          <w:lang w:val="fr-FR"/>
        </w:rPr>
      </w:pPr>
      <w:r w:rsidRPr="00C369C9">
        <w:rPr>
          <w:rFonts w:asciiTheme="minorHAnsi" w:hAnsiTheme="minorHAnsi"/>
          <w:bCs/>
          <w:color w:val="1F497D" w:themeColor="text2"/>
          <w:lang w:val="fr-FR"/>
        </w:rPr>
        <w:t xml:space="preserve">2.1  Préférences vaccinales    </w:t>
      </w:r>
    </w:p>
    <w:p w:rsidR="000A2CB6" w:rsidRPr="007B60C5" w:rsidRDefault="00515293">
      <w:pPr>
        <w:pStyle w:val="Paragraphedeliste"/>
        <w:numPr>
          <w:ilvl w:val="0"/>
          <w:numId w:val="11"/>
        </w:numPr>
        <w:spacing w:after="0" w:line="240" w:lineRule="auto"/>
        <w:ind w:right="115"/>
        <w:jc w:val="both"/>
        <w:divId w:val="410156154"/>
        <w:rPr>
          <w:rFonts w:asciiTheme="minorHAnsi" w:hAnsiTheme="minorHAnsi" w:cs="Arial"/>
          <w:highlight w:val="cyan"/>
          <w:lang w:val="fr-FR"/>
        </w:rPr>
      </w:pPr>
      <w:r w:rsidRPr="007B60C5">
        <w:rPr>
          <w:rFonts w:asciiTheme="minorHAnsi" w:hAnsiTheme="minorHAnsi" w:cs="Arial"/>
          <w:highlight w:val="cyan"/>
          <w:lang w:val="fr-FR"/>
        </w:rPr>
        <w:t xml:space="preserve">Veuillez spécifier vos préférences vaccinales dans le tableau B1 ci-dessous.  </w:t>
      </w:r>
    </w:p>
    <w:p w:rsidR="00C63E63" w:rsidRPr="00C369C9" w:rsidRDefault="00C63E63" w:rsidP="0049745C">
      <w:pPr>
        <w:divId w:val="410156154"/>
        <w:rPr>
          <w:rFonts w:asciiTheme="minorHAnsi" w:hAnsiTheme="minorHAnsi" w:cs="Arial"/>
          <w:lang w:val="fr-FR"/>
        </w:rPr>
      </w:pPr>
    </w:p>
    <w:p w:rsidR="000A2CB6" w:rsidRPr="00C369C9" w:rsidRDefault="00515293">
      <w:pPr>
        <w:autoSpaceDE w:val="0"/>
        <w:autoSpaceDN w:val="0"/>
        <w:adjustRightInd w:val="0"/>
        <w:jc w:val="both"/>
        <w:divId w:val="410156154"/>
        <w:rPr>
          <w:rFonts w:asciiTheme="minorHAnsi" w:eastAsia="SimSun" w:hAnsiTheme="minorHAnsi" w:cs="Calibri"/>
          <w:b/>
          <w:color w:val="000000"/>
          <w:sz w:val="20"/>
          <w:szCs w:val="20"/>
          <w:lang w:val="fr-FR"/>
        </w:rPr>
      </w:pPr>
      <w:r w:rsidRPr="00C369C9">
        <w:rPr>
          <w:rFonts w:asciiTheme="minorHAnsi" w:eastAsia="SimSun" w:hAnsiTheme="minorHAnsi" w:cs="Calibri"/>
          <w:b/>
          <w:color w:val="000000"/>
          <w:sz w:val="20"/>
          <w:szCs w:val="20"/>
          <w:lang w:val="fr-FR"/>
        </w:rPr>
        <w:t>Tableau B1. Présentation préférée du VPI et date estimée d’introduction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2115"/>
        <w:gridCol w:w="2292"/>
        <w:gridCol w:w="2309"/>
      </w:tblGrid>
      <w:tr w:rsidR="00630E87" w:rsidRPr="00C072F8" w:rsidTr="00630E87">
        <w:trPr>
          <w:divId w:val="410156154"/>
        </w:trPr>
        <w:tc>
          <w:tcPr>
            <w:tcW w:w="2508" w:type="dxa"/>
            <w:shd w:val="clear" w:color="auto" w:fill="auto"/>
          </w:tcPr>
          <w:p w:rsidR="00630E87" w:rsidRPr="00C369C9" w:rsidRDefault="00515293" w:rsidP="001516A9">
            <w:pPr>
              <w:spacing w:after="120"/>
              <w:ind w:right="120"/>
              <w:jc w:val="center"/>
              <w:rPr>
                <w:rFonts w:asciiTheme="minorHAnsi" w:hAnsiTheme="minorHAnsi" w:cs="Arial"/>
                <w:b/>
                <w:sz w:val="20"/>
                <w:szCs w:val="20"/>
                <w:lang w:val="fr-FR"/>
              </w:rPr>
            </w:pPr>
            <w:r w:rsidRPr="00C369C9">
              <w:rPr>
                <w:rFonts w:asciiTheme="minorHAnsi" w:hAnsiTheme="minorHAnsi" w:cs="Arial"/>
                <w:b/>
                <w:sz w:val="20"/>
                <w:szCs w:val="20"/>
                <w:lang w:val="fr-FR"/>
              </w:rPr>
              <w:t xml:space="preserve">Présentation préférée du VPI </w:t>
            </w:r>
          </w:p>
        </w:tc>
        <w:tc>
          <w:tcPr>
            <w:tcW w:w="2160" w:type="dxa"/>
            <w:shd w:val="clear" w:color="auto" w:fill="auto"/>
          </w:tcPr>
          <w:p w:rsidR="00630E87" w:rsidRPr="00C369C9" w:rsidRDefault="00515293" w:rsidP="001516A9">
            <w:pPr>
              <w:tabs>
                <w:tab w:val="center" w:pos="4320"/>
                <w:tab w:val="right" w:pos="8640"/>
              </w:tabs>
              <w:spacing w:after="120"/>
              <w:ind w:right="120"/>
              <w:jc w:val="center"/>
              <w:rPr>
                <w:rFonts w:asciiTheme="minorHAnsi" w:hAnsiTheme="minorHAnsi" w:cs="Arial"/>
                <w:b/>
                <w:sz w:val="20"/>
                <w:szCs w:val="20"/>
                <w:lang w:val="fr-FR"/>
              </w:rPr>
            </w:pPr>
            <w:r w:rsidRPr="00C072F8">
              <w:rPr>
                <w:rFonts w:asciiTheme="minorHAnsi" w:hAnsiTheme="minorHAnsi" w:cs="Arial"/>
                <w:b/>
                <w:sz w:val="20"/>
                <w:szCs w:val="20"/>
                <w:lang w:val="fr-FR"/>
              </w:rPr>
              <w:t xml:space="preserve">Mois et année de la première vaccination  </w:t>
            </w:r>
          </w:p>
        </w:tc>
        <w:tc>
          <w:tcPr>
            <w:tcW w:w="2340" w:type="dxa"/>
            <w:shd w:val="clear" w:color="auto" w:fill="auto"/>
          </w:tcPr>
          <w:p w:rsidR="00630E87" w:rsidRPr="00C369C9" w:rsidRDefault="00515293" w:rsidP="001516A9">
            <w:pPr>
              <w:tabs>
                <w:tab w:val="center" w:pos="4320"/>
                <w:tab w:val="right" w:pos="8640"/>
              </w:tabs>
              <w:spacing w:after="120"/>
              <w:ind w:right="120"/>
              <w:jc w:val="center"/>
              <w:rPr>
                <w:rFonts w:asciiTheme="minorHAnsi" w:hAnsiTheme="minorHAnsi" w:cs="Arial"/>
                <w:b/>
                <w:sz w:val="20"/>
                <w:szCs w:val="20"/>
                <w:lang w:val="fr-FR"/>
              </w:rPr>
            </w:pPr>
            <w:r w:rsidRPr="00C369C9">
              <w:rPr>
                <w:rFonts w:asciiTheme="minorHAnsi" w:hAnsiTheme="minorHAnsi" w:cs="Arial"/>
                <w:b/>
                <w:sz w:val="20"/>
                <w:szCs w:val="20"/>
                <w:lang w:val="fr-FR"/>
              </w:rPr>
              <w:t xml:space="preserve">Seconde présentation préférée </w:t>
            </w:r>
          </w:p>
        </w:tc>
        <w:tc>
          <w:tcPr>
            <w:tcW w:w="2358" w:type="dxa"/>
          </w:tcPr>
          <w:p w:rsidR="00630E87" w:rsidRPr="00C369C9" w:rsidRDefault="00515293" w:rsidP="001516A9">
            <w:pPr>
              <w:spacing w:after="120"/>
              <w:ind w:right="120"/>
              <w:jc w:val="center"/>
              <w:rPr>
                <w:rFonts w:asciiTheme="minorHAnsi" w:hAnsiTheme="minorHAnsi" w:cs="Arial"/>
                <w:b/>
                <w:sz w:val="20"/>
                <w:szCs w:val="20"/>
                <w:lang w:val="fr-FR"/>
              </w:rPr>
            </w:pPr>
            <w:r w:rsidRPr="00C369C9">
              <w:rPr>
                <w:rFonts w:asciiTheme="minorHAnsi" w:hAnsiTheme="minorHAnsi" w:cs="Arial"/>
                <w:b/>
                <w:sz w:val="20"/>
                <w:szCs w:val="20"/>
                <w:lang w:val="fr-FR"/>
              </w:rPr>
              <w:t>Troisième présentation préférée</w:t>
            </w:r>
          </w:p>
        </w:tc>
      </w:tr>
      <w:tr w:rsidR="00630E87" w:rsidRPr="00C072F8" w:rsidTr="00A52D39">
        <w:trPr>
          <w:divId w:val="410156154"/>
          <w:trHeight w:val="451"/>
        </w:trPr>
        <w:tc>
          <w:tcPr>
            <w:tcW w:w="2508" w:type="dxa"/>
            <w:shd w:val="clear" w:color="auto" w:fill="auto"/>
          </w:tcPr>
          <w:p w:rsidR="00C63E63" w:rsidRPr="00C369C9" w:rsidRDefault="00630E87" w:rsidP="00A52D39">
            <w:pPr>
              <w:spacing w:after="120"/>
              <w:ind w:right="120"/>
              <w:jc w:val="center"/>
              <w:rPr>
                <w:rFonts w:asciiTheme="minorHAnsi" w:hAnsiTheme="minorHAnsi" w:cs="Arial"/>
                <w:sz w:val="20"/>
                <w:szCs w:val="20"/>
                <w:lang w:val="fr-FR"/>
              </w:rPr>
            </w:pPr>
            <w:r w:rsidRPr="00C369C9">
              <w:rPr>
                <w:rFonts w:asciiTheme="minorHAnsi" w:hAnsiTheme="minorHAnsi" w:cs="Arial"/>
                <w:sz w:val="20"/>
                <w:szCs w:val="20"/>
                <w:highlight w:val="lightGray"/>
                <w:lang w:val="fr-FR"/>
              </w:rPr>
              <w:t>[</w:t>
            </w:r>
            <w:r w:rsidR="00945685">
              <w:rPr>
                <w:rFonts w:asciiTheme="minorHAnsi" w:hAnsiTheme="minorHAnsi" w:cs="Arial"/>
                <w:sz w:val="20"/>
                <w:szCs w:val="20"/>
                <w:highlight w:val="lightGray"/>
                <w:lang w:val="fr-FR"/>
              </w:rPr>
              <w:t>10 doses</w:t>
            </w:r>
            <w:r w:rsidRPr="00C369C9">
              <w:rPr>
                <w:rFonts w:asciiTheme="minorHAnsi" w:hAnsiTheme="minorHAnsi" w:cs="Arial"/>
                <w:sz w:val="20"/>
                <w:szCs w:val="20"/>
                <w:highlight w:val="lightGray"/>
                <w:lang w:val="fr-FR"/>
              </w:rPr>
              <w:t>]</w:t>
            </w:r>
          </w:p>
        </w:tc>
        <w:tc>
          <w:tcPr>
            <w:tcW w:w="2160" w:type="dxa"/>
            <w:shd w:val="clear" w:color="auto" w:fill="auto"/>
          </w:tcPr>
          <w:p w:rsidR="00630E87" w:rsidRPr="00C369C9" w:rsidRDefault="00630E87" w:rsidP="00A52D39">
            <w:pPr>
              <w:jc w:val="center"/>
              <w:rPr>
                <w:rFonts w:asciiTheme="minorHAnsi" w:hAnsiTheme="minorHAnsi" w:cs="Arial"/>
                <w:sz w:val="20"/>
                <w:szCs w:val="20"/>
                <w:lang w:val="fr-FR"/>
              </w:rPr>
            </w:pPr>
            <w:r w:rsidRPr="00C369C9">
              <w:rPr>
                <w:rFonts w:asciiTheme="minorHAnsi" w:hAnsiTheme="minorHAnsi" w:cs="Arial"/>
                <w:sz w:val="20"/>
                <w:szCs w:val="20"/>
                <w:highlight w:val="lightGray"/>
                <w:lang w:val="fr-FR"/>
              </w:rPr>
              <w:t>[</w:t>
            </w:r>
            <w:r w:rsidR="00945685">
              <w:rPr>
                <w:rFonts w:asciiTheme="minorHAnsi" w:hAnsiTheme="minorHAnsi" w:cs="Arial"/>
                <w:sz w:val="20"/>
                <w:szCs w:val="20"/>
                <w:highlight w:val="lightGray"/>
                <w:lang w:val="fr-FR"/>
              </w:rPr>
              <w:t>juillet 2015</w:t>
            </w:r>
            <w:r w:rsidRPr="00C369C9">
              <w:rPr>
                <w:rFonts w:asciiTheme="minorHAnsi" w:hAnsiTheme="minorHAnsi" w:cs="Arial"/>
                <w:sz w:val="20"/>
                <w:szCs w:val="20"/>
                <w:highlight w:val="lightGray"/>
                <w:lang w:val="fr-FR"/>
              </w:rPr>
              <w:t>]</w:t>
            </w:r>
          </w:p>
          <w:p w:rsidR="00C63E63" w:rsidRPr="00C369C9" w:rsidRDefault="00C63E63" w:rsidP="00A52D39">
            <w:pPr>
              <w:jc w:val="center"/>
              <w:rPr>
                <w:rFonts w:asciiTheme="minorHAnsi" w:hAnsiTheme="minorHAnsi"/>
                <w:sz w:val="20"/>
                <w:szCs w:val="20"/>
                <w:lang w:val="fr-FR"/>
              </w:rPr>
            </w:pPr>
          </w:p>
        </w:tc>
        <w:tc>
          <w:tcPr>
            <w:tcW w:w="2340" w:type="dxa"/>
            <w:shd w:val="clear" w:color="auto" w:fill="auto"/>
          </w:tcPr>
          <w:p w:rsidR="00C63E63" w:rsidRPr="00A52D39" w:rsidRDefault="00630E87" w:rsidP="00A52D39">
            <w:pPr>
              <w:jc w:val="center"/>
              <w:rPr>
                <w:rFonts w:asciiTheme="minorHAnsi" w:hAnsiTheme="minorHAnsi" w:cs="Arial"/>
                <w:sz w:val="20"/>
                <w:szCs w:val="20"/>
                <w:lang w:val="fr-FR"/>
              </w:rPr>
            </w:pPr>
            <w:r w:rsidRPr="00C369C9">
              <w:rPr>
                <w:rFonts w:asciiTheme="minorHAnsi" w:hAnsiTheme="minorHAnsi" w:cs="Arial"/>
                <w:sz w:val="20"/>
                <w:szCs w:val="20"/>
                <w:highlight w:val="lightGray"/>
                <w:lang w:val="fr-FR"/>
              </w:rPr>
              <w:t>[</w:t>
            </w:r>
            <w:r w:rsidR="00945685">
              <w:rPr>
                <w:rFonts w:asciiTheme="minorHAnsi" w:hAnsiTheme="minorHAnsi" w:cs="Arial"/>
                <w:sz w:val="20"/>
                <w:szCs w:val="20"/>
                <w:highlight w:val="lightGray"/>
                <w:lang w:val="fr-FR"/>
              </w:rPr>
              <w:t>5 doses</w:t>
            </w:r>
            <w:r w:rsidRPr="00C369C9">
              <w:rPr>
                <w:rFonts w:asciiTheme="minorHAnsi" w:hAnsiTheme="minorHAnsi" w:cs="Arial"/>
                <w:sz w:val="20"/>
                <w:szCs w:val="20"/>
                <w:highlight w:val="lightGray"/>
                <w:lang w:val="fr-FR"/>
              </w:rPr>
              <w:t>]</w:t>
            </w:r>
          </w:p>
        </w:tc>
        <w:tc>
          <w:tcPr>
            <w:tcW w:w="2358" w:type="dxa"/>
          </w:tcPr>
          <w:p w:rsidR="00630E87" w:rsidRPr="00C369C9" w:rsidRDefault="00630E87" w:rsidP="00A52D39">
            <w:pPr>
              <w:jc w:val="center"/>
              <w:rPr>
                <w:rFonts w:asciiTheme="minorHAnsi" w:hAnsiTheme="minorHAnsi" w:cs="Arial"/>
                <w:sz w:val="20"/>
                <w:szCs w:val="20"/>
                <w:lang w:val="fr-FR"/>
              </w:rPr>
            </w:pPr>
            <w:r w:rsidRPr="00C369C9">
              <w:rPr>
                <w:rFonts w:asciiTheme="minorHAnsi" w:hAnsiTheme="minorHAnsi" w:cs="Arial"/>
                <w:sz w:val="20"/>
                <w:szCs w:val="20"/>
                <w:highlight w:val="lightGray"/>
                <w:lang w:val="fr-FR"/>
              </w:rPr>
              <w:t>[</w:t>
            </w:r>
            <w:r w:rsidR="00945685">
              <w:rPr>
                <w:rFonts w:asciiTheme="minorHAnsi" w:hAnsiTheme="minorHAnsi" w:cs="Arial"/>
                <w:sz w:val="20"/>
                <w:szCs w:val="20"/>
                <w:highlight w:val="lightGray"/>
                <w:lang w:val="fr-FR"/>
              </w:rPr>
              <w:t>1 dose</w:t>
            </w:r>
            <w:r w:rsidRPr="00C369C9">
              <w:rPr>
                <w:rFonts w:asciiTheme="minorHAnsi" w:hAnsiTheme="minorHAnsi" w:cs="Arial"/>
                <w:sz w:val="20"/>
                <w:szCs w:val="20"/>
                <w:highlight w:val="lightGray"/>
                <w:lang w:val="fr-FR"/>
              </w:rPr>
              <w:t>]</w:t>
            </w:r>
          </w:p>
          <w:p w:rsidR="00C63E63" w:rsidRPr="00C369C9" w:rsidRDefault="00C63E63" w:rsidP="00A52D39">
            <w:pPr>
              <w:jc w:val="center"/>
              <w:rPr>
                <w:rFonts w:asciiTheme="minorHAnsi" w:hAnsiTheme="minorHAnsi"/>
                <w:sz w:val="20"/>
                <w:szCs w:val="20"/>
                <w:lang w:val="fr-FR"/>
              </w:rPr>
            </w:pPr>
          </w:p>
        </w:tc>
      </w:tr>
    </w:tbl>
    <w:p w:rsidR="00630E87" w:rsidRPr="00C369C9" w:rsidRDefault="00630E87" w:rsidP="00630E87">
      <w:pPr>
        <w:autoSpaceDE w:val="0"/>
        <w:autoSpaceDN w:val="0"/>
        <w:adjustRightInd w:val="0"/>
        <w:jc w:val="both"/>
        <w:divId w:val="410156154"/>
        <w:rPr>
          <w:rFonts w:asciiTheme="minorHAnsi" w:eastAsia="SimSun" w:hAnsiTheme="minorHAnsi" w:cs="Calibri"/>
          <w:color w:val="000000"/>
          <w:sz w:val="22"/>
          <w:szCs w:val="22"/>
          <w:lang w:val="fr-FR"/>
        </w:rPr>
      </w:pPr>
    </w:p>
    <w:p w:rsidR="000A2CB6" w:rsidRPr="00C369C9" w:rsidRDefault="00515293" w:rsidP="00C36D41">
      <w:pPr>
        <w:pStyle w:val="Paragraphedeliste"/>
        <w:numPr>
          <w:ilvl w:val="0"/>
          <w:numId w:val="11"/>
        </w:numPr>
        <w:spacing w:after="0" w:line="240" w:lineRule="auto"/>
        <w:ind w:right="115"/>
        <w:jc w:val="both"/>
        <w:divId w:val="410156154"/>
        <w:rPr>
          <w:bCs/>
          <w:color w:val="000000"/>
          <w:lang w:val="fr-FR"/>
        </w:rPr>
      </w:pPr>
      <w:r w:rsidRPr="00C072F8">
        <w:rPr>
          <w:bCs/>
          <w:color w:val="000000"/>
          <w:lang w:val="fr-FR"/>
        </w:rPr>
        <w:t xml:space="preserve">Pour en savoir plus sur les présentations de vaccins, veuillez consulter le menu des produits de l’UNICEF </w:t>
      </w:r>
      <w:r w:rsidRPr="00C369C9">
        <w:rPr>
          <w:bCs/>
          <w:color w:val="000000"/>
          <w:lang w:val="fr-FR"/>
        </w:rPr>
        <w:t xml:space="preserve">: </w:t>
      </w:r>
      <w:hyperlink r:id="rId13" w:history="1">
        <w:r w:rsidRPr="00C369C9">
          <w:rPr>
            <w:rStyle w:val="Lienhypertexte"/>
            <w:bCs/>
            <w:lang w:val="fr-FR"/>
          </w:rPr>
          <w:t>http://www.unicef.org/supply/index_66260.html</w:t>
        </w:r>
      </w:hyperlink>
      <w:r w:rsidRPr="00C369C9">
        <w:rPr>
          <w:bCs/>
          <w:color w:val="000000"/>
          <w:lang w:val="fr-FR"/>
        </w:rPr>
        <w:t xml:space="preserve">. Une liste de </w:t>
      </w:r>
      <w:r w:rsidRPr="00C369C9">
        <w:rPr>
          <w:bCs/>
          <w:color w:val="000000"/>
          <w:lang w:val="fr-FR"/>
        </w:rPr>
        <w:lastRenderedPageBreak/>
        <w:t xml:space="preserve">présentations du produit final sera disponible au terme de l’appel d’offres de l’UNICEF (prévu d’ici </w:t>
      </w:r>
      <w:r w:rsidR="00C36D41">
        <w:rPr>
          <w:bCs/>
          <w:color w:val="000000"/>
          <w:lang w:val="fr-FR"/>
        </w:rPr>
        <w:t>mars</w:t>
      </w:r>
      <w:r w:rsidRPr="00C369C9">
        <w:rPr>
          <w:bCs/>
          <w:color w:val="000000"/>
          <w:lang w:val="fr-FR"/>
        </w:rPr>
        <w:t xml:space="preserve"> 2014) et une fois que le vaccin aura été préqualifié par l’OMS.   </w:t>
      </w:r>
    </w:p>
    <w:p w:rsidR="00B52963" w:rsidRPr="00C369C9" w:rsidRDefault="00515293" w:rsidP="00D1741F">
      <w:pPr>
        <w:pStyle w:val="Paragraphedeliste"/>
        <w:numPr>
          <w:ilvl w:val="0"/>
          <w:numId w:val="11"/>
        </w:numPr>
        <w:spacing w:after="0" w:line="240" w:lineRule="auto"/>
        <w:ind w:right="115"/>
        <w:jc w:val="both"/>
        <w:divId w:val="410156154"/>
        <w:rPr>
          <w:rFonts w:asciiTheme="minorHAnsi" w:hAnsiTheme="minorHAnsi" w:cs="Arial"/>
          <w:lang w:val="fr-FR"/>
        </w:rPr>
      </w:pPr>
      <w:r w:rsidRPr="00C369C9">
        <w:rPr>
          <w:rFonts w:asciiTheme="minorHAnsi" w:hAnsiTheme="minorHAnsi" w:cs="Arial"/>
          <w:lang w:val="fr-FR"/>
        </w:rPr>
        <w:t xml:space="preserve">De plus amples informations sur les VPI préqualifiés par l’OMS sont disponibles à l’adresse suivante </w:t>
      </w:r>
      <w:proofErr w:type="gramStart"/>
      <w:r w:rsidRPr="00C369C9">
        <w:rPr>
          <w:rFonts w:asciiTheme="minorHAnsi" w:hAnsiTheme="minorHAnsi" w:cs="Arial"/>
          <w:lang w:val="fr-FR"/>
        </w:rPr>
        <w:t xml:space="preserve">:  </w:t>
      </w:r>
      <w:proofErr w:type="gramEnd"/>
      <w:r w:rsidR="00416170">
        <w:fldChar w:fldCharType="begin"/>
      </w:r>
      <w:r w:rsidR="00493B58" w:rsidRPr="00493B58">
        <w:rPr>
          <w:lang w:val="fr-FR"/>
        </w:rPr>
        <w:instrText xml:space="preserve"> HYPERLINK "http://www.who.int/immunization_standards/vaccine_quality/PQ_vaccine_list_en/en/index.html" </w:instrText>
      </w:r>
      <w:r w:rsidR="00416170">
        <w:fldChar w:fldCharType="separate"/>
      </w:r>
      <w:r w:rsidRPr="00C369C9">
        <w:rPr>
          <w:rStyle w:val="Lienhypertexte"/>
          <w:rFonts w:asciiTheme="minorHAnsi" w:hAnsiTheme="minorHAnsi" w:cs="Arial"/>
          <w:lang w:val="fr-FR"/>
        </w:rPr>
        <w:t>http://www.who.int/immunization_standards/vaccine_quality/PQ_vaccine_list_en/en/index.html</w:t>
      </w:r>
      <w:r w:rsidR="00416170">
        <w:rPr>
          <w:rStyle w:val="Lienhypertexte"/>
          <w:rFonts w:asciiTheme="minorHAnsi" w:hAnsiTheme="minorHAnsi" w:cs="Arial"/>
          <w:lang w:val="fr-FR"/>
        </w:rPr>
        <w:fldChar w:fldCharType="end"/>
      </w:r>
      <w:r w:rsidRPr="00C369C9">
        <w:rPr>
          <w:rStyle w:val="Lienhypertexte"/>
          <w:rFonts w:asciiTheme="minorHAnsi" w:hAnsiTheme="minorHAnsi" w:cs="Arial"/>
          <w:lang w:val="fr-FR"/>
        </w:rPr>
        <w:t>.</w:t>
      </w:r>
    </w:p>
    <w:p w:rsidR="007B60C5" w:rsidRDefault="007B60C5" w:rsidP="00DF275E">
      <w:pPr>
        <w:jc w:val="both"/>
        <w:divId w:val="410156154"/>
        <w:rPr>
          <w:rFonts w:asciiTheme="minorHAnsi" w:hAnsiTheme="minorHAnsi"/>
          <w:bCs/>
          <w:sz w:val="22"/>
          <w:szCs w:val="22"/>
          <w:lang w:val="fr-FR"/>
        </w:rPr>
      </w:pPr>
    </w:p>
    <w:p w:rsidR="0024069A" w:rsidRDefault="0024069A" w:rsidP="00DF275E">
      <w:pPr>
        <w:jc w:val="both"/>
        <w:divId w:val="410156154"/>
        <w:rPr>
          <w:rFonts w:asciiTheme="minorHAnsi" w:hAnsiTheme="minorHAnsi"/>
          <w:bCs/>
          <w:sz w:val="22"/>
          <w:szCs w:val="22"/>
          <w:lang w:val="fr-FR"/>
        </w:rPr>
      </w:pPr>
    </w:p>
    <w:p w:rsidR="00D63EAF" w:rsidRDefault="00515293">
      <w:pPr>
        <w:jc w:val="both"/>
        <w:divId w:val="410156154"/>
        <w:rPr>
          <w:rFonts w:asciiTheme="minorHAnsi" w:hAnsiTheme="minorHAnsi"/>
          <w:bCs/>
          <w:color w:val="1F497D" w:themeColor="text2"/>
          <w:lang w:val="fr-FR"/>
        </w:rPr>
      </w:pPr>
      <w:r w:rsidRPr="00C369C9">
        <w:rPr>
          <w:rFonts w:asciiTheme="minorHAnsi" w:hAnsiTheme="minorHAnsi"/>
          <w:bCs/>
          <w:color w:val="1F497D" w:themeColor="text2"/>
          <w:lang w:val="fr-FR"/>
        </w:rPr>
        <w:t>2.2  Homologation nationale</w:t>
      </w:r>
    </w:p>
    <w:p w:rsidR="000A2CB6" w:rsidRPr="00C369C9" w:rsidRDefault="000A2CB6">
      <w:pPr>
        <w:jc w:val="both"/>
        <w:divId w:val="410156154"/>
        <w:rPr>
          <w:rFonts w:asciiTheme="minorHAnsi" w:hAnsiTheme="minorHAnsi"/>
          <w:bCs/>
          <w:color w:val="1F497D" w:themeColor="text2"/>
          <w:lang w:val="fr-FR"/>
        </w:rPr>
      </w:pPr>
    </w:p>
    <w:p w:rsidR="00932FF7" w:rsidRPr="00932FF7" w:rsidRDefault="00515293">
      <w:pPr>
        <w:pStyle w:val="Paragraphedeliste"/>
        <w:numPr>
          <w:ilvl w:val="0"/>
          <w:numId w:val="4"/>
        </w:numPr>
        <w:spacing w:after="0" w:line="240" w:lineRule="auto"/>
        <w:ind w:right="115"/>
        <w:jc w:val="both"/>
        <w:divId w:val="410156154"/>
        <w:rPr>
          <w:highlight w:val="cyan"/>
          <w:lang w:val="fr-FR"/>
        </w:rPr>
      </w:pPr>
      <w:r w:rsidRPr="00932FF7">
        <w:rPr>
          <w:highlight w:val="cyan"/>
          <w:lang w:val="fr-FR"/>
        </w:rPr>
        <w:t>Fournir des informations sur le statut de l’autorité nationale de régulation, c’est-à-dire si elle est fonctionnelle et/ou certifiée par l’OMS.</w:t>
      </w:r>
    </w:p>
    <w:p w:rsidR="00D63EAF" w:rsidRPr="00D63EAF" w:rsidRDefault="00D63EAF" w:rsidP="00FD4940">
      <w:pPr>
        <w:spacing w:before="120"/>
        <w:ind w:left="120" w:right="480"/>
        <w:jc w:val="both"/>
        <w:divId w:val="410156154"/>
        <w:rPr>
          <w:lang w:val="fr-FR"/>
        </w:rPr>
      </w:pPr>
      <w:r w:rsidRPr="00D63EAF">
        <w:rPr>
          <w:lang w:val="fr-FR"/>
        </w:rPr>
        <w:t>Au Burkina Faso, l’autorité nationale de régulation est représentée par la Direction Générale de la Pharmacie, du Médicament et des Laboratoires (DGPML) qui assure la fonction homologation des produits de santé à travers la Direction de la Règlementation et des Licences Pharmaceutiques (DRLP). La DGPML a été évaluée par l’OMS en 2006 sur la mise en œuvre des fonctions règlementaires d’une ANR, ce qui a permis d’apprécier la fonction Homologation au Burkina Faso. Par ailleurs, une évaluation de l’UEMOA en 2013 a permis de classer le Burkina Faso comme pays de référence en matière d’homologation des produits de santé dans la zone UEMOA.</w:t>
      </w:r>
    </w:p>
    <w:p w:rsidR="000A2CB6" w:rsidRPr="00932FF7" w:rsidRDefault="000A2CB6" w:rsidP="00FD4940">
      <w:pPr>
        <w:shd w:val="clear" w:color="auto" w:fill="FFFFFF"/>
        <w:ind w:right="235"/>
        <w:jc w:val="both"/>
        <w:divId w:val="410156154"/>
        <w:rPr>
          <w:lang w:val="fr-FR"/>
        </w:rPr>
      </w:pPr>
    </w:p>
    <w:p w:rsidR="00536131" w:rsidRDefault="00515293">
      <w:pPr>
        <w:pStyle w:val="Paragraphedeliste"/>
        <w:numPr>
          <w:ilvl w:val="0"/>
          <w:numId w:val="4"/>
        </w:numPr>
        <w:spacing w:after="0" w:line="240" w:lineRule="auto"/>
        <w:ind w:right="115"/>
        <w:jc w:val="both"/>
        <w:divId w:val="410156154"/>
        <w:rPr>
          <w:highlight w:val="cyan"/>
          <w:lang w:val="fr-FR"/>
        </w:rPr>
      </w:pPr>
      <w:r w:rsidRPr="005E7648">
        <w:rPr>
          <w:highlight w:val="cyan"/>
          <w:lang w:val="fr-FR"/>
        </w:rPr>
        <w:t xml:space="preserve">Indiquer si une homologation nationale s’avérera nécessaire pour le VPI, en plus de la préqualification de l’OMS ; si tel est le cas, décrire la procédure et préciser sa durée. Indiquer si le pays accepte la procédure d’enregistrement accéléré des vaccins préqualifiés de l’OMS.   </w:t>
      </w:r>
    </w:p>
    <w:p w:rsidR="000A2CB6" w:rsidRDefault="00515293" w:rsidP="00536131">
      <w:pPr>
        <w:pStyle w:val="Paragraphedeliste"/>
        <w:spacing w:after="0" w:line="240" w:lineRule="auto"/>
        <w:ind w:right="115"/>
        <w:jc w:val="both"/>
        <w:divId w:val="410156154"/>
        <w:rPr>
          <w:highlight w:val="cyan"/>
          <w:lang w:val="fr-FR"/>
        </w:rPr>
      </w:pPr>
      <w:r w:rsidRPr="005E7648">
        <w:rPr>
          <w:highlight w:val="cyan"/>
          <w:lang w:val="fr-FR"/>
        </w:rPr>
        <w:t xml:space="preserve">  </w:t>
      </w:r>
    </w:p>
    <w:p w:rsidR="00D63EAF" w:rsidRDefault="00D63EAF" w:rsidP="00FD4940">
      <w:pPr>
        <w:pStyle w:val="Listecouleur-Accent11"/>
        <w:spacing w:after="0" w:line="240" w:lineRule="auto"/>
        <w:ind w:left="0" w:right="115"/>
        <w:jc w:val="both"/>
        <w:divId w:val="410156154"/>
        <w:rPr>
          <w:rFonts w:ascii="Times New Roman" w:hAnsi="Times New Roman"/>
          <w:sz w:val="24"/>
          <w:szCs w:val="24"/>
          <w:lang w:val="fr-FR"/>
        </w:rPr>
      </w:pPr>
      <w:r>
        <w:rPr>
          <w:rFonts w:ascii="Times New Roman" w:hAnsi="Times New Roman"/>
          <w:sz w:val="24"/>
          <w:szCs w:val="24"/>
          <w:lang w:val="fr-FR"/>
        </w:rPr>
        <w:t xml:space="preserve">L’homologation est nécessaire pour tous les produits (pré- qualifiés ou non pré- qualifiés). La procédure comporte les étapes suivantes : </w:t>
      </w:r>
    </w:p>
    <w:p w:rsidR="00D63EAF" w:rsidRDefault="00D63EAF" w:rsidP="00FD4940">
      <w:pPr>
        <w:pStyle w:val="Listecouleur-Accent11"/>
        <w:numPr>
          <w:ilvl w:val="0"/>
          <w:numId w:val="22"/>
        </w:numPr>
        <w:spacing w:after="0" w:line="240" w:lineRule="auto"/>
        <w:ind w:right="115"/>
        <w:jc w:val="both"/>
        <w:divId w:val="410156154"/>
        <w:rPr>
          <w:rFonts w:ascii="Times New Roman" w:hAnsi="Times New Roman"/>
          <w:sz w:val="24"/>
          <w:szCs w:val="24"/>
          <w:lang w:val="fr-FR"/>
        </w:rPr>
      </w:pPr>
      <w:r>
        <w:rPr>
          <w:rFonts w:ascii="Times New Roman" w:hAnsi="Times New Roman"/>
          <w:sz w:val="24"/>
          <w:szCs w:val="24"/>
          <w:lang w:val="fr-FR"/>
        </w:rPr>
        <w:t>Réception du dossier</w:t>
      </w:r>
    </w:p>
    <w:p w:rsidR="00D63EAF" w:rsidRDefault="00D63EAF" w:rsidP="00FD4940">
      <w:pPr>
        <w:pStyle w:val="Listecouleur-Accent11"/>
        <w:numPr>
          <w:ilvl w:val="0"/>
          <w:numId w:val="22"/>
        </w:numPr>
        <w:spacing w:after="0" w:line="240" w:lineRule="auto"/>
        <w:ind w:right="115"/>
        <w:jc w:val="both"/>
        <w:divId w:val="410156154"/>
        <w:rPr>
          <w:rFonts w:ascii="Times New Roman" w:hAnsi="Times New Roman"/>
          <w:sz w:val="24"/>
          <w:szCs w:val="24"/>
          <w:lang w:val="fr-FR"/>
        </w:rPr>
      </w:pPr>
      <w:r>
        <w:rPr>
          <w:rFonts w:ascii="Times New Roman" w:hAnsi="Times New Roman"/>
          <w:sz w:val="24"/>
          <w:szCs w:val="24"/>
          <w:lang w:val="fr-FR"/>
        </w:rPr>
        <w:t>Evaluation par le comité d’expert chargé de l’évaluation des médicaments, vaccins et autres produits immunologiques</w:t>
      </w:r>
    </w:p>
    <w:p w:rsidR="00D63EAF" w:rsidRDefault="00D63EAF" w:rsidP="00FD4940">
      <w:pPr>
        <w:pStyle w:val="Listecouleur-Accent11"/>
        <w:numPr>
          <w:ilvl w:val="0"/>
          <w:numId w:val="22"/>
        </w:numPr>
        <w:spacing w:after="0" w:line="240" w:lineRule="auto"/>
        <w:ind w:right="115"/>
        <w:jc w:val="both"/>
        <w:divId w:val="410156154"/>
        <w:rPr>
          <w:rFonts w:ascii="Times New Roman" w:hAnsi="Times New Roman"/>
          <w:sz w:val="24"/>
          <w:szCs w:val="24"/>
          <w:lang w:val="fr-FR"/>
        </w:rPr>
      </w:pPr>
      <w:r>
        <w:rPr>
          <w:rFonts w:ascii="Times New Roman" w:hAnsi="Times New Roman"/>
          <w:sz w:val="24"/>
          <w:szCs w:val="24"/>
          <w:lang w:val="fr-FR"/>
        </w:rPr>
        <w:t>Avis de la Commission d’Enregistrement des produits de Santé (CEPS)</w:t>
      </w:r>
    </w:p>
    <w:p w:rsidR="00D63EAF" w:rsidRDefault="00D63EAF" w:rsidP="00FD4940">
      <w:pPr>
        <w:pStyle w:val="Listecouleur-Accent11"/>
        <w:numPr>
          <w:ilvl w:val="0"/>
          <w:numId w:val="22"/>
        </w:numPr>
        <w:spacing w:after="0" w:line="240" w:lineRule="auto"/>
        <w:ind w:right="115"/>
        <w:jc w:val="both"/>
        <w:divId w:val="410156154"/>
        <w:rPr>
          <w:rFonts w:ascii="Times New Roman" w:hAnsi="Times New Roman"/>
          <w:sz w:val="24"/>
          <w:szCs w:val="24"/>
          <w:lang w:val="fr-FR"/>
        </w:rPr>
      </w:pPr>
      <w:r>
        <w:rPr>
          <w:rFonts w:ascii="Times New Roman" w:hAnsi="Times New Roman"/>
          <w:sz w:val="24"/>
          <w:szCs w:val="24"/>
          <w:lang w:val="fr-FR"/>
        </w:rPr>
        <w:t xml:space="preserve">Décision du Ministre de la Santé. </w:t>
      </w:r>
    </w:p>
    <w:p w:rsidR="00D63EAF" w:rsidRDefault="00D63EAF" w:rsidP="00FD4940">
      <w:pPr>
        <w:pStyle w:val="Listecouleur-Accent11"/>
        <w:spacing w:after="0" w:line="240" w:lineRule="auto"/>
        <w:ind w:left="0" w:right="115"/>
        <w:jc w:val="both"/>
        <w:divId w:val="410156154"/>
        <w:rPr>
          <w:rFonts w:ascii="Times New Roman" w:hAnsi="Times New Roman"/>
          <w:sz w:val="24"/>
          <w:szCs w:val="24"/>
          <w:lang w:val="fr-FR"/>
        </w:rPr>
      </w:pPr>
      <w:r>
        <w:rPr>
          <w:rFonts w:ascii="Times New Roman" w:hAnsi="Times New Roman"/>
          <w:sz w:val="24"/>
          <w:szCs w:val="24"/>
          <w:lang w:val="fr-FR"/>
        </w:rPr>
        <w:t xml:space="preserve">La durée totale de ce processus au Burkina </w:t>
      </w:r>
      <w:r w:rsidR="00E54F3E">
        <w:rPr>
          <w:rFonts w:ascii="Times New Roman" w:hAnsi="Times New Roman"/>
          <w:sz w:val="24"/>
          <w:szCs w:val="24"/>
          <w:lang w:val="fr-FR"/>
        </w:rPr>
        <w:t xml:space="preserve">Faso </w:t>
      </w:r>
      <w:r>
        <w:rPr>
          <w:rFonts w:ascii="Times New Roman" w:hAnsi="Times New Roman"/>
          <w:sz w:val="24"/>
          <w:szCs w:val="24"/>
          <w:lang w:val="fr-FR"/>
        </w:rPr>
        <w:t xml:space="preserve">est de 120 jours. </w:t>
      </w:r>
    </w:p>
    <w:p w:rsidR="00D63EAF" w:rsidRPr="00D63EAF" w:rsidRDefault="00D63EAF" w:rsidP="00FD4940">
      <w:pPr>
        <w:pStyle w:val="Listecouleur-Accent11"/>
        <w:spacing w:after="0" w:line="240" w:lineRule="auto"/>
        <w:ind w:left="0" w:right="115"/>
        <w:jc w:val="both"/>
        <w:divId w:val="410156154"/>
        <w:rPr>
          <w:rFonts w:ascii="Times New Roman" w:hAnsi="Times New Roman"/>
          <w:sz w:val="24"/>
          <w:szCs w:val="24"/>
          <w:lang w:val="fr-FR"/>
        </w:rPr>
      </w:pPr>
      <w:r w:rsidRPr="00EC0239">
        <w:rPr>
          <w:rFonts w:ascii="Times New Roman" w:hAnsi="Times New Roman"/>
          <w:sz w:val="24"/>
          <w:szCs w:val="24"/>
          <w:lang w:val="fr-FR"/>
        </w:rPr>
        <w:t xml:space="preserve">Dans le cadre de l’intensification des efforts pour accélérer la phase finale de la stratégie d’éradication de la poliomyélite, </w:t>
      </w:r>
      <w:r w:rsidRPr="00D63EAF">
        <w:rPr>
          <w:rFonts w:ascii="Times New Roman" w:hAnsi="Times New Roman"/>
          <w:sz w:val="24"/>
          <w:szCs w:val="24"/>
          <w:lang w:val="fr-FR"/>
        </w:rPr>
        <w:t>l’OMS</w:t>
      </w:r>
      <w:r w:rsidRPr="00EC0239">
        <w:rPr>
          <w:rFonts w:ascii="Times New Roman" w:hAnsi="Times New Roman"/>
          <w:sz w:val="24"/>
          <w:szCs w:val="24"/>
          <w:lang w:val="fr-FR"/>
        </w:rPr>
        <w:t>, par courrier N°18-370-42 AFRO RSS/ND/RA-</w:t>
      </w:r>
      <w:r w:rsidR="00775EDC" w:rsidRPr="00775EDC">
        <w:rPr>
          <w:rFonts w:ascii="Times New Roman" w:hAnsi="Times New Roman"/>
          <w:szCs w:val="24"/>
          <w:lang w:val="fr-FR"/>
        </w:rPr>
        <w:t>IKB</w:t>
      </w:r>
      <w:r w:rsidRPr="00EC0239">
        <w:rPr>
          <w:rFonts w:ascii="Times New Roman" w:hAnsi="Times New Roman"/>
          <w:sz w:val="24"/>
          <w:szCs w:val="24"/>
          <w:lang w:val="fr-FR"/>
        </w:rPr>
        <w:t xml:space="preserve"> du 14 juillet 2014, a proposé un soutien à la Direction Générale de la Pharmacie, du Médicament et des Laboratoires (DGPML)</w:t>
      </w:r>
      <w:r w:rsidRPr="00D63EAF">
        <w:rPr>
          <w:rFonts w:ascii="Times New Roman" w:hAnsi="Times New Roman"/>
          <w:sz w:val="24"/>
          <w:szCs w:val="24"/>
          <w:lang w:val="fr-FR"/>
        </w:rPr>
        <w:t xml:space="preserve"> pour l’évaluation des dossiers d’A</w:t>
      </w:r>
      <w:r w:rsidR="00E54F3E">
        <w:rPr>
          <w:rFonts w:ascii="Times New Roman" w:hAnsi="Times New Roman"/>
          <w:sz w:val="24"/>
          <w:szCs w:val="24"/>
          <w:lang w:val="fr-FR"/>
        </w:rPr>
        <w:t xml:space="preserve">utorisation de </w:t>
      </w:r>
      <w:r w:rsidRPr="00D63EAF">
        <w:rPr>
          <w:rFonts w:ascii="Times New Roman" w:hAnsi="Times New Roman"/>
          <w:sz w:val="24"/>
          <w:szCs w:val="24"/>
          <w:lang w:val="fr-FR"/>
        </w:rPr>
        <w:t>M</w:t>
      </w:r>
      <w:r w:rsidR="00E54F3E">
        <w:rPr>
          <w:rFonts w:ascii="Times New Roman" w:hAnsi="Times New Roman"/>
          <w:sz w:val="24"/>
          <w:szCs w:val="24"/>
          <w:lang w:val="fr-FR"/>
        </w:rPr>
        <w:t xml:space="preserve">ise sur le </w:t>
      </w:r>
      <w:r w:rsidRPr="00D63EAF">
        <w:rPr>
          <w:rFonts w:ascii="Times New Roman" w:hAnsi="Times New Roman"/>
          <w:sz w:val="24"/>
          <w:szCs w:val="24"/>
          <w:lang w:val="fr-FR"/>
        </w:rPr>
        <w:t>M</w:t>
      </w:r>
      <w:r w:rsidR="00E54F3E">
        <w:rPr>
          <w:rFonts w:ascii="Times New Roman" w:hAnsi="Times New Roman"/>
          <w:sz w:val="24"/>
          <w:szCs w:val="24"/>
          <w:lang w:val="fr-FR"/>
        </w:rPr>
        <w:t>arché (AMM)</w:t>
      </w:r>
      <w:r w:rsidRPr="00EC0239">
        <w:rPr>
          <w:rFonts w:ascii="Times New Roman" w:hAnsi="Times New Roman"/>
          <w:sz w:val="24"/>
          <w:szCs w:val="24"/>
          <w:lang w:val="fr-FR"/>
        </w:rPr>
        <w:t xml:space="preserve">. </w:t>
      </w:r>
      <w:r>
        <w:rPr>
          <w:rFonts w:ascii="Times New Roman" w:hAnsi="Times New Roman"/>
          <w:sz w:val="24"/>
          <w:szCs w:val="24"/>
          <w:lang w:val="fr-FR"/>
        </w:rPr>
        <w:t>C’est dans ce sens que le Bu</w:t>
      </w:r>
      <w:r w:rsidRPr="00D63EAF">
        <w:rPr>
          <w:rFonts w:ascii="Times New Roman" w:hAnsi="Times New Roman"/>
          <w:sz w:val="24"/>
          <w:szCs w:val="24"/>
          <w:lang w:val="fr-FR"/>
        </w:rPr>
        <w:t xml:space="preserve">rkina Faso va </w:t>
      </w:r>
      <w:r w:rsidRPr="00EC0239">
        <w:rPr>
          <w:rFonts w:ascii="Times New Roman" w:hAnsi="Times New Roman"/>
          <w:sz w:val="24"/>
          <w:szCs w:val="24"/>
          <w:lang w:val="fr-FR"/>
        </w:rPr>
        <w:t xml:space="preserve">participer à une revue conjointe </w:t>
      </w:r>
      <w:r w:rsidRPr="00D63EAF">
        <w:rPr>
          <w:rFonts w:ascii="Times New Roman" w:hAnsi="Times New Roman"/>
          <w:sz w:val="24"/>
          <w:szCs w:val="24"/>
          <w:lang w:val="fr-FR"/>
        </w:rPr>
        <w:t>des dossiers d’AMM, organisé</w:t>
      </w:r>
      <w:r w:rsidR="008A20A6">
        <w:rPr>
          <w:rFonts w:ascii="Times New Roman" w:hAnsi="Times New Roman"/>
          <w:sz w:val="24"/>
          <w:szCs w:val="24"/>
          <w:lang w:val="fr-FR"/>
        </w:rPr>
        <w:t>e</w:t>
      </w:r>
      <w:r w:rsidR="00E54F3E">
        <w:rPr>
          <w:rFonts w:ascii="Times New Roman" w:hAnsi="Times New Roman"/>
          <w:sz w:val="24"/>
          <w:szCs w:val="24"/>
          <w:lang w:val="fr-FR"/>
        </w:rPr>
        <w:t xml:space="preserve"> par l’OMS, </w:t>
      </w:r>
      <w:r w:rsidRPr="00EC0239">
        <w:rPr>
          <w:rFonts w:ascii="Times New Roman" w:hAnsi="Times New Roman"/>
          <w:sz w:val="24"/>
          <w:szCs w:val="24"/>
          <w:lang w:val="fr-FR"/>
        </w:rPr>
        <w:t xml:space="preserve">destinée à accélérer l’enregistrement du </w:t>
      </w:r>
      <w:r>
        <w:rPr>
          <w:rFonts w:ascii="Times New Roman" w:hAnsi="Times New Roman"/>
          <w:sz w:val="24"/>
          <w:szCs w:val="24"/>
          <w:lang w:val="fr-FR"/>
        </w:rPr>
        <w:t>v</w:t>
      </w:r>
      <w:r w:rsidRPr="00EC0239">
        <w:rPr>
          <w:rFonts w:ascii="Times New Roman" w:hAnsi="Times New Roman"/>
          <w:sz w:val="24"/>
          <w:szCs w:val="24"/>
          <w:lang w:val="fr-FR"/>
        </w:rPr>
        <w:t>accin antipoliomyélitique inactivé produit par Sanofi Pasteur (France) et Bilthoven</w:t>
      </w:r>
      <w:r w:rsidR="00775EDC">
        <w:rPr>
          <w:rFonts w:ascii="Times New Roman" w:hAnsi="Times New Roman"/>
          <w:sz w:val="24"/>
          <w:szCs w:val="24"/>
          <w:lang w:val="fr-FR"/>
        </w:rPr>
        <w:t xml:space="preserve"> </w:t>
      </w:r>
      <w:r w:rsidRPr="00EC0239">
        <w:rPr>
          <w:rFonts w:ascii="Times New Roman" w:hAnsi="Times New Roman"/>
          <w:sz w:val="24"/>
          <w:szCs w:val="24"/>
          <w:lang w:val="fr-FR"/>
        </w:rPr>
        <w:t>Biologicals (Pays Bas)</w:t>
      </w:r>
      <w:r w:rsidRPr="00D63EAF">
        <w:rPr>
          <w:rFonts w:ascii="Times New Roman" w:hAnsi="Times New Roman"/>
          <w:sz w:val="24"/>
          <w:szCs w:val="24"/>
          <w:lang w:val="fr-FR"/>
        </w:rPr>
        <w:t>.</w:t>
      </w:r>
    </w:p>
    <w:p w:rsidR="00D63EAF" w:rsidRDefault="00D63EAF" w:rsidP="00FD4940">
      <w:pPr>
        <w:pStyle w:val="Listecouleur-Accent11"/>
        <w:spacing w:after="0" w:line="240" w:lineRule="auto"/>
        <w:ind w:left="0" w:right="115"/>
        <w:jc w:val="both"/>
        <w:divId w:val="410156154"/>
        <w:rPr>
          <w:rFonts w:ascii="Times New Roman" w:hAnsi="Times New Roman"/>
          <w:sz w:val="24"/>
          <w:szCs w:val="24"/>
          <w:lang w:val="fr-FR"/>
        </w:rPr>
      </w:pPr>
    </w:p>
    <w:p w:rsidR="00C93F9F" w:rsidRDefault="00C93F9F" w:rsidP="00FD4940">
      <w:pPr>
        <w:pStyle w:val="Listecouleur-Accent11"/>
        <w:spacing w:after="0" w:line="240" w:lineRule="auto"/>
        <w:ind w:left="0" w:right="115"/>
        <w:jc w:val="both"/>
        <w:divId w:val="410156154"/>
        <w:rPr>
          <w:rFonts w:ascii="Times New Roman" w:hAnsi="Times New Roman"/>
          <w:sz w:val="24"/>
          <w:szCs w:val="24"/>
          <w:lang w:val="fr-FR"/>
        </w:rPr>
      </w:pPr>
    </w:p>
    <w:p w:rsidR="00C93F9F" w:rsidRDefault="00C93F9F" w:rsidP="00FD4940">
      <w:pPr>
        <w:pStyle w:val="Listecouleur-Accent11"/>
        <w:spacing w:after="0" w:line="240" w:lineRule="auto"/>
        <w:ind w:left="0" w:right="115"/>
        <w:jc w:val="both"/>
        <w:divId w:val="410156154"/>
        <w:rPr>
          <w:rFonts w:ascii="Times New Roman" w:hAnsi="Times New Roman"/>
          <w:sz w:val="24"/>
          <w:szCs w:val="24"/>
          <w:lang w:val="fr-FR"/>
        </w:rPr>
      </w:pPr>
    </w:p>
    <w:p w:rsidR="00C93F9F" w:rsidRDefault="00C93F9F" w:rsidP="00FD4940">
      <w:pPr>
        <w:pStyle w:val="Listecouleur-Accent11"/>
        <w:spacing w:after="0" w:line="240" w:lineRule="auto"/>
        <w:ind w:left="0" w:right="115"/>
        <w:jc w:val="both"/>
        <w:divId w:val="410156154"/>
        <w:rPr>
          <w:rFonts w:ascii="Times New Roman" w:hAnsi="Times New Roman"/>
          <w:sz w:val="24"/>
          <w:szCs w:val="24"/>
          <w:lang w:val="fr-FR"/>
        </w:rPr>
      </w:pPr>
    </w:p>
    <w:p w:rsidR="00C93F9F" w:rsidRDefault="00C93F9F" w:rsidP="00FD4940">
      <w:pPr>
        <w:pStyle w:val="Listecouleur-Accent11"/>
        <w:spacing w:after="0" w:line="240" w:lineRule="auto"/>
        <w:ind w:left="0" w:right="115"/>
        <w:jc w:val="both"/>
        <w:divId w:val="410156154"/>
        <w:rPr>
          <w:rFonts w:ascii="Times New Roman" w:hAnsi="Times New Roman"/>
          <w:sz w:val="24"/>
          <w:szCs w:val="24"/>
          <w:lang w:val="fr-FR"/>
        </w:rPr>
      </w:pPr>
    </w:p>
    <w:p w:rsidR="00C93F9F" w:rsidRPr="00D63EAF" w:rsidRDefault="00C93F9F" w:rsidP="00FD4940">
      <w:pPr>
        <w:pStyle w:val="Listecouleur-Accent11"/>
        <w:spacing w:after="0" w:line="240" w:lineRule="auto"/>
        <w:ind w:left="0" w:right="115"/>
        <w:jc w:val="both"/>
        <w:divId w:val="410156154"/>
        <w:rPr>
          <w:rFonts w:ascii="Times New Roman" w:hAnsi="Times New Roman"/>
          <w:sz w:val="24"/>
          <w:szCs w:val="24"/>
          <w:lang w:val="fr-FR"/>
        </w:rPr>
      </w:pPr>
    </w:p>
    <w:p w:rsidR="00D134D6" w:rsidRDefault="00515293">
      <w:pPr>
        <w:pStyle w:val="Paragraphedeliste"/>
        <w:numPr>
          <w:ilvl w:val="0"/>
          <w:numId w:val="4"/>
        </w:numPr>
        <w:spacing w:after="0" w:line="240" w:lineRule="auto"/>
        <w:ind w:right="115"/>
        <w:jc w:val="both"/>
        <w:divId w:val="410156154"/>
        <w:rPr>
          <w:highlight w:val="cyan"/>
          <w:lang w:val="fr-FR"/>
        </w:rPr>
      </w:pPr>
      <w:r w:rsidRPr="00D134D6">
        <w:rPr>
          <w:highlight w:val="cyan"/>
          <w:lang w:val="fr-FR"/>
        </w:rPr>
        <w:lastRenderedPageBreak/>
        <w:t xml:space="preserve">Fournir le statut d’évaluation de la demande d’homologation de la présentation préférée et de toute autre présentation alternative.   </w:t>
      </w:r>
    </w:p>
    <w:p w:rsidR="00536131" w:rsidRPr="00C93F9F" w:rsidRDefault="00536131" w:rsidP="00536131">
      <w:pPr>
        <w:pStyle w:val="Paragraphedeliste"/>
        <w:spacing w:after="0" w:line="240" w:lineRule="auto"/>
        <w:ind w:right="115"/>
        <w:jc w:val="both"/>
        <w:divId w:val="410156154"/>
        <w:rPr>
          <w:sz w:val="2"/>
          <w:highlight w:val="cyan"/>
          <w:lang w:val="fr-FR"/>
        </w:rPr>
      </w:pPr>
    </w:p>
    <w:p w:rsidR="00D63EAF" w:rsidRDefault="00D63EAF" w:rsidP="00FD4940">
      <w:pPr>
        <w:pStyle w:val="Listecouleur-Accent11"/>
        <w:spacing w:after="0" w:line="240" w:lineRule="auto"/>
        <w:ind w:left="0" w:right="235"/>
        <w:jc w:val="both"/>
        <w:divId w:val="410156154"/>
        <w:rPr>
          <w:rFonts w:ascii="Times New Roman" w:hAnsi="Times New Roman"/>
          <w:sz w:val="24"/>
          <w:szCs w:val="24"/>
          <w:lang w:val="fr-FR"/>
        </w:rPr>
      </w:pPr>
      <w:r w:rsidRPr="00D134D6">
        <w:rPr>
          <w:rFonts w:ascii="Times New Roman" w:hAnsi="Times New Roman"/>
          <w:sz w:val="24"/>
          <w:szCs w:val="24"/>
          <w:lang w:val="fr-FR"/>
        </w:rPr>
        <w:t xml:space="preserve">La demande d’AMM </w:t>
      </w:r>
      <w:r>
        <w:rPr>
          <w:rFonts w:ascii="Times New Roman" w:hAnsi="Times New Roman"/>
          <w:sz w:val="24"/>
          <w:szCs w:val="24"/>
          <w:lang w:val="fr-FR"/>
        </w:rPr>
        <w:t xml:space="preserve">du vaccin IMOVAX-POLIO </w:t>
      </w:r>
      <w:r w:rsidR="00775EDC">
        <w:rPr>
          <w:rFonts w:ascii="Times New Roman" w:hAnsi="Times New Roman"/>
          <w:sz w:val="24"/>
          <w:szCs w:val="24"/>
          <w:lang w:val="fr-FR"/>
        </w:rPr>
        <w:t>Fl</w:t>
      </w:r>
      <w:r>
        <w:rPr>
          <w:rFonts w:ascii="Times New Roman" w:hAnsi="Times New Roman"/>
          <w:sz w:val="24"/>
          <w:szCs w:val="24"/>
          <w:lang w:val="fr-FR"/>
        </w:rPr>
        <w:t>/10 doses a été introduite en février 2014. Cependant le dossier a reçu un avis d’ajourne</w:t>
      </w:r>
      <w:r w:rsidR="00E54F3E">
        <w:rPr>
          <w:rFonts w:ascii="Times New Roman" w:hAnsi="Times New Roman"/>
          <w:sz w:val="24"/>
          <w:szCs w:val="24"/>
          <w:lang w:val="fr-FR"/>
        </w:rPr>
        <w:t>ment de la CEPS pour complément</w:t>
      </w:r>
      <w:r>
        <w:rPr>
          <w:rFonts w:ascii="Times New Roman" w:hAnsi="Times New Roman"/>
          <w:sz w:val="24"/>
          <w:szCs w:val="24"/>
          <w:lang w:val="fr-FR"/>
        </w:rPr>
        <w:t xml:space="preserve"> de données en juillet 2014. </w:t>
      </w:r>
    </w:p>
    <w:p w:rsidR="00D63EAF" w:rsidRDefault="00D63EAF" w:rsidP="00FD4940">
      <w:pPr>
        <w:pStyle w:val="Listecouleur-Accent11"/>
        <w:spacing w:after="0" w:line="240" w:lineRule="auto"/>
        <w:ind w:left="0" w:right="235"/>
        <w:jc w:val="both"/>
        <w:divId w:val="410156154"/>
        <w:rPr>
          <w:rFonts w:ascii="Times New Roman" w:hAnsi="Times New Roman"/>
          <w:sz w:val="24"/>
          <w:szCs w:val="24"/>
          <w:lang w:val="fr-FR"/>
        </w:rPr>
      </w:pPr>
      <w:r>
        <w:rPr>
          <w:rFonts w:ascii="Times New Roman" w:hAnsi="Times New Roman"/>
          <w:sz w:val="24"/>
          <w:szCs w:val="24"/>
          <w:lang w:val="fr-FR"/>
        </w:rPr>
        <w:t>Les demandes des autres présentations n’ont pas encore été déposées (5 doses et 1 dose).</w:t>
      </w:r>
    </w:p>
    <w:p w:rsidR="00515293" w:rsidRPr="00C93F9F" w:rsidRDefault="00515293" w:rsidP="00FD4940">
      <w:pPr>
        <w:ind w:right="235"/>
        <w:jc w:val="both"/>
        <w:divId w:val="410156154"/>
        <w:rPr>
          <w:sz w:val="2"/>
          <w:highlight w:val="cyan"/>
          <w:lang w:val="fr-FR"/>
        </w:rPr>
      </w:pPr>
    </w:p>
    <w:p w:rsidR="00536131" w:rsidRPr="00D134D6" w:rsidRDefault="00536131" w:rsidP="00FD4940">
      <w:pPr>
        <w:ind w:right="235"/>
        <w:jc w:val="both"/>
        <w:divId w:val="410156154"/>
        <w:rPr>
          <w:highlight w:val="cyan"/>
          <w:lang w:val="fr-FR"/>
        </w:rPr>
      </w:pPr>
    </w:p>
    <w:p w:rsidR="00966F8A" w:rsidRDefault="00515293">
      <w:pPr>
        <w:pStyle w:val="Paragraphedeliste"/>
        <w:numPr>
          <w:ilvl w:val="0"/>
          <w:numId w:val="4"/>
        </w:numPr>
        <w:spacing w:after="0" w:line="240" w:lineRule="auto"/>
        <w:ind w:right="115"/>
        <w:jc w:val="both"/>
        <w:divId w:val="410156154"/>
        <w:rPr>
          <w:highlight w:val="cyan"/>
          <w:lang w:val="fr-FR"/>
        </w:rPr>
      </w:pPr>
      <w:r w:rsidRPr="00966F8A">
        <w:rPr>
          <w:highlight w:val="cyan"/>
          <w:lang w:val="fr-FR"/>
        </w:rPr>
        <w:t xml:space="preserve">Spécifier les réglementations douanières en vigueur au niveau local, les exigences en matière d’inspection avant livraison, les prescriptions spécifiques applicables à la documentation qui risqueraient de provoquer des retards de livraison des vaccins. Si ces retards sont prévus, indiquer quelles sont les mesures qui ont été prises pour y remédier.    </w:t>
      </w:r>
    </w:p>
    <w:p w:rsidR="00536131" w:rsidRDefault="00536131" w:rsidP="00536131">
      <w:pPr>
        <w:pStyle w:val="Paragraphedeliste"/>
        <w:spacing w:after="0" w:line="240" w:lineRule="auto"/>
        <w:ind w:right="115"/>
        <w:jc w:val="both"/>
        <w:divId w:val="410156154"/>
        <w:rPr>
          <w:highlight w:val="cyan"/>
          <w:lang w:val="fr-FR"/>
        </w:rPr>
      </w:pPr>
    </w:p>
    <w:p w:rsidR="00966F8A" w:rsidRPr="00966F8A" w:rsidRDefault="00966F8A" w:rsidP="00E54F3E">
      <w:pPr>
        <w:ind w:right="115"/>
        <w:jc w:val="both"/>
        <w:divId w:val="410156154"/>
        <w:rPr>
          <w:lang w:val="fr-FR"/>
        </w:rPr>
      </w:pPr>
      <w:r>
        <w:rPr>
          <w:lang w:val="fr-FR"/>
        </w:rPr>
        <w:t xml:space="preserve">Au Burkina Faso, </w:t>
      </w:r>
      <w:r w:rsidRPr="00966F8A">
        <w:rPr>
          <w:lang w:val="fr-FR"/>
        </w:rPr>
        <w:t xml:space="preserve">les vaccins du PEV sont exonérés. Cette disposition est bien appliquée par les services douaniers et il n’ya pas de difficultés (retards) liées à la livraison. Les vaccins une fois arrivés à l’aéroport sont aussitôt expédiés </w:t>
      </w:r>
      <w:r>
        <w:rPr>
          <w:lang w:val="fr-FR"/>
        </w:rPr>
        <w:t xml:space="preserve">à la Direction de la Prévention par les Vaccinations (DPV) </w:t>
      </w:r>
      <w:r w:rsidRPr="00966F8A">
        <w:rPr>
          <w:lang w:val="fr-FR"/>
        </w:rPr>
        <w:t xml:space="preserve">par le transitaire agrée </w:t>
      </w:r>
      <w:r>
        <w:rPr>
          <w:lang w:val="fr-FR"/>
        </w:rPr>
        <w:t xml:space="preserve">par l’UNICEF </w:t>
      </w:r>
      <w:r w:rsidRPr="00966F8A">
        <w:rPr>
          <w:lang w:val="fr-FR"/>
        </w:rPr>
        <w:t xml:space="preserve">où ils sont réceptionnés, conditionnés et stockés </w:t>
      </w:r>
      <w:r w:rsidR="00E54F3E">
        <w:rPr>
          <w:lang w:val="fr-FR"/>
        </w:rPr>
        <w:t>à</w:t>
      </w:r>
      <w:r>
        <w:rPr>
          <w:lang w:val="fr-FR"/>
        </w:rPr>
        <w:t xml:space="preserve"> la direction quel que soit l’heure d’arrivée des vaccins</w:t>
      </w:r>
      <w:r w:rsidR="00E54F3E">
        <w:rPr>
          <w:lang w:val="fr-FR"/>
        </w:rPr>
        <w:t xml:space="preserve">. </w:t>
      </w:r>
    </w:p>
    <w:p w:rsidR="00DF275E" w:rsidRPr="0005231B" w:rsidRDefault="00DF275E" w:rsidP="00FD4940">
      <w:pPr>
        <w:ind w:right="355"/>
        <w:jc w:val="both"/>
        <w:divId w:val="410156154"/>
        <w:rPr>
          <w:highlight w:val="cyan"/>
          <w:lang w:val="fr-FR"/>
        </w:rPr>
      </w:pPr>
    </w:p>
    <w:p w:rsidR="000A2CB6" w:rsidRDefault="00515293">
      <w:pPr>
        <w:jc w:val="both"/>
        <w:divId w:val="410156154"/>
        <w:rPr>
          <w:rFonts w:asciiTheme="minorHAnsi" w:hAnsiTheme="minorHAnsi"/>
          <w:bCs/>
          <w:color w:val="1F497D" w:themeColor="text2"/>
          <w:lang w:val="fr-FR"/>
        </w:rPr>
      </w:pPr>
      <w:r w:rsidRPr="00C369C9">
        <w:rPr>
          <w:rFonts w:asciiTheme="minorHAnsi" w:hAnsiTheme="minorHAnsi"/>
          <w:bCs/>
          <w:color w:val="1F497D" w:themeColor="text2"/>
          <w:lang w:val="fr-FR"/>
        </w:rPr>
        <w:t xml:space="preserve">2.3  Population cible et disponibilité des vaccins   </w:t>
      </w:r>
    </w:p>
    <w:p w:rsidR="00536131" w:rsidRPr="00C93F9F" w:rsidRDefault="00536131">
      <w:pPr>
        <w:jc w:val="both"/>
        <w:divId w:val="410156154"/>
        <w:rPr>
          <w:rFonts w:asciiTheme="minorHAnsi" w:hAnsiTheme="minorHAnsi"/>
          <w:bCs/>
          <w:color w:val="1F497D" w:themeColor="text2"/>
          <w:sz w:val="2"/>
          <w:lang w:val="fr-FR"/>
        </w:rPr>
      </w:pPr>
    </w:p>
    <w:p w:rsidR="0062294D" w:rsidRDefault="00515293">
      <w:pPr>
        <w:pStyle w:val="Paragraphedeliste"/>
        <w:numPr>
          <w:ilvl w:val="0"/>
          <w:numId w:val="9"/>
        </w:numPr>
        <w:autoSpaceDE w:val="0"/>
        <w:autoSpaceDN w:val="0"/>
        <w:adjustRightInd w:val="0"/>
        <w:spacing w:after="0" w:line="240" w:lineRule="auto"/>
        <w:ind w:right="115"/>
        <w:jc w:val="both"/>
        <w:divId w:val="410156154"/>
        <w:rPr>
          <w:rFonts w:asciiTheme="minorHAnsi" w:eastAsia="SimSun" w:hAnsiTheme="minorHAnsi" w:cs="Calibri"/>
          <w:color w:val="000000"/>
          <w:highlight w:val="cyan"/>
          <w:lang w:val="fr-FR"/>
        </w:rPr>
      </w:pPr>
      <w:r w:rsidRPr="007B60C5">
        <w:rPr>
          <w:rFonts w:asciiTheme="minorHAnsi" w:eastAsia="SimSun" w:hAnsiTheme="minorHAnsi" w:cs="Calibri"/>
          <w:color w:val="000000"/>
          <w:highlight w:val="cyan"/>
          <w:lang w:val="fr-FR"/>
        </w:rPr>
        <w:t>Fournir une estimation de la population cible pour une dose unique du VPI à administrer avec le VPO3, simultanément aux vaccins DTC3/Penta3 (ou DTC2, selon le calendrier de vaccination DTC en vigueur, tel qu’énoncé à la section 2.3 des directives concernant l’introduction du VPI), chaque année jusqu’en 2018, à compter de la première année d’introduction du VPI. Le nombre de personnes à vacciner avec la première dose du VPI doit être ajusté en fonction du mois d’introduction.</w:t>
      </w:r>
      <w:r w:rsidRPr="007B60C5">
        <w:rPr>
          <w:rStyle w:val="Appelnotedebasdep"/>
          <w:rFonts w:asciiTheme="minorHAnsi" w:eastAsia="SimSun" w:hAnsiTheme="minorHAnsi" w:cs="Calibri"/>
          <w:color w:val="000000"/>
          <w:lang w:val="fr-FR"/>
        </w:rPr>
        <w:footnoteReference w:id="1"/>
      </w:r>
    </w:p>
    <w:p w:rsidR="00536131" w:rsidRPr="00C93F9F" w:rsidRDefault="00536131" w:rsidP="00536131">
      <w:pPr>
        <w:pStyle w:val="Paragraphedeliste"/>
        <w:autoSpaceDE w:val="0"/>
        <w:autoSpaceDN w:val="0"/>
        <w:adjustRightInd w:val="0"/>
        <w:spacing w:after="0" w:line="240" w:lineRule="auto"/>
        <w:ind w:right="115"/>
        <w:jc w:val="both"/>
        <w:divId w:val="410156154"/>
        <w:rPr>
          <w:rFonts w:asciiTheme="minorHAnsi" w:eastAsia="SimSun" w:hAnsiTheme="minorHAnsi" w:cs="Calibri"/>
          <w:color w:val="000000"/>
          <w:sz w:val="2"/>
          <w:highlight w:val="cyan"/>
          <w:lang w:val="fr-FR"/>
        </w:rPr>
      </w:pPr>
    </w:p>
    <w:p w:rsidR="0062294D" w:rsidRPr="0062294D" w:rsidRDefault="0062294D" w:rsidP="00FD4940">
      <w:pPr>
        <w:pStyle w:val="Listecouleur-Accent11"/>
        <w:autoSpaceDE w:val="0"/>
        <w:autoSpaceDN w:val="0"/>
        <w:adjustRightInd w:val="0"/>
        <w:spacing w:after="0" w:line="240" w:lineRule="auto"/>
        <w:ind w:left="0" w:right="115"/>
        <w:jc w:val="both"/>
        <w:divId w:val="410156154"/>
        <w:rPr>
          <w:rFonts w:ascii="Times New Roman" w:eastAsia="SimSun" w:hAnsi="Times New Roman"/>
          <w:color w:val="000000"/>
          <w:sz w:val="24"/>
          <w:szCs w:val="24"/>
          <w:lang w:val="fr-FR"/>
        </w:rPr>
      </w:pPr>
      <w:r w:rsidRPr="0062294D">
        <w:rPr>
          <w:rFonts w:ascii="Times New Roman" w:eastAsia="SimSun" w:hAnsi="Times New Roman"/>
          <w:color w:val="000000"/>
          <w:sz w:val="24"/>
          <w:szCs w:val="24"/>
          <w:lang w:val="fr-FR"/>
        </w:rPr>
        <w:t xml:space="preserve">Le VPI sera administré aux enfants de 0-11mois en une dose unique lors de l’administration de la troisième dose du VPO, du vaccin Pentavalent, du </w:t>
      </w:r>
      <w:r>
        <w:rPr>
          <w:rFonts w:ascii="Times New Roman" w:eastAsia="SimSun" w:hAnsi="Times New Roman"/>
          <w:color w:val="000000"/>
          <w:sz w:val="24"/>
          <w:szCs w:val="24"/>
          <w:lang w:val="fr-FR"/>
        </w:rPr>
        <w:t xml:space="preserve">vaccin </w:t>
      </w:r>
      <w:r w:rsidRPr="0062294D">
        <w:rPr>
          <w:rFonts w:ascii="Times New Roman" w:eastAsia="SimSun" w:hAnsi="Times New Roman"/>
          <w:color w:val="000000"/>
          <w:sz w:val="24"/>
          <w:szCs w:val="24"/>
          <w:lang w:val="fr-FR"/>
        </w:rPr>
        <w:t xml:space="preserve">Pneumo et du </w:t>
      </w:r>
      <w:r>
        <w:rPr>
          <w:rFonts w:ascii="Times New Roman" w:eastAsia="SimSun" w:hAnsi="Times New Roman"/>
          <w:color w:val="000000"/>
          <w:sz w:val="24"/>
          <w:szCs w:val="24"/>
          <w:lang w:val="fr-FR"/>
        </w:rPr>
        <w:t xml:space="preserve">vaccin </w:t>
      </w:r>
      <w:r w:rsidRPr="0062294D">
        <w:rPr>
          <w:rFonts w:ascii="Times New Roman" w:eastAsia="SimSun" w:hAnsi="Times New Roman"/>
          <w:color w:val="000000"/>
          <w:sz w:val="24"/>
          <w:szCs w:val="24"/>
          <w:lang w:val="fr-FR"/>
        </w:rPr>
        <w:t>Rota selon le calendrier de vaccination en vigueur et, conformément aux directives concernant l’introduction du VPI.</w:t>
      </w:r>
    </w:p>
    <w:p w:rsidR="0062294D" w:rsidRPr="0062294D" w:rsidRDefault="0062294D" w:rsidP="00FD4940">
      <w:pPr>
        <w:pStyle w:val="Listecouleur-Accent11"/>
        <w:autoSpaceDE w:val="0"/>
        <w:autoSpaceDN w:val="0"/>
        <w:adjustRightInd w:val="0"/>
        <w:spacing w:after="0" w:line="240" w:lineRule="auto"/>
        <w:ind w:left="0" w:right="115"/>
        <w:jc w:val="both"/>
        <w:divId w:val="410156154"/>
        <w:rPr>
          <w:rFonts w:ascii="Times New Roman" w:eastAsia="SimSun" w:hAnsi="Times New Roman"/>
          <w:color w:val="000000"/>
          <w:sz w:val="24"/>
          <w:szCs w:val="24"/>
          <w:lang w:val="fr-FR"/>
        </w:rPr>
      </w:pPr>
    </w:p>
    <w:p w:rsidR="008A20A6" w:rsidRDefault="0062294D" w:rsidP="00A254D6">
      <w:pPr>
        <w:pStyle w:val="Listecouleur-Accent11"/>
        <w:autoSpaceDE w:val="0"/>
        <w:autoSpaceDN w:val="0"/>
        <w:adjustRightInd w:val="0"/>
        <w:spacing w:after="0" w:line="240" w:lineRule="auto"/>
        <w:ind w:left="0" w:right="115"/>
        <w:jc w:val="both"/>
        <w:divId w:val="410156154"/>
        <w:rPr>
          <w:rFonts w:ascii="Times New Roman" w:eastAsia="SimSun" w:hAnsi="Times New Roman"/>
          <w:color w:val="000000"/>
          <w:sz w:val="24"/>
          <w:szCs w:val="24"/>
          <w:lang w:val="fr-FR"/>
        </w:rPr>
      </w:pPr>
      <w:r w:rsidRPr="0062294D">
        <w:rPr>
          <w:rFonts w:ascii="Times New Roman" w:eastAsia="SimSun" w:hAnsi="Times New Roman"/>
          <w:color w:val="000000"/>
          <w:sz w:val="24"/>
          <w:szCs w:val="24"/>
          <w:lang w:val="fr-FR"/>
        </w:rPr>
        <w:t xml:space="preserve">L’estimation de la population cible pour chaque année jusqu’en 2018, à compter de la première année d’introduction du VPI est faite dans le tableau ci-dessous : </w:t>
      </w:r>
    </w:p>
    <w:p w:rsidR="00A254D6" w:rsidRDefault="00A254D6" w:rsidP="00FD4940">
      <w:pPr>
        <w:pStyle w:val="Listecouleur-Accent11"/>
        <w:autoSpaceDE w:val="0"/>
        <w:autoSpaceDN w:val="0"/>
        <w:adjustRightInd w:val="0"/>
        <w:spacing w:after="0" w:line="240" w:lineRule="auto"/>
        <w:ind w:left="0" w:right="115"/>
        <w:jc w:val="both"/>
        <w:divId w:val="410156154"/>
        <w:rPr>
          <w:rFonts w:ascii="Times New Roman" w:eastAsia="SimSun" w:hAnsi="Times New Roman"/>
          <w:color w:val="000000"/>
          <w:sz w:val="24"/>
          <w:szCs w:val="24"/>
          <w:lang w:val="fr-FR"/>
        </w:rPr>
      </w:pPr>
    </w:p>
    <w:p w:rsidR="00A254D6" w:rsidRPr="0062294D" w:rsidRDefault="00A254D6" w:rsidP="00A254D6">
      <w:pPr>
        <w:pStyle w:val="Listecouleur-Accent11"/>
        <w:autoSpaceDE w:val="0"/>
        <w:autoSpaceDN w:val="0"/>
        <w:adjustRightInd w:val="0"/>
        <w:spacing w:after="0" w:line="240" w:lineRule="auto"/>
        <w:ind w:left="0" w:right="115"/>
        <w:jc w:val="both"/>
        <w:divId w:val="410156154"/>
        <w:rPr>
          <w:rFonts w:ascii="Times New Roman" w:eastAsia="SimSun" w:hAnsi="Times New Roman"/>
          <w:color w:val="000000"/>
          <w:sz w:val="24"/>
          <w:szCs w:val="24"/>
          <w:lang w:val="fr-FR"/>
        </w:rPr>
      </w:pPr>
      <w:r w:rsidRPr="00A254D6">
        <w:rPr>
          <w:rFonts w:ascii="Times New Roman" w:eastAsia="SimSun" w:hAnsi="Times New Roman"/>
          <w:b/>
          <w:color w:val="000000"/>
          <w:sz w:val="24"/>
          <w:szCs w:val="24"/>
          <w:lang w:val="fr-FR"/>
        </w:rPr>
        <w:t>Tableau n° I </w:t>
      </w:r>
      <w:r>
        <w:rPr>
          <w:rFonts w:ascii="Times New Roman" w:eastAsia="SimSun" w:hAnsi="Times New Roman"/>
          <w:color w:val="000000"/>
          <w:sz w:val="24"/>
          <w:szCs w:val="24"/>
          <w:lang w:val="fr-FR"/>
        </w:rPr>
        <w:t>: Estimation de la population cible de 2015-2018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2381"/>
        <w:gridCol w:w="2633"/>
        <w:gridCol w:w="2659"/>
      </w:tblGrid>
      <w:tr w:rsidR="0062294D" w:rsidRPr="00FD4940" w:rsidTr="00536131">
        <w:trPr>
          <w:divId w:val="410156154"/>
        </w:trPr>
        <w:tc>
          <w:tcPr>
            <w:tcW w:w="1493" w:type="dxa"/>
            <w:shd w:val="clear" w:color="auto" w:fill="auto"/>
          </w:tcPr>
          <w:p w:rsidR="0062294D" w:rsidRPr="00DF11D5" w:rsidRDefault="0062294D" w:rsidP="0062294D">
            <w:pPr>
              <w:ind w:right="120"/>
              <w:jc w:val="center"/>
              <w:rPr>
                <w:lang w:val="fr-FR"/>
              </w:rPr>
            </w:pPr>
            <w:r w:rsidRPr="00DF11D5">
              <w:rPr>
                <w:lang w:val="fr-FR"/>
              </w:rPr>
              <w:t xml:space="preserve">Année </w:t>
            </w:r>
          </w:p>
        </w:tc>
        <w:tc>
          <w:tcPr>
            <w:tcW w:w="2381" w:type="dxa"/>
            <w:shd w:val="clear" w:color="auto" w:fill="auto"/>
          </w:tcPr>
          <w:p w:rsidR="0062294D" w:rsidRPr="00FD4940" w:rsidRDefault="0062294D" w:rsidP="0062294D">
            <w:pPr>
              <w:ind w:right="120"/>
              <w:jc w:val="center"/>
              <w:rPr>
                <w:highlight w:val="yellow"/>
                <w:lang w:val="fr-FR"/>
              </w:rPr>
            </w:pPr>
            <w:r w:rsidRPr="00DF11D5">
              <w:rPr>
                <w:lang w:val="fr-FR"/>
              </w:rPr>
              <w:t>Population cible pour le VPI</w:t>
            </w:r>
            <w:r w:rsidR="00A254D6">
              <w:rPr>
                <w:lang w:val="fr-FR"/>
              </w:rPr>
              <w:t>*</w:t>
            </w:r>
          </w:p>
        </w:tc>
        <w:tc>
          <w:tcPr>
            <w:tcW w:w="2633" w:type="dxa"/>
            <w:shd w:val="clear" w:color="auto" w:fill="auto"/>
          </w:tcPr>
          <w:p w:rsidR="0062294D" w:rsidRPr="00DF11D5" w:rsidRDefault="0062294D" w:rsidP="0062294D">
            <w:pPr>
              <w:ind w:right="120"/>
              <w:jc w:val="center"/>
              <w:rPr>
                <w:lang w:val="fr-FR"/>
              </w:rPr>
            </w:pPr>
            <w:r w:rsidRPr="00DF11D5">
              <w:rPr>
                <w:lang w:val="fr-FR"/>
              </w:rPr>
              <w:t>Nombre de la cohorte de naissance</w:t>
            </w:r>
          </w:p>
        </w:tc>
        <w:tc>
          <w:tcPr>
            <w:tcW w:w="2659" w:type="dxa"/>
            <w:shd w:val="clear" w:color="auto" w:fill="auto"/>
          </w:tcPr>
          <w:p w:rsidR="0062294D" w:rsidRPr="00DF11D5" w:rsidRDefault="0062294D" w:rsidP="0062294D">
            <w:pPr>
              <w:ind w:right="120"/>
              <w:jc w:val="center"/>
              <w:rPr>
                <w:lang w:val="fr-FR"/>
              </w:rPr>
            </w:pPr>
            <w:r w:rsidRPr="00DF11D5">
              <w:rPr>
                <w:lang w:val="fr-FR"/>
              </w:rPr>
              <w:t>Nombre de nourrissons survivants</w:t>
            </w:r>
          </w:p>
        </w:tc>
      </w:tr>
      <w:tr w:rsidR="00DF11D5" w:rsidRPr="00FD4940" w:rsidTr="00536131">
        <w:trPr>
          <w:divId w:val="410156154"/>
        </w:trPr>
        <w:tc>
          <w:tcPr>
            <w:tcW w:w="1493" w:type="dxa"/>
            <w:shd w:val="clear" w:color="auto" w:fill="auto"/>
          </w:tcPr>
          <w:p w:rsidR="00DF11D5" w:rsidRPr="00DF11D5" w:rsidRDefault="00DF11D5" w:rsidP="00DF11D5">
            <w:pPr>
              <w:ind w:right="120"/>
              <w:jc w:val="center"/>
              <w:rPr>
                <w:lang w:val="fr-FR"/>
              </w:rPr>
            </w:pPr>
            <w:r w:rsidRPr="00DF11D5">
              <w:rPr>
                <w:lang w:val="fr-FR"/>
              </w:rPr>
              <w:t>2015</w:t>
            </w:r>
          </w:p>
        </w:tc>
        <w:tc>
          <w:tcPr>
            <w:tcW w:w="2381" w:type="dxa"/>
            <w:shd w:val="clear" w:color="auto" w:fill="auto"/>
            <w:vAlign w:val="center"/>
          </w:tcPr>
          <w:p w:rsidR="00DF11D5" w:rsidRPr="00A30D92" w:rsidRDefault="00DF11D5" w:rsidP="00DF11D5">
            <w:pPr>
              <w:jc w:val="center"/>
              <w:rPr>
                <w:color w:val="000000"/>
              </w:rPr>
            </w:pPr>
            <w:r w:rsidRPr="00A30D92">
              <w:rPr>
                <w:color w:val="000000"/>
              </w:rPr>
              <w:t xml:space="preserve">366 338   </w:t>
            </w:r>
          </w:p>
        </w:tc>
        <w:tc>
          <w:tcPr>
            <w:tcW w:w="2633" w:type="dxa"/>
            <w:shd w:val="clear" w:color="auto" w:fill="auto"/>
            <w:vAlign w:val="bottom"/>
          </w:tcPr>
          <w:p w:rsidR="00DF11D5" w:rsidRPr="00343BC4" w:rsidRDefault="00DF11D5" w:rsidP="00DF11D5">
            <w:pPr>
              <w:jc w:val="center"/>
              <w:rPr>
                <w:lang w:val="fr-FR"/>
              </w:rPr>
            </w:pPr>
            <w:r w:rsidRPr="00343BC4">
              <w:rPr>
                <w:lang w:val="fr-FR"/>
              </w:rPr>
              <w:t>811 007</w:t>
            </w:r>
          </w:p>
        </w:tc>
        <w:tc>
          <w:tcPr>
            <w:tcW w:w="2659" w:type="dxa"/>
            <w:shd w:val="clear" w:color="auto" w:fill="auto"/>
            <w:vAlign w:val="bottom"/>
          </w:tcPr>
          <w:p w:rsidR="00DF11D5" w:rsidRPr="00343BC4" w:rsidRDefault="00DF11D5" w:rsidP="00DF11D5">
            <w:pPr>
              <w:jc w:val="center"/>
              <w:rPr>
                <w:lang w:val="fr-FR"/>
              </w:rPr>
            </w:pPr>
            <w:r w:rsidRPr="00343BC4">
              <w:rPr>
                <w:lang w:val="fr-FR"/>
              </w:rPr>
              <w:t>732675</w:t>
            </w:r>
          </w:p>
        </w:tc>
      </w:tr>
      <w:tr w:rsidR="00DF11D5" w:rsidRPr="00FD4940" w:rsidTr="00536131">
        <w:trPr>
          <w:divId w:val="410156154"/>
        </w:trPr>
        <w:tc>
          <w:tcPr>
            <w:tcW w:w="1493" w:type="dxa"/>
            <w:shd w:val="clear" w:color="auto" w:fill="auto"/>
          </w:tcPr>
          <w:p w:rsidR="00DF11D5" w:rsidRPr="00DF11D5" w:rsidRDefault="00DF11D5" w:rsidP="00DF11D5">
            <w:pPr>
              <w:ind w:right="120"/>
              <w:jc w:val="center"/>
              <w:rPr>
                <w:lang w:val="fr-FR"/>
              </w:rPr>
            </w:pPr>
            <w:r w:rsidRPr="00DF11D5">
              <w:rPr>
                <w:lang w:val="fr-FR"/>
              </w:rPr>
              <w:t>2016</w:t>
            </w:r>
          </w:p>
        </w:tc>
        <w:tc>
          <w:tcPr>
            <w:tcW w:w="2381" w:type="dxa"/>
            <w:shd w:val="clear" w:color="auto" w:fill="auto"/>
            <w:vAlign w:val="center"/>
          </w:tcPr>
          <w:p w:rsidR="00DF11D5" w:rsidRPr="000C288C" w:rsidRDefault="00DF11D5" w:rsidP="00DF11D5">
            <w:pPr>
              <w:jc w:val="center"/>
              <w:rPr>
                <w:color w:val="000000"/>
              </w:rPr>
            </w:pPr>
            <w:r w:rsidRPr="000C288C">
              <w:rPr>
                <w:color w:val="000000"/>
              </w:rPr>
              <w:t xml:space="preserve">         747 362   </w:t>
            </w:r>
          </w:p>
        </w:tc>
        <w:tc>
          <w:tcPr>
            <w:tcW w:w="2633" w:type="dxa"/>
            <w:shd w:val="clear" w:color="auto" w:fill="auto"/>
            <w:vAlign w:val="bottom"/>
          </w:tcPr>
          <w:p w:rsidR="00DF11D5" w:rsidRPr="00343BC4" w:rsidRDefault="00DF11D5" w:rsidP="00DF11D5">
            <w:pPr>
              <w:jc w:val="center"/>
              <w:rPr>
                <w:lang w:val="fr-FR"/>
              </w:rPr>
            </w:pPr>
            <w:r w:rsidRPr="00343BC4">
              <w:rPr>
                <w:lang w:val="fr-FR"/>
              </w:rPr>
              <w:t>838 895</w:t>
            </w:r>
          </w:p>
        </w:tc>
        <w:tc>
          <w:tcPr>
            <w:tcW w:w="2659" w:type="dxa"/>
            <w:shd w:val="clear" w:color="auto" w:fill="auto"/>
            <w:vAlign w:val="bottom"/>
          </w:tcPr>
          <w:p w:rsidR="00DF11D5" w:rsidRPr="00343BC4" w:rsidRDefault="00DF11D5" w:rsidP="00DF11D5">
            <w:pPr>
              <w:jc w:val="center"/>
              <w:rPr>
                <w:lang w:val="fr-FR"/>
              </w:rPr>
            </w:pPr>
            <w:r w:rsidRPr="00343BC4">
              <w:rPr>
                <w:lang w:val="fr-FR"/>
              </w:rPr>
              <w:t>747362</w:t>
            </w:r>
          </w:p>
        </w:tc>
      </w:tr>
      <w:tr w:rsidR="00DF11D5" w:rsidRPr="00FD4940" w:rsidTr="00536131">
        <w:trPr>
          <w:divId w:val="410156154"/>
        </w:trPr>
        <w:tc>
          <w:tcPr>
            <w:tcW w:w="1493" w:type="dxa"/>
            <w:shd w:val="clear" w:color="auto" w:fill="auto"/>
          </w:tcPr>
          <w:p w:rsidR="00DF11D5" w:rsidRPr="00DF11D5" w:rsidRDefault="00DF11D5" w:rsidP="00DF11D5">
            <w:pPr>
              <w:ind w:right="120"/>
              <w:jc w:val="center"/>
              <w:rPr>
                <w:lang w:val="fr-FR"/>
              </w:rPr>
            </w:pPr>
            <w:r w:rsidRPr="00DF11D5">
              <w:rPr>
                <w:lang w:val="fr-FR"/>
              </w:rPr>
              <w:t>2017</w:t>
            </w:r>
          </w:p>
        </w:tc>
        <w:tc>
          <w:tcPr>
            <w:tcW w:w="2381" w:type="dxa"/>
            <w:shd w:val="clear" w:color="auto" w:fill="auto"/>
            <w:vAlign w:val="center"/>
          </w:tcPr>
          <w:p w:rsidR="00DF11D5" w:rsidRPr="000C288C" w:rsidRDefault="00DF11D5" w:rsidP="00DF11D5">
            <w:pPr>
              <w:jc w:val="center"/>
              <w:rPr>
                <w:color w:val="000000"/>
              </w:rPr>
            </w:pPr>
            <w:r w:rsidRPr="000C288C">
              <w:rPr>
                <w:color w:val="000000"/>
              </w:rPr>
              <w:t xml:space="preserve">         762 074   </w:t>
            </w:r>
          </w:p>
        </w:tc>
        <w:tc>
          <w:tcPr>
            <w:tcW w:w="2633" w:type="dxa"/>
            <w:shd w:val="clear" w:color="auto" w:fill="auto"/>
            <w:vAlign w:val="bottom"/>
          </w:tcPr>
          <w:p w:rsidR="00DF11D5" w:rsidRPr="00343BC4" w:rsidRDefault="00DF11D5" w:rsidP="00DF11D5">
            <w:pPr>
              <w:jc w:val="center"/>
              <w:rPr>
                <w:lang w:val="fr-FR"/>
              </w:rPr>
            </w:pPr>
            <w:r w:rsidRPr="00343BC4">
              <w:rPr>
                <w:lang w:val="fr-FR"/>
              </w:rPr>
              <w:t>867 778</w:t>
            </w:r>
          </w:p>
        </w:tc>
        <w:tc>
          <w:tcPr>
            <w:tcW w:w="2659" w:type="dxa"/>
            <w:shd w:val="clear" w:color="auto" w:fill="auto"/>
            <w:vAlign w:val="bottom"/>
          </w:tcPr>
          <w:p w:rsidR="00DF11D5" w:rsidRPr="00343BC4" w:rsidRDefault="00DF11D5" w:rsidP="00DF11D5">
            <w:pPr>
              <w:jc w:val="center"/>
              <w:rPr>
                <w:lang w:val="fr-FR"/>
              </w:rPr>
            </w:pPr>
            <w:r w:rsidRPr="00343BC4">
              <w:rPr>
                <w:lang w:val="fr-FR"/>
              </w:rPr>
              <w:t>762074</w:t>
            </w:r>
          </w:p>
        </w:tc>
      </w:tr>
      <w:tr w:rsidR="00DF11D5" w:rsidRPr="00FD4940" w:rsidTr="00536131">
        <w:trPr>
          <w:divId w:val="410156154"/>
        </w:trPr>
        <w:tc>
          <w:tcPr>
            <w:tcW w:w="1493" w:type="dxa"/>
            <w:shd w:val="clear" w:color="auto" w:fill="auto"/>
          </w:tcPr>
          <w:p w:rsidR="00DF11D5" w:rsidRPr="00DF11D5" w:rsidRDefault="00DF11D5" w:rsidP="00DF11D5">
            <w:pPr>
              <w:ind w:right="120"/>
              <w:jc w:val="center"/>
              <w:rPr>
                <w:lang w:val="fr-FR"/>
              </w:rPr>
            </w:pPr>
            <w:r w:rsidRPr="00DF11D5">
              <w:rPr>
                <w:lang w:val="fr-FR"/>
              </w:rPr>
              <w:t>2018</w:t>
            </w:r>
          </w:p>
        </w:tc>
        <w:tc>
          <w:tcPr>
            <w:tcW w:w="2381" w:type="dxa"/>
            <w:shd w:val="clear" w:color="auto" w:fill="auto"/>
            <w:vAlign w:val="center"/>
          </w:tcPr>
          <w:p w:rsidR="00DF11D5" w:rsidRPr="000C288C" w:rsidRDefault="00DF11D5" w:rsidP="00DF11D5">
            <w:pPr>
              <w:jc w:val="center"/>
              <w:rPr>
                <w:color w:val="000000"/>
              </w:rPr>
            </w:pPr>
            <w:r w:rsidRPr="000C288C">
              <w:rPr>
                <w:color w:val="000000"/>
              </w:rPr>
              <w:t xml:space="preserve">         777 145   </w:t>
            </w:r>
          </w:p>
        </w:tc>
        <w:tc>
          <w:tcPr>
            <w:tcW w:w="2633" w:type="dxa"/>
            <w:shd w:val="clear" w:color="auto" w:fill="auto"/>
            <w:vAlign w:val="bottom"/>
          </w:tcPr>
          <w:p w:rsidR="00DF11D5" w:rsidRPr="00343BC4" w:rsidRDefault="00DF11D5" w:rsidP="00DF11D5">
            <w:pPr>
              <w:jc w:val="center"/>
              <w:rPr>
                <w:lang w:val="fr-FR"/>
              </w:rPr>
            </w:pPr>
            <w:r w:rsidRPr="00343BC4">
              <w:rPr>
                <w:lang w:val="fr-FR"/>
              </w:rPr>
              <w:t>897 371</w:t>
            </w:r>
          </w:p>
        </w:tc>
        <w:tc>
          <w:tcPr>
            <w:tcW w:w="2659" w:type="dxa"/>
            <w:shd w:val="clear" w:color="auto" w:fill="auto"/>
            <w:vAlign w:val="bottom"/>
          </w:tcPr>
          <w:p w:rsidR="00DF11D5" w:rsidRPr="00343BC4" w:rsidRDefault="00DF11D5" w:rsidP="00DF11D5">
            <w:pPr>
              <w:jc w:val="center"/>
              <w:rPr>
                <w:lang w:val="fr-FR"/>
              </w:rPr>
            </w:pPr>
            <w:r w:rsidRPr="00343BC4">
              <w:rPr>
                <w:lang w:val="fr-FR"/>
              </w:rPr>
              <w:t>777145</w:t>
            </w:r>
          </w:p>
        </w:tc>
      </w:tr>
      <w:tr w:rsidR="00DF11D5" w:rsidRPr="00FD4940" w:rsidTr="00536131">
        <w:trPr>
          <w:divId w:val="410156154"/>
        </w:trPr>
        <w:tc>
          <w:tcPr>
            <w:tcW w:w="1493" w:type="dxa"/>
            <w:shd w:val="clear" w:color="auto" w:fill="auto"/>
          </w:tcPr>
          <w:p w:rsidR="00DF11D5" w:rsidRPr="00DF11D5" w:rsidRDefault="00DF11D5" w:rsidP="00DF11D5">
            <w:pPr>
              <w:ind w:right="120"/>
              <w:jc w:val="center"/>
              <w:rPr>
                <w:b/>
                <w:lang w:val="fr-FR"/>
              </w:rPr>
            </w:pPr>
            <w:r w:rsidRPr="00DF11D5">
              <w:rPr>
                <w:b/>
                <w:lang w:val="fr-FR"/>
              </w:rPr>
              <w:t>Total</w:t>
            </w:r>
          </w:p>
        </w:tc>
        <w:tc>
          <w:tcPr>
            <w:tcW w:w="2381" w:type="dxa"/>
            <w:shd w:val="clear" w:color="auto" w:fill="auto"/>
            <w:vAlign w:val="center"/>
          </w:tcPr>
          <w:p w:rsidR="00DF11D5" w:rsidRPr="00DF11D5" w:rsidRDefault="00DF11D5" w:rsidP="00DF11D5">
            <w:pPr>
              <w:jc w:val="center"/>
              <w:rPr>
                <w:b/>
                <w:color w:val="000000"/>
              </w:rPr>
            </w:pPr>
            <w:r w:rsidRPr="00DF11D5">
              <w:rPr>
                <w:b/>
                <w:color w:val="000000"/>
              </w:rPr>
              <w:t xml:space="preserve">      2 652 919   </w:t>
            </w:r>
          </w:p>
        </w:tc>
        <w:tc>
          <w:tcPr>
            <w:tcW w:w="2633" w:type="dxa"/>
            <w:shd w:val="clear" w:color="auto" w:fill="auto"/>
            <w:vAlign w:val="bottom"/>
          </w:tcPr>
          <w:p w:rsidR="00DF11D5" w:rsidRPr="00DF11D5" w:rsidRDefault="00DF11D5" w:rsidP="00DF11D5">
            <w:pPr>
              <w:jc w:val="center"/>
              <w:rPr>
                <w:b/>
                <w:lang w:val="fr-FR"/>
              </w:rPr>
            </w:pPr>
            <w:r>
              <w:rPr>
                <w:b/>
                <w:lang w:val="fr-FR"/>
              </w:rPr>
              <w:t>3 41</w:t>
            </w:r>
            <w:r w:rsidRPr="00DF11D5">
              <w:rPr>
                <w:b/>
                <w:lang w:val="fr-FR"/>
              </w:rPr>
              <w:t>5 051</w:t>
            </w:r>
          </w:p>
        </w:tc>
        <w:tc>
          <w:tcPr>
            <w:tcW w:w="2659" w:type="dxa"/>
            <w:shd w:val="clear" w:color="auto" w:fill="auto"/>
            <w:vAlign w:val="bottom"/>
          </w:tcPr>
          <w:p w:rsidR="00DF11D5" w:rsidRPr="00DF11D5" w:rsidRDefault="00DF11D5" w:rsidP="00DF11D5">
            <w:pPr>
              <w:jc w:val="center"/>
              <w:rPr>
                <w:b/>
                <w:lang w:val="fr-FR"/>
              </w:rPr>
            </w:pPr>
            <w:r w:rsidRPr="00DF11D5">
              <w:rPr>
                <w:b/>
                <w:lang w:val="fr-FR"/>
              </w:rPr>
              <w:t>3 019 256</w:t>
            </w:r>
          </w:p>
        </w:tc>
      </w:tr>
    </w:tbl>
    <w:p w:rsidR="0062294D" w:rsidRPr="00F32CBC" w:rsidRDefault="0062294D" w:rsidP="0062294D">
      <w:pPr>
        <w:pStyle w:val="Listecouleur-Accent11"/>
        <w:autoSpaceDE w:val="0"/>
        <w:autoSpaceDN w:val="0"/>
        <w:adjustRightInd w:val="0"/>
        <w:spacing w:after="0" w:line="240" w:lineRule="auto"/>
        <w:ind w:left="0" w:right="115"/>
        <w:jc w:val="both"/>
        <w:divId w:val="410156154"/>
        <w:rPr>
          <w:rFonts w:ascii="Arial" w:eastAsia="SimSun" w:hAnsi="Arial" w:cs="Arial"/>
          <w:color w:val="000000"/>
          <w:lang w:val="fr-FR"/>
        </w:rPr>
      </w:pPr>
      <w:r w:rsidRPr="00F32CBC">
        <w:rPr>
          <w:rFonts w:ascii="Arial" w:eastAsia="SimSun" w:hAnsi="Arial" w:cs="Arial"/>
          <w:color w:val="000000"/>
          <w:lang w:val="fr-FR"/>
        </w:rPr>
        <w:t xml:space="preserve">Source : Institut National de la Statistique </w:t>
      </w:r>
      <w:r>
        <w:rPr>
          <w:rFonts w:ascii="Arial" w:eastAsia="SimSun" w:hAnsi="Arial" w:cs="Arial"/>
          <w:color w:val="000000"/>
          <w:lang w:val="fr-FR"/>
        </w:rPr>
        <w:t xml:space="preserve">et de la Démographie </w:t>
      </w:r>
      <w:r w:rsidRPr="00F32CBC">
        <w:rPr>
          <w:rFonts w:ascii="Arial" w:eastAsia="SimSun" w:hAnsi="Arial" w:cs="Arial"/>
          <w:color w:val="000000"/>
          <w:lang w:val="fr-FR"/>
        </w:rPr>
        <w:t>(INS</w:t>
      </w:r>
      <w:r>
        <w:rPr>
          <w:rFonts w:ascii="Arial" w:eastAsia="SimSun" w:hAnsi="Arial" w:cs="Arial"/>
          <w:color w:val="000000"/>
          <w:lang w:val="fr-FR"/>
        </w:rPr>
        <w:t>D</w:t>
      </w:r>
      <w:r w:rsidRPr="00F32CBC">
        <w:rPr>
          <w:rFonts w:ascii="Arial" w:eastAsia="SimSun" w:hAnsi="Arial" w:cs="Arial"/>
          <w:color w:val="000000"/>
          <w:lang w:val="fr-FR"/>
        </w:rPr>
        <w:t xml:space="preserve">) </w:t>
      </w:r>
    </w:p>
    <w:p w:rsidR="00515293" w:rsidRDefault="0062294D" w:rsidP="00A254D6">
      <w:pPr>
        <w:pStyle w:val="Listecouleur-Accent11"/>
        <w:autoSpaceDE w:val="0"/>
        <w:autoSpaceDN w:val="0"/>
        <w:adjustRightInd w:val="0"/>
        <w:spacing w:after="0" w:line="240" w:lineRule="auto"/>
        <w:ind w:left="0" w:right="235"/>
        <w:jc w:val="both"/>
        <w:divId w:val="410156154"/>
        <w:rPr>
          <w:rFonts w:ascii="Arial" w:eastAsia="SimSun" w:hAnsi="Arial" w:cs="Arial"/>
          <w:i/>
          <w:color w:val="000000"/>
          <w:lang w:val="fr-FR"/>
        </w:rPr>
      </w:pPr>
      <w:r w:rsidRPr="00A254D6">
        <w:rPr>
          <w:rFonts w:ascii="Arial" w:eastAsia="SimSun" w:hAnsi="Arial" w:cs="Arial"/>
          <w:i/>
          <w:color w:val="000000"/>
          <w:lang w:val="fr-FR"/>
        </w:rPr>
        <w:t>* l’introduction du VPI se fera en juillet 2015, donc la cible à vacciner sera la moitié de la cible de l’année</w:t>
      </w:r>
    </w:p>
    <w:p w:rsidR="000A2CB6" w:rsidRPr="0062294D" w:rsidRDefault="00515293">
      <w:pPr>
        <w:pStyle w:val="Paragraphedeliste"/>
        <w:numPr>
          <w:ilvl w:val="0"/>
          <w:numId w:val="9"/>
        </w:numPr>
        <w:autoSpaceDE w:val="0"/>
        <w:autoSpaceDN w:val="0"/>
        <w:adjustRightInd w:val="0"/>
        <w:spacing w:after="0" w:line="240" w:lineRule="auto"/>
        <w:ind w:right="115"/>
        <w:jc w:val="both"/>
        <w:divId w:val="410156154"/>
        <w:rPr>
          <w:rFonts w:asciiTheme="minorHAnsi" w:eastAsia="Arial" w:hAnsiTheme="minorHAnsi"/>
          <w:color w:val="000000"/>
          <w:highlight w:val="cyan"/>
          <w:lang w:val="fr-FR"/>
        </w:rPr>
      </w:pPr>
      <w:r w:rsidRPr="0062294D">
        <w:rPr>
          <w:rFonts w:asciiTheme="minorHAnsi" w:eastAsia="Arial" w:hAnsiTheme="minorHAnsi"/>
          <w:color w:val="000000"/>
          <w:highlight w:val="cyan"/>
          <w:lang w:val="fr-FR"/>
        </w:rPr>
        <w:lastRenderedPageBreak/>
        <w:t xml:space="preserve">GAVI achète et distribue les vaccins par l’intermédiaire de l’UNICEF ou du Fonds renouvelable de l’OPS. Un pays souhaitant utiliser un autre mécanisme sera tenu de présenter les informations suivantes avec sa demande de soutien :   </w:t>
      </w:r>
    </w:p>
    <w:p w:rsidR="000A2CB6" w:rsidRPr="0062294D" w:rsidRDefault="00515293">
      <w:pPr>
        <w:pStyle w:val="Paragraphedeliste"/>
        <w:numPr>
          <w:ilvl w:val="1"/>
          <w:numId w:val="8"/>
        </w:numPr>
        <w:autoSpaceDE w:val="0"/>
        <w:autoSpaceDN w:val="0"/>
        <w:adjustRightInd w:val="0"/>
        <w:spacing w:after="0" w:line="240" w:lineRule="auto"/>
        <w:ind w:right="475"/>
        <w:jc w:val="both"/>
        <w:divId w:val="410156154"/>
        <w:rPr>
          <w:rFonts w:asciiTheme="minorHAnsi" w:eastAsia="Arial" w:hAnsiTheme="minorHAnsi"/>
          <w:color w:val="000000"/>
          <w:highlight w:val="cyan"/>
          <w:lang w:val="fr-FR"/>
        </w:rPr>
      </w:pPr>
      <w:r w:rsidRPr="0062294D">
        <w:rPr>
          <w:rFonts w:asciiTheme="minorHAnsi" w:eastAsia="Arial" w:hAnsiTheme="minorHAnsi"/>
          <w:color w:val="000000"/>
          <w:highlight w:val="cyan"/>
          <w:lang w:val="fr-FR"/>
        </w:rPr>
        <w:t xml:space="preserve">une description de ce mécanisme et des vaccins ou fournitures que le pays achètera ; et    </w:t>
      </w:r>
    </w:p>
    <w:p w:rsidR="000A2CB6" w:rsidRDefault="00515293">
      <w:pPr>
        <w:pStyle w:val="Paragraphedeliste"/>
        <w:numPr>
          <w:ilvl w:val="1"/>
          <w:numId w:val="8"/>
        </w:numPr>
        <w:autoSpaceDE w:val="0"/>
        <w:autoSpaceDN w:val="0"/>
        <w:adjustRightInd w:val="0"/>
        <w:spacing w:after="0" w:line="240" w:lineRule="auto"/>
        <w:ind w:right="355"/>
        <w:jc w:val="both"/>
        <w:divId w:val="410156154"/>
        <w:rPr>
          <w:rFonts w:asciiTheme="minorHAnsi" w:eastAsia="Arial" w:hAnsiTheme="minorHAnsi"/>
          <w:color w:val="000000"/>
          <w:highlight w:val="cyan"/>
          <w:lang w:val="fr-FR"/>
        </w:rPr>
      </w:pPr>
      <w:r w:rsidRPr="0062294D">
        <w:rPr>
          <w:rFonts w:asciiTheme="minorHAnsi" w:eastAsia="Arial" w:hAnsiTheme="minorHAnsi"/>
          <w:color w:val="000000"/>
          <w:highlight w:val="cyan"/>
          <w:lang w:val="fr-FR"/>
        </w:rPr>
        <w:t xml:space="preserve">les fonctions de l’autorité nationale de régulation (évaluées par l’OMS) afin de montrer qu’elles sont conformes aux procédures </w:t>
      </w:r>
      <w:r w:rsidR="00181629" w:rsidRPr="0062294D">
        <w:rPr>
          <w:rFonts w:asciiTheme="minorHAnsi" w:eastAsia="Arial" w:hAnsiTheme="minorHAnsi"/>
          <w:color w:val="000000"/>
          <w:highlight w:val="cyan"/>
          <w:lang w:val="fr-FR"/>
        </w:rPr>
        <w:t>d’approvisionnement</w:t>
      </w:r>
      <w:r w:rsidRPr="0062294D">
        <w:rPr>
          <w:rFonts w:asciiTheme="minorHAnsi" w:eastAsia="Arial" w:hAnsiTheme="minorHAnsi"/>
          <w:color w:val="000000"/>
          <w:highlight w:val="cyan"/>
          <w:lang w:val="fr-FR"/>
        </w:rPr>
        <w:t xml:space="preserve"> et aux attentes de qualité de GAVI.   </w:t>
      </w:r>
    </w:p>
    <w:p w:rsidR="00541100" w:rsidRPr="0062294D" w:rsidRDefault="00541100" w:rsidP="00541100">
      <w:pPr>
        <w:pStyle w:val="Paragraphedeliste"/>
        <w:autoSpaceDE w:val="0"/>
        <w:autoSpaceDN w:val="0"/>
        <w:adjustRightInd w:val="0"/>
        <w:spacing w:after="0" w:line="240" w:lineRule="auto"/>
        <w:ind w:left="1440" w:right="355"/>
        <w:jc w:val="both"/>
        <w:divId w:val="410156154"/>
        <w:rPr>
          <w:rFonts w:asciiTheme="minorHAnsi" w:eastAsia="Arial" w:hAnsiTheme="minorHAnsi"/>
          <w:color w:val="000000"/>
          <w:highlight w:val="cyan"/>
          <w:lang w:val="fr-FR"/>
        </w:rPr>
      </w:pPr>
    </w:p>
    <w:p w:rsidR="00C84D18" w:rsidRPr="00C84D18" w:rsidRDefault="00C84D18" w:rsidP="00FD4940">
      <w:pPr>
        <w:pStyle w:val="Listecouleur-Accent11"/>
        <w:autoSpaceDE w:val="0"/>
        <w:autoSpaceDN w:val="0"/>
        <w:adjustRightInd w:val="0"/>
        <w:spacing w:after="0" w:line="240" w:lineRule="auto"/>
        <w:ind w:left="0" w:right="115"/>
        <w:jc w:val="both"/>
        <w:divId w:val="410156154"/>
        <w:rPr>
          <w:rFonts w:ascii="Times New Roman" w:eastAsia="SimSun" w:hAnsi="Times New Roman"/>
          <w:color w:val="000000"/>
          <w:sz w:val="24"/>
          <w:szCs w:val="24"/>
          <w:lang w:val="fr-FR"/>
        </w:rPr>
      </w:pPr>
      <w:r w:rsidRPr="00C84D18">
        <w:rPr>
          <w:rFonts w:ascii="Times New Roman" w:eastAsia="SimSun" w:hAnsi="Times New Roman"/>
          <w:color w:val="000000"/>
          <w:sz w:val="24"/>
          <w:szCs w:val="24"/>
          <w:lang w:val="fr-FR"/>
        </w:rPr>
        <w:t xml:space="preserve">L’acquisition du VPI par le pays se fera à travers l’UNICEF. </w:t>
      </w:r>
    </w:p>
    <w:p w:rsidR="00C84D18" w:rsidRPr="00C84D18" w:rsidRDefault="00C84D18" w:rsidP="00FD4940">
      <w:pPr>
        <w:jc w:val="both"/>
        <w:divId w:val="410156154"/>
        <w:rPr>
          <w:lang w:val="fr-FR"/>
        </w:rPr>
      </w:pPr>
      <w:r w:rsidRPr="00C84D18">
        <w:rPr>
          <w:lang w:val="fr-FR"/>
        </w:rPr>
        <w:t xml:space="preserve">En application de la convention  d’assistance (mémorandum d’accord pour la prestation de services d’achats) entre l’UNICEF et </w:t>
      </w:r>
      <w:r>
        <w:rPr>
          <w:lang w:val="fr-FR"/>
        </w:rPr>
        <w:t xml:space="preserve">le </w:t>
      </w:r>
      <w:r w:rsidRPr="00541100">
        <w:rPr>
          <w:lang w:val="fr-FR"/>
        </w:rPr>
        <w:t>Burki</w:t>
      </w:r>
      <w:r w:rsidR="00541100" w:rsidRPr="00541100">
        <w:rPr>
          <w:lang w:val="fr-FR"/>
        </w:rPr>
        <w:t>na Faso</w:t>
      </w:r>
      <w:r w:rsidR="00541100">
        <w:rPr>
          <w:lang w:val="fr-FR"/>
        </w:rPr>
        <w:t>,</w:t>
      </w:r>
      <w:r w:rsidRPr="00C84D18">
        <w:rPr>
          <w:lang w:val="fr-FR"/>
        </w:rPr>
        <w:t xml:space="preserve"> tous les vaccins et matériels </w:t>
      </w:r>
      <w:r>
        <w:rPr>
          <w:lang w:val="fr-FR"/>
        </w:rPr>
        <w:t xml:space="preserve">techniques </w:t>
      </w:r>
      <w:r w:rsidRPr="00C84D18">
        <w:rPr>
          <w:lang w:val="fr-FR"/>
        </w:rPr>
        <w:t>sont achetés à travers l’UNICEF.</w:t>
      </w:r>
    </w:p>
    <w:p w:rsidR="00E10165" w:rsidRPr="00C84D18" w:rsidRDefault="00E10165" w:rsidP="00FD4940">
      <w:pPr>
        <w:jc w:val="both"/>
        <w:divId w:val="410156154"/>
        <w:rPr>
          <w:rFonts w:eastAsia="SimSun"/>
          <w:color w:val="000000" w:themeColor="text1"/>
          <w:lang w:val="fr-FR"/>
        </w:rPr>
      </w:pPr>
    </w:p>
    <w:p w:rsidR="000A2CB6" w:rsidRPr="00C369C9" w:rsidRDefault="00515293">
      <w:pPr>
        <w:spacing w:after="120"/>
        <w:divId w:val="410156154"/>
        <w:rPr>
          <w:rFonts w:asciiTheme="minorHAnsi" w:eastAsia="SimSun" w:hAnsiTheme="minorHAnsi"/>
          <w:b/>
          <w:color w:val="1F497D" w:themeColor="text2"/>
          <w:sz w:val="28"/>
          <w:szCs w:val="28"/>
          <w:lang w:val="fr-FR"/>
        </w:rPr>
      </w:pPr>
      <w:r w:rsidRPr="00C369C9">
        <w:rPr>
          <w:rFonts w:asciiTheme="minorHAnsi" w:eastAsia="SimSun" w:hAnsiTheme="minorHAnsi"/>
          <w:b/>
          <w:color w:val="1F497D" w:themeColor="text2"/>
          <w:sz w:val="28"/>
          <w:szCs w:val="28"/>
          <w:lang w:val="fr-FR"/>
        </w:rPr>
        <w:t xml:space="preserve">3. Considérations liées à l’introduction et à la mise en œuvre    </w:t>
      </w:r>
    </w:p>
    <w:p w:rsidR="00680DE6" w:rsidRDefault="00515293">
      <w:pPr>
        <w:jc w:val="both"/>
        <w:divId w:val="410156154"/>
        <w:rPr>
          <w:rFonts w:asciiTheme="minorHAnsi" w:hAnsiTheme="minorHAnsi"/>
          <w:bCs/>
          <w:color w:val="1F497D" w:themeColor="text2"/>
          <w:lang w:val="fr-FR"/>
        </w:rPr>
      </w:pPr>
      <w:r w:rsidRPr="00C369C9">
        <w:rPr>
          <w:rFonts w:asciiTheme="minorHAnsi" w:hAnsiTheme="minorHAnsi"/>
          <w:bCs/>
          <w:color w:val="1F497D" w:themeColor="text2"/>
          <w:lang w:val="fr-FR"/>
        </w:rPr>
        <w:t>3.1  Elaboration des politiques</w:t>
      </w:r>
    </w:p>
    <w:p w:rsidR="000A2CB6" w:rsidRPr="00C369C9" w:rsidRDefault="000A2CB6">
      <w:pPr>
        <w:jc w:val="both"/>
        <w:divId w:val="410156154"/>
        <w:rPr>
          <w:rFonts w:asciiTheme="minorHAnsi" w:hAnsiTheme="minorHAnsi"/>
          <w:bCs/>
          <w:color w:val="1F497D" w:themeColor="text2"/>
          <w:lang w:val="fr-FR"/>
        </w:rPr>
      </w:pPr>
    </w:p>
    <w:p w:rsidR="00536131" w:rsidRDefault="00515293" w:rsidP="00C369C9">
      <w:pPr>
        <w:pStyle w:val="Paragraphedeliste"/>
        <w:numPr>
          <w:ilvl w:val="0"/>
          <w:numId w:val="12"/>
        </w:numPr>
        <w:spacing w:after="0" w:line="240" w:lineRule="auto"/>
        <w:ind w:left="720" w:right="115"/>
        <w:jc w:val="both"/>
        <w:divId w:val="410156154"/>
        <w:rPr>
          <w:rFonts w:asciiTheme="minorHAnsi" w:hAnsiTheme="minorHAnsi"/>
          <w:highlight w:val="cyan"/>
          <w:lang w:val="fr-FR"/>
        </w:rPr>
      </w:pPr>
      <w:r w:rsidRPr="00680DE6">
        <w:rPr>
          <w:rFonts w:asciiTheme="minorHAnsi" w:hAnsiTheme="minorHAnsi"/>
          <w:highlight w:val="cyan"/>
          <w:lang w:val="fr-FR"/>
        </w:rPr>
        <w:t xml:space="preserve">Décrire les mesures nécessaires pour modifier la politique nationale de vaccination et ainsi intégrer le VPI dans le programme national de vaccination, y compris tout changement apporté au calendrier en vigueur et l’impact probable sur les contacts de vaccination existants. Aligner le calendrier d’administration du VPI sur celui du DTC (voir section 2.3 des directives concernant l’introduction du VPI).  </w:t>
      </w:r>
    </w:p>
    <w:p w:rsidR="00515293" w:rsidRPr="00680DE6" w:rsidRDefault="00515293" w:rsidP="00536131">
      <w:pPr>
        <w:pStyle w:val="Paragraphedeliste"/>
        <w:spacing w:after="0" w:line="240" w:lineRule="auto"/>
        <w:ind w:right="115"/>
        <w:jc w:val="both"/>
        <w:divId w:val="410156154"/>
        <w:rPr>
          <w:rFonts w:asciiTheme="minorHAnsi" w:hAnsiTheme="minorHAnsi"/>
          <w:highlight w:val="cyan"/>
          <w:lang w:val="fr-FR"/>
        </w:rPr>
      </w:pPr>
      <w:r w:rsidRPr="00680DE6">
        <w:rPr>
          <w:rFonts w:asciiTheme="minorHAnsi" w:hAnsiTheme="minorHAnsi"/>
          <w:highlight w:val="cyan"/>
          <w:lang w:val="fr-FR"/>
        </w:rPr>
        <w:t xml:space="preserve"> </w:t>
      </w:r>
    </w:p>
    <w:p w:rsidR="00F22600" w:rsidRPr="00214685" w:rsidRDefault="00F22600" w:rsidP="00FD4940">
      <w:pPr>
        <w:pStyle w:val="Listecouleur-Accent11"/>
        <w:spacing w:after="0" w:line="240" w:lineRule="auto"/>
        <w:ind w:left="0" w:right="115"/>
        <w:jc w:val="both"/>
        <w:divId w:val="410156154"/>
        <w:rPr>
          <w:rFonts w:ascii="Times New Roman" w:hAnsi="Times New Roman"/>
          <w:sz w:val="24"/>
          <w:szCs w:val="24"/>
          <w:lang w:val="fr-FR"/>
        </w:rPr>
      </w:pPr>
      <w:r w:rsidRPr="00214685">
        <w:rPr>
          <w:rFonts w:ascii="Times New Roman" w:hAnsi="Times New Roman"/>
          <w:sz w:val="24"/>
          <w:szCs w:val="24"/>
          <w:lang w:val="fr-FR"/>
        </w:rPr>
        <w:t>Le calendrier vaccinal en vigueur pour les vaccinations infantiles sera révisé pour prendre en compte la dose de VPI qui sera administrée à la 16</w:t>
      </w:r>
      <w:r w:rsidRPr="00214685">
        <w:rPr>
          <w:rFonts w:ascii="Times New Roman" w:hAnsi="Times New Roman"/>
          <w:sz w:val="24"/>
          <w:szCs w:val="24"/>
          <w:vertAlign w:val="superscript"/>
          <w:lang w:val="fr-FR"/>
        </w:rPr>
        <w:t>ème</w:t>
      </w:r>
      <w:r w:rsidRPr="00214685">
        <w:rPr>
          <w:rFonts w:ascii="Times New Roman" w:hAnsi="Times New Roman"/>
          <w:sz w:val="24"/>
          <w:szCs w:val="24"/>
          <w:lang w:val="fr-FR"/>
        </w:rPr>
        <w:t xml:space="preserve"> semaine, en même temps que le VPO3, le Penta3, le Pneumo3 et le Rota3 conformément à notre calendrier vaccinal. Le nombre de contacts reste inchangé.</w:t>
      </w:r>
    </w:p>
    <w:p w:rsidR="00F22600" w:rsidRPr="00214685" w:rsidRDefault="00F22600" w:rsidP="00FD4940">
      <w:pPr>
        <w:pStyle w:val="Listecouleur-Accent11"/>
        <w:spacing w:after="0" w:line="240" w:lineRule="auto"/>
        <w:ind w:left="0" w:right="115"/>
        <w:jc w:val="both"/>
        <w:divId w:val="410156154"/>
        <w:rPr>
          <w:rFonts w:ascii="Times New Roman" w:hAnsi="Times New Roman"/>
          <w:sz w:val="24"/>
          <w:szCs w:val="24"/>
          <w:lang w:val="fr-FR"/>
        </w:rPr>
      </w:pPr>
      <w:r w:rsidRPr="00214685">
        <w:rPr>
          <w:rFonts w:ascii="Times New Roman" w:hAnsi="Times New Roman"/>
          <w:sz w:val="24"/>
          <w:szCs w:val="24"/>
          <w:lang w:val="fr-FR"/>
        </w:rPr>
        <w:t>Ainsi, le nouveau calendrier vaccinal se présentera comme suit.</w:t>
      </w:r>
    </w:p>
    <w:p w:rsidR="007B60C5" w:rsidRDefault="007B60C5" w:rsidP="00FD4940">
      <w:pPr>
        <w:pStyle w:val="Listecouleur-Accent11"/>
        <w:spacing w:after="0" w:line="240" w:lineRule="auto"/>
        <w:ind w:left="0" w:right="115"/>
        <w:jc w:val="both"/>
        <w:divId w:val="410156154"/>
        <w:rPr>
          <w:rFonts w:ascii="Times New Roman" w:hAnsi="Times New Roman"/>
          <w:sz w:val="24"/>
          <w:szCs w:val="24"/>
          <w:lang w:val="fr-FR"/>
        </w:rPr>
      </w:pPr>
    </w:p>
    <w:p w:rsidR="00F22600" w:rsidRPr="00971E92" w:rsidRDefault="00D842C6" w:rsidP="00F22600">
      <w:pPr>
        <w:pStyle w:val="Listecouleur-Accent11"/>
        <w:spacing w:after="0" w:line="360" w:lineRule="auto"/>
        <w:ind w:left="0" w:right="115"/>
        <w:jc w:val="both"/>
        <w:divId w:val="410156154"/>
        <w:rPr>
          <w:rFonts w:ascii="Times New Roman" w:hAnsi="Times New Roman"/>
          <w:sz w:val="24"/>
          <w:szCs w:val="24"/>
          <w:lang w:val="fr-FR"/>
        </w:rPr>
      </w:pPr>
      <w:r>
        <w:rPr>
          <w:rFonts w:ascii="Times New Roman" w:hAnsi="Times New Roman"/>
          <w:sz w:val="24"/>
          <w:szCs w:val="24"/>
          <w:lang w:val="fr-FR"/>
        </w:rPr>
        <w:t>Tableau I</w:t>
      </w:r>
      <w:r w:rsidR="00F22600" w:rsidRPr="00971E92">
        <w:rPr>
          <w:rFonts w:ascii="Times New Roman" w:hAnsi="Times New Roman"/>
          <w:sz w:val="24"/>
          <w:szCs w:val="24"/>
          <w:lang w:val="fr-FR"/>
        </w:rPr>
        <w:t>I : Nouveau calendrier vaccinal</w:t>
      </w:r>
    </w:p>
    <w:tbl>
      <w:tblPr>
        <w:tblW w:w="7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58"/>
        <w:gridCol w:w="1764"/>
        <w:gridCol w:w="4561"/>
      </w:tblGrid>
      <w:tr w:rsidR="002F1BD7" w:rsidRPr="00680DE6" w:rsidTr="002F1BD7">
        <w:trPr>
          <w:divId w:val="410156154"/>
          <w:trHeight w:val="236"/>
          <w:tblHeader/>
          <w:jc w:val="center"/>
        </w:trPr>
        <w:tc>
          <w:tcPr>
            <w:tcW w:w="1258" w:type="dxa"/>
            <w:shd w:val="clear" w:color="auto" w:fill="auto"/>
            <w:vAlign w:val="center"/>
          </w:tcPr>
          <w:p w:rsidR="002F1BD7" w:rsidRPr="00680DE6" w:rsidRDefault="002F1BD7" w:rsidP="00680DE6">
            <w:pPr>
              <w:spacing w:line="360" w:lineRule="auto"/>
              <w:jc w:val="center"/>
              <w:rPr>
                <w:b/>
                <w:color w:val="000000" w:themeColor="text1"/>
              </w:rPr>
            </w:pPr>
            <w:r w:rsidRPr="00680DE6">
              <w:rPr>
                <w:b/>
                <w:color w:val="000000" w:themeColor="text1"/>
              </w:rPr>
              <w:t>Contact</w:t>
            </w:r>
          </w:p>
        </w:tc>
        <w:tc>
          <w:tcPr>
            <w:tcW w:w="1764" w:type="dxa"/>
            <w:shd w:val="clear" w:color="auto" w:fill="auto"/>
            <w:vAlign w:val="center"/>
          </w:tcPr>
          <w:p w:rsidR="002F1BD7" w:rsidRPr="00680DE6" w:rsidRDefault="002F1BD7" w:rsidP="00680DE6">
            <w:pPr>
              <w:spacing w:line="360" w:lineRule="auto"/>
              <w:jc w:val="both"/>
              <w:rPr>
                <w:b/>
                <w:bCs/>
                <w:color w:val="000000" w:themeColor="text1"/>
              </w:rPr>
            </w:pPr>
            <w:r w:rsidRPr="00680DE6">
              <w:rPr>
                <w:b/>
                <w:bCs/>
                <w:color w:val="000000" w:themeColor="text1"/>
              </w:rPr>
              <w:t>Age</w:t>
            </w:r>
          </w:p>
        </w:tc>
        <w:tc>
          <w:tcPr>
            <w:tcW w:w="4561" w:type="dxa"/>
            <w:shd w:val="clear" w:color="auto" w:fill="auto"/>
            <w:vAlign w:val="center"/>
          </w:tcPr>
          <w:p w:rsidR="002F1BD7" w:rsidRPr="00680DE6" w:rsidRDefault="002F1BD7" w:rsidP="00680DE6">
            <w:pPr>
              <w:spacing w:line="360" w:lineRule="auto"/>
              <w:jc w:val="both"/>
              <w:rPr>
                <w:b/>
                <w:bCs/>
                <w:color w:val="000000" w:themeColor="text1"/>
              </w:rPr>
            </w:pPr>
            <w:r w:rsidRPr="00680DE6">
              <w:rPr>
                <w:b/>
                <w:bCs/>
                <w:color w:val="000000" w:themeColor="text1"/>
              </w:rPr>
              <w:t>Antigènes</w:t>
            </w:r>
          </w:p>
        </w:tc>
      </w:tr>
      <w:tr w:rsidR="002F1BD7" w:rsidRPr="00680DE6" w:rsidTr="002F1BD7">
        <w:trPr>
          <w:divId w:val="410156154"/>
          <w:trHeight w:val="363"/>
          <w:jc w:val="center"/>
        </w:trPr>
        <w:tc>
          <w:tcPr>
            <w:tcW w:w="1258" w:type="dxa"/>
            <w:vAlign w:val="center"/>
          </w:tcPr>
          <w:p w:rsidR="002F1BD7" w:rsidRPr="00680DE6" w:rsidRDefault="002F1BD7" w:rsidP="00680DE6">
            <w:pPr>
              <w:spacing w:line="360" w:lineRule="auto"/>
              <w:jc w:val="center"/>
              <w:rPr>
                <w:bCs/>
              </w:rPr>
            </w:pPr>
            <w:r w:rsidRPr="00680DE6">
              <w:rPr>
                <w:bCs/>
              </w:rPr>
              <w:t>1</w:t>
            </w:r>
          </w:p>
        </w:tc>
        <w:tc>
          <w:tcPr>
            <w:tcW w:w="1764" w:type="dxa"/>
            <w:vAlign w:val="center"/>
          </w:tcPr>
          <w:p w:rsidR="002F1BD7" w:rsidRPr="00680DE6" w:rsidRDefault="002F1BD7" w:rsidP="00680DE6">
            <w:pPr>
              <w:spacing w:line="360" w:lineRule="auto"/>
              <w:jc w:val="both"/>
              <w:rPr>
                <w:bCs/>
              </w:rPr>
            </w:pPr>
            <w:r w:rsidRPr="00680DE6">
              <w:rPr>
                <w:bCs/>
              </w:rPr>
              <w:t>Naissance</w:t>
            </w:r>
          </w:p>
        </w:tc>
        <w:tc>
          <w:tcPr>
            <w:tcW w:w="4561" w:type="dxa"/>
            <w:vAlign w:val="center"/>
          </w:tcPr>
          <w:p w:rsidR="002F1BD7" w:rsidRPr="00680DE6" w:rsidRDefault="002F1BD7" w:rsidP="00680DE6">
            <w:pPr>
              <w:spacing w:line="360" w:lineRule="auto"/>
              <w:jc w:val="both"/>
              <w:rPr>
                <w:bCs/>
              </w:rPr>
            </w:pPr>
            <w:r w:rsidRPr="00680DE6">
              <w:rPr>
                <w:bCs/>
              </w:rPr>
              <w:t>BCG, VPO 0</w:t>
            </w:r>
          </w:p>
        </w:tc>
      </w:tr>
      <w:tr w:rsidR="002F1BD7" w:rsidRPr="00680DE6" w:rsidTr="002F1BD7">
        <w:trPr>
          <w:divId w:val="410156154"/>
          <w:trHeight w:val="485"/>
          <w:jc w:val="center"/>
        </w:trPr>
        <w:tc>
          <w:tcPr>
            <w:tcW w:w="1258" w:type="dxa"/>
            <w:vAlign w:val="center"/>
          </w:tcPr>
          <w:p w:rsidR="002F1BD7" w:rsidRPr="00680DE6" w:rsidRDefault="002F1BD7" w:rsidP="00680DE6">
            <w:pPr>
              <w:spacing w:line="360" w:lineRule="auto"/>
              <w:jc w:val="center"/>
              <w:rPr>
                <w:bCs/>
              </w:rPr>
            </w:pPr>
            <w:r w:rsidRPr="00680DE6">
              <w:rPr>
                <w:bCs/>
              </w:rPr>
              <w:t>2</w:t>
            </w:r>
          </w:p>
        </w:tc>
        <w:tc>
          <w:tcPr>
            <w:tcW w:w="1764" w:type="dxa"/>
            <w:vAlign w:val="center"/>
          </w:tcPr>
          <w:p w:rsidR="002F1BD7" w:rsidRPr="00680DE6" w:rsidRDefault="002F1BD7" w:rsidP="00680DE6">
            <w:pPr>
              <w:spacing w:line="360" w:lineRule="auto"/>
              <w:jc w:val="both"/>
              <w:rPr>
                <w:bCs/>
              </w:rPr>
            </w:pPr>
            <w:r w:rsidRPr="00680DE6">
              <w:rPr>
                <w:bCs/>
              </w:rPr>
              <w:t>8 semaines</w:t>
            </w:r>
          </w:p>
        </w:tc>
        <w:tc>
          <w:tcPr>
            <w:tcW w:w="4561" w:type="dxa"/>
            <w:vAlign w:val="center"/>
          </w:tcPr>
          <w:p w:rsidR="002F1BD7" w:rsidRPr="00680DE6" w:rsidRDefault="002F1BD7" w:rsidP="00680DE6">
            <w:pPr>
              <w:spacing w:line="360" w:lineRule="auto"/>
              <w:jc w:val="both"/>
              <w:rPr>
                <w:bCs/>
                <w:lang w:val="en-US"/>
              </w:rPr>
            </w:pPr>
            <w:r w:rsidRPr="00680DE6">
              <w:rPr>
                <w:bCs/>
                <w:lang w:val="en-US"/>
              </w:rPr>
              <w:t>Penta1, Pneumo1, Rota1,VPO1</w:t>
            </w:r>
          </w:p>
        </w:tc>
      </w:tr>
      <w:tr w:rsidR="002F1BD7" w:rsidRPr="00680DE6" w:rsidTr="002F1BD7">
        <w:trPr>
          <w:divId w:val="410156154"/>
          <w:trHeight w:val="485"/>
          <w:jc w:val="center"/>
        </w:trPr>
        <w:tc>
          <w:tcPr>
            <w:tcW w:w="1258" w:type="dxa"/>
            <w:vAlign w:val="center"/>
          </w:tcPr>
          <w:p w:rsidR="002F1BD7" w:rsidRPr="00680DE6" w:rsidRDefault="002F1BD7" w:rsidP="00680DE6">
            <w:pPr>
              <w:spacing w:line="360" w:lineRule="auto"/>
              <w:jc w:val="center"/>
              <w:rPr>
                <w:bCs/>
              </w:rPr>
            </w:pPr>
            <w:r w:rsidRPr="00680DE6">
              <w:rPr>
                <w:bCs/>
              </w:rPr>
              <w:t>3</w:t>
            </w:r>
          </w:p>
        </w:tc>
        <w:tc>
          <w:tcPr>
            <w:tcW w:w="1764" w:type="dxa"/>
            <w:vAlign w:val="center"/>
          </w:tcPr>
          <w:p w:rsidR="002F1BD7" w:rsidRPr="00680DE6" w:rsidRDefault="002F1BD7" w:rsidP="00680DE6">
            <w:pPr>
              <w:spacing w:line="360" w:lineRule="auto"/>
              <w:jc w:val="both"/>
              <w:rPr>
                <w:bCs/>
              </w:rPr>
            </w:pPr>
            <w:r w:rsidRPr="00680DE6">
              <w:rPr>
                <w:bCs/>
              </w:rPr>
              <w:t>12 semaines</w:t>
            </w:r>
          </w:p>
        </w:tc>
        <w:tc>
          <w:tcPr>
            <w:tcW w:w="4561" w:type="dxa"/>
            <w:vAlign w:val="center"/>
          </w:tcPr>
          <w:p w:rsidR="002F1BD7" w:rsidRPr="00680DE6" w:rsidRDefault="002F1BD7" w:rsidP="00680DE6">
            <w:pPr>
              <w:spacing w:line="360" w:lineRule="auto"/>
              <w:jc w:val="both"/>
              <w:rPr>
                <w:bCs/>
                <w:lang w:val="en-US"/>
              </w:rPr>
            </w:pPr>
            <w:r w:rsidRPr="00680DE6">
              <w:rPr>
                <w:bCs/>
                <w:lang w:val="en-US"/>
              </w:rPr>
              <w:t>Penta2, Pneumo2,Rota2,VPO2</w:t>
            </w:r>
          </w:p>
        </w:tc>
      </w:tr>
      <w:tr w:rsidR="002F1BD7" w:rsidRPr="00680DE6" w:rsidTr="002F1BD7">
        <w:trPr>
          <w:divId w:val="410156154"/>
          <w:trHeight w:val="498"/>
          <w:jc w:val="center"/>
        </w:trPr>
        <w:tc>
          <w:tcPr>
            <w:tcW w:w="1258" w:type="dxa"/>
            <w:vAlign w:val="center"/>
          </w:tcPr>
          <w:p w:rsidR="002F1BD7" w:rsidRPr="00680DE6" w:rsidRDefault="002F1BD7" w:rsidP="00680DE6">
            <w:pPr>
              <w:spacing w:line="360" w:lineRule="auto"/>
              <w:jc w:val="center"/>
              <w:rPr>
                <w:bCs/>
              </w:rPr>
            </w:pPr>
            <w:r w:rsidRPr="00680DE6">
              <w:rPr>
                <w:bCs/>
              </w:rPr>
              <w:t>4</w:t>
            </w:r>
          </w:p>
        </w:tc>
        <w:tc>
          <w:tcPr>
            <w:tcW w:w="1764" w:type="dxa"/>
            <w:vAlign w:val="center"/>
          </w:tcPr>
          <w:p w:rsidR="002F1BD7" w:rsidRPr="00680DE6" w:rsidRDefault="002F1BD7" w:rsidP="00680DE6">
            <w:pPr>
              <w:spacing w:line="360" w:lineRule="auto"/>
              <w:jc w:val="both"/>
              <w:rPr>
                <w:bCs/>
              </w:rPr>
            </w:pPr>
            <w:r w:rsidRPr="00680DE6">
              <w:rPr>
                <w:bCs/>
              </w:rPr>
              <w:t>16 semaines</w:t>
            </w:r>
          </w:p>
        </w:tc>
        <w:tc>
          <w:tcPr>
            <w:tcW w:w="4561" w:type="dxa"/>
            <w:vAlign w:val="center"/>
          </w:tcPr>
          <w:p w:rsidR="002F1BD7" w:rsidRPr="00680DE6" w:rsidRDefault="002F1BD7" w:rsidP="00680DE6">
            <w:pPr>
              <w:spacing w:line="360" w:lineRule="auto"/>
              <w:jc w:val="both"/>
              <w:rPr>
                <w:bCs/>
                <w:lang w:val="en-US"/>
              </w:rPr>
            </w:pPr>
            <w:r w:rsidRPr="00680DE6">
              <w:rPr>
                <w:bCs/>
                <w:lang w:val="en-US"/>
              </w:rPr>
              <w:t xml:space="preserve">Penta3, Pneumo3, Rota3,VPO3, </w:t>
            </w:r>
            <w:r w:rsidRPr="00680DE6">
              <w:rPr>
                <w:bCs/>
                <w:shd w:val="clear" w:color="auto" w:fill="00B0F0"/>
                <w:lang w:val="en-US"/>
              </w:rPr>
              <w:t>VPI</w:t>
            </w:r>
          </w:p>
        </w:tc>
      </w:tr>
      <w:tr w:rsidR="002F1BD7" w:rsidRPr="00680DE6" w:rsidTr="002F1BD7">
        <w:trPr>
          <w:divId w:val="410156154"/>
          <w:trHeight w:val="498"/>
          <w:jc w:val="center"/>
        </w:trPr>
        <w:tc>
          <w:tcPr>
            <w:tcW w:w="1258" w:type="dxa"/>
            <w:vAlign w:val="center"/>
          </w:tcPr>
          <w:p w:rsidR="002F1BD7" w:rsidRPr="00680DE6" w:rsidRDefault="002F1BD7" w:rsidP="00680DE6">
            <w:pPr>
              <w:spacing w:line="360" w:lineRule="auto"/>
              <w:jc w:val="center"/>
              <w:rPr>
                <w:bCs/>
              </w:rPr>
            </w:pPr>
            <w:r w:rsidRPr="00680DE6">
              <w:rPr>
                <w:bCs/>
              </w:rPr>
              <w:t>5</w:t>
            </w:r>
          </w:p>
        </w:tc>
        <w:tc>
          <w:tcPr>
            <w:tcW w:w="1764" w:type="dxa"/>
            <w:vAlign w:val="center"/>
          </w:tcPr>
          <w:p w:rsidR="002F1BD7" w:rsidRPr="00680DE6" w:rsidRDefault="002F1BD7" w:rsidP="00680DE6">
            <w:pPr>
              <w:spacing w:line="360" w:lineRule="auto"/>
              <w:jc w:val="both"/>
              <w:rPr>
                <w:bCs/>
              </w:rPr>
            </w:pPr>
            <w:r w:rsidRPr="00680DE6">
              <w:rPr>
                <w:bCs/>
              </w:rPr>
              <w:t>9 mois</w:t>
            </w:r>
          </w:p>
        </w:tc>
        <w:tc>
          <w:tcPr>
            <w:tcW w:w="4561" w:type="dxa"/>
            <w:vAlign w:val="center"/>
          </w:tcPr>
          <w:p w:rsidR="002F1BD7" w:rsidRPr="00680DE6" w:rsidRDefault="002F1BD7" w:rsidP="00680DE6">
            <w:pPr>
              <w:spacing w:line="360" w:lineRule="auto"/>
              <w:jc w:val="both"/>
              <w:rPr>
                <w:bCs/>
              </w:rPr>
            </w:pPr>
            <w:r>
              <w:rPr>
                <w:bCs/>
              </w:rPr>
              <w:t>R</w:t>
            </w:r>
            <w:r w:rsidRPr="00680DE6">
              <w:rPr>
                <w:bCs/>
              </w:rPr>
              <w:t>R</w:t>
            </w:r>
            <w:r>
              <w:rPr>
                <w:bCs/>
              </w:rPr>
              <w:t>1</w:t>
            </w:r>
            <w:r w:rsidRPr="00680DE6">
              <w:rPr>
                <w:bCs/>
              </w:rPr>
              <w:t xml:space="preserve"> et VAA </w:t>
            </w:r>
          </w:p>
        </w:tc>
      </w:tr>
      <w:tr w:rsidR="002F1BD7" w:rsidRPr="00680DE6" w:rsidTr="002F1BD7">
        <w:trPr>
          <w:divId w:val="410156154"/>
          <w:trHeight w:val="498"/>
          <w:jc w:val="center"/>
        </w:trPr>
        <w:tc>
          <w:tcPr>
            <w:tcW w:w="1258" w:type="dxa"/>
            <w:vAlign w:val="center"/>
          </w:tcPr>
          <w:p w:rsidR="002F1BD7" w:rsidRPr="00680DE6" w:rsidRDefault="002F1BD7" w:rsidP="00680DE6">
            <w:pPr>
              <w:spacing w:line="360" w:lineRule="auto"/>
              <w:jc w:val="center"/>
              <w:rPr>
                <w:bCs/>
              </w:rPr>
            </w:pPr>
            <w:r w:rsidRPr="00860CC3">
              <w:rPr>
                <w:bCs/>
              </w:rPr>
              <w:t>6</w:t>
            </w:r>
          </w:p>
        </w:tc>
        <w:tc>
          <w:tcPr>
            <w:tcW w:w="1764" w:type="dxa"/>
            <w:vAlign w:val="center"/>
          </w:tcPr>
          <w:p w:rsidR="002F1BD7" w:rsidRPr="00680DE6" w:rsidRDefault="002F1BD7" w:rsidP="00680DE6">
            <w:pPr>
              <w:spacing w:line="360" w:lineRule="auto"/>
              <w:jc w:val="both"/>
              <w:rPr>
                <w:bCs/>
              </w:rPr>
            </w:pPr>
            <w:r>
              <w:rPr>
                <w:bCs/>
              </w:rPr>
              <w:t>15 mois</w:t>
            </w:r>
          </w:p>
        </w:tc>
        <w:tc>
          <w:tcPr>
            <w:tcW w:w="4561" w:type="dxa"/>
            <w:vAlign w:val="center"/>
          </w:tcPr>
          <w:p w:rsidR="002F1BD7" w:rsidRPr="00680DE6" w:rsidRDefault="002F1BD7" w:rsidP="00680DE6">
            <w:pPr>
              <w:spacing w:line="360" w:lineRule="auto"/>
              <w:jc w:val="both"/>
              <w:rPr>
                <w:bCs/>
              </w:rPr>
            </w:pPr>
            <w:r>
              <w:rPr>
                <w:bCs/>
              </w:rPr>
              <w:t>R</w:t>
            </w:r>
            <w:r w:rsidRPr="00680DE6">
              <w:rPr>
                <w:bCs/>
              </w:rPr>
              <w:t>R</w:t>
            </w:r>
            <w:r>
              <w:rPr>
                <w:bCs/>
              </w:rPr>
              <w:t>2</w:t>
            </w:r>
          </w:p>
        </w:tc>
      </w:tr>
    </w:tbl>
    <w:p w:rsidR="00F22600" w:rsidRDefault="00F22600" w:rsidP="00F22600">
      <w:pPr>
        <w:pStyle w:val="Listecouleur-Accent11"/>
        <w:spacing w:after="0" w:line="360" w:lineRule="auto"/>
        <w:ind w:left="0" w:right="115"/>
        <w:jc w:val="both"/>
        <w:divId w:val="410156154"/>
        <w:rPr>
          <w:rFonts w:ascii="Times New Roman" w:hAnsi="Times New Roman"/>
          <w:color w:val="FF0000"/>
          <w:sz w:val="24"/>
          <w:szCs w:val="24"/>
          <w:lang w:val="fr-FR"/>
        </w:rPr>
      </w:pPr>
    </w:p>
    <w:p w:rsidR="00F22600" w:rsidRDefault="00F22600" w:rsidP="002F1BD7">
      <w:pPr>
        <w:pStyle w:val="Listecouleur-Accent11"/>
        <w:spacing w:after="0" w:line="240" w:lineRule="auto"/>
        <w:ind w:left="0" w:right="235"/>
        <w:jc w:val="both"/>
        <w:divId w:val="410156154"/>
        <w:rPr>
          <w:rFonts w:ascii="Times New Roman" w:hAnsi="Times New Roman"/>
          <w:sz w:val="24"/>
          <w:szCs w:val="24"/>
          <w:lang w:val="fr-FR"/>
        </w:rPr>
      </w:pPr>
      <w:r w:rsidRPr="00B07DCD">
        <w:rPr>
          <w:rFonts w:ascii="Times New Roman" w:hAnsi="Times New Roman"/>
          <w:sz w:val="24"/>
          <w:szCs w:val="24"/>
          <w:lang w:val="fr-FR"/>
        </w:rPr>
        <w:t xml:space="preserve">L’administration du vaccin se fera conformément aux prescriptions du laboratoire. Il </w:t>
      </w:r>
      <w:r w:rsidRPr="002F1BD7">
        <w:rPr>
          <w:rFonts w:ascii="Times New Roman" w:hAnsi="Times New Roman"/>
          <w:sz w:val="24"/>
          <w:szCs w:val="24"/>
          <w:lang w:val="fr-FR"/>
        </w:rPr>
        <w:t xml:space="preserve">s’agira d’administrer en intramusculaire au niveau de la </w:t>
      </w:r>
      <w:r w:rsidR="002F1BD7" w:rsidRPr="002F1BD7">
        <w:rPr>
          <w:rFonts w:ascii="Times New Roman" w:hAnsi="Times New Roman"/>
          <w:sz w:val="24"/>
          <w:szCs w:val="24"/>
          <w:lang w:val="fr-FR"/>
        </w:rPr>
        <w:t>cuisse</w:t>
      </w:r>
      <w:r w:rsidRPr="002F1BD7">
        <w:rPr>
          <w:rFonts w:ascii="Times New Roman" w:hAnsi="Times New Roman"/>
          <w:sz w:val="24"/>
          <w:szCs w:val="24"/>
          <w:lang w:val="fr-FR"/>
        </w:rPr>
        <w:t> ; le point d’injection sera espacé d’au moins deux centimètres par</w:t>
      </w:r>
      <w:r w:rsidRPr="00B07DCD">
        <w:rPr>
          <w:rFonts w:ascii="Times New Roman" w:hAnsi="Times New Roman"/>
          <w:sz w:val="24"/>
          <w:szCs w:val="24"/>
          <w:lang w:val="fr-FR"/>
        </w:rPr>
        <w:t xml:space="preserve"> rapport à celui du Penta3.</w:t>
      </w:r>
    </w:p>
    <w:p w:rsidR="006B5B48" w:rsidRPr="006B5B48" w:rsidRDefault="006B5B48" w:rsidP="00FD4940">
      <w:pPr>
        <w:pStyle w:val="Listecouleur-Accent11"/>
        <w:spacing w:after="0" w:line="240" w:lineRule="auto"/>
        <w:ind w:left="0" w:right="235"/>
        <w:jc w:val="both"/>
        <w:divId w:val="410156154"/>
        <w:rPr>
          <w:rFonts w:ascii="Times New Roman" w:hAnsi="Times New Roman"/>
          <w:sz w:val="24"/>
          <w:szCs w:val="24"/>
          <w:lang w:val="fr-FR"/>
        </w:rPr>
      </w:pPr>
    </w:p>
    <w:p w:rsidR="00680DE6" w:rsidRDefault="00515293" w:rsidP="00C369C9">
      <w:pPr>
        <w:pStyle w:val="Paragraphedeliste"/>
        <w:numPr>
          <w:ilvl w:val="0"/>
          <w:numId w:val="12"/>
        </w:numPr>
        <w:spacing w:after="0" w:line="240" w:lineRule="auto"/>
        <w:ind w:left="720" w:right="115"/>
        <w:jc w:val="both"/>
        <w:divId w:val="410156154"/>
        <w:rPr>
          <w:rFonts w:asciiTheme="minorHAnsi" w:hAnsiTheme="minorHAnsi"/>
          <w:highlight w:val="cyan"/>
          <w:lang w:val="fr-FR"/>
        </w:rPr>
      </w:pPr>
      <w:r w:rsidRPr="007B60C5">
        <w:rPr>
          <w:rFonts w:asciiTheme="minorHAnsi" w:hAnsiTheme="minorHAnsi"/>
          <w:highlight w:val="cyan"/>
          <w:lang w:val="fr-FR"/>
        </w:rPr>
        <w:lastRenderedPageBreak/>
        <w:t xml:space="preserve">Fournir des informations sur les décisions concernant les pratiques de vaccination (sites d’injection, commande des injections, et choix du membre pour deux injections ou plus). </w:t>
      </w:r>
    </w:p>
    <w:p w:rsidR="00536131" w:rsidRPr="007B60C5" w:rsidRDefault="00536131" w:rsidP="00536131">
      <w:pPr>
        <w:pStyle w:val="Paragraphedeliste"/>
        <w:spacing w:after="0" w:line="240" w:lineRule="auto"/>
        <w:ind w:right="115"/>
        <w:jc w:val="both"/>
        <w:divId w:val="410156154"/>
        <w:rPr>
          <w:rFonts w:asciiTheme="minorHAnsi" w:hAnsiTheme="minorHAnsi"/>
          <w:highlight w:val="cyan"/>
          <w:lang w:val="fr-FR"/>
        </w:rPr>
      </w:pPr>
    </w:p>
    <w:p w:rsidR="00214685" w:rsidRDefault="00214685" w:rsidP="00FD4940">
      <w:pPr>
        <w:pStyle w:val="Listecouleur-Accent11"/>
        <w:spacing w:after="0" w:line="240" w:lineRule="auto"/>
        <w:ind w:left="0" w:right="115"/>
        <w:jc w:val="both"/>
        <w:divId w:val="410156154"/>
        <w:rPr>
          <w:rFonts w:ascii="Times New Roman" w:hAnsi="Times New Roman"/>
          <w:sz w:val="24"/>
          <w:szCs w:val="24"/>
          <w:lang w:val="fr-FR"/>
        </w:rPr>
      </w:pPr>
      <w:r w:rsidRPr="00214685">
        <w:rPr>
          <w:rFonts w:ascii="Times New Roman" w:hAnsi="Times New Roman"/>
          <w:sz w:val="24"/>
          <w:szCs w:val="24"/>
          <w:lang w:val="fr-FR"/>
        </w:rPr>
        <w:t>Le VPI sera intégré dans le calendrier vaccinal actuel. La dose de VPI sera administrée à 16 semaines de façon simultanée que la 3</w:t>
      </w:r>
      <w:r w:rsidRPr="00214685">
        <w:rPr>
          <w:rFonts w:ascii="Times New Roman" w:hAnsi="Times New Roman"/>
          <w:sz w:val="24"/>
          <w:szCs w:val="24"/>
          <w:vertAlign w:val="superscript"/>
          <w:lang w:val="fr-FR"/>
        </w:rPr>
        <w:t>ème</w:t>
      </w:r>
      <w:r w:rsidRPr="00214685">
        <w:rPr>
          <w:rFonts w:ascii="Times New Roman" w:hAnsi="Times New Roman"/>
          <w:sz w:val="24"/>
          <w:szCs w:val="24"/>
          <w:lang w:val="fr-FR"/>
        </w:rPr>
        <w:t xml:space="preserve"> dose du VPO trivalent qui sera remplacé en 2016 par le VPO bivalent 1-3, du DTC-HepB-Hib, du PCV-13 et du Rota. </w:t>
      </w:r>
    </w:p>
    <w:p w:rsidR="00214685" w:rsidRPr="00214685" w:rsidRDefault="00214685" w:rsidP="00FA0FAD">
      <w:pPr>
        <w:pStyle w:val="Listecouleur-Accent11"/>
        <w:spacing w:after="0" w:line="240" w:lineRule="auto"/>
        <w:ind w:left="0" w:right="115"/>
        <w:jc w:val="both"/>
        <w:divId w:val="410156154"/>
        <w:rPr>
          <w:rFonts w:ascii="Times New Roman" w:hAnsi="Times New Roman"/>
          <w:sz w:val="24"/>
          <w:szCs w:val="24"/>
          <w:lang w:val="fr-FR"/>
        </w:rPr>
      </w:pPr>
      <w:r w:rsidRPr="00214685">
        <w:rPr>
          <w:rFonts w:ascii="Times New Roman" w:hAnsi="Times New Roman"/>
          <w:sz w:val="24"/>
          <w:szCs w:val="24"/>
          <w:lang w:val="fr-FR"/>
        </w:rPr>
        <w:t xml:space="preserve">En 2015, le PEV comportera six vaccins injectables : BCG, DTC-HepB-Hib PCV13, </w:t>
      </w:r>
      <w:r w:rsidR="00FA0FAD">
        <w:rPr>
          <w:rFonts w:ascii="Times New Roman" w:hAnsi="Times New Roman"/>
          <w:sz w:val="24"/>
          <w:szCs w:val="24"/>
          <w:lang w:val="fr-FR"/>
        </w:rPr>
        <w:t>R</w:t>
      </w:r>
      <w:r w:rsidRPr="00214685">
        <w:rPr>
          <w:rFonts w:ascii="Times New Roman" w:hAnsi="Times New Roman"/>
          <w:sz w:val="24"/>
          <w:szCs w:val="24"/>
          <w:lang w:val="fr-FR"/>
        </w:rPr>
        <w:t xml:space="preserve">R, VAA et VPI. Ces vaccins seront administrés selon les voies suivantes : </w:t>
      </w:r>
    </w:p>
    <w:p w:rsidR="00633E26" w:rsidRDefault="00214685" w:rsidP="00F0498C">
      <w:pPr>
        <w:pStyle w:val="Listecouleur-Accent11"/>
        <w:numPr>
          <w:ilvl w:val="0"/>
          <w:numId w:val="27"/>
        </w:numPr>
        <w:spacing w:after="0" w:line="240" w:lineRule="auto"/>
        <w:ind w:right="235"/>
        <w:jc w:val="both"/>
        <w:divId w:val="410156154"/>
        <w:rPr>
          <w:rFonts w:ascii="Times New Roman" w:hAnsi="Times New Roman"/>
          <w:sz w:val="24"/>
          <w:szCs w:val="24"/>
          <w:lang w:val="fr-FR"/>
        </w:rPr>
      </w:pPr>
      <w:r w:rsidRPr="00FA0FAD">
        <w:rPr>
          <w:rFonts w:ascii="Times New Roman" w:hAnsi="Times New Roman"/>
          <w:sz w:val="24"/>
          <w:szCs w:val="24"/>
          <w:lang w:val="fr-FR"/>
        </w:rPr>
        <w:t xml:space="preserve">BCG : intradermique </w:t>
      </w:r>
      <w:r w:rsidR="00F0498C">
        <w:rPr>
          <w:rFonts w:ascii="Times New Roman" w:hAnsi="Times New Roman"/>
          <w:sz w:val="24"/>
          <w:szCs w:val="24"/>
          <w:lang w:val="fr-FR"/>
        </w:rPr>
        <w:t>avant-bras</w:t>
      </w:r>
      <w:r w:rsidRPr="00FA0FAD">
        <w:rPr>
          <w:rFonts w:ascii="Times New Roman" w:hAnsi="Times New Roman"/>
          <w:sz w:val="24"/>
          <w:szCs w:val="24"/>
          <w:lang w:val="fr-FR"/>
        </w:rPr>
        <w:t xml:space="preserve"> gauche</w:t>
      </w:r>
      <w:r w:rsidR="00F0498C">
        <w:rPr>
          <w:rFonts w:ascii="Times New Roman" w:hAnsi="Times New Roman"/>
          <w:sz w:val="24"/>
          <w:szCs w:val="24"/>
          <w:lang w:val="fr-FR"/>
        </w:rPr>
        <w:t xml:space="preserve"> en sa partie supérieure</w:t>
      </w:r>
    </w:p>
    <w:p w:rsidR="00214685" w:rsidRPr="00633E26" w:rsidRDefault="00214685" w:rsidP="00F0498C">
      <w:pPr>
        <w:pStyle w:val="Listecouleur-Accent11"/>
        <w:numPr>
          <w:ilvl w:val="0"/>
          <w:numId w:val="27"/>
        </w:numPr>
        <w:spacing w:after="0" w:line="240" w:lineRule="auto"/>
        <w:ind w:right="235"/>
        <w:jc w:val="both"/>
        <w:divId w:val="410156154"/>
        <w:rPr>
          <w:rFonts w:ascii="Times New Roman" w:hAnsi="Times New Roman"/>
          <w:sz w:val="24"/>
          <w:szCs w:val="24"/>
          <w:lang w:val="fr-FR"/>
        </w:rPr>
      </w:pPr>
      <w:r w:rsidRPr="00633E26">
        <w:rPr>
          <w:rFonts w:ascii="Times New Roman" w:hAnsi="Times New Roman"/>
          <w:sz w:val="24"/>
          <w:szCs w:val="24"/>
          <w:lang w:val="fr-FR"/>
        </w:rPr>
        <w:t xml:space="preserve">DTC-HepB-Hib : intramusculaire </w:t>
      </w:r>
      <w:r w:rsidR="00F0498C">
        <w:rPr>
          <w:rFonts w:ascii="Times New Roman" w:hAnsi="Times New Roman"/>
          <w:sz w:val="24"/>
          <w:szCs w:val="24"/>
          <w:lang w:val="fr-FR"/>
        </w:rPr>
        <w:t>tiers moyen externe</w:t>
      </w:r>
      <w:r w:rsidR="00C77C14" w:rsidRPr="00633E26">
        <w:rPr>
          <w:rFonts w:ascii="Times New Roman" w:hAnsi="Times New Roman"/>
          <w:sz w:val="24"/>
          <w:szCs w:val="24"/>
          <w:lang w:val="fr-FR"/>
        </w:rPr>
        <w:t xml:space="preserve"> de la cuisse</w:t>
      </w:r>
    </w:p>
    <w:p w:rsidR="00214685" w:rsidRDefault="00FA0FAD" w:rsidP="00633E26">
      <w:pPr>
        <w:pStyle w:val="Listecouleur-Accent11"/>
        <w:numPr>
          <w:ilvl w:val="0"/>
          <w:numId w:val="27"/>
        </w:numPr>
        <w:spacing w:after="0" w:line="240" w:lineRule="auto"/>
        <w:ind w:right="115"/>
        <w:jc w:val="both"/>
        <w:divId w:val="410156154"/>
        <w:rPr>
          <w:rFonts w:ascii="Times New Roman" w:hAnsi="Times New Roman"/>
          <w:sz w:val="24"/>
          <w:szCs w:val="24"/>
          <w:lang w:val="fr-FR"/>
        </w:rPr>
      </w:pPr>
      <w:r w:rsidRPr="00633E26">
        <w:rPr>
          <w:rFonts w:ascii="Times New Roman" w:hAnsi="Times New Roman"/>
          <w:sz w:val="24"/>
          <w:szCs w:val="24"/>
          <w:lang w:val="fr-FR"/>
        </w:rPr>
        <w:t>RR</w:t>
      </w:r>
      <w:r w:rsidR="00214685" w:rsidRPr="00633E26">
        <w:rPr>
          <w:rFonts w:ascii="Times New Roman" w:hAnsi="Times New Roman"/>
          <w:sz w:val="24"/>
          <w:szCs w:val="24"/>
          <w:lang w:val="fr-FR"/>
        </w:rPr>
        <w:t xml:space="preserve"> : sous- cutané </w:t>
      </w:r>
      <w:r w:rsidR="00633E26">
        <w:rPr>
          <w:rFonts w:ascii="Times New Roman" w:hAnsi="Times New Roman"/>
          <w:sz w:val="24"/>
          <w:szCs w:val="24"/>
          <w:lang w:val="fr-FR"/>
        </w:rPr>
        <w:t>partie supérieure du bras</w:t>
      </w:r>
    </w:p>
    <w:p w:rsidR="00214685" w:rsidRPr="00633E26" w:rsidRDefault="00214685" w:rsidP="00633E26">
      <w:pPr>
        <w:pStyle w:val="Listecouleur-Accent11"/>
        <w:numPr>
          <w:ilvl w:val="0"/>
          <w:numId w:val="27"/>
        </w:numPr>
        <w:spacing w:after="0" w:line="240" w:lineRule="auto"/>
        <w:ind w:right="235"/>
        <w:jc w:val="both"/>
        <w:divId w:val="410156154"/>
        <w:rPr>
          <w:rFonts w:ascii="Times New Roman" w:hAnsi="Times New Roman"/>
          <w:sz w:val="24"/>
          <w:szCs w:val="24"/>
          <w:lang w:val="fr-FR"/>
        </w:rPr>
      </w:pPr>
      <w:r w:rsidRPr="00633E26">
        <w:rPr>
          <w:rFonts w:ascii="Times New Roman" w:hAnsi="Times New Roman"/>
          <w:sz w:val="24"/>
          <w:szCs w:val="24"/>
          <w:lang w:val="fr-FR"/>
        </w:rPr>
        <w:t xml:space="preserve">VAA : sous- cutané </w:t>
      </w:r>
      <w:r w:rsidR="00633E26">
        <w:rPr>
          <w:rFonts w:ascii="Times New Roman" w:hAnsi="Times New Roman"/>
          <w:sz w:val="24"/>
          <w:szCs w:val="24"/>
          <w:lang w:val="fr-FR"/>
        </w:rPr>
        <w:t>partie supérieure du bras</w:t>
      </w:r>
    </w:p>
    <w:p w:rsidR="00214685" w:rsidRPr="00FA0FAD" w:rsidRDefault="00214685" w:rsidP="00F0498C">
      <w:pPr>
        <w:pStyle w:val="Listecouleur-Accent11"/>
        <w:numPr>
          <w:ilvl w:val="0"/>
          <w:numId w:val="27"/>
        </w:numPr>
        <w:spacing w:after="0" w:line="240" w:lineRule="auto"/>
        <w:ind w:right="115"/>
        <w:jc w:val="both"/>
        <w:divId w:val="410156154"/>
        <w:rPr>
          <w:rFonts w:ascii="Times New Roman" w:hAnsi="Times New Roman"/>
          <w:sz w:val="24"/>
          <w:szCs w:val="24"/>
          <w:lang w:val="fr-FR"/>
        </w:rPr>
      </w:pPr>
      <w:r w:rsidRPr="00FA0FAD">
        <w:rPr>
          <w:rFonts w:ascii="Times New Roman" w:hAnsi="Times New Roman"/>
          <w:sz w:val="24"/>
          <w:szCs w:val="24"/>
          <w:lang w:val="fr-FR"/>
        </w:rPr>
        <w:t xml:space="preserve">PCV 13 : intramusculaire </w:t>
      </w:r>
      <w:r w:rsidR="00F0498C">
        <w:rPr>
          <w:rFonts w:ascii="Times New Roman" w:hAnsi="Times New Roman"/>
          <w:sz w:val="24"/>
          <w:szCs w:val="24"/>
          <w:lang w:val="fr-FR"/>
        </w:rPr>
        <w:t>tiers moyen</w:t>
      </w:r>
      <w:r w:rsidR="006B1F27">
        <w:rPr>
          <w:rFonts w:ascii="Times New Roman" w:hAnsi="Times New Roman"/>
          <w:sz w:val="24"/>
          <w:szCs w:val="24"/>
          <w:lang w:val="fr-FR"/>
        </w:rPr>
        <w:t xml:space="preserve"> </w:t>
      </w:r>
      <w:r w:rsidR="00FA0FAD" w:rsidRPr="00FA0FAD">
        <w:rPr>
          <w:rFonts w:ascii="Times New Roman" w:hAnsi="Times New Roman"/>
          <w:sz w:val="24"/>
          <w:szCs w:val="24"/>
          <w:lang w:val="fr-FR"/>
        </w:rPr>
        <w:t>de la cuisse</w:t>
      </w:r>
      <w:r w:rsidRPr="00FA0FAD">
        <w:rPr>
          <w:rFonts w:ascii="Times New Roman" w:hAnsi="Times New Roman"/>
          <w:sz w:val="24"/>
          <w:szCs w:val="24"/>
          <w:lang w:val="fr-FR"/>
        </w:rPr>
        <w:t>,</w:t>
      </w:r>
    </w:p>
    <w:p w:rsidR="00214685" w:rsidRPr="00C77C14" w:rsidRDefault="00214685" w:rsidP="00F0498C">
      <w:pPr>
        <w:pStyle w:val="Listecouleur-Accent11"/>
        <w:numPr>
          <w:ilvl w:val="0"/>
          <w:numId w:val="27"/>
        </w:numPr>
        <w:spacing w:after="0" w:line="240" w:lineRule="auto"/>
        <w:ind w:right="115"/>
        <w:jc w:val="both"/>
        <w:divId w:val="410156154"/>
        <w:rPr>
          <w:rFonts w:ascii="Times New Roman" w:hAnsi="Times New Roman"/>
          <w:sz w:val="24"/>
          <w:szCs w:val="24"/>
          <w:lang w:val="fr-FR"/>
        </w:rPr>
      </w:pPr>
      <w:r w:rsidRPr="00C77C14">
        <w:rPr>
          <w:rFonts w:ascii="Times New Roman" w:hAnsi="Times New Roman"/>
          <w:sz w:val="24"/>
          <w:szCs w:val="24"/>
          <w:lang w:val="fr-FR"/>
        </w:rPr>
        <w:t xml:space="preserve">VPI : intramusculaire </w:t>
      </w:r>
      <w:r w:rsidR="00F0498C">
        <w:rPr>
          <w:rFonts w:ascii="Times New Roman" w:hAnsi="Times New Roman"/>
          <w:sz w:val="24"/>
          <w:szCs w:val="24"/>
          <w:lang w:val="fr-FR"/>
        </w:rPr>
        <w:t>tiers moyen externe de la</w:t>
      </w:r>
      <w:r w:rsidRPr="00C77C14">
        <w:rPr>
          <w:rFonts w:ascii="Times New Roman" w:hAnsi="Times New Roman"/>
          <w:sz w:val="24"/>
          <w:szCs w:val="24"/>
          <w:lang w:val="fr-FR"/>
        </w:rPr>
        <w:t xml:space="preserve"> cuisse à au moins deux centimètres par rapport à celui du Penta3.</w:t>
      </w:r>
    </w:p>
    <w:p w:rsidR="00214685" w:rsidRDefault="00214685" w:rsidP="00FD4940">
      <w:pPr>
        <w:pStyle w:val="Listecouleur-Accent11"/>
        <w:spacing w:after="0" w:line="240" w:lineRule="auto"/>
        <w:ind w:left="0" w:right="115"/>
        <w:jc w:val="both"/>
        <w:divId w:val="410156154"/>
        <w:rPr>
          <w:rFonts w:ascii="Arial" w:hAnsi="Arial" w:cs="Arial"/>
          <w:lang w:val="fr-FR"/>
        </w:rPr>
      </w:pPr>
    </w:p>
    <w:p w:rsidR="00515293" w:rsidRDefault="00515293" w:rsidP="00C369C9">
      <w:pPr>
        <w:pStyle w:val="Paragraphedeliste"/>
        <w:numPr>
          <w:ilvl w:val="0"/>
          <w:numId w:val="12"/>
        </w:numPr>
        <w:spacing w:after="0" w:line="240" w:lineRule="auto"/>
        <w:ind w:left="720" w:right="115"/>
        <w:jc w:val="both"/>
        <w:divId w:val="410156154"/>
        <w:rPr>
          <w:rFonts w:asciiTheme="minorHAnsi" w:hAnsiTheme="minorHAnsi"/>
          <w:highlight w:val="cyan"/>
          <w:lang w:val="fr-FR"/>
        </w:rPr>
      </w:pPr>
      <w:r w:rsidRPr="00214685">
        <w:rPr>
          <w:rFonts w:asciiTheme="minorHAnsi" w:hAnsiTheme="minorHAnsi"/>
          <w:highlight w:val="cyan"/>
          <w:lang w:val="fr-FR"/>
        </w:rPr>
        <w:t xml:space="preserve">Décrire tout type de prestation intégrée d’autres interventions de santé </w:t>
      </w:r>
      <w:r w:rsidR="00155BAF" w:rsidRPr="00214685">
        <w:rPr>
          <w:rFonts w:asciiTheme="minorHAnsi" w:hAnsiTheme="minorHAnsi"/>
          <w:highlight w:val="cyan"/>
          <w:lang w:val="fr-FR"/>
        </w:rPr>
        <w:t xml:space="preserve">qui serait </w:t>
      </w:r>
      <w:r w:rsidRPr="00214685">
        <w:rPr>
          <w:rFonts w:asciiTheme="minorHAnsi" w:hAnsiTheme="minorHAnsi"/>
          <w:highlight w:val="cyan"/>
          <w:lang w:val="fr-FR"/>
        </w:rPr>
        <w:t xml:space="preserve">planifiée.   </w:t>
      </w:r>
    </w:p>
    <w:p w:rsidR="00536131" w:rsidRPr="00214685" w:rsidRDefault="00536131" w:rsidP="00536131">
      <w:pPr>
        <w:pStyle w:val="Paragraphedeliste"/>
        <w:spacing w:after="0" w:line="240" w:lineRule="auto"/>
        <w:ind w:right="115"/>
        <w:jc w:val="both"/>
        <w:divId w:val="410156154"/>
        <w:rPr>
          <w:rFonts w:asciiTheme="minorHAnsi" w:hAnsiTheme="minorHAnsi"/>
          <w:highlight w:val="cyan"/>
          <w:lang w:val="fr-FR"/>
        </w:rPr>
      </w:pPr>
    </w:p>
    <w:p w:rsidR="00A37B85" w:rsidRPr="00A37B85" w:rsidRDefault="00214685" w:rsidP="00FD4940">
      <w:pPr>
        <w:pStyle w:val="Listecouleur-Accent11"/>
        <w:spacing w:after="0" w:line="240" w:lineRule="auto"/>
        <w:ind w:left="0" w:right="115"/>
        <w:jc w:val="both"/>
        <w:divId w:val="410156154"/>
        <w:rPr>
          <w:rFonts w:ascii="Times New Roman" w:hAnsi="Times New Roman"/>
          <w:sz w:val="24"/>
          <w:szCs w:val="24"/>
          <w:lang w:val="fr-FR"/>
        </w:rPr>
      </w:pPr>
      <w:r w:rsidRPr="00A37B85">
        <w:rPr>
          <w:rFonts w:ascii="Times New Roman" w:hAnsi="Times New Roman"/>
          <w:sz w:val="24"/>
          <w:szCs w:val="24"/>
          <w:lang w:val="fr-FR"/>
        </w:rPr>
        <w:t xml:space="preserve">Le VPI sera administré en vaccination de routine. </w:t>
      </w:r>
      <w:r w:rsidR="00A37B85" w:rsidRPr="00A37B85">
        <w:rPr>
          <w:rFonts w:ascii="Times New Roman" w:hAnsi="Times New Roman"/>
          <w:sz w:val="24"/>
          <w:szCs w:val="24"/>
          <w:lang w:val="fr-FR"/>
        </w:rPr>
        <w:t>En rappel, le VPI sera administré en dose unique à la 16</w:t>
      </w:r>
      <w:r w:rsidR="00A37B85" w:rsidRPr="00A37B85">
        <w:rPr>
          <w:rFonts w:ascii="Times New Roman" w:hAnsi="Times New Roman"/>
          <w:sz w:val="24"/>
          <w:szCs w:val="24"/>
          <w:vertAlign w:val="superscript"/>
          <w:lang w:val="fr-FR"/>
        </w:rPr>
        <w:t>ème</w:t>
      </w:r>
      <w:r w:rsidR="00A37B85" w:rsidRPr="00A37B85">
        <w:rPr>
          <w:rFonts w:ascii="Times New Roman" w:hAnsi="Times New Roman"/>
          <w:sz w:val="24"/>
          <w:szCs w:val="24"/>
          <w:lang w:val="fr-FR"/>
        </w:rPr>
        <w:t xml:space="preserve"> semaine chez les enfants de 0-11mois. </w:t>
      </w:r>
    </w:p>
    <w:p w:rsidR="00A37B85" w:rsidRDefault="00A37B85" w:rsidP="00FA0FAD">
      <w:pPr>
        <w:pStyle w:val="Listecouleur-Accent11"/>
        <w:spacing w:after="0" w:line="240" w:lineRule="auto"/>
        <w:ind w:left="0" w:right="115"/>
        <w:jc w:val="both"/>
        <w:divId w:val="410156154"/>
        <w:rPr>
          <w:rFonts w:ascii="Times New Roman" w:hAnsi="Times New Roman"/>
          <w:sz w:val="24"/>
          <w:szCs w:val="24"/>
          <w:lang w:val="fr-FR"/>
        </w:rPr>
      </w:pPr>
      <w:r w:rsidRPr="00A37B85">
        <w:rPr>
          <w:rFonts w:ascii="Times New Roman" w:hAnsi="Times New Roman"/>
          <w:sz w:val="24"/>
          <w:szCs w:val="24"/>
          <w:lang w:val="fr-FR"/>
        </w:rPr>
        <w:t>Cette cible bénéficie</w:t>
      </w:r>
      <w:r w:rsidR="0024069A">
        <w:rPr>
          <w:rFonts w:ascii="Times New Roman" w:hAnsi="Times New Roman"/>
          <w:sz w:val="24"/>
          <w:szCs w:val="24"/>
          <w:lang w:val="fr-FR"/>
        </w:rPr>
        <w:t>ra</w:t>
      </w:r>
      <w:r w:rsidRPr="00A37B85">
        <w:rPr>
          <w:rFonts w:ascii="Times New Roman" w:hAnsi="Times New Roman"/>
          <w:sz w:val="24"/>
          <w:szCs w:val="24"/>
          <w:lang w:val="fr-FR"/>
        </w:rPr>
        <w:t xml:space="preserve"> d’une supplémentation en vitamine A à partir de 6 mois. </w:t>
      </w:r>
    </w:p>
    <w:p w:rsidR="00FD4940" w:rsidRPr="00A37B85" w:rsidRDefault="00FD4940" w:rsidP="00FD4940">
      <w:pPr>
        <w:pStyle w:val="Listecouleur-Accent11"/>
        <w:spacing w:after="0" w:line="240" w:lineRule="auto"/>
        <w:ind w:left="0" w:right="115"/>
        <w:jc w:val="both"/>
        <w:divId w:val="410156154"/>
        <w:rPr>
          <w:rFonts w:ascii="Times New Roman" w:hAnsi="Times New Roman"/>
          <w:sz w:val="24"/>
          <w:szCs w:val="24"/>
          <w:lang w:val="fr-FR"/>
        </w:rPr>
      </w:pPr>
    </w:p>
    <w:p w:rsidR="00375019" w:rsidRDefault="00515293" w:rsidP="00FD4940">
      <w:pPr>
        <w:jc w:val="both"/>
        <w:divId w:val="410156154"/>
        <w:rPr>
          <w:rFonts w:asciiTheme="minorHAnsi" w:hAnsiTheme="minorHAnsi"/>
          <w:bCs/>
          <w:color w:val="1F497D" w:themeColor="text2"/>
          <w:lang w:val="fr-FR"/>
        </w:rPr>
      </w:pPr>
      <w:r w:rsidRPr="00C369C9">
        <w:rPr>
          <w:rFonts w:asciiTheme="minorHAnsi" w:hAnsiTheme="minorHAnsi"/>
          <w:bCs/>
          <w:color w:val="1F497D" w:themeColor="text2"/>
          <w:lang w:val="fr-FR"/>
        </w:rPr>
        <w:t xml:space="preserve">3.2  Mécanisme de coordination national pour faciliter l’introduction du vaccin  </w:t>
      </w:r>
    </w:p>
    <w:p w:rsidR="000A2CB6" w:rsidRPr="00C369C9" w:rsidRDefault="000A2CB6" w:rsidP="00FD4940">
      <w:pPr>
        <w:jc w:val="both"/>
        <w:divId w:val="410156154"/>
        <w:rPr>
          <w:rFonts w:asciiTheme="minorHAnsi" w:hAnsiTheme="minorHAnsi"/>
          <w:bCs/>
          <w:color w:val="1F497D" w:themeColor="text2"/>
          <w:lang w:val="fr-FR"/>
        </w:rPr>
      </w:pPr>
    </w:p>
    <w:p w:rsidR="00375019" w:rsidRDefault="00515293" w:rsidP="00C369C9">
      <w:pPr>
        <w:pStyle w:val="Paragraphedeliste"/>
        <w:numPr>
          <w:ilvl w:val="0"/>
          <w:numId w:val="13"/>
        </w:numPr>
        <w:spacing w:after="0" w:line="240" w:lineRule="auto"/>
        <w:ind w:left="720" w:right="115"/>
        <w:jc w:val="both"/>
        <w:divId w:val="410156154"/>
        <w:rPr>
          <w:rFonts w:asciiTheme="minorHAnsi" w:hAnsiTheme="minorHAnsi"/>
          <w:highlight w:val="cyan"/>
          <w:lang w:val="fr-FR"/>
        </w:rPr>
      </w:pPr>
      <w:r w:rsidRPr="00375019">
        <w:rPr>
          <w:rFonts w:asciiTheme="minorHAnsi" w:hAnsiTheme="minorHAnsi"/>
          <w:highlight w:val="cyan"/>
          <w:lang w:val="fr-FR"/>
        </w:rPr>
        <w:t xml:space="preserve">Résumer le calendrier d’introduction du VPI, tel que présenté à l’annexe C.  </w:t>
      </w:r>
    </w:p>
    <w:p w:rsidR="00536131" w:rsidRPr="00375019" w:rsidRDefault="00536131" w:rsidP="00536131">
      <w:pPr>
        <w:pStyle w:val="Paragraphedeliste"/>
        <w:spacing w:after="0" w:line="240" w:lineRule="auto"/>
        <w:ind w:right="115"/>
        <w:jc w:val="both"/>
        <w:divId w:val="410156154"/>
        <w:rPr>
          <w:rFonts w:asciiTheme="minorHAnsi" w:hAnsiTheme="minorHAnsi"/>
          <w:highlight w:val="cyan"/>
          <w:lang w:val="fr-FR"/>
        </w:rPr>
      </w:pPr>
    </w:p>
    <w:p w:rsidR="009E3F39" w:rsidRPr="009E3F39" w:rsidRDefault="00375019" w:rsidP="00FD4940">
      <w:pPr>
        <w:pStyle w:val="Listecouleur-Accent11"/>
        <w:spacing w:after="0" w:line="240" w:lineRule="auto"/>
        <w:ind w:left="120" w:right="235"/>
        <w:jc w:val="both"/>
        <w:divId w:val="410156154"/>
        <w:rPr>
          <w:rFonts w:ascii="Times New Roman" w:hAnsi="Times New Roman"/>
          <w:sz w:val="24"/>
          <w:szCs w:val="24"/>
          <w:lang w:val="fr-FR"/>
        </w:rPr>
      </w:pPr>
      <w:r w:rsidRPr="009E3F39">
        <w:rPr>
          <w:rFonts w:ascii="Times New Roman" w:hAnsi="Times New Roman"/>
          <w:sz w:val="24"/>
          <w:szCs w:val="24"/>
          <w:lang w:val="fr-FR"/>
        </w:rPr>
        <w:t xml:space="preserve">Les principales étapes du calendrier d’introduction du VPI se présentent comme suit : </w:t>
      </w:r>
    </w:p>
    <w:p w:rsidR="008C35C1" w:rsidRPr="009E3F39" w:rsidRDefault="008C35C1" w:rsidP="003046BF">
      <w:pPr>
        <w:pStyle w:val="Listecouleur-Accent11"/>
        <w:numPr>
          <w:ilvl w:val="0"/>
          <w:numId w:val="64"/>
        </w:numPr>
        <w:spacing w:after="0" w:line="240" w:lineRule="auto"/>
        <w:ind w:right="235"/>
        <w:jc w:val="both"/>
        <w:divId w:val="410156154"/>
        <w:rPr>
          <w:rFonts w:ascii="Times New Roman" w:hAnsi="Times New Roman"/>
          <w:sz w:val="24"/>
          <w:szCs w:val="24"/>
          <w:lang w:val="fr-FR"/>
        </w:rPr>
      </w:pPr>
      <w:r w:rsidRPr="009E3F39">
        <w:rPr>
          <w:rFonts w:ascii="Times New Roman" w:hAnsi="Times New Roman"/>
          <w:sz w:val="24"/>
          <w:szCs w:val="24"/>
          <w:lang w:val="fr-FR"/>
        </w:rPr>
        <w:t>Le plan d’introduction du VPI assorti d’un budget est élaboré par un groupe de travail et validé lors d’un atelier par l’ensemble des acteurs impliqués dans le processus.</w:t>
      </w:r>
    </w:p>
    <w:p w:rsidR="008C35C1" w:rsidRPr="006B1F27" w:rsidRDefault="008C35C1" w:rsidP="003046BF">
      <w:pPr>
        <w:pStyle w:val="Paragraphedeliste"/>
        <w:numPr>
          <w:ilvl w:val="0"/>
          <w:numId w:val="64"/>
        </w:numPr>
        <w:spacing w:before="120" w:after="120"/>
        <w:ind w:right="355"/>
        <w:jc w:val="both"/>
        <w:divId w:val="410156154"/>
        <w:rPr>
          <w:rFonts w:ascii="Times New Roman" w:hAnsi="Times New Roman"/>
          <w:sz w:val="24"/>
          <w:szCs w:val="24"/>
          <w:lang w:val="fr-FR"/>
        </w:rPr>
      </w:pPr>
      <w:r w:rsidRPr="006B1F27">
        <w:rPr>
          <w:rFonts w:ascii="Times New Roman" w:hAnsi="Times New Roman"/>
          <w:sz w:val="24"/>
          <w:szCs w:val="24"/>
          <w:lang w:val="fr-FR"/>
        </w:rPr>
        <w:t>Le document est soumis ensuite à la réunion du CCIA présidée par le ministre de la santé  pour approbation.</w:t>
      </w:r>
    </w:p>
    <w:p w:rsidR="00375019" w:rsidRPr="008C35C1" w:rsidRDefault="00375019" w:rsidP="003046BF">
      <w:pPr>
        <w:pStyle w:val="Listecouleur-Accent11"/>
        <w:numPr>
          <w:ilvl w:val="0"/>
          <w:numId w:val="64"/>
        </w:numPr>
        <w:spacing w:after="0" w:line="240" w:lineRule="auto"/>
        <w:ind w:right="115"/>
        <w:jc w:val="both"/>
        <w:divId w:val="410156154"/>
        <w:rPr>
          <w:rFonts w:ascii="Times New Roman" w:hAnsi="Times New Roman"/>
          <w:sz w:val="24"/>
          <w:szCs w:val="24"/>
          <w:lang w:val="fr-FR"/>
        </w:rPr>
      </w:pPr>
      <w:r w:rsidRPr="009E3F39">
        <w:rPr>
          <w:rFonts w:ascii="Times New Roman" w:hAnsi="Times New Roman"/>
          <w:sz w:val="24"/>
          <w:szCs w:val="24"/>
          <w:lang w:val="fr-FR"/>
        </w:rPr>
        <w:t>Les directives, procédures, fiches techniques, supports d’information du PEV ainsi</w:t>
      </w:r>
      <w:r w:rsidRPr="008C35C1">
        <w:rPr>
          <w:rFonts w:ascii="Times New Roman" w:hAnsi="Times New Roman"/>
          <w:sz w:val="24"/>
          <w:szCs w:val="24"/>
          <w:lang w:val="fr-FR"/>
        </w:rPr>
        <w:t xml:space="preserve"> que les matériels de communication  révisés. </w:t>
      </w:r>
    </w:p>
    <w:p w:rsidR="00375019" w:rsidRPr="008C35C1" w:rsidRDefault="00375019" w:rsidP="003046BF">
      <w:pPr>
        <w:pStyle w:val="Listecouleur-Accent11"/>
        <w:numPr>
          <w:ilvl w:val="0"/>
          <w:numId w:val="64"/>
        </w:numPr>
        <w:spacing w:after="0" w:line="240" w:lineRule="auto"/>
        <w:ind w:right="115"/>
        <w:jc w:val="both"/>
        <w:divId w:val="410156154"/>
        <w:rPr>
          <w:rFonts w:ascii="Times New Roman" w:hAnsi="Times New Roman"/>
          <w:sz w:val="24"/>
          <w:szCs w:val="24"/>
          <w:lang w:val="fr-FR"/>
        </w:rPr>
      </w:pPr>
      <w:r w:rsidRPr="008C35C1">
        <w:rPr>
          <w:rFonts w:ascii="Times New Roman" w:hAnsi="Times New Roman"/>
          <w:sz w:val="24"/>
          <w:szCs w:val="24"/>
          <w:lang w:val="fr-FR"/>
        </w:rPr>
        <w:t>Un plan d’’approvisionnement, de distribution des vaccins et intrants spécifiques sera élaboré et mis en œuvre. Il en sera de même pour le renforcement de la chaîne de froid.</w:t>
      </w:r>
    </w:p>
    <w:p w:rsidR="00375019" w:rsidRPr="008C35C1" w:rsidRDefault="00375019" w:rsidP="003046BF">
      <w:pPr>
        <w:pStyle w:val="Listecouleur-Accent11"/>
        <w:numPr>
          <w:ilvl w:val="0"/>
          <w:numId w:val="64"/>
        </w:numPr>
        <w:spacing w:after="0" w:line="240" w:lineRule="auto"/>
        <w:ind w:right="115"/>
        <w:jc w:val="both"/>
        <w:divId w:val="410156154"/>
        <w:rPr>
          <w:rFonts w:ascii="Times New Roman" w:hAnsi="Times New Roman"/>
          <w:sz w:val="24"/>
          <w:szCs w:val="24"/>
          <w:lang w:val="fr-FR"/>
        </w:rPr>
      </w:pPr>
      <w:r w:rsidRPr="008C35C1">
        <w:rPr>
          <w:rFonts w:ascii="Times New Roman" w:hAnsi="Times New Roman"/>
          <w:sz w:val="24"/>
          <w:szCs w:val="24"/>
          <w:lang w:val="fr-FR"/>
        </w:rPr>
        <w:t>Les formations du personnel de tous les niveaux de la pyramide sanitaire seront organisées en cascade conformément au plan préalablement élaboré avant la distribution du VPI au niveau des districts sanitaires.</w:t>
      </w:r>
    </w:p>
    <w:p w:rsidR="00375019" w:rsidRPr="008C35C1" w:rsidRDefault="00375019" w:rsidP="003046BF">
      <w:pPr>
        <w:pStyle w:val="Listecouleur-Accent11"/>
        <w:numPr>
          <w:ilvl w:val="0"/>
          <w:numId w:val="64"/>
        </w:numPr>
        <w:spacing w:after="0" w:line="240" w:lineRule="auto"/>
        <w:ind w:right="115"/>
        <w:jc w:val="both"/>
        <w:divId w:val="410156154"/>
        <w:rPr>
          <w:rFonts w:ascii="Times New Roman" w:hAnsi="Times New Roman"/>
          <w:sz w:val="24"/>
          <w:szCs w:val="24"/>
          <w:lang w:val="fr-FR"/>
        </w:rPr>
      </w:pPr>
      <w:r w:rsidRPr="008C35C1">
        <w:rPr>
          <w:rFonts w:ascii="Times New Roman" w:hAnsi="Times New Roman"/>
          <w:sz w:val="24"/>
          <w:szCs w:val="24"/>
          <w:lang w:val="fr-FR"/>
        </w:rPr>
        <w:t xml:space="preserve">Les cérémonies de lancement officielles de l’introduction du VPI vont être organisées à tous les niveaux, national, régional et district. </w:t>
      </w:r>
    </w:p>
    <w:p w:rsidR="00375019" w:rsidRPr="008C35C1" w:rsidRDefault="00375019" w:rsidP="003046BF">
      <w:pPr>
        <w:pStyle w:val="Listecouleur-Accent11"/>
        <w:numPr>
          <w:ilvl w:val="0"/>
          <w:numId w:val="64"/>
        </w:numPr>
        <w:spacing w:after="0" w:line="240" w:lineRule="auto"/>
        <w:ind w:right="115"/>
        <w:jc w:val="both"/>
        <w:divId w:val="410156154"/>
        <w:rPr>
          <w:rFonts w:ascii="Times New Roman" w:hAnsi="Times New Roman"/>
          <w:sz w:val="24"/>
          <w:szCs w:val="24"/>
          <w:lang w:val="fr-FR"/>
        </w:rPr>
      </w:pPr>
      <w:r w:rsidRPr="008C35C1">
        <w:rPr>
          <w:rFonts w:ascii="Times New Roman" w:hAnsi="Times New Roman"/>
          <w:sz w:val="24"/>
          <w:szCs w:val="24"/>
          <w:lang w:val="fr-FR"/>
        </w:rPr>
        <w:t xml:space="preserve">Le suivi de la mise en œuvre des activités se fera à travers les supervisions formatives avant et après l’introduction. </w:t>
      </w:r>
    </w:p>
    <w:p w:rsidR="00375019" w:rsidRPr="008C35C1" w:rsidRDefault="00375019" w:rsidP="003046BF">
      <w:pPr>
        <w:pStyle w:val="Listecouleur-Accent11"/>
        <w:numPr>
          <w:ilvl w:val="0"/>
          <w:numId w:val="64"/>
        </w:numPr>
        <w:spacing w:after="0" w:line="240" w:lineRule="auto"/>
        <w:ind w:right="115"/>
        <w:jc w:val="both"/>
        <w:divId w:val="410156154"/>
        <w:rPr>
          <w:rFonts w:ascii="Times New Roman" w:hAnsi="Times New Roman"/>
          <w:sz w:val="24"/>
          <w:szCs w:val="24"/>
          <w:lang w:val="fr-FR"/>
        </w:rPr>
      </w:pPr>
      <w:r w:rsidRPr="008C35C1">
        <w:rPr>
          <w:rFonts w:ascii="Times New Roman" w:hAnsi="Times New Roman"/>
          <w:sz w:val="24"/>
          <w:szCs w:val="24"/>
          <w:lang w:val="fr-FR"/>
        </w:rPr>
        <w:t>Le système de notification et de prise en charge des cas de MAPI sera renforcé à tous les niveaux.</w:t>
      </w:r>
    </w:p>
    <w:p w:rsidR="00375019" w:rsidRPr="008C35C1" w:rsidRDefault="00375019" w:rsidP="003046BF">
      <w:pPr>
        <w:pStyle w:val="Listecouleur-Accent11"/>
        <w:numPr>
          <w:ilvl w:val="0"/>
          <w:numId w:val="64"/>
        </w:numPr>
        <w:spacing w:after="0" w:line="240" w:lineRule="auto"/>
        <w:ind w:right="115"/>
        <w:jc w:val="both"/>
        <w:divId w:val="410156154"/>
        <w:rPr>
          <w:rFonts w:ascii="Times New Roman" w:hAnsi="Times New Roman"/>
          <w:sz w:val="24"/>
          <w:szCs w:val="24"/>
          <w:lang w:val="fr-FR"/>
        </w:rPr>
      </w:pPr>
      <w:r w:rsidRPr="008C35C1">
        <w:rPr>
          <w:rFonts w:ascii="Times New Roman" w:hAnsi="Times New Roman"/>
          <w:sz w:val="24"/>
          <w:szCs w:val="24"/>
          <w:lang w:val="fr-FR"/>
        </w:rPr>
        <w:lastRenderedPageBreak/>
        <w:t>La gestion des données de vaccination sera intégrée au système d’enregistrement, de collecte et de diffusion en cours.</w:t>
      </w:r>
    </w:p>
    <w:p w:rsidR="008C35C1" w:rsidRPr="0024069A" w:rsidRDefault="00375019" w:rsidP="003046BF">
      <w:pPr>
        <w:pStyle w:val="Paragraphedeliste"/>
        <w:numPr>
          <w:ilvl w:val="0"/>
          <w:numId w:val="64"/>
        </w:numPr>
        <w:spacing w:before="120" w:after="120"/>
        <w:ind w:right="595"/>
        <w:jc w:val="both"/>
        <w:divId w:val="410156154"/>
        <w:rPr>
          <w:rFonts w:ascii="Times New Roman" w:hAnsi="Times New Roman"/>
          <w:sz w:val="24"/>
          <w:lang w:val="fr-FR"/>
        </w:rPr>
      </w:pPr>
      <w:r w:rsidRPr="0024069A">
        <w:rPr>
          <w:rFonts w:ascii="Times New Roman" w:hAnsi="Times New Roman"/>
          <w:sz w:val="24"/>
          <w:lang w:val="fr-FR"/>
        </w:rPr>
        <w:t>Un rapport final décrivant le processus de l’introduction du nouveau vaccin et les premiers résultats obtenus sera soumis à GAVI et à d’autres instances.</w:t>
      </w:r>
    </w:p>
    <w:p w:rsidR="008C35C1" w:rsidRPr="0024069A" w:rsidRDefault="008C35C1" w:rsidP="003046BF">
      <w:pPr>
        <w:pStyle w:val="Paragraphedeliste"/>
        <w:numPr>
          <w:ilvl w:val="0"/>
          <w:numId w:val="64"/>
        </w:numPr>
        <w:spacing w:before="120" w:after="120"/>
        <w:ind w:right="595"/>
        <w:jc w:val="both"/>
        <w:divId w:val="410156154"/>
        <w:rPr>
          <w:rFonts w:ascii="Times New Roman" w:hAnsi="Times New Roman"/>
          <w:sz w:val="24"/>
          <w:lang w:val="fr-FR"/>
        </w:rPr>
      </w:pPr>
      <w:r w:rsidRPr="0024069A">
        <w:rPr>
          <w:rFonts w:ascii="Times New Roman" w:hAnsi="Times New Roman"/>
          <w:sz w:val="24"/>
          <w:lang w:val="fr-FR"/>
        </w:rPr>
        <w:t>Une évaluation post- introduction du VPI est réalisée une année après.</w:t>
      </w:r>
    </w:p>
    <w:p w:rsidR="007B60C5" w:rsidRPr="008C35C1" w:rsidRDefault="007B60C5" w:rsidP="00FD4940">
      <w:pPr>
        <w:pStyle w:val="Listecouleur-Accent11"/>
        <w:spacing w:after="0" w:line="240" w:lineRule="auto"/>
        <w:ind w:left="0" w:right="235"/>
        <w:jc w:val="both"/>
        <w:divId w:val="410156154"/>
        <w:rPr>
          <w:rFonts w:ascii="Times New Roman" w:hAnsi="Times New Roman"/>
          <w:sz w:val="24"/>
          <w:szCs w:val="24"/>
          <w:lang w:val="fr-FR"/>
        </w:rPr>
      </w:pPr>
    </w:p>
    <w:p w:rsidR="00515293" w:rsidRDefault="00515293" w:rsidP="00C369C9">
      <w:pPr>
        <w:pStyle w:val="Paragraphedeliste"/>
        <w:numPr>
          <w:ilvl w:val="0"/>
          <w:numId w:val="13"/>
        </w:numPr>
        <w:spacing w:after="0" w:line="240" w:lineRule="auto"/>
        <w:ind w:left="720" w:right="115"/>
        <w:jc w:val="both"/>
        <w:divId w:val="410156154"/>
        <w:rPr>
          <w:rFonts w:asciiTheme="minorHAnsi" w:hAnsiTheme="minorHAnsi"/>
          <w:highlight w:val="cyan"/>
          <w:lang w:val="fr-FR"/>
        </w:rPr>
      </w:pPr>
      <w:r w:rsidRPr="00664E5D">
        <w:rPr>
          <w:rFonts w:asciiTheme="minorHAnsi" w:hAnsiTheme="minorHAnsi"/>
          <w:highlight w:val="cyan"/>
          <w:lang w:val="fr-FR"/>
        </w:rPr>
        <w:t xml:space="preserve">Décrire les organes de supervision de l’introduction du VPI au niveau national, y compris les comités de pilotage et/ou sous-comités chargés de superviser les diverses activités liées à l’introduction du vaccin.    </w:t>
      </w:r>
    </w:p>
    <w:p w:rsidR="00536131" w:rsidRPr="00664E5D" w:rsidRDefault="00536131" w:rsidP="00536131">
      <w:pPr>
        <w:pStyle w:val="Paragraphedeliste"/>
        <w:spacing w:after="0" w:line="240" w:lineRule="auto"/>
        <w:ind w:right="115"/>
        <w:jc w:val="both"/>
        <w:divId w:val="410156154"/>
        <w:rPr>
          <w:rFonts w:asciiTheme="minorHAnsi" w:hAnsiTheme="minorHAnsi"/>
          <w:highlight w:val="cyan"/>
          <w:lang w:val="fr-FR"/>
        </w:rPr>
      </w:pPr>
    </w:p>
    <w:p w:rsidR="00C655F0" w:rsidRPr="00690932" w:rsidRDefault="00664E5D" w:rsidP="00FD4940">
      <w:pPr>
        <w:jc w:val="both"/>
        <w:divId w:val="410156154"/>
        <w:rPr>
          <w:lang w:val="fr-FR"/>
        </w:rPr>
      </w:pPr>
      <w:r w:rsidRPr="00690932">
        <w:rPr>
          <w:lang w:val="fr-FR"/>
        </w:rPr>
        <w:t>Le processus d’introduction du VPI sera supervisé à tous les niveaux. Une supervision pré- et post- introduction seront conduites. Cette su</w:t>
      </w:r>
      <w:r w:rsidR="00C77C14">
        <w:rPr>
          <w:lang w:val="fr-FR"/>
        </w:rPr>
        <w:t>pervision se fera en cascade</w:t>
      </w:r>
      <w:r w:rsidRPr="00690932">
        <w:rPr>
          <w:lang w:val="fr-FR"/>
        </w:rPr>
        <w:t xml:space="preserve"> par le niveau central, régional et district. </w:t>
      </w:r>
      <w:r w:rsidR="00C655F0" w:rsidRPr="00690932">
        <w:rPr>
          <w:lang w:val="fr-FR"/>
        </w:rPr>
        <w:t>Après introduction du vaccin, le rythme des supervisions est planifié ainsi qu’il suit:</w:t>
      </w:r>
    </w:p>
    <w:p w:rsidR="00C655F0" w:rsidRPr="00690932" w:rsidRDefault="00C655F0" w:rsidP="003046BF">
      <w:pPr>
        <w:numPr>
          <w:ilvl w:val="0"/>
          <w:numId w:val="28"/>
        </w:numPr>
        <w:contextualSpacing/>
        <w:jc w:val="both"/>
        <w:divId w:val="410156154"/>
        <w:rPr>
          <w:lang w:val="fr-FR"/>
        </w:rPr>
      </w:pPr>
      <w:r w:rsidRPr="00690932">
        <w:rPr>
          <w:lang w:val="fr-FR"/>
        </w:rPr>
        <w:t>une fois par semestre pour le niveau central </w:t>
      </w:r>
    </w:p>
    <w:p w:rsidR="00C655F0" w:rsidRPr="00690932" w:rsidRDefault="00C655F0" w:rsidP="003046BF">
      <w:pPr>
        <w:numPr>
          <w:ilvl w:val="0"/>
          <w:numId w:val="28"/>
        </w:numPr>
        <w:contextualSpacing/>
        <w:jc w:val="both"/>
        <w:divId w:val="410156154"/>
        <w:rPr>
          <w:lang w:val="fr-FR"/>
        </w:rPr>
      </w:pPr>
      <w:r w:rsidRPr="00690932">
        <w:rPr>
          <w:lang w:val="fr-FR"/>
        </w:rPr>
        <w:t>une fois par trimestre pour les niveaux régional et district</w:t>
      </w:r>
      <w:r w:rsidR="00690932">
        <w:rPr>
          <w:lang w:val="fr-FR"/>
        </w:rPr>
        <w:t> </w:t>
      </w:r>
    </w:p>
    <w:p w:rsidR="00664E5D" w:rsidRPr="00690932" w:rsidRDefault="00664E5D" w:rsidP="00FD4940">
      <w:pPr>
        <w:pStyle w:val="Listecouleur-Accent11"/>
        <w:spacing w:after="0" w:line="240" w:lineRule="auto"/>
        <w:ind w:left="0"/>
        <w:jc w:val="both"/>
        <w:divId w:val="410156154"/>
        <w:rPr>
          <w:rFonts w:ascii="Times New Roman" w:hAnsi="Times New Roman"/>
          <w:sz w:val="24"/>
          <w:szCs w:val="24"/>
          <w:lang w:val="fr-FR"/>
        </w:rPr>
      </w:pPr>
    </w:p>
    <w:p w:rsidR="00A355DB" w:rsidRPr="00A355DB" w:rsidRDefault="00072861" w:rsidP="00C77C14">
      <w:pPr>
        <w:pStyle w:val="Listecouleur-Accent11"/>
        <w:spacing w:after="0" w:line="240" w:lineRule="auto"/>
        <w:ind w:left="0"/>
        <w:jc w:val="both"/>
        <w:divId w:val="410156154"/>
        <w:rPr>
          <w:rFonts w:ascii="Times New Roman" w:hAnsi="Times New Roman"/>
          <w:sz w:val="24"/>
          <w:szCs w:val="24"/>
          <w:lang w:val="fr-FR"/>
        </w:rPr>
      </w:pPr>
      <w:r w:rsidRPr="00A355DB">
        <w:rPr>
          <w:rFonts w:ascii="Times New Roman" w:hAnsi="Times New Roman"/>
          <w:sz w:val="24"/>
          <w:szCs w:val="24"/>
          <w:lang w:val="fr-FR"/>
        </w:rPr>
        <w:t xml:space="preserve">Pour </w:t>
      </w:r>
      <w:r w:rsidR="00DD78AD" w:rsidRPr="00A355DB">
        <w:rPr>
          <w:rFonts w:ascii="Times New Roman" w:hAnsi="Times New Roman"/>
          <w:sz w:val="24"/>
          <w:szCs w:val="24"/>
          <w:lang w:val="fr-FR"/>
        </w:rPr>
        <w:t>assurer la coordination d</w:t>
      </w:r>
      <w:r w:rsidRPr="00A355DB">
        <w:rPr>
          <w:rFonts w:ascii="Times New Roman" w:hAnsi="Times New Roman"/>
          <w:sz w:val="24"/>
          <w:szCs w:val="24"/>
          <w:lang w:val="fr-FR"/>
        </w:rPr>
        <w:t>es préparatifs</w:t>
      </w:r>
      <w:r w:rsidR="00DD78AD" w:rsidRPr="00A355DB">
        <w:rPr>
          <w:rFonts w:ascii="Times New Roman" w:hAnsi="Times New Roman"/>
          <w:sz w:val="24"/>
          <w:szCs w:val="24"/>
          <w:lang w:val="fr-FR"/>
        </w:rPr>
        <w:t xml:space="preserve">, </w:t>
      </w:r>
      <w:r w:rsidRPr="00A355DB">
        <w:rPr>
          <w:rFonts w:ascii="Times New Roman" w:hAnsi="Times New Roman"/>
          <w:sz w:val="24"/>
          <w:szCs w:val="24"/>
          <w:lang w:val="fr-FR"/>
        </w:rPr>
        <w:t xml:space="preserve">la mise en œuvre </w:t>
      </w:r>
      <w:r w:rsidR="00DD78AD" w:rsidRPr="00A355DB">
        <w:rPr>
          <w:rFonts w:ascii="Times New Roman" w:hAnsi="Times New Roman"/>
          <w:sz w:val="24"/>
          <w:szCs w:val="24"/>
          <w:lang w:val="fr-FR"/>
        </w:rPr>
        <w:t xml:space="preserve">et le suivi </w:t>
      </w:r>
      <w:r w:rsidRPr="00A355DB">
        <w:rPr>
          <w:rFonts w:ascii="Times New Roman" w:hAnsi="Times New Roman"/>
          <w:sz w:val="24"/>
          <w:szCs w:val="24"/>
          <w:lang w:val="fr-FR"/>
        </w:rPr>
        <w:t xml:space="preserve">de l’introduction du VPI, un comité national d’organisation </w:t>
      </w:r>
      <w:r w:rsidR="00DD78AD" w:rsidRPr="00A355DB">
        <w:rPr>
          <w:rFonts w:ascii="Times New Roman" w:hAnsi="Times New Roman"/>
          <w:sz w:val="24"/>
          <w:szCs w:val="24"/>
          <w:lang w:val="fr-FR"/>
        </w:rPr>
        <w:t>composé des représentants du Ministère de la santé,</w:t>
      </w:r>
      <w:r w:rsidR="00DD78AD" w:rsidRPr="00EC0239">
        <w:rPr>
          <w:rFonts w:ascii="Times New Roman" w:hAnsi="Times New Roman"/>
          <w:sz w:val="24"/>
          <w:szCs w:val="24"/>
          <w:lang w:val="fr-FR"/>
        </w:rPr>
        <w:t xml:space="preserve"> du Ministère de l’Economie et des Finances, du Ministère de l’Administration Territoriale et de la Sécurité, de l’OMS, de l’UNICEF et d’autres partenaires</w:t>
      </w:r>
      <w:r w:rsidR="00DD78AD" w:rsidRPr="00A355DB">
        <w:rPr>
          <w:rFonts w:ascii="Times New Roman" w:hAnsi="Times New Roman"/>
          <w:sz w:val="24"/>
          <w:szCs w:val="24"/>
          <w:lang w:val="fr-FR"/>
        </w:rPr>
        <w:t xml:space="preserve"> sera mis en place. Des commissions techniques en </w:t>
      </w:r>
      <w:r w:rsidR="00DD78AD" w:rsidRPr="00EC0239">
        <w:rPr>
          <w:rFonts w:ascii="Times New Roman" w:hAnsi="Times New Roman"/>
          <w:sz w:val="24"/>
          <w:szCs w:val="24"/>
          <w:lang w:val="fr-FR"/>
        </w:rPr>
        <w:t>charge des différents volets de l’introduction du vaccin VPI</w:t>
      </w:r>
      <w:r w:rsidR="00A355DB" w:rsidRPr="00A355DB">
        <w:rPr>
          <w:rFonts w:ascii="Times New Roman" w:hAnsi="Times New Roman"/>
          <w:sz w:val="24"/>
          <w:szCs w:val="24"/>
          <w:lang w:val="fr-FR"/>
        </w:rPr>
        <w:t xml:space="preserve"> s</w:t>
      </w:r>
      <w:r w:rsidR="00DD78AD" w:rsidRPr="00A355DB">
        <w:rPr>
          <w:rFonts w:ascii="Times New Roman" w:hAnsi="Times New Roman"/>
          <w:sz w:val="24"/>
          <w:szCs w:val="24"/>
          <w:lang w:val="fr-FR"/>
        </w:rPr>
        <w:t xml:space="preserve">ont </w:t>
      </w:r>
      <w:r w:rsidR="00DD78AD" w:rsidRPr="00EC0239">
        <w:rPr>
          <w:rFonts w:ascii="Times New Roman" w:hAnsi="Times New Roman"/>
          <w:sz w:val="24"/>
          <w:szCs w:val="24"/>
          <w:lang w:val="fr-FR"/>
        </w:rPr>
        <w:t xml:space="preserve">mises en place par </w:t>
      </w:r>
      <w:r w:rsidR="00DD78AD" w:rsidRPr="00A355DB">
        <w:rPr>
          <w:rFonts w:ascii="Times New Roman" w:hAnsi="Times New Roman"/>
          <w:sz w:val="24"/>
          <w:szCs w:val="24"/>
          <w:lang w:val="fr-FR"/>
        </w:rPr>
        <w:t xml:space="preserve">le comité national d’organisation. </w:t>
      </w:r>
      <w:r w:rsidRPr="00A355DB">
        <w:rPr>
          <w:rFonts w:ascii="Times New Roman" w:hAnsi="Times New Roman"/>
          <w:sz w:val="24"/>
          <w:szCs w:val="24"/>
          <w:lang w:val="fr-FR"/>
        </w:rPr>
        <w:t xml:space="preserve">Il s’agit des commissions </w:t>
      </w:r>
      <w:r w:rsidR="00A355DB">
        <w:rPr>
          <w:rFonts w:ascii="Times New Roman" w:hAnsi="Times New Roman"/>
          <w:sz w:val="24"/>
          <w:szCs w:val="24"/>
          <w:lang w:val="fr-FR"/>
        </w:rPr>
        <w:t xml:space="preserve">techniques </w:t>
      </w:r>
      <w:r w:rsidRPr="00A355DB">
        <w:rPr>
          <w:rFonts w:ascii="Times New Roman" w:hAnsi="Times New Roman"/>
          <w:sz w:val="24"/>
          <w:szCs w:val="24"/>
          <w:lang w:val="fr-FR"/>
        </w:rPr>
        <w:t xml:space="preserve">suivantes : </w:t>
      </w:r>
      <w:r w:rsidR="00A355DB" w:rsidRPr="00EC0239">
        <w:rPr>
          <w:rFonts w:ascii="Times New Roman" w:hAnsi="Times New Roman"/>
          <w:sz w:val="24"/>
          <w:szCs w:val="24"/>
          <w:lang w:val="fr-FR"/>
        </w:rPr>
        <w:t>communication</w:t>
      </w:r>
      <w:r w:rsidR="00A355DB">
        <w:rPr>
          <w:rFonts w:ascii="Times New Roman" w:hAnsi="Times New Roman"/>
          <w:sz w:val="24"/>
          <w:szCs w:val="24"/>
          <w:lang w:val="fr-FR"/>
        </w:rPr>
        <w:t xml:space="preserve">, </w:t>
      </w:r>
      <w:r w:rsidR="00A355DB" w:rsidRPr="00EC0239">
        <w:rPr>
          <w:rFonts w:ascii="Times New Roman" w:hAnsi="Times New Roman"/>
          <w:sz w:val="24"/>
          <w:szCs w:val="24"/>
          <w:lang w:val="fr-FR"/>
        </w:rPr>
        <w:t>approvisionnement en vaccins et matériel technique</w:t>
      </w:r>
      <w:r w:rsidR="00A355DB">
        <w:rPr>
          <w:rFonts w:ascii="Times New Roman" w:hAnsi="Times New Roman"/>
          <w:sz w:val="24"/>
          <w:szCs w:val="24"/>
          <w:lang w:val="fr-FR"/>
        </w:rPr>
        <w:t>,</w:t>
      </w:r>
      <w:r w:rsidR="00A355DB" w:rsidRPr="00EC0239">
        <w:rPr>
          <w:rFonts w:ascii="Times New Roman" w:hAnsi="Times New Roman"/>
          <w:sz w:val="24"/>
          <w:szCs w:val="24"/>
          <w:lang w:val="fr-FR"/>
        </w:rPr>
        <w:t xml:space="preserve"> mobilisation</w:t>
      </w:r>
      <w:r w:rsidR="00A355DB">
        <w:rPr>
          <w:rFonts w:ascii="Times New Roman" w:hAnsi="Times New Roman"/>
          <w:sz w:val="24"/>
          <w:szCs w:val="24"/>
          <w:lang w:val="fr-FR"/>
        </w:rPr>
        <w:t xml:space="preserve"> des </w:t>
      </w:r>
      <w:r w:rsidR="00A355DB" w:rsidRPr="00EC0239">
        <w:rPr>
          <w:rFonts w:ascii="Times New Roman" w:hAnsi="Times New Roman"/>
          <w:sz w:val="24"/>
          <w:szCs w:val="24"/>
          <w:lang w:val="fr-FR"/>
        </w:rPr>
        <w:t xml:space="preserve"> ressources</w:t>
      </w:r>
      <w:r w:rsidR="00A355DB">
        <w:rPr>
          <w:rFonts w:ascii="Times New Roman" w:hAnsi="Times New Roman"/>
          <w:sz w:val="24"/>
          <w:szCs w:val="24"/>
          <w:lang w:val="fr-FR"/>
        </w:rPr>
        <w:t xml:space="preserve">, </w:t>
      </w:r>
      <w:r w:rsidR="00A355DB" w:rsidRPr="00EC0239">
        <w:rPr>
          <w:rFonts w:ascii="Times New Roman" w:hAnsi="Times New Roman"/>
          <w:sz w:val="24"/>
          <w:szCs w:val="24"/>
          <w:lang w:val="fr-FR"/>
        </w:rPr>
        <w:t>suivi- évaluation</w:t>
      </w:r>
      <w:r w:rsidR="00A355DB">
        <w:rPr>
          <w:rFonts w:ascii="Times New Roman" w:hAnsi="Times New Roman"/>
          <w:sz w:val="24"/>
          <w:szCs w:val="24"/>
          <w:lang w:val="fr-FR"/>
        </w:rPr>
        <w:t>.</w:t>
      </w:r>
    </w:p>
    <w:p w:rsidR="00DD78AD" w:rsidRPr="007C6634" w:rsidRDefault="00C5506B" w:rsidP="003046BF">
      <w:pPr>
        <w:pStyle w:val="Listecouleur-Accent11"/>
        <w:numPr>
          <w:ilvl w:val="0"/>
          <w:numId w:val="29"/>
        </w:numPr>
        <w:spacing w:after="0" w:line="240" w:lineRule="auto"/>
        <w:ind w:right="120"/>
        <w:jc w:val="both"/>
        <w:divId w:val="410156154"/>
        <w:rPr>
          <w:rFonts w:ascii="Times New Roman" w:hAnsi="Times New Roman"/>
          <w:sz w:val="24"/>
          <w:szCs w:val="24"/>
          <w:lang w:val="fr-FR"/>
        </w:rPr>
      </w:pPr>
      <w:r w:rsidRPr="007C6634">
        <w:rPr>
          <w:rFonts w:ascii="Times New Roman" w:hAnsi="Times New Roman"/>
          <w:sz w:val="24"/>
          <w:szCs w:val="24"/>
          <w:lang w:val="fr-FR"/>
        </w:rPr>
        <w:t xml:space="preserve">La commission </w:t>
      </w:r>
      <w:r w:rsidR="00DD78AD" w:rsidRPr="00EC0239">
        <w:rPr>
          <w:rFonts w:ascii="Times New Roman" w:hAnsi="Times New Roman"/>
          <w:sz w:val="24"/>
          <w:szCs w:val="24"/>
          <w:lang w:val="fr-FR"/>
        </w:rPr>
        <w:t>communication</w:t>
      </w:r>
      <w:r w:rsidR="007B6A37">
        <w:rPr>
          <w:rFonts w:ascii="Times New Roman" w:hAnsi="Times New Roman"/>
          <w:sz w:val="24"/>
          <w:szCs w:val="24"/>
          <w:lang w:val="fr-FR"/>
        </w:rPr>
        <w:t xml:space="preserve"> </w:t>
      </w:r>
      <w:r w:rsidR="00A355DB" w:rsidRPr="007C6634">
        <w:rPr>
          <w:rFonts w:ascii="Times New Roman" w:hAnsi="Times New Roman"/>
          <w:sz w:val="24"/>
          <w:szCs w:val="24"/>
          <w:lang w:val="fr-FR"/>
        </w:rPr>
        <w:t>est</w:t>
      </w:r>
      <w:r w:rsidR="00072861" w:rsidRPr="007C6634">
        <w:rPr>
          <w:rFonts w:ascii="Times New Roman" w:hAnsi="Times New Roman"/>
          <w:sz w:val="24"/>
          <w:szCs w:val="24"/>
          <w:lang w:val="fr-FR"/>
        </w:rPr>
        <w:t xml:space="preserve"> chargé</w:t>
      </w:r>
      <w:r w:rsidR="00DD78AD" w:rsidRPr="007C6634">
        <w:rPr>
          <w:rFonts w:ascii="Times New Roman" w:hAnsi="Times New Roman"/>
          <w:sz w:val="24"/>
          <w:szCs w:val="24"/>
          <w:lang w:val="fr-FR"/>
        </w:rPr>
        <w:t>e</w:t>
      </w:r>
      <w:r w:rsidR="007B6A37">
        <w:rPr>
          <w:rFonts w:ascii="Times New Roman" w:hAnsi="Times New Roman"/>
          <w:sz w:val="24"/>
          <w:szCs w:val="24"/>
          <w:lang w:val="fr-FR"/>
        </w:rPr>
        <w:t xml:space="preserve"> </w:t>
      </w:r>
      <w:r w:rsidR="00A355DB" w:rsidRPr="007C6634">
        <w:rPr>
          <w:rFonts w:ascii="Times New Roman" w:hAnsi="Times New Roman"/>
          <w:sz w:val="24"/>
          <w:szCs w:val="24"/>
          <w:lang w:val="fr-FR"/>
        </w:rPr>
        <w:t>de l’élaboration, de la mise en œuvre et du suivi des stratégie</w:t>
      </w:r>
      <w:r w:rsidR="00690932" w:rsidRPr="007C6634">
        <w:rPr>
          <w:rFonts w:ascii="Times New Roman" w:hAnsi="Times New Roman"/>
          <w:sz w:val="24"/>
          <w:szCs w:val="24"/>
          <w:lang w:val="fr-FR"/>
        </w:rPr>
        <w:t>s et activités de communication</w:t>
      </w:r>
    </w:p>
    <w:p w:rsidR="00DD78AD" w:rsidRPr="007C6634" w:rsidRDefault="00DD78AD" w:rsidP="003046BF">
      <w:pPr>
        <w:pStyle w:val="Listecouleur-Accent11"/>
        <w:numPr>
          <w:ilvl w:val="0"/>
          <w:numId w:val="29"/>
        </w:numPr>
        <w:spacing w:after="0" w:line="240" w:lineRule="auto"/>
        <w:ind w:right="120"/>
        <w:jc w:val="both"/>
        <w:divId w:val="410156154"/>
        <w:rPr>
          <w:rFonts w:ascii="Times New Roman" w:hAnsi="Times New Roman"/>
          <w:sz w:val="24"/>
          <w:szCs w:val="24"/>
          <w:lang w:val="fr-FR"/>
        </w:rPr>
      </w:pPr>
      <w:r w:rsidRPr="007C6634">
        <w:rPr>
          <w:rFonts w:ascii="Times New Roman" w:hAnsi="Times New Roman"/>
          <w:sz w:val="24"/>
          <w:szCs w:val="24"/>
          <w:lang w:val="fr-FR"/>
        </w:rPr>
        <w:t xml:space="preserve">La commission </w:t>
      </w:r>
      <w:r w:rsidRPr="00EC0239">
        <w:rPr>
          <w:rFonts w:ascii="Times New Roman" w:hAnsi="Times New Roman"/>
          <w:sz w:val="24"/>
          <w:szCs w:val="24"/>
          <w:lang w:val="fr-FR"/>
        </w:rPr>
        <w:t>approvisionnement en vaccins et matériel technique</w:t>
      </w:r>
      <w:r w:rsidR="00A355DB" w:rsidRPr="007C6634">
        <w:rPr>
          <w:rFonts w:ascii="Times New Roman" w:hAnsi="Times New Roman"/>
          <w:sz w:val="24"/>
          <w:szCs w:val="24"/>
          <w:lang w:val="fr-FR"/>
        </w:rPr>
        <w:t xml:space="preserve"> aura pour attributions l’estimation des besoins en vaccins, consommables, en matériels de chaîne de froid et en logistique de transport, l’approvisionnement et la distribution des vaccins et intrants ai</w:t>
      </w:r>
      <w:r w:rsidR="00690932" w:rsidRPr="007C6634">
        <w:rPr>
          <w:rFonts w:ascii="Times New Roman" w:hAnsi="Times New Roman"/>
          <w:sz w:val="24"/>
          <w:szCs w:val="24"/>
          <w:lang w:val="fr-FR"/>
        </w:rPr>
        <w:t>nsi  que la gestion des déchets</w:t>
      </w:r>
    </w:p>
    <w:p w:rsidR="00A355DB" w:rsidRPr="007C6634" w:rsidRDefault="00DD78AD" w:rsidP="003046BF">
      <w:pPr>
        <w:pStyle w:val="Listecouleur-Accent11"/>
        <w:numPr>
          <w:ilvl w:val="0"/>
          <w:numId w:val="29"/>
        </w:numPr>
        <w:spacing w:after="0" w:line="240" w:lineRule="auto"/>
        <w:ind w:right="120"/>
        <w:jc w:val="both"/>
        <w:divId w:val="410156154"/>
        <w:rPr>
          <w:rFonts w:ascii="Times New Roman" w:hAnsi="Times New Roman"/>
          <w:sz w:val="24"/>
          <w:szCs w:val="24"/>
          <w:lang w:val="fr-FR"/>
        </w:rPr>
      </w:pPr>
      <w:r w:rsidRPr="007C6634">
        <w:rPr>
          <w:rFonts w:ascii="Times New Roman" w:hAnsi="Times New Roman"/>
          <w:sz w:val="24"/>
          <w:szCs w:val="24"/>
          <w:lang w:val="fr-FR"/>
        </w:rPr>
        <w:t>La commission</w:t>
      </w:r>
      <w:r w:rsidRPr="00EC0239">
        <w:rPr>
          <w:rFonts w:ascii="Times New Roman" w:hAnsi="Times New Roman"/>
          <w:sz w:val="24"/>
          <w:szCs w:val="24"/>
          <w:lang w:val="fr-FR"/>
        </w:rPr>
        <w:t xml:space="preserve"> mobilisation </w:t>
      </w:r>
      <w:r w:rsidR="00C77C14" w:rsidRPr="007C6634">
        <w:rPr>
          <w:rFonts w:ascii="Times New Roman" w:hAnsi="Times New Roman"/>
          <w:sz w:val="24"/>
          <w:szCs w:val="24"/>
          <w:lang w:val="fr-FR"/>
        </w:rPr>
        <w:t xml:space="preserve">des </w:t>
      </w:r>
      <w:r w:rsidRPr="00EC0239">
        <w:rPr>
          <w:rFonts w:ascii="Times New Roman" w:hAnsi="Times New Roman"/>
          <w:sz w:val="24"/>
          <w:szCs w:val="24"/>
          <w:lang w:val="fr-FR"/>
        </w:rPr>
        <w:t>ressources</w:t>
      </w:r>
      <w:r w:rsidR="00A355DB" w:rsidRPr="007C6634">
        <w:rPr>
          <w:rFonts w:ascii="Times New Roman" w:hAnsi="Times New Roman"/>
          <w:sz w:val="24"/>
          <w:szCs w:val="24"/>
          <w:lang w:val="fr-FR"/>
        </w:rPr>
        <w:t xml:space="preserve"> est </w:t>
      </w:r>
      <w:r w:rsidR="0059508B" w:rsidRPr="007C6634">
        <w:rPr>
          <w:rFonts w:ascii="Times New Roman" w:hAnsi="Times New Roman"/>
          <w:sz w:val="24"/>
          <w:szCs w:val="24"/>
          <w:lang w:val="fr-FR"/>
        </w:rPr>
        <w:t>chargée</w:t>
      </w:r>
      <w:r w:rsidR="00A355DB" w:rsidRPr="007C6634">
        <w:rPr>
          <w:rFonts w:ascii="Times New Roman" w:hAnsi="Times New Roman"/>
          <w:sz w:val="24"/>
          <w:szCs w:val="24"/>
          <w:lang w:val="fr-FR"/>
        </w:rPr>
        <w:t xml:space="preserve"> du plaidoyer pour la mobilisation des ressources financières</w:t>
      </w:r>
    </w:p>
    <w:p w:rsidR="00DD78AD" w:rsidRPr="007C6634" w:rsidRDefault="00DD78AD" w:rsidP="003046BF">
      <w:pPr>
        <w:pStyle w:val="Listecouleur-Accent11"/>
        <w:numPr>
          <w:ilvl w:val="0"/>
          <w:numId w:val="29"/>
        </w:numPr>
        <w:spacing w:after="0" w:line="240" w:lineRule="auto"/>
        <w:ind w:right="120"/>
        <w:jc w:val="both"/>
        <w:divId w:val="410156154"/>
        <w:rPr>
          <w:rFonts w:ascii="Times New Roman" w:hAnsi="Times New Roman"/>
          <w:sz w:val="24"/>
          <w:szCs w:val="24"/>
          <w:lang w:val="fr-FR"/>
        </w:rPr>
      </w:pPr>
      <w:r w:rsidRPr="007C6634">
        <w:rPr>
          <w:rFonts w:ascii="Times New Roman" w:hAnsi="Times New Roman"/>
          <w:sz w:val="24"/>
          <w:szCs w:val="24"/>
          <w:lang w:val="fr-FR"/>
        </w:rPr>
        <w:t>La commission</w:t>
      </w:r>
      <w:r w:rsidRPr="00EC0239">
        <w:rPr>
          <w:rFonts w:ascii="Times New Roman" w:hAnsi="Times New Roman"/>
          <w:sz w:val="24"/>
          <w:szCs w:val="24"/>
          <w:lang w:val="fr-FR"/>
        </w:rPr>
        <w:t xml:space="preserve"> suivi- évaluation</w:t>
      </w:r>
      <w:r w:rsidR="007B6A37">
        <w:rPr>
          <w:rFonts w:ascii="Times New Roman" w:hAnsi="Times New Roman"/>
          <w:sz w:val="24"/>
          <w:szCs w:val="24"/>
          <w:lang w:val="fr-FR"/>
        </w:rPr>
        <w:t xml:space="preserve"> </w:t>
      </w:r>
      <w:r w:rsidR="007C6634" w:rsidRPr="007C6634">
        <w:rPr>
          <w:rFonts w:ascii="Times New Roman" w:hAnsi="Times New Roman"/>
          <w:sz w:val="24"/>
          <w:szCs w:val="24"/>
          <w:lang w:val="fr-FR"/>
        </w:rPr>
        <w:t xml:space="preserve">est chargée de </w:t>
      </w:r>
      <w:r w:rsidR="00A355DB" w:rsidRPr="007C6634">
        <w:rPr>
          <w:rFonts w:ascii="Times New Roman" w:hAnsi="Times New Roman"/>
          <w:sz w:val="24"/>
          <w:szCs w:val="24"/>
          <w:lang w:val="fr-FR"/>
        </w:rPr>
        <w:t>la préparation des documents techniques de planification, de la mise en œuvre de l’introduction, du suivi et de l’éval</w:t>
      </w:r>
      <w:r w:rsidR="00690932" w:rsidRPr="007C6634">
        <w:rPr>
          <w:rFonts w:ascii="Times New Roman" w:hAnsi="Times New Roman"/>
          <w:sz w:val="24"/>
          <w:szCs w:val="24"/>
          <w:lang w:val="fr-FR"/>
        </w:rPr>
        <w:t>uation de l’introduction du VPI</w:t>
      </w:r>
    </w:p>
    <w:p w:rsidR="00E55E2C" w:rsidRDefault="00E55E2C" w:rsidP="00FD4940">
      <w:pPr>
        <w:jc w:val="both"/>
        <w:divId w:val="410156154"/>
        <w:rPr>
          <w:b/>
          <w:lang w:val="fr-FR"/>
        </w:rPr>
      </w:pPr>
    </w:p>
    <w:p w:rsidR="00C655F0" w:rsidRPr="009356B5" w:rsidRDefault="00664E5D" w:rsidP="00FD4940">
      <w:pPr>
        <w:jc w:val="both"/>
        <w:divId w:val="410156154"/>
        <w:rPr>
          <w:lang w:val="fr-FR"/>
        </w:rPr>
      </w:pPr>
      <w:r w:rsidRPr="009356B5">
        <w:rPr>
          <w:b/>
          <w:lang w:val="fr-FR"/>
        </w:rPr>
        <w:t>Au niveau central</w:t>
      </w:r>
      <w:r w:rsidRPr="009356B5">
        <w:rPr>
          <w:lang w:val="fr-FR"/>
        </w:rPr>
        <w:t>,</w:t>
      </w:r>
      <w:r w:rsidR="00C655F0" w:rsidRPr="009356B5">
        <w:rPr>
          <w:lang w:val="fr-FR"/>
        </w:rPr>
        <w:t xml:space="preserve"> ces supervisions seront menées conjointement par une équipe technique composée des représentants du ministère de la santé et des partenaires techniques et financiers.</w:t>
      </w:r>
    </w:p>
    <w:p w:rsidR="00664E5D" w:rsidRPr="009356B5" w:rsidRDefault="00664E5D" w:rsidP="00FD4940">
      <w:pPr>
        <w:pStyle w:val="Listecouleur-Accent11"/>
        <w:spacing w:after="0" w:line="240" w:lineRule="auto"/>
        <w:ind w:left="0"/>
        <w:jc w:val="both"/>
        <w:divId w:val="410156154"/>
        <w:rPr>
          <w:rFonts w:ascii="Times New Roman" w:hAnsi="Times New Roman"/>
          <w:sz w:val="24"/>
          <w:szCs w:val="24"/>
          <w:lang w:val="fr-FR"/>
        </w:rPr>
      </w:pPr>
      <w:r w:rsidRPr="009356B5">
        <w:rPr>
          <w:rFonts w:ascii="Times New Roman" w:hAnsi="Times New Roman"/>
          <w:sz w:val="24"/>
          <w:szCs w:val="24"/>
          <w:lang w:val="fr-FR"/>
        </w:rPr>
        <w:t xml:space="preserve">L’équipe de supervision du niveau central supervise les équipes régionales </w:t>
      </w:r>
      <w:r w:rsidR="00C655F0" w:rsidRPr="009356B5">
        <w:rPr>
          <w:rFonts w:ascii="Times New Roman" w:hAnsi="Times New Roman"/>
          <w:sz w:val="24"/>
          <w:szCs w:val="24"/>
          <w:lang w:val="fr-FR"/>
        </w:rPr>
        <w:t>et les équipes cadres de districts sanitaires</w:t>
      </w:r>
      <w:r w:rsidRPr="009356B5">
        <w:rPr>
          <w:rFonts w:ascii="Times New Roman" w:hAnsi="Times New Roman"/>
          <w:sz w:val="24"/>
          <w:szCs w:val="24"/>
          <w:lang w:val="fr-FR"/>
        </w:rPr>
        <w:t>.</w:t>
      </w:r>
    </w:p>
    <w:p w:rsidR="00C655F0" w:rsidRPr="009356B5" w:rsidRDefault="00C655F0" w:rsidP="007C6634">
      <w:pPr>
        <w:spacing w:before="120"/>
        <w:ind w:right="120"/>
        <w:jc w:val="both"/>
        <w:divId w:val="410156154"/>
        <w:rPr>
          <w:lang w:val="fr-FR"/>
        </w:rPr>
      </w:pPr>
      <w:r w:rsidRPr="009356B5">
        <w:rPr>
          <w:lang w:val="fr-FR"/>
        </w:rPr>
        <w:t xml:space="preserve">Concernant la supervision du niveau central, elle sera surtout axée sur les </w:t>
      </w:r>
      <w:r w:rsidR="007C6634">
        <w:rPr>
          <w:lang w:val="fr-FR"/>
        </w:rPr>
        <w:t xml:space="preserve">dépôts </w:t>
      </w:r>
      <w:r w:rsidRPr="009356B5">
        <w:rPr>
          <w:lang w:val="fr-FR"/>
        </w:rPr>
        <w:t xml:space="preserve"> PEV régionaux et districts. Le contenu portera sur les aspects de la logistique roulante, le financement de la vaccination, les équipements de la chaine de froid, les différents outils de gestion du PEV.</w:t>
      </w:r>
    </w:p>
    <w:p w:rsidR="00072861" w:rsidRPr="009356B5" w:rsidRDefault="0059508B" w:rsidP="00FD4940">
      <w:pPr>
        <w:jc w:val="both"/>
        <w:divId w:val="410156154"/>
        <w:rPr>
          <w:lang w:val="fr-FR"/>
        </w:rPr>
      </w:pPr>
      <w:r w:rsidRPr="009356B5">
        <w:rPr>
          <w:lang w:val="fr-FR"/>
        </w:rPr>
        <w:lastRenderedPageBreak/>
        <w:t>L</w:t>
      </w:r>
      <w:r w:rsidR="00072861" w:rsidRPr="009356B5">
        <w:rPr>
          <w:lang w:val="fr-FR"/>
        </w:rPr>
        <w:t xml:space="preserve">es supervisions </w:t>
      </w:r>
      <w:r w:rsidR="009356B5" w:rsidRPr="009356B5">
        <w:rPr>
          <w:lang w:val="fr-FR"/>
        </w:rPr>
        <w:t xml:space="preserve">du niveau central </w:t>
      </w:r>
      <w:r w:rsidR="00072861" w:rsidRPr="009356B5">
        <w:rPr>
          <w:lang w:val="fr-FR"/>
        </w:rPr>
        <w:t>sont intégrées (l’équipe du niveau central est accompagnée sur le terrain par celles du niveau régional et district)</w:t>
      </w:r>
    </w:p>
    <w:p w:rsidR="00072861" w:rsidRPr="0024069A" w:rsidRDefault="00072861" w:rsidP="00FD4940">
      <w:pPr>
        <w:pStyle w:val="Listecouleur-Accent11"/>
        <w:spacing w:after="0" w:line="240" w:lineRule="auto"/>
        <w:ind w:left="0"/>
        <w:jc w:val="both"/>
        <w:divId w:val="410156154"/>
        <w:rPr>
          <w:rFonts w:ascii="Times New Roman" w:hAnsi="Times New Roman"/>
          <w:sz w:val="10"/>
          <w:szCs w:val="24"/>
          <w:lang w:val="fr-FR"/>
        </w:rPr>
      </w:pPr>
    </w:p>
    <w:p w:rsidR="00664E5D" w:rsidRPr="009356B5" w:rsidRDefault="00690932" w:rsidP="00FD4940">
      <w:pPr>
        <w:pStyle w:val="Listecouleur-Accent11"/>
        <w:spacing w:after="0" w:line="240" w:lineRule="auto"/>
        <w:ind w:left="0"/>
        <w:jc w:val="both"/>
        <w:divId w:val="410156154"/>
        <w:rPr>
          <w:rFonts w:ascii="Times New Roman" w:hAnsi="Times New Roman"/>
          <w:sz w:val="24"/>
          <w:szCs w:val="24"/>
          <w:lang w:val="fr-FR"/>
        </w:rPr>
      </w:pPr>
      <w:r>
        <w:rPr>
          <w:rFonts w:ascii="Times New Roman" w:hAnsi="Times New Roman"/>
          <w:b/>
          <w:sz w:val="24"/>
          <w:szCs w:val="24"/>
          <w:lang w:val="fr-FR"/>
        </w:rPr>
        <w:t>Au niveau régional,</w:t>
      </w:r>
      <w:r w:rsidR="00E55E2C">
        <w:rPr>
          <w:rFonts w:ascii="Times New Roman" w:hAnsi="Times New Roman"/>
          <w:b/>
          <w:sz w:val="24"/>
          <w:szCs w:val="24"/>
          <w:lang w:val="fr-FR"/>
        </w:rPr>
        <w:t xml:space="preserve"> </w:t>
      </w:r>
      <w:r w:rsidR="00664E5D" w:rsidRPr="009356B5">
        <w:rPr>
          <w:rFonts w:ascii="Times New Roman" w:hAnsi="Times New Roman"/>
          <w:sz w:val="24"/>
          <w:szCs w:val="24"/>
          <w:lang w:val="fr-FR"/>
        </w:rPr>
        <w:t>les supervisions des équipes de districts sont assurées par les équipes régionales de santé.Les supervisions se font de façon trimestrielle.</w:t>
      </w:r>
    </w:p>
    <w:p w:rsidR="009356B5" w:rsidRDefault="009356B5" w:rsidP="00FD4940">
      <w:pPr>
        <w:pStyle w:val="Listecouleur-Accent11"/>
        <w:spacing w:after="0" w:line="240" w:lineRule="auto"/>
        <w:ind w:left="0"/>
        <w:jc w:val="both"/>
        <w:divId w:val="410156154"/>
        <w:rPr>
          <w:rFonts w:ascii="Times New Roman" w:hAnsi="Times New Roman"/>
          <w:b/>
          <w:sz w:val="24"/>
          <w:szCs w:val="24"/>
          <w:lang w:val="fr-FR"/>
        </w:rPr>
      </w:pPr>
    </w:p>
    <w:p w:rsidR="00664E5D" w:rsidRPr="009356B5" w:rsidRDefault="00664E5D" w:rsidP="00FD4940">
      <w:pPr>
        <w:pStyle w:val="Listecouleur-Accent11"/>
        <w:spacing w:after="0" w:line="240" w:lineRule="auto"/>
        <w:ind w:left="0"/>
        <w:jc w:val="both"/>
        <w:divId w:val="410156154"/>
        <w:rPr>
          <w:rFonts w:ascii="Times New Roman" w:hAnsi="Times New Roman"/>
          <w:sz w:val="24"/>
          <w:szCs w:val="24"/>
          <w:lang w:val="fr-FR"/>
        </w:rPr>
      </w:pPr>
      <w:r w:rsidRPr="009356B5">
        <w:rPr>
          <w:rFonts w:ascii="Times New Roman" w:hAnsi="Times New Roman"/>
          <w:b/>
          <w:sz w:val="24"/>
          <w:szCs w:val="24"/>
          <w:lang w:val="fr-FR"/>
        </w:rPr>
        <w:t>Au niveau district</w:t>
      </w:r>
      <w:r w:rsidR="00690932">
        <w:rPr>
          <w:rFonts w:ascii="Times New Roman" w:hAnsi="Times New Roman"/>
          <w:b/>
          <w:sz w:val="24"/>
          <w:szCs w:val="24"/>
          <w:lang w:val="fr-FR"/>
        </w:rPr>
        <w:t>,</w:t>
      </w:r>
      <w:r w:rsidR="00E55E2C">
        <w:rPr>
          <w:rFonts w:ascii="Times New Roman" w:hAnsi="Times New Roman"/>
          <w:b/>
          <w:sz w:val="24"/>
          <w:szCs w:val="24"/>
          <w:lang w:val="fr-FR"/>
        </w:rPr>
        <w:t xml:space="preserve"> </w:t>
      </w:r>
      <w:r w:rsidRPr="009356B5">
        <w:rPr>
          <w:rFonts w:ascii="Times New Roman" w:hAnsi="Times New Roman"/>
          <w:sz w:val="24"/>
          <w:szCs w:val="24"/>
          <w:lang w:val="fr-FR"/>
        </w:rPr>
        <w:t xml:space="preserve">les supervisions sont assurées par les équipes cadre des districts. Les équipes des districts supervisent les centres de santé. A ce niveau, les supervisions sont </w:t>
      </w:r>
      <w:r w:rsidR="009356B5" w:rsidRPr="009356B5">
        <w:rPr>
          <w:rFonts w:ascii="Times New Roman" w:hAnsi="Times New Roman"/>
          <w:sz w:val="24"/>
          <w:szCs w:val="24"/>
          <w:lang w:val="fr-FR"/>
        </w:rPr>
        <w:t>aussi tri</w:t>
      </w:r>
      <w:r w:rsidRPr="009356B5">
        <w:rPr>
          <w:rFonts w:ascii="Times New Roman" w:hAnsi="Times New Roman"/>
          <w:sz w:val="24"/>
          <w:szCs w:val="24"/>
          <w:lang w:val="fr-FR"/>
        </w:rPr>
        <w:t>mestrielles.</w:t>
      </w:r>
    </w:p>
    <w:p w:rsidR="00072861" w:rsidRDefault="009356B5" w:rsidP="007C6634">
      <w:pPr>
        <w:spacing w:before="120"/>
        <w:ind w:right="120"/>
        <w:jc w:val="both"/>
        <w:divId w:val="410156154"/>
        <w:rPr>
          <w:lang w:val="fr-FR"/>
        </w:rPr>
      </w:pPr>
      <w:r w:rsidRPr="009356B5">
        <w:rPr>
          <w:lang w:val="fr-FR"/>
        </w:rPr>
        <w:t xml:space="preserve">La supervision </w:t>
      </w:r>
      <w:r w:rsidR="00072861" w:rsidRPr="009356B5">
        <w:rPr>
          <w:lang w:val="fr-FR"/>
        </w:rPr>
        <w:t xml:space="preserve">du niveau régional et district sera orienté sur l’organisation pratique d’une séance  de vaccination, la conduite d’une session de monitorage des activités de PEV, la participation communautaire, la réalisation des activités de vaccination en stratégie </w:t>
      </w:r>
      <w:r w:rsidR="007C6634">
        <w:rPr>
          <w:lang w:val="fr-FR"/>
        </w:rPr>
        <w:t xml:space="preserve">fixe et </w:t>
      </w:r>
      <w:r w:rsidR="00072861" w:rsidRPr="009356B5">
        <w:rPr>
          <w:lang w:val="fr-FR"/>
        </w:rPr>
        <w:t>avancée.</w:t>
      </w:r>
    </w:p>
    <w:p w:rsidR="0024069A" w:rsidRDefault="0024069A" w:rsidP="007C6634">
      <w:pPr>
        <w:spacing w:before="120"/>
        <w:ind w:right="120"/>
        <w:jc w:val="both"/>
        <w:divId w:val="410156154"/>
        <w:rPr>
          <w:lang w:val="fr-FR"/>
        </w:rPr>
      </w:pPr>
    </w:p>
    <w:p w:rsidR="000A2CB6" w:rsidRDefault="00515293">
      <w:pPr>
        <w:jc w:val="both"/>
        <w:divId w:val="410156154"/>
        <w:rPr>
          <w:rFonts w:asciiTheme="minorHAnsi" w:hAnsiTheme="minorHAnsi"/>
          <w:bCs/>
          <w:color w:val="1F497D" w:themeColor="text2"/>
          <w:lang w:val="fr-FR"/>
        </w:rPr>
      </w:pPr>
      <w:r w:rsidRPr="00C369C9">
        <w:rPr>
          <w:rFonts w:asciiTheme="minorHAnsi" w:hAnsiTheme="minorHAnsi"/>
          <w:bCs/>
          <w:color w:val="1F497D" w:themeColor="text2"/>
          <w:lang w:val="fr-FR"/>
        </w:rPr>
        <w:t xml:space="preserve">3.3  Accessibilité économique et pérennité financière du vaccin   </w:t>
      </w:r>
    </w:p>
    <w:p w:rsidR="00536131" w:rsidRPr="00C369C9" w:rsidRDefault="00536131">
      <w:pPr>
        <w:jc w:val="both"/>
        <w:divId w:val="410156154"/>
        <w:rPr>
          <w:rFonts w:asciiTheme="minorHAnsi" w:hAnsiTheme="minorHAnsi"/>
          <w:bCs/>
          <w:color w:val="1F497D" w:themeColor="text2"/>
          <w:lang w:val="fr-FR"/>
        </w:rPr>
      </w:pPr>
    </w:p>
    <w:p w:rsidR="00515293" w:rsidRDefault="00515293">
      <w:pPr>
        <w:pStyle w:val="Paragraphedeliste"/>
        <w:numPr>
          <w:ilvl w:val="0"/>
          <w:numId w:val="14"/>
        </w:numPr>
        <w:spacing w:after="0" w:line="240" w:lineRule="auto"/>
        <w:ind w:right="115"/>
        <w:jc w:val="both"/>
        <w:divId w:val="410156154"/>
        <w:rPr>
          <w:rFonts w:asciiTheme="minorHAnsi" w:hAnsiTheme="minorHAnsi"/>
          <w:highlight w:val="cyan"/>
          <w:lang w:val="fr-FR"/>
        </w:rPr>
      </w:pPr>
      <w:r w:rsidRPr="00375019">
        <w:rPr>
          <w:rFonts w:asciiTheme="minorHAnsi" w:hAnsiTheme="minorHAnsi"/>
          <w:highlight w:val="cyan"/>
          <w:lang w:val="fr-FR"/>
        </w:rPr>
        <w:t xml:space="preserve">Résumer le budget et le financement de l’introduction du VPI, tel que présenté à l’annexe D.    </w:t>
      </w:r>
    </w:p>
    <w:p w:rsidR="00375019" w:rsidRPr="00693F47" w:rsidRDefault="00693F47" w:rsidP="00D87203">
      <w:pPr>
        <w:spacing w:before="120" w:after="120"/>
        <w:ind w:right="235"/>
        <w:jc w:val="both"/>
        <w:divId w:val="410156154"/>
        <w:rPr>
          <w:rFonts w:eastAsia="Calibri"/>
          <w:lang w:val="fr-FR" w:eastAsia="en-US"/>
        </w:rPr>
      </w:pPr>
      <w:r w:rsidRPr="00E95450">
        <w:rPr>
          <w:lang w:val="fr-FR"/>
        </w:rPr>
        <w:t>Le coût estimatif de l</w:t>
      </w:r>
      <w:r w:rsidRPr="00E95450">
        <w:rPr>
          <w:rFonts w:eastAsia="Calibri"/>
          <w:lang w:val="fr-FR" w:eastAsia="en-US"/>
        </w:rPr>
        <w:t xml:space="preserve">’introduction du VPI est de </w:t>
      </w:r>
      <w:r w:rsidR="00157261" w:rsidRPr="00157261">
        <w:rPr>
          <w:rFonts w:eastAsia="Calibri"/>
          <w:lang w:val="fr-FR" w:eastAsia="en-US"/>
        </w:rPr>
        <w:t>465</w:t>
      </w:r>
      <w:r w:rsidR="006758A5">
        <w:rPr>
          <w:rFonts w:eastAsia="Calibri"/>
          <w:lang w:val="fr-FR" w:eastAsia="en-US"/>
        </w:rPr>
        <w:t xml:space="preserve"> </w:t>
      </w:r>
      <w:r w:rsidR="00157261" w:rsidRPr="00157261">
        <w:rPr>
          <w:rFonts w:eastAsia="Calibri"/>
          <w:lang w:val="fr-FR" w:eastAsia="en-US"/>
        </w:rPr>
        <w:t>758</w:t>
      </w:r>
      <w:r w:rsidR="006758A5">
        <w:rPr>
          <w:rFonts w:eastAsia="Calibri"/>
          <w:lang w:val="fr-FR" w:eastAsia="en-US"/>
        </w:rPr>
        <w:t xml:space="preserve"> </w:t>
      </w:r>
      <w:r w:rsidR="00157261" w:rsidRPr="00157261">
        <w:rPr>
          <w:rFonts w:eastAsia="Calibri"/>
          <w:lang w:val="fr-FR" w:eastAsia="en-US"/>
        </w:rPr>
        <w:t>186</w:t>
      </w:r>
      <w:r w:rsidR="00157261">
        <w:rPr>
          <w:rFonts w:eastAsia="Calibri"/>
          <w:lang w:val="fr-FR" w:eastAsia="en-US"/>
        </w:rPr>
        <w:t xml:space="preserve"> </w:t>
      </w:r>
      <w:r w:rsidRPr="00E95450">
        <w:rPr>
          <w:rFonts w:eastAsia="Calibri"/>
          <w:lang w:val="fr-FR" w:eastAsia="en-US"/>
        </w:rPr>
        <w:t xml:space="preserve">F CFA, soit </w:t>
      </w:r>
      <w:r w:rsidR="00106C7F" w:rsidRPr="00E95450">
        <w:rPr>
          <w:rFonts w:eastAsia="Calibri"/>
          <w:lang w:val="fr-FR" w:eastAsia="en-US"/>
        </w:rPr>
        <w:t>1 035 018</w:t>
      </w:r>
      <w:r w:rsidRPr="00E95450">
        <w:rPr>
          <w:rFonts w:eastAsia="Calibri"/>
          <w:lang w:val="fr-FR" w:eastAsia="en-US"/>
        </w:rPr>
        <w:t xml:space="preserve"> </w:t>
      </w:r>
      <w:r w:rsidR="00D87203">
        <w:rPr>
          <w:rFonts w:eastAsia="Calibri"/>
          <w:lang w:val="fr-FR" w:eastAsia="en-US"/>
        </w:rPr>
        <w:t>U$</w:t>
      </w:r>
      <w:r w:rsidRPr="00E95450">
        <w:rPr>
          <w:rFonts w:eastAsia="Calibri"/>
          <w:lang w:val="fr-FR" w:eastAsia="en-US"/>
        </w:rPr>
        <w:t xml:space="preserve"> $. Ces coûts comprennent les couts en capital d’un montant de </w:t>
      </w:r>
      <w:r w:rsidR="00D87203">
        <w:rPr>
          <w:rFonts w:eastAsia="Calibri"/>
          <w:lang w:val="fr-FR" w:eastAsia="en-US"/>
        </w:rPr>
        <w:t xml:space="preserve">114 933 348 </w:t>
      </w:r>
      <w:r w:rsidRPr="00E95450">
        <w:rPr>
          <w:rFonts w:eastAsia="Calibri"/>
          <w:lang w:val="fr-FR" w:eastAsia="en-US"/>
        </w:rPr>
        <w:t xml:space="preserve">F CFA soit </w:t>
      </w:r>
      <w:r w:rsidR="00D87203">
        <w:rPr>
          <w:rFonts w:eastAsia="Calibri"/>
          <w:lang w:val="fr-FR" w:eastAsia="en-US"/>
        </w:rPr>
        <w:t>2</w:t>
      </w:r>
      <w:r w:rsidR="00106C7F" w:rsidRPr="00E95450">
        <w:rPr>
          <w:color w:val="000000"/>
          <w:lang w:val="fr-FR"/>
        </w:rPr>
        <w:t>55 407</w:t>
      </w:r>
      <w:r w:rsidR="00D87203">
        <w:rPr>
          <w:rFonts w:eastAsia="Calibri"/>
          <w:lang w:val="fr-FR" w:eastAsia="en-US"/>
        </w:rPr>
        <w:t xml:space="preserve"> U$</w:t>
      </w:r>
      <w:r w:rsidRPr="00E95450">
        <w:rPr>
          <w:rFonts w:eastAsia="Calibri"/>
          <w:lang w:val="fr-FR" w:eastAsia="en-US"/>
        </w:rPr>
        <w:t xml:space="preserve"> et les coûts récurrents d’un montant de </w:t>
      </w:r>
      <w:r w:rsidR="00E95450" w:rsidRPr="00E95450">
        <w:rPr>
          <w:rFonts w:eastAsia="Calibri"/>
          <w:lang w:val="fr-FR" w:eastAsia="en-US"/>
        </w:rPr>
        <w:t>3</w:t>
      </w:r>
      <w:r w:rsidR="00D87203">
        <w:rPr>
          <w:rFonts w:eastAsia="Calibri"/>
          <w:lang w:val="fr-FR" w:eastAsia="en-US"/>
        </w:rPr>
        <w:t>50</w:t>
      </w:r>
      <w:r w:rsidR="00E95450" w:rsidRPr="00E95450">
        <w:rPr>
          <w:rFonts w:eastAsia="Calibri"/>
          <w:lang w:val="fr-FR" w:eastAsia="en-US"/>
        </w:rPr>
        <w:t> </w:t>
      </w:r>
      <w:r w:rsidR="00D87203">
        <w:rPr>
          <w:rFonts w:eastAsia="Calibri"/>
          <w:lang w:val="fr-FR" w:eastAsia="en-US"/>
        </w:rPr>
        <w:t xml:space="preserve">824 838 </w:t>
      </w:r>
      <w:r w:rsidRPr="00E95450">
        <w:rPr>
          <w:rFonts w:eastAsia="Calibri"/>
          <w:lang w:val="fr-FR" w:eastAsia="en-US"/>
        </w:rPr>
        <w:t xml:space="preserve">F CFA soit </w:t>
      </w:r>
      <w:r w:rsidR="00D87203">
        <w:rPr>
          <w:rFonts w:eastAsia="Calibri"/>
          <w:lang w:val="fr-FR" w:eastAsia="en-US"/>
        </w:rPr>
        <w:t>779 611 U$</w:t>
      </w:r>
      <w:r w:rsidR="007C5B3F" w:rsidRPr="00E95450">
        <w:rPr>
          <w:rFonts w:eastAsia="Calibri"/>
          <w:lang w:val="fr-FR" w:eastAsia="en-US"/>
        </w:rPr>
        <w:t>.</w:t>
      </w:r>
    </w:p>
    <w:tbl>
      <w:tblPr>
        <w:tblStyle w:val="Grilledutableau"/>
        <w:tblW w:w="0" w:type="auto"/>
        <w:tblLook w:val="04A0" w:firstRow="1" w:lastRow="0" w:firstColumn="1" w:lastColumn="0" w:noHBand="0" w:noVBand="1"/>
      </w:tblPr>
      <w:tblGrid>
        <w:gridCol w:w="3715"/>
        <w:gridCol w:w="1519"/>
        <w:gridCol w:w="1720"/>
        <w:gridCol w:w="2212"/>
      </w:tblGrid>
      <w:tr w:rsidR="00D87203" w:rsidRPr="001D1A45" w:rsidTr="00D87203">
        <w:trPr>
          <w:divId w:val="410156154"/>
        </w:trPr>
        <w:tc>
          <w:tcPr>
            <w:tcW w:w="3740" w:type="dxa"/>
            <w:vMerge w:val="restart"/>
            <w:vAlign w:val="center"/>
          </w:tcPr>
          <w:p w:rsidR="00D87203" w:rsidRPr="001D1A45" w:rsidRDefault="00D87203" w:rsidP="007B2F3E">
            <w:pPr>
              <w:rPr>
                <w:b/>
                <w:sz w:val="20"/>
              </w:rPr>
            </w:pPr>
            <w:r w:rsidRPr="001D1A45">
              <w:rPr>
                <w:b/>
                <w:sz w:val="20"/>
              </w:rPr>
              <w:t>Catégorie de coût</w:t>
            </w:r>
          </w:p>
        </w:tc>
        <w:tc>
          <w:tcPr>
            <w:tcW w:w="1553" w:type="dxa"/>
            <w:vAlign w:val="center"/>
          </w:tcPr>
          <w:p w:rsidR="00D87203" w:rsidRPr="001D1A45" w:rsidRDefault="00D87203" w:rsidP="007B2F3E">
            <w:pPr>
              <w:jc w:val="center"/>
              <w:rPr>
                <w:b/>
                <w:sz w:val="20"/>
              </w:rPr>
            </w:pPr>
            <w:r w:rsidRPr="001D1A45">
              <w:rPr>
                <w:b/>
                <w:sz w:val="20"/>
              </w:rPr>
              <w:t>Coût total</w:t>
            </w:r>
            <w:r>
              <w:rPr>
                <w:b/>
                <w:sz w:val="20"/>
              </w:rPr>
              <w:t xml:space="preserve"> </w:t>
            </w:r>
            <w:r w:rsidRPr="001D1A45">
              <w:rPr>
                <w:b/>
                <w:sz w:val="20"/>
              </w:rPr>
              <w:t>$US</w:t>
            </w:r>
          </w:p>
        </w:tc>
        <w:tc>
          <w:tcPr>
            <w:tcW w:w="1737" w:type="dxa"/>
            <w:vAlign w:val="center"/>
          </w:tcPr>
          <w:p w:rsidR="00D87203" w:rsidRPr="001D1A45" w:rsidRDefault="00D87203" w:rsidP="007B2F3E">
            <w:pPr>
              <w:jc w:val="center"/>
              <w:rPr>
                <w:b/>
                <w:sz w:val="20"/>
              </w:rPr>
            </w:pPr>
            <w:r w:rsidRPr="001D1A45">
              <w:rPr>
                <w:b/>
                <w:sz w:val="20"/>
              </w:rPr>
              <w:t>Soutien du gouvernement</w:t>
            </w:r>
          </w:p>
        </w:tc>
        <w:tc>
          <w:tcPr>
            <w:tcW w:w="2258" w:type="dxa"/>
            <w:vAlign w:val="center"/>
          </w:tcPr>
          <w:p w:rsidR="00D87203" w:rsidRPr="001D1A45" w:rsidRDefault="00D87203" w:rsidP="007B2F3E">
            <w:pPr>
              <w:jc w:val="center"/>
              <w:rPr>
                <w:b/>
                <w:sz w:val="20"/>
              </w:rPr>
            </w:pPr>
            <w:r w:rsidRPr="001D1A45">
              <w:rPr>
                <w:b/>
                <w:sz w:val="20"/>
              </w:rPr>
              <w:t>Allocation d'introduction pour le vaccin demandé</w:t>
            </w:r>
          </w:p>
        </w:tc>
      </w:tr>
      <w:tr w:rsidR="00D87203" w:rsidRPr="001D1A45" w:rsidTr="00D87203">
        <w:trPr>
          <w:divId w:val="410156154"/>
        </w:trPr>
        <w:tc>
          <w:tcPr>
            <w:tcW w:w="3740" w:type="dxa"/>
            <w:vMerge/>
            <w:vAlign w:val="center"/>
          </w:tcPr>
          <w:p w:rsidR="00D87203" w:rsidRPr="001D1A45" w:rsidRDefault="00D87203" w:rsidP="007B2F3E">
            <w:pPr>
              <w:rPr>
                <w:b/>
                <w:sz w:val="20"/>
              </w:rPr>
            </w:pPr>
          </w:p>
        </w:tc>
        <w:tc>
          <w:tcPr>
            <w:tcW w:w="1553" w:type="dxa"/>
            <w:vAlign w:val="center"/>
          </w:tcPr>
          <w:p w:rsidR="00D87203" w:rsidRPr="001D1A45" w:rsidRDefault="00D87203" w:rsidP="007B2F3E">
            <w:pPr>
              <w:jc w:val="center"/>
              <w:rPr>
                <w:b/>
                <w:sz w:val="20"/>
              </w:rPr>
            </w:pPr>
            <w:r w:rsidRPr="001D1A45">
              <w:rPr>
                <w:b/>
                <w:sz w:val="20"/>
              </w:rPr>
              <w:t>Montant</w:t>
            </w:r>
            <w:r>
              <w:rPr>
                <w:b/>
                <w:sz w:val="20"/>
              </w:rPr>
              <w:t xml:space="preserve"> </w:t>
            </w:r>
            <w:r w:rsidRPr="001D1A45">
              <w:rPr>
                <w:b/>
                <w:sz w:val="20"/>
              </w:rPr>
              <w:t>$US</w:t>
            </w:r>
          </w:p>
        </w:tc>
        <w:tc>
          <w:tcPr>
            <w:tcW w:w="1737" w:type="dxa"/>
            <w:vAlign w:val="center"/>
          </w:tcPr>
          <w:p w:rsidR="00D87203" w:rsidRPr="001D1A45" w:rsidRDefault="00D87203" w:rsidP="007B2F3E">
            <w:pPr>
              <w:jc w:val="center"/>
              <w:rPr>
                <w:b/>
                <w:sz w:val="20"/>
              </w:rPr>
            </w:pPr>
            <w:r w:rsidRPr="001D1A45">
              <w:rPr>
                <w:b/>
                <w:sz w:val="20"/>
              </w:rPr>
              <w:t>Montant</w:t>
            </w:r>
            <w:r>
              <w:rPr>
                <w:b/>
                <w:sz w:val="20"/>
              </w:rPr>
              <w:t xml:space="preserve"> </w:t>
            </w:r>
            <w:r w:rsidRPr="001D1A45">
              <w:rPr>
                <w:b/>
                <w:sz w:val="20"/>
              </w:rPr>
              <w:t>$US</w:t>
            </w:r>
          </w:p>
        </w:tc>
        <w:tc>
          <w:tcPr>
            <w:tcW w:w="2258" w:type="dxa"/>
            <w:vAlign w:val="center"/>
          </w:tcPr>
          <w:p w:rsidR="00D87203" w:rsidRPr="001D1A45" w:rsidRDefault="00D87203" w:rsidP="007B2F3E">
            <w:pPr>
              <w:jc w:val="center"/>
              <w:rPr>
                <w:b/>
                <w:sz w:val="20"/>
              </w:rPr>
            </w:pPr>
            <w:r w:rsidRPr="001D1A45">
              <w:rPr>
                <w:b/>
                <w:sz w:val="20"/>
              </w:rPr>
              <w:t>Montant demandé</w:t>
            </w:r>
            <w:r>
              <w:rPr>
                <w:b/>
                <w:sz w:val="20"/>
              </w:rPr>
              <w:t xml:space="preserve"> </w:t>
            </w:r>
            <w:r w:rsidRPr="001D1A45">
              <w:rPr>
                <w:b/>
                <w:sz w:val="20"/>
              </w:rPr>
              <w:t>$US</w:t>
            </w:r>
          </w:p>
        </w:tc>
      </w:tr>
      <w:tr w:rsidR="00D87203" w:rsidRPr="001D1A45" w:rsidTr="00D87203">
        <w:trPr>
          <w:divId w:val="410156154"/>
        </w:trPr>
        <w:tc>
          <w:tcPr>
            <w:tcW w:w="3740" w:type="dxa"/>
            <w:vAlign w:val="center"/>
          </w:tcPr>
          <w:p w:rsidR="00D87203" w:rsidRPr="001D1A45" w:rsidRDefault="00D87203" w:rsidP="007B2F3E">
            <w:pPr>
              <w:rPr>
                <w:sz w:val="20"/>
              </w:rPr>
            </w:pPr>
            <w:r w:rsidRPr="001D1A45">
              <w:rPr>
                <w:sz w:val="20"/>
              </w:rPr>
              <w:t>Gestion et coordination des programmes</w:t>
            </w:r>
          </w:p>
        </w:tc>
        <w:tc>
          <w:tcPr>
            <w:tcW w:w="1553" w:type="dxa"/>
            <w:vAlign w:val="center"/>
          </w:tcPr>
          <w:p w:rsidR="00D87203" w:rsidRPr="001D1A45" w:rsidRDefault="00D87203" w:rsidP="007B2F3E">
            <w:pPr>
              <w:jc w:val="center"/>
              <w:rPr>
                <w:color w:val="000000"/>
                <w:sz w:val="20"/>
              </w:rPr>
            </w:pPr>
            <w:r w:rsidRPr="001D1A45">
              <w:rPr>
                <w:color w:val="000000"/>
                <w:sz w:val="20"/>
              </w:rPr>
              <w:t>$48 222</w:t>
            </w:r>
          </w:p>
        </w:tc>
        <w:tc>
          <w:tcPr>
            <w:tcW w:w="1737" w:type="dxa"/>
            <w:vAlign w:val="center"/>
          </w:tcPr>
          <w:p w:rsidR="00D87203" w:rsidRPr="001D1A45" w:rsidRDefault="00D87203" w:rsidP="007B2F3E">
            <w:pPr>
              <w:jc w:val="center"/>
              <w:rPr>
                <w:color w:val="000000"/>
                <w:sz w:val="20"/>
              </w:rPr>
            </w:pPr>
            <w:r w:rsidRPr="001D1A45">
              <w:rPr>
                <w:color w:val="000000"/>
                <w:sz w:val="20"/>
              </w:rPr>
              <w:t>$48 222</w:t>
            </w:r>
          </w:p>
        </w:tc>
        <w:tc>
          <w:tcPr>
            <w:tcW w:w="2258" w:type="dxa"/>
            <w:shd w:val="clear" w:color="auto" w:fill="808080" w:themeFill="background1" w:themeFillShade="80"/>
            <w:vAlign w:val="center"/>
          </w:tcPr>
          <w:p w:rsidR="00D87203" w:rsidRPr="001D1A45" w:rsidRDefault="00D87203" w:rsidP="007B2F3E">
            <w:pPr>
              <w:jc w:val="center"/>
              <w:rPr>
                <w:sz w:val="20"/>
              </w:rPr>
            </w:pPr>
          </w:p>
        </w:tc>
      </w:tr>
      <w:tr w:rsidR="00D87203" w:rsidRPr="001D1A45" w:rsidTr="00D87203">
        <w:trPr>
          <w:divId w:val="410156154"/>
        </w:trPr>
        <w:tc>
          <w:tcPr>
            <w:tcW w:w="3740" w:type="dxa"/>
            <w:vAlign w:val="center"/>
          </w:tcPr>
          <w:p w:rsidR="00D87203" w:rsidRPr="001D1A45" w:rsidRDefault="00D87203" w:rsidP="007B2F3E">
            <w:pPr>
              <w:rPr>
                <w:sz w:val="20"/>
              </w:rPr>
            </w:pPr>
            <w:r w:rsidRPr="001D1A45">
              <w:rPr>
                <w:sz w:val="20"/>
              </w:rPr>
              <w:t>Planification et préparatifs</w:t>
            </w:r>
          </w:p>
        </w:tc>
        <w:tc>
          <w:tcPr>
            <w:tcW w:w="1553" w:type="dxa"/>
            <w:vAlign w:val="center"/>
          </w:tcPr>
          <w:p w:rsidR="00D87203" w:rsidRPr="001D1A45" w:rsidRDefault="00D87203" w:rsidP="007B2F3E">
            <w:pPr>
              <w:jc w:val="center"/>
              <w:rPr>
                <w:color w:val="000000"/>
                <w:sz w:val="20"/>
              </w:rPr>
            </w:pPr>
            <w:r w:rsidRPr="001D1A45">
              <w:rPr>
                <w:color w:val="000000"/>
                <w:sz w:val="20"/>
              </w:rPr>
              <w:t>$188 406</w:t>
            </w:r>
          </w:p>
        </w:tc>
        <w:tc>
          <w:tcPr>
            <w:tcW w:w="1737" w:type="dxa"/>
            <w:vAlign w:val="center"/>
          </w:tcPr>
          <w:p w:rsidR="00D87203" w:rsidRPr="001D1A45" w:rsidRDefault="00D87203" w:rsidP="007B2F3E">
            <w:pPr>
              <w:jc w:val="center"/>
              <w:rPr>
                <w:color w:val="000000"/>
                <w:sz w:val="20"/>
              </w:rPr>
            </w:pPr>
            <w:r w:rsidRPr="001D1A45">
              <w:rPr>
                <w:color w:val="000000"/>
                <w:sz w:val="20"/>
              </w:rPr>
              <w:t>$16 558</w:t>
            </w:r>
          </w:p>
        </w:tc>
        <w:tc>
          <w:tcPr>
            <w:tcW w:w="2258" w:type="dxa"/>
            <w:vAlign w:val="center"/>
          </w:tcPr>
          <w:p w:rsidR="00D87203" w:rsidRPr="001D1A45" w:rsidRDefault="00D87203" w:rsidP="007B2F3E">
            <w:pPr>
              <w:jc w:val="center"/>
              <w:rPr>
                <w:color w:val="000000"/>
                <w:sz w:val="20"/>
              </w:rPr>
            </w:pPr>
            <w:r w:rsidRPr="001D1A45">
              <w:rPr>
                <w:color w:val="000000"/>
                <w:sz w:val="20"/>
              </w:rPr>
              <w:t>$171 848</w:t>
            </w:r>
          </w:p>
        </w:tc>
      </w:tr>
      <w:tr w:rsidR="00D87203" w:rsidRPr="001D1A45" w:rsidTr="00D87203">
        <w:trPr>
          <w:divId w:val="410156154"/>
        </w:trPr>
        <w:tc>
          <w:tcPr>
            <w:tcW w:w="3740" w:type="dxa"/>
            <w:vAlign w:val="center"/>
          </w:tcPr>
          <w:p w:rsidR="00D87203" w:rsidRPr="001D1A45" w:rsidRDefault="00D87203" w:rsidP="007B2F3E">
            <w:pPr>
              <w:rPr>
                <w:sz w:val="20"/>
              </w:rPr>
            </w:pPr>
            <w:r w:rsidRPr="001D1A45">
              <w:rPr>
                <w:sz w:val="20"/>
              </w:rPr>
              <w:t>Mobilisation sociale, information/éducation/communication (IEC), plaidoyer</w:t>
            </w:r>
          </w:p>
        </w:tc>
        <w:tc>
          <w:tcPr>
            <w:tcW w:w="1553" w:type="dxa"/>
            <w:vAlign w:val="center"/>
          </w:tcPr>
          <w:p w:rsidR="00D87203" w:rsidRPr="001D1A45" w:rsidRDefault="00D87203" w:rsidP="007B2F3E">
            <w:pPr>
              <w:jc w:val="center"/>
              <w:rPr>
                <w:color w:val="000000"/>
                <w:sz w:val="20"/>
              </w:rPr>
            </w:pPr>
            <w:r w:rsidRPr="001D1A45">
              <w:rPr>
                <w:color w:val="000000"/>
                <w:sz w:val="20"/>
              </w:rPr>
              <w:t>$192 338</w:t>
            </w:r>
          </w:p>
        </w:tc>
        <w:tc>
          <w:tcPr>
            <w:tcW w:w="1737" w:type="dxa"/>
            <w:vAlign w:val="center"/>
          </w:tcPr>
          <w:p w:rsidR="00D87203" w:rsidRPr="001D1A45" w:rsidRDefault="00D87203" w:rsidP="007B2F3E">
            <w:pPr>
              <w:jc w:val="center"/>
              <w:rPr>
                <w:color w:val="000000"/>
                <w:sz w:val="20"/>
              </w:rPr>
            </w:pPr>
            <w:r w:rsidRPr="001D1A45">
              <w:rPr>
                <w:color w:val="000000"/>
                <w:sz w:val="20"/>
              </w:rPr>
              <w:t>$106 163</w:t>
            </w:r>
          </w:p>
        </w:tc>
        <w:tc>
          <w:tcPr>
            <w:tcW w:w="2258" w:type="dxa"/>
            <w:vAlign w:val="center"/>
          </w:tcPr>
          <w:p w:rsidR="00D87203" w:rsidRPr="001D1A45" w:rsidRDefault="00D87203" w:rsidP="007B2F3E">
            <w:pPr>
              <w:jc w:val="center"/>
              <w:rPr>
                <w:color w:val="000000"/>
                <w:sz w:val="20"/>
              </w:rPr>
            </w:pPr>
            <w:r w:rsidRPr="001D1A45">
              <w:rPr>
                <w:color w:val="000000"/>
                <w:sz w:val="20"/>
              </w:rPr>
              <w:t>$86 174</w:t>
            </w:r>
          </w:p>
        </w:tc>
      </w:tr>
      <w:tr w:rsidR="00D87203" w:rsidRPr="001D1A45" w:rsidTr="00D87203">
        <w:trPr>
          <w:divId w:val="410156154"/>
        </w:trPr>
        <w:tc>
          <w:tcPr>
            <w:tcW w:w="3740" w:type="dxa"/>
            <w:vAlign w:val="center"/>
          </w:tcPr>
          <w:p w:rsidR="00D87203" w:rsidRPr="001D1A45" w:rsidRDefault="00D87203" w:rsidP="007B2F3E">
            <w:pPr>
              <w:rPr>
                <w:bCs/>
                <w:color w:val="000000"/>
                <w:sz w:val="20"/>
              </w:rPr>
            </w:pPr>
            <w:r w:rsidRPr="001D1A45">
              <w:rPr>
                <w:bCs/>
                <w:color w:val="000000"/>
                <w:sz w:val="20"/>
              </w:rPr>
              <w:t>Production de documents</w:t>
            </w:r>
          </w:p>
        </w:tc>
        <w:tc>
          <w:tcPr>
            <w:tcW w:w="1553" w:type="dxa"/>
            <w:vAlign w:val="center"/>
          </w:tcPr>
          <w:p w:rsidR="00D87203" w:rsidRPr="001D1A45" w:rsidRDefault="00D87203" w:rsidP="007B2F3E">
            <w:pPr>
              <w:jc w:val="center"/>
              <w:rPr>
                <w:color w:val="000000"/>
                <w:sz w:val="20"/>
              </w:rPr>
            </w:pPr>
            <w:r w:rsidRPr="001D1A45">
              <w:rPr>
                <w:color w:val="000000"/>
                <w:sz w:val="20"/>
              </w:rPr>
              <w:t>$192 249</w:t>
            </w:r>
          </w:p>
        </w:tc>
        <w:tc>
          <w:tcPr>
            <w:tcW w:w="1737" w:type="dxa"/>
            <w:vAlign w:val="center"/>
          </w:tcPr>
          <w:p w:rsidR="00D87203" w:rsidRPr="001D1A45" w:rsidRDefault="00D87203" w:rsidP="007B2F3E">
            <w:pPr>
              <w:jc w:val="center"/>
              <w:rPr>
                <w:color w:val="000000"/>
                <w:sz w:val="20"/>
              </w:rPr>
            </w:pPr>
            <w:r w:rsidRPr="001D1A45">
              <w:rPr>
                <w:color w:val="000000"/>
                <w:sz w:val="20"/>
              </w:rPr>
              <w:t>$75 916</w:t>
            </w:r>
          </w:p>
        </w:tc>
        <w:tc>
          <w:tcPr>
            <w:tcW w:w="2258" w:type="dxa"/>
            <w:vAlign w:val="center"/>
          </w:tcPr>
          <w:p w:rsidR="00D87203" w:rsidRPr="001D1A45" w:rsidRDefault="00D87203" w:rsidP="007B2F3E">
            <w:pPr>
              <w:jc w:val="center"/>
              <w:rPr>
                <w:color w:val="000000"/>
                <w:sz w:val="20"/>
              </w:rPr>
            </w:pPr>
            <w:r w:rsidRPr="001D1A45">
              <w:rPr>
                <w:color w:val="000000"/>
                <w:sz w:val="20"/>
              </w:rPr>
              <w:t>$116 334</w:t>
            </w:r>
          </w:p>
        </w:tc>
      </w:tr>
      <w:tr w:rsidR="00D87203" w:rsidRPr="001D1A45" w:rsidTr="00D87203">
        <w:trPr>
          <w:divId w:val="410156154"/>
        </w:trPr>
        <w:tc>
          <w:tcPr>
            <w:tcW w:w="3740" w:type="dxa"/>
            <w:vAlign w:val="center"/>
          </w:tcPr>
          <w:p w:rsidR="00D87203" w:rsidRPr="001D1A45" w:rsidRDefault="00D87203" w:rsidP="007B2F3E">
            <w:pPr>
              <w:rPr>
                <w:bCs/>
                <w:color w:val="000000"/>
                <w:sz w:val="20"/>
              </w:rPr>
            </w:pPr>
            <w:r w:rsidRPr="001D1A45">
              <w:rPr>
                <w:bCs/>
                <w:color w:val="000000"/>
                <w:sz w:val="20"/>
              </w:rPr>
              <w:t>Équipement de la chaîne du froid</w:t>
            </w:r>
          </w:p>
        </w:tc>
        <w:tc>
          <w:tcPr>
            <w:tcW w:w="1553" w:type="dxa"/>
            <w:vAlign w:val="center"/>
          </w:tcPr>
          <w:p w:rsidR="00D87203" w:rsidRPr="001D1A45" w:rsidRDefault="00D87203" w:rsidP="007B2F3E">
            <w:pPr>
              <w:jc w:val="center"/>
              <w:rPr>
                <w:color w:val="000000"/>
                <w:sz w:val="20"/>
              </w:rPr>
            </w:pPr>
            <w:r w:rsidRPr="001D1A45">
              <w:rPr>
                <w:color w:val="000000"/>
                <w:sz w:val="20"/>
              </w:rPr>
              <w:t>$55 407</w:t>
            </w:r>
          </w:p>
        </w:tc>
        <w:tc>
          <w:tcPr>
            <w:tcW w:w="1737" w:type="dxa"/>
            <w:shd w:val="clear" w:color="auto" w:fill="808080" w:themeFill="background1" w:themeFillShade="80"/>
            <w:vAlign w:val="center"/>
          </w:tcPr>
          <w:p w:rsidR="00D87203" w:rsidRPr="001D1A45" w:rsidRDefault="00D87203" w:rsidP="007B2F3E">
            <w:pPr>
              <w:jc w:val="center"/>
              <w:rPr>
                <w:sz w:val="20"/>
              </w:rPr>
            </w:pPr>
          </w:p>
        </w:tc>
        <w:tc>
          <w:tcPr>
            <w:tcW w:w="2258" w:type="dxa"/>
            <w:vAlign w:val="center"/>
          </w:tcPr>
          <w:p w:rsidR="00D87203" w:rsidRPr="001D1A45" w:rsidRDefault="00D87203" w:rsidP="007B2F3E">
            <w:pPr>
              <w:jc w:val="center"/>
              <w:rPr>
                <w:color w:val="000000"/>
                <w:sz w:val="20"/>
              </w:rPr>
            </w:pPr>
            <w:r w:rsidRPr="001D1A45">
              <w:rPr>
                <w:color w:val="000000"/>
                <w:sz w:val="20"/>
              </w:rPr>
              <w:t>$55 407</w:t>
            </w:r>
          </w:p>
        </w:tc>
      </w:tr>
      <w:tr w:rsidR="00D87203" w:rsidRPr="001D1A45" w:rsidTr="00D87203">
        <w:trPr>
          <w:divId w:val="410156154"/>
        </w:trPr>
        <w:tc>
          <w:tcPr>
            <w:tcW w:w="3740" w:type="dxa"/>
            <w:vAlign w:val="center"/>
          </w:tcPr>
          <w:p w:rsidR="00D87203" w:rsidRPr="001D1A45" w:rsidRDefault="00D87203" w:rsidP="007B2F3E">
            <w:pPr>
              <w:rPr>
                <w:bCs/>
                <w:color w:val="000000"/>
                <w:sz w:val="20"/>
              </w:rPr>
            </w:pPr>
            <w:r w:rsidRPr="001D1A45">
              <w:rPr>
                <w:bCs/>
                <w:color w:val="000000"/>
                <w:sz w:val="20"/>
              </w:rPr>
              <w:t>Transport pour la mise en œuvre et la supervision</w:t>
            </w:r>
          </w:p>
        </w:tc>
        <w:tc>
          <w:tcPr>
            <w:tcW w:w="1553" w:type="dxa"/>
            <w:vAlign w:val="center"/>
          </w:tcPr>
          <w:p w:rsidR="00D87203" w:rsidRPr="001D1A45" w:rsidRDefault="00D87203" w:rsidP="007B2F3E">
            <w:pPr>
              <w:jc w:val="center"/>
              <w:rPr>
                <w:color w:val="000000"/>
                <w:sz w:val="20"/>
              </w:rPr>
            </w:pPr>
            <w:r w:rsidRPr="001D1A45">
              <w:rPr>
                <w:color w:val="000000"/>
                <w:sz w:val="20"/>
              </w:rPr>
              <w:t>$16 658</w:t>
            </w:r>
          </w:p>
        </w:tc>
        <w:tc>
          <w:tcPr>
            <w:tcW w:w="1737" w:type="dxa"/>
            <w:vAlign w:val="center"/>
          </w:tcPr>
          <w:p w:rsidR="00D87203" w:rsidRPr="001D1A45" w:rsidRDefault="00D87203" w:rsidP="007B2F3E">
            <w:pPr>
              <w:jc w:val="center"/>
              <w:rPr>
                <w:color w:val="000000"/>
                <w:sz w:val="20"/>
              </w:rPr>
            </w:pPr>
            <w:r w:rsidRPr="001D1A45">
              <w:rPr>
                <w:color w:val="000000"/>
                <w:sz w:val="20"/>
              </w:rPr>
              <w:t>$16 658</w:t>
            </w:r>
          </w:p>
        </w:tc>
        <w:tc>
          <w:tcPr>
            <w:tcW w:w="2258" w:type="dxa"/>
            <w:shd w:val="clear" w:color="auto" w:fill="808080" w:themeFill="background1" w:themeFillShade="80"/>
            <w:vAlign w:val="center"/>
          </w:tcPr>
          <w:p w:rsidR="00D87203" w:rsidRPr="001D1A45" w:rsidRDefault="00D87203" w:rsidP="007B2F3E">
            <w:pPr>
              <w:jc w:val="center"/>
              <w:rPr>
                <w:sz w:val="20"/>
              </w:rPr>
            </w:pPr>
          </w:p>
        </w:tc>
      </w:tr>
      <w:tr w:rsidR="00D87203" w:rsidRPr="001D1A45" w:rsidTr="00D87203">
        <w:trPr>
          <w:divId w:val="410156154"/>
        </w:trPr>
        <w:tc>
          <w:tcPr>
            <w:tcW w:w="3740" w:type="dxa"/>
            <w:vAlign w:val="center"/>
          </w:tcPr>
          <w:p w:rsidR="00D87203" w:rsidRPr="001D1A45" w:rsidRDefault="00D87203" w:rsidP="007B2F3E">
            <w:pPr>
              <w:rPr>
                <w:bCs/>
                <w:color w:val="000000"/>
                <w:sz w:val="20"/>
              </w:rPr>
            </w:pPr>
            <w:r w:rsidRPr="001D1A45">
              <w:rPr>
                <w:bCs/>
                <w:color w:val="000000"/>
                <w:sz w:val="20"/>
              </w:rPr>
              <w:t>Gestion des déchets</w:t>
            </w:r>
          </w:p>
        </w:tc>
        <w:tc>
          <w:tcPr>
            <w:tcW w:w="1553" w:type="dxa"/>
            <w:vAlign w:val="center"/>
          </w:tcPr>
          <w:p w:rsidR="00D87203" w:rsidRPr="001D1A45" w:rsidRDefault="00D87203" w:rsidP="007B2F3E">
            <w:pPr>
              <w:jc w:val="center"/>
              <w:rPr>
                <w:color w:val="000000"/>
                <w:sz w:val="20"/>
              </w:rPr>
            </w:pPr>
            <w:r w:rsidRPr="001D1A45">
              <w:rPr>
                <w:color w:val="000000"/>
                <w:sz w:val="20"/>
              </w:rPr>
              <w:t>$200 000</w:t>
            </w:r>
          </w:p>
        </w:tc>
        <w:tc>
          <w:tcPr>
            <w:tcW w:w="1737" w:type="dxa"/>
            <w:vAlign w:val="center"/>
          </w:tcPr>
          <w:p w:rsidR="00D87203" w:rsidRPr="001D1A45" w:rsidRDefault="00D87203" w:rsidP="007B2F3E">
            <w:pPr>
              <w:jc w:val="center"/>
              <w:rPr>
                <w:color w:val="000000"/>
                <w:sz w:val="20"/>
              </w:rPr>
            </w:pPr>
            <w:r w:rsidRPr="001D1A45">
              <w:rPr>
                <w:color w:val="000000"/>
                <w:sz w:val="20"/>
              </w:rPr>
              <w:t>$200 000</w:t>
            </w:r>
          </w:p>
        </w:tc>
        <w:tc>
          <w:tcPr>
            <w:tcW w:w="2258" w:type="dxa"/>
            <w:shd w:val="clear" w:color="auto" w:fill="808080" w:themeFill="background1" w:themeFillShade="80"/>
            <w:vAlign w:val="center"/>
          </w:tcPr>
          <w:p w:rsidR="00D87203" w:rsidRPr="001D1A45" w:rsidRDefault="00D87203" w:rsidP="007B2F3E">
            <w:pPr>
              <w:jc w:val="center"/>
              <w:rPr>
                <w:sz w:val="20"/>
              </w:rPr>
            </w:pPr>
          </w:p>
        </w:tc>
      </w:tr>
      <w:tr w:rsidR="00D87203" w:rsidRPr="001D1A45" w:rsidTr="00D87203">
        <w:trPr>
          <w:divId w:val="410156154"/>
        </w:trPr>
        <w:tc>
          <w:tcPr>
            <w:tcW w:w="3740" w:type="dxa"/>
            <w:vAlign w:val="center"/>
          </w:tcPr>
          <w:p w:rsidR="00D87203" w:rsidRPr="001D1A45" w:rsidRDefault="00D87203" w:rsidP="007B2F3E">
            <w:pPr>
              <w:rPr>
                <w:bCs/>
                <w:color w:val="000000"/>
                <w:sz w:val="20"/>
              </w:rPr>
            </w:pPr>
            <w:r w:rsidRPr="001D1A45">
              <w:rPr>
                <w:bCs/>
                <w:color w:val="000000"/>
                <w:sz w:val="20"/>
              </w:rPr>
              <w:t>Surveillance et suivi</w:t>
            </w:r>
          </w:p>
        </w:tc>
        <w:tc>
          <w:tcPr>
            <w:tcW w:w="1553" w:type="dxa"/>
            <w:vAlign w:val="center"/>
          </w:tcPr>
          <w:p w:rsidR="00D87203" w:rsidRPr="001D1A45" w:rsidRDefault="00D87203" w:rsidP="007B2F3E">
            <w:pPr>
              <w:jc w:val="center"/>
              <w:rPr>
                <w:color w:val="000000"/>
                <w:sz w:val="20"/>
              </w:rPr>
            </w:pPr>
            <w:r w:rsidRPr="001D1A45">
              <w:rPr>
                <w:color w:val="000000"/>
                <w:sz w:val="20"/>
              </w:rPr>
              <w:t>$10 336</w:t>
            </w:r>
          </w:p>
        </w:tc>
        <w:tc>
          <w:tcPr>
            <w:tcW w:w="1737" w:type="dxa"/>
            <w:shd w:val="clear" w:color="auto" w:fill="808080" w:themeFill="background1" w:themeFillShade="80"/>
            <w:vAlign w:val="center"/>
          </w:tcPr>
          <w:p w:rsidR="00D87203" w:rsidRPr="001D1A45" w:rsidRDefault="00D87203" w:rsidP="007B2F3E">
            <w:pPr>
              <w:jc w:val="center"/>
              <w:rPr>
                <w:sz w:val="20"/>
              </w:rPr>
            </w:pPr>
          </w:p>
        </w:tc>
        <w:tc>
          <w:tcPr>
            <w:tcW w:w="2258" w:type="dxa"/>
            <w:vAlign w:val="center"/>
          </w:tcPr>
          <w:p w:rsidR="00D87203" w:rsidRPr="001D1A45" w:rsidRDefault="00D87203" w:rsidP="007B2F3E">
            <w:pPr>
              <w:jc w:val="center"/>
              <w:rPr>
                <w:color w:val="000000"/>
                <w:sz w:val="20"/>
              </w:rPr>
            </w:pPr>
            <w:r w:rsidRPr="001D1A45">
              <w:rPr>
                <w:color w:val="000000"/>
                <w:sz w:val="20"/>
              </w:rPr>
              <w:t>$10 336</w:t>
            </w:r>
          </w:p>
        </w:tc>
      </w:tr>
      <w:tr w:rsidR="00D87203" w:rsidRPr="001D1A45" w:rsidTr="00D87203">
        <w:trPr>
          <w:divId w:val="410156154"/>
        </w:trPr>
        <w:tc>
          <w:tcPr>
            <w:tcW w:w="3740" w:type="dxa"/>
            <w:vAlign w:val="center"/>
          </w:tcPr>
          <w:p w:rsidR="00D87203" w:rsidRPr="001D1A45" w:rsidRDefault="00D87203" w:rsidP="007B2F3E">
            <w:pPr>
              <w:rPr>
                <w:bCs/>
                <w:color w:val="000000"/>
                <w:sz w:val="20"/>
              </w:rPr>
            </w:pPr>
            <w:r w:rsidRPr="001D1A45">
              <w:rPr>
                <w:bCs/>
                <w:color w:val="000000"/>
                <w:sz w:val="20"/>
              </w:rPr>
              <w:t>Évaluation</w:t>
            </w:r>
          </w:p>
        </w:tc>
        <w:tc>
          <w:tcPr>
            <w:tcW w:w="1553" w:type="dxa"/>
            <w:vAlign w:val="center"/>
          </w:tcPr>
          <w:p w:rsidR="00D87203" w:rsidRPr="001D1A45" w:rsidRDefault="00D87203" w:rsidP="007B2F3E">
            <w:pPr>
              <w:jc w:val="center"/>
              <w:rPr>
                <w:color w:val="000000"/>
                <w:sz w:val="20"/>
              </w:rPr>
            </w:pPr>
            <w:r w:rsidRPr="001D1A45">
              <w:rPr>
                <w:color w:val="000000"/>
                <w:sz w:val="20"/>
              </w:rPr>
              <w:t>$131 400</w:t>
            </w:r>
          </w:p>
        </w:tc>
        <w:tc>
          <w:tcPr>
            <w:tcW w:w="1737" w:type="dxa"/>
            <w:shd w:val="clear" w:color="auto" w:fill="808080" w:themeFill="background1" w:themeFillShade="80"/>
            <w:vAlign w:val="center"/>
          </w:tcPr>
          <w:p w:rsidR="00D87203" w:rsidRPr="001D1A45" w:rsidRDefault="00D87203" w:rsidP="007B2F3E">
            <w:pPr>
              <w:jc w:val="center"/>
              <w:rPr>
                <w:sz w:val="20"/>
              </w:rPr>
            </w:pPr>
          </w:p>
        </w:tc>
        <w:tc>
          <w:tcPr>
            <w:tcW w:w="2258" w:type="dxa"/>
            <w:vAlign w:val="center"/>
          </w:tcPr>
          <w:p w:rsidR="00D87203" w:rsidRPr="001D1A45" w:rsidRDefault="00D87203" w:rsidP="007B2F3E">
            <w:pPr>
              <w:jc w:val="center"/>
              <w:rPr>
                <w:color w:val="000000"/>
                <w:sz w:val="20"/>
              </w:rPr>
            </w:pPr>
            <w:r w:rsidRPr="001D1A45">
              <w:rPr>
                <w:color w:val="000000"/>
                <w:sz w:val="20"/>
              </w:rPr>
              <w:t>$131 400</w:t>
            </w:r>
          </w:p>
        </w:tc>
      </w:tr>
      <w:tr w:rsidR="00D87203" w:rsidRPr="001D1A45" w:rsidTr="00D87203">
        <w:trPr>
          <w:divId w:val="410156154"/>
          <w:trHeight w:val="554"/>
        </w:trPr>
        <w:tc>
          <w:tcPr>
            <w:tcW w:w="3740" w:type="dxa"/>
            <w:vAlign w:val="center"/>
          </w:tcPr>
          <w:p w:rsidR="00D87203" w:rsidRPr="001D1A45" w:rsidRDefault="00D87203" w:rsidP="007B2F3E">
            <w:pPr>
              <w:rPr>
                <w:b/>
                <w:bCs/>
                <w:color w:val="000000"/>
                <w:sz w:val="20"/>
              </w:rPr>
            </w:pPr>
            <w:r w:rsidRPr="001D1A45">
              <w:rPr>
                <w:b/>
                <w:bCs/>
                <w:color w:val="000000"/>
                <w:sz w:val="20"/>
              </w:rPr>
              <w:t>Total</w:t>
            </w:r>
          </w:p>
        </w:tc>
        <w:tc>
          <w:tcPr>
            <w:tcW w:w="1553" w:type="dxa"/>
            <w:vAlign w:val="center"/>
          </w:tcPr>
          <w:p w:rsidR="00D87203" w:rsidRPr="001D1A45" w:rsidRDefault="00D87203" w:rsidP="007B2F3E">
            <w:pPr>
              <w:jc w:val="center"/>
              <w:rPr>
                <w:b/>
                <w:bCs/>
                <w:color w:val="000000"/>
                <w:sz w:val="20"/>
              </w:rPr>
            </w:pPr>
            <w:r w:rsidRPr="001D1A45">
              <w:rPr>
                <w:b/>
                <w:bCs/>
                <w:color w:val="000000"/>
                <w:sz w:val="20"/>
              </w:rPr>
              <w:t>$1 035 018</w:t>
            </w:r>
          </w:p>
        </w:tc>
        <w:tc>
          <w:tcPr>
            <w:tcW w:w="1737" w:type="dxa"/>
            <w:vAlign w:val="center"/>
          </w:tcPr>
          <w:p w:rsidR="00D87203" w:rsidRPr="001D1A45" w:rsidRDefault="00D87203" w:rsidP="007B2F3E">
            <w:pPr>
              <w:jc w:val="center"/>
              <w:rPr>
                <w:b/>
                <w:bCs/>
                <w:color w:val="000000"/>
                <w:sz w:val="20"/>
              </w:rPr>
            </w:pPr>
            <w:r w:rsidRPr="001D1A45">
              <w:rPr>
                <w:b/>
                <w:bCs/>
                <w:color w:val="000000"/>
                <w:sz w:val="20"/>
              </w:rPr>
              <w:t>$463 518</w:t>
            </w:r>
          </w:p>
        </w:tc>
        <w:tc>
          <w:tcPr>
            <w:tcW w:w="2258" w:type="dxa"/>
            <w:vAlign w:val="center"/>
          </w:tcPr>
          <w:p w:rsidR="00D87203" w:rsidRPr="001D1A45" w:rsidRDefault="00D87203" w:rsidP="007B2F3E">
            <w:pPr>
              <w:jc w:val="center"/>
              <w:rPr>
                <w:b/>
                <w:color w:val="000000"/>
                <w:sz w:val="20"/>
              </w:rPr>
            </w:pPr>
            <w:r w:rsidRPr="001D1A45">
              <w:rPr>
                <w:b/>
                <w:color w:val="000000"/>
                <w:sz w:val="20"/>
              </w:rPr>
              <w:t>$571 500</w:t>
            </w:r>
          </w:p>
        </w:tc>
      </w:tr>
    </w:tbl>
    <w:p w:rsidR="00693F47" w:rsidRDefault="00693F47" w:rsidP="00AB72E6">
      <w:pPr>
        <w:spacing w:before="120"/>
        <w:ind w:right="235"/>
        <w:jc w:val="both"/>
        <w:divId w:val="410156154"/>
        <w:rPr>
          <w:lang w:val="fr-FR"/>
        </w:rPr>
      </w:pPr>
      <w:r w:rsidRPr="00693F47">
        <w:rPr>
          <w:rFonts w:eastAsia="Calibri"/>
          <w:lang w:val="fr-FR" w:eastAsia="en-US"/>
        </w:rPr>
        <w:t>Le coût global prend en compte</w:t>
      </w:r>
      <w:r w:rsidRPr="00693F47">
        <w:rPr>
          <w:lang w:val="fr-FR"/>
        </w:rPr>
        <w:t xml:space="preserve"> les activités suivantes : formations en cascade des agents de santé</w:t>
      </w:r>
      <w:r w:rsidR="00AB72E6">
        <w:rPr>
          <w:lang w:val="fr-FR"/>
        </w:rPr>
        <w:t xml:space="preserve">, </w:t>
      </w:r>
      <w:r w:rsidRPr="00693F47">
        <w:rPr>
          <w:lang w:val="fr-FR"/>
        </w:rPr>
        <w:t>multiplication des supports, mobilisation sociale</w:t>
      </w:r>
      <w:r w:rsidR="00AB72E6">
        <w:rPr>
          <w:lang w:val="fr-FR"/>
        </w:rPr>
        <w:t xml:space="preserve">, </w:t>
      </w:r>
      <w:r w:rsidRPr="00693F47">
        <w:rPr>
          <w:lang w:val="fr-FR"/>
        </w:rPr>
        <w:t>approvisionnement en vaccins</w:t>
      </w:r>
      <w:r w:rsidR="00AB72E6">
        <w:rPr>
          <w:lang w:val="fr-FR"/>
        </w:rPr>
        <w:t xml:space="preserve">, </w:t>
      </w:r>
      <w:r w:rsidRPr="00693F47">
        <w:rPr>
          <w:lang w:val="fr-FR"/>
        </w:rPr>
        <w:t>surveillance des MAPI, supervision des activités de vaccination post- introduction VPI, évaluation post-introduction.</w:t>
      </w:r>
    </w:p>
    <w:p w:rsidR="00693F47" w:rsidRDefault="00693F47" w:rsidP="00FD4940">
      <w:pPr>
        <w:spacing w:before="120"/>
        <w:ind w:right="235"/>
        <w:jc w:val="both"/>
        <w:divId w:val="410156154"/>
        <w:rPr>
          <w:lang w:val="fr-FR"/>
        </w:rPr>
      </w:pPr>
    </w:p>
    <w:p w:rsidR="00693F47" w:rsidRDefault="00515293">
      <w:pPr>
        <w:pStyle w:val="Paragraphedeliste"/>
        <w:numPr>
          <w:ilvl w:val="0"/>
          <w:numId w:val="14"/>
        </w:numPr>
        <w:spacing w:after="0" w:line="240" w:lineRule="auto"/>
        <w:ind w:right="115"/>
        <w:jc w:val="both"/>
        <w:divId w:val="410156154"/>
        <w:rPr>
          <w:rFonts w:asciiTheme="minorHAnsi" w:hAnsiTheme="minorHAnsi"/>
          <w:highlight w:val="cyan"/>
          <w:lang w:val="fr-FR"/>
        </w:rPr>
      </w:pPr>
      <w:r w:rsidRPr="00693F47">
        <w:rPr>
          <w:rFonts w:asciiTheme="minorHAnsi" w:hAnsiTheme="minorHAnsi"/>
          <w:highlight w:val="cyan"/>
          <w:lang w:val="fr-FR"/>
        </w:rPr>
        <w:t xml:space="preserve">Préciser la méthode utilisée pour estimer ces coûts.  </w:t>
      </w:r>
    </w:p>
    <w:p w:rsidR="00536131" w:rsidRDefault="00536131" w:rsidP="00536131">
      <w:pPr>
        <w:pStyle w:val="Paragraphedeliste"/>
        <w:spacing w:after="0" w:line="240" w:lineRule="auto"/>
        <w:ind w:right="115"/>
        <w:jc w:val="both"/>
        <w:divId w:val="410156154"/>
        <w:rPr>
          <w:rFonts w:asciiTheme="minorHAnsi" w:hAnsiTheme="minorHAnsi"/>
          <w:highlight w:val="cyan"/>
          <w:lang w:val="fr-FR"/>
        </w:rPr>
      </w:pPr>
    </w:p>
    <w:p w:rsidR="00CB4657" w:rsidRPr="00CB4657" w:rsidRDefault="00CB4657" w:rsidP="00FD4940">
      <w:pPr>
        <w:pStyle w:val="Listecouleur-Accent11"/>
        <w:spacing w:after="0" w:line="240" w:lineRule="auto"/>
        <w:ind w:left="0" w:right="115"/>
        <w:jc w:val="both"/>
        <w:divId w:val="410156154"/>
        <w:rPr>
          <w:rFonts w:ascii="Times New Roman" w:hAnsi="Times New Roman"/>
          <w:sz w:val="24"/>
          <w:szCs w:val="24"/>
          <w:lang w:val="fr-FR"/>
        </w:rPr>
      </w:pPr>
      <w:r w:rsidRPr="00CB4657">
        <w:rPr>
          <w:rFonts w:ascii="Times New Roman" w:hAnsi="Times New Roman"/>
          <w:sz w:val="24"/>
          <w:szCs w:val="24"/>
          <w:lang w:val="fr-FR"/>
        </w:rPr>
        <w:t>L’estimation des coûts est basée sur l’expérience des introductions antérieures et les coûts unitaires appliqués conformément aux normes nationales. Elle a été faite par activité en fonction des paramètres de base (éléments et coûts unitaires)</w:t>
      </w:r>
      <w:r w:rsidR="006141BA">
        <w:rPr>
          <w:rFonts w:ascii="Times New Roman" w:hAnsi="Times New Roman"/>
          <w:sz w:val="24"/>
          <w:szCs w:val="24"/>
          <w:lang w:val="fr-FR"/>
        </w:rPr>
        <w:t>.</w:t>
      </w:r>
      <w:r w:rsidRPr="00CB4657">
        <w:rPr>
          <w:rFonts w:ascii="Times New Roman" w:hAnsi="Times New Roman"/>
          <w:sz w:val="24"/>
          <w:szCs w:val="24"/>
          <w:lang w:val="fr-FR"/>
        </w:rPr>
        <w:t xml:space="preserve"> </w:t>
      </w:r>
    </w:p>
    <w:p w:rsidR="00CB4657" w:rsidRDefault="00515293">
      <w:pPr>
        <w:pStyle w:val="Paragraphedeliste"/>
        <w:numPr>
          <w:ilvl w:val="0"/>
          <w:numId w:val="14"/>
        </w:numPr>
        <w:spacing w:after="0" w:line="240" w:lineRule="auto"/>
        <w:ind w:right="115"/>
        <w:jc w:val="both"/>
        <w:divId w:val="410156154"/>
        <w:rPr>
          <w:rFonts w:asciiTheme="minorHAnsi" w:hAnsiTheme="minorHAnsi"/>
          <w:highlight w:val="cyan"/>
          <w:lang w:val="fr-FR"/>
        </w:rPr>
      </w:pPr>
      <w:r w:rsidRPr="00CB4657">
        <w:rPr>
          <w:rFonts w:asciiTheme="minorHAnsi" w:hAnsiTheme="minorHAnsi"/>
          <w:highlight w:val="cyan"/>
          <w:lang w:val="fr-FR"/>
        </w:rPr>
        <w:lastRenderedPageBreak/>
        <w:t xml:space="preserve">Préciser les coûts opérationnels non vaccinaux identifiés pour l’introduction et si les fonds sont garantis.  </w:t>
      </w:r>
    </w:p>
    <w:p w:rsidR="00536131" w:rsidRPr="00CB4657" w:rsidRDefault="00536131" w:rsidP="00536131">
      <w:pPr>
        <w:pStyle w:val="Paragraphedeliste"/>
        <w:spacing w:after="0" w:line="240" w:lineRule="auto"/>
        <w:ind w:right="115"/>
        <w:jc w:val="both"/>
        <w:divId w:val="410156154"/>
        <w:rPr>
          <w:rFonts w:asciiTheme="minorHAnsi" w:hAnsiTheme="minorHAnsi"/>
          <w:highlight w:val="cyan"/>
          <w:lang w:val="fr-FR"/>
        </w:rPr>
      </w:pPr>
    </w:p>
    <w:p w:rsidR="00CB4657" w:rsidRPr="00CB4657" w:rsidRDefault="00CB4657" w:rsidP="006142E6">
      <w:pPr>
        <w:pStyle w:val="Listecouleur-Accent11"/>
        <w:spacing w:after="0" w:line="240" w:lineRule="auto"/>
        <w:ind w:left="0" w:right="115"/>
        <w:jc w:val="both"/>
        <w:divId w:val="410156154"/>
        <w:rPr>
          <w:rFonts w:ascii="Times New Roman" w:hAnsi="Times New Roman"/>
          <w:sz w:val="24"/>
          <w:szCs w:val="24"/>
          <w:lang w:val="fr-FR"/>
        </w:rPr>
      </w:pPr>
      <w:r w:rsidRPr="00536131">
        <w:rPr>
          <w:rFonts w:ascii="Times New Roman" w:hAnsi="Times New Roman"/>
          <w:sz w:val="24"/>
          <w:szCs w:val="24"/>
          <w:lang w:val="fr-FR"/>
        </w:rPr>
        <w:t xml:space="preserve">Tous les coûts développés dans le budget sont </w:t>
      </w:r>
      <w:r w:rsidR="006142E6">
        <w:rPr>
          <w:rFonts w:ascii="Times New Roman" w:hAnsi="Times New Roman"/>
          <w:sz w:val="24"/>
          <w:szCs w:val="24"/>
          <w:lang w:val="fr-FR"/>
        </w:rPr>
        <w:t xml:space="preserve">des coûts opérationnels </w:t>
      </w:r>
      <w:r w:rsidRPr="00536131">
        <w:rPr>
          <w:rFonts w:ascii="Times New Roman" w:hAnsi="Times New Roman"/>
          <w:sz w:val="24"/>
          <w:szCs w:val="24"/>
          <w:lang w:val="fr-FR"/>
        </w:rPr>
        <w:t>liés à l’introduction du VPI.</w:t>
      </w:r>
      <w:r w:rsidR="006142E6">
        <w:rPr>
          <w:rFonts w:ascii="Times New Roman" w:hAnsi="Times New Roman"/>
          <w:sz w:val="24"/>
          <w:szCs w:val="24"/>
          <w:lang w:val="fr-FR"/>
        </w:rPr>
        <w:t xml:space="preserve"> </w:t>
      </w:r>
      <w:r w:rsidRPr="00536131">
        <w:rPr>
          <w:rFonts w:ascii="Times New Roman" w:hAnsi="Times New Roman"/>
          <w:sz w:val="24"/>
          <w:szCs w:val="24"/>
          <w:lang w:val="fr-FR"/>
        </w:rPr>
        <w:t xml:space="preserve"> </w:t>
      </w:r>
    </w:p>
    <w:p w:rsidR="00515293" w:rsidRDefault="00515293" w:rsidP="00FD4940">
      <w:pPr>
        <w:ind w:right="235"/>
        <w:jc w:val="both"/>
        <w:divId w:val="410156154"/>
        <w:rPr>
          <w:lang w:val="fr-FR"/>
        </w:rPr>
      </w:pPr>
    </w:p>
    <w:p w:rsidR="00515293" w:rsidRDefault="00515293" w:rsidP="00E62347">
      <w:pPr>
        <w:pStyle w:val="Paragraphedeliste"/>
        <w:numPr>
          <w:ilvl w:val="0"/>
          <w:numId w:val="14"/>
        </w:numPr>
        <w:spacing w:after="0" w:line="240" w:lineRule="auto"/>
        <w:ind w:left="840" w:right="235"/>
        <w:jc w:val="both"/>
        <w:divId w:val="410156154"/>
        <w:rPr>
          <w:rFonts w:asciiTheme="minorHAnsi" w:hAnsiTheme="minorHAnsi"/>
          <w:highlight w:val="cyan"/>
          <w:lang w:val="fr-FR"/>
        </w:rPr>
      </w:pPr>
      <w:r w:rsidRPr="00CB4657">
        <w:rPr>
          <w:rFonts w:asciiTheme="minorHAnsi" w:hAnsiTheme="minorHAnsi"/>
          <w:highlight w:val="cyan"/>
          <w:lang w:val="fr-FR"/>
        </w:rPr>
        <w:t>Examiner les tendances du financement de la vaccination à l’échelon national (fonds publics et fonds versés par les donateurs, le cas échéant), et prévoir d’absorber les coûts additionnels liés à l’introduction du VPI.</w:t>
      </w:r>
    </w:p>
    <w:p w:rsidR="00E62347" w:rsidRPr="00E62347" w:rsidRDefault="00E62347" w:rsidP="00E62347">
      <w:pPr>
        <w:pStyle w:val="Paragraphedeliste"/>
        <w:spacing w:after="0" w:line="240" w:lineRule="auto"/>
        <w:ind w:left="840" w:right="235"/>
        <w:jc w:val="both"/>
        <w:divId w:val="410156154"/>
        <w:rPr>
          <w:rFonts w:asciiTheme="minorHAnsi" w:hAnsiTheme="minorHAnsi"/>
          <w:highlight w:val="cyan"/>
          <w:lang w:val="fr-FR"/>
        </w:rPr>
      </w:pPr>
    </w:p>
    <w:p w:rsidR="00E62347" w:rsidRPr="00E62347" w:rsidRDefault="00E62347" w:rsidP="00E62347">
      <w:pPr>
        <w:ind w:right="120"/>
        <w:jc w:val="both"/>
        <w:divId w:val="410156154"/>
        <w:rPr>
          <w:bCs/>
          <w:lang w:val="fr-FR"/>
        </w:rPr>
      </w:pPr>
      <w:r w:rsidRPr="00E62347">
        <w:rPr>
          <w:bCs/>
          <w:lang w:val="fr-FR"/>
        </w:rPr>
        <w:t xml:space="preserve">Le PEV du Burkina Faso est principalement financé par trois (03) sources à savoir la contribution de l’Etat, celle des partenaires au développement et enfin celle de la communauté à travers le recouvrement des coûts de soins de santé. </w:t>
      </w:r>
    </w:p>
    <w:p w:rsidR="00E62347" w:rsidRPr="00F749A9" w:rsidRDefault="00E62347" w:rsidP="00FF0291">
      <w:pPr>
        <w:jc w:val="both"/>
        <w:divId w:val="410156154"/>
      </w:pPr>
      <w:r w:rsidRPr="00F749A9">
        <w:t>L’Etat finance</w:t>
      </w:r>
      <w:r w:rsidR="007B6A37">
        <w:t xml:space="preserve"> </w:t>
      </w:r>
      <w:r w:rsidRPr="00F749A9">
        <w:t>principalement:</w:t>
      </w:r>
    </w:p>
    <w:p w:rsidR="00E62347" w:rsidRPr="00E62347" w:rsidRDefault="00E62347" w:rsidP="003046BF">
      <w:pPr>
        <w:numPr>
          <w:ilvl w:val="0"/>
          <w:numId w:val="66"/>
        </w:numPr>
        <w:jc w:val="both"/>
        <w:divId w:val="410156154"/>
        <w:rPr>
          <w:color w:val="FF0000"/>
          <w:lang w:val="fr-FR"/>
        </w:rPr>
      </w:pPr>
      <w:r w:rsidRPr="00E62347">
        <w:rPr>
          <w:lang w:val="fr-FR"/>
        </w:rPr>
        <w:t>les vaccins de base et cofinance les vaccins sous utilisés et les nouveau</w:t>
      </w:r>
      <w:r w:rsidR="00E652A6">
        <w:rPr>
          <w:lang w:val="fr-FR"/>
        </w:rPr>
        <w:t>x</w:t>
      </w:r>
      <w:r w:rsidRPr="00E62347">
        <w:rPr>
          <w:lang w:val="fr-FR"/>
        </w:rPr>
        <w:t xml:space="preserve"> vaccins ;</w:t>
      </w:r>
    </w:p>
    <w:p w:rsidR="00E62347" w:rsidRPr="00F749A9" w:rsidRDefault="00E62347" w:rsidP="003046BF">
      <w:pPr>
        <w:numPr>
          <w:ilvl w:val="0"/>
          <w:numId w:val="66"/>
        </w:numPr>
        <w:jc w:val="both"/>
        <w:divId w:val="410156154"/>
      </w:pPr>
      <w:r w:rsidRPr="00F749A9">
        <w:t>les fournitures</w:t>
      </w:r>
      <w:r w:rsidR="007B6A37">
        <w:t xml:space="preserve"> </w:t>
      </w:r>
      <w:r w:rsidRPr="00F749A9">
        <w:t>d’injection ;</w:t>
      </w:r>
    </w:p>
    <w:p w:rsidR="00E62347" w:rsidRPr="00E62347" w:rsidRDefault="00E62347" w:rsidP="003046BF">
      <w:pPr>
        <w:numPr>
          <w:ilvl w:val="0"/>
          <w:numId w:val="66"/>
        </w:numPr>
        <w:jc w:val="both"/>
        <w:divId w:val="410156154"/>
        <w:rPr>
          <w:lang w:val="fr-FR"/>
        </w:rPr>
      </w:pPr>
      <w:r w:rsidRPr="00E62347">
        <w:rPr>
          <w:lang w:val="fr-FR"/>
        </w:rPr>
        <w:t>les salair</w:t>
      </w:r>
      <w:r w:rsidR="0022557F">
        <w:rPr>
          <w:lang w:val="fr-FR"/>
        </w:rPr>
        <w:t>es et coûts partagés</w:t>
      </w:r>
      <w:r w:rsidRPr="00E62347">
        <w:rPr>
          <w:lang w:val="fr-FR"/>
        </w:rPr>
        <w:t> ;</w:t>
      </w:r>
    </w:p>
    <w:p w:rsidR="00E62347" w:rsidRPr="00E62347" w:rsidRDefault="00E62347" w:rsidP="003046BF">
      <w:pPr>
        <w:numPr>
          <w:ilvl w:val="0"/>
          <w:numId w:val="66"/>
        </w:numPr>
        <w:jc w:val="both"/>
        <w:divId w:val="410156154"/>
        <w:rPr>
          <w:lang w:val="fr-FR"/>
        </w:rPr>
      </w:pPr>
      <w:r w:rsidRPr="00E62347">
        <w:rPr>
          <w:lang w:val="fr-FR"/>
        </w:rPr>
        <w:t>le transport pour la livraison des vaccins ;</w:t>
      </w:r>
    </w:p>
    <w:p w:rsidR="00E62347" w:rsidRPr="00E62347" w:rsidRDefault="00E62347" w:rsidP="003046BF">
      <w:pPr>
        <w:numPr>
          <w:ilvl w:val="0"/>
          <w:numId w:val="66"/>
        </w:numPr>
        <w:jc w:val="both"/>
        <w:divId w:val="410156154"/>
        <w:rPr>
          <w:lang w:val="fr-FR"/>
        </w:rPr>
      </w:pPr>
      <w:r w:rsidRPr="00E62347">
        <w:rPr>
          <w:lang w:val="fr-FR"/>
        </w:rPr>
        <w:t>la maintenance et le frais généraux ;</w:t>
      </w:r>
    </w:p>
    <w:p w:rsidR="00E62347" w:rsidRPr="00F749A9" w:rsidRDefault="00E62347" w:rsidP="003046BF">
      <w:pPr>
        <w:numPr>
          <w:ilvl w:val="0"/>
          <w:numId w:val="66"/>
        </w:numPr>
        <w:jc w:val="both"/>
        <w:divId w:val="410156154"/>
      </w:pPr>
      <w:r w:rsidRPr="00F749A9">
        <w:t>la gestion du programme ;</w:t>
      </w:r>
    </w:p>
    <w:p w:rsidR="00E62347" w:rsidRPr="001F73B5" w:rsidRDefault="00FF0291" w:rsidP="003046BF">
      <w:pPr>
        <w:numPr>
          <w:ilvl w:val="0"/>
          <w:numId w:val="66"/>
        </w:numPr>
        <w:jc w:val="both"/>
        <w:divId w:val="410156154"/>
        <w:rPr>
          <w:lang w:val="fr-FR"/>
        </w:rPr>
      </w:pPr>
      <w:r>
        <w:rPr>
          <w:lang w:val="fr-FR"/>
        </w:rPr>
        <w:t>l’acquisition de fonderies</w:t>
      </w:r>
      <w:r w:rsidR="00E62347" w:rsidRPr="001F73B5">
        <w:rPr>
          <w:lang w:val="fr-FR"/>
        </w:rPr>
        <w:t>.</w:t>
      </w:r>
    </w:p>
    <w:p w:rsidR="00E62347" w:rsidRPr="001F73B5" w:rsidRDefault="00E62347" w:rsidP="00E62347">
      <w:pPr>
        <w:jc w:val="both"/>
        <w:divId w:val="410156154"/>
        <w:rPr>
          <w:lang w:val="fr-FR"/>
        </w:rPr>
      </w:pPr>
    </w:p>
    <w:p w:rsidR="00E62347" w:rsidRPr="001F73B5" w:rsidRDefault="00E62347" w:rsidP="00E62347">
      <w:pPr>
        <w:jc w:val="both"/>
        <w:divId w:val="410156154"/>
        <w:rPr>
          <w:lang w:val="fr-FR"/>
        </w:rPr>
      </w:pPr>
      <w:r w:rsidRPr="001F73B5">
        <w:rPr>
          <w:lang w:val="fr-FR"/>
        </w:rPr>
        <w:t>Pour les COGES, il s’agit essentiellement :</w:t>
      </w:r>
    </w:p>
    <w:p w:rsidR="00E62347" w:rsidRPr="00E62347" w:rsidRDefault="00E62347" w:rsidP="003046BF">
      <w:pPr>
        <w:numPr>
          <w:ilvl w:val="0"/>
          <w:numId w:val="67"/>
        </w:numPr>
        <w:jc w:val="both"/>
        <w:divId w:val="410156154"/>
        <w:rPr>
          <w:lang w:val="fr-FR"/>
        </w:rPr>
      </w:pPr>
      <w:r w:rsidRPr="00E62347">
        <w:rPr>
          <w:lang w:val="fr-FR"/>
        </w:rPr>
        <w:t xml:space="preserve">de la maintenance et les frais généraux ; </w:t>
      </w:r>
    </w:p>
    <w:p w:rsidR="00E62347" w:rsidRPr="001F73B5" w:rsidRDefault="00E62347" w:rsidP="003046BF">
      <w:pPr>
        <w:numPr>
          <w:ilvl w:val="0"/>
          <w:numId w:val="67"/>
        </w:numPr>
        <w:jc w:val="both"/>
        <w:divId w:val="410156154"/>
        <w:rPr>
          <w:lang w:val="fr-FR"/>
        </w:rPr>
      </w:pPr>
      <w:r w:rsidRPr="001F73B5">
        <w:rPr>
          <w:lang w:val="fr-FR"/>
        </w:rPr>
        <w:t>du coût partagé des salaires du personnel (gérant du Dépôt MEG, manœuvres…).</w:t>
      </w:r>
    </w:p>
    <w:p w:rsidR="00E62347" w:rsidRPr="001F73B5" w:rsidRDefault="00E62347" w:rsidP="00E62347">
      <w:pPr>
        <w:spacing w:before="240"/>
        <w:jc w:val="both"/>
        <w:divId w:val="410156154"/>
        <w:rPr>
          <w:lang w:val="fr-FR"/>
        </w:rPr>
      </w:pPr>
      <w:r w:rsidRPr="001F73B5">
        <w:rPr>
          <w:lang w:val="fr-FR"/>
        </w:rPr>
        <w:t>Quant aux partenaires aux développements, ils financent :</w:t>
      </w:r>
    </w:p>
    <w:p w:rsidR="00E62347" w:rsidRPr="00E62347" w:rsidRDefault="00E62347" w:rsidP="003046BF">
      <w:pPr>
        <w:numPr>
          <w:ilvl w:val="0"/>
          <w:numId w:val="67"/>
        </w:numPr>
        <w:jc w:val="both"/>
        <w:divId w:val="410156154"/>
        <w:rPr>
          <w:lang w:val="fr-FR"/>
        </w:rPr>
      </w:pPr>
      <w:r w:rsidRPr="00E62347">
        <w:rPr>
          <w:lang w:val="fr-FR"/>
        </w:rPr>
        <w:t xml:space="preserve">les vaccins pour les activités supplémentaires ; </w:t>
      </w:r>
    </w:p>
    <w:p w:rsidR="00E62347" w:rsidRPr="00E62347" w:rsidRDefault="00E62347" w:rsidP="003046BF">
      <w:pPr>
        <w:numPr>
          <w:ilvl w:val="0"/>
          <w:numId w:val="67"/>
        </w:numPr>
        <w:jc w:val="both"/>
        <w:divId w:val="410156154"/>
        <w:rPr>
          <w:lang w:val="fr-FR"/>
        </w:rPr>
      </w:pPr>
      <w:r w:rsidRPr="00E62347">
        <w:rPr>
          <w:lang w:val="fr-FR"/>
        </w:rPr>
        <w:t>une partie des vaccins sous utilisés et les nouveaux ;</w:t>
      </w:r>
    </w:p>
    <w:p w:rsidR="00E62347" w:rsidRPr="00E62347" w:rsidRDefault="00E62347" w:rsidP="003046BF">
      <w:pPr>
        <w:numPr>
          <w:ilvl w:val="0"/>
          <w:numId w:val="67"/>
        </w:numPr>
        <w:jc w:val="both"/>
        <w:divId w:val="410156154"/>
        <w:rPr>
          <w:lang w:val="fr-FR"/>
        </w:rPr>
      </w:pPr>
      <w:r w:rsidRPr="00E62347">
        <w:rPr>
          <w:lang w:val="fr-FR"/>
        </w:rPr>
        <w:t>les activités de contrôle et de surveillance des maladies au niveau du PEV de routine ;</w:t>
      </w:r>
    </w:p>
    <w:p w:rsidR="00E62347" w:rsidRPr="00F749A9" w:rsidRDefault="00E62347" w:rsidP="003046BF">
      <w:pPr>
        <w:numPr>
          <w:ilvl w:val="0"/>
          <w:numId w:val="67"/>
        </w:numPr>
        <w:jc w:val="both"/>
        <w:divId w:val="410156154"/>
      </w:pPr>
      <w:r w:rsidRPr="00F749A9">
        <w:t xml:space="preserve">le </w:t>
      </w:r>
      <w:r w:rsidR="009A3AB3">
        <w:t xml:space="preserve">materiel </w:t>
      </w:r>
      <w:r w:rsidRPr="00F749A9">
        <w:t>d’injection ;</w:t>
      </w:r>
    </w:p>
    <w:p w:rsidR="00E62347" w:rsidRPr="00E62347" w:rsidRDefault="00E62347" w:rsidP="003046BF">
      <w:pPr>
        <w:numPr>
          <w:ilvl w:val="0"/>
          <w:numId w:val="67"/>
        </w:numPr>
        <w:jc w:val="both"/>
        <w:divId w:val="410156154"/>
        <w:rPr>
          <w:lang w:val="fr-FR"/>
        </w:rPr>
      </w:pPr>
      <w:r w:rsidRPr="00E62347">
        <w:rPr>
          <w:lang w:val="fr-FR"/>
        </w:rPr>
        <w:t>la maintenance et les frais généraux ;</w:t>
      </w:r>
    </w:p>
    <w:p w:rsidR="00E62347" w:rsidRPr="00F749A9" w:rsidRDefault="00E62347" w:rsidP="003046BF">
      <w:pPr>
        <w:numPr>
          <w:ilvl w:val="0"/>
          <w:numId w:val="67"/>
        </w:numPr>
        <w:jc w:val="both"/>
        <w:divId w:val="410156154"/>
      </w:pPr>
      <w:r w:rsidRPr="00F749A9">
        <w:t xml:space="preserve">le transport ; </w:t>
      </w:r>
    </w:p>
    <w:p w:rsidR="00E62347" w:rsidRPr="00E62347" w:rsidRDefault="00E62347" w:rsidP="003046BF">
      <w:pPr>
        <w:numPr>
          <w:ilvl w:val="0"/>
          <w:numId w:val="67"/>
        </w:numPr>
        <w:jc w:val="both"/>
        <w:divId w:val="410156154"/>
        <w:rPr>
          <w:lang w:val="fr-FR"/>
        </w:rPr>
      </w:pPr>
      <w:r w:rsidRPr="00E62347">
        <w:rPr>
          <w:lang w:val="fr-FR"/>
        </w:rPr>
        <w:t xml:space="preserve">la formation à court terme ; </w:t>
      </w:r>
    </w:p>
    <w:p w:rsidR="00E62347" w:rsidRPr="00F749A9" w:rsidRDefault="00E62347" w:rsidP="003046BF">
      <w:pPr>
        <w:numPr>
          <w:ilvl w:val="0"/>
          <w:numId w:val="67"/>
        </w:numPr>
        <w:jc w:val="both"/>
        <w:divId w:val="410156154"/>
      </w:pPr>
      <w:r w:rsidRPr="00F749A9">
        <w:t xml:space="preserve">la mobilisation sociale ; </w:t>
      </w:r>
    </w:p>
    <w:p w:rsidR="00E62347" w:rsidRPr="001F73B5" w:rsidRDefault="00E62347" w:rsidP="003046BF">
      <w:pPr>
        <w:numPr>
          <w:ilvl w:val="0"/>
          <w:numId w:val="67"/>
        </w:numPr>
        <w:jc w:val="both"/>
        <w:divId w:val="410156154"/>
        <w:rPr>
          <w:lang w:val="fr-FR"/>
        </w:rPr>
      </w:pPr>
      <w:r w:rsidRPr="001F73B5">
        <w:rPr>
          <w:lang w:val="fr-FR"/>
        </w:rPr>
        <w:t>les coûts opérationnels des campagnes de vaccinations.</w:t>
      </w:r>
    </w:p>
    <w:p w:rsidR="00E62347" w:rsidRPr="001F73B5" w:rsidRDefault="00E62347" w:rsidP="00E62347">
      <w:pPr>
        <w:spacing w:before="240"/>
        <w:jc w:val="both"/>
        <w:divId w:val="410156154"/>
        <w:rPr>
          <w:lang w:val="fr-FR"/>
        </w:rPr>
      </w:pPr>
      <w:r w:rsidRPr="001F73B5">
        <w:rPr>
          <w:lang w:val="fr-FR"/>
        </w:rPr>
        <w:t>Les principaux bailleurs de fonds du PEV (hors coût partagé) pour la période sont :</w:t>
      </w:r>
    </w:p>
    <w:p w:rsidR="00E62347" w:rsidRPr="00F749A9" w:rsidRDefault="00E62347" w:rsidP="003046BF">
      <w:pPr>
        <w:numPr>
          <w:ilvl w:val="0"/>
          <w:numId w:val="68"/>
        </w:numPr>
        <w:jc w:val="both"/>
        <w:divId w:val="410156154"/>
      </w:pPr>
      <w:r w:rsidRPr="00F749A9">
        <w:t>GAVI (67</w:t>
      </w:r>
      <w:r w:rsidR="001F3750" w:rsidRPr="00F749A9">
        <w:t>, 34</w:t>
      </w:r>
      <w:r w:rsidRPr="00F749A9">
        <w:t>%),</w:t>
      </w:r>
    </w:p>
    <w:p w:rsidR="00E62347" w:rsidRPr="00F749A9" w:rsidRDefault="00E62347" w:rsidP="003046BF">
      <w:pPr>
        <w:numPr>
          <w:ilvl w:val="0"/>
          <w:numId w:val="68"/>
        </w:numPr>
        <w:jc w:val="both"/>
        <w:divId w:val="410156154"/>
      </w:pPr>
      <w:r w:rsidRPr="00F749A9">
        <w:t xml:space="preserve">Budget de </w:t>
      </w:r>
      <w:r w:rsidR="001F3750" w:rsidRPr="00F749A9">
        <w:t>L’Etat</w:t>
      </w:r>
      <w:r w:rsidRPr="00F749A9">
        <w:t xml:space="preserve"> (15</w:t>
      </w:r>
      <w:r w:rsidR="001F3750" w:rsidRPr="00F749A9">
        <w:t>, 75</w:t>
      </w:r>
      <w:r w:rsidRPr="00F749A9">
        <w:t>%),</w:t>
      </w:r>
    </w:p>
    <w:p w:rsidR="00E62347" w:rsidRPr="00F749A9" w:rsidRDefault="00E62347" w:rsidP="003046BF">
      <w:pPr>
        <w:numPr>
          <w:ilvl w:val="0"/>
          <w:numId w:val="68"/>
        </w:numPr>
        <w:jc w:val="both"/>
        <w:divId w:val="410156154"/>
      </w:pPr>
      <w:r w:rsidRPr="00F749A9">
        <w:t>L’OMS (4</w:t>
      </w:r>
      <w:r w:rsidR="001F3750" w:rsidRPr="00F749A9">
        <w:t>, 81</w:t>
      </w:r>
      <w:r w:rsidRPr="00F749A9">
        <w:t>%),</w:t>
      </w:r>
    </w:p>
    <w:p w:rsidR="00E62347" w:rsidRPr="00F749A9" w:rsidRDefault="00E62347" w:rsidP="003046BF">
      <w:pPr>
        <w:numPr>
          <w:ilvl w:val="0"/>
          <w:numId w:val="68"/>
        </w:numPr>
        <w:jc w:val="both"/>
        <w:divId w:val="410156154"/>
      </w:pPr>
      <w:r w:rsidRPr="00F749A9">
        <w:t>L’UNICEF (9</w:t>
      </w:r>
      <w:r w:rsidR="001F3750" w:rsidRPr="00F749A9">
        <w:t>, 27</w:t>
      </w:r>
      <w:r w:rsidRPr="00F749A9">
        <w:t>%),</w:t>
      </w:r>
    </w:p>
    <w:p w:rsidR="00E62347" w:rsidRPr="00F749A9" w:rsidRDefault="00E62347" w:rsidP="003046BF">
      <w:pPr>
        <w:numPr>
          <w:ilvl w:val="0"/>
          <w:numId w:val="68"/>
        </w:numPr>
        <w:jc w:val="both"/>
        <w:divId w:val="410156154"/>
      </w:pPr>
      <w:r w:rsidRPr="00F749A9">
        <w:t>PADS (1</w:t>
      </w:r>
      <w:r w:rsidR="001F3750" w:rsidRPr="00F749A9">
        <w:t>, 73</w:t>
      </w:r>
      <w:r w:rsidRPr="00F749A9">
        <w:t>%),</w:t>
      </w:r>
    </w:p>
    <w:p w:rsidR="00E62347" w:rsidRDefault="00E652A6" w:rsidP="003046BF">
      <w:pPr>
        <w:numPr>
          <w:ilvl w:val="0"/>
          <w:numId w:val="68"/>
        </w:numPr>
        <w:jc w:val="both"/>
        <w:divId w:val="410156154"/>
      </w:pPr>
      <w:r>
        <w:t>COGES</w:t>
      </w:r>
      <w:r w:rsidR="00E62347" w:rsidRPr="00F749A9">
        <w:t xml:space="preserve"> (1</w:t>
      </w:r>
      <w:r w:rsidR="001F3750" w:rsidRPr="00F749A9">
        <w:t>, 07</w:t>
      </w:r>
      <w:r w:rsidR="00E62347" w:rsidRPr="00F749A9">
        <w:t>%)</w:t>
      </w:r>
    </w:p>
    <w:p w:rsidR="001F3750" w:rsidRDefault="001F3750" w:rsidP="009A3AB3">
      <w:pPr>
        <w:pStyle w:val="Paragraphedeliste"/>
        <w:spacing w:before="240" w:line="240" w:lineRule="auto"/>
        <w:ind w:left="0"/>
        <w:jc w:val="both"/>
        <w:divId w:val="410156154"/>
        <w:rPr>
          <w:rFonts w:ascii="Times New Roman" w:hAnsi="Times New Roman"/>
          <w:b/>
          <w:sz w:val="24"/>
          <w:szCs w:val="24"/>
        </w:rPr>
      </w:pPr>
    </w:p>
    <w:p w:rsidR="001F3750" w:rsidRDefault="001F3750" w:rsidP="009A3AB3">
      <w:pPr>
        <w:pStyle w:val="Paragraphedeliste"/>
        <w:spacing w:before="240" w:line="240" w:lineRule="auto"/>
        <w:ind w:left="0"/>
        <w:jc w:val="both"/>
        <w:divId w:val="410156154"/>
        <w:rPr>
          <w:rFonts w:ascii="Times New Roman" w:hAnsi="Times New Roman"/>
          <w:b/>
          <w:sz w:val="24"/>
          <w:szCs w:val="24"/>
        </w:rPr>
      </w:pPr>
    </w:p>
    <w:p w:rsidR="001F3750" w:rsidRDefault="001F3750" w:rsidP="009A3AB3">
      <w:pPr>
        <w:pStyle w:val="Paragraphedeliste"/>
        <w:spacing w:before="240" w:line="240" w:lineRule="auto"/>
        <w:ind w:left="0"/>
        <w:jc w:val="both"/>
        <w:divId w:val="410156154"/>
        <w:rPr>
          <w:rFonts w:ascii="Times New Roman" w:hAnsi="Times New Roman"/>
          <w:b/>
          <w:sz w:val="24"/>
          <w:szCs w:val="24"/>
        </w:rPr>
      </w:pPr>
    </w:p>
    <w:p w:rsidR="00E62347" w:rsidRPr="005454CA" w:rsidRDefault="00E62347" w:rsidP="009A3AB3">
      <w:pPr>
        <w:pStyle w:val="Paragraphedeliste"/>
        <w:spacing w:before="240" w:line="240" w:lineRule="auto"/>
        <w:ind w:left="0"/>
        <w:jc w:val="both"/>
        <w:divId w:val="410156154"/>
        <w:rPr>
          <w:rFonts w:ascii="Times New Roman" w:hAnsi="Times New Roman"/>
          <w:b/>
          <w:sz w:val="24"/>
          <w:szCs w:val="24"/>
        </w:rPr>
      </w:pPr>
      <w:r w:rsidRPr="005454CA">
        <w:rPr>
          <w:rFonts w:ascii="Times New Roman" w:hAnsi="Times New Roman"/>
          <w:b/>
          <w:sz w:val="24"/>
          <w:szCs w:val="24"/>
        </w:rPr>
        <w:lastRenderedPageBreak/>
        <w:t>Financement</w:t>
      </w:r>
      <w:r w:rsidR="00902944">
        <w:rPr>
          <w:rFonts w:ascii="Times New Roman" w:hAnsi="Times New Roman"/>
          <w:b/>
          <w:sz w:val="24"/>
          <w:szCs w:val="24"/>
        </w:rPr>
        <w:t xml:space="preserve"> assur</w:t>
      </w:r>
      <w:r w:rsidR="009A3AB3">
        <w:rPr>
          <w:rFonts w:ascii="Times New Roman" w:hAnsi="Times New Roman"/>
          <w:b/>
          <w:sz w:val="24"/>
          <w:szCs w:val="24"/>
        </w:rPr>
        <w:t>é</w:t>
      </w:r>
      <w:r w:rsidR="00902944">
        <w:rPr>
          <w:rFonts w:ascii="Times New Roman" w:hAnsi="Times New Roman"/>
          <w:b/>
          <w:sz w:val="24"/>
          <w:szCs w:val="24"/>
        </w:rPr>
        <w:t xml:space="preserve"> </w:t>
      </w:r>
      <w:proofErr w:type="gramStart"/>
      <w:r w:rsidRPr="005454CA">
        <w:rPr>
          <w:rFonts w:ascii="Times New Roman" w:hAnsi="Times New Roman"/>
          <w:b/>
          <w:sz w:val="24"/>
          <w:szCs w:val="24"/>
        </w:rPr>
        <w:t>et</w:t>
      </w:r>
      <w:proofErr w:type="gramEnd"/>
      <w:r w:rsidRPr="005454CA">
        <w:rPr>
          <w:rFonts w:ascii="Times New Roman" w:hAnsi="Times New Roman"/>
          <w:b/>
          <w:sz w:val="24"/>
          <w:szCs w:val="24"/>
        </w:rPr>
        <w:t xml:space="preserve"> probable</w:t>
      </w:r>
    </w:p>
    <w:p w:rsidR="00E62347" w:rsidRPr="001F73B5" w:rsidRDefault="00E62347" w:rsidP="00E652A6">
      <w:pPr>
        <w:jc w:val="both"/>
        <w:divId w:val="410156154"/>
        <w:rPr>
          <w:lang w:val="fr-FR"/>
        </w:rPr>
      </w:pPr>
      <w:r w:rsidRPr="001F73B5">
        <w:rPr>
          <w:lang w:val="fr-FR"/>
        </w:rPr>
        <w:t xml:space="preserve">Le financement assuré et probable représente 90,9 % des besoins en ressources sur la période. La part des financements internes dans le financement total (assuré et probable) est de 16.81% </w:t>
      </w:r>
      <w:r w:rsidR="00E652A6">
        <w:rPr>
          <w:lang w:val="fr-FR"/>
        </w:rPr>
        <w:t>sans les coûts partagés</w:t>
      </w:r>
      <w:r w:rsidRPr="001F73B5">
        <w:rPr>
          <w:lang w:val="fr-FR"/>
        </w:rPr>
        <w:t xml:space="preserve">. Les financements internes regroupent le budget régulier de l’Etat, financement communautaire – COGES. </w:t>
      </w:r>
    </w:p>
    <w:p w:rsidR="00E62347" w:rsidRPr="001F73B5" w:rsidRDefault="00E62347" w:rsidP="00E62347">
      <w:pPr>
        <w:jc w:val="both"/>
        <w:divId w:val="410156154"/>
        <w:rPr>
          <w:lang w:val="fr-FR"/>
        </w:rPr>
      </w:pPr>
      <w:r w:rsidRPr="001F73B5">
        <w:rPr>
          <w:lang w:val="fr-FR"/>
        </w:rPr>
        <w:t>Face à cet écart financier (9 % des besoins en ressources, si l’on ne considère que les financements assurés), un certain nombre de stratégies de viabilité financière ont été définies par la DPV, puis adoptées par ses partenaires en CCIA.</w:t>
      </w:r>
    </w:p>
    <w:p w:rsidR="00E62347" w:rsidRPr="001F73B5" w:rsidRDefault="00E62347" w:rsidP="00E62347">
      <w:pPr>
        <w:jc w:val="both"/>
        <w:divId w:val="410156154"/>
        <w:rPr>
          <w:lang w:val="fr-FR"/>
        </w:rPr>
      </w:pPr>
      <w:r w:rsidRPr="001F73B5">
        <w:rPr>
          <w:lang w:val="fr-FR"/>
        </w:rPr>
        <w:t>Ces stratégies visent d’une part à sécuriser les financements probables ide</w:t>
      </w:r>
      <w:r w:rsidR="00E652A6">
        <w:rPr>
          <w:lang w:val="fr-FR"/>
        </w:rPr>
        <w:t>ntifiés dans le document du PPAC</w:t>
      </w:r>
      <w:r w:rsidRPr="001F73B5">
        <w:rPr>
          <w:lang w:val="fr-FR"/>
        </w:rPr>
        <w:t xml:space="preserve">, et d’autre part à combler le déficit subsistant. </w:t>
      </w:r>
    </w:p>
    <w:p w:rsidR="00E62347" w:rsidRPr="001F73B5" w:rsidRDefault="00E62347" w:rsidP="00E62347">
      <w:pPr>
        <w:jc w:val="both"/>
        <w:divId w:val="410156154"/>
        <w:rPr>
          <w:lang w:val="fr-FR"/>
        </w:rPr>
      </w:pPr>
      <w:r w:rsidRPr="001F73B5">
        <w:rPr>
          <w:lang w:val="fr-FR"/>
        </w:rPr>
        <w:t>Ces stratégies s’articulent autour de trois axes :</w:t>
      </w:r>
    </w:p>
    <w:p w:rsidR="00E62347" w:rsidRPr="00F749A9" w:rsidRDefault="001F3750" w:rsidP="003046BF">
      <w:pPr>
        <w:numPr>
          <w:ilvl w:val="0"/>
          <w:numId w:val="69"/>
        </w:numPr>
        <w:jc w:val="both"/>
        <w:divId w:val="410156154"/>
      </w:pPr>
      <w:r w:rsidRPr="00F749A9">
        <w:t>Amelioration</w:t>
      </w:r>
      <w:r w:rsidR="00E62347" w:rsidRPr="00F749A9">
        <w:t xml:space="preserve"> des processus</w:t>
      </w:r>
      <w:r w:rsidR="00902944">
        <w:t xml:space="preserve"> </w:t>
      </w:r>
      <w:r w:rsidR="00E62347" w:rsidRPr="00F749A9">
        <w:t>budgétaires</w:t>
      </w:r>
    </w:p>
    <w:p w:rsidR="00E62347" w:rsidRPr="00F749A9" w:rsidRDefault="00E62347" w:rsidP="003046BF">
      <w:pPr>
        <w:numPr>
          <w:ilvl w:val="0"/>
          <w:numId w:val="69"/>
        </w:numPr>
        <w:jc w:val="both"/>
        <w:divId w:val="410156154"/>
      </w:pPr>
      <w:r w:rsidRPr="00F749A9">
        <w:t>Mobilisation de ressources</w:t>
      </w:r>
      <w:r w:rsidR="00902944">
        <w:t xml:space="preserve"> </w:t>
      </w:r>
      <w:r w:rsidRPr="00F749A9">
        <w:t>supplémentaires</w:t>
      </w:r>
    </w:p>
    <w:p w:rsidR="00E62347" w:rsidRPr="00E62347" w:rsidRDefault="00E62347" w:rsidP="003046BF">
      <w:pPr>
        <w:numPr>
          <w:ilvl w:val="0"/>
          <w:numId w:val="69"/>
        </w:numPr>
        <w:jc w:val="both"/>
        <w:divId w:val="410156154"/>
        <w:rPr>
          <w:lang w:val="fr-FR"/>
        </w:rPr>
      </w:pPr>
      <w:r w:rsidRPr="00E62347">
        <w:rPr>
          <w:lang w:val="fr-FR"/>
        </w:rPr>
        <w:t>Réduction des coûts du PEV grâce à l’amélioration de son efficience</w:t>
      </w:r>
    </w:p>
    <w:p w:rsidR="00E62347" w:rsidRDefault="00E62347" w:rsidP="00E62347">
      <w:pPr>
        <w:jc w:val="both"/>
        <w:divId w:val="410156154"/>
        <w:rPr>
          <w:lang w:val="fr-FR"/>
        </w:rPr>
      </w:pPr>
    </w:p>
    <w:p w:rsidR="00E62347" w:rsidRPr="00E62347" w:rsidRDefault="00E62347" w:rsidP="00E62347">
      <w:pPr>
        <w:jc w:val="both"/>
        <w:divId w:val="410156154"/>
        <w:rPr>
          <w:b/>
          <w:lang w:val="fr-FR"/>
        </w:rPr>
      </w:pPr>
      <w:r w:rsidRPr="00E62347">
        <w:rPr>
          <w:b/>
          <w:lang w:val="fr-FR"/>
        </w:rPr>
        <w:t>Besoins en ressource de 2011-2015</w:t>
      </w:r>
    </w:p>
    <w:p w:rsidR="00E62347" w:rsidRPr="007C5B3F" w:rsidRDefault="00E62347" w:rsidP="00E62347">
      <w:pPr>
        <w:jc w:val="both"/>
        <w:divId w:val="410156154"/>
        <w:rPr>
          <w:b/>
          <w:sz w:val="16"/>
          <w:lang w:val="fr-FR"/>
        </w:rPr>
      </w:pPr>
    </w:p>
    <w:p w:rsidR="00E62347" w:rsidRPr="00E62347" w:rsidRDefault="00E62347" w:rsidP="00E62347">
      <w:pPr>
        <w:jc w:val="both"/>
        <w:divId w:val="410156154"/>
        <w:rPr>
          <w:b/>
          <w:bCs/>
          <w:u w:val="single"/>
          <w:lang w:val="fr-FR"/>
        </w:rPr>
      </w:pPr>
      <w:r w:rsidRPr="00E62347">
        <w:rPr>
          <w:b/>
          <w:bCs/>
          <w:u w:val="single"/>
          <w:lang w:val="fr-FR"/>
        </w:rPr>
        <w:t>Données quantitatives</w:t>
      </w:r>
    </w:p>
    <w:p w:rsidR="00E62347" w:rsidRPr="00F53E9E" w:rsidRDefault="00E62347" w:rsidP="00E62347">
      <w:pPr>
        <w:jc w:val="both"/>
        <w:divId w:val="410156154"/>
        <w:rPr>
          <w:bCs/>
          <w:lang w:val="fr-FR"/>
        </w:rPr>
      </w:pPr>
      <w:r w:rsidRPr="001F73B5">
        <w:rPr>
          <w:lang w:val="fr-FR"/>
        </w:rPr>
        <w:t>Les projections des ressources pour la période 2011-2015 font ressortir un montant de 176 351 201$ US soit en moyenne 35 270 240$ US par an, avec un pic des besoins en ressource pour le PEV en 2014 s’élevant à 53 281 138 $US.</w:t>
      </w:r>
    </w:p>
    <w:p w:rsidR="00E62347" w:rsidRPr="00F53E9E" w:rsidRDefault="00E62347" w:rsidP="00E62347">
      <w:pPr>
        <w:jc w:val="both"/>
        <w:divId w:val="410156154"/>
        <w:rPr>
          <w:lang w:val="fr-FR"/>
        </w:rPr>
      </w:pPr>
      <w:r w:rsidRPr="001F73B5">
        <w:rPr>
          <w:lang w:val="fr-FR"/>
        </w:rPr>
        <w:t>Les coûts spécifiques représentent 80,82% des coûts totaux. En ce qui concerne la part des coûts récurrents, elle représente 85,16% des coûts totaux de la vaccination.</w:t>
      </w:r>
    </w:p>
    <w:p w:rsidR="00E62347" w:rsidRPr="001F73B5" w:rsidRDefault="00E62347" w:rsidP="00E62347">
      <w:pPr>
        <w:jc w:val="both"/>
        <w:divId w:val="410156154"/>
        <w:rPr>
          <w:lang w:val="fr-FR"/>
        </w:rPr>
      </w:pPr>
      <w:r w:rsidRPr="001F73B5">
        <w:rPr>
          <w:lang w:val="fr-FR"/>
        </w:rPr>
        <w:t>Le coût total des besoins en ressources sur la période 2011-2015 du PPAC se décompose ainsi qu’il suit :</w:t>
      </w:r>
    </w:p>
    <w:p w:rsidR="00E62347" w:rsidRPr="00F53E9E" w:rsidRDefault="00902944" w:rsidP="003046BF">
      <w:pPr>
        <w:pStyle w:val="Paragraphedeliste"/>
        <w:numPr>
          <w:ilvl w:val="0"/>
          <w:numId w:val="71"/>
        </w:numPr>
        <w:spacing w:line="240" w:lineRule="auto"/>
        <w:jc w:val="both"/>
        <w:divId w:val="410156154"/>
        <w:rPr>
          <w:rFonts w:ascii="Times New Roman" w:hAnsi="Times New Roman"/>
          <w:color w:val="000000"/>
          <w:sz w:val="24"/>
          <w:szCs w:val="24"/>
        </w:rPr>
      </w:pPr>
      <w:r w:rsidRPr="00F53E9E">
        <w:rPr>
          <w:rFonts w:ascii="Times New Roman" w:hAnsi="Times New Roman"/>
          <w:sz w:val="24"/>
          <w:szCs w:val="24"/>
        </w:rPr>
        <w:t>C</w:t>
      </w:r>
      <w:r w:rsidR="00E62347" w:rsidRPr="00F53E9E">
        <w:rPr>
          <w:rFonts w:ascii="Times New Roman" w:hAnsi="Times New Roman"/>
          <w:sz w:val="24"/>
          <w:szCs w:val="24"/>
        </w:rPr>
        <w:t>oûts</w:t>
      </w:r>
      <w:r>
        <w:rPr>
          <w:rFonts w:ascii="Times New Roman" w:hAnsi="Times New Roman"/>
          <w:sz w:val="24"/>
          <w:szCs w:val="24"/>
        </w:rPr>
        <w:t xml:space="preserve"> </w:t>
      </w:r>
      <w:r w:rsidR="00E62347" w:rsidRPr="00F53E9E">
        <w:rPr>
          <w:rFonts w:ascii="Times New Roman" w:hAnsi="Times New Roman"/>
          <w:sz w:val="24"/>
          <w:szCs w:val="24"/>
        </w:rPr>
        <w:t xml:space="preserve">récurrents courants : </w:t>
      </w:r>
      <w:r w:rsidR="00E62347" w:rsidRPr="00F53E9E">
        <w:rPr>
          <w:rFonts w:ascii="Times New Roman" w:hAnsi="Times New Roman"/>
          <w:color w:val="000000"/>
          <w:sz w:val="24"/>
          <w:szCs w:val="24"/>
        </w:rPr>
        <w:t>62,16%</w:t>
      </w:r>
    </w:p>
    <w:p w:rsidR="00E62347" w:rsidRPr="00F53E9E" w:rsidRDefault="00902944" w:rsidP="003046BF">
      <w:pPr>
        <w:pStyle w:val="Paragraphedeliste"/>
        <w:numPr>
          <w:ilvl w:val="0"/>
          <w:numId w:val="71"/>
        </w:numPr>
        <w:spacing w:line="240" w:lineRule="auto"/>
        <w:jc w:val="both"/>
        <w:divId w:val="410156154"/>
        <w:rPr>
          <w:rFonts w:ascii="Times New Roman" w:hAnsi="Times New Roman"/>
          <w:color w:val="000000"/>
          <w:sz w:val="24"/>
          <w:szCs w:val="24"/>
        </w:rPr>
      </w:pPr>
      <w:r w:rsidRPr="00F53E9E">
        <w:rPr>
          <w:rFonts w:ascii="Times New Roman" w:hAnsi="Times New Roman"/>
          <w:sz w:val="24"/>
          <w:szCs w:val="24"/>
        </w:rPr>
        <w:t>C</w:t>
      </w:r>
      <w:r w:rsidR="00E62347" w:rsidRPr="00F53E9E">
        <w:rPr>
          <w:rFonts w:ascii="Times New Roman" w:hAnsi="Times New Roman"/>
          <w:sz w:val="24"/>
          <w:szCs w:val="24"/>
        </w:rPr>
        <w:t>oûts</w:t>
      </w:r>
      <w:r>
        <w:rPr>
          <w:rFonts w:ascii="Times New Roman" w:hAnsi="Times New Roman"/>
          <w:sz w:val="24"/>
          <w:szCs w:val="24"/>
        </w:rPr>
        <w:t xml:space="preserve"> </w:t>
      </w:r>
      <w:r w:rsidR="00E62347" w:rsidRPr="00F53E9E">
        <w:rPr>
          <w:rFonts w:ascii="Times New Roman" w:hAnsi="Times New Roman"/>
          <w:sz w:val="24"/>
          <w:szCs w:val="24"/>
        </w:rPr>
        <w:t xml:space="preserve">en capital : </w:t>
      </w:r>
      <w:r w:rsidR="00E62347" w:rsidRPr="00F53E9E">
        <w:rPr>
          <w:rFonts w:ascii="Times New Roman" w:hAnsi="Times New Roman"/>
          <w:color w:val="000000"/>
          <w:sz w:val="24"/>
          <w:szCs w:val="24"/>
        </w:rPr>
        <w:t>3,75% ;</w:t>
      </w:r>
    </w:p>
    <w:p w:rsidR="00E62347" w:rsidRPr="00F53E9E" w:rsidRDefault="00E62347" w:rsidP="003046BF">
      <w:pPr>
        <w:pStyle w:val="Paragraphedeliste"/>
        <w:numPr>
          <w:ilvl w:val="0"/>
          <w:numId w:val="71"/>
        </w:numPr>
        <w:spacing w:line="240" w:lineRule="auto"/>
        <w:jc w:val="both"/>
        <w:divId w:val="410156154"/>
        <w:rPr>
          <w:rFonts w:ascii="Times New Roman" w:hAnsi="Times New Roman"/>
          <w:color w:val="000000"/>
          <w:sz w:val="24"/>
          <w:szCs w:val="24"/>
        </w:rPr>
      </w:pPr>
      <w:r w:rsidRPr="00F53E9E">
        <w:rPr>
          <w:rFonts w:ascii="Times New Roman" w:hAnsi="Times New Roman"/>
          <w:sz w:val="24"/>
          <w:szCs w:val="24"/>
        </w:rPr>
        <w:t xml:space="preserve">campagnes de vaccination : </w:t>
      </w:r>
      <w:r w:rsidRPr="00F53E9E">
        <w:rPr>
          <w:rFonts w:ascii="Times New Roman" w:hAnsi="Times New Roman"/>
          <w:color w:val="000000"/>
          <w:sz w:val="24"/>
          <w:szCs w:val="24"/>
        </w:rPr>
        <w:t>14,92%</w:t>
      </w:r>
    </w:p>
    <w:p w:rsidR="00E62347" w:rsidRPr="007C5B3F" w:rsidRDefault="00E62347" w:rsidP="003046BF">
      <w:pPr>
        <w:pStyle w:val="Paragraphedeliste"/>
        <w:numPr>
          <w:ilvl w:val="0"/>
          <w:numId w:val="70"/>
        </w:numPr>
        <w:spacing w:line="240" w:lineRule="auto"/>
        <w:ind w:left="840" w:right="120"/>
        <w:jc w:val="both"/>
        <w:divId w:val="410156154"/>
        <w:rPr>
          <w:rFonts w:ascii="Times New Roman" w:hAnsi="Times New Roman"/>
          <w:sz w:val="24"/>
          <w:szCs w:val="24"/>
        </w:rPr>
      </w:pPr>
      <w:r w:rsidRPr="00F53E9E">
        <w:rPr>
          <w:rFonts w:ascii="Times New Roman" w:hAnsi="Times New Roman"/>
          <w:sz w:val="24"/>
          <w:szCs w:val="24"/>
        </w:rPr>
        <w:t>coûts</w:t>
      </w:r>
      <w:r w:rsidR="00902944">
        <w:rPr>
          <w:rFonts w:ascii="Times New Roman" w:hAnsi="Times New Roman"/>
          <w:sz w:val="24"/>
          <w:szCs w:val="24"/>
        </w:rPr>
        <w:t xml:space="preserve"> </w:t>
      </w:r>
      <w:r w:rsidRPr="00F53E9E">
        <w:rPr>
          <w:rFonts w:ascii="Times New Roman" w:hAnsi="Times New Roman"/>
          <w:sz w:val="24"/>
          <w:szCs w:val="24"/>
        </w:rPr>
        <w:t xml:space="preserve">partagés : </w:t>
      </w:r>
      <w:r w:rsidRPr="00F53E9E">
        <w:rPr>
          <w:rFonts w:ascii="Times New Roman" w:hAnsi="Times New Roman"/>
          <w:color w:val="000000"/>
          <w:sz w:val="24"/>
          <w:szCs w:val="24"/>
        </w:rPr>
        <w:t>19,18%</w:t>
      </w:r>
    </w:p>
    <w:p w:rsidR="00E62347" w:rsidRPr="00E62347" w:rsidRDefault="00E62347" w:rsidP="00E62347">
      <w:pPr>
        <w:spacing w:before="240"/>
        <w:jc w:val="both"/>
        <w:divId w:val="410156154"/>
        <w:rPr>
          <w:b/>
          <w:lang w:val="fr-FR"/>
        </w:rPr>
      </w:pPr>
      <w:r w:rsidRPr="00E62347">
        <w:rPr>
          <w:b/>
          <w:lang w:val="fr-FR"/>
        </w:rPr>
        <w:t>Financement de 2011-2015</w:t>
      </w:r>
    </w:p>
    <w:p w:rsidR="00E62347" w:rsidRPr="00E62347" w:rsidRDefault="00E62347" w:rsidP="00E62347">
      <w:pPr>
        <w:spacing w:before="240"/>
        <w:jc w:val="both"/>
        <w:divId w:val="410156154"/>
        <w:rPr>
          <w:b/>
          <w:lang w:val="fr-FR"/>
        </w:rPr>
      </w:pPr>
      <w:r w:rsidRPr="00E62347">
        <w:rPr>
          <w:b/>
          <w:lang w:val="fr-FR"/>
        </w:rPr>
        <w:t>Financement assuré</w:t>
      </w:r>
    </w:p>
    <w:p w:rsidR="00E62347" w:rsidRPr="001F73B5" w:rsidRDefault="00E62347" w:rsidP="00E62347">
      <w:pPr>
        <w:jc w:val="both"/>
        <w:divId w:val="410156154"/>
        <w:rPr>
          <w:lang w:val="fr-FR"/>
        </w:rPr>
      </w:pPr>
      <w:r w:rsidRPr="001F73B5">
        <w:rPr>
          <w:lang w:val="fr-FR"/>
        </w:rPr>
        <w:t>Les financements assurés sont des financements dont les conventions de financement sont signés ou en voie d’être signées.</w:t>
      </w:r>
    </w:p>
    <w:p w:rsidR="00E62347" w:rsidRPr="001F73B5" w:rsidRDefault="00E62347" w:rsidP="00E62347">
      <w:pPr>
        <w:jc w:val="both"/>
        <w:divId w:val="410156154"/>
        <w:rPr>
          <w:lang w:val="fr-FR"/>
        </w:rPr>
      </w:pPr>
    </w:p>
    <w:p w:rsidR="00E62347" w:rsidRPr="00F21D99" w:rsidRDefault="00E62347" w:rsidP="00E62347">
      <w:pPr>
        <w:jc w:val="both"/>
        <w:divId w:val="410156154"/>
        <w:rPr>
          <w:lang w:val="fr-FR"/>
        </w:rPr>
      </w:pPr>
      <w:r w:rsidRPr="00F749A9">
        <w:rPr>
          <w:noProof/>
          <w:lang w:val="fr-FR" w:eastAsia="fr-FR"/>
        </w:rPr>
        <w:lastRenderedPageBreak/>
        <w:drawing>
          <wp:inline distT="0" distB="0" distL="0" distR="0">
            <wp:extent cx="5223164" cy="2466109"/>
            <wp:effectExtent l="0" t="0" r="0" b="0"/>
            <wp:docPr id="6" name="Graphique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21D99" w:rsidRDefault="00F21D99" w:rsidP="00E62347">
      <w:pPr>
        <w:spacing w:after="200"/>
        <w:jc w:val="both"/>
        <w:divId w:val="410156154"/>
        <w:rPr>
          <w:lang w:val="fr-FR"/>
        </w:rPr>
      </w:pPr>
    </w:p>
    <w:p w:rsidR="00E62347" w:rsidRPr="001F73B5" w:rsidRDefault="00E62347" w:rsidP="00E62347">
      <w:pPr>
        <w:spacing w:after="200"/>
        <w:jc w:val="both"/>
        <w:divId w:val="410156154"/>
        <w:rPr>
          <w:lang w:val="fr-FR"/>
        </w:rPr>
      </w:pPr>
      <w:r w:rsidRPr="001F73B5">
        <w:rPr>
          <w:lang w:val="fr-FR"/>
        </w:rPr>
        <w:t xml:space="preserve">Les financements assurés représentent 86,96% des besoins en ressources. L’écart devient de plus en plus important entre 2013 et 2014 compte tenu de l’impossibilité de certains partenaires à se prononce sur le long terme. </w:t>
      </w:r>
    </w:p>
    <w:p w:rsidR="00E62347" w:rsidRPr="001F73B5" w:rsidRDefault="00E62347" w:rsidP="00E62347">
      <w:pPr>
        <w:spacing w:before="240"/>
        <w:jc w:val="both"/>
        <w:divId w:val="410156154"/>
        <w:rPr>
          <w:lang w:val="fr-FR"/>
        </w:rPr>
      </w:pPr>
      <w:r w:rsidRPr="001F73B5">
        <w:rPr>
          <w:lang w:val="fr-FR"/>
        </w:rPr>
        <w:t>Les principaux bailleurs de  fonds du PEV (hors coût partagé) pour la période sont :</w:t>
      </w:r>
    </w:p>
    <w:p w:rsidR="00E62347" w:rsidRPr="00E42231" w:rsidRDefault="00E62347" w:rsidP="003046BF">
      <w:pPr>
        <w:numPr>
          <w:ilvl w:val="0"/>
          <w:numId w:val="68"/>
        </w:numPr>
        <w:jc w:val="both"/>
        <w:divId w:val="410156154"/>
      </w:pPr>
      <w:r w:rsidRPr="00E42231">
        <w:t>GAVI (67</w:t>
      </w:r>
      <w:r w:rsidR="00A179A4" w:rsidRPr="00E42231">
        <w:t>, 34</w:t>
      </w:r>
      <w:r w:rsidRPr="00E42231">
        <w:t>%),</w:t>
      </w:r>
    </w:p>
    <w:p w:rsidR="00E62347" w:rsidRPr="00E42231" w:rsidRDefault="00E62347" w:rsidP="003046BF">
      <w:pPr>
        <w:numPr>
          <w:ilvl w:val="0"/>
          <w:numId w:val="68"/>
        </w:numPr>
        <w:jc w:val="both"/>
        <w:divId w:val="410156154"/>
      </w:pPr>
      <w:r w:rsidRPr="00E42231">
        <w:t xml:space="preserve">Budget de </w:t>
      </w:r>
      <w:r w:rsidR="00A179A4">
        <w:t>l</w:t>
      </w:r>
      <w:r w:rsidR="00A179A4" w:rsidRPr="00E42231">
        <w:t>’Etat</w:t>
      </w:r>
      <w:r w:rsidRPr="00E42231">
        <w:t xml:space="preserve"> (15</w:t>
      </w:r>
      <w:r w:rsidR="00A179A4" w:rsidRPr="00E42231">
        <w:t>, 75</w:t>
      </w:r>
      <w:r w:rsidRPr="00E42231">
        <w:t>%),</w:t>
      </w:r>
    </w:p>
    <w:p w:rsidR="00E62347" w:rsidRPr="00E42231" w:rsidRDefault="00E62347" w:rsidP="003046BF">
      <w:pPr>
        <w:numPr>
          <w:ilvl w:val="0"/>
          <w:numId w:val="68"/>
        </w:numPr>
        <w:jc w:val="both"/>
        <w:divId w:val="410156154"/>
      </w:pPr>
      <w:r w:rsidRPr="00E42231">
        <w:t>L’OMS (4</w:t>
      </w:r>
      <w:r w:rsidR="00A179A4" w:rsidRPr="00E42231">
        <w:t>, 81</w:t>
      </w:r>
      <w:r w:rsidRPr="00E42231">
        <w:t>%),</w:t>
      </w:r>
    </w:p>
    <w:p w:rsidR="00E62347" w:rsidRPr="00E42231" w:rsidRDefault="00E62347" w:rsidP="003046BF">
      <w:pPr>
        <w:numPr>
          <w:ilvl w:val="0"/>
          <w:numId w:val="68"/>
        </w:numPr>
        <w:jc w:val="both"/>
        <w:divId w:val="410156154"/>
      </w:pPr>
      <w:r w:rsidRPr="00E42231">
        <w:t>L’UNICEF (9</w:t>
      </w:r>
      <w:r w:rsidR="00A179A4" w:rsidRPr="00E42231">
        <w:t>, 27</w:t>
      </w:r>
      <w:r w:rsidRPr="00E42231">
        <w:t>%),</w:t>
      </w:r>
    </w:p>
    <w:p w:rsidR="00E62347" w:rsidRPr="00E42231" w:rsidRDefault="00E62347" w:rsidP="003046BF">
      <w:pPr>
        <w:numPr>
          <w:ilvl w:val="0"/>
          <w:numId w:val="68"/>
        </w:numPr>
        <w:jc w:val="both"/>
        <w:divId w:val="410156154"/>
      </w:pPr>
      <w:r w:rsidRPr="00E42231">
        <w:t>PADS (1</w:t>
      </w:r>
      <w:r w:rsidR="00A179A4" w:rsidRPr="00E42231">
        <w:t>, 73</w:t>
      </w:r>
      <w:r w:rsidRPr="00E42231">
        <w:t>%),</w:t>
      </w:r>
    </w:p>
    <w:p w:rsidR="00E62347" w:rsidRPr="00F749A9" w:rsidRDefault="00E62347" w:rsidP="003046BF">
      <w:pPr>
        <w:numPr>
          <w:ilvl w:val="0"/>
          <w:numId w:val="68"/>
        </w:numPr>
        <w:ind w:left="1020" w:right="120"/>
        <w:jc w:val="both"/>
        <w:divId w:val="410156154"/>
      </w:pPr>
      <w:r w:rsidRPr="00E42231">
        <w:t>COGES5 (1</w:t>
      </w:r>
      <w:r w:rsidR="00A179A4" w:rsidRPr="00E42231">
        <w:t>, 07</w:t>
      </w:r>
      <w:r w:rsidRPr="00E42231">
        <w:t>%)</w:t>
      </w:r>
    </w:p>
    <w:p w:rsidR="00E62347" w:rsidRDefault="00E62347" w:rsidP="00E62347">
      <w:pPr>
        <w:jc w:val="both"/>
        <w:divId w:val="410156154"/>
      </w:pPr>
    </w:p>
    <w:p w:rsidR="00536131" w:rsidRPr="00F749A9" w:rsidRDefault="00536131" w:rsidP="00E62347">
      <w:pPr>
        <w:jc w:val="both"/>
        <w:divId w:val="410156154"/>
      </w:pPr>
    </w:p>
    <w:p w:rsidR="00E62347" w:rsidRPr="00E62347" w:rsidRDefault="00E62347" w:rsidP="00E62347">
      <w:pPr>
        <w:jc w:val="both"/>
        <w:divId w:val="410156154"/>
        <w:rPr>
          <w:b/>
          <w:lang w:val="fr-FR"/>
        </w:rPr>
      </w:pPr>
      <w:r w:rsidRPr="00E62347">
        <w:rPr>
          <w:b/>
          <w:lang w:val="fr-FR"/>
        </w:rPr>
        <w:t>Ecart financier</w:t>
      </w:r>
    </w:p>
    <w:p w:rsidR="00E62347" w:rsidRPr="00536131" w:rsidRDefault="00E62347" w:rsidP="00E62347">
      <w:pPr>
        <w:jc w:val="both"/>
        <w:divId w:val="410156154"/>
        <w:rPr>
          <w:sz w:val="12"/>
          <w:lang w:val="fr-FR"/>
        </w:rPr>
      </w:pPr>
    </w:p>
    <w:p w:rsidR="00E62347" w:rsidRPr="00E42231" w:rsidRDefault="00E62347" w:rsidP="00E62347">
      <w:pPr>
        <w:jc w:val="both"/>
        <w:divId w:val="410156154"/>
        <w:rPr>
          <w:bCs/>
          <w:lang w:val="fr-FR"/>
        </w:rPr>
      </w:pPr>
      <w:r w:rsidRPr="001F73B5">
        <w:rPr>
          <w:lang w:val="fr-FR"/>
        </w:rPr>
        <w:t>Si on considère uniquement les financements assurés, le déficit financier ou écart financier pour la période concernée est de 21 772 244$US. Cet écart financier représente 13% des besoins en ressources du PEV (hors coût partagés) pour la période 2006-2010.</w:t>
      </w:r>
    </w:p>
    <w:p w:rsidR="00E62347" w:rsidRPr="00E42231" w:rsidRDefault="00E62347" w:rsidP="00E62347">
      <w:pPr>
        <w:jc w:val="both"/>
        <w:divId w:val="410156154"/>
        <w:rPr>
          <w:bCs/>
          <w:lang w:val="fr-FR"/>
        </w:rPr>
      </w:pPr>
      <w:r w:rsidRPr="001F73B5">
        <w:rPr>
          <w:lang w:val="fr-FR"/>
        </w:rPr>
        <w:t xml:space="preserve">En prenant en compte les financements sûrs et probables, cet écart devient 16 078 453$US, soit 11% des besoins en ressources. </w:t>
      </w:r>
    </w:p>
    <w:p w:rsidR="00E62347" w:rsidRPr="00536131" w:rsidRDefault="00E62347" w:rsidP="00E62347">
      <w:pPr>
        <w:jc w:val="both"/>
        <w:divId w:val="410156154"/>
        <w:rPr>
          <w:b/>
          <w:bCs/>
          <w:sz w:val="18"/>
          <w:lang w:val="fr-FR"/>
        </w:rPr>
      </w:pPr>
    </w:p>
    <w:p w:rsidR="00E62347" w:rsidRPr="00E62347" w:rsidRDefault="00E62347" w:rsidP="00E62347">
      <w:pPr>
        <w:jc w:val="both"/>
        <w:divId w:val="410156154"/>
        <w:rPr>
          <w:b/>
          <w:lang w:val="fr-FR"/>
        </w:rPr>
      </w:pPr>
      <w:r w:rsidRPr="00E62347">
        <w:rPr>
          <w:b/>
          <w:lang w:val="fr-FR"/>
        </w:rPr>
        <w:t>Analyse de l’écart</w:t>
      </w:r>
    </w:p>
    <w:p w:rsidR="00E62347" w:rsidRPr="00E62347" w:rsidRDefault="00E62347" w:rsidP="00E62347">
      <w:pPr>
        <w:jc w:val="both"/>
        <w:divId w:val="410156154"/>
        <w:rPr>
          <w:lang w:val="fr-FR"/>
        </w:rPr>
      </w:pPr>
      <w:r w:rsidRPr="001F73B5">
        <w:rPr>
          <w:lang w:val="fr-FR"/>
        </w:rPr>
        <w:t xml:space="preserve">L’importance de l’écart s’explique principalement par le fait que les partenaires au développement  ne prennent pas d’engagement ferme sur le long terme. </w:t>
      </w:r>
      <w:r w:rsidRPr="00E62347">
        <w:rPr>
          <w:lang w:val="fr-FR"/>
        </w:rPr>
        <w:t xml:space="preserve">IL y a également la réduction du nombre de partenaires financiers du PEV </w:t>
      </w:r>
    </w:p>
    <w:p w:rsidR="00E62347" w:rsidRPr="001F73B5" w:rsidRDefault="00E62347" w:rsidP="00E62347">
      <w:pPr>
        <w:tabs>
          <w:tab w:val="left" w:pos="1050"/>
        </w:tabs>
        <w:jc w:val="both"/>
        <w:divId w:val="410156154"/>
        <w:rPr>
          <w:lang w:val="fr-FR"/>
        </w:rPr>
      </w:pPr>
      <w:r w:rsidRPr="001F73B5">
        <w:rPr>
          <w:lang w:val="fr-FR"/>
        </w:rPr>
        <w:t xml:space="preserve">En ce qui concerne les dépenses pour les vaccins, elles sont totalement assurées par le Budget de l’Etat et GAVI.  L’écart financier pour la période ne concerne donc pas les dépenses en vaccins et matériel d’injection. Le gouvernement burkinabé s’est engagé à cofinancé le vaccin pentavalent à partir de 2011. Cette contribution est de  0 ,2$ par dose pour les pays à revenu faible. Cette contribution s’augmentera avec l’introduction d’autres vaccins (rota, pneumo et rubéole) à partir de 2013. </w:t>
      </w:r>
    </w:p>
    <w:p w:rsidR="002646A5" w:rsidRDefault="00E62347" w:rsidP="00E62347">
      <w:pPr>
        <w:jc w:val="both"/>
        <w:divId w:val="410156154"/>
        <w:rPr>
          <w:bCs/>
          <w:lang w:val="fr-FR"/>
        </w:rPr>
      </w:pPr>
      <w:r w:rsidRPr="001F73B5">
        <w:rPr>
          <w:lang w:val="fr-FR"/>
        </w:rPr>
        <w:t xml:space="preserve">En tenant compte des coûts spécifiques du PEV, et en considérant les financements assurés, la moyenne annuelle de l’écart financier est de 4 354 449$US avec comme valeur extrême basse 1 554 658$US en 2011 et valeur extrême supérieure 8 411 176$ US en 2015. </w:t>
      </w:r>
    </w:p>
    <w:p w:rsidR="00E62347" w:rsidRPr="002646A5" w:rsidRDefault="00E62347" w:rsidP="00E62347">
      <w:pPr>
        <w:jc w:val="both"/>
        <w:divId w:val="410156154"/>
        <w:rPr>
          <w:bCs/>
          <w:lang w:val="fr-FR"/>
        </w:rPr>
      </w:pPr>
      <w:r w:rsidRPr="001F73B5">
        <w:rPr>
          <w:lang w:val="fr-FR"/>
        </w:rPr>
        <w:lastRenderedPageBreak/>
        <w:t>L’écart  financier concerne les activités suivantes :</w:t>
      </w:r>
    </w:p>
    <w:p w:rsidR="00E62347" w:rsidRPr="00E62347" w:rsidRDefault="00E62347" w:rsidP="003046BF">
      <w:pPr>
        <w:numPr>
          <w:ilvl w:val="0"/>
          <w:numId w:val="72"/>
        </w:numPr>
        <w:jc w:val="both"/>
        <w:divId w:val="410156154"/>
        <w:rPr>
          <w:lang w:val="fr-FR"/>
        </w:rPr>
      </w:pPr>
      <w:r w:rsidRPr="00E62347">
        <w:rPr>
          <w:lang w:val="fr-FR"/>
        </w:rPr>
        <w:t>Le personnel (indemnités de supervision et non les salaires) 1,25%,</w:t>
      </w:r>
    </w:p>
    <w:p w:rsidR="00E62347" w:rsidRPr="00E62347" w:rsidRDefault="00E62347" w:rsidP="003046BF">
      <w:pPr>
        <w:numPr>
          <w:ilvl w:val="0"/>
          <w:numId w:val="72"/>
        </w:numPr>
        <w:jc w:val="both"/>
        <w:divId w:val="410156154"/>
        <w:rPr>
          <w:lang w:val="fr-FR"/>
        </w:rPr>
      </w:pPr>
      <w:r w:rsidRPr="00E62347">
        <w:rPr>
          <w:lang w:val="fr-FR"/>
        </w:rPr>
        <w:t>Le transport (carburant pour la stratégie avancée et le ravitaillement en vaccin) 0,73%,</w:t>
      </w:r>
    </w:p>
    <w:p w:rsidR="00E62347" w:rsidRPr="00E62347" w:rsidRDefault="00E62347" w:rsidP="003046BF">
      <w:pPr>
        <w:numPr>
          <w:ilvl w:val="0"/>
          <w:numId w:val="72"/>
        </w:numPr>
        <w:jc w:val="both"/>
        <w:divId w:val="410156154"/>
        <w:rPr>
          <w:lang w:val="fr-FR"/>
        </w:rPr>
      </w:pPr>
      <w:r w:rsidRPr="00E62347">
        <w:rPr>
          <w:lang w:val="fr-FR"/>
        </w:rPr>
        <w:t>Les Activités et autres coûts récurrents (Formation à court terme, Mobilisation sociale et   IEC, Contrôle et surveillance des maladies, Gestion du programme maintenance et frais généraux) 57,92%,</w:t>
      </w:r>
    </w:p>
    <w:p w:rsidR="00E62347" w:rsidRPr="00E62347" w:rsidRDefault="00E62347" w:rsidP="003046BF">
      <w:pPr>
        <w:numPr>
          <w:ilvl w:val="0"/>
          <w:numId w:val="72"/>
        </w:numPr>
        <w:jc w:val="both"/>
        <w:divId w:val="410156154"/>
        <w:rPr>
          <w:lang w:val="fr-FR"/>
        </w:rPr>
      </w:pPr>
      <w:r w:rsidRPr="00E62347">
        <w:rPr>
          <w:lang w:val="fr-FR"/>
        </w:rPr>
        <w:t>la logistique (Véhicules et chaîne de froid) 25,93%,</w:t>
      </w:r>
    </w:p>
    <w:p w:rsidR="00E62347" w:rsidRPr="00E42231" w:rsidRDefault="00E62347" w:rsidP="003046BF">
      <w:pPr>
        <w:numPr>
          <w:ilvl w:val="0"/>
          <w:numId w:val="72"/>
        </w:numPr>
        <w:jc w:val="both"/>
        <w:divId w:val="410156154"/>
      </w:pPr>
      <w:r w:rsidRPr="00E42231">
        <w:t>Les campagnes de vaccination 14</w:t>
      </w:r>
      <w:r w:rsidR="00902944" w:rsidRPr="00E42231">
        <w:t>, 18</w:t>
      </w:r>
      <w:r w:rsidRPr="00E42231">
        <w:t>%.</w:t>
      </w:r>
    </w:p>
    <w:p w:rsidR="00E62347" w:rsidRPr="00902944" w:rsidRDefault="00E62347" w:rsidP="00E62347">
      <w:pPr>
        <w:spacing w:before="240"/>
        <w:jc w:val="both"/>
        <w:divId w:val="410156154"/>
        <w:rPr>
          <w:b/>
          <w:lang w:val="fr-FR"/>
        </w:rPr>
      </w:pPr>
      <w:r w:rsidRPr="00902944">
        <w:rPr>
          <w:b/>
          <w:lang w:val="fr-FR"/>
        </w:rPr>
        <w:t xml:space="preserve">Analyse </w:t>
      </w:r>
      <w:r w:rsidR="007C5B3F" w:rsidRPr="00902944">
        <w:rPr>
          <w:b/>
          <w:lang w:val="fr-FR"/>
        </w:rPr>
        <w:t>de la</w:t>
      </w:r>
      <w:r w:rsidR="00902944" w:rsidRPr="00902944">
        <w:rPr>
          <w:b/>
          <w:lang w:val="fr-FR"/>
        </w:rPr>
        <w:t xml:space="preserve"> </w:t>
      </w:r>
      <w:r w:rsidRPr="00902944">
        <w:rPr>
          <w:b/>
          <w:lang w:val="fr-FR"/>
        </w:rPr>
        <w:t>viabilité</w:t>
      </w:r>
      <w:r w:rsidR="00902944" w:rsidRPr="00902944">
        <w:rPr>
          <w:b/>
          <w:lang w:val="fr-FR"/>
        </w:rPr>
        <w:t xml:space="preserve"> </w:t>
      </w:r>
      <w:r w:rsidRPr="00902944">
        <w:rPr>
          <w:b/>
          <w:lang w:val="fr-FR"/>
        </w:rPr>
        <w:t>financière</w:t>
      </w:r>
    </w:p>
    <w:p w:rsidR="00E62347" w:rsidRPr="001F73B5" w:rsidRDefault="00E62347" w:rsidP="00E62347">
      <w:pPr>
        <w:jc w:val="both"/>
        <w:divId w:val="410156154"/>
        <w:rPr>
          <w:lang w:val="fr-FR"/>
        </w:rPr>
      </w:pPr>
      <w:r w:rsidRPr="001F73B5">
        <w:rPr>
          <w:lang w:val="fr-FR"/>
        </w:rPr>
        <w:t>La viabilité financière est la capacité du pays à mobiliser les ressources financières pour réaliser  les activités du programme. Pour le court terme, il s’agit des ressources intérieures et extérieures et pour le long terme, ce sont les ressources internes.</w:t>
      </w:r>
    </w:p>
    <w:p w:rsidR="00E62347" w:rsidRPr="001F73B5" w:rsidRDefault="00E62347" w:rsidP="00E62347">
      <w:pPr>
        <w:jc w:val="both"/>
        <w:divId w:val="410156154"/>
        <w:rPr>
          <w:bCs/>
          <w:lang w:val="fr-FR"/>
        </w:rPr>
      </w:pPr>
      <w:r w:rsidRPr="001F73B5">
        <w:rPr>
          <w:lang w:val="fr-FR"/>
        </w:rPr>
        <w:t xml:space="preserve">En considérant uniquement les financements assurés, l’écart financier est de 21 772 244 $US dans ce cas le PEV doit faire un effort supplémentaire pour mobiliser les ressources additionnelles afin de pouvoir réaliser les activités programmées sur la période. Cependant en prenant en compte les financements probables l’écart est de 16 078 453$ US  nous pouvons alors dire qu’en matière de viabilité financière, le programme est viable </w:t>
      </w:r>
      <w:r w:rsidRPr="001F73B5">
        <w:rPr>
          <w:bCs/>
          <w:lang w:val="fr-FR"/>
        </w:rPr>
        <w:t>(situation confortable).</w:t>
      </w:r>
    </w:p>
    <w:p w:rsidR="00E62347" w:rsidRPr="001F73B5" w:rsidRDefault="00E62347" w:rsidP="00E62347">
      <w:pPr>
        <w:spacing w:before="240"/>
        <w:jc w:val="both"/>
        <w:divId w:val="410156154"/>
        <w:rPr>
          <w:lang w:val="fr-FR"/>
        </w:rPr>
      </w:pPr>
      <w:r w:rsidRPr="001F73B5">
        <w:rPr>
          <w:lang w:val="fr-FR"/>
        </w:rPr>
        <w:t>Face à cet écart financier (9 % des besoins en ressources, si l’on ne considère que les financements assurés), un certain nombre de stratégies de viabilité financière ont été définies par la DPV, puis adoptées par ses partenaires en CCIA.</w:t>
      </w:r>
    </w:p>
    <w:p w:rsidR="00E62347" w:rsidRPr="001F73B5" w:rsidRDefault="00E62347" w:rsidP="00E62347">
      <w:pPr>
        <w:jc w:val="both"/>
        <w:divId w:val="410156154"/>
        <w:rPr>
          <w:lang w:val="fr-FR"/>
        </w:rPr>
      </w:pPr>
      <w:r w:rsidRPr="001F73B5">
        <w:rPr>
          <w:lang w:val="fr-FR"/>
        </w:rPr>
        <w:t xml:space="preserve">Ces stratégies visent d’une part à sécuriser les financements probables identifiés dans le document du PPAC, et d’autre part à combler le déficit subsistant. </w:t>
      </w:r>
    </w:p>
    <w:p w:rsidR="00E62347" w:rsidRPr="001F73B5" w:rsidRDefault="00E62347" w:rsidP="00E62347">
      <w:pPr>
        <w:jc w:val="both"/>
        <w:divId w:val="410156154"/>
        <w:rPr>
          <w:lang w:val="fr-FR"/>
        </w:rPr>
      </w:pPr>
      <w:r w:rsidRPr="001F73B5">
        <w:rPr>
          <w:lang w:val="fr-FR"/>
        </w:rPr>
        <w:t>Ces stratégies s’articulent autour de trois axes :</w:t>
      </w:r>
    </w:p>
    <w:p w:rsidR="00E62347" w:rsidRPr="00F749A9" w:rsidRDefault="00E62347" w:rsidP="003046BF">
      <w:pPr>
        <w:numPr>
          <w:ilvl w:val="0"/>
          <w:numId w:val="69"/>
        </w:numPr>
        <w:jc w:val="both"/>
        <w:divId w:val="410156154"/>
      </w:pPr>
      <w:r w:rsidRPr="00F749A9">
        <w:t>Amélioration des processus</w:t>
      </w:r>
      <w:r w:rsidR="00902944">
        <w:t xml:space="preserve"> </w:t>
      </w:r>
      <w:r w:rsidRPr="00F749A9">
        <w:t>budgétaires</w:t>
      </w:r>
    </w:p>
    <w:p w:rsidR="00E62347" w:rsidRPr="00F749A9" w:rsidRDefault="00E62347" w:rsidP="003046BF">
      <w:pPr>
        <w:numPr>
          <w:ilvl w:val="0"/>
          <w:numId w:val="69"/>
        </w:numPr>
        <w:jc w:val="both"/>
        <w:divId w:val="410156154"/>
      </w:pPr>
      <w:r w:rsidRPr="00F749A9">
        <w:t>Mobilisation de ressources</w:t>
      </w:r>
      <w:r w:rsidR="00902944">
        <w:t xml:space="preserve"> </w:t>
      </w:r>
      <w:r w:rsidRPr="00F749A9">
        <w:t>supplémentaires</w:t>
      </w:r>
    </w:p>
    <w:p w:rsidR="00E62347" w:rsidRPr="002646A5" w:rsidRDefault="00E62347" w:rsidP="003046BF">
      <w:pPr>
        <w:numPr>
          <w:ilvl w:val="0"/>
          <w:numId w:val="69"/>
        </w:numPr>
        <w:ind w:left="1020" w:right="120"/>
        <w:jc w:val="both"/>
        <w:divId w:val="410156154"/>
        <w:rPr>
          <w:lang w:val="fr-FR"/>
        </w:rPr>
      </w:pPr>
      <w:r w:rsidRPr="00E62347">
        <w:rPr>
          <w:lang w:val="fr-FR"/>
        </w:rPr>
        <w:t>Réduction des coûts du PEV grâce à l’amélioration de son efficience</w:t>
      </w:r>
    </w:p>
    <w:p w:rsidR="00E62347" w:rsidRPr="00CB4657" w:rsidRDefault="00E62347" w:rsidP="00CB4657">
      <w:pPr>
        <w:spacing w:before="120" w:after="120"/>
        <w:ind w:right="235"/>
        <w:jc w:val="both"/>
        <w:divId w:val="410156154"/>
        <w:rPr>
          <w:rFonts w:asciiTheme="minorHAnsi" w:hAnsiTheme="minorHAnsi"/>
          <w:lang w:val="fr-FR"/>
        </w:rPr>
      </w:pPr>
    </w:p>
    <w:p w:rsidR="00155BAF" w:rsidRPr="006A2FE1" w:rsidRDefault="00515293">
      <w:pPr>
        <w:pStyle w:val="Paragraphedeliste"/>
        <w:numPr>
          <w:ilvl w:val="0"/>
          <w:numId w:val="14"/>
        </w:numPr>
        <w:spacing w:after="0" w:line="240" w:lineRule="auto"/>
        <w:ind w:left="840" w:right="235"/>
        <w:jc w:val="both"/>
        <w:divId w:val="410156154"/>
        <w:rPr>
          <w:rFonts w:asciiTheme="minorHAnsi" w:hAnsiTheme="minorHAnsi"/>
          <w:highlight w:val="cyan"/>
          <w:lang w:val="fr-FR"/>
        </w:rPr>
      </w:pPr>
      <w:r w:rsidRPr="006A2FE1">
        <w:rPr>
          <w:rFonts w:asciiTheme="minorHAnsi" w:hAnsiTheme="minorHAnsi"/>
          <w:highlight w:val="cyan"/>
          <w:lang w:val="fr-FR"/>
        </w:rPr>
        <w:t xml:space="preserve">Dans le cas du cofinancement, indiquer dans quelle mesure les quotes-parts seront payées (et qui devra payer).    </w:t>
      </w:r>
    </w:p>
    <w:p w:rsidR="006A2FE1" w:rsidRPr="00CE0C59" w:rsidRDefault="00C34D21" w:rsidP="00CE0C59">
      <w:pPr>
        <w:spacing w:before="120"/>
        <w:ind w:right="240"/>
        <w:jc w:val="both"/>
        <w:rPr>
          <w:lang w:val="fr-FR"/>
        </w:rPr>
      </w:pPr>
      <w:r w:rsidRPr="00CE0C59">
        <w:rPr>
          <w:lang w:val="fr-FR"/>
        </w:rPr>
        <w:t xml:space="preserve">   </w:t>
      </w:r>
      <w:r w:rsidR="006A2FE1" w:rsidRPr="00CE0C59">
        <w:rPr>
          <w:lang w:val="fr-FR"/>
        </w:rPr>
        <w:t>Il n’y a pas de cofinancement</w:t>
      </w:r>
      <w:r w:rsidR="00157261" w:rsidRPr="00CE0C59">
        <w:rPr>
          <w:lang w:val="fr-FR"/>
        </w:rPr>
        <w:t xml:space="preserve"> du vaccin </w:t>
      </w:r>
      <w:r w:rsidR="006A2FE1" w:rsidRPr="00CE0C59">
        <w:rPr>
          <w:lang w:val="fr-FR"/>
        </w:rPr>
        <w:t xml:space="preserve"> </w:t>
      </w:r>
      <w:r w:rsidR="00D842C6" w:rsidRPr="00CE0C59">
        <w:rPr>
          <w:lang w:val="fr-FR"/>
        </w:rPr>
        <w:t>pour l’introduction du VPI.</w:t>
      </w:r>
    </w:p>
    <w:p w:rsidR="007C5B3F" w:rsidRDefault="007C5B3F" w:rsidP="00FD4940">
      <w:pPr>
        <w:rPr>
          <w:rFonts w:asciiTheme="minorHAnsi" w:eastAsia="Calibri" w:hAnsiTheme="minorHAnsi"/>
          <w:sz w:val="22"/>
          <w:szCs w:val="22"/>
          <w:lang w:val="fr-FR" w:eastAsia="en-US"/>
        </w:rPr>
      </w:pPr>
    </w:p>
    <w:p w:rsidR="00772E94" w:rsidRDefault="00515293">
      <w:pPr>
        <w:jc w:val="both"/>
        <w:divId w:val="410156154"/>
        <w:rPr>
          <w:rFonts w:asciiTheme="minorHAnsi" w:hAnsiTheme="minorHAnsi"/>
          <w:bCs/>
          <w:color w:val="1F497D" w:themeColor="text2"/>
          <w:lang w:val="fr-FR"/>
        </w:rPr>
      </w:pPr>
      <w:r w:rsidRPr="00C369C9">
        <w:rPr>
          <w:rFonts w:asciiTheme="minorHAnsi" w:hAnsiTheme="minorHAnsi"/>
          <w:bCs/>
          <w:color w:val="1F497D" w:themeColor="text2"/>
          <w:lang w:val="fr-FR"/>
        </w:rPr>
        <w:t xml:space="preserve">3.4  Aperçu de la capacité de la chaîne du froid au niveau des districts et aux niveaux régional et national   </w:t>
      </w:r>
    </w:p>
    <w:p w:rsidR="000A2CB6" w:rsidRPr="00C369C9" w:rsidRDefault="000A2CB6">
      <w:pPr>
        <w:jc w:val="both"/>
        <w:divId w:val="410156154"/>
        <w:rPr>
          <w:rFonts w:asciiTheme="minorHAnsi" w:hAnsiTheme="minorHAnsi"/>
          <w:bCs/>
          <w:color w:val="1F497D" w:themeColor="text2"/>
          <w:lang w:val="fr-FR"/>
        </w:rPr>
      </w:pPr>
    </w:p>
    <w:p w:rsidR="00772E94" w:rsidRPr="00772E94" w:rsidRDefault="00515293">
      <w:pPr>
        <w:pStyle w:val="Paragraphedeliste"/>
        <w:numPr>
          <w:ilvl w:val="0"/>
          <w:numId w:val="6"/>
        </w:numPr>
        <w:spacing w:after="0" w:line="240" w:lineRule="auto"/>
        <w:ind w:right="115"/>
        <w:jc w:val="both"/>
        <w:divId w:val="410156154"/>
        <w:rPr>
          <w:highlight w:val="cyan"/>
          <w:lang w:val="fr-FR"/>
        </w:rPr>
      </w:pPr>
      <w:r w:rsidRPr="00772E94">
        <w:rPr>
          <w:highlight w:val="cyan"/>
          <w:lang w:val="fr-FR"/>
        </w:rPr>
        <w:t xml:space="preserve">Décrire l’adéquation des capacités de stockage du VPI à tous les niveaux de la chaîne du froid, en fonction de la disponibilité des vaccins et du système de distribution qui sera utilisé dans le cadre de l’introduction. </w:t>
      </w:r>
    </w:p>
    <w:p w:rsidR="00263096" w:rsidRPr="00CE0C59" w:rsidRDefault="00263096" w:rsidP="00263096">
      <w:pPr>
        <w:pStyle w:val="Paragraphedeliste"/>
        <w:numPr>
          <w:ilvl w:val="0"/>
          <w:numId w:val="6"/>
        </w:numPr>
        <w:spacing w:before="120"/>
        <w:ind w:right="120"/>
        <w:jc w:val="both"/>
        <w:divId w:val="410156154"/>
        <w:rPr>
          <w:rFonts w:ascii="Times New Roman" w:eastAsia="Times New Roman" w:hAnsi="Times New Roman"/>
          <w:sz w:val="24"/>
          <w:szCs w:val="24"/>
          <w:lang w:val="fr-FR" w:eastAsia="en-GB"/>
        </w:rPr>
      </w:pPr>
      <w:r w:rsidRPr="00CE0C59">
        <w:rPr>
          <w:rFonts w:ascii="Times New Roman" w:eastAsia="Times New Roman" w:hAnsi="Times New Roman"/>
          <w:sz w:val="24"/>
          <w:szCs w:val="24"/>
          <w:lang w:val="fr-FR" w:eastAsia="en-GB"/>
        </w:rPr>
        <w:t xml:space="preserve">La mise en œuvre du plan de réhabilitation des équipements de la chaine du froid 2013-2017 élaboré en 2012 suite à l’évaluation de la gestion efficace des vaccins (GEV) est en cours. Pour apprécier l’espace de stockage dans le cadre de l’introduction du VPI en 2015, les données logistiques chaîne du froid ont été mises à jour par le rapportage exhaustif et quantitatif des volumes et capacités de stockage au niveau national, régional, district et centres de santé. </w:t>
      </w:r>
    </w:p>
    <w:p w:rsidR="00263096" w:rsidRPr="00CE0C59" w:rsidRDefault="00263096" w:rsidP="00263096">
      <w:pPr>
        <w:pStyle w:val="Paragraphedeliste"/>
        <w:keepLines/>
        <w:numPr>
          <w:ilvl w:val="0"/>
          <w:numId w:val="6"/>
        </w:numPr>
        <w:tabs>
          <w:tab w:val="left" w:pos="426"/>
          <w:tab w:val="left" w:pos="2160"/>
          <w:tab w:val="left" w:pos="4320"/>
        </w:tabs>
        <w:spacing w:before="120"/>
        <w:ind w:right="120"/>
        <w:jc w:val="both"/>
        <w:divId w:val="410156154"/>
        <w:rPr>
          <w:rFonts w:ascii="Times New Roman" w:eastAsia="Times New Roman" w:hAnsi="Times New Roman"/>
          <w:sz w:val="24"/>
          <w:szCs w:val="24"/>
          <w:lang w:val="fr-FR" w:eastAsia="en-GB"/>
        </w:rPr>
      </w:pPr>
      <w:r w:rsidRPr="00CE0C59">
        <w:rPr>
          <w:rFonts w:ascii="Times New Roman" w:eastAsia="Times New Roman" w:hAnsi="Times New Roman"/>
          <w:sz w:val="24"/>
          <w:szCs w:val="24"/>
          <w:lang w:val="fr-FR" w:eastAsia="en-GB"/>
        </w:rPr>
        <w:lastRenderedPageBreak/>
        <w:t xml:space="preserve">Les résultats de cette mise à jour montrent que le volume net de stockage total  en 2015 au niveau central est estimé à 129 783 litres en positif et 2 679 litres en négatif. Cependant, la capacité positive totale nette existante est de 77 330 litres. </w:t>
      </w:r>
    </w:p>
    <w:p w:rsidR="00263096" w:rsidRPr="00CE0C59" w:rsidRDefault="00263096" w:rsidP="00AD7174">
      <w:pPr>
        <w:pStyle w:val="Paragraphedeliste"/>
        <w:keepLines/>
        <w:tabs>
          <w:tab w:val="left" w:pos="426"/>
          <w:tab w:val="left" w:pos="2160"/>
          <w:tab w:val="left" w:pos="4320"/>
        </w:tabs>
        <w:spacing w:before="120"/>
        <w:ind w:right="120"/>
        <w:jc w:val="both"/>
        <w:divId w:val="410156154"/>
        <w:rPr>
          <w:rFonts w:ascii="Times New Roman" w:eastAsia="Times New Roman" w:hAnsi="Times New Roman"/>
          <w:sz w:val="24"/>
          <w:szCs w:val="24"/>
          <w:lang w:val="fr-FR" w:eastAsia="en-GB"/>
        </w:rPr>
      </w:pPr>
      <w:r w:rsidRPr="00CE0C59">
        <w:rPr>
          <w:rFonts w:ascii="Times New Roman" w:eastAsia="Times New Roman" w:hAnsi="Times New Roman"/>
          <w:sz w:val="24"/>
          <w:szCs w:val="24"/>
          <w:lang w:val="fr-FR" w:eastAsia="en-GB"/>
        </w:rPr>
        <w:t xml:space="preserve">Donc  le GAP à combler à ce niveau est de 52 435 litres, soit un besoin de 01 chambre froide d’environ  60 m3.  </w:t>
      </w:r>
    </w:p>
    <w:p w:rsidR="00263096" w:rsidRPr="00CE0C59" w:rsidRDefault="00263096" w:rsidP="00263096">
      <w:pPr>
        <w:pStyle w:val="Paragraphedeliste"/>
        <w:keepLines/>
        <w:numPr>
          <w:ilvl w:val="0"/>
          <w:numId w:val="6"/>
        </w:numPr>
        <w:tabs>
          <w:tab w:val="left" w:pos="426"/>
          <w:tab w:val="left" w:pos="2160"/>
          <w:tab w:val="left" w:pos="4320"/>
        </w:tabs>
        <w:spacing w:before="120"/>
        <w:ind w:right="120"/>
        <w:jc w:val="both"/>
        <w:divId w:val="410156154"/>
        <w:rPr>
          <w:rFonts w:ascii="Times New Roman" w:eastAsia="Times New Roman" w:hAnsi="Times New Roman"/>
          <w:sz w:val="24"/>
          <w:szCs w:val="24"/>
          <w:lang w:val="fr-FR" w:eastAsia="en-GB"/>
        </w:rPr>
      </w:pPr>
      <w:r w:rsidRPr="00CE0C59">
        <w:rPr>
          <w:rFonts w:ascii="Times New Roman" w:eastAsia="Times New Roman" w:hAnsi="Times New Roman"/>
          <w:sz w:val="24"/>
          <w:szCs w:val="24"/>
          <w:lang w:val="fr-FR" w:eastAsia="en-GB"/>
        </w:rPr>
        <w:t>Au niveau régional, les estimations sur la base de l’outil de dimensionnement de la chaine du froid « Supply_Sizing_Tool » donnent un aperçu sur la situation avec des besoins de 5 réfrigérateurs de type VLS 400.</w:t>
      </w:r>
    </w:p>
    <w:p w:rsidR="00263096" w:rsidRPr="00CE0C59" w:rsidRDefault="00263096" w:rsidP="00263096">
      <w:pPr>
        <w:pStyle w:val="Paragraphedeliste"/>
        <w:numPr>
          <w:ilvl w:val="0"/>
          <w:numId w:val="6"/>
        </w:numPr>
        <w:spacing w:before="120"/>
        <w:ind w:right="120"/>
        <w:jc w:val="both"/>
        <w:divId w:val="410156154"/>
        <w:rPr>
          <w:rFonts w:ascii="Times New Roman" w:eastAsia="Times New Roman" w:hAnsi="Times New Roman"/>
          <w:sz w:val="24"/>
          <w:szCs w:val="24"/>
          <w:lang w:val="fr-FR" w:eastAsia="en-GB"/>
        </w:rPr>
      </w:pPr>
      <w:r w:rsidRPr="00CE0C59">
        <w:rPr>
          <w:rFonts w:ascii="Times New Roman" w:eastAsia="Times New Roman" w:hAnsi="Times New Roman"/>
          <w:sz w:val="24"/>
          <w:szCs w:val="24"/>
          <w:lang w:val="fr-FR" w:eastAsia="en-GB"/>
        </w:rPr>
        <w:t xml:space="preserve">Au niveau district, l’analyse a révélé que la capacité nette de stockage requise en positif pour les districts est de 41 295 litres contre une capacité disponible de 36 188  litres. Le GAP à combler est de 5 107 litres. Ce </w:t>
      </w:r>
      <w:r w:rsidR="0003750A" w:rsidRPr="00CE0C59">
        <w:rPr>
          <w:rFonts w:ascii="Times New Roman" w:eastAsia="Times New Roman" w:hAnsi="Times New Roman"/>
          <w:sz w:val="24"/>
          <w:szCs w:val="24"/>
          <w:lang w:val="fr-FR" w:eastAsia="en-GB"/>
        </w:rPr>
        <w:t>qui correspond à un besoin de 46</w:t>
      </w:r>
      <w:r w:rsidRPr="00CE0C59">
        <w:rPr>
          <w:rFonts w:ascii="Times New Roman" w:eastAsia="Times New Roman" w:hAnsi="Times New Roman"/>
          <w:sz w:val="24"/>
          <w:szCs w:val="24"/>
          <w:lang w:val="fr-FR" w:eastAsia="en-GB"/>
        </w:rPr>
        <w:t xml:space="preserve"> réfrigérateurs de type VLS 400. </w:t>
      </w:r>
    </w:p>
    <w:p w:rsidR="00263096" w:rsidRPr="00CE0C59" w:rsidRDefault="00263096" w:rsidP="00263096">
      <w:pPr>
        <w:pStyle w:val="Paragraphedeliste"/>
        <w:numPr>
          <w:ilvl w:val="0"/>
          <w:numId w:val="6"/>
        </w:numPr>
        <w:spacing w:before="120"/>
        <w:ind w:right="240"/>
        <w:jc w:val="both"/>
        <w:divId w:val="410156154"/>
        <w:rPr>
          <w:rFonts w:ascii="Times New Roman" w:eastAsia="Times New Roman" w:hAnsi="Times New Roman"/>
          <w:sz w:val="24"/>
          <w:szCs w:val="24"/>
          <w:lang w:val="fr-FR" w:eastAsia="en-GB"/>
        </w:rPr>
      </w:pPr>
      <w:r w:rsidRPr="00CE0C59">
        <w:rPr>
          <w:rFonts w:ascii="Times New Roman" w:eastAsia="Times New Roman" w:hAnsi="Times New Roman"/>
          <w:sz w:val="24"/>
          <w:szCs w:val="24"/>
          <w:lang w:val="fr-FR" w:eastAsia="en-GB"/>
        </w:rPr>
        <w:t xml:space="preserve">Au niveau CSPS, l’outil de dimensionnement de la chaine de froid a révélé un besoin à combler  de 33 réfrigérateurs.  </w:t>
      </w:r>
    </w:p>
    <w:p w:rsidR="00263096" w:rsidRPr="00CE0C59" w:rsidRDefault="00263096" w:rsidP="00AD7174">
      <w:pPr>
        <w:pStyle w:val="Paragraphedeliste"/>
        <w:spacing w:before="120"/>
        <w:ind w:right="355"/>
        <w:jc w:val="both"/>
        <w:divId w:val="410156154"/>
        <w:rPr>
          <w:rFonts w:ascii="Times New Roman" w:eastAsia="Times New Roman" w:hAnsi="Times New Roman"/>
          <w:sz w:val="24"/>
          <w:szCs w:val="24"/>
          <w:lang w:val="fr-FR" w:eastAsia="en-GB"/>
        </w:rPr>
      </w:pPr>
      <w:r w:rsidRPr="00CE0C59">
        <w:rPr>
          <w:rFonts w:ascii="Times New Roman" w:eastAsia="Times New Roman" w:hAnsi="Times New Roman"/>
          <w:sz w:val="24"/>
          <w:szCs w:val="24"/>
          <w:lang w:val="fr-FR" w:eastAsia="en-GB"/>
        </w:rPr>
        <w:t>Ces GAP seront comblés par les commandes en cours et celles programmées.</w:t>
      </w:r>
    </w:p>
    <w:p w:rsidR="00515293" w:rsidRPr="00AD7174" w:rsidRDefault="00515293" w:rsidP="009354E6">
      <w:pPr>
        <w:spacing w:before="120"/>
        <w:ind w:left="840" w:right="475"/>
        <w:jc w:val="both"/>
        <w:divId w:val="410156154"/>
        <w:rPr>
          <w:sz w:val="2"/>
          <w:lang w:val="fr-FR"/>
        </w:rPr>
      </w:pPr>
    </w:p>
    <w:p w:rsidR="00DB2A3C" w:rsidRPr="00DB2A3C" w:rsidRDefault="001C30AD" w:rsidP="00DB2A3C">
      <w:pPr>
        <w:pStyle w:val="Paragraphedeliste"/>
        <w:numPr>
          <w:ilvl w:val="0"/>
          <w:numId w:val="6"/>
        </w:numPr>
        <w:spacing w:after="0" w:line="240" w:lineRule="auto"/>
        <w:ind w:left="840" w:right="235"/>
        <w:jc w:val="both"/>
        <w:divId w:val="410156154"/>
        <w:rPr>
          <w:highlight w:val="cyan"/>
          <w:lang w:val="fr-FR"/>
        </w:rPr>
      </w:pPr>
      <w:r w:rsidRPr="00772E94">
        <w:rPr>
          <w:highlight w:val="cyan"/>
          <w:lang w:val="fr-FR"/>
        </w:rPr>
        <w:t>Si les</w:t>
      </w:r>
      <w:r w:rsidR="00515293" w:rsidRPr="00772E94">
        <w:rPr>
          <w:highlight w:val="cyan"/>
          <w:lang w:val="fr-FR"/>
        </w:rPr>
        <w:t xml:space="preserve"> capacité</w:t>
      </w:r>
      <w:r w:rsidRPr="00772E94">
        <w:rPr>
          <w:highlight w:val="cyan"/>
          <w:lang w:val="fr-FR"/>
        </w:rPr>
        <w:t>s s’avèrent</w:t>
      </w:r>
      <w:r w:rsidR="00515293" w:rsidRPr="00772E94">
        <w:rPr>
          <w:highlight w:val="cyan"/>
          <w:lang w:val="fr-FR"/>
        </w:rPr>
        <w:t xml:space="preserve"> insuffisante</w:t>
      </w:r>
      <w:r w:rsidRPr="00772E94">
        <w:rPr>
          <w:highlight w:val="cyan"/>
          <w:lang w:val="fr-FR"/>
        </w:rPr>
        <w:t>s</w:t>
      </w:r>
      <w:r w:rsidR="00515293" w:rsidRPr="00772E94">
        <w:rPr>
          <w:highlight w:val="cyan"/>
          <w:lang w:val="fr-FR"/>
        </w:rPr>
        <w:t xml:space="preserve">, fournir une estimation des besoins et du budget nécessaire pour renforcer le système de transport et les éléments de la chaîne du froid (chambres froides, réfrigérateurs, boîtes isothermes et glacières, porte-vaccins) au niveau national dans le cadre de l’introduction du VPI. </w:t>
      </w:r>
    </w:p>
    <w:p w:rsidR="00DB2A3C" w:rsidRPr="00DB2A3C" w:rsidRDefault="00DB2A3C" w:rsidP="00DB2A3C">
      <w:pPr>
        <w:spacing w:before="120" w:after="120"/>
        <w:ind w:right="355"/>
        <w:jc w:val="both"/>
        <w:divId w:val="410156154"/>
        <w:rPr>
          <w:rFonts w:ascii="Calibri" w:hAnsi="Calibri"/>
          <w:sz w:val="22"/>
          <w:szCs w:val="22"/>
          <w:highlight w:val="cyan"/>
          <w:lang w:val="fr-FR"/>
        </w:rPr>
      </w:pPr>
      <w:r w:rsidRPr="00DB2A3C">
        <w:rPr>
          <w:lang w:val="fr-FR"/>
        </w:rPr>
        <w:t xml:space="preserve">Suite à l’analyse de l’adéquation des capacités de stockage, les besoins sont </w:t>
      </w:r>
      <w:r>
        <w:rPr>
          <w:lang w:val="fr-FR"/>
        </w:rPr>
        <w:t>répertoriés</w:t>
      </w:r>
      <w:r w:rsidRPr="00DB2A3C">
        <w:rPr>
          <w:lang w:val="fr-FR"/>
        </w:rPr>
        <w:t xml:space="preserve"> dans le tableau ci-</w:t>
      </w:r>
      <w:r>
        <w:rPr>
          <w:lang w:val="fr-FR"/>
        </w:rPr>
        <w:t>dessous</w:t>
      </w:r>
      <w:r w:rsidRPr="00DB2A3C">
        <w:rPr>
          <w:lang w:val="fr-FR"/>
        </w:rPr>
        <w:t> :</w:t>
      </w:r>
    </w:p>
    <w:p w:rsidR="00DB2A3C" w:rsidRPr="007C5B3F" w:rsidRDefault="00DB2A3C" w:rsidP="00DB2A3C">
      <w:pPr>
        <w:pStyle w:val="Listecouleur-Accent11"/>
        <w:spacing w:after="0" w:line="240" w:lineRule="auto"/>
        <w:ind w:left="0" w:right="115"/>
        <w:jc w:val="both"/>
        <w:divId w:val="410156154"/>
        <w:rPr>
          <w:rFonts w:ascii="Times New Roman" w:hAnsi="Times New Roman"/>
          <w:sz w:val="6"/>
          <w:szCs w:val="24"/>
          <w:lang w:val="fr-FR"/>
        </w:rPr>
      </w:pPr>
    </w:p>
    <w:p w:rsidR="00DB2A3C" w:rsidRPr="00D96DE2" w:rsidRDefault="00D842C6" w:rsidP="00DB2A3C">
      <w:pPr>
        <w:pStyle w:val="Listecouleur-Accent11"/>
        <w:spacing w:after="0" w:line="240" w:lineRule="auto"/>
        <w:ind w:left="0" w:right="115"/>
        <w:jc w:val="both"/>
        <w:divId w:val="410156154"/>
        <w:rPr>
          <w:rFonts w:ascii="Times New Roman" w:hAnsi="Times New Roman"/>
          <w:sz w:val="24"/>
          <w:szCs w:val="24"/>
          <w:lang w:val="fr-FR"/>
        </w:rPr>
      </w:pPr>
      <w:r>
        <w:rPr>
          <w:rFonts w:ascii="Times New Roman" w:hAnsi="Times New Roman"/>
          <w:sz w:val="24"/>
          <w:szCs w:val="24"/>
          <w:lang w:val="fr-FR"/>
        </w:rPr>
        <w:t>Tableau n° III</w:t>
      </w:r>
      <w:r w:rsidR="00DB2A3C" w:rsidRPr="00D96DE2">
        <w:rPr>
          <w:rFonts w:ascii="Times New Roman" w:hAnsi="Times New Roman"/>
          <w:sz w:val="24"/>
          <w:szCs w:val="24"/>
          <w:lang w:val="fr-FR"/>
        </w:rPr>
        <w:t> : Besoins en matériels de chaine de froid et roulants</w:t>
      </w:r>
    </w:p>
    <w:tbl>
      <w:tblPr>
        <w:tblW w:w="4700" w:type="pct"/>
        <w:jc w:val="center"/>
        <w:tblCellMar>
          <w:left w:w="70" w:type="dxa"/>
          <w:right w:w="70" w:type="dxa"/>
        </w:tblCellMar>
        <w:tblLook w:val="04A0" w:firstRow="1" w:lastRow="0" w:firstColumn="1" w:lastColumn="0" w:noHBand="0" w:noVBand="1"/>
      </w:tblPr>
      <w:tblGrid>
        <w:gridCol w:w="1405"/>
        <w:gridCol w:w="2029"/>
        <w:gridCol w:w="2523"/>
        <w:gridCol w:w="1399"/>
        <w:gridCol w:w="1301"/>
      </w:tblGrid>
      <w:tr w:rsidR="00DB2A3C" w:rsidRPr="00D96DE2" w:rsidTr="008A269E">
        <w:trPr>
          <w:divId w:val="410156154"/>
          <w:trHeight w:val="262"/>
          <w:jc w:val="center"/>
        </w:trPr>
        <w:tc>
          <w:tcPr>
            <w:tcW w:w="8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2A3C" w:rsidRPr="00D96DE2" w:rsidRDefault="00DB2A3C" w:rsidP="00E62512">
            <w:pPr>
              <w:jc w:val="both"/>
              <w:rPr>
                <w:bCs/>
                <w:sz w:val="22"/>
                <w:szCs w:val="22"/>
              </w:rPr>
            </w:pPr>
            <w:r w:rsidRPr="00D96DE2">
              <w:rPr>
                <w:bCs/>
                <w:sz w:val="22"/>
                <w:szCs w:val="22"/>
              </w:rPr>
              <w:t>Niveaux</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rsidR="00DB2A3C" w:rsidRPr="00D96DE2" w:rsidRDefault="00DB2A3C" w:rsidP="008A269E">
            <w:pPr>
              <w:jc w:val="center"/>
              <w:rPr>
                <w:bCs/>
                <w:sz w:val="22"/>
                <w:szCs w:val="22"/>
              </w:rPr>
            </w:pPr>
            <w:r w:rsidRPr="00D96DE2">
              <w:rPr>
                <w:bCs/>
                <w:sz w:val="22"/>
                <w:szCs w:val="22"/>
              </w:rPr>
              <w:t>Chambres</w:t>
            </w:r>
            <w:r w:rsidR="008A269E">
              <w:rPr>
                <w:bCs/>
                <w:sz w:val="22"/>
                <w:szCs w:val="22"/>
              </w:rPr>
              <w:t xml:space="preserve"> </w:t>
            </w:r>
            <w:r w:rsidRPr="00D96DE2">
              <w:rPr>
                <w:bCs/>
                <w:sz w:val="22"/>
                <w:szCs w:val="22"/>
              </w:rPr>
              <w:t>Froides positives</w:t>
            </w:r>
          </w:p>
        </w:tc>
        <w:tc>
          <w:tcPr>
            <w:tcW w:w="1457" w:type="pct"/>
            <w:tcBorders>
              <w:top w:val="single" w:sz="4" w:space="0" w:color="auto"/>
              <w:left w:val="nil"/>
              <w:bottom w:val="single" w:sz="4" w:space="0" w:color="auto"/>
              <w:right w:val="single" w:sz="4" w:space="0" w:color="auto"/>
            </w:tcBorders>
            <w:shd w:val="clear" w:color="auto" w:fill="auto"/>
            <w:vAlign w:val="center"/>
            <w:hideMark/>
          </w:tcPr>
          <w:p w:rsidR="00DB2A3C" w:rsidRPr="00D96DE2" w:rsidRDefault="00DB2A3C" w:rsidP="008A269E">
            <w:pPr>
              <w:jc w:val="center"/>
              <w:rPr>
                <w:bCs/>
                <w:sz w:val="22"/>
                <w:szCs w:val="22"/>
              </w:rPr>
            </w:pPr>
            <w:r w:rsidRPr="00D96DE2">
              <w:rPr>
                <w:bCs/>
                <w:sz w:val="22"/>
                <w:szCs w:val="22"/>
              </w:rPr>
              <w:t>Chambres</w:t>
            </w:r>
            <w:r w:rsidR="008A269E">
              <w:rPr>
                <w:bCs/>
                <w:sz w:val="22"/>
                <w:szCs w:val="22"/>
              </w:rPr>
              <w:t xml:space="preserve"> </w:t>
            </w:r>
            <w:r w:rsidRPr="00D96DE2">
              <w:rPr>
                <w:bCs/>
                <w:sz w:val="22"/>
                <w:szCs w:val="22"/>
              </w:rPr>
              <w:t>Froides</w:t>
            </w:r>
            <w:r w:rsidR="008A269E">
              <w:rPr>
                <w:bCs/>
                <w:sz w:val="22"/>
                <w:szCs w:val="22"/>
              </w:rPr>
              <w:t xml:space="preserve"> </w:t>
            </w:r>
            <w:r w:rsidRPr="00D96DE2">
              <w:rPr>
                <w:bCs/>
                <w:sz w:val="22"/>
                <w:szCs w:val="22"/>
              </w:rPr>
              <w:t>négatives</w:t>
            </w:r>
          </w:p>
        </w:tc>
        <w:tc>
          <w:tcPr>
            <w:tcW w:w="808" w:type="pct"/>
            <w:tcBorders>
              <w:top w:val="single" w:sz="4" w:space="0" w:color="auto"/>
              <w:left w:val="nil"/>
              <w:bottom w:val="single" w:sz="4" w:space="0" w:color="auto"/>
              <w:right w:val="single" w:sz="4" w:space="0" w:color="auto"/>
            </w:tcBorders>
            <w:shd w:val="clear" w:color="auto" w:fill="auto"/>
            <w:vAlign w:val="center"/>
            <w:hideMark/>
          </w:tcPr>
          <w:p w:rsidR="00DB2A3C" w:rsidRPr="00D96DE2" w:rsidRDefault="00902944" w:rsidP="008A269E">
            <w:pPr>
              <w:jc w:val="center"/>
              <w:rPr>
                <w:bCs/>
                <w:sz w:val="22"/>
                <w:szCs w:val="22"/>
              </w:rPr>
            </w:pPr>
            <w:r>
              <w:rPr>
                <w:bCs/>
                <w:sz w:val="22"/>
                <w:szCs w:val="22"/>
              </w:rPr>
              <w:t>Réfrigé</w:t>
            </w:r>
            <w:r w:rsidR="00DB2A3C" w:rsidRPr="00D96DE2">
              <w:rPr>
                <w:bCs/>
                <w:sz w:val="22"/>
                <w:szCs w:val="22"/>
              </w:rPr>
              <w:t>rateurs</w:t>
            </w:r>
          </w:p>
        </w:tc>
        <w:tc>
          <w:tcPr>
            <w:tcW w:w="751" w:type="pct"/>
            <w:tcBorders>
              <w:top w:val="single" w:sz="4" w:space="0" w:color="auto"/>
              <w:left w:val="nil"/>
              <w:bottom w:val="single" w:sz="4" w:space="0" w:color="auto"/>
              <w:right w:val="single" w:sz="4" w:space="0" w:color="auto"/>
            </w:tcBorders>
            <w:shd w:val="clear" w:color="auto" w:fill="auto"/>
            <w:vAlign w:val="center"/>
            <w:hideMark/>
          </w:tcPr>
          <w:p w:rsidR="00DB2A3C" w:rsidRPr="00D96DE2" w:rsidRDefault="00902944" w:rsidP="008A269E">
            <w:pPr>
              <w:jc w:val="center"/>
              <w:rPr>
                <w:bCs/>
                <w:sz w:val="22"/>
                <w:szCs w:val="22"/>
              </w:rPr>
            </w:pPr>
            <w:r>
              <w:rPr>
                <w:bCs/>
                <w:sz w:val="22"/>
                <w:szCs w:val="22"/>
              </w:rPr>
              <w:t>Congé</w:t>
            </w:r>
            <w:r w:rsidR="00DB2A3C" w:rsidRPr="00D96DE2">
              <w:rPr>
                <w:bCs/>
                <w:sz w:val="22"/>
                <w:szCs w:val="22"/>
              </w:rPr>
              <w:t>lateurs</w:t>
            </w:r>
          </w:p>
        </w:tc>
      </w:tr>
      <w:tr w:rsidR="00DB2A3C" w:rsidRPr="00D96DE2" w:rsidTr="008A269E">
        <w:trPr>
          <w:divId w:val="410156154"/>
          <w:trHeight w:val="262"/>
          <w:jc w:val="center"/>
        </w:trPr>
        <w:tc>
          <w:tcPr>
            <w:tcW w:w="811" w:type="pct"/>
            <w:tcBorders>
              <w:top w:val="nil"/>
              <w:left w:val="single" w:sz="4" w:space="0" w:color="auto"/>
              <w:bottom w:val="single" w:sz="4" w:space="0" w:color="auto"/>
              <w:right w:val="single" w:sz="4" w:space="0" w:color="auto"/>
            </w:tcBorders>
            <w:shd w:val="clear" w:color="auto" w:fill="auto"/>
            <w:vAlign w:val="center"/>
            <w:hideMark/>
          </w:tcPr>
          <w:p w:rsidR="00DB2A3C" w:rsidRPr="00D96DE2" w:rsidRDefault="00DB2A3C" w:rsidP="00E62512">
            <w:pPr>
              <w:jc w:val="both"/>
              <w:rPr>
                <w:sz w:val="22"/>
                <w:szCs w:val="22"/>
              </w:rPr>
            </w:pPr>
            <w:r w:rsidRPr="00D96DE2">
              <w:rPr>
                <w:sz w:val="22"/>
                <w:szCs w:val="22"/>
              </w:rPr>
              <w:t>Central</w:t>
            </w:r>
          </w:p>
        </w:tc>
        <w:tc>
          <w:tcPr>
            <w:tcW w:w="1172" w:type="pct"/>
            <w:tcBorders>
              <w:top w:val="nil"/>
              <w:left w:val="nil"/>
              <w:bottom w:val="single" w:sz="4" w:space="0" w:color="auto"/>
              <w:right w:val="single" w:sz="4" w:space="0" w:color="auto"/>
            </w:tcBorders>
            <w:shd w:val="clear" w:color="auto" w:fill="auto"/>
            <w:vAlign w:val="center"/>
          </w:tcPr>
          <w:p w:rsidR="00DB2A3C" w:rsidRPr="00D96DE2" w:rsidRDefault="00DB2A3C" w:rsidP="00DB2A3C">
            <w:pPr>
              <w:jc w:val="center"/>
              <w:rPr>
                <w:sz w:val="22"/>
                <w:szCs w:val="22"/>
              </w:rPr>
            </w:pPr>
            <w:r>
              <w:rPr>
                <w:sz w:val="22"/>
                <w:szCs w:val="22"/>
              </w:rPr>
              <w:t>01</w:t>
            </w:r>
          </w:p>
        </w:tc>
        <w:tc>
          <w:tcPr>
            <w:tcW w:w="1457" w:type="pct"/>
            <w:tcBorders>
              <w:top w:val="nil"/>
              <w:left w:val="nil"/>
              <w:bottom w:val="single" w:sz="4" w:space="0" w:color="auto"/>
              <w:right w:val="single" w:sz="4" w:space="0" w:color="auto"/>
            </w:tcBorders>
            <w:shd w:val="clear" w:color="auto" w:fill="auto"/>
            <w:vAlign w:val="center"/>
          </w:tcPr>
          <w:p w:rsidR="00DB2A3C" w:rsidRPr="00D96DE2" w:rsidRDefault="00DB2A3C" w:rsidP="00DB2A3C">
            <w:pPr>
              <w:jc w:val="center"/>
              <w:rPr>
                <w:sz w:val="22"/>
                <w:szCs w:val="22"/>
              </w:rPr>
            </w:pPr>
            <w:r>
              <w:rPr>
                <w:sz w:val="22"/>
                <w:szCs w:val="22"/>
              </w:rPr>
              <w:t>0</w:t>
            </w:r>
          </w:p>
        </w:tc>
        <w:tc>
          <w:tcPr>
            <w:tcW w:w="808" w:type="pct"/>
            <w:tcBorders>
              <w:top w:val="nil"/>
              <w:left w:val="nil"/>
              <w:bottom w:val="single" w:sz="4" w:space="0" w:color="auto"/>
              <w:right w:val="single" w:sz="4" w:space="0" w:color="auto"/>
            </w:tcBorders>
            <w:shd w:val="clear" w:color="auto" w:fill="auto"/>
            <w:vAlign w:val="center"/>
          </w:tcPr>
          <w:p w:rsidR="00DB2A3C" w:rsidRPr="00D96DE2" w:rsidRDefault="00DB2A3C" w:rsidP="00DB2A3C">
            <w:pPr>
              <w:jc w:val="center"/>
              <w:rPr>
                <w:sz w:val="22"/>
                <w:szCs w:val="22"/>
              </w:rPr>
            </w:pPr>
            <w:r>
              <w:rPr>
                <w:sz w:val="22"/>
                <w:szCs w:val="22"/>
              </w:rPr>
              <w:t>0</w:t>
            </w:r>
          </w:p>
        </w:tc>
        <w:tc>
          <w:tcPr>
            <w:tcW w:w="751" w:type="pct"/>
            <w:tcBorders>
              <w:top w:val="nil"/>
              <w:left w:val="nil"/>
              <w:bottom w:val="single" w:sz="4" w:space="0" w:color="auto"/>
              <w:right w:val="single" w:sz="4" w:space="0" w:color="auto"/>
            </w:tcBorders>
            <w:shd w:val="clear" w:color="auto" w:fill="auto"/>
            <w:vAlign w:val="center"/>
          </w:tcPr>
          <w:p w:rsidR="00DB2A3C" w:rsidRPr="00D96DE2" w:rsidRDefault="00DB2A3C" w:rsidP="00DB2A3C">
            <w:pPr>
              <w:jc w:val="center"/>
              <w:rPr>
                <w:sz w:val="22"/>
                <w:szCs w:val="22"/>
              </w:rPr>
            </w:pPr>
            <w:r>
              <w:rPr>
                <w:sz w:val="22"/>
                <w:szCs w:val="22"/>
              </w:rPr>
              <w:t>0</w:t>
            </w:r>
          </w:p>
        </w:tc>
      </w:tr>
      <w:tr w:rsidR="00DB2A3C" w:rsidRPr="00D96DE2" w:rsidTr="008A269E">
        <w:trPr>
          <w:divId w:val="410156154"/>
          <w:trHeight w:val="262"/>
          <w:jc w:val="center"/>
        </w:trPr>
        <w:tc>
          <w:tcPr>
            <w:tcW w:w="811" w:type="pct"/>
            <w:tcBorders>
              <w:top w:val="nil"/>
              <w:left w:val="single" w:sz="4" w:space="0" w:color="auto"/>
              <w:bottom w:val="single" w:sz="4" w:space="0" w:color="auto"/>
              <w:right w:val="single" w:sz="4" w:space="0" w:color="auto"/>
            </w:tcBorders>
            <w:shd w:val="clear" w:color="auto" w:fill="auto"/>
            <w:vAlign w:val="center"/>
            <w:hideMark/>
          </w:tcPr>
          <w:p w:rsidR="00DB2A3C" w:rsidRPr="00D96DE2" w:rsidRDefault="00DB2A3C" w:rsidP="00E62512">
            <w:pPr>
              <w:jc w:val="both"/>
              <w:rPr>
                <w:sz w:val="22"/>
                <w:szCs w:val="22"/>
              </w:rPr>
            </w:pPr>
            <w:r w:rsidRPr="00D96DE2">
              <w:rPr>
                <w:sz w:val="22"/>
                <w:szCs w:val="22"/>
              </w:rPr>
              <w:t>Régional</w:t>
            </w:r>
          </w:p>
        </w:tc>
        <w:tc>
          <w:tcPr>
            <w:tcW w:w="1172" w:type="pct"/>
            <w:tcBorders>
              <w:top w:val="nil"/>
              <w:left w:val="nil"/>
              <w:bottom w:val="single" w:sz="4" w:space="0" w:color="auto"/>
              <w:right w:val="single" w:sz="4" w:space="0" w:color="auto"/>
            </w:tcBorders>
            <w:shd w:val="clear" w:color="auto" w:fill="auto"/>
            <w:vAlign w:val="center"/>
          </w:tcPr>
          <w:p w:rsidR="00DB2A3C" w:rsidRPr="00D96DE2" w:rsidRDefault="00DB2A3C" w:rsidP="00DB2A3C">
            <w:pPr>
              <w:jc w:val="center"/>
              <w:rPr>
                <w:sz w:val="22"/>
                <w:szCs w:val="22"/>
              </w:rPr>
            </w:pPr>
            <w:r>
              <w:rPr>
                <w:sz w:val="22"/>
                <w:szCs w:val="22"/>
              </w:rPr>
              <w:t>0</w:t>
            </w:r>
          </w:p>
        </w:tc>
        <w:tc>
          <w:tcPr>
            <w:tcW w:w="1457" w:type="pct"/>
            <w:tcBorders>
              <w:top w:val="nil"/>
              <w:left w:val="nil"/>
              <w:bottom w:val="single" w:sz="4" w:space="0" w:color="auto"/>
              <w:right w:val="single" w:sz="4" w:space="0" w:color="auto"/>
            </w:tcBorders>
            <w:shd w:val="clear" w:color="auto" w:fill="auto"/>
            <w:vAlign w:val="center"/>
          </w:tcPr>
          <w:p w:rsidR="00DB2A3C" w:rsidRPr="00D96DE2" w:rsidRDefault="00DB2A3C" w:rsidP="00DB2A3C">
            <w:pPr>
              <w:jc w:val="center"/>
              <w:rPr>
                <w:sz w:val="22"/>
                <w:szCs w:val="22"/>
              </w:rPr>
            </w:pPr>
            <w:r>
              <w:rPr>
                <w:sz w:val="22"/>
                <w:szCs w:val="22"/>
              </w:rPr>
              <w:t>0</w:t>
            </w:r>
          </w:p>
        </w:tc>
        <w:tc>
          <w:tcPr>
            <w:tcW w:w="808" w:type="pct"/>
            <w:tcBorders>
              <w:top w:val="nil"/>
              <w:left w:val="nil"/>
              <w:bottom w:val="single" w:sz="4" w:space="0" w:color="auto"/>
              <w:right w:val="single" w:sz="4" w:space="0" w:color="auto"/>
            </w:tcBorders>
            <w:shd w:val="clear" w:color="auto" w:fill="auto"/>
            <w:vAlign w:val="center"/>
          </w:tcPr>
          <w:p w:rsidR="00DB2A3C" w:rsidRPr="00D96DE2" w:rsidRDefault="00DB2A3C" w:rsidP="00DB2A3C">
            <w:pPr>
              <w:jc w:val="center"/>
              <w:rPr>
                <w:sz w:val="22"/>
                <w:szCs w:val="22"/>
              </w:rPr>
            </w:pPr>
            <w:r>
              <w:rPr>
                <w:sz w:val="22"/>
                <w:szCs w:val="22"/>
              </w:rPr>
              <w:t>05</w:t>
            </w:r>
          </w:p>
        </w:tc>
        <w:tc>
          <w:tcPr>
            <w:tcW w:w="751" w:type="pct"/>
            <w:tcBorders>
              <w:top w:val="nil"/>
              <w:left w:val="nil"/>
              <w:bottom w:val="single" w:sz="4" w:space="0" w:color="auto"/>
              <w:right w:val="single" w:sz="4" w:space="0" w:color="auto"/>
            </w:tcBorders>
            <w:shd w:val="clear" w:color="auto" w:fill="auto"/>
            <w:vAlign w:val="center"/>
          </w:tcPr>
          <w:p w:rsidR="00DB2A3C" w:rsidRPr="00D96DE2" w:rsidRDefault="00DB2A3C" w:rsidP="00DB2A3C">
            <w:pPr>
              <w:jc w:val="center"/>
              <w:rPr>
                <w:sz w:val="22"/>
                <w:szCs w:val="22"/>
              </w:rPr>
            </w:pPr>
            <w:r>
              <w:rPr>
                <w:sz w:val="22"/>
                <w:szCs w:val="22"/>
              </w:rPr>
              <w:t>0</w:t>
            </w:r>
          </w:p>
        </w:tc>
      </w:tr>
      <w:tr w:rsidR="00DB2A3C" w:rsidRPr="00D96DE2" w:rsidTr="008A269E">
        <w:trPr>
          <w:divId w:val="410156154"/>
          <w:trHeight w:val="273"/>
          <w:jc w:val="center"/>
        </w:trPr>
        <w:tc>
          <w:tcPr>
            <w:tcW w:w="811" w:type="pct"/>
            <w:tcBorders>
              <w:top w:val="nil"/>
              <w:left w:val="single" w:sz="4" w:space="0" w:color="auto"/>
              <w:bottom w:val="single" w:sz="4" w:space="0" w:color="auto"/>
              <w:right w:val="single" w:sz="4" w:space="0" w:color="auto"/>
            </w:tcBorders>
            <w:shd w:val="clear" w:color="auto" w:fill="auto"/>
            <w:vAlign w:val="center"/>
            <w:hideMark/>
          </w:tcPr>
          <w:p w:rsidR="00DB2A3C" w:rsidRPr="00D96DE2" w:rsidRDefault="00DB2A3C" w:rsidP="00E62512">
            <w:pPr>
              <w:jc w:val="both"/>
              <w:rPr>
                <w:sz w:val="22"/>
                <w:szCs w:val="22"/>
              </w:rPr>
            </w:pPr>
            <w:r>
              <w:rPr>
                <w:sz w:val="22"/>
                <w:szCs w:val="22"/>
              </w:rPr>
              <w:t>D</w:t>
            </w:r>
            <w:r w:rsidRPr="00D96DE2">
              <w:rPr>
                <w:sz w:val="22"/>
                <w:szCs w:val="22"/>
              </w:rPr>
              <w:t>istrict</w:t>
            </w:r>
          </w:p>
        </w:tc>
        <w:tc>
          <w:tcPr>
            <w:tcW w:w="1172" w:type="pct"/>
            <w:tcBorders>
              <w:top w:val="single" w:sz="4" w:space="0" w:color="auto"/>
              <w:left w:val="nil"/>
              <w:bottom w:val="single" w:sz="4" w:space="0" w:color="auto"/>
              <w:right w:val="single" w:sz="4" w:space="0" w:color="auto"/>
            </w:tcBorders>
            <w:shd w:val="clear" w:color="auto" w:fill="auto"/>
            <w:vAlign w:val="center"/>
          </w:tcPr>
          <w:p w:rsidR="00DB2A3C" w:rsidRPr="00D96DE2" w:rsidRDefault="00DB2A3C" w:rsidP="00DB2A3C">
            <w:pPr>
              <w:jc w:val="center"/>
              <w:rPr>
                <w:sz w:val="22"/>
                <w:szCs w:val="22"/>
              </w:rPr>
            </w:pPr>
            <w:r>
              <w:rPr>
                <w:sz w:val="22"/>
                <w:szCs w:val="22"/>
              </w:rPr>
              <w:t>0</w:t>
            </w:r>
          </w:p>
        </w:tc>
        <w:tc>
          <w:tcPr>
            <w:tcW w:w="1457" w:type="pct"/>
            <w:tcBorders>
              <w:top w:val="single" w:sz="4" w:space="0" w:color="auto"/>
              <w:left w:val="nil"/>
              <w:bottom w:val="single" w:sz="4" w:space="0" w:color="auto"/>
              <w:right w:val="single" w:sz="4" w:space="0" w:color="auto"/>
            </w:tcBorders>
            <w:shd w:val="clear" w:color="auto" w:fill="auto"/>
            <w:vAlign w:val="center"/>
          </w:tcPr>
          <w:p w:rsidR="00DB2A3C" w:rsidRPr="00D96DE2" w:rsidRDefault="00DB2A3C" w:rsidP="00DB2A3C">
            <w:pPr>
              <w:jc w:val="center"/>
              <w:rPr>
                <w:sz w:val="22"/>
                <w:szCs w:val="22"/>
              </w:rPr>
            </w:pPr>
            <w:r>
              <w:rPr>
                <w:sz w:val="22"/>
                <w:szCs w:val="22"/>
              </w:rPr>
              <w:t>0</w:t>
            </w:r>
          </w:p>
        </w:tc>
        <w:tc>
          <w:tcPr>
            <w:tcW w:w="808" w:type="pct"/>
            <w:tcBorders>
              <w:top w:val="nil"/>
              <w:left w:val="nil"/>
              <w:bottom w:val="single" w:sz="4" w:space="0" w:color="auto"/>
              <w:right w:val="single" w:sz="4" w:space="0" w:color="auto"/>
            </w:tcBorders>
            <w:shd w:val="clear" w:color="auto" w:fill="auto"/>
            <w:vAlign w:val="center"/>
          </w:tcPr>
          <w:p w:rsidR="00DB2A3C" w:rsidRPr="00D96DE2" w:rsidRDefault="00263096" w:rsidP="00DB2A3C">
            <w:pPr>
              <w:jc w:val="center"/>
              <w:rPr>
                <w:sz w:val="22"/>
                <w:szCs w:val="22"/>
              </w:rPr>
            </w:pPr>
            <w:r>
              <w:rPr>
                <w:sz w:val="22"/>
                <w:szCs w:val="22"/>
              </w:rPr>
              <w:t>4</w:t>
            </w:r>
            <w:r w:rsidR="0003750A">
              <w:rPr>
                <w:sz w:val="22"/>
                <w:szCs w:val="22"/>
              </w:rPr>
              <w:t>6</w:t>
            </w:r>
          </w:p>
        </w:tc>
        <w:tc>
          <w:tcPr>
            <w:tcW w:w="751" w:type="pct"/>
            <w:tcBorders>
              <w:top w:val="nil"/>
              <w:left w:val="nil"/>
              <w:bottom w:val="single" w:sz="4" w:space="0" w:color="auto"/>
              <w:right w:val="single" w:sz="4" w:space="0" w:color="auto"/>
            </w:tcBorders>
            <w:shd w:val="clear" w:color="auto" w:fill="auto"/>
            <w:vAlign w:val="center"/>
          </w:tcPr>
          <w:p w:rsidR="00DB2A3C" w:rsidRPr="00D96DE2" w:rsidRDefault="00DB2A3C" w:rsidP="00DB2A3C">
            <w:pPr>
              <w:jc w:val="center"/>
              <w:rPr>
                <w:sz w:val="22"/>
                <w:szCs w:val="22"/>
              </w:rPr>
            </w:pPr>
            <w:r>
              <w:rPr>
                <w:sz w:val="22"/>
                <w:szCs w:val="22"/>
              </w:rPr>
              <w:t>0</w:t>
            </w:r>
          </w:p>
        </w:tc>
      </w:tr>
      <w:tr w:rsidR="00DB2A3C" w:rsidRPr="00D96DE2" w:rsidTr="008A269E">
        <w:trPr>
          <w:divId w:val="410156154"/>
          <w:trHeight w:val="223"/>
          <w:jc w:val="center"/>
        </w:trPr>
        <w:tc>
          <w:tcPr>
            <w:tcW w:w="811" w:type="pct"/>
            <w:tcBorders>
              <w:top w:val="nil"/>
              <w:left w:val="single" w:sz="4" w:space="0" w:color="auto"/>
              <w:bottom w:val="single" w:sz="4" w:space="0" w:color="auto"/>
              <w:right w:val="single" w:sz="4" w:space="0" w:color="auto"/>
            </w:tcBorders>
            <w:shd w:val="clear" w:color="auto" w:fill="auto"/>
            <w:vAlign w:val="center"/>
            <w:hideMark/>
          </w:tcPr>
          <w:p w:rsidR="00DB2A3C" w:rsidRPr="00D96DE2" w:rsidRDefault="00DB2A3C" w:rsidP="00E62512">
            <w:pPr>
              <w:jc w:val="both"/>
              <w:rPr>
                <w:sz w:val="22"/>
                <w:szCs w:val="22"/>
              </w:rPr>
            </w:pPr>
            <w:r w:rsidRPr="00D96DE2">
              <w:rPr>
                <w:sz w:val="22"/>
                <w:szCs w:val="22"/>
              </w:rPr>
              <w:t xml:space="preserve">Centres </w:t>
            </w:r>
            <w:r>
              <w:rPr>
                <w:sz w:val="22"/>
                <w:szCs w:val="22"/>
              </w:rPr>
              <w:t>santé</w:t>
            </w:r>
          </w:p>
        </w:tc>
        <w:tc>
          <w:tcPr>
            <w:tcW w:w="1172"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DB2A3C" w:rsidRPr="00D96DE2" w:rsidRDefault="00DB2A3C" w:rsidP="00DB2A3C">
            <w:pPr>
              <w:jc w:val="center"/>
              <w:rPr>
                <w:sz w:val="22"/>
                <w:szCs w:val="22"/>
              </w:rPr>
            </w:pPr>
          </w:p>
        </w:tc>
        <w:tc>
          <w:tcPr>
            <w:tcW w:w="1457"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DB2A3C" w:rsidRPr="00D96DE2" w:rsidRDefault="00DB2A3C" w:rsidP="00DB2A3C">
            <w:pPr>
              <w:jc w:val="center"/>
              <w:rPr>
                <w:sz w:val="22"/>
                <w:szCs w:val="22"/>
              </w:rPr>
            </w:pPr>
          </w:p>
        </w:tc>
        <w:tc>
          <w:tcPr>
            <w:tcW w:w="808" w:type="pct"/>
            <w:tcBorders>
              <w:top w:val="nil"/>
              <w:left w:val="nil"/>
              <w:bottom w:val="single" w:sz="4" w:space="0" w:color="auto"/>
              <w:right w:val="single" w:sz="4" w:space="0" w:color="auto"/>
            </w:tcBorders>
            <w:shd w:val="clear" w:color="auto" w:fill="auto"/>
            <w:vAlign w:val="center"/>
          </w:tcPr>
          <w:p w:rsidR="00DB2A3C" w:rsidRPr="00D96DE2" w:rsidRDefault="00DB2A3C" w:rsidP="00DB2A3C">
            <w:pPr>
              <w:jc w:val="center"/>
              <w:rPr>
                <w:sz w:val="22"/>
                <w:szCs w:val="22"/>
              </w:rPr>
            </w:pPr>
            <w:r>
              <w:rPr>
                <w:sz w:val="22"/>
                <w:szCs w:val="22"/>
              </w:rPr>
              <w:t>33</w:t>
            </w:r>
          </w:p>
        </w:tc>
        <w:tc>
          <w:tcPr>
            <w:tcW w:w="751" w:type="pct"/>
            <w:tcBorders>
              <w:top w:val="nil"/>
              <w:left w:val="nil"/>
              <w:bottom w:val="single" w:sz="4" w:space="0" w:color="auto"/>
              <w:right w:val="single" w:sz="4" w:space="0" w:color="auto"/>
            </w:tcBorders>
            <w:shd w:val="clear" w:color="auto" w:fill="auto"/>
            <w:vAlign w:val="center"/>
          </w:tcPr>
          <w:p w:rsidR="00DB2A3C" w:rsidRPr="00D96DE2" w:rsidRDefault="00DB2A3C" w:rsidP="00DB2A3C">
            <w:pPr>
              <w:jc w:val="center"/>
              <w:rPr>
                <w:sz w:val="22"/>
                <w:szCs w:val="22"/>
              </w:rPr>
            </w:pPr>
            <w:r>
              <w:rPr>
                <w:sz w:val="22"/>
                <w:szCs w:val="22"/>
              </w:rPr>
              <w:t>0</w:t>
            </w:r>
          </w:p>
        </w:tc>
      </w:tr>
    </w:tbl>
    <w:p w:rsidR="00536131" w:rsidRDefault="00536131" w:rsidP="00874C56">
      <w:pPr>
        <w:pStyle w:val="Paragraphedeliste"/>
        <w:spacing w:after="0" w:line="240" w:lineRule="auto"/>
        <w:ind w:right="115"/>
        <w:jc w:val="both"/>
        <w:divId w:val="410156154"/>
        <w:rPr>
          <w:color w:val="FF0000"/>
          <w:lang w:val="fr-FR"/>
        </w:rPr>
      </w:pPr>
    </w:p>
    <w:p w:rsidR="000A2CB6" w:rsidRDefault="00515293">
      <w:pPr>
        <w:pStyle w:val="Paragraphedeliste"/>
        <w:numPr>
          <w:ilvl w:val="0"/>
          <w:numId w:val="6"/>
        </w:numPr>
        <w:spacing w:after="0" w:line="240" w:lineRule="auto"/>
        <w:ind w:right="115"/>
        <w:jc w:val="both"/>
        <w:divId w:val="410156154"/>
        <w:rPr>
          <w:highlight w:val="cyan"/>
          <w:lang w:val="fr-FR"/>
        </w:rPr>
      </w:pPr>
      <w:r w:rsidRPr="005471FB">
        <w:rPr>
          <w:highlight w:val="cyan"/>
          <w:lang w:val="fr-FR"/>
        </w:rPr>
        <w:t xml:space="preserve">Prouver la disponibilité des fonds nécessaires au niveau local pour payer l’électricité et assurer la maintenance des nouveaux équipements de la chaîne du froid.    </w:t>
      </w:r>
    </w:p>
    <w:p w:rsidR="00536131" w:rsidRPr="005471FB" w:rsidRDefault="00536131" w:rsidP="00536131">
      <w:pPr>
        <w:pStyle w:val="Paragraphedeliste"/>
        <w:spacing w:after="0" w:line="240" w:lineRule="auto"/>
        <w:ind w:right="115"/>
        <w:jc w:val="both"/>
        <w:divId w:val="410156154"/>
        <w:rPr>
          <w:highlight w:val="cyan"/>
          <w:lang w:val="fr-FR"/>
        </w:rPr>
      </w:pPr>
    </w:p>
    <w:p w:rsidR="00772E94" w:rsidRPr="005471FB" w:rsidRDefault="00772E94" w:rsidP="00FD4940">
      <w:pPr>
        <w:ind w:left="120" w:right="120"/>
        <w:jc w:val="both"/>
        <w:divId w:val="410156154"/>
        <w:rPr>
          <w:bCs/>
          <w:szCs w:val="22"/>
          <w:lang w:val="fr-FR"/>
        </w:rPr>
      </w:pPr>
      <w:r w:rsidRPr="005471FB">
        <w:rPr>
          <w:lang w:val="fr-FR"/>
        </w:rPr>
        <w:t xml:space="preserve">Le système de maintenance de la CDF est une maintenance préventive et curative. La maintenance curative est assurée par </w:t>
      </w:r>
      <w:r w:rsidR="00874C56">
        <w:rPr>
          <w:lang w:val="fr-FR"/>
        </w:rPr>
        <w:t>leservice des infrastructures des équipements et de la maintenance (</w:t>
      </w:r>
      <w:r w:rsidRPr="00874C56">
        <w:rPr>
          <w:lang w:val="fr-FR"/>
        </w:rPr>
        <w:t>SIEM</w:t>
      </w:r>
      <w:r w:rsidR="00874C56">
        <w:rPr>
          <w:lang w:val="fr-FR"/>
        </w:rPr>
        <w:t>)</w:t>
      </w:r>
      <w:r w:rsidRPr="005471FB">
        <w:rPr>
          <w:lang w:val="fr-FR"/>
        </w:rPr>
        <w:t xml:space="preserve"> pour les équipements des directions régionales, des districts sanitaires et des centres de santé sur fonds de l’Etat et par une société privée pour les équipements du niveau central sur fonds de l’UNICEF et de l’Etat. </w:t>
      </w:r>
    </w:p>
    <w:p w:rsidR="00772E94" w:rsidRPr="00536131" w:rsidRDefault="00772E94" w:rsidP="00FD4940">
      <w:pPr>
        <w:ind w:left="120" w:right="120"/>
        <w:jc w:val="both"/>
        <w:divId w:val="410156154"/>
        <w:rPr>
          <w:bCs/>
          <w:sz w:val="14"/>
          <w:lang w:val="fr-FR"/>
        </w:rPr>
      </w:pPr>
    </w:p>
    <w:p w:rsidR="00772E94" w:rsidRPr="005471FB" w:rsidRDefault="00772E94" w:rsidP="00FD4940">
      <w:pPr>
        <w:ind w:left="120" w:right="120"/>
        <w:jc w:val="both"/>
        <w:divId w:val="410156154"/>
        <w:rPr>
          <w:bCs/>
          <w:lang w:val="fr-FR"/>
        </w:rPr>
      </w:pPr>
      <w:r w:rsidRPr="005471FB">
        <w:rPr>
          <w:bCs/>
          <w:lang w:val="fr-FR"/>
        </w:rPr>
        <w:t xml:space="preserve">Les factures de consommation d’électricité sont prises en charge sur le budget de l’Etat pour les appareils qui fonctionnent sur le courant électrique. Pour ceux fonctionnant au gaz, le financement est également assuré sur le budget de l’Etat et le Programme d’Appui au </w:t>
      </w:r>
      <w:r w:rsidR="005471FB" w:rsidRPr="005471FB">
        <w:rPr>
          <w:bCs/>
          <w:lang w:val="fr-FR"/>
        </w:rPr>
        <w:t>Développement</w:t>
      </w:r>
      <w:r w:rsidRPr="005471FB">
        <w:rPr>
          <w:bCs/>
          <w:lang w:val="fr-FR"/>
        </w:rPr>
        <w:t xml:space="preserve"> Sanitaire (PADS). Il </w:t>
      </w:r>
      <w:r w:rsidR="005471FB" w:rsidRPr="005471FB">
        <w:rPr>
          <w:bCs/>
          <w:lang w:val="fr-FR"/>
        </w:rPr>
        <w:t>est prévu l’acquisition d’</w:t>
      </w:r>
      <w:r w:rsidRPr="005471FB">
        <w:rPr>
          <w:bCs/>
          <w:lang w:val="fr-FR"/>
        </w:rPr>
        <w:t xml:space="preserve">équipements fonctionnant à énergie solaire. </w:t>
      </w:r>
    </w:p>
    <w:p w:rsidR="00A04024" w:rsidRDefault="00A04024" w:rsidP="00FD4940">
      <w:pPr>
        <w:jc w:val="both"/>
        <w:divId w:val="410156154"/>
        <w:rPr>
          <w:rFonts w:asciiTheme="minorHAnsi" w:hAnsiTheme="minorHAnsi"/>
          <w:bCs/>
          <w:sz w:val="22"/>
          <w:szCs w:val="22"/>
          <w:lang w:val="fr-FR"/>
        </w:rPr>
      </w:pPr>
    </w:p>
    <w:p w:rsidR="00911B1B" w:rsidRPr="00C369C9" w:rsidRDefault="00911B1B" w:rsidP="00FD4940">
      <w:pPr>
        <w:jc w:val="both"/>
        <w:divId w:val="410156154"/>
        <w:rPr>
          <w:rFonts w:asciiTheme="minorHAnsi" w:hAnsiTheme="minorHAnsi"/>
          <w:bCs/>
          <w:sz w:val="22"/>
          <w:szCs w:val="22"/>
          <w:lang w:val="fr-FR"/>
        </w:rPr>
      </w:pPr>
    </w:p>
    <w:p w:rsidR="000A2CB6" w:rsidRDefault="00515293">
      <w:pPr>
        <w:jc w:val="both"/>
        <w:divId w:val="410156154"/>
        <w:rPr>
          <w:rFonts w:asciiTheme="minorHAnsi" w:hAnsiTheme="minorHAnsi"/>
          <w:bCs/>
          <w:color w:val="1F497D" w:themeColor="text2"/>
          <w:lang w:val="fr-FR"/>
        </w:rPr>
      </w:pPr>
      <w:r w:rsidRPr="00C369C9">
        <w:rPr>
          <w:rFonts w:asciiTheme="minorHAnsi" w:hAnsiTheme="minorHAnsi"/>
          <w:bCs/>
          <w:color w:val="1F497D" w:themeColor="text2"/>
          <w:lang w:val="fr-FR"/>
        </w:rPr>
        <w:lastRenderedPageBreak/>
        <w:t xml:space="preserve">3.5  Gestion des déchets et sécurité des injections  </w:t>
      </w:r>
    </w:p>
    <w:p w:rsidR="00536131" w:rsidRPr="00C369C9" w:rsidRDefault="00536131">
      <w:pPr>
        <w:jc w:val="both"/>
        <w:divId w:val="410156154"/>
        <w:rPr>
          <w:rFonts w:asciiTheme="minorHAnsi" w:hAnsiTheme="minorHAnsi"/>
          <w:bCs/>
          <w:color w:val="1F497D" w:themeColor="text2"/>
          <w:lang w:val="fr-FR"/>
        </w:rPr>
      </w:pPr>
    </w:p>
    <w:p w:rsidR="00AA7976" w:rsidRPr="00FD4940" w:rsidRDefault="00515293">
      <w:pPr>
        <w:pStyle w:val="Paragraphedeliste"/>
        <w:numPr>
          <w:ilvl w:val="0"/>
          <w:numId w:val="6"/>
        </w:numPr>
        <w:spacing w:after="0" w:line="240" w:lineRule="auto"/>
        <w:ind w:right="115"/>
        <w:jc w:val="both"/>
        <w:divId w:val="410156154"/>
        <w:rPr>
          <w:highlight w:val="cyan"/>
          <w:lang w:val="fr-FR"/>
        </w:rPr>
      </w:pPr>
      <w:r w:rsidRPr="00FD4940">
        <w:rPr>
          <w:highlight w:val="cyan"/>
          <w:lang w:val="fr-FR"/>
        </w:rPr>
        <w:t>Décrire les activités liées à la sécurité des injections et à la gestion des déchets vaccinaux, et indiquer si des changements s’avèrent nécessaires pour faire en sorte que l’introduction de ce nouveau vaccin soit conforme aux politiques nationales ; déterminer comment et quand ces changement</w:t>
      </w:r>
      <w:r w:rsidR="001C30AD" w:rsidRPr="00FD4940">
        <w:rPr>
          <w:highlight w:val="cyan"/>
          <w:lang w:val="fr-FR"/>
        </w:rPr>
        <w:t>s</w:t>
      </w:r>
      <w:r w:rsidRPr="00FD4940">
        <w:rPr>
          <w:highlight w:val="cyan"/>
          <w:lang w:val="fr-FR"/>
        </w:rPr>
        <w:t xml:space="preserve"> s’opéreront, le cas échéant. </w:t>
      </w:r>
    </w:p>
    <w:p w:rsidR="00BA5A40" w:rsidRPr="00860CC3" w:rsidRDefault="00BA5A40" w:rsidP="004D72B5">
      <w:pPr>
        <w:keepLines/>
        <w:tabs>
          <w:tab w:val="left" w:pos="426"/>
        </w:tabs>
        <w:spacing w:before="120"/>
        <w:ind w:right="120"/>
        <w:jc w:val="both"/>
        <w:divId w:val="410156154"/>
        <w:rPr>
          <w:lang w:val="fr-FR"/>
        </w:rPr>
      </w:pPr>
      <w:r w:rsidRPr="00FD4940">
        <w:rPr>
          <w:color w:val="000000"/>
          <w:lang w:val="fr-FR"/>
        </w:rPr>
        <w:t xml:space="preserve">Le Burkina Faso a adopté la politique de la sécurité des injections depuis 2002. De même une politique de gestion </w:t>
      </w:r>
      <w:r w:rsidR="00874C56">
        <w:rPr>
          <w:color w:val="000000"/>
          <w:lang w:val="fr-FR"/>
        </w:rPr>
        <w:t xml:space="preserve">des </w:t>
      </w:r>
      <w:r w:rsidRPr="00FD4940">
        <w:rPr>
          <w:color w:val="000000"/>
          <w:lang w:val="fr-FR"/>
        </w:rPr>
        <w:t>dé</w:t>
      </w:r>
      <w:r w:rsidR="004D72B5">
        <w:rPr>
          <w:color w:val="000000"/>
          <w:lang w:val="fr-FR"/>
        </w:rPr>
        <w:t xml:space="preserve">chets biomédicaux a été adoptée. </w:t>
      </w:r>
      <w:r w:rsidRPr="00FD4940">
        <w:rPr>
          <w:color w:val="000000"/>
          <w:lang w:val="fr-FR"/>
        </w:rPr>
        <w:t>C’est la direction de la promotion de la santé qui a en charge la mise en œuvre de cette politique.</w:t>
      </w:r>
    </w:p>
    <w:p w:rsidR="00BA5A40" w:rsidRPr="00860CC3" w:rsidRDefault="00BA5A40" w:rsidP="00FD4940">
      <w:pPr>
        <w:keepLines/>
        <w:tabs>
          <w:tab w:val="left" w:pos="426"/>
        </w:tabs>
        <w:spacing w:before="120"/>
        <w:ind w:right="120"/>
        <w:jc w:val="both"/>
        <w:divId w:val="410156154"/>
        <w:rPr>
          <w:lang w:val="fr-FR"/>
        </w:rPr>
      </w:pPr>
      <w:r w:rsidRPr="00860CC3">
        <w:rPr>
          <w:lang w:val="fr-FR"/>
        </w:rPr>
        <w:t xml:space="preserve">Un système de collecte des déchets vaccinaux existe aux niveaux intermédiaire et périphérique et la destruction se fait à l’aide d’incinérateurs. Ce système a été amélioré depuis 2010 par l’acquisition de 13 incinérateurs installés dans les 13 régions sanitaires pendant la campagne MenA. En plus de cela, 40 incinérateurs ont été acquis au profit des districts sanitaires et des hôpitaux régionaux. </w:t>
      </w:r>
    </w:p>
    <w:p w:rsidR="00BA5A40" w:rsidRPr="00860CC3" w:rsidRDefault="00BA5A40" w:rsidP="000D6898">
      <w:pPr>
        <w:keepLines/>
        <w:tabs>
          <w:tab w:val="left" w:pos="426"/>
        </w:tabs>
        <w:spacing w:before="120"/>
        <w:ind w:left="120" w:right="120"/>
        <w:jc w:val="both"/>
        <w:divId w:val="410156154"/>
        <w:rPr>
          <w:lang w:val="fr-FR"/>
        </w:rPr>
      </w:pPr>
      <w:r w:rsidRPr="00BA5A40">
        <w:rPr>
          <w:color w:val="000000"/>
          <w:lang w:val="fr-FR"/>
        </w:rPr>
        <w:t xml:space="preserve">Cependant des insuffisances existent en matière de formation des opérateurs </w:t>
      </w:r>
      <w:r w:rsidR="000D6898">
        <w:rPr>
          <w:color w:val="000000"/>
          <w:lang w:val="fr-FR"/>
        </w:rPr>
        <w:t>d’incinération</w:t>
      </w:r>
      <w:r w:rsidRPr="00BA5A40">
        <w:rPr>
          <w:color w:val="000000"/>
          <w:lang w:val="fr-FR"/>
        </w:rPr>
        <w:t>.</w:t>
      </w:r>
    </w:p>
    <w:p w:rsidR="00515293" w:rsidRPr="00BA5A40" w:rsidRDefault="00515293" w:rsidP="00FD4940">
      <w:pPr>
        <w:ind w:right="235"/>
        <w:jc w:val="both"/>
        <w:divId w:val="410156154"/>
        <w:rPr>
          <w:lang w:val="fr-FR"/>
        </w:rPr>
      </w:pPr>
    </w:p>
    <w:p w:rsidR="00515293" w:rsidRPr="00BA5A40" w:rsidRDefault="00515293">
      <w:pPr>
        <w:pStyle w:val="Paragraphedeliste"/>
        <w:numPr>
          <w:ilvl w:val="0"/>
          <w:numId w:val="6"/>
        </w:numPr>
        <w:spacing w:after="0" w:line="240" w:lineRule="auto"/>
        <w:ind w:right="115"/>
        <w:jc w:val="both"/>
        <w:divId w:val="410156154"/>
        <w:rPr>
          <w:highlight w:val="cyan"/>
          <w:lang w:val="fr-FR"/>
        </w:rPr>
      </w:pPr>
      <w:r w:rsidRPr="00BA5A40">
        <w:rPr>
          <w:highlight w:val="cyan"/>
          <w:lang w:val="fr-FR"/>
        </w:rPr>
        <w:t xml:space="preserve">Si le pays décide d’acheter par lui-même des dispositifs d’administration des vaccins, indiquer s’il s’agit de dispositifs préqualifiés par l’OMS et, dans le cas contraire, décrire le processus d’homologation utilisé dans le pays.   </w:t>
      </w:r>
    </w:p>
    <w:p w:rsidR="00BA5A40" w:rsidRPr="00BA5A40" w:rsidRDefault="00BA5A40" w:rsidP="00FD4940">
      <w:pPr>
        <w:spacing w:before="120"/>
        <w:ind w:left="120" w:right="120"/>
        <w:jc w:val="both"/>
        <w:divId w:val="410156154"/>
        <w:rPr>
          <w:color w:val="FF0000"/>
          <w:lang w:val="fr-FR"/>
        </w:rPr>
      </w:pPr>
      <w:r w:rsidRPr="00BA5A40">
        <w:rPr>
          <w:lang w:val="fr-FR"/>
        </w:rPr>
        <w:t xml:space="preserve">Au Burkina Faso l’acquisition des vaccins </w:t>
      </w:r>
      <w:r w:rsidR="00810630">
        <w:rPr>
          <w:lang w:val="fr-FR"/>
        </w:rPr>
        <w:t xml:space="preserve">et </w:t>
      </w:r>
      <w:r w:rsidRPr="00BA5A40">
        <w:rPr>
          <w:lang w:val="fr-FR"/>
        </w:rPr>
        <w:t xml:space="preserve">le matériel </w:t>
      </w:r>
      <w:r w:rsidR="00810630" w:rsidRPr="00BA5A40">
        <w:rPr>
          <w:lang w:val="fr-FR"/>
        </w:rPr>
        <w:t>technique</w:t>
      </w:r>
      <w:r w:rsidRPr="00BA5A40">
        <w:rPr>
          <w:lang w:val="fr-FR"/>
        </w:rPr>
        <w:t xml:space="preserve"> (seringues et boîtes de sécurité) se fait à travers l’UNICEF.</w:t>
      </w:r>
    </w:p>
    <w:p w:rsidR="00B569AD" w:rsidRPr="00FD4940" w:rsidRDefault="00B569AD" w:rsidP="00FD4940">
      <w:pPr>
        <w:ind w:right="235"/>
        <w:jc w:val="both"/>
        <w:divId w:val="410156154"/>
        <w:rPr>
          <w:lang w:val="fr-FR"/>
        </w:rPr>
      </w:pPr>
    </w:p>
    <w:p w:rsidR="00B569AD" w:rsidRDefault="00515293">
      <w:pPr>
        <w:jc w:val="both"/>
        <w:divId w:val="410156154"/>
        <w:rPr>
          <w:rFonts w:asciiTheme="minorHAnsi" w:hAnsiTheme="minorHAnsi"/>
          <w:bCs/>
          <w:color w:val="1F497D" w:themeColor="text2"/>
          <w:lang w:val="fr-FR"/>
        </w:rPr>
      </w:pPr>
      <w:r w:rsidRPr="00C369C9">
        <w:rPr>
          <w:rFonts w:asciiTheme="minorHAnsi" w:hAnsiTheme="minorHAnsi"/>
          <w:bCs/>
          <w:color w:val="1F497D" w:themeColor="text2"/>
          <w:lang w:val="fr-FR"/>
        </w:rPr>
        <w:t xml:space="preserve">3.6  Formation et supervision des personnels de santé </w:t>
      </w:r>
    </w:p>
    <w:p w:rsidR="000A2CB6" w:rsidRPr="00C369C9" w:rsidRDefault="000A2CB6">
      <w:pPr>
        <w:jc w:val="both"/>
        <w:divId w:val="410156154"/>
        <w:rPr>
          <w:rFonts w:asciiTheme="minorHAnsi" w:hAnsiTheme="minorHAnsi"/>
          <w:bCs/>
          <w:color w:val="1F497D" w:themeColor="text2"/>
          <w:lang w:val="fr-FR"/>
        </w:rPr>
      </w:pPr>
    </w:p>
    <w:p w:rsidR="00B569AD" w:rsidRPr="00B569AD" w:rsidRDefault="00515293" w:rsidP="00FD4940">
      <w:pPr>
        <w:pStyle w:val="Paragraphedeliste"/>
        <w:numPr>
          <w:ilvl w:val="0"/>
          <w:numId w:val="6"/>
        </w:numPr>
        <w:spacing w:after="0" w:line="240" w:lineRule="auto"/>
        <w:ind w:right="115"/>
        <w:jc w:val="both"/>
        <w:divId w:val="410156154"/>
        <w:rPr>
          <w:highlight w:val="cyan"/>
          <w:lang w:val="fr-FR"/>
        </w:rPr>
      </w:pPr>
      <w:r w:rsidRPr="00B569AD">
        <w:rPr>
          <w:highlight w:val="cyan"/>
          <w:lang w:val="fr-FR"/>
        </w:rPr>
        <w:t xml:space="preserve">Décrire la capacité actuelle des ressources humaines préalablement formées à introduire le VPI dans tous les secteurs du programme de vaccination (stockage et gestion des vaccins, distribution au niveau national, formation des personnels de santé au niveau périphérique, supervision, distribution, etc.). </w:t>
      </w:r>
    </w:p>
    <w:p w:rsidR="00B569AD" w:rsidRPr="001B1752" w:rsidRDefault="00B569AD" w:rsidP="00FD4940">
      <w:pPr>
        <w:spacing w:before="120"/>
        <w:ind w:left="240" w:right="120"/>
        <w:jc w:val="both"/>
        <w:divId w:val="410156154"/>
        <w:rPr>
          <w:lang w:val="fr-FR"/>
        </w:rPr>
      </w:pPr>
      <w:r w:rsidRPr="001B1752">
        <w:rPr>
          <w:lang w:val="fr-FR"/>
        </w:rPr>
        <w:t>Le Burkina Faso s</w:t>
      </w:r>
      <w:r w:rsidR="0028112C" w:rsidRPr="001B1752">
        <w:rPr>
          <w:lang w:val="fr-FR"/>
        </w:rPr>
        <w:t>’est doté</w:t>
      </w:r>
      <w:r w:rsidRPr="001B1752">
        <w:rPr>
          <w:lang w:val="fr-FR"/>
        </w:rPr>
        <w:t xml:space="preserve"> d’un Plan Stratégique de Développement des Ressources Humaines du secteur de la santé. Le pays dispose d’un potentiel en ressources humaines de santé de diverses compétences. </w:t>
      </w:r>
    </w:p>
    <w:p w:rsidR="0028112C" w:rsidRPr="001B1752" w:rsidRDefault="004D72B5" w:rsidP="003046BF">
      <w:pPr>
        <w:pStyle w:val="Paragraphedeliste"/>
        <w:numPr>
          <w:ilvl w:val="0"/>
          <w:numId w:val="31"/>
        </w:numPr>
        <w:autoSpaceDE w:val="0"/>
        <w:autoSpaceDN w:val="0"/>
        <w:adjustRightInd w:val="0"/>
        <w:spacing w:before="120" w:after="120" w:line="240" w:lineRule="auto"/>
        <w:ind w:right="240"/>
        <w:jc w:val="both"/>
        <w:divId w:val="410156154"/>
        <w:rPr>
          <w:rFonts w:ascii="Times New Roman" w:hAnsi="Times New Roman"/>
          <w:sz w:val="24"/>
          <w:szCs w:val="24"/>
          <w:lang w:val="fr-FR"/>
        </w:rPr>
      </w:pPr>
      <w:r>
        <w:rPr>
          <w:rFonts w:ascii="Times New Roman" w:hAnsi="Times New Roman"/>
          <w:b/>
          <w:sz w:val="24"/>
          <w:szCs w:val="24"/>
          <w:lang w:val="fr-FR"/>
        </w:rPr>
        <w:t>A</w:t>
      </w:r>
      <w:r w:rsidR="00B569AD" w:rsidRPr="004D72B5">
        <w:rPr>
          <w:rFonts w:ascii="Times New Roman" w:hAnsi="Times New Roman"/>
          <w:b/>
          <w:sz w:val="24"/>
          <w:szCs w:val="24"/>
          <w:lang w:val="fr-FR"/>
        </w:rPr>
        <w:t>u niveau central</w:t>
      </w:r>
      <w:r w:rsidR="00B569AD" w:rsidRPr="001B1752">
        <w:rPr>
          <w:rFonts w:ascii="Times New Roman" w:hAnsi="Times New Roman"/>
          <w:sz w:val="24"/>
          <w:szCs w:val="24"/>
          <w:lang w:val="fr-FR"/>
        </w:rPr>
        <w:t xml:space="preserve">, toutes les composantes pour une gestion efficiente du programme sont réunies avec un renforcement </w:t>
      </w:r>
      <w:r w:rsidR="0028112C" w:rsidRPr="001B1752">
        <w:rPr>
          <w:rFonts w:ascii="Times New Roman" w:hAnsi="Times New Roman"/>
          <w:sz w:val="24"/>
          <w:szCs w:val="24"/>
          <w:lang w:val="fr-FR"/>
        </w:rPr>
        <w:t xml:space="preserve">continu des </w:t>
      </w:r>
      <w:r w:rsidR="00B569AD" w:rsidRPr="001B1752">
        <w:rPr>
          <w:rFonts w:ascii="Times New Roman" w:hAnsi="Times New Roman"/>
          <w:sz w:val="24"/>
          <w:szCs w:val="24"/>
          <w:lang w:val="fr-FR"/>
        </w:rPr>
        <w:t xml:space="preserve">effectifs. </w:t>
      </w:r>
    </w:p>
    <w:p w:rsidR="0028112C" w:rsidRPr="001B1752" w:rsidRDefault="00B569AD" w:rsidP="001A60E4">
      <w:pPr>
        <w:autoSpaceDE w:val="0"/>
        <w:autoSpaceDN w:val="0"/>
        <w:adjustRightInd w:val="0"/>
        <w:spacing w:before="120"/>
        <w:ind w:left="480" w:right="120"/>
        <w:jc w:val="both"/>
        <w:divId w:val="410156154"/>
        <w:rPr>
          <w:lang w:val="fr-FR"/>
        </w:rPr>
      </w:pPr>
      <w:r w:rsidRPr="001B1752">
        <w:rPr>
          <w:lang w:val="fr-FR"/>
        </w:rPr>
        <w:t xml:space="preserve">La direction du PEV dispose de </w:t>
      </w:r>
      <w:r w:rsidR="0028112C" w:rsidRPr="001B1752">
        <w:rPr>
          <w:lang w:val="fr-FR"/>
        </w:rPr>
        <w:t>cinq</w:t>
      </w:r>
      <w:r w:rsidRPr="001B1752">
        <w:rPr>
          <w:lang w:val="fr-FR"/>
        </w:rPr>
        <w:t xml:space="preserve"> services ayant chacun, à sa tête, un spécialiste du domaine</w:t>
      </w:r>
      <w:r w:rsidR="0028112C" w:rsidRPr="001B1752">
        <w:rPr>
          <w:lang w:val="fr-FR"/>
        </w:rPr>
        <w:t xml:space="preserve">. </w:t>
      </w:r>
      <w:r w:rsidRPr="001B1752">
        <w:rPr>
          <w:lang w:val="fr-FR"/>
        </w:rPr>
        <w:t xml:space="preserve">Les chefs de services sont aidés dans leurs tâches </w:t>
      </w:r>
      <w:r w:rsidR="0028112C" w:rsidRPr="001B1752">
        <w:rPr>
          <w:lang w:val="fr-FR"/>
        </w:rPr>
        <w:t xml:space="preserve">par des </w:t>
      </w:r>
      <w:r w:rsidRPr="001B1752">
        <w:rPr>
          <w:lang w:val="fr-FR"/>
        </w:rPr>
        <w:t xml:space="preserve">médecins spécialistes </w:t>
      </w:r>
      <w:r w:rsidR="000D6898">
        <w:rPr>
          <w:lang w:val="fr-FR"/>
        </w:rPr>
        <w:t xml:space="preserve">et des </w:t>
      </w:r>
      <w:r w:rsidR="001A60E4">
        <w:rPr>
          <w:lang w:val="fr-FR"/>
        </w:rPr>
        <w:t>technicienssupérieurs en santé</w:t>
      </w:r>
      <w:r w:rsidRPr="001B1752">
        <w:rPr>
          <w:lang w:val="fr-FR"/>
        </w:rPr>
        <w:t xml:space="preserve">. </w:t>
      </w:r>
    </w:p>
    <w:p w:rsidR="00AA2F66" w:rsidRPr="004D72B5" w:rsidRDefault="000D6898" w:rsidP="004D72B5">
      <w:pPr>
        <w:ind w:left="600" w:right="120"/>
        <w:jc w:val="both"/>
        <w:divId w:val="410156154"/>
        <w:rPr>
          <w:bCs/>
          <w:lang w:val="fr-FR"/>
        </w:rPr>
      </w:pPr>
      <w:r w:rsidRPr="00860CC3">
        <w:rPr>
          <w:bCs/>
          <w:lang w:val="fr-FR"/>
        </w:rPr>
        <w:t>Pl</w:t>
      </w:r>
      <w:r w:rsidR="00AA2F66" w:rsidRPr="00860CC3">
        <w:rPr>
          <w:bCs/>
          <w:lang w:val="fr-FR"/>
        </w:rPr>
        <w:t>usieurs agents de la direction ont bénéficié de la formation en gestion du PEV (cours MLM), au programme de formation - action en épidémiologie et vaccinologie (EPIVAC).</w:t>
      </w:r>
    </w:p>
    <w:p w:rsidR="00B569AD" w:rsidRPr="001B1752" w:rsidRDefault="00B569AD" w:rsidP="000D6898">
      <w:pPr>
        <w:pStyle w:val="Paragraphedeliste"/>
        <w:numPr>
          <w:ilvl w:val="0"/>
          <w:numId w:val="6"/>
        </w:numPr>
        <w:spacing w:line="240" w:lineRule="auto"/>
        <w:ind w:right="120"/>
        <w:jc w:val="both"/>
        <w:divId w:val="410156154"/>
        <w:rPr>
          <w:rFonts w:ascii="Times New Roman" w:hAnsi="Times New Roman"/>
          <w:sz w:val="24"/>
          <w:szCs w:val="24"/>
          <w:lang w:val="fr-FR"/>
        </w:rPr>
      </w:pPr>
      <w:r w:rsidRPr="004D72B5">
        <w:rPr>
          <w:rFonts w:ascii="Times New Roman" w:hAnsi="Times New Roman"/>
          <w:b/>
          <w:sz w:val="24"/>
          <w:szCs w:val="24"/>
          <w:lang w:val="fr-FR"/>
        </w:rPr>
        <w:t xml:space="preserve">Au niveau </w:t>
      </w:r>
      <w:r w:rsidR="000A0F85" w:rsidRPr="004D72B5">
        <w:rPr>
          <w:rFonts w:ascii="Times New Roman" w:hAnsi="Times New Roman"/>
          <w:b/>
          <w:sz w:val="24"/>
          <w:szCs w:val="24"/>
          <w:lang w:val="fr-FR"/>
        </w:rPr>
        <w:t>régional</w:t>
      </w:r>
      <w:r w:rsidRPr="001B1752">
        <w:rPr>
          <w:rFonts w:ascii="Times New Roman" w:hAnsi="Times New Roman"/>
          <w:sz w:val="24"/>
          <w:szCs w:val="24"/>
          <w:lang w:val="fr-FR"/>
        </w:rPr>
        <w:t xml:space="preserve">, les personnes intervenant dans la gestion du PEV sont les Directeurs régionaux de la santé. Ils sont appuyés dans leurs tâches par des </w:t>
      </w:r>
      <w:r w:rsidR="000D6898">
        <w:rPr>
          <w:rFonts w:ascii="Times New Roman" w:hAnsi="Times New Roman"/>
          <w:sz w:val="24"/>
          <w:szCs w:val="24"/>
          <w:lang w:val="fr-FR"/>
        </w:rPr>
        <w:t xml:space="preserve">agents chargés de la </w:t>
      </w:r>
      <w:r w:rsidRPr="001B1752">
        <w:rPr>
          <w:rFonts w:ascii="Times New Roman" w:hAnsi="Times New Roman"/>
          <w:sz w:val="24"/>
          <w:szCs w:val="24"/>
          <w:lang w:val="fr-FR"/>
        </w:rPr>
        <w:t>surveillance épidémiologique,</w:t>
      </w:r>
      <w:r w:rsidR="000A0F85" w:rsidRPr="001B1752">
        <w:rPr>
          <w:rFonts w:ascii="Times New Roman" w:hAnsi="Times New Roman"/>
          <w:sz w:val="24"/>
          <w:szCs w:val="24"/>
          <w:lang w:val="fr-FR"/>
        </w:rPr>
        <w:t xml:space="preserve"> d</w:t>
      </w:r>
      <w:r w:rsidR="000D6898">
        <w:rPr>
          <w:rFonts w:ascii="Times New Roman" w:hAnsi="Times New Roman"/>
          <w:sz w:val="24"/>
          <w:szCs w:val="24"/>
          <w:lang w:val="fr-FR"/>
        </w:rPr>
        <w:t xml:space="preserve">e la gestion du </w:t>
      </w:r>
      <w:r w:rsidR="000A0F85" w:rsidRPr="001B1752">
        <w:rPr>
          <w:rFonts w:ascii="Times New Roman" w:hAnsi="Times New Roman"/>
          <w:sz w:val="24"/>
          <w:szCs w:val="24"/>
          <w:lang w:val="fr-FR"/>
        </w:rPr>
        <w:t>PEV</w:t>
      </w:r>
      <w:r w:rsidR="000D6898">
        <w:rPr>
          <w:rFonts w:ascii="Times New Roman" w:hAnsi="Times New Roman"/>
          <w:sz w:val="24"/>
          <w:szCs w:val="24"/>
          <w:lang w:val="fr-FR"/>
        </w:rPr>
        <w:t xml:space="preserve"> et de </w:t>
      </w:r>
      <w:r w:rsidR="000A0F85" w:rsidRPr="001B1752">
        <w:rPr>
          <w:rFonts w:ascii="Times New Roman" w:hAnsi="Times New Roman"/>
          <w:sz w:val="24"/>
          <w:szCs w:val="24"/>
          <w:lang w:val="fr-FR"/>
        </w:rPr>
        <w:t>la communication</w:t>
      </w:r>
      <w:r w:rsidRPr="001B1752">
        <w:rPr>
          <w:rFonts w:ascii="Times New Roman" w:hAnsi="Times New Roman"/>
          <w:sz w:val="24"/>
          <w:szCs w:val="24"/>
          <w:lang w:val="fr-FR"/>
        </w:rPr>
        <w:t xml:space="preserve">. </w:t>
      </w:r>
    </w:p>
    <w:p w:rsidR="000A0F85" w:rsidRPr="001B1752" w:rsidRDefault="00B569AD" w:rsidP="00FD4940">
      <w:pPr>
        <w:pStyle w:val="Paragraphedeliste"/>
        <w:numPr>
          <w:ilvl w:val="0"/>
          <w:numId w:val="6"/>
        </w:numPr>
        <w:spacing w:line="240" w:lineRule="auto"/>
        <w:ind w:right="240"/>
        <w:jc w:val="both"/>
        <w:divId w:val="410156154"/>
        <w:rPr>
          <w:rFonts w:ascii="Times New Roman" w:hAnsi="Times New Roman"/>
          <w:sz w:val="24"/>
          <w:szCs w:val="24"/>
          <w:lang w:val="fr-FR"/>
        </w:rPr>
      </w:pPr>
      <w:r w:rsidRPr="004D72B5">
        <w:rPr>
          <w:rFonts w:ascii="Times New Roman" w:hAnsi="Times New Roman"/>
          <w:b/>
          <w:sz w:val="24"/>
          <w:szCs w:val="24"/>
          <w:lang w:val="fr-FR"/>
        </w:rPr>
        <w:lastRenderedPageBreak/>
        <w:t xml:space="preserve">Au niveau </w:t>
      </w:r>
      <w:r w:rsidR="000A0F85" w:rsidRPr="004D72B5">
        <w:rPr>
          <w:rFonts w:ascii="Times New Roman" w:hAnsi="Times New Roman"/>
          <w:b/>
          <w:sz w:val="24"/>
          <w:szCs w:val="24"/>
          <w:lang w:val="fr-FR"/>
        </w:rPr>
        <w:t>district</w:t>
      </w:r>
      <w:r w:rsidRPr="001B1752">
        <w:rPr>
          <w:rFonts w:ascii="Times New Roman" w:hAnsi="Times New Roman"/>
          <w:sz w:val="24"/>
          <w:szCs w:val="24"/>
          <w:lang w:val="fr-FR"/>
        </w:rPr>
        <w:t xml:space="preserve">, les personnes impliquées dans la gestion du PEV sont le médecin chef du district (MCD), le </w:t>
      </w:r>
      <w:r w:rsidR="000A0F85" w:rsidRPr="001B1752">
        <w:rPr>
          <w:rFonts w:ascii="Times New Roman" w:hAnsi="Times New Roman"/>
          <w:sz w:val="24"/>
          <w:szCs w:val="24"/>
          <w:lang w:val="fr-FR"/>
        </w:rPr>
        <w:t xml:space="preserve">responsable de la surveillance épidémiologique, </w:t>
      </w:r>
      <w:r w:rsidR="001A60E4">
        <w:rPr>
          <w:rFonts w:ascii="Times New Roman" w:hAnsi="Times New Roman"/>
          <w:sz w:val="24"/>
          <w:szCs w:val="24"/>
          <w:lang w:val="fr-FR"/>
        </w:rPr>
        <w:t>le responsable du programme PEV et le responsable</w:t>
      </w:r>
      <w:r w:rsidR="000A0F85" w:rsidRPr="001B1752">
        <w:rPr>
          <w:rFonts w:ascii="Times New Roman" w:hAnsi="Times New Roman"/>
          <w:sz w:val="24"/>
          <w:szCs w:val="24"/>
          <w:lang w:val="fr-FR"/>
        </w:rPr>
        <w:t xml:space="preserve"> de la communication.</w:t>
      </w:r>
    </w:p>
    <w:p w:rsidR="00B569AD" w:rsidRPr="00860CC3" w:rsidRDefault="000A0F85" w:rsidP="00FD4940">
      <w:pPr>
        <w:pStyle w:val="Paragraphedeliste"/>
        <w:numPr>
          <w:ilvl w:val="0"/>
          <w:numId w:val="6"/>
        </w:numPr>
        <w:spacing w:line="240" w:lineRule="auto"/>
        <w:ind w:right="120"/>
        <w:jc w:val="both"/>
        <w:divId w:val="410156154"/>
        <w:rPr>
          <w:rFonts w:ascii="Times New Roman" w:hAnsi="Times New Roman"/>
          <w:bCs/>
          <w:sz w:val="24"/>
          <w:szCs w:val="24"/>
          <w:lang w:val="fr-FR"/>
        </w:rPr>
      </w:pPr>
      <w:r w:rsidRPr="004D72B5">
        <w:rPr>
          <w:rFonts w:ascii="Times New Roman" w:hAnsi="Times New Roman"/>
          <w:b/>
          <w:bCs/>
          <w:sz w:val="24"/>
          <w:szCs w:val="24"/>
          <w:lang w:val="fr-FR"/>
        </w:rPr>
        <w:t xml:space="preserve">Au niveau </w:t>
      </w:r>
      <w:r w:rsidR="001A60E4" w:rsidRPr="004D72B5">
        <w:rPr>
          <w:rFonts w:ascii="Times New Roman" w:hAnsi="Times New Roman"/>
          <w:b/>
          <w:bCs/>
          <w:sz w:val="24"/>
          <w:szCs w:val="24"/>
          <w:lang w:val="fr-FR"/>
        </w:rPr>
        <w:t>centre de santé et de promotion sociale</w:t>
      </w:r>
      <w:r w:rsidR="001A60E4" w:rsidRPr="00860CC3">
        <w:rPr>
          <w:rFonts w:ascii="Times New Roman" w:hAnsi="Times New Roman"/>
          <w:bCs/>
          <w:sz w:val="24"/>
          <w:szCs w:val="24"/>
          <w:lang w:val="fr-FR"/>
        </w:rPr>
        <w:t xml:space="preserve"> (</w:t>
      </w:r>
      <w:r w:rsidRPr="00860CC3">
        <w:rPr>
          <w:rFonts w:ascii="Times New Roman" w:hAnsi="Times New Roman"/>
          <w:bCs/>
          <w:sz w:val="24"/>
          <w:szCs w:val="24"/>
          <w:lang w:val="fr-FR"/>
        </w:rPr>
        <w:t>CSPS</w:t>
      </w:r>
      <w:r w:rsidR="001A60E4" w:rsidRPr="00860CC3">
        <w:rPr>
          <w:rFonts w:ascii="Times New Roman" w:hAnsi="Times New Roman"/>
          <w:bCs/>
          <w:sz w:val="24"/>
          <w:szCs w:val="24"/>
          <w:lang w:val="fr-FR"/>
        </w:rPr>
        <w:t>)</w:t>
      </w:r>
      <w:r w:rsidRPr="00860CC3">
        <w:rPr>
          <w:rFonts w:ascii="Times New Roman" w:hAnsi="Times New Roman"/>
          <w:bCs/>
          <w:sz w:val="24"/>
          <w:szCs w:val="24"/>
          <w:lang w:val="fr-FR"/>
        </w:rPr>
        <w:t>, la gestion du programme est sous la responsabilité de l’infirmier chef du poste (ICP) en collaboration avec les autres membres de l’équipe de santé. C’est à ce niveau que toutes les stratégies de vaccination sont effectivement mises en œuvre.</w:t>
      </w:r>
    </w:p>
    <w:p w:rsidR="001B1752" w:rsidRPr="001B1752" w:rsidRDefault="000A0F85" w:rsidP="00D22355">
      <w:pPr>
        <w:pStyle w:val="Listecouleur-Accent11"/>
        <w:numPr>
          <w:ilvl w:val="0"/>
          <w:numId w:val="6"/>
        </w:numPr>
        <w:spacing w:after="0" w:line="240" w:lineRule="auto"/>
        <w:ind w:right="235"/>
        <w:jc w:val="both"/>
        <w:divId w:val="410156154"/>
        <w:rPr>
          <w:rFonts w:ascii="Times New Roman" w:hAnsi="Times New Roman"/>
          <w:sz w:val="24"/>
          <w:szCs w:val="24"/>
          <w:lang w:val="fr-FR"/>
        </w:rPr>
      </w:pPr>
      <w:r w:rsidRPr="001B1752">
        <w:rPr>
          <w:rFonts w:ascii="Times New Roman" w:hAnsi="Times New Roman"/>
          <w:sz w:val="24"/>
          <w:szCs w:val="24"/>
          <w:lang w:val="fr-FR"/>
        </w:rPr>
        <w:t>L</w:t>
      </w:r>
      <w:r w:rsidR="00B569AD" w:rsidRPr="001B1752">
        <w:rPr>
          <w:rFonts w:ascii="Times New Roman" w:hAnsi="Times New Roman"/>
          <w:sz w:val="24"/>
          <w:szCs w:val="24"/>
          <w:lang w:val="fr-FR"/>
        </w:rPr>
        <w:t xml:space="preserve">es gestionnaires et agents impliqués dans le PEV </w:t>
      </w:r>
      <w:r w:rsidRPr="001B1752">
        <w:rPr>
          <w:rFonts w:ascii="Times New Roman" w:hAnsi="Times New Roman"/>
          <w:sz w:val="24"/>
          <w:szCs w:val="24"/>
          <w:lang w:val="fr-FR"/>
        </w:rPr>
        <w:t xml:space="preserve">sont </w:t>
      </w:r>
      <w:r w:rsidR="00B569AD" w:rsidRPr="001B1752">
        <w:rPr>
          <w:rFonts w:ascii="Times New Roman" w:hAnsi="Times New Roman"/>
          <w:sz w:val="24"/>
          <w:szCs w:val="24"/>
          <w:lang w:val="fr-FR"/>
        </w:rPr>
        <w:t xml:space="preserve">formés </w:t>
      </w:r>
      <w:r w:rsidR="001A60E4">
        <w:rPr>
          <w:rFonts w:ascii="Times New Roman" w:hAnsi="Times New Roman"/>
          <w:sz w:val="24"/>
          <w:szCs w:val="24"/>
          <w:lang w:val="fr-FR"/>
        </w:rPr>
        <w:t>à la mise en œuvre</w:t>
      </w:r>
      <w:r w:rsidRPr="001B1752">
        <w:rPr>
          <w:rFonts w:ascii="Times New Roman" w:hAnsi="Times New Roman"/>
          <w:sz w:val="24"/>
          <w:szCs w:val="24"/>
          <w:lang w:val="fr-FR"/>
        </w:rPr>
        <w:t xml:space="preserve"> de la vaccination de routine et lors des différentes introductions de nouveaux vaccins que le pays a eu à effectuer. Ainsi, la dernière formation </w:t>
      </w:r>
      <w:r w:rsidR="00D22355">
        <w:rPr>
          <w:rFonts w:ascii="Times New Roman" w:hAnsi="Times New Roman"/>
          <w:sz w:val="24"/>
          <w:szCs w:val="24"/>
          <w:lang w:val="fr-FR"/>
        </w:rPr>
        <w:t xml:space="preserve">date de </w:t>
      </w:r>
      <w:r w:rsidRPr="001B1752">
        <w:rPr>
          <w:rFonts w:ascii="Times New Roman" w:hAnsi="Times New Roman"/>
          <w:sz w:val="24"/>
          <w:szCs w:val="24"/>
          <w:lang w:val="fr-FR"/>
        </w:rPr>
        <w:t xml:space="preserve">2013 </w:t>
      </w:r>
      <w:r w:rsidR="001A60E4">
        <w:rPr>
          <w:rFonts w:ascii="Times New Roman" w:hAnsi="Times New Roman"/>
          <w:sz w:val="24"/>
          <w:szCs w:val="24"/>
          <w:lang w:val="fr-FR"/>
        </w:rPr>
        <w:t>pour l</w:t>
      </w:r>
      <w:r w:rsidRPr="001B1752">
        <w:rPr>
          <w:rFonts w:ascii="Times New Roman" w:hAnsi="Times New Roman"/>
          <w:sz w:val="24"/>
          <w:szCs w:val="24"/>
          <w:lang w:val="fr-FR"/>
        </w:rPr>
        <w:t xml:space="preserve">’introduction du </w:t>
      </w:r>
      <w:r w:rsidR="00B569AD" w:rsidRPr="001B1752">
        <w:rPr>
          <w:rFonts w:ascii="Times New Roman" w:hAnsi="Times New Roman"/>
          <w:sz w:val="24"/>
          <w:szCs w:val="24"/>
          <w:lang w:val="fr-FR"/>
        </w:rPr>
        <w:t>pneumocoque</w:t>
      </w:r>
      <w:r w:rsidRPr="001B1752">
        <w:rPr>
          <w:rFonts w:ascii="Times New Roman" w:hAnsi="Times New Roman"/>
          <w:sz w:val="24"/>
          <w:szCs w:val="24"/>
          <w:lang w:val="fr-FR"/>
        </w:rPr>
        <w:t xml:space="preserve"> et du </w:t>
      </w:r>
      <w:r w:rsidR="001B1752" w:rsidRPr="001B1752">
        <w:rPr>
          <w:rFonts w:ascii="Times New Roman" w:hAnsi="Times New Roman"/>
          <w:sz w:val="24"/>
          <w:szCs w:val="24"/>
          <w:lang w:val="fr-FR"/>
        </w:rPr>
        <w:t>rotateq</w:t>
      </w:r>
      <w:r w:rsidR="00B569AD" w:rsidRPr="001B1752">
        <w:rPr>
          <w:rFonts w:ascii="Times New Roman" w:hAnsi="Times New Roman"/>
          <w:sz w:val="24"/>
          <w:szCs w:val="24"/>
          <w:lang w:val="fr-FR"/>
        </w:rPr>
        <w:t>.</w:t>
      </w:r>
    </w:p>
    <w:p w:rsidR="00536131" w:rsidRDefault="00536131" w:rsidP="00FD4940">
      <w:pPr>
        <w:pStyle w:val="Listecouleur-Accent11"/>
        <w:spacing w:after="0" w:line="240" w:lineRule="auto"/>
        <w:ind w:left="0" w:right="235"/>
        <w:jc w:val="both"/>
        <w:divId w:val="410156154"/>
        <w:rPr>
          <w:rFonts w:ascii="Times New Roman" w:hAnsi="Times New Roman"/>
          <w:sz w:val="24"/>
          <w:szCs w:val="24"/>
          <w:lang w:val="fr-FR"/>
        </w:rPr>
      </w:pPr>
    </w:p>
    <w:p w:rsidR="001B1752" w:rsidRPr="001B1752" w:rsidRDefault="00515293" w:rsidP="001B1752">
      <w:pPr>
        <w:pStyle w:val="Paragraphedeliste"/>
        <w:numPr>
          <w:ilvl w:val="0"/>
          <w:numId w:val="6"/>
        </w:numPr>
        <w:spacing w:after="0" w:line="240" w:lineRule="auto"/>
        <w:ind w:left="840" w:right="235"/>
        <w:jc w:val="both"/>
        <w:divId w:val="410156154"/>
        <w:rPr>
          <w:highlight w:val="cyan"/>
          <w:lang w:val="fr-FR"/>
        </w:rPr>
      </w:pPr>
      <w:r w:rsidRPr="001B1752">
        <w:rPr>
          <w:highlight w:val="cyan"/>
          <w:lang w:val="fr-FR"/>
        </w:rPr>
        <w:t>Expliquer dans quelle mesure les besoins supplément</w:t>
      </w:r>
      <w:r w:rsidR="001B1752" w:rsidRPr="001B1752">
        <w:rPr>
          <w:highlight w:val="cyan"/>
          <w:lang w:val="fr-FR"/>
        </w:rPr>
        <w:t>aires éventuels seront traités</w:t>
      </w:r>
    </w:p>
    <w:p w:rsidR="001B1752" w:rsidRPr="001B1752" w:rsidRDefault="001B1752" w:rsidP="00FD4940">
      <w:pPr>
        <w:spacing w:before="120" w:after="120"/>
        <w:ind w:right="475"/>
        <w:jc w:val="both"/>
        <w:divId w:val="410156154"/>
        <w:rPr>
          <w:lang w:val="fr-FR"/>
        </w:rPr>
      </w:pPr>
      <w:r w:rsidRPr="001B1752">
        <w:rPr>
          <w:lang w:val="fr-FR"/>
        </w:rPr>
        <w:t xml:space="preserve">Dans le cadre de l’introduction du VPI, la formation est prévue pour le personnel à tous les niveaux, y compris le personnel de santé du secteur privé impliqués dans la vaccination. </w:t>
      </w:r>
    </w:p>
    <w:p w:rsidR="00515293" w:rsidRDefault="001B1752" w:rsidP="00FD4940">
      <w:pPr>
        <w:pStyle w:val="Listecouleur-Accent11"/>
        <w:spacing w:after="0" w:line="240" w:lineRule="auto"/>
        <w:ind w:left="0" w:right="235"/>
        <w:jc w:val="both"/>
        <w:divId w:val="410156154"/>
        <w:rPr>
          <w:rFonts w:ascii="Times New Roman" w:hAnsi="Times New Roman"/>
          <w:sz w:val="24"/>
          <w:szCs w:val="24"/>
          <w:lang w:val="fr-FR"/>
        </w:rPr>
      </w:pPr>
      <w:r w:rsidRPr="001B1752">
        <w:rPr>
          <w:rFonts w:ascii="Times New Roman" w:hAnsi="Times New Roman"/>
          <w:sz w:val="24"/>
          <w:szCs w:val="24"/>
          <w:lang w:val="fr-FR"/>
        </w:rPr>
        <w:t xml:space="preserve">La supervision suivra le même schéma que celui de la formation. Dans le cadre de l’introduction du VPI, il y aura des supervisions en cascades pré- et post- introduction en plus des supervisions du PEV routine. </w:t>
      </w:r>
    </w:p>
    <w:p w:rsidR="001B1752" w:rsidRPr="001B1752" w:rsidRDefault="001B1752" w:rsidP="00FD4940">
      <w:pPr>
        <w:pStyle w:val="Listecouleur-Accent11"/>
        <w:spacing w:after="0" w:line="240" w:lineRule="auto"/>
        <w:ind w:left="0" w:right="235"/>
        <w:jc w:val="both"/>
        <w:divId w:val="410156154"/>
        <w:rPr>
          <w:rFonts w:ascii="Times New Roman" w:hAnsi="Times New Roman"/>
          <w:sz w:val="24"/>
          <w:szCs w:val="24"/>
          <w:lang w:val="fr-FR"/>
        </w:rPr>
      </w:pPr>
    </w:p>
    <w:p w:rsidR="001B1752" w:rsidRDefault="00515293">
      <w:pPr>
        <w:pStyle w:val="Paragraphedeliste"/>
        <w:numPr>
          <w:ilvl w:val="0"/>
          <w:numId w:val="6"/>
        </w:numPr>
        <w:spacing w:after="0" w:line="240" w:lineRule="auto"/>
        <w:ind w:right="115"/>
        <w:jc w:val="both"/>
        <w:divId w:val="410156154"/>
        <w:rPr>
          <w:highlight w:val="cyan"/>
          <w:lang w:val="fr-FR"/>
        </w:rPr>
      </w:pPr>
      <w:r w:rsidRPr="001B1752">
        <w:rPr>
          <w:highlight w:val="cyan"/>
          <w:lang w:val="fr-FR"/>
        </w:rPr>
        <w:t xml:space="preserve">Fournir des informations concernant l’élaboration et la fourniture de matériels de formation pour le VPI (manuels pour les personnels de santé, FAQ, fiches d’information, vidéos de formation, affiches, tests d’acquisition des connaissances, etc.). </w:t>
      </w:r>
    </w:p>
    <w:p w:rsidR="00536131" w:rsidRPr="00911B1B" w:rsidRDefault="00536131" w:rsidP="00536131">
      <w:pPr>
        <w:pStyle w:val="Paragraphedeliste"/>
        <w:spacing w:after="0" w:line="240" w:lineRule="auto"/>
        <w:ind w:right="115"/>
        <w:jc w:val="both"/>
        <w:divId w:val="410156154"/>
        <w:rPr>
          <w:sz w:val="2"/>
          <w:highlight w:val="cyan"/>
          <w:lang w:val="fr-FR"/>
        </w:rPr>
      </w:pPr>
    </w:p>
    <w:p w:rsidR="001B1752" w:rsidRPr="001B1752" w:rsidRDefault="001B1752" w:rsidP="00D22355">
      <w:pPr>
        <w:pStyle w:val="Listecouleur-Accent11"/>
        <w:spacing w:after="0" w:line="240" w:lineRule="auto"/>
        <w:ind w:left="0" w:right="115"/>
        <w:jc w:val="both"/>
        <w:divId w:val="410156154"/>
        <w:rPr>
          <w:rFonts w:ascii="Times New Roman" w:hAnsi="Times New Roman"/>
          <w:sz w:val="24"/>
          <w:szCs w:val="24"/>
          <w:lang w:val="fr-FR"/>
        </w:rPr>
      </w:pPr>
      <w:r w:rsidRPr="001B1752">
        <w:rPr>
          <w:rFonts w:ascii="Times New Roman" w:hAnsi="Times New Roman"/>
          <w:sz w:val="24"/>
          <w:szCs w:val="24"/>
          <w:lang w:val="fr-FR"/>
        </w:rPr>
        <w:t xml:space="preserve">Les outils et modules de gestion du PEV, ainsi </w:t>
      </w:r>
      <w:r w:rsidR="00D22355">
        <w:rPr>
          <w:rFonts w:ascii="Times New Roman" w:hAnsi="Times New Roman"/>
          <w:sz w:val="24"/>
          <w:szCs w:val="24"/>
          <w:lang w:val="fr-FR"/>
        </w:rPr>
        <w:t xml:space="preserve">que les manuels seront élaborés et/ou </w:t>
      </w:r>
      <w:r w:rsidRPr="001B1752">
        <w:rPr>
          <w:rFonts w:ascii="Times New Roman" w:hAnsi="Times New Roman"/>
          <w:sz w:val="24"/>
          <w:szCs w:val="24"/>
          <w:lang w:val="fr-FR"/>
        </w:rPr>
        <w:t>révisés par les différent</w:t>
      </w:r>
      <w:r w:rsidR="00D22355">
        <w:rPr>
          <w:rFonts w:ascii="Times New Roman" w:hAnsi="Times New Roman"/>
          <w:sz w:val="24"/>
          <w:szCs w:val="24"/>
          <w:lang w:val="fr-FR"/>
        </w:rPr>
        <w:t>e</w:t>
      </w:r>
      <w:r w:rsidRPr="001B1752">
        <w:rPr>
          <w:rFonts w:ascii="Times New Roman" w:hAnsi="Times New Roman"/>
          <w:sz w:val="24"/>
          <w:szCs w:val="24"/>
          <w:lang w:val="fr-FR"/>
        </w:rPr>
        <w:t xml:space="preserve">s </w:t>
      </w:r>
      <w:r w:rsidR="00D22355">
        <w:rPr>
          <w:rFonts w:ascii="Times New Roman" w:hAnsi="Times New Roman"/>
          <w:sz w:val="24"/>
          <w:szCs w:val="24"/>
          <w:lang w:val="fr-FR"/>
        </w:rPr>
        <w:t>commissions</w:t>
      </w:r>
      <w:r w:rsidRPr="001B1752">
        <w:rPr>
          <w:rFonts w:ascii="Times New Roman" w:hAnsi="Times New Roman"/>
          <w:sz w:val="24"/>
          <w:szCs w:val="24"/>
          <w:lang w:val="fr-FR"/>
        </w:rPr>
        <w:t>. Un atelier de finalisation de ces supports techniques de gestion du PEV sera organisé avec tous les intervenants et partenaires de la vaccination. L’objectif est de prendre en compte les nouvelles directives et orientations mondiales pour l’introduction du VPI et le retrait du VPO. Une fois révisés, ces directives, modules et outils seront reproduits et diffusés à tous les niveaux.</w:t>
      </w:r>
    </w:p>
    <w:p w:rsidR="00515293" w:rsidRDefault="00515293" w:rsidP="00FD4940">
      <w:pPr>
        <w:ind w:right="235"/>
        <w:jc w:val="both"/>
        <w:divId w:val="410156154"/>
        <w:rPr>
          <w:highlight w:val="cyan"/>
          <w:lang w:val="fr-FR"/>
        </w:rPr>
      </w:pPr>
    </w:p>
    <w:p w:rsidR="00ED149B" w:rsidRPr="00ED149B" w:rsidRDefault="00515293" w:rsidP="00ED149B">
      <w:pPr>
        <w:pStyle w:val="Paragraphedeliste"/>
        <w:numPr>
          <w:ilvl w:val="0"/>
          <w:numId w:val="6"/>
        </w:numPr>
        <w:spacing w:after="0" w:line="240" w:lineRule="auto"/>
        <w:ind w:left="840" w:right="235"/>
        <w:jc w:val="both"/>
        <w:divId w:val="410156154"/>
        <w:rPr>
          <w:highlight w:val="cyan"/>
          <w:lang w:val="fr-FR"/>
        </w:rPr>
      </w:pPr>
      <w:r w:rsidRPr="00ED149B">
        <w:rPr>
          <w:highlight w:val="cyan"/>
          <w:lang w:val="fr-FR"/>
        </w:rPr>
        <w:t xml:space="preserve">Décrire le plan de formation, la méthode utilisée et les séances de remise à niveau sur les pratiques de vaccination (sécurité des injections, communication sur les MAPI, etc.).  </w:t>
      </w:r>
    </w:p>
    <w:p w:rsidR="00ED149B" w:rsidRPr="000964A8" w:rsidRDefault="00ED149B" w:rsidP="00501681">
      <w:pPr>
        <w:ind w:right="235"/>
        <w:jc w:val="both"/>
        <w:divId w:val="410156154"/>
        <w:rPr>
          <w:highlight w:val="lightGray"/>
          <w:lang w:val="fr-FR"/>
        </w:rPr>
      </w:pPr>
      <w:r w:rsidRPr="000964A8">
        <w:rPr>
          <w:lang w:val="fr-FR"/>
        </w:rPr>
        <w:t>Dans le processus d’introduction du nouveau vaccin (VPI), la formation concernera les chargés du P</w:t>
      </w:r>
      <w:r w:rsidR="00501681">
        <w:rPr>
          <w:lang w:val="fr-FR"/>
        </w:rPr>
        <w:t>EV et les agents vaccinateurs; elle</w:t>
      </w:r>
      <w:r w:rsidRPr="000964A8">
        <w:rPr>
          <w:lang w:val="fr-FR"/>
        </w:rPr>
        <w:t xml:space="preserve"> se déroulera en cascades depuis le niveau central </w:t>
      </w:r>
      <w:r w:rsidR="00501681">
        <w:rPr>
          <w:lang w:val="fr-FR"/>
        </w:rPr>
        <w:t>jusqu’aux centres de santé :</w:t>
      </w:r>
    </w:p>
    <w:p w:rsidR="00ED149B" w:rsidRPr="00911B1B" w:rsidRDefault="00ED149B" w:rsidP="00FD4940">
      <w:pPr>
        <w:jc w:val="both"/>
        <w:divId w:val="410156154"/>
        <w:rPr>
          <w:sz w:val="2"/>
          <w:lang w:val="fr-FR"/>
        </w:rPr>
      </w:pPr>
    </w:p>
    <w:p w:rsidR="00ED149B" w:rsidRPr="000964A8" w:rsidRDefault="00ED149B" w:rsidP="00FD4940">
      <w:pPr>
        <w:pStyle w:val="Paragraphedeliste"/>
        <w:numPr>
          <w:ilvl w:val="0"/>
          <w:numId w:val="6"/>
        </w:numPr>
        <w:spacing w:after="0" w:line="240" w:lineRule="auto"/>
        <w:jc w:val="both"/>
        <w:divId w:val="410156154"/>
        <w:rPr>
          <w:rFonts w:ascii="Times New Roman" w:hAnsi="Times New Roman"/>
          <w:sz w:val="24"/>
          <w:szCs w:val="24"/>
          <w:lang w:val="fr-FR"/>
        </w:rPr>
      </w:pPr>
      <w:r w:rsidRPr="000964A8">
        <w:rPr>
          <w:rFonts w:ascii="Times New Roman" w:hAnsi="Times New Roman"/>
          <w:sz w:val="24"/>
          <w:szCs w:val="24"/>
          <w:lang w:val="fr-FR"/>
        </w:rPr>
        <w:t xml:space="preserve">La formation des formateurs du niveau central concernera les directeurs régionaux de la santé et les </w:t>
      </w:r>
      <w:r w:rsidR="000964A8" w:rsidRPr="000964A8">
        <w:rPr>
          <w:rFonts w:ascii="Times New Roman" w:hAnsi="Times New Roman"/>
          <w:sz w:val="24"/>
          <w:szCs w:val="24"/>
          <w:lang w:val="fr-FR"/>
        </w:rPr>
        <w:t>r</w:t>
      </w:r>
      <w:r w:rsidRPr="000964A8">
        <w:rPr>
          <w:rFonts w:ascii="Times New Roman" w:hAnsi="Times New Roman"/>
          <w:sz w:val="24"/>
          <w:szCs w:val="24"/>
          <w:lang w:val="fr-FR"/>
        </w:rPr>
        <w:t>esponsables PEV régionaux. Cette formation sera assurée par l’équipe de coordination et les partenaires.</w:t>
      </w:r>
    </w:p>
    <w:p w:rsidR="000964A8" w:rsidRPr="000964A8" w:rsidRDefault="00ED149B" w:rsidP="00FD4940">
      <w:pPr>
        <w:pStyle w:val="Paragraphedeliste"/>
        <w:numPr>
          <w:ilvl w:val="0"/>
          <w:numId w:val="6"/>
        </w:numPr>
        <w:spacing w:before="120" w:line="240" w:lineRule="auto"/>
        <w:ind w:left="840" w:right="120"/>
        <w:jc w:val="both"/>
        <w:divId w:val="410156154"/>
        <w:rPr>
          <w:rFonts w:ascii="Times New Roman" w:hAnsi="Times New Roman"/>
          <w:sz w:val="24"/>
          <w:szCs w:val="24"/>
          <w:lang w:val="fr-FR"/>
        </w:rPr>
      </w:pPr>
      <w:r w:rsidRPr="000964A8">
        <w:rPr>
          <w:rFonts w:ascii="Times New Roman" w:hAnsi="Times New Roman"/>
          <w:sz w:val="24"/>
          <w:szCs w:val="24"/>
          <w:lang w:val="fr-FR"/>
        </w:rPr>
        <w:t xml:space="preserve">La formation des formateurs du niveau </w:t>
      </w:r>
      <w:r w:rsidR="000964A8" w:rsidRPr="000964A8">
        <w:rPr>
          <w:rFonts w:ascii="Times New Roman" w:hAnsi="Times New Roman"/>
          <w:sz w:val="24"/>
          <w:szCs w:val="24"/>
          <w:lang w:val="fr-FR"/>
        </w:rPr>
        <w:t xml:space="preserve">régional et </w:t>
      </w:r>
      <w:r w:rsidRPr="000964A8">
        <w:rPr>
          <w:rFonts w:ascii="Times New Roman" w:hAnsi="Times New Roman"/>
          <w:sz w:val="24"/>
          <w:szCs w:val="24"/>
          <w:lang w:val="fr-FR"/>
        </w:rPr>
        <w:t xml:space="preserve">district sera faite par l’équipe </w:t>
      </w:r>
      <w:r w:rsidR="000964A8" w:rsidRPr="000964A8">
        <w:rPr>
          <w:rFonts w:ascii="Times New Roman" w:hAnsi="Times New Roman"/>
          <w:sz w:val="24"/>
          <w:szCs w:val="24"/>
          <w:lang w:val="fr-FR"/>
        </w:rPr>
        <w:t xml:space="preserve">des formateurs régionaux ayant participé à la formation des formateurs au niveau central. </w:t>
      </w:r>
    </w:p>
    <w:p w:rsidR="000964A8" w:rsidRPr="000964A8" w:rsidRDefault="00ED149B" w:rsidP="00FD4940">
      <w:pPr>
        <w:pStyle w:val="Paragraphedeliste"/>
        <w:numPr>
          <w:ilvl w:val="0"/>
          <w:numId w:val="6"/>
        </w:numPr>
        <w:spacing w:before="120" w:line="240" w:lineRule="auto"/>
        <w:ind w:left="840" w:right="120"/>
        <w:jc w:val="both"/>
        <w:divId w:val="410156154"/>
        <w:rPr>
          <w:rFonts w:ascii="Times New Roman" w:hAnsi="Times New Roman"/>
          <w:sz w:val="24"/>
          <w:szCs w:val="24"/>
          <w:lang w:val="fr-FR"/>
        </w:rPr>
      </w:pPr>
      <w:r w:rsidRPr="000964A8">
        <w:rPr>
          <w:rFonts w:ascii="Times New Roman" w:hAnsi="Times New Roman"/>
          <w:sz w:val="24"/>
          <w:szCs w:val="24"/>
          <w:lang w:val="fr-FR"/>
        </w:rPr>
        <w:t xml:space="preserve">La formation des </w:t>
      </w:r>
      <w:r w:rsidR="000964A8" w:rsidRPr="000964A8">
        <w:rPr>
          <w:rFonts w:ascii="Times New Roman" w:hAnsi="Times New Roman"/>
          <w:sz w:val="24"/>
          <w:szCs w:val="24"/>
          <w:lang w:val="fr-FR"/>
        </w:rPr>
        <w:t xml:space="preserve">infirmiers chefs de poste se </w:t>
      </w:r>
      <w:r w:rsidRPr="000964A8">
        <w:rPr>
          <w:rFonts w:ascii="Times New Roman" w:hAnsi="Times New Roman"/>
          <w:sz w:val="24"/>
          <w:szCs w:val="24"/>
          <w:lang w:val="fr-FR"/>
        </w:rPr>
        <w:t xml:space="preserve">fera par l’Equipe Cadre du district. </w:t>
      </w:r>
    </w:p>
    <w:p w:rsidR="00ED149B" w:rsidRPr="000964A8" w:rsidRDefault="000964A8" w:rsidP="00FD4940">
      <w:pPr>
        <w:pStyle w:val="Paragraphedeliste"/>
        <w:numPr>
          <w:ilvl w:val="0"/>
          <w:numId w:val="6"/>
        </w:numPr>
        <w:spacing w:before="120" w:line="240" w:lineRule="auto"/>
        <w:ind w:left="840" w:right="120"/>
        <w:jc w:val="both"/>
        <w:divId w:val="410156154"/>
        <w:rPr>
          <w:rFonts w:ascii="Times New Roman" w:hAnsi="Times New Roman"/>
          <w:sz w:val="24"/>
          <w:szCs w:val="24"/>
          <w:lang w:val="fr-FR"/>
        </w:rPr>
      </w:pPr>
      <w:r w:rsidRPr="000964A8">
        <w:rPr>
          <w:rFonts w:ascii="Times New Roman" w:hAnsi="Times New Roman"/>
          <w:sz w:val="24"/>
          <w:szCs w:val="24"/>
          <w:lang w:val="fr-FR"/>
        </w:rPr>
        <w:t xml:space="preserve">La formation des </w:t>
      </w:r>
      <w:r w:rsidR="00ED149B" w:rsidRPr="000964A8">
        <w:rPr>
          <w:rFonts w:ascii="Times New Roman" w:hAnsi="Times New Roman"/>
          <w:sz w:val="24"/>
          <w:szCs w:val="24"/>
          <w:lang w:val="fr-FR"/>
        </w:rPr>
        <w:t>prestataires des services de vaccination seront formés</w:t>
      </w:r>
      <w:r w:rsidRPr="000964A8">
        <w:rPr>
          <w:rFonts w:ascii="Times New Roman" w:hAnsi="Times New Roman"/>
          <w:sz w:val="24"/>
          <w:szCs w:val="24"/>
          <w:lang w:val="fr-FR"/>
        </w:rPr>
        <w:t xml:space="preserve"> à leur tour par les infirmiers chefs de poste.</w:t>
      </w:r>
    </w:p>
    <w:p w:rsidR="00ED149B" w:rsidRPr="000964A8" w:rsidRDefault="00ED149B" w:rsidP="00FD4940">
      <w:pPr>
        <w:ind w:right="120"/>
        <w:jc w:val="both"/>
        <w:divId w:val="410156154"/>
        <w:rPr>
          <w:lang w:val="fr-FR"/>
        </w:rPr>
      </w:pPr>
      <w:r w:rsidRPr="000964A8">
        <w:rPr>
          <w:lang w:val="fr-FR"/>
        </w:rPr>
        <w:lastRenderedPageBreak/>
        <w:t>L’objectif de cette formation sera de faire acquérir aux gestionnaires et prestat</w:t>
      </w:r>
      <w:r w:rsidR="000964A8" w:rsidRPr="000964A8">
        <w:rPr>
          <w:lang w:val="fr-FR"/>
        </w:rPr>
        <w:t>aires du PEV à tous les niveaux</w:t>
      </w:r>
      <w:r w:rsidRPr="000964A8">
        <w:rPr>
          <w:lang w:val="fr-FR"/>
        </w:rPr>
        <w:t xml:space="preserve"> des compétences pour conduire l’introduction du VPI.</w:t>
      </w:r>
    </w:p>
    <w:p w:rsidR="001A5B91" w:rsidRDefault="001A5B91" w:rsidP="00FD4940">
      <w:pPr>
        <w:ind w:right="120"/>
        <w:jc w:val="both"/>
        <w:divId w:val="410156154"/>
        <w:rPr>
          <w:lang w:val="fr-FR"/>
        </w:rPr>
      </w:pPr>
    </w:p>
    <w:p w:rsidR="00ED149B" w:rsidRPr="000964A8" w:rsidRDefault="00ED149B" w:rsidP="00FD4940">
      <w:pPr>
        <w:ind w:right="120"/>
        <w:jc w:val="both"/>
        <w:divId w:val="410156154"/>
        <w:rPr>
          <w:lang w:val="fr-FR"/>
        </w:rPr>
      </w:pPr>
      <w:r w:rsidRPr="000964A8">
        <w:rPr>
          <w:lang w:val="fr-FR"/>
        </w:rPr>
        <w:t>Ces formations vont utiliser une méthodologie basée sur l’andragogie avec des exposés suivis de discussions, des exercices pratiques, des jeux de rôles et des mises en situations. Des vidéoprojecteurs, clés USB, ordinateurs portables, imprimantes et photocopieuses seront utilisés pour cette formation.</w:t>
      </w:r>
    </w:p>
    <w:p w:rsidR="00FD4940" w:rsidRDefault="00FD4940" w:rsidP="009C4350">
      <w:pPr>
        <w:ind w:right="235"/>
        <w:jc w:val="both"/>
        <w:divId w:val="410156154"/>
        <w:rPr>
          <w:highlight w:val="yellow"/>
          <w:lang w:val="fr-FR"/>
        </w:rPr>
      </w:pPr>
    </w:p>
    <w:p w:rsidR="00515293" w:rsidRPr="00536131" w:rsidRDefault="00515293" w:rsidP="00FD4940">
      <w:pPr>
        <w:pStyle w:val="Paragraphedeliste"/>
        <w:numPr>
          <w:ilvl w:val="0"/>
          <w:numId w:val="6"/>
        </w:numPr>
        <w:spacing w:after="0" w:line="240" w:lineRule="auto"/>
        <w:ind w:left="840" w:right="235"/>
        <w:jc w:val="both"/>
        <w:divId w:val="410156154"/>
        <w:rPr>
          <w:rFonts w:asciiTheme="minorHAnsi" w:hAnsiTheme="minorHAnsi"/>
          <w:bCs/>
          <w:highlight w:val="cyan"/>
          <w:lang w:val="fr-FR"/>
        </w:rPr>
      </w:pPr>
      <w:r w:rsidRPr="009C5C0A">
        <w:rPr>
          <w:highlight w:val="cyan"/>
          <w:lang w:val="fr-FR"/>
        </w:rPr>
        <w:t xml:space="preserve">Décrire les plans destinés à renforcer les activités de supervision avant, pendant et après l’introduction du VPI.    </w:t>
      </w:r>
    </w:p>
    <w:p w:rsidR="00536131" w:rsidRPr="00CE0C59" w:rsidRDefault="00536131" w:rsidP="00536131">
      <w:pPr>
        <w:pStyle w:val="Paragraphedeliste"/>
        <w:spacing w:after="0" w:line="240" w:lineRule="auto"/>
        <w:ind w:left="840" w:right="235"/>
        <w:jc w:val="both"/>
        <w:divId w:val="410156154"/>
        <w:rPr>
          <w:rFonts w:asciiTheme="minorHAnsi" w:hAnsiTheme="minorHAnsi"/>
          <w:bCs/>
          <w:sz w:val="2"/>
          <w:highlight w:val="cyan"/>
          <w:lang w:val="fr-FR"/>
        </w:rPr>
      </w:pPr>
    </w:p>
    <w:p w:rsidR="009C5C0A" w:rsidRPr="001A5B91" w:rsidRDefault="009C5C0A" w:rsidP="00FD4940">
      <w:pPr>
        <w:jc w:val="both"/>
        <w:divId w:val="410156154"/>
        <w:rPr>
          <w:bCs/>
          <w:lang w:val="fr-FR"/>
        </w:rPr>
      </w:pPr>
      <w:r w:rsidRPr="001A5B91">
        <w:rPr>
          <w:bCs/>
          <w:lang w:val="fr-FR"/>
        </w:rPr>
        <w:t xml:space="preserve">La supervision sera renforcée avant, pendant et après l’introduction du VPI. Les outils utilisés seront les outils révisés prenant en compte les spécificités du VPI. Les supervisions vont concerner tous les niveaux : </w:t>
      </w:r>
    </w:p>
    <w:p w:rsidR="009C5C0A" w:rsidRPr="001A5B91" w:rsidRDefault="009C5C0A" w:rsidP="003046BF">
      <w:pPr>
        <w:pStyle w:val="Paragraphedeliste"/>
        <w:numPr>
          <w:ilvl w:val="0"/>
          <w:numId w:val="32"/>
        </w:numPr>
        <w:spacing w:before="120" w:after="120" w:line="240" w:lineRule="auto"/>
        <w:ind w:left="1028" w:right="240"/>
        <w:jc w:val="both"/>
        <w:divId w:val="410156154"/>
        <w:rPr>
          <w:rFonts w:ascii="Times New Roman" w:hAnsi="Times New Roman"/>
          <w:bCs/>
          <w:sz w:val="24"/>
          <w:szCs w:val="24"/>
          <w:lang w:val="fr-FR"/>
        </w:rPr>
      </w:pPr>
      <w:r w:rsidRPr="001A5B91">
        <w:rPr>
          <w:rFonts w:ascii="Times New Roman" w:hAnsi="Times New Roman"/>
          <w:bCs/>
          <w:sz w:val="24"/>
          <w:szCs w:val="24"/>
          <w:lang w:val="fr-FR"/>
        </w:rPr>
        <w:t>Le niveau central supervisera les régions pour les appuyer dans les préparatifs, la mise en œuvre et le suivi post introduction. Deux supervisons seront effectuées avant le lancement dont une au moins six mois avant pour faire l’état des lieux et l’autre un mois avant le lancement. Au cours du mois du lancement une supervision sera faite pour s’assurer de la qualité de cette introduction. Trois mois après le lancement, une autre supervision sera faite. Après toutes ces étapes, la supervision s’intégrera dans le programme du PEV de routine selon le rythme habituel.</w:t>
      </w:r>
    </w:p>
    <w:p w:rsidR="009C5C0A" w:rsidRPr="001A5B91" w:rsidRDefault="009C5C0A" w:rsidP="00FD4940">
      <w:pPr>
        <w:pStyle w:val="Paragraphedeliste"/>
        <w:spacing w:before="120" w:after="120" w:line="240" w:lineRule="auto"/>
        <w:ind w:right="240"/>
        <w:jc w:val="both"/>
        <w:divId w:val="410156154"/>
        <w:rPr>
          <w:rFonts w:ascii="Times New Roman" w:hAnsi="Times New Roman"/>
          <w:bCs/>
          <w:sz w:val="24"/>
          <w:szCs w:val="24"/>
          <w:lang w:val="fr-FR"/>
        </w:rPr>
      </w:pPr>
    </w:p>
    <w:p w:rsidR="009C5C0A" w:rsidRPr="001A5B91" w:rsidRDefault="009C5C0A" w:rsidP="003046BF">
      <w:pPr>
        <w:pStyle w:val="Paragraphedeliste"/>
        <w:numPr>
          <w:ilvl w:val="0"/>
          <w:numId w:val="32"/>
        </w:numPr>
        <w:spacing w:after="0" w:line="240" w:lineRule="auto"/>
        <w:ind w:right="120"/>
        <w:jc w:val="both"/>
        <w:divId w:val="410156154"/>
        <w:rPr>
          <w:rFonts w:ascii="Times New Roman" w:hAnsi="Times New Roman"/>
          <w:bCs/>
          <w:sz w:val="24"/>
          <w:szCs w:val="24"/>
          <w:lang w:val="fr-FR"/>
        </w:rPr>
      </w:pPr>
      <w:r w:rsidRPr="001A5B91">
        <w:rPr>
          <w:rFonts w:ascii="Times New Roman" w:hAnsi="Times New Roman"/>
          <w:bCs/>
          <w:sz w:val="24"/>
          <w:szCs w:val="24"/>
          <w:lang w:val="fr-FR"/>
        </w:rPr>
        <w:t>Les régions sanitaires superviseront également les districts sanitaires afin de les aider dans le processus. Trois supervisons seront effectuées avant le lancement dont la première au moins six mois avant pour faire l’état des lieux, la deuxième deux mois après et la dernière deux mois avant le lancement. Au cours du mois du lancement une supervision sera faite pour s’assurer de la qualité de cette introduction. Deux mois après le lancement, une autre supervision sera faite. Après toutes ces étapes, la supervision s’intégrera dans le programme du PEV de routine selon le rythme habituel.</w:t>
      </w:r>
    </w:p>
    <w:p w:rsidR="009C5C0A" w:rsidRPr="001A5B91" w:rsidRDefault="009C5C0A" w:rsidP="00FD4940">
      <w:pPr>
        <w:ind w:right="240"/>
        <w:jc w:val="both"/>
        <w:divId w:val="410156154"/>
        <w:rPr>
          <w:bCs/>
          <w:lang w:val="fr-FR"/>
        </w:rPr>
      </w:pPr>
    </w:p>
    <w:p w:rsidR="009C5C0A" w:rsidRPr="001A5B91" w:rsidRDefault="009C5C0A" w:rsidP="003046BF">
      <w:pPr>
        <w:pStyle w:val="Paragraphedeliste"/>
        <w:numPr>
          <w:ilvl w:val="0"/>
          <w:numId w:val="32"/>
        </w:numPr>
        <w:spacing w:after="0" w:line="240" w:lineRule="auto"/>
        <w:ind w:right="120"/>
        <w:jc w:val="both"/>
        <w:divId w:val="410156154"/>
        <w:rPr>
          <w:rFonts w:ascii="Times New Roman" w:hAnsi="Times New Roman"/>
          <w:bCs/>
          <w:sz w:val="24"/>
          <w:szCs w:val="24"/>
          <w:lang w:val="fr-FR"/>
        </w:rPr>
      </w:pPr>
      <w:r w:rsidRPr="001A5B91">
        <w:rPr>
          <w:rFonts w:ascii="Times New Roman" w:hAnsi="Times New Roman"/>
          <w:bCs/>
          <w:sz w:val="24"/>
          <w:szCs w:val="24"/>
          <w:lang w:val="fr-FR"/>
        </w:rPr>
        <w:t xml:space="preserve">Les districts sanitaires feront une supervision plus rapprochées des agents de santé. Cette supervision sera essentiellement axée sur les prestations des vaccinations avec un focus sur le VPI. </w:t>
      </w:r>
      <w:r w:rsidR="001A5B91" w:rsidRPr="001A5B91">
        <w:rPr>
          <w:rFonts w:ascii="Times New Roman" w:hAnsi="Times New Roman"/>
          <w:bCs/>
          <w:sz w:val="24"/>
          <w:szCs w:val="24"/>
          <w:lang w:val="fr-FR"/>
        </w:rPr>
        <w:t xml:space="preserve">Des </w:t>
      </w:r>
      <w:r w:rsidRPr="001A5B91">
        <w:rPr>
          <w:rFonts w:ascii="Times New Roman" w:hAnsi="Times New Roman"/>
          <w:bCs/>
          <w:sz w:val="24"/>
          <w:szCs w:val="24"/>
          <w:lang w:val="fr-FR"/>
        </w:rPr>
        <w:t>supervisons seront effectuées avant le lancement à un rythme mensuel. Au cours du mois du lancement une supervision sera faite pour s’assurer de la qualité de cette introduction. Un mois après le lancement, une autre supervision sera faite. Après toutes ces étapes, la supervision s’intégrera dans le programme du PEV de routine selon le rythme habituel.</w:t>
      </w:r>
    </w:p>
    <w:p w:rsidR="00835105" w:rsidRDefault="009C5C0A" w:rsidP="00FD4940">
      <w:pPr>
        <w:jc w:val="both"/>
        <w:divId w:val="410156154"/>
        <w:rPr>
          <w:bCs/>
          <w:lang w:val="fr-FR"/>
        </w:rPr>
      </w:pPr>
      <w:r w:rsidRPr="001A5B91">
        <w:rPr>
          <w:bCs/>
          <w:lang w:val="fr-FR"/>
        </w:rPr>
        <w:t>Toutes ces supervisions seront documentées avec un rapport de supervision et une retro</w:t>
      </w:r>
      <w:r w:rsidR="001A5B91" w:rsidRPr="001A5B91">
        <w:rPr>
          <w:bCs/>
          <w:lang w:val="fr-FR"/>
        </w:rPr>
        <w:t xml:space="preserve">- </w:t>
      </w:r>
      <w:r w:rsidRPr="001A5B91">
        <w:rPr>
          <w:bCs/>
          <w:lang w:val="fr-FR"/>
        </w:rPr>
        <w:t xml:space="preserve">information aux supervisés. </w:t>
      </w:r>
    </w:p>
    <w:p w:rsidR="007C5B3F" w:rsidRDefault="007C5B3F" w:rsidP="00FD4940">
      <w:pPr>
        <w:jc w:val="both"/>
        <w:divId w:val="410156154"/>
        <w:rPr>
          <w:bCs/>
          <w:lang w:val="fr-FR"/>
        </w:rPr>
      </w:pPr>
    </w:p>
    <w:p w:rsidR="00536131" w:rsidRDefault="00536131" w:rsidP="00FD4940">
      <w:pPr>
        <w:jc w:val="both"/>
        <w:divId w:val="410156154"/>
        <w:rPr>
          <w:bCs/>
          <w:lang w:val="fr-FR"/>
        </w:rPr>
      </w:pPr>
    </w:p>
    <w:p w:rsidR="00536131" w:rsidRDefault="00536131" w:rsidP="00FD4940">
      <w:pPr>
        <w:jc w:val="both"/>
        <w:divId w:val="410156154"/>
        <w:rPr>
          <w:bCs/>
          <w:lang w:val="fr-FR"/>
        </w:rPr>
      </w:pPr>
    </w:p>
    <w:p w:rsidR="00536131" w:rsidRDefault="00536131" w:rsidP="00FD4940">
      <w:pPr>
        <w:jc w:val="both"/>
        <w:divId w:val="410156154"/>
        <w:rPr>
          <w:bCs/>
          <w:lang w:val="fr-FR"/>
        </w:rPr>
      </w:pPr>
    </w:p>
    <w:p w:rsidR="00536131" w:rsidRDefault="00536131" w:rsidP="00FD4940">
      <w:pPr>
        <w:jc w:val="both"/>
        <w:divId w:val="410156154"/>
        <w:rPr>
          <w:bCs/>
          <w:lang w:val="fr-FR"/>
        </w:rPr>
      </w:pPr>
    </w:p>
    <w:p w:rsidR="00536131" w:rsidRDefault="00536131" w:rsidP="00FD4940">
      <w:pPr>
        <w:jc w:val="both"/>
        <w:divId w:val="410156154"/>
        <w:rPr>
          <w:bCs/>
          <w:lang w:val="fr-FR"/>
        </w:rPr>
      </w:pPr>
    </w:p>
    <w:p w:rsidR="00536131" w:rsidRDefault="00536131" w:rsidP="00FD4940">
      <w:pPr>
        <w:jc w:val="both"/>
        <w:divId w:val="410156154"/>
        <w:rPr>
          <w:bCs/>
          <w:lang w:val="fr-FR"/>
        </w:rPr>
      </w:pPr>
    </w:p>
    <w:p w:rsidR="001A5B91" w:rsidRDefault="00515293">
      <w:pPr>
        <w:jc w:val="both"/>
        <w:divId w:val="410156154"/>
        <w:rPr>
          <w:rFonts w:asciiTheme="minorHAnsi" w:hAnsiTheme="minorHAnsi"/>
          <w:bCs/>
          <w:color w:val="1F497D" w:themeColor="text2"/>
          <w:lang w:val="fr-FR"/>
        </w:rPr>
      </w:pPr>
      <w:r w:rsidRPr="00C369C9">
        <w:rPr>
          <w:rFonts w:asciiTheme="minorHAnsi" w:hAnsiTheme="minorHAnsi"/>
          <w:bCs/>
          <w:color w:val="1F497D" w:themeColor="text2"/>
          <w:lang w:val="fr-FR"/>
        </w:rPr>
        <w:lastRenderedPageBreak/>
        <w:t xml:space="preserve">3.7  Risques et défis  </w:t>
      </w:r>
    </w:p>
    <w:p w:rsidR="000A2CB6" w:rsidRPr="00C369C9" w:rsidRDefault="000A2CB6">
      <w:pPr>
        <w:jc w:val="both"/>
        <w:divId w:val="410156154"/>
        <w:rPr>
          <w:rFonts w:asciiTheme="minorHAnsi" w:hAnsiTheme="minorHAnsi"/>
          <w:bCs/>
          <w:color w:val="1F497D" w:themeColor="text2"/>
          <w:lang w:val="fr-FR"/>
        </w:rPr>
      </w:pPr>
    </w:p>
    <w:p w:rsidR="00EA4CF9" w:rsidRPr="001A5B91" w:rsidRDefault="00515293">
      <w:pPr>
        <w:pStyle w:val="Paragraphedeliste"/>
        <w:numPr>
          <w:ilvl w:val="0"/>
          <w:numId w:val="15"/>
        </w:numPr>
        <w:spacing w:after="0" w:line="240" w:lineRule="auto"/>
        <w:ind w:left="840" w:right="235"/>
        <w:jc w:val="both"/>
        <w:divId w:val="410156154"/>
        <w:rPr>
          <w:rFonts w:asciiTheme="minorHAnsi" w:hAnsiTheme="minorHAnsi"/>
          <w:highlight w:val="cyan"/>
          <w:lang w:val="fr-FR"/>
        </w:rPr>
      </w:pPr>
      <w:r w:rsidRPr="001A5B91">
        <w:rPr>
          <w:rFonts w:asciiTheme="minorHAnsi" w:hAnsiTheme="minorHAnsi"/>
          <w:highlight w:val="cyan"/>
          <w:lang w:val="fr-FR"/>
        </w:rPr>
        <w:t xml:space="preserve">Identifier les principaux risques et défis (financiers, programmatiques, liés à la mobilisation communautaire) inhérents à l’introduction du nouveau vaccin et préciser comment y faire face.   </w:t>
      </w:r>
    </w:p>
    <w:p w:rsidR="001A5B91" w:rsidRPr="001A5B91" w:rsidRDefault="001A5B91" w:rsidP="00FD4940">
      <w:pPr>
        <w:pStyle w:val="Listecouleur-Accent11"/>
        <w:spacing w:after="0" w:line="240" w:lineRule="auto"/>
        <w:ind w:right="235"/>
        <w:jc w:val="both"/>
        <w:rPr>
          <w:rFonts w:ascii="Times New Roman" w:hAnsi="Times New Roman"/>
          <w:sz w:val="24"/>
          <w:szCs w:val="24"/>
          <w:lang w:val="fr-FR"/>
        </w:rPr>
      </w:pPr>
      <w:r w:rsidRPr="001A5B91">
        <w:rPr>
          <w:rFonts w:ascii="Times New Roman" w:hAnsi="Times New Roman"/>
          <w:sz w:val="24"/>
          <w:szCs w:val="24"/>
          <w:lang w:val="fr-FR"/>
        </w:rPr>
        <w:t>Les principaux défis à relever sont</w:t>
      </w:r>
      <w:r w:rsidR="00D842C6">
        <w:rPr>
          <w:rFonts w:ascii="Times New Roman" w:hAnsi="Times New Roman"/>
          <w:sz w:val="24"/>
          <w:szCs w:val="24"/>
          <w:lang w:val="fr-FR"/>
        </w:rPr>
        <w:t xml:space="preserve"> énumérés dans le tableau ci-dessous</w:t>
      </w:r>
      <w:r w:rsidRPr="001A5B91">
        <w:rPr>
          <w:rFonts w:ascii="Times New Roman" w:hAnsi="Times New Roman"/>
          <w:sz w:val="24"/>
          <w:szCs w:val="24"/>
          <w:lang w:val="fr-FR"/>
        </w:rPr>
        <w:t> :</w:t>
      </w:r>
    </w:p>
    <w:p w:rsidR="00D842C6" w:rsidRDefault="00D842C6" w:rsidP="00FD4940">
      <w:pPr>
        <w:pStyle w:val="Listecouleur-Accent11"/>
        <w:spacing w:after="0" w:line="240" w:lineRule="auto"/>
        <w:ind w:right="235"/>
        <w:jc w:val="both"/>
        <w:rPr>
          <w:rFonts w:ascii="Arial" w:hAnsi="Arial" w:cs="Arial"/>
          <w:lang w:val="fr-FR"/>
        </w:rPr>
      </w:pPr>
    </w:p>
    <w:p w:rsidR="001A5B91" w:rsidRDefault="00D842C6" w:rsidP="00FD4940">
      <w:pPr>
        <w:pStyle w:val="Listecouleur-Accent11"/>
        <w:spacing w:after="0" w:line="240" w:lineRule="auto"/>
        <w:ind w:right="235"/>
        <w:jc w:val="both"/>
        <w:rPr>
          <w:rFonts w:ascii="Arial" w:hAnsi="Arial" w:cs="Arial"/>
          <w:lang w:val="fr-FR"/>
        </w:rPr>
      </w:pPr>
      <w:r>
        <w:rPr>
          <w:rFonts w:ascii="Arial" w:hAnsi="Arial" w:cs="Arial"/>
          <w:lang w:val="fr-FR"/>
        </w:rPr>
        <w:t>Tableau n° IV : Risques et Défis</w:t>
      </w:r>
    </w:p>
    <w:p w:rsidR="00D842C6" w:rsidRDefault="00D842C6" w:rsidP="00FD4940">
      <w:pPr>
        <w:pStyle w:val="Listecouleur-Accent11"/>
        <w:spacing w:after="0" w:line="240" w:lineRule="auto"/>
        <w:ind w:right="235"/>
        <w:jc w:val="both"/>
        <w:rPr>
          <w:rFonts w:ascii="Arial" w:hAnsi="Arial" w:cs="Arial"/>
          <w:lang w:val="fr-FR"/>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3459"/>
        <w:gridCol w:w="4156"/>
      </w:tblGrid>
      <w:tr w:rsidR="001A5B91" w:rsidRPr="00E0783B" w:rsidTr="001A5B91">
        <w:trPr>
          <w:jc w:val="center"/>
        </w:trPr>
        <w:tc>
          <w:tcPr>
            <w:tcW w:w="2875" w:type="dxa"/>
            <w:shd w:val="clear" w:color="auto" w:fill="auto"/>
            <w:vAlign w:val="center"/>
          </w:tcPr>
          <w:p w:rsidR="001A5B91" w:rsidRPr="001A5B91" w:rsidRDefault="001A5B91" w:rsidP="008200BE">
            <w:pPr>
              <w:pStyle w:val="Listecouleur-Accent11"/>
              <w:spacing w:after="0" w:line="240" w:lineRule="auto"/>
              <w:ind w:left="0" w:right="355"/>
              <w:jc w:val="center"/>
              <w:rPr>
                <w:rFonts w:ascii="Times New Roman" w:hAnsi="Times New Roman"/>
                <w:b/>
                <w:sz w:val="24"/>
                <w:szCs w:val="24"/>
                <w:lang w:val="fr-FR"/>
              </w:rPr>
            </w:pPr>
            <w:r w:rsidRPr="001A5B91">
              <w:rPr>
                <w:rFonts w:ascii="Times New Roman" w:hAnsi="Times New Roman"/>
                <w:b/>
                <w:sz w:val="24"/>
                <w:szCs w:val="24"/>
                <w:lang w:val="fr-FR"/>
              </w:rPr>
              <w:t>Domaines</w:t>
            </w:r>
          </w:p>
        </w:tc>
        <w:tc>
          <w:tcPr>
            <w:tcW w:w="3459" w:type="dxa"/>
            <w:shd w:val="clear" w:color="auto" w:fill="auto"/>
            <w:vAlign w:val="center"/>
          </w:tcPr>
          <w:p w:rsidR="001A5B91" w:rsidRPr="001A5B91" w:rsidRDefault="001A5B91" w:rsidP="008200BE">
            <w:pPr>
              <w:pStyle w:val="Listecouleur-Accent11"/>
              <w:spacing w:after="0" w:line="240" w:lineRule="auto"/>
              <w:ind w:left="0" w:right="355"/>
              <w:jc w:val="center"/>
              <w:rPr>
                <w:rFonts w:ascii="Times New Roman" w:hAnsi="Times New Roman"/>
                <w:b/>
                <w:sz w:val="24"/>
                <w:szCs w:val="24"/>
                <w:lang w:val="fr-FR"/>
              </w:rPr>
            </w:pPr>
            <w:r w:rsidRPr="001A5B91">
              <w:rPr>
                <w:rFonts w:ascii="Times New Roman" w:hAnsi="Times New Roman"/>
                <w:b/>
                <w:sz w:val="24"/>
                <w:szCs w:val="24"/>
                <w:lang w:val="fr-FR"/>
              </w:rPr>
              <w:t>Risques/défis éventuels</w:t>
            </w:r>
          </w:p>
        </w:tc>
        <w:tc>
          <w:tcPr>
            <w:tcW w:w="4156" w:type="dxa"/>
            <w:shd w:val="clear" w:color="auto" w:fill="auto"/>
            <w:vAlign w:val="center"/>
          </w:tcPr>
          <w:p w:rsidR="001A5B91" w:rsidRPr="001A5B91" w:rsidRDefault="001A5B91" w:rsidP="003046BF">
            <w:pPr>
              <w:pStyle w:val="Listecouleur-Accent11"/>
              <w:numPr>
                <w:ilvl w:val="0"/>
                <w:numId w:val="33"/>
              </w:numPr>
              <w:spacing w:after="0" w:line="240" w:lineRule="auto"/>
              <w:ind w:right="355"/>
              <w:rPr>
                <w:rFonts w:ascii="Times New Roman" w:hAnsi="Times New Roman"/>
                <w:b/>
                <w:sz w:val="24"/>
                <w:szCs w:val="24"/>
                <w:lang w:val="fr-FR"/>
              </w:rPr>
            </w:pPr>
            <w:r w:rsidRPr="001A5B91">
              <w:rPr>
                <w:rFonts w:ascii="Times New Roman" w:hAnsi="Times New Roman"/>
                <w:b/>
                <w:sz w:val="24"/>
                <w:szCs w:val="24"/>
                <w:lang w:val="fr-FR"/>
              </w:rPr>
              <w:t>Solutions préconisées pour contourner le risque</w:t>
            </w:r>
          </w:p>
        </w:tc>
      </w:tr>
      <w:tr w:rsidR="001A5B91" w:rsidRPr="00E0783B" w:rsidTr="001A5B91">
        <w:trPr>
          <w:jc w:val="center"/>
        </w:trPr>
        <w:tc>
          <w:tcPr>
            <w:tcW w:w="2875" w:type="dxa"/>
            <w:vMerge w:val="restart"/>
            <w:shd w:val="clear" w:color="auto" w:fill="auto"/>
            <w:vAlign w:val="center"/>
          </w:tcPr>
          <w:p w:rsidR="001A5B91" w:rsidRPr="001A5B91" w:rsidRDefault="001A5B91" w:rsidP="008200BE">
            <w:pPr>
              <w:pStyle w:val="Listecouleur-Accent11"/>
              <w:spacing w:after="0" w:line="240" w:lineRule="auto"/>
              <w:ind w:left="0" w:right="355"/>
              <w:jc w:val="center"/>
              <w:rPr>
                <w:rFonts w:ascii="Times New Roman" w:hAnsi="Times New Roman"/>
                <w:sz w:val="24"/>
                <w:szCs w:val="24"/>
                <w:lang w:val="fr-FR"/>
              </w:rPr>
            </w:pPr>
            <w:r w:rsidRPr="001A5B91">
              <w:rPr>
                <w:rFonts w:ascii="Times New Roman" w:hAnsi="Times New Roman"/>
                <w:sz w:val="24"/>
                <w:szCs w:val="24"/>
                <w:lang w:val="fr-FR"/>
              </w:rPr>
              <w:t>Programmatiques</w:t>
            </w:r>
          </w:p>
        </w:tc>
        <w:tc>
          <w:tcPr>
            <w:tcW w:w="3459" w:type="dxa"/>
            <w:shd w:val="clear" w:color="auto" w:fill="auto"/>
            <w:vAlign w:val="center"/>
          </w:tcPr>
          <w:p w:rsidR="001A5B91" w:rsidRPr="001A5B91" w:rsidRDefault="001A5B91" w:rsidP="008200BE">
            <w:pPr>
              <w:pStyle w:val="Listecouleur-Accent11"/>
              <w:spacing w:after="0" w:line="240" w:lineRule="auto"/>
              <w:ind w:left="0" w:right="355"/>
              <w:rPr>
                <w:rFonts w:ascii="Times New Roman" w:hAnsi="Times New Roman"/>
                <w:sz w:val="24"/>
                <w:szCs w:val="24"/>
                <w:lang w:val="fr-FR"/>
              </w:rPr>
            </w:pPr>
            <w:r w:rsidRPr="001A5B91">
              <w:rPr>
                <w:rFonts w:ascii="Times New Roman" w:hAnsi="Times New Roman"/>
                <w:sz w:val="24"/>
                <w:szCs w:val="24"/>
                <w:lang w:val="fr-FR"/>
              </w:rPr>
              <w:t>Maîtrise de la technique vaccinale (respect du site, respect de la voie d’administration dans le contexte d’injections multiples)</w:t>
            </w:r>
          </w:p>
        </w:tc>
        <w:tc>
          <w:tcPr>
            <w:tcW w:w="4156" w:type="dxa"/>
            <w:shd w:val="clear" w:color="auto" w:fill="auto"/>
            <w:vAlign w:val="center"/>
          </w:tcPr>
          <w:p w:rsidR="001A5B91" w:rsidRPr="001A5B91" w:rsidRDefault="001A5B91" w:rsidP="003046BF">
            <w:pPr>
              <w:pStyle w:val="Listecouleur-Accent11"/>
              <w:numPr>
                <w:ilvl w:val="0"/>
                <w:numId w:val="33"/>
              </w:numPr>
              <w:spacing w:after="0" w:line="240" w:lineRule="auto"/>
              <w:ind w:right="355"/>
              <w:rPr>
                <w:rFonts w:ascii="Times New Roman" w:hAnsi="Times New Roman"/>
                <w:sz w:val="24"/>
                <w:szCs w:val="24"/>
                <w:lang w:val="fr-FR"/>
              </w:rPr>
            </w:pPr>
            <w:r w:rsidRPr="001A5B91">
              <w:rPr>
                <w:rFonts w:ascii="Times New Roman" w:hAnsi="Times New Roman"/>
                <w:sz w:val="24"/>
                <w:szCs w:val="24"/>
                <w:lang w:val="fr-FR"/>
              </w:rPr>
              <w:t>Formation et supervision rapprochée des prestataires</w:t>
            </w:r>
          </w:p>
          <w:p w:rsidR="001A5B91" w:rsidRPr="001A5B91" w:rsidRDefault="001A5B91" w:rsidP="003046BF">
            <w:pPr>
              <w:pStyle w:val="Listecouleur-Accent11"/>
              <w:numPr>
                <w:ilvl w:val="0"/>
                <w:numId w:val="33"/>
              </w:numPr>
              <w:spacing w:after="0" w:line="240" w:lineRule="auto"/>
              <w:ind w:right="355"/>
              <w:rPr>
                <w:rFonts w:ascii="Times New Roman" w:hAnsi="Times New Roman"/>
                <w:sz w:val="24"/>
                <w:szCs w:val="24"/>
                <w:lang w:val="fr-FR"/>
              </w:rPr>
            </w:pPr>
            <w:r w:rsidRPr="001A5B91">
              <w:rPr>
                <w:rFonts w:ascii="Times New Roman" w:hAnsi="Times New Roman"/>
                <w:sz w:val="24"/>
                <w:szCs w:val="24"/>
                <w:lang w:val="fr-FR"/>
              </w:rPr>
              <w:t>Elaboration et diffusion de directives à tous les niveaux</w:t>
            </w:r>
          </w:p>
        </w:tc>
      </w:tr>
      <w:tr w:rsidR="001A5B91" w:rsidRPr="00E0783B" w:rsidTr="001A5B91">
        <w:trPr>
          <w:jc w:val="center"/>
        </w:trPr>
        <w:tc>
          <w:tcPr>
            <w:tcW w:w="2875" w:type="dxa"/>
            <w:vMerge/>
            <w:shd w:val="clear" w:color="auto" w:fill="auto"/>
          </w:tcPr>
          <w:p w:rsidR="001A5B91" w:rsidRPr="001A5B91" w:rsidRDefault="001A5B91" w:rsidP="008200BE">
            <w:pPr>
              <w:pStyle w:val="Listecouleur-Accent11"/>
              <w:spacing w:after="0" w:line="240" w:lineRule="auto"/>
              <w:ind w:left="0" w:right="355"/>
              <w:jc w:val="both"/>
              <w:rPr>
                <w:rFonts w:ascii="Times New Roman" w:hAnsi="Times New Roman"/>
                <w:sz w:val="24"/>
                <w:szCs w:val="24"/>
                <w:lang w:val="fr-FR"/>
              </w:rPr>
            </w:pPr>
          </w:p>
        </w:tc>
        <w:tc>
          <w:tcPr>
            <w:tcW w:w="3459" w:type="dxa"/>
            <w:shd w:val="clear" w:color="auto" w:fill="auto"/>
            <w:vAlign w:val="center"/>
          </w:tcPr>
          <w:p w:rsidR="001A5B91" w:rsidRPr="001A5B91" w:rsidRDefault="001A5B91" w:rsidP="008200BE">
            <w:pPr>
              <w:pStyle w:val="Listecouleur-Accent11"/>
              <w:spacing w:after="0" w:line="240" w:lineRule="auto"/>
              <w:ind w:left="0" w:right="355"/>
              <w:rPr>
                <w:rFonts w:ascii="Times New Roman" w:hAnsi="Times New Roman"/>
                <w:sz w:val="24"/>
                <w:szCs w:val="24"/>
                <w:lang w:val="fr-FR"/>
              </w:rPr>
            </w:pPr>
            <w:r w:rsidRPr="001A5B91">
              <w:rPr>
                <w:rFonts w:ascii="Times New Roman" w:hAnsi="Times New Roman"/>
                <w:sz w:val="24"/>
                <w:szCs w:val="24"/>
                <w:lang w:val="fr-FR"/>
              </w:rPr>
              <w:t>Maîtrise de la politique du flacon entamé pour le VPI</w:t>
            </w:r>
          </w:p>
        </w:tc>
        <w:tc>
          <w:tcPr>
            <w:tcW w:w="4156" w:type="dxa"/>
            <w:shd w:val="clear" w:color="auto" w:fill="auto"/>
            <w:vAlign w:val="center"/>
          </w:tcPr>
          <w:p w:rsidR="001A5B91" w:rsidRPr="001A5B91" w:rsidRDefault="001A5B91" w:rsidP="003046BF">
            <w:pPr>
              <w:pStyle w:val="Listecouleur-Accent11"/>
              <w:numPr>
                <w:ilvl w:val="0"/>
                <w:numId w:val="33"/>
              </w:numPr>
              <w:spacing w:after="0" w:line="240" w:lineRule="auto"/>
              <w:ind w:right="355"/>
              <w:rPr>
                <w:rFonts w:ascii="Times New Roman" w:hAnsi="Times New Roman"/>
                <w:sz w:val="24"/>
                <w:szCs w:val="24"/>
                <w:lang w:val="fr-FR"/>
              </w:rPr>
            </w:pPr>
            <w:r w:rsidRPr="001A5B91">
              <w:rPr>
                <w:rFonts w:ascii="Times New Roman" w:hAnsi="Times New Roman"/>
                <w:sz w:val="24"/>
                <w:szCs w:val="24"/>
                <w:lang w:val="fr-FR"/>
              </w:rPr>
              <w:t>Formation et supervision rapprochée des prestataires</w:t>
            </w:r>
          </w:p>
          <w:p w:rsidR="001A5B91" w:rsidRPr="001A5B91" w:rsidRDefault="001A5B91" w:rsidP="003046BF">
            <w:pPr>
              <w:pStyle w:val="Listecouleur-Accent11"/>
              <w:numPr>
                <w:ilvl w:val="0"/>
                <w:numId w:val="33"/>
              </w:numPr>
              <w:spacing w:after="0" w:line="240" w:lineRule="auto"/>
              <w:ind w:right="355"/>
              <w:rPr>
                <w:rFonts w:ascii="Times New Roman" w:hAnsi="Times New Roman"/>
                <w:sz w:val="24"/>
                <w:szCs w:val="24"/>
                <w:lang w:val="fr-FR"/>
              </w:rPr>
            </w:pPr>
            <w:r w:rsidRPr="001A5B91">
              <w:rPr>
                <w:rFonts w:ascii="Times New Roman" w:hAnsi="Times New Roman"/>
                <w:sz w:val="24"/>
                <w:szCs w:val="24"/>
                <w:lang w:val="fr-FR"/>
              </w:rPr>
              <w:t>Elaboration et diffusion de directives à tous les niveaux</w:t>
            </w:r>
          </w:p>
        </w:tc>
      </w:tr>
      <w:tr w:rsidR="001A5B91" w:rsidRPr="001A5B91" w:rsidTr="001A5B91">
        <w:trPr>
          <w:jc w:val="center"/>
        </w:trPr>
        <w:tc>
          <w:tcPr>
            <w:tcW w:w="2875" w:type="dxa"/>
            <w:vMerge/>
            <w:shd w:val="clear" w:color="auto" w:fill="auto"/>
          </w:tcPr>
          <w:p w:rsidR="001A5B91" w:rsidRPr="001A5B91" w:rsidRDefault="001A5B91" w:rsidP="008200BE">
            <w:pPr>
              <w:pStyle w:val="Listecouleur-Accent11"/>
              <w:spacing w:after="0" w:line="240" w:lineRule="auto"/>
              <w:ind w:left="0" w:right="355"/>
              <w:jc w:val="both"/>
              <w:rPr>
                <w:rFonts w:ascii="Times New Roman" w:hAnsi="Times New Roman"/>
                <w:sz w:val="24"/>
                <w:szCs w:val="24"/>
                <w:lang w:val="fr-FR"/>
              </w:rPr>
            </w:pPr>
          </w:p>
        </w:tc>
        <w:tc>
          <w:tcPr>
            <w:tcW w:w="3459" w:type="dxa"/>
            <w:shd w:val="clear" w:color="auto" w:fill="auto"/>
            <w:vAlign w:val="center"/>
          </w:tcPr>
          <w:p w:rsidR="001A5B91" w:rsidRPr="001A5B91" w:rsidRDefault="001A5B91" w:rsidP="008200BE">
            <w:pPr>
              <w:pStyle w:val="Listecouleur-Accent11"/>
              <w:spacing w:after="0" w:line="240" w:lineRule="auto"/>
              <w:ind w:left="0" w:right="355"/>
              <w:rPr>
                <w:rFonts w:ascii="Times New Roman" w:hAnsi="Times New Roman"/>
                <w:sz w:val="24"/>
                <w:szCs w:val="24"/>
                <w:lang w:val="fr-FR"/>
              </w:rPr>
            </w:pPr>
            <w:r w:rsidRPr="001A5B91">
              <w:rPr>
                <w:rFonts w:ascii="Times New Roman" w:hAnsi="Times New Roman"/>
                <w:sz w:val="24"/>
                <w:szCs w:val="24"/>
                <w:lang w:val="fr-FR"/>
              </w:rPr>
              <w:t xml:space="preserve">Capacité à stocker et à conserver les vaccins dans de bonnes conditions à tous les niveaux </w:t>
            </w:r>
          </w:p>
        </w:tc>
        <w:tc>
          <w:tcPr>
            <w:tcW w:w="4156" w:type="dxa"/>
            <w:shd w:val="clear" w:color="auto" w:fill="auto"/>
            <w:vAlign w:val="center"/>
          </w:tcPr>
          <w:p w:rsidR="001A5B91" w:rsidRPr="001A5B91" w:rsidRDefault="001A5B91" w:rsidP="003046BF">
            <w:pPr>
              <w:pStyle w:val="Listecouleur-Accent11"/>
              <w:numPr>
                <w:ilvl w:val="0"/>
                <w:numId w:val="33"/>
              </w:numPr>
              <w:spacing w:after="0" w:line="240" w:lineRule="auto"/>
              <w:ind w:right="355"/>
              <w:rPr>
                <w:rFonts w:ascii="Times New Roman" w:hAnsi="Times New Roman"/>
                <w:sz w:val="24"/>
                <w:szCs w:val="24"/>
                <w:lang w:val="fr-FR"/>
              </w:rPr>
            </w:pPr>
            <w:r w:rsidRPr="001A5B91">
              <w:rPr>
                <w:rFonts w:ascii="Times New Roman" w:hAnsi="Times New Roman"/>
                <w:sz w:val="24"/>
                <w:szCs w:val="24"/>
                <w:lang w:val="fr-FR"/>
              </w:rPr>
              <w:t>Renforcement de la capacité de stockage et de conservation,</w:t>
            </w:r>
          </w:p>
          <w:p w:rsidR="001A5B91" w:rsidRPr="001A5B91" w:rsidRDefault="001A5B91" w:rsidP="003046BF">
            <w:pPr>
              <w:pStyle w:val="Listecouleur-Accent11"/>
              <w:numPr>
                <w:ilvl w:val="0"/>
                <w:numId w:val="33"/>
              </w:numPr>
              <w:spacing w:after="0" w:line="240" w:lineRule="auto"/>
              <w:ind w:right="355"/>
              <w:rPr>
                <w:rFonts w:ascii="Times New Roman" w:hAnsi="Times New Roman"/>
                <w:sz w:val="24"/>
                <w:szCs w:val="24"/>
                <w:lang w:val="fr-FR"/>
              </w:rPr>
            </w:pPr>
            <w:r w:rsidRPr="001A5B91">
              <w:rPr>
                <w:rFonts w:ascii="Times New Roman" w:hAnsi="Times New Roman"/>
                <w:sz w:val="24"/>
                <w:szCs w:val="24"/>
                <w:lang w:val="fr-FR"/>
              </w:rPr>
              <w:t>Dotation des chambres froides et des réfrigérateurs en enregistreurs continus de température</w:t>
            </w:r>
          </w:p>
          <w:p w:rsidR="001A5B91" w:rsidRPr="001A5B91" w:rsidRDefault="001A5B91" w:rsidP="003046BF">
            <w:pPr>
              <w:pStyle w:val="Listecouleur-Accent11"/>
              <w:numPr>
                <w:ilvl w:val="0"/>
                <w:numId w:val="33"/>
              </w:numPr>
              <w:spacing w:after="0" w:line="240" w:lineRule="auto"/>
              <w:ind w:right="355"/>
              <w:rPr>
                <w:rFonts w:ascii="Times New Roman" w:hAnsi="Times New Roman"/>
                <w:sz w:val="24"/>
                <w:szCs w:val="24"/>
                <w:lang w:val="fr-FR"/>
              </w:rPr>
            </w:pPr>
            <w:r w:rsidRPr="001A5B91">
              <w:rPr>
                <w:rFonts w:ascii="Times New Roman" w:hAnsi="Times New Roman"/>
                <w:sz w:val="24"/>
                <w:szCs w:val="24"/>
                <w:lang w:val="fr-FR"/>
              </w:rPr>
              <w:t>Formation du personnel</w:t>
            </w:r>
          </w:p>
        </w:tc>
      </w:tr>
      <w:tr w:rsidR="001A5B91" w:rsidRPr="00E0783B" w:rsidTr="001A5B91">
        <w:trPr>
          <w:jc w:val="center"/>
        </w:trPr>
        <w:tc>
          <w:tcPr>
            <w:tcW w:w="2875" w:type="dxa"/>
            <w:vMerge/>
            <w:shd w:val="clear" w:color="auto" w:fill="auto"/>
          </w:tcPr>
          <w:p w:rsidR="001A5B91" w:rsidRPr="001A5B91" w:rsidRDefault="001A5B91" w:rsidP="008200BE">
            <w:pPr>
              <w:pStyle w:val="Listecouleur-Accent11"/>
              <w:spacing w:after="0" w:line="240" w:lineRule="auto"/>
              <w:ind w:left="0" w:right="355"/>
              <w:jc w:val="both"/>
              <w:rPr>
                <w:rFonts w:ascii="Times New Roman" w:hAnsi="Times New Roman"/>
                <w:sz w:val="24"/>
                <w:szCs w:val="24"/>
                <w:lang w:val="fr-FR"/>
              </w:rPr>
            </w:pPr>
          </w:p>
        </w:tc>
        <w:tc>
          <w:tcPr>
            <w:tcW w:w="3459" w:type="dxa"/>
            <w:shd w:val="clear" w:color="auto" w:fill="auto"/>
            <w:vAlign w:val="center"/>
          </w:tcPr>
          <w:p w:rsidR="001A5B91" w:rsidRPr="001A5B91" w:rsidRDefault="001A5B91" w:rsidP="008200BE">
            <w:pPr>
              <w:pStyle w:val="Listecouleur-Accent11"/>
              <w:spacing w:after="0" w:line="240" w:lineRule="auto"/>
              <w:ind w:left="0" w:right="355"/>
              <w:rPr>
                <w:rFonts w:ascii="Times New Roman" w:hAnsi="Times New Roman"/>
                <w:sz w:val="24"/>
                <w:szCs w:val="24"/>
                <w:lang w:val="fr-FR"/>
              </w:rPr>
            </w:pPr>
            <w:r w:rsidRPr="001A5B91">
              <w:rPr>
                <w:rFonts w:ascii="Times New Roman" w:hAnsi="Times New Roman"/>
                <w:sz w:val="24"/>
                <w:szCs w:val="24"/>
                <w:lang w:val="fr-FR"/>
              </w:rPr>
              <w:t>Maîtrise du calendrier d’administration du VPI et du VPO</w:t>
            </w:r>
          </w:p>
        </w:tc>
        <w:tc>
          <w:tcPr>
            <w:tcW w:w="4156" w:type="dxa"/>
            <w:shd w:val="clear" w:color="auto" w:fill="auto"/>
            <w:vAlign w:val="center"/>
          </w:tcPr>
          <w:p w:rsidR="001A5B91" w:rsidRPr="001A5B91" w:rsidRDefault="001A5B91" w:rsidP="003046BF">
            <w:pPr>
              <w:pStyle w:val="Listecouleur-Accent11"/>
              <w:numPr>
                <w:ilvl w:val="0"/>
                <w:numId w:val="33"/>
              </w:numPr>
              <w:spacing w:after="0" w:line="240" w:lineRule="auto"/>
              <w:ind w:right="355"/>
              <w:rPr>
                <w:rFonts w:ascii="Times New Roman" w:hAnsi="Times New Roman"/>
                <w:sz w:val="24"/>
                <w:szCs w:val="24"/>
                <w:lang w:val="fr-FR"/>
              </w:rPr>
            </w:pPr>
            <w:r w:rsidRPr="001A5B91">
              <w:rPr>
                <w:rFonts w:ascii="Times New Roman" w:hAnsi="Times New Roman"/>
                <w:sz w:val="24"/>
                <w:szCs w:val="24"/>
                <w:lang w:val="fr-FR"/>
              </w:rPr>
              <w:t>Formation et supervision rapprochée des prestataires</w:t>
            </w:r>
          </w:p>
          <w:p w:rsidR="001A5B91" w:rsidRPr="001A5B91" w:rsidRDefault="001A5B91" w:rsidP="003046BF">
            <w:pPr>
              <w:pStyle w:val="Listecouleur-Accent11"/>
              <w:numPr>
                <w:ilvl w:val="0"/>
                <w:numId w:val="33"/>
              </w:numPr>
              <w:spacing w:after="0" w:line="240" w:lineRule="auto"/>
              <w:ind w:right="355"/>
              <w:rPr>
                <w:rFonts w:ascii="Times New Roman" w:hAnsi="Times New Roman"/>
                <w:sz w:val="24"/>
                <w:szCs w:val="24"/>
                <w:lang w:val="fr-FR"/>
              </w:rPr>
            </w:pPr>
            <w:r w:rsidRPr="001A5B91">
              <w:rPr>
                <w:rFonts w:ascii="Times New Roman" w:hAnsi="Times New Roman"/>
                <w:sz w:val="24"/>
                <w:szCs w:val="24"/>
                <w:lang w:val="fr-FR"/>
              </w:rPr>
              <w:t>Elaboration et diffusion de directives à tous les niveaux</w:t>
            </w:r>
          </w:p>
        </w:tc>
      </w:tr>
      <w:tr w:rsidR="001A5B91" w:rsidRPr="00E0783B" w:rsidTr="001A5B91">
        <w:trPr>
          <w:jc w:val="center"/>
        </w:trPr>
        <w:tc>
          <w:tcPr>
            <w:tcW w:w="2875" w:type="dxa"/>
            <w:shd w:val="clear" w:color="auto" w:fill="auto"/>
          </w:tcPr>
          <w:p w:rsidR="001A5B91" w:rsidRPr="001A5B91" w:rsidRDefault="001A5B91" w:rsidP="008200BE">
            <w:pPr>
              <w:pStyle w:val="Listecouleur-Accent11"/>
              <w:spacing w:after="0" w:line="240" w:lineRule="auto"/>
              <w:ind w:left="0" w:right="355"/>
              <w:jc w:val="both"/>
              <w:rPr>
                <w:rFonts w:ascii="Times New Roman" w:hAnsi="Times New Roman"/>
                <w:sz w:val="24"/>
                <w:szCs w:val="24"/>
                <w:lang w:val="fr-FR"/>
              </w:rPr>
            </w:pPr>
          </w:p>
        </w:tc>
        <w:tc>
          <w:tcPr>
            <w:tcW w:w="3459" w:type="dxa"/>
            <w:shd w:val="clear" w:color="auto" w:fill="auto"/>
          </w:tcPr>
          <w:p w:rsidR="001A5B91" w:rsidRPr="001A5B91" w:rsidRDefault="001A5B91" w:rsidP="008200BE">
            <w:pPr>
              <w:pStyle w:val="Listecouleur-Accent11"/>
              <w:spacing w:after="0" w:line="240" w:lineRule="auto"/>
              <w:ind w:left="0" w:right="355"/>
              <w:jc w:val="both"/>
              <w:rPr>
                <w:rFonts w:ascii="Times New Roman" w:hAnsi="Times New Roman"/>
                <w:sz w:val="24"/>
                <w:szCs w:val="24"/>
                <w:lang w:val="fr-FR"/>
              </w:rPr>
            </w:pPr>
            <w:r w:rsidRPr="001A5B91">
              <w:rPr>
                <w:rFonts w:ascii="Times New Roman" w:hAnsi="Times New Roman"/>
                <w:sz w:val="24"/>
                <w:szCs w:val="24"/>
                <w:lang w:val="fr-FR"/>
              </w:rPr>
              <w:t>Augmentation du nombre d’aiguilles, seringues usagées à gérer</w:t>
            </w:r>
          </w:p>
        </w:tc>
        <w:tc>
          <w:tcPr>
            <w:tcW w:w="4156" w:type="dxa"/>
            <w:shd w:val="clear" w:color="auto" w:fill="auto"/>
            <w:vAlign w:val="center"/>
          </w:tcPr>
          <w:p w:rsidR="001A5B91" w:rsidRPr="001A5B91" w:rsidRDefault="001A5B91" w:rsidP="003046BF">
            <w:pPr>
              <w:pStyle w:val="Listecouleur-Accent11"/>
              <w:numPr>
                <w:ilvl w:val="0"/>
                <w:numId w:val="33"/>
              </w:numPr>
              <w:spacing w:after="0" w:line="240" w:lineRule="auto"/>
              <w:ind w:right="355"/>
              <w:rPr>
                <w:rFonts w:ascii="Times New Roman" w:hAnsi="Times New Roman"/>
                <w:sz w:val="24"/>
                <w:szCs w:val="24"/>
                <w:lang w:val="fr-FR"/>
              </w:rPr>
            </w:pPr>
            <w:r w:rsidRPr="001A5B91">
              <w:rPr>
                <w:rFonts w:ascii="Times New Roman" w:hAnsi="Times New Roman"/>
                <w:sz w:val="24"/>
                <w:szCs w:val="24"/>
                <w:lang w:val="fr-FR"/>
              </w:rPr>
              <w:t>Construction des incinérateurs</w:t>
            </w:r>
          </w:p>
          <w:p w:rsidR="001A5B91" w:rsidRPr="001A5B91" w:rsidRDefault="001A5B91" w:rsidP="003046BF">
            <w:pPr>
              <w:pStyle w:val="Listecouleur-Accent11"/>
              <w:numPr>
                <w:ilvl w:val="0"/>
                <w:numId w:val="33"/>
              </w:numPr>
              <w:spacing w:after="0" w:line="240" w:lineRule="auto"/>
              <w:ind w:right="355"/>
              <w:rPr>
                <w:rFonts w:ascii="Times New Roman" w:hAnsi="Times New Roman"/>
                <w:sz w:val="24"/>
                <w:szCs w:val="24"/>
                <w:lang w:val="fr-FR"/>
              </w:rPr>
            </w:pPr>
            <w:r w:rsidRPr="001A5B91">
              <w:rPr>
                <w:rFonts w:ascii="Times New Roman" w:hAnsi="Times New Roman"/>
                <w:sz w:val="24"/>
                <w:szCs w:val="24"/>
                <w:lang w:val="fr-FR"/>
              </w:rPr>
              <w:t>Formation et supervision du personnel</w:t>
            </w:r>
          </w:p>
        </w:tc>
      </w:tr>
      <w:tr w:rsidR="001A5B91" w:rsidRPr="00E0783B" w:rsidTr="001A5B91">
        <w:trPr>
          <w:jc w:val="center"/>
        </w:trPr>
        <w:tc>
          <w:tcPr>
            <w:tcW w:w="2875" w:type="dxa"/>
            <w:vMerge w:val="restart"/>
            <w:shd w:val="clear" w:color="auto" w:fill="auto"/>
          </w:tcPr>
          <w:p w:rsidR="001A5B91" w:rsidRPr="001A5B91" w:rsidRDefault="001A5B91" w:rsidP="008200BE">
            <w:pPr>
              <w:pStyle w:val="Listecouleur-Accent11"/>
              <w:spacing w:after="0" w:line="240" w:lineRule="auto"/>
              <w:ind w:left="0" w:right="355"/>
              <w:jc w:val="both"/>
              <w:rPr>
                <w:rFonts w:ascii="Times New Roman" w:hAnsi="Times New Roman"/>
                <w:sz w:val="24"/>
                <w:szCs w:val="24"/>
                <w:lang w:val="fr-FR"/>
              </w:rPr>
            </w:pPr>
            <w:r w:rsidRPr="001A5B91">
              <w:rPr>
                <w:rFonts w:ascii="Times New Roman" w:hAnsi="Times New Roman"/>
                <w:sz w:val="24"/>
                <w:szCs w:val="24"/>
                <w:lang w:val="fr-FR"/>
              </w:rPr>
              <w:t>Mobilisation communautaire pour l’adoption du VPI : l’acceptabilité, la peur des injections multiples</w:t>
            </w:r>
          </w:p>
        </w:tc>
        <w:tc>
          <w:tcPr>
            <w:tcW w:w="3459" w:type="dxa"/>
            <w:shd w:val="clear" w:color="auto" w:fill="auto"/>
            <w:vAlign w:val="center"/>
          </w:tcPr>
          <w:p w:rsidR="001A5B91" w:rsidRPr="001A5B91" w:rsidRDefault="001A5B91" w:rsidP="008200BE">
            <w:pPr>
              <w:pStyle w:val="Listecouleur-Accent11"/>
              <w:spacing w:after="0" w:line="240" w:lineRule="auto"/>
              <w:ind w:left="0" w:right="355"/>
              <w:rPr>
                <w:rFonts w:ascii="Times New Roman" w:hAnsi="Times New Roman"/>
                <w:sz w:val="24"/>
                <w:szCs w:val="24"/>
                <w:lang w:val="fr-FR"/>
              </w:rPr>
            </w:pPr>
            <w:r w:rsidRPr="001A5B91">
              <w:rPr>
                <w:rFonts w:ascii="Times New Roman" w:hAnsi="Times New Roman"/>
                <w:sz w:val="24"/>
                <w:szCs w:val="24"/>
                <w:lang w:val="fr-FR"/>
              </w:rPr>
              <w:t xml:space="preserve">Acceptation  des injections multiplespar les parents </w:t>
            </w:r>
          </w:p>
        </w:tc>
        <w:tc>
          <w:tcPr>
            <w:tcW w:w="4156" w:type="dxa"/>
            <w:shd w:val="clear" w:color="auto" w:fill="auto"/>
            <w:vAlign w:val="center"/>
          </w:tcPr>
          <w:p w:rsidR="001A5B91" w:rsidRPr="001A5B91" w:rsidRDefault="001A5B91" w:rsidP="003046BF">
            <w:pPr>
              <w:pStyle w:val="Listecouleur-Accent11"/>
              <w:numPr>
                <w:ilvl w:val="0"/>
                <w:numId w:val="33"/>
              </w:numPr>
              <w:spacing w:after="0" w:line="240" w:lineRule="auto"/>
              <w:ind w:right="355"/>
              <w:rPr>
                <w:rFonts w:ascii="Times New Roman" w:hAnsi="Times New Roman"/>
                <w:sz w:val="24"/>
                <w:szCs w:val="24"/>
                <w:lang w:val="fr-FR"/>
              </w:rPr>
            </w:pPr>
            <w:r w:rsidRPr="001A5B91">
              <w:rPr>
                <w:rFonts w:ascii="Times New Roman" w:hAnsi="Times New Roman"/>
                <w:sz w:val="24"/>
                <w:szCs w:val="24"/>
                <w:lang w:val="fr-FR"/>
              </w:rPr>
              <w:t xml:space="preserve">Sensibilisation des parents </w:t>
            </w:r>
          </w:p>
          <w:p w:rsidR="001A5B91" w:rsidRPr="001A5B91" w:rsidRDefault="001A5B91" w:rsidP="003046BF">
            <w:pPr>
              <w:pStyle w:val="Listecouleur-Accent11"/>
              <w:numPr>
                <w:ilvl w:val="0"/>
                <w:numId w:val="33"/>
              </w:numPr>
              <w:spacing w:after="0" w:line="240" w:lineRule="auto"/>
              <w:ind w:right="355"/>
              <w:rPr>
                <w:rFonts w:ascii="Times New Roman" w:hAnsi="Times New Roman"/>
                <w:sz w:val="24"/>
                <w:szCs w:val="24"/>
                <w:lang w:val="fr-FR"/>
              </w:rPr>
            </w:pPr>
            <w:r w:rsidRPr="001A5B91">
              <w:rPr>
                <w:rFonts w:ascii="Times New Roman" w:hAnsi="Times New Roman"/>
                <w:sz w:val="24"/>
                <w:szCs w:val="24"/>
                <w:lang w:val="fr-FR"/>
              </w:rPr>
              <w:t xml:space="preserve">Suivi des cibles par les agents de santé communautaires </w:t>
            </w:r>
          </w:p>
        </w:tc>
      </w:tr>
      <w:tr w:rsidR="001A5B91" w:rsidRPr="001A5B91" w:rsidTr="001A5B91">
        <w:trPr>
          <w:jc w:val="center"/>
        </w:trPr>
        <w:tc>
          <w:tcPr>
            <w:tcW w:w="2875" w:type="dxa"/>
            <w:vMerge/>
            <w:shd w:val="clear" w:color="auto" w:fill="auto"/>
          </w:tcPr>
          <w:p w:rsidR="001A5B91" w:rsidRPr="001A5B91" w:rsidRDefault="001A5B91" w:rsidP="008200BE">
            <w:pPr>
              <w:pStyle w:val="Listecouleur-Accent11"/>
              <w:spacing w:after="0" w:line="240" w:lineRule="auto"/>
              <w:ind w:left="0" w:right="355"/>
              <w:jc w:val="both"/>
              <w:rPr>
                <w:rFonts w:ascii="Times New Roman" w:hAnsi="Times New Roman"/>
                <w:sz w:val="24"/>
                <w:szCs w:val="24"/>
                <w:lang w:val="fr-FR"/>
              </w:rPr>
            </w:pPr>
          </w:p>
        </w:tc>
        <w:tc>
          <w:tcPr>
            <w:tcW w:w="3459" w:type="dxa"/>
            <w:shd w:val="clear" w:color="auto" w:fill="auto"/>
            <w:vAlign w:val="center"/>
          </w:tcPr>
          <w:p w:rsidR="001A5B91" w:rsidRPr="001A5B91" w:rsidRDefault="001A5B91" w:rsidP="008200BE">
            <w:pPr>
              <w:pStyle w:val="Listecouleur-Accent11"/>
              <w:spacing w:after="0" w:line="240" w:lineRule="auto"/>
              <w:ind w:left="0" w:right="355"/>
              <w:rPr>
                <w:rFonts w:ascii="Times New Roman" w:hAnsi="Times New Roman"/>
                <w:sz w:val="24"/>
                <w:szCs w:val="24"/>
                <w:lang w:val="fr-FR"/>
              </w:rPr>
            </w:pPr>
            <w:r w:rsidRPr="001A5B91">
              <w:rPr>
                <w:rFonts w:ascii="Times New Roman" w:hAnsi="Times New Roman"/>
                <w:sz w:val="24"/>
                <w:szCs w:val="24"/>
                <w:lang w:val="fr-FR"/>
              </w:rPr>
              <w:t>Gestion des rumeurs</w:t>
            </w:r>
          </w:p>
        </w:tc>
        <w:tc>
          <w:tcPr>
            <w:tcW w:w="4156" w:type="dxa"/>
            <w:shd w:val="clear" w:color="auto" w:fill="auto"/>
            <w:vAlign w:val="center"/>
          </w:tcPr>
          <w:p w:rsidR="001A5B91" w:rsidRPr="001A5B91" w:rsidRDefault="001A5B91" w:rsidP="003046BF">
            <w:pPr>
              <w:pStyle w:val="Listecouleur-Accent11"/>
              <w:numPr>
                <w:ilvl w:val="0"/>
                <w:numId w:val="33"/>
              </w:numPr>
              <w:spacing w:after="0" w:line="240" w:lineRule="auto"/>
              <w:ind w:right="355"/>
              <w:rPr>
                <w:rFonts w:ascii="Times New Roman" w:hAnsi="Times New Roman"/>
                <w:sz w:val="24"/>
                <w:szCs w:val="24"/>
                <w:lang w:val="fr-FR"/>
              </w:rPr>
            </w:pPr>
            <w:r w:rsidRPr="001A5B91">
              <w:rPr>
                <w:rFonts w:ascii="Times New Roman" w:hAnsi="Times New Roman"/>
                <w:sz w:val="24"/>
                <w:szCs w:val="24"/>
                <w:lang w:val="fr-FR"/>
              </w:rPr>
              <w:t>Formation à la communication de crise</w:t>
            </w:r>
          </w:p>
          <w:p w:rsidR="001A5B91" w:rsidRPr="001A5B91" w:rsidRDefault="001A5B91" w:rsidP="003046BF">
            <w:pPr>
              <w:pStyle w:val="Listecouleur-Accent11"/>
              <w:numPr>
                <w:ilvl w:val="0"/>
                <w:numId w:val="33"/>
              </w:numPr>
              <w:spacing w:after="0" w:line="240" w:lineRule="auto"/>
              <w:ind w:right="355"/>
              <w:rPr>
                <w:rFonts w:ascii="Times New Roman" w:hAnsi="Times New Roman"/>
                <w:sz w:val="24"/>
                <w:szCs w:val="24"/>
                <w:lang w:val="fr-FR"/>
              </w:rPr>
            </w:pPr>
            <w:r w:rsidRPr="001A5B91">
              <w:rPr>
                <w:rFonts w:ascii="Times New Roman" w:hAnsi="Times New Roman"/>
                <w:sz w:val="24"/>
                <w:szCs w:val="24"/>
                <w:lang w:val="fr-FR"/>
              </w:rPr>
              <w:t xml:space="preserve">Sensibilisation des parents </w:t>
            </w:r>
          </w:p>
        </w:tc>
      </w:tr>
      <w:tr w:rsidR="001A5B91" w:rsidRPr="00E0783B" w:rsidTr="001A5B91">
        <w:trPr>
          <w:jc w:val="center"/>
        </w:trPr>
        <w:tc>
          <w:tcPr>
            <w:tcW w:w="2875" w:type="dxa"/>
            <w:shd w:val="clear" w:color="auto" w:fill="auto"/>
            <w:vAlign w:val="center"/>
          </w:tcPr>
          <w:p w:rsidR="001A5B91" w:rsidRPr="001A5B91" w:rsidRDefault="001A5B91" w:rsidP="008200BE">
            <w:pPr>
              <w:pStyle w:val="Listecouleur-Accent11"/>
              <w:spacing w:after="0" w:line="240" w:lineRule="auto"/>
              <w:ind w:left="0" w:right="355"/>
              <w:rPr>
                <w:rFonts w:ascii="Times New Roman" w:hAnsi="Times New Roman"/>
                <w:sz w:val="24"/>
                <w:szCs w:val="24"/>
                <w:lang w:val="fr-FR"/>
              </w:rPr>
            </w:pPr>
            <w:r w:rsidRPr="001A5B91">
              <w:rPr>
                <w:rFonts w:ascii="Times New Roman" w:hAnsi="Times New Roman"/>
                <w:sz w:val="24"/>
                <w:szCs w:val="24"/>
                <w:lang w:val="fr-FR"/>
              </w:rPr>
              <w:t>Financement</w:t>
            </w:r>
          </w:p>
        </w:tc>
        <w:tc>
          <w:tcPr>
            <w:tcW w:w="3459" w:type="dxa"/>
            <w:shd w:val="clear" w:color="auto" w:fill="auto"/>
            <w:vAlign w:val="center"/>
          </w:tcPr>
          <w:p w:rsidR="001A5B91" w:rsidRPr="001A5B91" w:rsidRDefault="001A5B91" w:rsidP="008200BE">
            <w:pPr>
              <w:pStyle w:val="Listecouleur-Accent11"/>
              <w:spacing w:after="0" w:line="240" w:lineRule="auto"/>
              <w:ind w:left="0" w:right="355"/>
              <w:rPr>
                <w:rFonts w:ascii="Times New Roman" w:hAnsi="Times New Roman"/>
                <w:sz w:val="24"/>
                <w:szCs w:val="24"/>
                <w:lang w:val="fr-FR"/>
              </w:rPr>
            </w:pPr>
            <w:r w:rsidRPr="001A5B91">
              <w:rPr>
                <w:rFonts w:ascii="Times New Roman" w:hAnsi="Times New Roman"/>
                <w:sz w:val="24"/>
                <w:szCs w:val="24"/>
                <w:lang w:val="fr-FR"/>
              </w:rPr>
              <w:t>Mobilisation des coûts additionnels liés à l’introduction (chaîne du froid, transport, incinérateurs…</w:t>
            </w:r>
          </w:p>
        </w:tc>
        <w:tc>
          <w:tcPr>
            <w:tcW w:w="4156" w:type="dxa"/>
            <w:shd w:val="clear" w:color="auto" w:fill="auto"/>
            <w:vAlign w:val="center"/>
          </w:tcPr>
          <w:p w:rsidR="001A5B91" w:rsidRPr="001A5B91" w:rsidRDefault="001A5B91" w:rsidP="003046BF">
            <w:pPr>
              <w:pStyle w:val="Listecouleur-Accent11"/>
              <w:numPr>
                <w:ilvl w:val="0"/>
                <w:numId w:val="33"/>
              </w:numPr>
              <w:spacing w:after="0" w:line="240" w:lineRule="auto"/>
              <w:ind w:right="355"/>
              <w:rPr>
                <w:rFonts w:ascii="Times New Roman" w:hAnsi="Times New Roman"/>
                <w:sz w:val="24"/>
                <w:szCs w:val="24"/>
                <w:lang w:val="fr-FR"/>
              </w:rPr>
            </w:pPr>
            <w:r w:rsidRPr="001A5B91">
              <w:rPr>
                <w:rFonts w:ascii="Times New Roman" w:hAnsi="Times New Roman"/>
                <w:sz w:val="24"/>
                <w:szCs w:val="24"/>
                <w:lang w:val="fr-FR"/>
              </w:rPr>
              <w:t>Plaidoyer auprès de l’Etat et des partenaires</w:t>
            </w:r>
          </w:p>
        </w:tc>
      </w:tr>
    </w:tbl>
    <w:p w:rsidR="00536131" w:rsidRDefault="00536131">
      <w:pPr>
        <w:spacing w:after="120"/>
        <w:divId w:val="410156154"/>
        <w:rPr>
          <w:rFonts w:asciiTheme="minorHAnsi" w:eastAsia="SimSun" w:hAnsiTheme="minorHAnsi"/>
          <w:b/>
          <w:color w:val="1F497D" w:themeColor="text2"/>
          <w:sz w:val="28"/>
          <w:szCs w:val="28"/>
          <w:lang w:val="fr-FR"/>
        </w:rPr>
      </w:pPr>
    </w:p>
    <w:p w:rsidR="000A2CB6" w:rsidRPr="00C369C9" w:rsidRDefault="00515293">
      <w:pPr>
        <w:spacing w:after="120"/>
        <w:divId w:val="410156154"/>
        <w:rPr>
          <w:rFonts w:asciiTheme="minorHAnsi" w:eastAsia="SimSun" w:hAnsiTheme="minorHAnsi"/>
          <w:b/>
          <w:color w:val="1F497D" w:themeColor="text2"/>
          <w:sz w:val="28"/>
          <w:szCs w:val="28"/>
          <w:lang w:val="fr-FR"/>
        </w:rPr>
      </w:pPr>
      <w:r w:rsidRPr="00C369C9">
        <w:rPr>
          <w:rFonts w:asciiTheme="minorHAnsi" w:eastAsia="SimSun" w:hAnsiTheme="minorHAnsi"/>
          <w:b/>
          <w:color w:val="1F497D" w:themeColor="text2"/>
          <w:sz w:val="28"/>
          <w:szCs w:val="28"/>
          <w:lang w:val="fr-FR"/>
        </w:rPr>
        <w:lastRenderedPageBreak/>
        <w:t xml:space="preserve">4. Analyse situationnelle du programme de vaccination   </w:t>
      </w:r>
    </w:p>
    <w:p w:rsidR="003F374B" w:rsidRDefault="00515293">
      <w:pPr>
        <w:jc w:val="both"/>
        <w:divId w:val="410156154"/>
        <w:rPr>
          <w:rFonts w:asciiTheme="minorHAnsi" w:hAnsiTheme="minorHAnsi"/>
          <w:bCs/>
          <w:color w:val="1F497D" w:themeColor="text2"/>
          <w:lang w:val="fr-FR"/>
        </w:rPr>
      </w:pPr>
      <w:r w:rsidRPr="00C369C9">
        <w:rPr>
          <w:rFonts w:asciiTheme="minorHAnsi" w:hAnsiTheme="minorHAnsi"/>
          <w:bCs/>
          <w:color w:val="1F497D" w:themeColor="text2"/>
          <w:lang w:val="fr-FR"/>
        </w:rPr>
        <w:t xml:space="preserve">4.1  Contexte général du pays </w:t>
      </w:r>
    </w:p>
    <w:p w:rsidR="000A2CB6" w:rsidRPr="00C369C9" w:rsidRDefault="000A2CB6">
      <w:pPr>
        <w:jc w:val="both"/>
        <w:divId w:val="410156154"/>
        <w:rPr>
          <w:rFonts w:asciiTheme="minorHAnsi" w:hAnsiTheme="minorHAnsi"/>
          <w:bCs/>
          <w:color w:val="1F497D" w:themeColor="text2"/>
          <w:lang w:val="fr-FR"/>
        </w:rPr>
      </w:pPr>
    </w:p>
    <w:p w:rsidR="0085420A" w:rsidRDefault="00515293">
      <w:pPr>
        <w:pStyle w:val="Paragraphedeliste"/>
        <w:numPr>
          <w:ilvl w:val="0"/>
          <w:numId w:val="10"/>
        </w:numPr>
        <w:autoSpaceDE w:val="0"/>
        <w:autoSpaceDN w:val="0"/>
        <w:adjustRightInd w:val="0"/>
        <w:spacing w:after="0" w:line="240" w:lineRule="auto"/>
        <w:ind w:right="115"/>
        <w:jc w:val="both"/>
        <w:divId w:val="410156154"/>
        <w:rPr>
          <w:rFonts w:asciiTheme="minorHAnsi" w:eastAsia="SimSun" w:hAnsiTheme="minorHAnsi" w:cs="Calibri"/>
          <w:color w:val="000000"/>
          <w:highlight w:val="cyan"/>
          <w:lang w:val="fr-FR"/>
        </w:rPr>
      </w:pPr>
      <w:r w:rsidRPr="003215A9">
        <w:rPr>
          <w:rFonts w:asciiTheme="minorHAnsi" w:eastAsia="SimSun" w:hAnsiTheme="minorHAnsi" w:cs="Calibri"/>
          <w:color w:val="000000"/>
          <w:highlight w:val="cyan"/>
          <w:lang w:val="fr-FR"/>
        </w:rPr>
        <w:t xml:space="preserve">Décrire brièvement le contexte national, le système de santé, les priorités en matière de santé et la structure organisationnelle du programme national de vaccination.  </w:t>
      </w:r>
    </w:p>
    <w:p w:rsidR="00FD4940" w:rsidRPr="00CE0C59" w:rsidRDefault="00FD4940" w:rsidP="00FD4940">
      <w:pPr>
        <w:spacing w:before="120"/>
        <w:ind w:left="360" w:right="240"/>
        <w:jc w:val="both"/>
        <w:divId w:val="410156154"/>
        <w:rPr>
          <w:rFonts w:ascii="Arial" w:hAnsi="Arial" w:cs="Arial"/>
          <w:bCs/>
          <w:color w:val="1F497D"/>
          <w:sz w:val="2"/>
          <w:lang w:val="fr-FR"/>
        </w:rPr>
      </w:pPr>
      <w:bookmarkStart w:id="6" w:name="_Toc374908951"/>
    </w:p>
    <w:p w:rsidR="0085420A" w:rsidRPr="0085420A" w:rsidRDefault="0085420A" w:rsidP="00FD4940">
      <w:pPr>
        <w:spacing w:before="120"/>
        <w:ind w:left="360" w:right="240"/>
        <w:jc w:val="both"/>
        <w:divId w:val="410156154"/>
        <w:rPr>
          <w:rFonts w:ascii="Arial" w:hAnsi="Arial" w:cs="Arial"/>
          <w:bCs/>
          <w:color w:val="1F497D"/>
          <w:lang w:val="fr-FR"/>
        </w:rPr>
      </w:pPr>
      <w:r w:rsidRPr="0085420A">
        <w:rPr>
          <w:rFonts w:ascii="Arial" w:hAnsi="Arial" w:cs="Arial"/>
          <w:bCs/>
          <w:color w:val="1F497D"/>
          <w:lang w:val="fr-FR"/>
        </w:rPr>
        <w:t>4.1.1 Contexte géographique</w:t>
      </w:r>
      <w:bookmarkEnd w:id="6"/>
    </w:p>
    <w:p w:rsidR="003F374B" w:rsidRPr="00662771" w:rsidRDefault="003F374B" w:rsidP="00FD4940">
      <w:pPr>
        <w:autoSpaceDE w:val="0"/>
        <w:autoSpaceDN w:val="0"/>
        <w:adjustRightInd w:val="0"/>
        <w:spacing w:before="120" w:after="120"/>
        <w:ind w:right="355"/>
        <w:jc w:val="both"/>
        <w:divId w:val="410156154"/>
        <w:rPr>
          <w:rFonts w:eastAsia="SimSun"/>
          <w:color w:val="000000"/>
          <w:highlight w:val="cyan"/>
          <w:lang w:val="fr-FR"/>
        </w:rPr>
      </w:pPr>
      <w:r w:rsidRPr="00860CC3">
        <w:rPr>
          <w:lang w:val="fr-FR"/>
        </w:rPr>
        <w:t xml:space="preserve">Situé au cœur de l’Afrique de l’Ouest, le Burkina Faso, pays continental, s’étend sur une superficie de 274 200 km². Il est limité au nord et à l’ouest par le Mali, à l’est par le Niger et au sud par le Bénin, le Togo, le Ghana et la Côte d’Ivoire. </w:t>
      </w:r>
    </w:p>
    <w:p w:rsidR="003F374B" w:rsidRPr="00860CC3" w:rsidRDefault="003F374B" w:rsidP="00FD4940">
      <w:pPr>
        <w:keepLines/>
        <w:tabs>
          <w:tab w:val="left" w:pos="426"/>
        </w:tabs>
        <w:spacing w:before="120"/>
        <w:jc w:val="both"/>
        <w:divId w:val="410156154"/>
        <w:rPr>
          <w:lang w:val="fr-FR"/>
        </w:rPr>
      </w:pPr>
      <w:r w:rsidRPr="00860CC3">
        <w:rPr>
          <w:lang w:val="fr-FR"/>
        </w:rPr>
        <w:t xml:space="preserve">Son climat est de type tropical avec une saison pluvieuse d’environ cinq mois (de mai à septembre) et une saison sèche d’environ 7 mois (d’octobre à avril). </w:t>
      </w:r>
    </w:p>
    <w:p w:rsidR="008B016D" w:rsidRPr="00662771" w:rsidRDefault="008B016D" w:rsidP="00FD4940">
      <w:pPr>
        <w:contextualSpacing/>
        <w:jc w:val="both"/>
        <w:divId w:val="410156154"/>
        <w:rPr>
          <w:color w:val="000000"/>
          <w:lang w:val="fr-FR" w:eastAsia="fr-FR"/>
        </w:rPr>
      </w:pPr>
      <w:r w:rsidRPr="00662771">
        <w:rPr>
          <w:color w:val="000000"/>
          <w:lang w:val="fr-FR" w:eastAsia="fr-FR"/>
        </w:rPr>
        <w:t>La végétation</w:t>
      </w:r>
      <w:r w:rsidR="00662771" w:rsidRPr="00860CC3">
        <w:rPr>
          <w:bCs/>
          <w:lang w:val="fr-FR"/>
        </w:rPr>
        <w:t xml:space="preserve"> est de type </w:t>
      </w:r>
      <w:r w:rsidR="00662771" w:rsidRPr="00662771">
        <w:rPr>
          <w:bCs/>
          <w:lang w:val="fr-CA"/>
        </w:rPr>
        <w:t>soudano- sahélien.</w:t>
      </w:r>
    </w:p>
    <w:p w:rsidR="0085420A" w:rsidRPr="00662771" w:rsidRDefault="0085420A" w:rsidP="00FD4940">
      <w:pPr>
        <w:contextualSpacing/>
        <w:jc w:val="both"/>
        <w:divId w:val="410156154"/>
        <w:rPr>
          <w:color w:val="000000"/>
          <w:lang w:val="fr-FR" w:eastAsia="fr-FR"/>
        </w:rPr>
      </w:pPr>
      <w:r w:rsidRPr="00662771">
        <w:rPr>
          <w:color w:val="000000"/>
          <w:lang w:val="fr-FR" w:eastAsia="fr-FR"/>
        </w:rPr>
        <w:t xml:space="preserve">Ce profil climatologique et géomorphologique a une forte influence sur le profil épidémiologique </w:t>
      </w:r>
      <w:r w:rsidR="008B016D" w:rsidRPr="00662771">
        <w:rPr>
          <w:color w:val="000000"/>
          <w:lang w:val="fr-FR" w:eastAsia="fr-FR"/>
        </w:rPr>
        <w:t>du pays</w:t>
      </w:r>
      <w:r w:rsidRPr="00662771">
        <w:rPr>
          <w:color w:val="000000"/>
          <w:lang w:val="fr-FR" w:eastAsia="fr-FR"/>
        </w:rPr>
        <w:t>.</w:t>
      </w:r>
    </w:p>
    <w:p w:rsidR="0085420A" w:rsidRPr="00860CC3" w:rsidRDefault="0085420A" w:rsidP="00FD4940">
      <w:pPr>
        <w:jc w:val="both"/>
        <w:divId w:val="410156154"/>
        <w:rPr>
          <w:lang w:val="fr-FR"/>
        </w:rPr>
      </w:pPr>
    </w:p>
    <w:p w:rsidR="0085420A" w:rsidRDefault="0085420A" w:rsidP="00FD4940">
      <w:pPr>
        <w:ind w:left="600" w:right="360"/>
        <w:jc w:val="both"/>
        <w:divId w:val="410156154"/>
        <w:rPr>
          <w:rFonts w:ascii="Arial" w:hAnsi="Arial" w:cs="Arial"/>
          <w:bCs/>
          <w:color w:val="1F497D"/>
          <w:lang w:val="fr-FR"/>
        </w:rPr>
      </w:pPr>
      <w:bookmarkStart w:id="7" w:name="_Toc374908952"/>
      <w:r w:rsidRPr="00FD2A4E">
        <w:rPr>
          <w:rFonts w:ascii="Arial" w:hAnsi="Arial" w:cs="Arial"/>
          <w:bCs/>
          <w:color w:val="1F497D"/>
          <w:lang w:val="fr-FR"/>
        </w:rPr>
        <w:t>4.</w:t>
      </w:r>
      <w:r>
        <w:rPr>
          <w:rFonts w:ascii="Arial" w:hAnsi="Arial" w:cs="Arial"/>
          <w:bCs/>
          <w:color w:val="1F497D"/>
          <w:lang w:val="fr-FR"/>
        </w:rPr>
        <w:t xml:space="preserve">1.2 </w:t>
      </w:r>
      <w:r w:rsidRPr="00FD2A4E">
        <w:rPr>
          <w:rFonts w:ascii="Arial" w:hAnsi="Arial" w:cs="Arial"/>
          <w:bCs/>
          <w:color w:val="1F497D"/>
          <w:lang w:val="fr-FR"/>
        </w:rPr>
        <w:t>Contexte démographique</w:t>
      </w:r>
      <w:bookmarkEnd w:id="7"/>
    </w:p>
    <w:p w:rsidR="00536131" w:rsidRPr="0085420A" w:rsidRDefault="00536131" w:rsidP="00FD4940">
      <w:pPr>
        <w:ind w:left="600" w:right="360"/>
        <w:jc w:val="both"/>
        <w:divId w:val="410156154"/>
        <w:rPr>
          <w:rFonts w:ascii="Arial" w:hAnsi="Arial" w:cs="Arial"/>
          <w:bCs/>
          <w:color w:val="1F497D"/>
          <w:lang w:val="fr-FR"/>
        </w:rPr>
      </w:pPr>
    </w:p>
    <w:p w:rsidR="003F374B" w:rsidRPr="00860CC3" w:rsidRDefault="003F374B" w:rsidP="00FD4940">
      <w:pPr>
        <w:keepLines/>
        <w:tabs>
          <w:tab w:val="left" w:pos="426"/>
        </w:tabs>
        <w:jc w:val="both"/>
        <w:divId w:val="410156154"/>
        <w:rPr>
          <w:lang w:val="fr-FR"/>
        </w:rPr>
      </w:pPr>
      <w:r w:rsidRPr="00860CC3">
        <w:rPr>
          <w:lang w:val="fr-FR"/>
        </w:rPr>
        <w:t xml:space="preserve">En 2006, selon le Recensement général de la population et de l’habitat (RGPH), la population du Burkina Faso était de 14 017 262 habitants avec une densité </w:t>
      </w:r>
      <w:r w:rsidR="00662771" w:rsidRPr="00860CC3">
        <w:rPr>
          <w:lang w:val="fr-FR"/>
        </w:rPr>
        <w:t>d’environ 51,8 habitants au km²;</w:t>
      </w:r>
      <w:r w:rsidRPr="00860CC3">
        <w:rPr>
          <w:lang w:val="fr-FR"/>
        </w:rPr>
        <w:t xml:space="preserve"> elle croit à un rythme de 3,1% l’an</w:t>
      </w:r>
      <w:r w:rsidR="000421F4" w:rsidRPr="00860CC3">
        <w:rPr>
          <w:lang w:val="fr-FR"/>
        </w:rPr>
        <w:t>.</w:t>
      </w:r>
      <w:r w:rsidRPr="00860CC3">
        <w:rPr>
          <w:lang w:val="fr-FR"/>
        </w:rPr>
        <w:t xml:space="preserve"> Les femmes représentaient 51,7% contre 48,3% d’hommes de la population globale. </w:t>
      </w:r>
    </w:p>
    <w:p w:rsidR="003F374B" w:rsidRPr="00860CC3" w:rsidRDefault="003F374B" w:rsidP="00FD4940">
      <w:pPr>
        <w:keepLines/>
        <w:tabs>
          <w:tab w:val="left" w:pos="426"/>
        </w:tabs>
        <w:jc w:val="both"/>
        <w:divId w:val="410156154"/>
        <w:rPr>
          <w:lang w:val="fr-FR"/>
        </w:rPr>
      </w:pPr>
      <w:r w:rsidRPr="00860CC3">
        <w:rPr>
          <w:lang w:val="fr-FR"/>
        </w:rPr>
        <w:t>En 2014, la population est estimée à 17 880 386 habitants</w:t>
      </w:r>
      <w:r w:rsidRPr="000421F4">
        <w:footnoteReference w:id="2"/>
      </w:r>
      <w:r w:rsidRPr="00860CC3">
        <w:rPr>
          <w:lang w:val="fr-FR"/>
        </w:rPr>
        <w:t>.</w:t>
      </w:r>
    </w:p>
    <w:p w:rsidR="000421F4" w:rsidRPr="00860CC3" w:rsidRDefault="003F374B" w:rsidP="00FD4940">
      <w:pPr>
        <w:jc w:val="both"/>
        <w:divId w:val="410156154"/>
        <w:rPr>
          <w:bCs/>
          <w:lang w:val="fr-FR"/>
        </w:rPr>
      </w:pPr>
      <w:r w:rsidRPr="00860CC3">
        <w:rPr>
          <w:lang w:val="fr-FR"/>
        </w:rPr>
        <w:t>Le taux brut de natalité est de 46 pour mille</w:t>
      </w:r>
      <w:r w:rsidR="000421F4" w:rsidRPr="00860CC3">
        <w:rPr>
          <w:lang w:val="fr-FR"/>
        </w:rPr>
        <w:t>,</w:t>
      </w:r>
      <w:r w:rsidR="000421F4" w:rsidRPr="00860CC3">
        <w:rPr>
          <w:bCs/>
          <w:lang w:val="fr-FR"/>
        </w:rPr>
        <w:t xml:space="preserve"> celui de la mortalité générale de 11,8 pour mille et de la morbidité de 8,4 pour mille</w:t>
      </w:r>
      <w:r w:rsidRPr="00860CC3">
        <w:rPr>
          <w:lang w:val="fr-FR"/>
        </w:rPr>
        <w:t xml:space="preserve">. La population est essentiellement jeune. La </w:t>
      </w:r>
      <w:r w:rsidR="000421F4" w:rsidRPr="00860CC3">
        <w:rPr>
          <w:lang w:val="fr-FR"/>
        </w:rPr>
        <w:t>tranche d’âge</w:t>
      </w:r>
      <w:r w:rsidRPr="00860CC3">
        <w:rPr>
          <w:lang w:val="fr-FR"/>
        </w:rPr>
        <w:t xml:space="preserve"> de 0 à 15 ans est de 46</w:t>
      </w:r>
      <w:r w:rsidR="000421F4" w:rsidRPr="00860CC3">
        <w:rPr>
          <w:lang w:val="fr-FR"/>
        </w:rPr>
        <w:t>, 4</w:t>
      </w:r>
      <w:r w:rsidRPr="00860CC3">
        <w:rPr>
          <w:lang w:val="fr-FR"/>
        </w:rPr>
        <w:t>%. L’indice synthétique de fécondité (ISF) est d</w:t>
      </w:r>
      <w:bookmarkStart w:id="8" w:name="_Toc289417456"/>
      <w:r w:rsidRPr="00860CC3">
        <w:rPr>
          <w:lang w:val="fr-FR"/>
        </w:rPr>
        <w:t>e 6</w:t>
      </w:r>
      <w:r w:rsidR="00377E60" w:rsidRPr="00860CC3">
        <w:rPr>
          <w:lang w:val="fr-FR"/>
        </w:rPr>
        <w:t>, 2</w:t>
      </w:r>
      <w:r w:rsidRPr="00860CC3">
        <w:rPr>
          <w:lang w:val="fr-FR"/>
        </w:rPr>
        <w:t xml:space="preserve"> pour l’ensemble du pays. </w:t>
      </w:r>
      <w:r w:rsidR="000421F4" w:rsidRPr="00860CC3">
        <w:rPr>
          <w:bCs/>
          <w:lang w:val="fr-FR"/>
        </w:rPr>
        <w:t>L’espérance de vie à la naissance est de 56</w:t>
      </w:r>
      <w:r w:rsidR="00377E60" w:rsidRPr="00860CC3">
        <w:rPr>
          <w:bCs/>
          <w:lang w:val="fr-FR"/>
        </w:rPr>
        <w:t>, 7</w:t>
      </w:r>
      <w:r w:rsidR="000421F4" w:rsidRPr="00860CC3">
        <w:rPr>
          <w:bCs/>
          <w:lang w:val="fr-FR"/>
        </w:rPr>
        <w:t xml:space="preserve"> ans. </w:t>
      </w:r>
    </w:p>
    <w:p w:rsidR="003F374B" w:rsidRPr="00860CC3" w:rsidRDefault="003F374B" w:rsidP="00FD4940">
      <w:pPr>
        <w:keepLines/>
        <w:tabs>
          <w:tab w:val="left" w:pos="426"/>
        </w:tabs>
        <w:jc w:val="both"/>
        <w:divId w:val="410156154"/>
        <w:rPr>
          <w:lang w:val="fr-FR"/>
        </w:rPr>
      </w:pPr>
    </w:p>
    <w:bookmarkEnd w:id="8"/>
    <w:p w:rsidR="003F374B" w:rsidRPr="00860CC3" w:rsidRDefault="003F374B" w:rsidP="00FD4940">
      <w:pPr>
        <w:keepLines/>
        <w:tabs>
          <w:tab w:val="left" w:pos="426"/>
        </w:tabs>
        <w:jc w:val="both"/>
        <w:divId w:val="410156154"/>
        <w:rPr>
          <w:lang w:val="fr-FR"/>
        </w:rPr>
      </w:pPr>
      <w:r w:rsidRPr="00860CC3">
        <w:rPr>
          <w:lang w:val="fr-FR"/>
        </w:rPr>
        <w:t>Les principaux indicateurs sanitaires de l’Enquête Démographique et de Santé et à Indicateurs Multiples (EDSBF-MICS IV) 2010 montrent que des progrès ont été réalisés mais que l’état de santé de la mère et de l’enfant reste préoccupant :</w:t>
      </w:r>
    </w:p>
    <w:p w:rsidR="003F374B" w:rsidRPr="00860CC3" w:rsidRDefault="003F374B" w:rsidP="003046BF">
      <w:pPr>
        <w:keepLines/>
        <w:numPr>
          <w:ilvl w:val="0"/>
          <w:numId w:val="36"/>
        </w:numPr>
        <w:tabs>
          <w:tab w:val="left" w:pos="426"/>
        </w:tabs>
        <w:jc w:val="both"/>
        <w:divId w:val="410156154"/>
        <w:rPr>
          <w:lang w:val="fr-FR"/>
        </w:rPr>
      </w:pPr>
      <w:r w:rsidRPr="00860CC3">
        <w:rPr>
          <w:lang w:val="fr-FR"/>
        </w:rPr>
        <w:t>taux de mortalité maternelle : 341 pour 100 000 naissances vivantes</w:t>
      </w:r>
    </w:p>
    <w:p w:rsidR="003F374B" w:rsidRPr="00B07DCD" w:rsidRDefault="003F374B" w:rsidP="003046BF">
      <w:pPr>
        <w:keepLines/>
        <w:numPr>
          <w:ilvl w:val="0"/>
          <w:numId w:val="36"/>
        </w:numPr>
        <w:tabs>
          <w:tab w:val="left" w:pos="426"/>
        </w:tabs>
        <w:jc w:val="both"/>
        <w:divId w:val="410156154"/>
      </w:pPr>
      <w:r w:rsidRPr="00B07DCD">
        <w:t>taux de mortalité infantile : 65‰</w:t>
      </w:r>
    </w:p>
    <w:p w:rsidR="00920AF2" w:rsidRPr="00860CC3" w:rsidRDefault="003F374B" w:rsidP="003046BF">
      <w:pPr>
        <w:keepLines/>
        <w:numPr>
          <w:ilvl w:val="0"/>
          <w:numId w:val="36"/>
        </w:numPr>
        <w:tabs>
          <w:tab w:val="left" w:pos="426"/>
        </w:tabs>
        <w:ind w:right="120"/>
        <w:jc w:val="both"/>
        <w:divId w:val="410156154"/>
        <w:rPr>
          <w:b/>
          <w:lang w:val="fr-FR"/>
        </w:rPr>
      </w:pPr>
      <w:r w:rsidRPr="00860CC3">
        <w:rPr>
          <w:lang w:val="fr-FR"/>
        </w:rPr>
        <w:t>taux de mortalité infanto- juvénile : 129‰</w:t>
      </w:r>
      <w:bookmarkStart w:id="9" w:name="_Toc374908953"/>
    </w:p>
    <w:p w:rsidR="008200BE" w:rsidRPr="00860CC3" w:rsidRDefault="008200BE" w:rsidP="008200BE">
      <w:pPr>
        <w:keepLines/>
        <w:tabs>
          <w:tab w:val="left" w:pos="426"/>
        </w:tabs>
        <w:ind w:right="120"/>
        <w:jc w:val="both"/>
        <w:divId w:val="410156154"/>
        <w:rPr>
          <w:b/>
          <w:lang w:val="fr-FR"/>
        </w:rPr>
      </w:pPr>
    </w:p>
    <w:p w:rsidR="008B016D" w:rsidRDefault="008B016D" w:rsidP="00FD4940">
      <w:pPr>
        <w:spacing w:before="120"/>
        <w:ind w:left="360" w:right="480"/>
        <w:jc w:val="both"/>
        <w:divId w:val="410156154"/>
        <w:rPr>
          <w:rFonts w:ascii="Arial" w:hAnsi="Arial" w:cs="Arial"/>
          <w:bCs/>
          <w:color w:val="1F497D"/>
          <w:lang w:val="fr-FR"/>
        </w:rPr>
      </w:pPr>
      <w:r w:rsidRPr="008B016D">
        <w:rPr>
          <w:rFonts w:ascii="Arial" w:hAnsi="Arial" w:cs="Arial"/>
          <w:bCs/>
          <w:color w:val="1F497D"/>
          <w:lang w:val="fr-FR"/>
        </w:rPr>
        <w:t>4.1.3 Contexte administratif</w:t>
      </w:r>
      <w:bookmarkEnd w:id="9"/>
    </w:p>
    <w:p w:rsidR="00536131" w:rsidRPr="00CE0C59" w:rsidRDefault="00536131" w:rsidP="00FD4940">
      <w:pPr>
        <w:spacing w:before="120"/>
        <w:ind w:left="360" w:right="480"/>
        <w:jc w:val="both"/>
        <w:divId w:val="410156154"/>
        <w:rPr>
          <w:rFonts w:ascii="Arial" w:hAnsi="Arial" w:cs="Arial"/>
          <w:bCs/>
          <w:color w:val="1F497D"/>
          <w:sz w:val="2"/>
          <w:lang w:val="fr-FR"/>
        </w:rPr>
      </w:pPr>
    </w:p>
    <w:p w:rsidR="00920AF2" w:rsidRPr="000421F4" w:rsidRDefault="00920AF2" w:rsidP="00FD4940">
      <w:pPr>
        <w:pStyle w:val="Corpsdetexte21"/>
        <w:widowControl/>
        <w:divId w:val="410156154"/>
        <w:rPr>
          <w:rFonts w:ascii="Times New Roman" w:hAnsi="Times New Roman" w:cs="Times New Roman"/>
          <w:bCs/>
          <w:lang w:val="fr-BE"/>
        </w:rPr>
      </w:pPr>
      <w:r w:rsidRPr="00920AF2">
        <w:rPr>
          <w:rFonts w:ascii="Times New Roman" w:hAnsi="Times New Roman" w:cs="Times New Roman"/>
          <w:bCs/>
          <w:lang w:val="fr-BE"/>
        </w:rPr>
        <w:t xml:space="preserve">Depuis 1991, le Burkina Faso s’est doté d’une nouvelle constitution qui a permis l’installation de la démocratie et du multipartisme. Ce régime constitutionnel comprend trois pouvoirs : l’exécutif, le législatif et </w:t>
      </w:r>
      <w:proofErr w:type="gramStart"/>
      <w:r w:rsidRPr="00920AF2">
        <w:rPr>
          <w:rFonts w:ascii="Times New Roman" w:hAnsi="Times New Roman" w:cs="Times New Roman"/>
          <w:bCs/>
          <w:lang w:val="fr-BE"/>
        </w:rPr>
        <w:t>le</w:t>
      </w:r>
      <w:proofErr w:type="gramEnd"/>
      <w:r w:rsidRPr="00920AF2">
        <w:rPr>
          <w:rFonts w:ascii="Times New Roman" w:hAnsi="Times New Roman" w:cs="Times New Roman"/>
          <w:bCs/>
          <w:lang w:val="fr-BE"/>
        </w:rPr>
        <w:t xml:space="preserve"> judiciaire.</w:t>
      </w:r>
    </w:p>
    <w:p w:rsidR="00920AF2" w:rsidRPr="00860CC3" w:rsidRDefault="00920AF2" w:rsidP="00FD4940">
      <w:pPr>
        <w:jc w:val="both"/>
        <w:divId w:val="410156154"/>
        <w:rPr>
          <w:bCs/>
          <w:lang w:val="fr-FR"/>
        </w:rPr>
      </w:pPr>
      <w:r w:rsidRPr="00860CC3">
        <w:rPr>
          <w:bCs/>
          <w:lang w:val="fr-FR"/>
        </w:rPr>
        <w:t xml:space="preserve">Le territoire national </w:t>
      </w:r>
      <w:r w:rsidRPr="00860CC3">
        <w:rPr>
          <w:lang w:val="fr-FR"/>
        </w:rPr>
        <w:t>est subdivisé en 13 régions, 45 provinces, 350 départements, 351 communes et 8228 villages</w:t>
      </w:r>
      <w:r w:rsidRPr="00860CC3">
        <w:rPr>
          <w:bCs/>
          <w:lang w:val="fr-FR"/>
        </w:rPr>
        <w:t xml:space="preserve">. </w:t>
      </w:r>
    </w:p>
    <w:p w:rsidR="00920AF2" w:rsidRPr="00860CC3" w:rsidRDefault="00920AF2" w:rsidP="00FD4940">
      <w:pPr>
        <w:jc w:val="both"/>
        <w:divId w:val="410156154"/>
        <w:rPr>
          <w:bCs/>
          <w:lang w:val="fr-FR"/>
        </w:rPr>
      </w:pPr>
      <w:r w:rsidRPr="00860CC3">
        <w:rPr>
          <w:bCs/>
          <w:lang w:val="fr-FR"/>
        </w:rPr>
        <w:t xml:space="preserve">La région et la commune sont des collectivités locales dotées de la personnalité morale et de l’autonomie financière. </w:t>
      </w:r>
    </w:p>
    <w:p w:rsidR="00920AF2" w:rsidRPr="00860CC3" w:rsidRDefault="00920AF2" w:rsidP="00FD4940">
      <w:pPr>
        <w:ind w:right="120"/>
        <w:jc w:val="both"/>
        <w:divId w:val="410156154"/>
        <w:rPr>
          <w:lang w:val="fr-FR"/>
        </w:rPr>
      </w:pPr>
      <w:r w:rsidRPr="00860CC3">
        <w:rPr>
          <w:lang w:val="fr-FR"/>
        </w:rPr>
        <w:lastRenderedPageBreak/>
        <w:t>Les circonscriptions administratives sont la région, la province, le département et le village.</w:t>
      </w:r>
    </w:p>
    <w:p w:rsidR="00920AF2" w:rsidRPr="00860CC3" w:rsidRDefault="00920AF2" w:rsidP="00FD4940">
      <w:pPr>
        <w:jc w:val="both"/>
        <w:divId w:val="410156154"/>
        <w:rPr>
          <w:bCs/>
          <w:lang w:val="fr-FR"/>
        </w:rPr>
      </w:pPr>
      <w:r w:rsidRPr="00860CC3">
        <w:rPr>
          <w:bCs/>
          <w:lang w:val="fr-FR"/>
        </w:rPr>
        <w:t>Le processus de décentralisation administrative est effectif depuis 2004 avec la communalisation intégrale.</w:t>
      </w:r>
    </w:p>
    <w:p w:rsidR="00920AF2" w:rsidRPr="00860CC3" w:rsidRDefault="00920AF2" w:rsidP="00FD4940">
      <w:pPr>
        <w:jc w:val="both"/>
        <w:divId w:val="410156154"/>
        <w:rPr>
          <w:bCs/>
          <w:lang w:val="fr-FR"/>
        </w:rPr>
      </w:pPr>
    </w:p>
    <w:p w:rsidR="008B016D" w:rsidRPr="007C5B3F" w:rsidRDefault="008B016D" w:rsidP="00FD4940">
      <w:pPr>
        <w:ind w:right="120"/>
        <w:jc w:val="both"/>
        <w:divId w:val="410156154"/>
        <w:rPr>
          <w:sz w:val="14"/>
          <w:lang w:val="fr-FR"/>
        </w:rPr>
      </w:pPr>
      <w:bookmarkStart w:id="10" w:name="_Toc374908954"/>
    </w:p>
    <w:p w:rsidR="008B016D" w:rsidRDefault="008B016D" w:rsidP="00FD4940">
      <w:pPr>
        <w:ind w:right="120"/>
        <w:jc w:val="both"/>
        <w:divId w:val="410156154"/>
        <w:rPr>
          <w:bCs/>
          <w:color w:val="1F497D"/>
          <w:lang w:val="fr-FR"/>
        </w:rPr>
      </w:pPr>
      <w:r w:rsidRPr="008200BE">
        <w:rPr>
          <w:bCs/>
          <w:color w:val="1F497D"/>
          <w:lang w:val="fr-FR"/>
        </w:rPr>
        <w:t>4..1.4 Contexte socioculturel</w:t>
      </w:r>
      <w:bookmarkEnd w:id="10"/>
    </w:p>
    <w:p w:rsidR="00536131" w:rsidRPr="00CE0C59" w:rsidRDefault="00536131" w:rsidP="00FD4940">
      <w:pPr>
        <w:ind w:right="120"/>
        <w:jc w:val="both"/>
        <w:divId w:val="410156154"/>
        <w:rPr>
          <w:bCs/>
          <w:color w:val="1F497D"/>
          <w:sz w:val="4"/>
          <w:lang w:val="fr-FR"/>
        </w:rPr>
      </w:pPr>
    </w:p>
    <w:p w:rsidR="00377E60" w:rsidRPr="00860CC3" w:rsidRDefault="00377E60" w:rsidP="00FD4940">
      <w:pPr>
        <w:jc w:val="both"/>
        <w:divId w:val="410156154"/>
        <w:rPr>
          <w:bCs/>
          <w:lang w:val="fr-FR"/>
        </w:rPr>
      </w:pPr>
      <w:bookmarkStart w:id="11" w:name="_Toc374908956"/>
      <w:r w:rsidRPr="00860CC3">
        <w:rPr>
          <w:bCs/>
          <w:lang w:val="fr-FR"/>
        </w:rPr>
        <w:t>La population du Burkina Faso comprend une soixantaine de groupes ethnolinguistiques. Les Mossis représentent 48, 5% de la population. Les principales langues parlées sont le moré, le dioula et le fulfuldé. La langue officielle est le français.</w:t>
      </w:r>
    </w:p>
    <w:p w:rsidR="00377E60" w:rsidRPr="00860CC3" w:rsidRDefault="00377E60" w:rsidP="00FD4940">
      <w:pPr>
        <w:jc w:val="both"/>
        <w:divId w:val="410156154"/>
        <w:rPr>
          <w:bCs/>
          <w:lang w:val="fr-FR"/>
        </w:rPr>
      </w:pPr>
    </w:p>
    <w:p w:rsidR="00377E60" w:rsidRPr="00860CC3" w:rsidRDefault="00377E60" w:rsidP="00FD4940">
      <w:pPr>
        <w:jc w:val="both"/>
        <w:divId w:val="410156154"/>
        <w:rPr>
          <w:bCs/>
          <w:lang w:val="fr-FR"/>
        </w:rPr>
      </w:pPr>
      <w:r w:rsidRPr="00860CC3">
        <w:rPr>
          <w:bCs/>
          <w:lang w:val="fr-FR"/>
        </w:rPr>
        <w:t>Les principales religions sont : l’islam 60,5%, le christianisme 23,2% et l’animisme  15,3%.</w:t>
      </w:r>
    </w:p>
    <w:p w:rsidR="00377E60" w:rsidRPr="00860CC3" w:rsidRDefault="00377E60" w:rsidP="00FD4940">
      <w:pPr>
        <w:jc w:val="both"/>
        <w:divId w:val="410156154"/>
        <w:rPr>
          <w:bCs/>
          <w:lang w:val="fr-FR"/>
        </w:rPr>
      </w:pPr>
    </w:p>
    <w:p w:rsidR="00377E60" w:rsidRPr="00860CC3" w:rsidRDefault="00377E60" w:rsidP="00CB7F36">
      <w:pPr>
        <w:jc w:val="both"/>
        <w:divId w:val="410156154"/>
        <w:rPr>
          <w:bCs/>
          <w:lang w:val="fr-FR"/>
        </w:rPr>
      </w:pPr>
      <w:r w:rsidRPr="00860CC3">
        <w:rPr>
          <w:bCs/>
          <w:lang w:val="fr-FR"/>
        </w:rPr>
        <w:t xml:space="preserve">Le taux brut de scolarisation  dans l’enseignement de base est passé de </w:t>
      </w:r>
      <w:r w:rsidR="00CB7F36" w:rsidRPr="00860CC3">
        <w:rPr>
          <w:bCs/>
          <w:lang w:val="fr-FR"/>
        </w:rPr>
        <w:t>72</w:t>
      </w:r>
      <w:r w:rsidRPr="00860CC3">
        <w:rPr>
          <w:bCs/>
          <w:lang w:val="fr-FR"/>
        </w:rPr>
        <w:t>,</w:t>
      </w:r>
      <w:r w:rsidR="00CB7F36" w:rsidRPr="00860CC3">
        <w:rPr>
          <w:bCs/>
          <w:lang w:val="fr-FR"/>
        </w:rPr>
        <w:t>4 % en 2008-2009</w:t>
      </w:r>
      <w:r w:rsidRPr="00860CC3">
        <w:rPr>
          <w:bCs/>
          <w:lang w:val="fr-FR"/>
        </w:rPr>
        <w:t xml:space="preserve"> à </w:t>
      </w:r>
      <w:r w:rsidR="00CB7F36" w:rsidRPr="00860CC3">
        <w:rPr>
          <w:bCs/>
          <w:lang w:val="fr-FR"/>
        </w:rPr>
        <w:t>83 % pour la rentrée scolaire 2013-2014</w:t>
      </w:r>
      <w:r w:rsidRPr="00860CC3">
        <w:rPr>
          <w:bCs/>
          <w:lang w:val="fr-FR"/>
        </w:rPr>
        <w:t>. En 20</w:t>
      </w:r>
      <w:r w:rsidR="00CB7F36" w:rsidRPr="00860CC3">
        <w:rPr>
          <w:bCs/>
          <w:lang w:val="fr-FR"/>
        </w:rPr>
        <w:t>14</w:t>
      </w:r>
      <w:r w:rsidRPr="00860CC3">
        <w:rPr>
          <w:bCs/>
          <w:lang w:val="fr-FR"/>
        </w:rPr>
        <w:t xml:space="preserve">, </w:t>
      </w:r>
      <w:r w:rsidR="00FF6E71" w:rsidRPr="00860CC3">
        <w:rPr>
          <w:bCs/>
          <w:lang w:val="fr-FR"/>
        </w:rPr>
        <w:t>le taux</w:t>
      </w:r>
      <w:r w:rsidRPr="00860CC3">
        <w:rPr>
          <w:bCs/>
          <w:lang w:val="fr-FR"/>
        </w:rPr>
        <w:t xml:space="preserve">  de scolarisation chez  les filles était de </w:t>
      </w:r>
      <w:r w:rsidR="00CB7F36" w:rsidRPr="00860CC3">
        <w:rPr>
          <w:bCs/>
          <w:lang w:val="fr-FR"/>
        </w:rPr>
        <w:t>83,2</w:t>
      </w:r>
      <w:r w:rsidRPr="00860CC3">
        <w:rPr>
          <w:bCs/>
          <w:lang w:val="fr-FR"/>
        </w:rPr>
        <w:t xml:space="preserve">%  et de </w:t>
      </w:r>
      <w:r w:rsidR="00CB7F36" w:rsidRPr="00860CC3">
        <w:rPr>
          <w:bCs/>
          <w:lang w:val="fr-FR"/>
        </w:rPr>
        <w:t>82</w:t>
      </w:r>
      <w:r w:rsidRPr="00860CC3">
        <w:rPr>
          <w:bCs/>
          <w:lang w:val="fr-FR"/>
        </w:rPr>
        <w:t>,8% chez les garçons.</w:t>
      </w:r>
      <w:r w:rsidR="00FF6E71" w:rsidRPr="00860CC3">
        <w:rPr>
          <w:bCs/>
          <w:lang w:val="fr-FR"/>
        </w:rPr>
        <w:t xml:space="preserve"> (Annuaire statistique 2008-2009 et 2013-2014), DEP-MENA</w:t>
      </w:r>
    </w:p>
    <w:p w:rsidR="00377E60" w:rsidRPr="00860CC3" w:rsidRDefault="00377E60" w:rsidP="00FD4940">
      <w:pPr>
        <w:jc w:val="both"/>
        <w:divId w:val="410156154"/>
        <w:rPr>
          <w:bCs/>
          <w:lang w:val="fr-FR"/>
        </w:rPr>
      </w:pPr>
    </w:p>
    <w:p w:rsidR="00377E60" w:rsidRPr="00860CC3" w:rsidRDefault="00377E60" w:rsidP="00FD4940">
      <w:pPr>
        <w:jc w:val="both"/>
        <w:divId w:val="410156154"/>
        <w:rPr>
          <w:bCs/>
          <w:color w:val="FF0000"/>
          <w:lang w:val="fr-FR"/>
        </w:rPr>
      </w:pPr>
      <w:r w:rsidRPr="00860CC3">
        <w:rPr>
          <w:bCs/>
          <w:lang w:val="fr-FR"/>
        </w:rPr>
        <w:t>Le taux d’alphabétisation des adultes au niveau national est passé de 25% en 2003 à 26,2% en 2006. (Annuair</w:t>
      </w:r>
      <w:r w:rsidR="00FF6E71" w:rsidRPr="00860CC3">
        <w:rPr>
          <w:bCs/>
          <w:lang w:val="fr-FR"/>
        </w:rPr>
        <w:t>e statistique 2009-2010, DEP-MEN</w:t>
      </w:r>
      <w:r w:rsidRPr="00860CC3">
        <w:rPr>
          <w:bCs/>
          <w:lang w:val="fr-FR"/>
        </w:rPr>
        <w:t>A).</w:t>
      </w:r>
    </w:p>
    <w:p w:rsidR="008B016D" w:rsidRPr="008200BE" w:rsidRDefault="008B016D" w:rsidP="00FD4940">
      <w:pPr>
        <w:ind w:right="720"/>
        <w:jc w:val="both"/>
        <w:divId w:val="410156154"/>
        <w:rPr>
          <w:bCs/>
          <w:color w:val="1F497D"/>
          <w:lang w:val="fr-FR"/>
        </w:rPr>
      </w:pPr>
    </w:p>
    <w:p w:rsidR="008B016D" w:rsidRDefault="008B016D" w:rsidP="00FD4940">
      <w:pPr>
        <w:ind w:left="600" w:right="720"/>
        <w:jc w:val="both"/>
        <w:divId w:val="410156154"/>
        <w:rPr>
          <w:bCs/>
          <w:color w:val="1F497D"/>
          <w:lang w:val="fr-FR"/>
        </w:rPr>
      </w:pPr>
      <w:r w:rsidRPr="008200BE">
        <w:rPr>
          <w:bCs/>
          <w:color w:val="1F497D"/>
          <w:lang w:val="fr-FR"/>
        </w:rPr>
        <w:t>4.1.5 Contexte économique</w:t>
      </w:r>
      <w:bookmarkEnd w:id="11"/>
    </w:p>
    <w:p w:rsidR="00536131" w:rsidRPr="008200BE" w:rsidRDefault="00536131" w:rsidP="00FD4940">
      <w:pPr>
        <w:ind w:left="600" w:right="720"/>
        <w:jc w:val="both"/>
        <w:divId w:val="410156154"/>
        <w:rPr>
          <w:bCs/>
          <w:color w:val="1F497D"/>
          <w:lang w:val="fr-FR"/>
        </w:rPr>
      </w:pPr>
    </w:p>
    <w:p w:rsidR="00144514" w:rsidRPr="00860CC3" w:rsidRDefault="00144514" w:rsidP="007B3AAA">
      <w:pPr>
        <w:jc w:val="both"/>
        <w:divId w:val="410156154"/>
        <w:rPr>
          <w:bCs/>
          <w:lang w:val="fr-FR"/>
        </w:rPr>
      </w:pPr>
      <w:r w:rsidRPr="00860CC3">
        <w:rPr>
          <w:bCs/>
          <w:lang w:val="fr-FR"/>
        </w:rPr>
        <w:t>Au p</w:t>
      </w:r>
      <w:r w:rsidR="00A91E4B" w:rsidRPr="00860CC3">
        <w:rPr>
          <w:bCs/>
          <w:lang w:val="fr-FR"/>
        </w:rPr>
        <w:t>lan économique en 2012, le PIB est</w:t>
      </w:r>
      <w:r w:rsidRPr="00860CC3">
        <w:rPr>
          <w:bCs/>
          <w:lang w:val="fr-FR"/>
        </w:rPr>
        <w:t xml:space="preserve"> de l’ordre de </w:t>
      </w:r>
      <w:r w:rsidR="00A91E4B" w:rsidRPr="00860CC3">
        <w:rPr>
          <w:bCs/>
          <w:lang w:val="fr-FR"/>
        </w:rPr>
        <w:t>225 259 F CFA. Le pourcentage de la population totale vivant en des</w:t>
      </w:r>
      <w:r w:rsidR="004D72B5">
        <w:rPr>
          <w:bCs/>
          <w:lang w:val="fr-FR"/>
        </w:rPr>
        <w:t>s</w:t>
      </w:r>
      <w:r w:rsidR="00A91E4B" w:rsidRPr="00860CC3">
        <w:rPr>
          <w:bCs/>
          <w:lang w:val="fr-FR"/>
        </w:rPr>
        <w:t xml:space="preserve">ous du seuil de pauvreté est de 43,9% (EICVM 2010).  </w:t>
      </w:r>
    </w:p>
    <w:p w:rsidR="00144514" w:rsidRPr="00860CC3" w:rsidRDefault="00144514" w:rsidP="007B3AAA">
      <w:pPr>
        <w:jc w:val="both"/>
        <w:divId w:val="410156154"/>
        <w:rPr>
          <w:bCs/>
          <w:lang w:val="fr-FR"/>
        </w:rPr>
      </w:pPr>
      <w:r w:rsidRPr="00860CC3">
        <w:rPr>
          <w:bCs/>
          <w:lang w:val="fr-FR"/>
        </w:rPr>
        <w:t xml:space="preserve">La pauvreté apparaît comme un phénomène de masse au Burkina Faso. Elle frappe principalement le milieu rural. </w:t>
      </w:r>
      <w:r w:rsidR="00A91E4B" w:rsidRPr="00860CC3">
        <w:rPr>
          <w:bCs/>
          <w:lang w:val="fr-FR"/>
        </w:rPr>
        <w:t>L’incidence de la pauvreté en milieu urbain est de 19,9% contre 50,7% en milieu rural.</w:t>
      </w:r>
    </w:p>
    <w:p w:rsidR="00144514" w:rsidRPr="00860CC3" w:rsidRDefault="00144514" w:rsidP="00FD4940">
      <w:pPr>
        <w:jc w:val="both"/>
        <w:divId w:val="410156154"/>
        <w:rPr>
          <w:sz w:val="22"/>
          <w:szCs w:val="22"/>
          <w:lang w:val="fr-FR"/>
        </w:rPr>
      </w:pPr>
    </w:p>
    <w:p w:rsidR="00144514" w:rsidRPr="00860CC3" w:rsidRDefault="00144514" w:rsidP="007B3AAA">
      <w:pPr>
        <w:jc w:val="both"/>
        <w:divId w:val="410156154"/>
        <w:rPr>
          <w:bCs/>
          <w:color w:val="FF0000"/>
          <w:lang w:val="fr-FR"/>
        </w:rPr>
      </w:pPr>
      <w:r w:rsidRPr="00860CC3">
        <w:rPr>
          <w:bCs/>
          <w:lang w:val="fr-FR"/>
        </w:rPr>
        <w:t>Selon le rapport mondial sur le Développement Humain Durable de 201</w:t>
      </w:r>
      <w:r w:rsidR="007B3AAA" w:rsidRPr="00860CC3">
        <w:rPr>
          <w:bCs/>
          <w:lang w:val="fr-FR"/>
        </w:rPr>
        <w:t>2</w:t>
      </w:r>
      <w:r w:rsidRPr="00860CC3">
        <w:rPr>
          <w:bCs/>
          <w:lang w:val="fr-FR"/>
        </w:rPr>
        <w:t>, le Burkina Faso est placé au 18</w:t>
      </w:r>
      <w:r w:rsidR="007B3AAA" w:rsidRPr="00860CC3">
        <w:rPr>
          <w:bCs/>
          <w:lang w:val="fr-FR"/>
        </w:rPr>
        <w:t>3</w:t>
      </w:r>
      <w:r w:rsidRPr="00860CC3">
        <w:rPr>
          <w:bCs/>
          <w:vertAlign w:val="superscript"/>
          <w:lang w:val="fr-FR"/>
        </w:rPr>
        <w:t>è</w:t>
      </w:r>
      <w:r w:rsidRPr="00860CC3">
        <w:rPr>
          <w:bCs/>
          <w:lang w:val="fr-FR"/>
        </w:rPr>
        <w:t xml:space="preserve">  rang sur 18</w:t>
      </w:r>
      <w:r w:rsidR="007B3AAA" w:rsidRPr="00860CC3">
        <w:rPr>
          <w:bCs/>
          <w:lang w:val="fr-FR"/>
        </w:rPr>
        <w:t>6</w:t>
      </w:r>
      <w:r w:rsidR="004D72B5">
        <w:rPr>
          <w:bCs/>
          <w:lang w:val="fr-FR"/>
        </w:rPr>
        <w:t>avec un in</w:t>
      </w:r>
      <w:r w:rsidR="007B3AAA" w:rsidRPr="00860CC3">
        <w:rPr>
          <w:bCs/>
          <w:lang w:val="fr-FR"/>
        </w:rPr>
        <w:t>d</w:t>
      </w:r>
      <w:r w:rsidR="004D72B5">
        <w:rPr>
          <w:bCs/>
          <w:lang w:val="fr-FR"/>
        </w:rPr>
        <w:t>ic</w:t>
      </w:r>
      <w:r w:rsidR="007B3AAA" w:rsidRPr="00860CC3">
        <w:rPr>
          <w:bCs/>
          <w:lang w:val="fr-FR"/>
        </w:rPr>
        <w:t>e de développement humain  (IDH) est de 0,343.</w:t>
      </w:r>
    </w:p>
    <w:p w:rsidR="00144514" w:rsidRPr="00860CC3" w:rsidRDefault="00144514" w:rsidP="00FD4940">
      <w:pPr>
        <w:jc w:val="both"/>
        <w:divId w:val="410156154"/>
        <w:rPr>
          <w:bCs/>
          <w:color w:val="FF0000"/>
          <w:lang w:val="fr-FR"/>
        </w:rPr>
      </w:pPr>
    </w:p>
    <w:p w:rsidR="00144514" w:rsidRPr="00860CC3" w:rsidRDefault="00144514" w:rsidP="00FD4940">
      <w:pPr>
        <w:jc w:val="both"/>
        <w:divId w:val="410156154"/>
        <w:rPr>
          <w:bCs/>
          <w:lang w:val="fr-FR"/>
        </w:rPr>
      </w:pPr>
      <w:r w:rsidRPr="00860CC3">
        <w:rPr>
          <w:bCs/>
          <w:lang w:val="fr-FR"/>
        </w:rPr>
        <w:t xml:space="preserve">L’économie du pays repose essentiellement sur l’agriculture et l’élevage qui absorbent plus de 90% de la population active et contribuent  pour  40 %  au  PIB  et  55 %  environ dans le total des exportations. </w:t>
      </w:r>
    </w:p>
    <w:p w:rsidR="00144514" w:rsidRPr="007B3AAA" w:rsidRDefault="00144514" w:rsidP="00FD4940">
      <w:pPr>
        <w:ind w:right="720"/>
        <w:jc w:val="both"/>
        <w:divId w:val="410156154"/>
        <w:rPr>
          <w:bCs/>
          <w:color w:val="1F497D"/>
          <w:lang w:val="fr-FR"/>
        </w:rPr>
      </w:pPr>
    </w:p>
    <w:p w:rsidR="008B016D" w:rsidRPr="00860CC3" w:rsidRDefault="008B016D" w:rsidP="00FD4940">
      <w:pPr>
        <w:ind w:right="720"/>
        <w:jc w:val="both"/>
        <w:divId w:val="410156154"/>
        <w:rPr>
          <w:lang w:val="fr-FR"/>
        </w:rPr>
      </w:pPr>
      <w:r w:rsidRPr="00860CC3">
        <w:rPr>
          <w:lang w:val="fr-FR"/>
        </w:rPr>
        <w:t>La majorité de la population (77,30%) vit en milieu rural de l’agriculture et de l’élevage.</w:t>
      </w:r>
    </w:p>
    <w:p w:rsidR="00B54776" w:rsidRDefault="00B54776" w:rsidP="00FD4940">
      <w:pPr>
        <w:ind w:right="720"/>
        <w:jc w:val="both"/>
        <w:divId w:val="410156154"/>
        <w:rPr>
          <w:bCs/>
          <w:color w:val="1F497D"/>
          <w:lang w:val="fr-FR"/>
        </w:rPr>
      </w:pPr>
    </w:p>
    <w:p w:rsidR="007C5B3F" w:rsidRPr="008200BE" w:rsidRDefault="007C5B3F" w:rsidP="00FD4940">
      <w:pPr>
        <w:ind w:right="720"/>
        <w:jc w:val="both"/>
        <w:divId w:val="410156154"/>
        <w:rPr>
          <w:bCs/>
          <w:color w:val="1F497D"/>
          <w:lang w:val="fr-FR"/>
        </w:rPr>
      </w:pPr>
    </w:p>
    <w:p w:rsidR="00007B97" w:rsidRPr="00B54776" w:rsidRDefault="008B016D" w:rsidP="003046BF">
      <w:pPr>
        <w:pStyle w:val="Paragraphedeliste"/>
        <w:numPr>
          <w:ilvl w:val="2"/>
          <w:numId w:val="42"/>
        </w:numPr>
        <w:spacing w:before="120" w:after="120" w:line="240" w:lineRule="auto"/>
        <w:ind w:right="1200"/>
        <w:jc w:val="both"/>
        <w:divId w:val="410156154"/>
        <w:rPr>
          <w:rFonts w:ascii="Arial" w:hAnsi="Arial" w:cs="Arial"/>
          <w:bCs/>
          <w:color w:val="1F497D"/>
          <w:lang w:val="fr-FR"/>
        </w:rPr>
      </w:pPr>
      <w:r w:rsidRPr="00B54776">
        <w:rPr>
          <w:rFonts w:ascii="Arial" w:hAnsi="Arial" w:cs="Arial"/>
          <w:bCs/>
          <w:color w:val="1F497D"/>
          <w:lang w:val="fr-FR"/>
        </w:rPr>
        <w:t>Le système de santé</w:t>
      </w:r>
    </w:p>
    <w:p w:rsidR="00110DE9" w:rsidRPr="00B54776" w:rsidRDefault="00110DE9" w:rsidP="00FD4940">
      <w:pPr>
        <w:spacing w:before="120" w:after="120"/>
        <w:ind w:right="1080"/>
        <w:jc w:val="both"/>
        <w:divId w:val="410156154"/>
        <w:rPr>
          <w:bCs/>
          <w:color w:val="1F497D"/>
          <w:lang w:val="fr-FR"/>
        </w:rPr>
      </w:pPr>
      <w:r w:rsidRPr="00B54776">
        <w:rPr>
          <w:lang w:val="fr-FR"/>
        </w:rPr>
        <w:t>Le système de santé burkinabè comprend l’o</w:t>
      </w:r>
      <w:r w:rsidR="00B54776">
        <w:rPr>
          <w:lang w:val="fr-FR"/>
        </w:rPr>
        <w:t xml:space="preserve">ffre publique de soins, l’offre                           </w:t>
      </w:r>
      <w:r w:rsidRPr="00B54776">
        <w:rPr>
          <w:lang w:val="fr-FR"/>
        </w:rPr>
        <w:t>privée de soins et l’administration sanitaire. Il est de type pyramidal avec trois échelons et deux versants : l’organisation</w:t>
      </w:r>
      <w:r w:rsidRPr="00860CC3">
        <w:rPr>
          <w:bCs/>
          <w:lang w:val="fr-FR"/>
        </w:rPr>
        <w:t xml:space="preserve"> administrative du système de santé et l’organisation des structures de soins du système de santé</w:t>
      </w:r>
      <w:r w:rsidR="00007B97" w:rsidRPr="00860CC3">
        <w:rPr>
          <w:bCs/>
          <w:lang w:val="fr-FR"/>
        </w:rPr>
        <w:t>.</w:t>
      </w:r>
    </w:p>
    <w:p w:rsidR="00110DE9" w:rsidRPr="00B54776" w:rsidRDefault="00110DE9" w:rsidP="00FD4940">
      <w:pPr>
        <w:ind w:right="240"/>
        <w:jc w:val="both"/>
        <w:divId w:val="410156154"/>
        <w:rPr>
          <w:lang w:val="fr-FR"/>
        </w:rPr>
      </w:pPr>
    </w:p>
    <w:p w:rsidR="00110DE9" w:rsidRPr="00B54776" w:rsidRDefault="00110DE9" w:rsidP="00FD4940">
      <w:pPr>
        <w:ind w:right="240"/>
        <w:jc w:val="both"/>
        <w:divId w:val="410156154"/>
        <w:rPr>
          <w:lang w:val="fr-FR"/>
        </w:rPr>
      </w:pPr>
      <w:r w:rsidRPr="00B54776">
        <w:rPr>
          <w:lang w:val="fr-FR"/>
        </w:rPr>
        <w:lastRenderedPageBreak/>
        <w:t>Le système de santé est dominé par un secteur public prépondérant et un secteur privé en plein essor, à côté desquels existe la médecine traditionnelle qui occupe une place relativement importante.</w:t>
      </w:r>
    </w:p>
    <w:p w:rsidR="00110DE9" w:rsidRPr="00B54776" w:rsidRDefault="00110DE9" w:rsidP="00FD4940">
      <w:pPr>
        <w:ind w:right="240"/>
        <w:jc w:val="both"/>
        <w:divId w:val="410156154"/>
        <w:rPr>
          <w:lang w:val="fr-FR"/>
        </w:rPr>
      </w:pPr>
    </w:p>
    <w:p w:rsidR="00110DE9" w:rsidRPr="00860CC3" w:rsidRDefault="00007B97" w:rsidP="00FD4940">
      <w:pPr>
        <w:tabs>
          <w:tab w:val="left" w:pos="0"/>
          <w:tab w:val="left" w:pos="180"/>
          <w:tab w:val="left" w:pos="360"/>
        </w:tabs>
        <w:jc w:val="both"/>
        <w:divId w:val="410156154"/>
        <w:rPr>
          <w:bCs/>
          <w:lang w:val="fr-FR"/>
        </w:rPr>
      </w:pPr>
      <w:r w:rsidRPr="00860CC3">
        <w:rPr>
          <w:bCs/>
          <w:lang w:val="fr-FR"/>
        </w:rPr>
        <w:t>L’o</w:t>
      </w:r>
      <w:r w:rsidR="00110DE9" w:rsidRPr="00860CC3">
        <w:rPr>
          <w:bCs/>
          <w:lang w:val="fr-FR"/>
        </w:rPr>
        <w:t>rganisation administrative du système de santécomprend trois (3) niveaux :</w:t>
      </w:r>
    </w:p>
    <w:p w:rsidR="00110DE9" w:rsidRPr="00860CC3" w:rsidRDefault="00110DE9" w:rsidP="003046BF">
      <w:pPr>
        <w:numPr>
          <w:ilvl w:val="0"/>
          <w:numId w:val="38"/>
        </w:numPr>
        <w:jc w:val="both"/>
        <w:divId w:val="410156154"/>
        <w:rPr>
          <w:bCs/>
          <w:lang w:val="fr-FR"/>
        </w:rPr>
      </w:pPr>
      <w:r w:rsidRPr="00860CC3">
        <w:rPr>
          <w:bCs/>
          <w:lang w:val="fr-FR"/>
        </w:rPr>
        <w:t xml:space="preserve">le </w:t>
      </w:r>
      <w:r w:rsidRPr="00860CC3">
        <w:rPr>
          <w:bCs/>
          <w:i/>
          <w:lang w:val="fr-FR"/>
        </w:rPr>
        <w:t>niveau central</w:t>
      </w:r>
      <w:r w:rsidRPr="00860CC3">
        <w:rPr>
          <w:bCs/>
          <w:lang w:val="fr-FR"/>
        </w:rPr>
        <w:t xml:space="preserve"> qui est constitué du Cabinet du ministre, du Secrétariat géné</w:t>
      </w:r>
      <w:r w:rsidR="00171961" w:rsidRPr="00860CC3">
        <w:rPr>
          <w:bCs/>
          <w:lang w:val="fr-FR"/>
        </w:rPr>
        <w:t>ral et des directions centrales</w:t>
      </w:r>
      <w:r w:rsidR="00007B97" w:rsidRPr="00B54776">
        <w:rPr>
          <w:lang w:val="fr-FR"/>
        </w:rPr>
        <w:t xml:space="preserve"> qui ont une mission de définition, d’appui et de coordination globale de la santé</w:t>
      </w:r>
      <w:r w:rsidR="00171961" w:rsidRPr="00B54776">
        <w:rPr>
          <w:lang w:val="fr-FR"/>
        </w:rPr>
        <w:t> ;</w:t>
      </w:r>
    </w:p>
    <w:p w:rsidR="00110DE9" w:rsidRPr="00860CC3" w:rsidRDefault="00110DE9" w:rsidP="003046BF">
      <w:pPr>
        <w:numPr>
          <w:ilvl w:val="0"/>
          <w:numId w:val="38"/>
        </w:numPr>
        <w:jc w:val="both"/>
        <w:divId w:val="410156154"/>
        <w:rPr>
          <w:bCs/>
          <w:lang w:val="fr-FR"/>
        </w:rPr>
      </w:pPr>
      <w:r w:rsidRPr="00860CC3">
        <w:rPr>
          <w:bCs/>
          <w:lang w:val="fr-FR"/>
        </w:rPr>
        <w:t xml:space="preserve">le </w:t>
      </w:r>
      <w:r w:rsidRPr="00860CC3">
        <w:rPr>
          <w:bCs/>
          <w:i/>
          <w:lang w:val="fr-FR"/>
        </w:rPr>
        <w:t xml:space="preserve">niveau </w:t>
      </w:r>
      <w:r w:rsidR="00007B97" w:rsidRPr="00860CC3">
        <w:rPr>
          <w:bCs/>
          <w:i/>
          <w:lang w:val="fr-FR"/>
        </w:rPr>
        <w:t>intermédiaire</w:t>
      </w:r>
      <w:r w:rsidRPr="00860CC3">
        <w:rPr>
          <w:bCs/>
          <w:lang w:val="fr-FR"/>
        </w:rPr>
        <w:t xml:space="preserve"> qui comprend 13 Direction</w:t>
      </w:r>
      <w:r w:rsidR="00171961" w:rsidRPr="00860CC3">
        <w:rPr>
          <w:bCs/>
          <w:lang w:val="fr-FR"/>
        </w:rPr>
        <w:t>s Régionales de la Santé (DRS)</w:t>
      </w:r>
      <w:r w:rsidR="00171961" w:rsidRPr="00B54776">
        <w:rPr>
          <w:lang w:val="fr-FR"/>
        </w:rPr>
        <w:t>qui ont une mission d’appui aux Districts sanitaires pour la mise en œuvre de la Politique Nationale de San</w:t>
      </w:r>
      <w:r w:rsidR="007B3AAA">
        <w:rPr>
          <w:lang w:val="fr-FR"/>
        </w:rPr>
        <w:t>t</w:t>
      </w:r>
      <w:r w:rsidR="00171961" w:rsidRPr="00B54776">
        <w:rPr>
          <w:lang w:val="fr-FR"/>
        </w:rPr>
        <w:t>é ;</w:t>
      </w:r>
    </w:p>
    <w:p w:rsidR="00110DE9" w:rsidRPr="00860CC3" w:rsidRDefault="00110DE9" w:rsidP="003046BF">
      <w:pPr>
        <w:numPr>
          <w:ilvl w:val="0"/>
          <w:numId w:val="38"/>
        </w:numPr>
        <w:ind w:left="840" w:right="120"/>
        <w:jc w:val="both"/>
        <w:divId w:val="410156154"/>
        <w:rPr>
          <w:lang w:val="fr-FR"/>
        </w:rPr>
      </w:pPr>
      <w:r w:rsidRPr="00860CC3">
        <w:rPr>
          <w:lang w:val="fr-FR"/>
        </w:rPr>
        <w:t xml:space="preserve">le </w:t>
      </w:r>
      <w:r w:rsidRPr="00860CC3">
        <w:rPr>
          <w:i/>
          <w:lang w:val="fr-FR"/>
        </w:rPr>
        <w:t xml:space="preserve">niveau </w:t>
      </w:r>
      <w:r w:rsidR="00007B97" w:rsidRPr="00860CC3">
        <w:rPr>
          <w:i/>
          <w:lang w:val="fr-FR"/>
        </w:rPr>
        <w:t>périphérique</w:t>
      </w:r>
      <w:r w:rsidRPr="00860CC3">
        <w:rPr>
          <w:lang w:val="fr-FR"/>
        </w:rPr>
        <w:t xml:space="preserve"> qui est représenté par 70 districts sanitaires (DS) dont 63 fonctionnels</w:t>
      </w:r>
      <w:r w:rsidR="007B3AAA" w:rsidRPr="00860CC3">
        <w:rPr>
          <w:lang w:val="fr-FR"/>
        </w:rPr>
        <w:t xml:space="preserve">. Ils </w:t>
      </w:r>
      <w:r w:rsidRPr="00860CC3">
        <w:rPr>
          <w:lang w:val="fr-FR"/>
        </w:rPr>
        <w:t>sont les entités opérationnelles les plus déc</w:t>
      </w:r>
      <w:r w:rsidR="00171961" w:rsidRPr="00860CC3">
        <w:rPr>
          <w:lang w:val="fr-FR"/>
        </w:rPr>
        <w:t xml:space="preserve">entralisées du système de santé </w:t>
      </w:r>
      <w:r w:rsidR="007B3AAA">
        <w:rPr>
          <w:lang w:val="fr-FR"/>
        </w:rPr>
        <w:t>et</w:t>
      </w:r>
      <w:r w:rsidR="00171961" w:rsidRPr="00B54776">
        <w:rPr>
          <w:lang w:val="fr-FR"/>
        </w:rPr>
        <w:t xml:space="preserve"> sont chargés à leur niveau de rendre opérationnelle la Politique </w:t>
      </w:r>
      <w:r w:rsidR="003F6F44">
        <w:rPr>
          <w:lang w:val="fr-FR"/>
        </w:rPr>
        <w:t xml:space="preserve">Nationale de </w:t>
      </w:r>
      <w:r w:rsidR="00171961" w:rsidRPr="00B54776">
        <w:rPr>
          <w:lang w:val="fr-FR"/>
        </w:rPr>
        <w:t>Sanitaire.</w:t>
      </w:r>
    </w:p>
    <w:p w:rsidR="00110DE9" w:rsidRPr="00860CC3" w:rsidRDefault="00007B97" w:rsidP="00FD4940">
      <w:pPr>
        <w:tabs>
          <w:tab w:val="left" w:pos="0"/>
          <w:tab w:val="left" w:pos="180"/>
          <w:tab w:val="left" w:pos="360"/>
        </w:tabs>
        <w:jc w:val="both"/>
        <w:divId w:val="410156154"/>
        <w:rPr>
          <w:bCs/>
          <w:lang w:val="fr-FR"/>
        </w:rPr>
      </w:pPr>
      <w:r w:rsidRPr="00860CC3">
        <w:rPr>
          <w:bCs/>
          <w:lang w:val="fr-FR"/>
        </w:rPr>
        <w:t>L’o</w:t>
      </w:r>
      <w:r w:rsidR="00110DE9" w:rsidRPr="00860CC3">
        <w:rPr>
          <w:bCs/>
          <w:lang w:val="fr-FR"/>
        </w:rPr>
        <w:t>rganisation des structures de soins du système de santé</w:t>
      </w:r>
      <w:r w:rsidRPr="00860CC3">
        <w:rPr>
          <w:bCs/>
          <w:lang w:val="fr-FR"/>
        </w:rPr>
        <w:t xml:space="preserve"> s’articule autour de </w:t>
      </w:r>
      <w:r w:rsidR="00110DE9" w:rsidRPr="00860CC3">
        <w:rPr>
          <w:bCs/>
          <w:lang w:val="fr-FR"/>
        </w:rPr>
        <w:t>trois niveaux qui assurent des soins primaires, secondaires et tertiaires.</w:t>
      </w:r>
    </w:p>
    <w:p w:rsidR="00110DE9" w:rsidRPr="00860CC3" w:rsidRDefault="00110DE9" w:rsidP="003046BF">
      <w:pPr>
        <w:numPr>
          <w:ilvl w:val="0"/>
          <w:numId w:val="37"/>
        </w:numPr>
        <w:jc w:val="both"/>
        <w:divId w:val="410156154"/>
        <w:rPr>
          <w:bCs/>
          <w:lang w:val="fr-FR"/>
        </w:rPr>
      </w:pPr>
      <w:r w:rsidRPr="00860CC3">
        <w:rPr>
          <w:bCs/>
          <w:lang w:val="fr-FR"/>
        </w:rPr>
        <w:t xml:space="preserve">Le </w:t>
      </w:r>
      <w:r w:rsidRPr="00860CC3">
        <w:rPr>
          <w:bCs/>
          <w:i/>
          <w:lang w:val="fr-FR"/>
        </w:rPr>
        <w:t>premier niveau</w:t>
      </w:r>
      <w:r w:rsidRPr="00860CC3">
        <w:rPr>
          <w:bCs/>
          <w:lang w:val="fr-FR"/>
        </w:rPr>
        <w:t xml:space="preserve"> constitué par le district sanitaire comprend deux échelons :</w:t>
      </w:r>
    </w:p>
    <w:p w:rsidR="00110DE9" w:rsidRPr="00860CC3" w:rsidRDefault="00110DE9" w:rsidP="003046BF">
      <w:pPr>
        <w:numPr>
          <w:ilvl w:val="0"/>
          <w:numId w:val="39"/>
        </w:numPr>
        <w:jc w:val="both"/>
        <w:divId w:val="410156154"/>
        <w:rPr>
          <w:bCs/>
          <w:lang w:val="fr-FR"/>
        </w:rPr>
      </w:pPr>
      <w:r w:rsidRPr="00860CC3">
        <w:rPr>
          <w:bCs/>
          <w:lang w:val="fr-FR"/>
        </w:rPr>
        <w:t>le premier échelon de soins est le CSPS structure de base du système de santé.</w:t>
      </w:r>
      <w:r w:rsidRPr="00860CC3">
        <w:rPr>
          <w:lang w:val="fr-FR"/>
        </w:rPr>
        <w:t xml:space="preserve"> On dénombre</w:t>
      </w:r>
      <w:r w:rsidR="00B54776" w:rsidRPr="00860CC3">
        <w:rPr>
          <w:lang w:val="fr-FR"/>
        </w:rPr>
        <w:t xml:space="preserve"> 32 centres médicaux</w:t>
      </w:r>
      <w:r w:rsidR="009B07B9" w:rsidRPr="00860CC3">
        <w:rPr>
          <w:lang w:val="fr-FR"/>
        </w:rPr>
        <w:t xml:space="preserve"> (CM)</w:t>
      </w:r>
      <w:r w:rsidR="00B54776" w:rsidRPr="00860CC3">
        <w:rPr>
          <w:lang w:val="fr-FR"/>
        </w:rPr>
        <w:t xml:space="preserve">, 1 606 </w:t>
      </w:r>
      <w:r w:rsidR="009B07B9" w:rsidRPr="00860CC3">
        <w:rPr>
          <w:lang w:val="fr-FR"/>
        </w:rPr>
        <w:t>centres de santé et de promotion sociale (</w:t>
      </w:r>
      <w:r w:rsidR="00B54776" w:rsidRPr="00860CC3">
        <w:rPr>
          <w:lang w:val="fr-FR"/>
        </w:rPr>
        <w:t>CSPS</w:t>
      </w:r>
      <w:r w:rsidR="009B07B9" w:rsidRPr="00860CC3">
        <w:rPr>
          <w:lang w:val="fr-FR"/>
        </w:rPr>
        <w:t>)</w:t>
      </w:r>
      <w:r w:rsidR="00B54776" w:rsidRPr="00860CC3">
        <w:rPr>
          <w:lang w:val="fr-FR"/>
        </w:rPr>
        <w:t xml:space="preserve">, 123 dispensaires isolés </w:t>
      </w:r>
      <w:r w:rsidR="003F6F44" w:rsidRPr="00860CC3">
        <w:rPr>
          <w:lang w:val="fr-FR"/>
        </w:rPr>
        <w:t xml:space="preserve">(DI) </w:t>
      </w:r>
      <w:r w:rsidR="00B54776" w:rsidRPr="00860CC3">
        <w:rPr>
          <w:lang w:val="fr-FR"/>
        </w:rPr>
        <w:t>et 14 maternités isolées</w:t>
      </w:r>
      <w:r w:rsidR="003F6F44" w:rsidRPr="00860CC3">
        <w:rPr>
          <w:lang w:val="fr-FR"/>
        </w:rPr>
        <w:t xml:space="preserve"> (MI)</w:t>
      </w:r>
      <w:r w:rsidR="00B54776" w:rsidRPr="00860CC3">
        <w:rPr>
          <w:lang w:val="fr-FR"/>
        </w:rPr>
        <w:t>.</w:t>
      </w:r>
    </w:p>
    <w:p w:rsidR="00110DE9" w:rsidRPr="00860CC3" w:rsidRDefault="00110DE9" w:rsidP="003046BF">
      <w:pPr>
        <w:numPr>
          <w:ilvl w:val="0"/>
          <w:numId w:val="39"/>
        </w:numPr>
        <w:ind w:left="1620" w:right="120"/>
        <w:jc w:val="both"/>
        <w:divId w:val="410156154"/>
        <w:rPr>
          <w:bCs/>
          <w:lang w:val="fr-FR"/>
        </w:rPr>
      </w:pPr>
      <w:r w:rsidRPr="00860CC3">
        <w:rPr>
          <w:bCs/>
          <w:lang w:val="fr-FR"/>
        </w:rPr>
        <w:t>le deuxième échelon de soins du district est l</w:t>
      </w:r>
      <w:r w:rsidR="00D1195D" w:rsidRPr="00860CC3">
        <w:rPr>
          <w:bCs/>
          <w:lang w:val="fr-FR"/>
        </w:rPr>
        <w:t xml:space="preserve">e </w:t>
      </w:r>
      <w:r w:rsidR="003F6F44" w:rsidRPr="00860CC3">
        <w:rPr>
          <w:bCs/>
          <w:lang w:val="fr-FR"/>
        </w:rPr>
        <w:t>centre medical avec antenne chirurgicale (</w:t>
      </w:r>
      <w:r w:rsidR="00D1195D" w:rsidRPr="00860CC3">
        <w:rPr>
          <w:bCs/>
          <w:lang w:val="fr-FR"/>
        </w:rPr>
        <w:t>CMA</w:t>
      </w:r>
      <w:r w:rsidR="003F6F44" w:rsidRPr="00860CC3">
        <w:rPr>
          <w:bCs/>
          <w:lang w:val="fr-FR"/>
        </w:rPr>
        <w:t>)</w:t>
      </w:r>
      <w:r w:rsidR="00D1195D" w:rsidRPr="00860CC3">
        <w:rPr>
          <w:bCs/>
          <w:lang w:val="fr-FR"/>
        </w:rPr>
        <w:t xml:space="preserve"> ou Hôpital de district </w:t>
      </w:r>
      <w:r w:rsidR="003F6F44" w:rsidRPr="00860CC3">
        <w:rPr>
          <w:bCs/>
          <w:lang w:val="fr-FR"/>
        </w:rPr>
        <w:t xml:space="preserve">(HD). Ils sont au nombre de 45 et servent </w:t>
      </w:r>
      <w:r w:rsidRPr="00860CC3">
        <w:rPr>
          <w:bCs/>
          <w:lang w:val="fr-FR"/>
        </w:rPr>
        <w:t xml:space="preserve">de référence pour les formations sanitaires du district. Certains districts sanitaires sont centrés sur des </w:t>
      </w:r>
      <w:r w:rsidR="003F6F44" w:rsidRPr="00860CC3">
        <w:rPr>
          <w:bCs/>
          <w:lang w:val="fr-FR"/>
        </w:rPr>
        <w:t>centres hospitaliers régionaux (</w:t>
      </w:r>
      <w:r w:rsidRPr="00860CC3">
        <w:rPr>
          <w:bCs/>
          <w:lang w:val="fr-FR"/>
        </w:rPr>
        <w:t>CHR</w:t>
      </w:r>
      <w:r w:rsidR="003F6F44" w:rsidRPr="00860CC3">
        <w:rPr>
          <w:bCs/>
          <w:lang w:val="fr-FR"/>
        </w:rPr>
        <w:t>)</w:t>
      </w:r>
      <w:r w:rsidRPr="00860CC3">
        <w:rPr>
          <w:bCs/>
          <w:lang w:val="fr-FR"/>
        </w:rPr>
        <w:t>.</w:t>
      </w:r>
    </w:p>
    <w:p w:rsidR="00110DE9" w:rsidRPr="00B54776" w:rsidRDefault="00110DE9" w:rsidP="003046BF">
      <w:pPr>
        <w:numPr>
          <w:ilvl w:val="0"/>
          <w:numId w:val="37"/>
        </w:numPr>
        <w:jc w:val="both"/>
        <w:divId w:val="410156154"/>
        <w:rPr>
          <w:bCs/>
        </w:rPr>
      </w:pPr>
      <w:r w:rsidRPr="00860CC3">
        <w:rPr>
          <w:bCs/>
          <w:lang w:val="fr-FR"/>
        </w:rPr>
        <w:t>Le</w:t>
      </w:r>
      <w:r w:rsidRPr="00860CC3">
        <w:rPr>
          <w:bCs/>
          <w:i/>
          <w:lang w:val="fr-FR"/>
        </w:rPr>
        <w:t xml:space="preserve"> deuxième niveau</w:t>
      </w:r>
      <w:r w:rsidRPr="00860CC3">
        <w:rPr>
          <w:bCs/>
          <w:lang w:val="fr-FR"/>
        </w:rPr>
        <w:t xml:space="preserve"> est représenté par les CHR. Il sert de référence et de recours aux CMA ou Hôpitaux de district. </w:t>
      </w:r>
      <w:r w:rsidRPr="00B54776">
        <w:rPr>
          <w:bCs/>
        </w:rPr>
        <w:t>On endénombre 9.</w:t>
      </w:r>
    </w:p>
    <w:p w:rsidR="00110DE9" w:rsidRPr="00B54776" w:rsidRDefault="00110DE9" w:rsidP="003046BF">
      <w:pPr>
        <w:pStyle w:val="Corpsdetexte21"/>
        <w:widowControl/>
        <w:numPr>
          <w:ilvl w:val="0"/>
          <w:numId w:val="37"/>
        </w:numPr>
        <w:divId w:val="410156154"/>
        <w:rPr>
          <w:rFonts w:ascii="Times New Roman" w:hAnsi="Times New Roman" w:cs="Times New Roman"/>
          <w:bCs/>
          <w:lang w:val="fr-BE"/>
        </w:rPr>
      </w:pPr>
      <w:r w:rsidRPr="00B54776">
        <w:rPr>
          <w:rFonts w:ascii="Times New Roman" w:hAnsi="Times New Roman" w:cs="Times New Roman"/>
          <w:bCs/>
          <w:lang w:val="fr-BE"/>
        </w:rPr>
        <w:t>Le</w:t>
      </w:r>
      <w:r w:rsidRPr="00B54776">
        <w:rPr>
          <w:rFonts w:ascii="Times New Roman" w:hAnsi="Times New Roman" w:cs="Times New Roman"/>
          <w:bCs/>
          <w:i/>
          <w:lang w:val="fr-BE"/>
        </w:rPr>
        <w:t xml:space="preserve"> troisième niveau</w:t>
      </w:r>
      <w:r w:rsidRPr="00B54776">
        <w:rPr>
          <w:rFonts w:ascii="Times New Roman" w:hAnsi="Times New Roman" w:cs="Times New Roman"/>
          <w:bCs/>
          <w:lang w:val="fr-BE"/>
        </w:rPr>
        <w:t xml:space="preserve"> est constitué par </w:t>
      </w:r>
      <w:r w:rsidR="003F6F44">
        <w:rPr>
          <w:rFonts w:ascii="Times New Roman" w:hAnsi="Times New Roman" w:cs="Times New Roman"/>
          <w:bCs/>
          <w:lang w:val="fr-BE"/>
        </w:rPr>
        <w:t>3centres hospitaliers universitaires (</w:t>
      </w:r>
      <w:r w:rsidRPr="00B54776">
        <w:rPr>
          <w:rFonts w:ascii="Times New Roman" w:hAnsi="Times New Roman" w:cs="Times New Roman"/>
          <w:bCs/>
          <w:lang w:val="fr-BE"/>
        </w:rPr>
        <w:t>CHU</w:t>
      </w:r>
      <w:r w:rsidR="003F6F44">
        <w:rPr>
          <w:rFonts w:ascii="Times New Roman" w:hAnsi="Times New Roman" w:cs="Times New Roman"/>
          <w:bCs/>
          <w:lang w:val="fr-BE"/>
        </w:rPr>
        <w:t>)</w:t>
      </w:r>
      <w:r w:rsidRPr="00B54776">
        <w:rPr>
          <w:rFonts w:ascii="Times New Roman" w:hAnsi="Times New Roman" w:cs="Times New Roman"/>
          <w:bCs/>
          <w:lang w:val="fr-BE"/>
        </w:rPr>
        <w:t xml:space="preserve"> et un hôpital national </w:t>
      </w:r>
      <w:r w:rsidR="003F6F44">
        <w:rPr>
          <w:rFonts w:ascii="Times New Roman" w:hAnsi="Times New Roman" w:cs="Times New Roman"/>
          <w:bCs/>
          <w:lang w:val="fr-BE"/>
        </w:rPr>
        <w:t xml:space="preserve">(HN) </w:t>
      </w:r>
      <w:r w:rsidRPr="00B54776">
        <w:rPr>
          <w:rFonts w:ascii="Times New Roman" w:hAnsi="Times New Roman" w:cs="Times New Roman"/>
          <w:bCs/>
          <w:lang w:val="fr-BE"/>
        </w:rPr>
        <w:t xml:space="preserve">qui est le niveau de référence le plus élevé pour les soins spécialisés. Il sert de cadre de formation des différentes catégories de personnel de santé et constitue également un centre de recherche en santé. </w:t>
      </w:r>
    </w:p>
    <w:p w:rsidR="00110DE9" w:rsidRPr="00B54776" w:rsidRDefault="00110DE9" w:rsidP="00FD4940">
      <w:pPr>
        <w:ind w:right="240"/>
        <w:jc w:val="both"/>
        <w:divId w:val="410156154"/>
        <w:rPr>
          <w:lang w:val="fr-FR"/>
        </w:rPr>
      </w:pPr>
    </w:p>
    <w:p w:rsidR="00110DE9" w:rsidRPr="00B54776" w:rsidRDefault="00110DE9" w:rsidP="00FD4940">
      <w:pPr>
        <w:ind w:right="240"/>
        <w:jc w:val="both"/>
        <w:divId w:val="410156154"/>
        <w:rPr>
          <w:lang w:val="fr-FR"/>
        </w:rPr>
      </w:pPr>
      <w:r w:rsidRPr="00B54776">
        <w:rPr>
          <w:lang w:val="fr-FR"/>
        </w:rPr>
        <w:t xml:space="preserve">Le district sanitaire est l’unité opérationnelle du système de santé, permettant la mise en œuvre des soins de santé. Il regroupe l’ensemble des structures sanitaires publiques et privées sur son aire de desserte qui offrent aux populations des soins essentiels. Il est également l’unité qui planifie et organise les activités nécessaires à la prise en charge optimale des problèmes de santé des populations, avec leur pleine participation. </w:t>
      </w:r>
    </w:p>
    <w:p w:rsidR="00110DE9" w:rsidRPr="00B54776" w:rsidRDefault="00110DE9" w:rsidP="00FD4940">
      <w:pPr>
        <w:ind w:right="240"/>
        <w:jc w:val="both"/>
        <w:divId w:val="410156154"/>
        <w:rPr>
          <w:lang w:val="fr-FR"/>
        </w:rPr>
      </w:pPr>
      <w:r w:rsidRPr="00B54776">
        <w:rPr>
          <w:lang w:val="fr-FR"/>
        </w:rPr>
        <w:t xml:space="preserve">Au niveau du public, </w:t>
      </w:r>
      <w:r w:rsidR="00171961" w:rsidRPr="00B54776">
        <w:rPr>
          <w:lang w:val="fr-FR"/>
        </w:rPr>
        <w:t xml:space="preserve">le CSPS </w:t>
      </w:r>
      <w:r w:rsidRPr="00B54776">
        <w:rPr>
          <w:lang w:val="fr-FR"/>
        </w:rPr>
        <w:t>constitue la porte d’entrée du système de santé et l’hôpital prend en charge les problèmes de santé nécessitant des techniques ou des soins ne pouvant être assurés au premier échelon dans une complémentarité et sans chevauchement des paquets d’activités des deux échelons. L’existence d’un système de référence et de contre-référence permet d’assurer la continuité des soins entre le premier et le deuxième échelon.</w:t>
      </w:r>
    </w:p>
    <w:p w:rsidR="00110DE9" w:rsidRPr="00B54776" w:rsidRDefault="00110DE9" w:rsidP="00FD4940">
      <w:pPr>
        <w:ind w:right="240"/>
        <w:jc w:val="both"/>
        <w:divId w:val="410156154"/>
        <w:rPr>
          <w:lang w:val="fr-FR"/>
        </w:rPr>
      </w:pPr>
    </w:p>
    <w:p w:rsidR="00110DE9" w:rsidRDefault="00110DE9" w:rsidP="00CA04D0">
      <w:pPr>
        <w:ind w:right="240"/>
        <w:jc w:val="both"/>
        <w:divId w:val="410156154"/>
        <w:rPr>
          <w:lang w:val="fr-FR"/>
        </w:rPr>
      </w:pPr>
      <w:r w:rsidRPr="00B54776">
        <w:rPr>
          <w:lang w:val="fr-FR"/>
        </w:rPr>
        <w:t>D’autres ministères participent à l'offre de soins à travers leurs infrastructures sanitaires notamment les ministères de la Défense, de l’Economie et des Finances, de l’</w:t>
      </w:r>
      <w:r w:rsidR="00171961" w:rsidRPr="00B54776">
        <w:rPr>
          <w:lang w:val="fr-FR"/>
        </w:rPr>
        <w:t>Administration Territoriale</w:t>
      </w:r>
      <w:r w:rsidR="00CA04D0">
        <w:rPr>
          <w:lang w:val="fr-FR"/>
        </w:rPr>
        <w:t xml:space="preserve"> et de la Sécurité</w:t>
      </w:r>
      <w:r w:rsidRPr="00B54776">
        <w:rPr>
          <w:lang w:val="fr-FR"/>
        </w:rPr>
        <w:t>.</w:t>
      </w:r>
    </w:p>
    <w:p w:rsidR="00E62512" w:rsidRDefault="00E62512" w:rsidP="00CA04D0">
      <w:pPr>
        <w:ind w:right="240"/>
        <w:jc w:val="both"/>
        <w:divId w:val="410156154"/>
        <w:rPr>
          <w:lang w:val="fr-FR"/>
        </w:rPr>
      </w:pPr>
    </w:p>
    <w:p w:rsidR="00110DE9" w:rsidRPr="00B54776" w:rsidRDefault="00110DE9" w:rsidP="00FD4940">
      <w:pPr>
        <w:ind w:right="240"/>
        <w:jc w:val="both"/>
        <w:divId w:val="410156154"/>
        <w:rPr>
          <w:lang w:val="fr-FR" w:eastAsia="fr-FR"/>
        </w:rPr>
      </w:pPr>
      <w:r w:rsidRPr="00B54776">
        <w:rPr>
          <w:lang w:val="fr-FR" w:eastAsia="fr-FR"/>
        </w:rPr>
        <w:t xml:space="preserve">Selon le Document de Politique </w:t>
      </w:r>
      <w:r w:rsidR="00171961" w:rsidRPr="00B54776">
        <w:rPr>
          <w:lang w:val="fr-FR" w:eastAsia="fr-FR"/>
        </w:rPr>
        <w:t>Nationale de San</w:t>
      </w:r>
      <w:r w:rsidRPr="00B54776">
        <w:rPr>
          <w:lang w:val="fr-FR" w:eastAsia="fr-FR"/>
        </w:rPr>
        <w:t>t</w:t>
      </w:r>
      <w:r w:rsidR="00171961" w:rsidRPr="00B54776">
        <w:rPr>
          <w:lang w:val="fr-FR" w:eastAsia="fr-FR"/>
        </w:rPr>
        <w:t>é</w:t>
      </w:r>
      <w:r w:rsidRPr="00B54776">
        <w:rPr>
          <w:lang w:val="fr-FR" w:eastAsia="fr-FR"/>
        </w:rPr>
        <w:t xml:space="preserve">, les priorités en matière de santé sont : </w:t>
      </w:r>
    </w:p>
    <w:p w:rsidR="00171961" w:rsidRPr="00B54776" w:rsidRDefault="00171961" w:rsidP="003046BF">
      <w:pPr>
        <w:pStyle w:val="Paragraphedeliste"/>
        <w:numPr>
          <w:ilvl w:val="0"/>
          <w:numId w:val="41"/>
        </w:numPr>
        <w:spacing w:before="120" w:after="120" w:line="240" w:lineRule="auto"/>
        <w:ind w:right="360"/>
        <w:jc w:val="both"/>
        <w:divId w:val="410156154"/>
        <w:rPr>
          <w:rFonts w:ascii="Times New Roman" w:hAnsi="Times New Roman"/>
          <w:sz w:val="24"/>
          <w:szCs w:val="24"/>
          <w:lang w:val="fr-FR"/>
        </w:rPr>
      </w:pPr>
      <w:r w:rsidRPr="00860CC3">
        <w:rPr>
          <w:rFonts w:ascii="Times New Roman" w:hAnsi="Times New Roman"/>
          <w:sz w:val="24"/>
          <w:szCs w:val="24"/>
          <w:lang w:val="fr-FR"/>
        </w:rPr>
        <w:t>développement du leadership et de la gouvernance dans le secteur de la santé ;</w:t>
      </w:r>
    </w:p>
    <w:p w:rsidR="00171961" w:rsidRPr="00B54776" w:rsidRDefault="00171961" w:rsidP="003046BF">
      <w:pPr>
        <w:pStyle w:val="Paragraphedeliste"/>
        <w:numPr>
          <w:ilvl w:val="0"/>
          <w:numId w:val="41"/>
        </w:numPr>
        <w:spacing w:before="120" w:after="120" w:line="240" w:lineRule="auto"/>
        <w:ind w:right="360"/>
        <w:jc w:val="both"/>
        <w:divId w:val="410156154"/>
        <w:rPr>
          <w:rFonts w:ascii="Times New Roman" w:hAnsi="Times New Roman"/>
          <w:sz w:val="24"/>
          <w:szCs w:val="24"/>
          <w:lang w:val="fr-FR"/>
        </w:rPr>
      </w:pPr>
      <w:r w:rsidRPr="00860CC3">
        <w:rPr>
          <w:rFonts w:ascii="Times New Roman" w:hAnsi="Times New Roman"/>
          <w:bCs/>
          <w:kern w:val="32"/>
          <w:sz w:val="24"/>
          <w:szCs w:val="24"/>
          <w:lang w:val="fr-FR"/>
        </w:rPr>
        <w:t>amélioration des prestations de services de santé ;</w:t>
      </w:r>
    </w:p>
    <w:p w:rsidR="00171961" w:rsidRPr="00B54776" w:rsidRDefault="00171961" w:rsidP="003046BF">
      <w:pPr>
        <w:pStyle w:val="Paragraphedeliste"/>
        <w:numPr>
          <w:ilvl w:val="0"/>
          <w:numId w:val="41"/>
        </w:numPr>
        <w:spacing w:before="120" w:after="120" w:line="240" w:lineRule="auto"/>
        <w:ind w:right="360"/>
        <w:jc w:val="both"/>
        <w:divId w:val="410156154"/>
        <w:rPr>
          <w:rFonts w:ascii="Times New Roman" w:hAnsi="Times New Roman"/>
          <w:sz w:val="24"/>
          <w:szCs w:val="24"/>
          <w:lang w:val="fr-FR"/>
        </w:rPr>
      </w:pPr>
      <w:r w:rsidRPr="00860CC3">
        <w:rPr>
          <w:rFonts w:ascii="Times New Roman" w:hAnsi="Times New Roman"/>
          <w:sz w:val="24"/>
          <w:szCs w:val="24"/>
          <w:lang w:val="fr-FR"/>
        </w:rPr>
        <w:t>promotion de la santé et lutte contre la maladie ;</w:t>
      </w:r>
    </w:p>
    <w:p w:rsidR="00171961" w:rsidRPr="00B54776" w:rsidRDefault="00171961" w:rsidP="003046BF">
      <w:pPr>
        <w:pStyle w:val="Paragraphedeliste"/>
        <w:numPr>
          <w:ilvl w:val="0"/>
          <w:numId w:val="41"/>
        </w:numPr>
        <w:spacing w:before="120" w:after="120" w:line="240" w:lineRule="auto"/>
        <w:ind w:right="360"/>
        <w:jc w:val="both"/>
        <w:divId w:val="410156154"/>
        <w:rPr>
          <w:rFonts w:ascii="Times New Roman" w:hAnsi="Times New Roman"/>
          <w:sz w:val="24"/>
          <w:szCs w:val="24"/>
          <w:lang w:val="fr-FR"/>
        </w:rPr>
      </w:pPr>
      <w:r w:rsidRPr="00860CC3">
        <w:rPr>
          <w:rFonts w:ascii="Times New Roman" w:hAnsi="Times New Roman"/>
          <w:sz w:val="24"/>
          <w:szCs w:val="24"/>
          <w:lang w:val="fr-FR"/>
        </w:rPr>
        <w:t>développement des ressources humaines pour la santé ;</w:t>
      </w:r>
    </w:p>
    <w:p w:rsidR="00171961" w:rsidRPr="00B54776" w:rsidRDefault="00171961" w:rsidP="003046BF">
      <w:pPr>
        <w:pStyle w:val="Paragraphedeliste"/>
        <w:numPr>
          <w:ilvl w:val="0"/>
          <w:numId w:val="41"/>
        </w:numPr>
        <w:spacing w:before="120" w:after="120" w:line="240" w:lineRule="auto"/>
        <w:ind w:right="360"/>
        <w:jc w:val="both"/>
        <w:divId w:val="410156154"/>
        <w:rPr>
          <w:rFonts w:ascii="Times New Roman" w:hAnsi="Times New Roman"/>
          <w:sz w:val="24"/>
          <w:szCs w:val="24"/>
          <w:lang w:val="fr-FR"/>
        </w:rPr>
      </w:pPr>
      <w:r w:rsidRPr="00860CC3">
        <w:rPr>
          <w:rFonts w:ascii="Times New Roman" w:hAnsi="Times New Roman"/>
          <w:sz w:val="24"/>
          <w:szCs w:val="24"/>
          <w:lang w:val="fr-FR"/>
        </w:rPr>
        <w:t>développement des infrastructures, des équipements et des produits de santé ;</w:t>
      </w:r>
    </w:p>
    <w:p w:rsidR="00171961" w:rsidRPr="00B54776" w:rsidRDefault="00171961" w:rsidP="003046BF">
      <w:pPr>
        <w:pStyle w:val="Paragraphedeliste"/>
        <w:numPr>
          <w:ilvl w:val="0"/>
          <w:numId w:val="41"/>
        </w:numPr>
        <w:spacing w:before="120" w:after="120" w:line="240" w:lineRule="auto"/>
        <w:ind w:right="360"/>
        <w:jc w:val="both"/>
        <w:divId w:val="410156154"/>
        <w:rPr>
          <w:rFonts w:ascii="Times New Roman" w:hAnsi="Times New Roman"/>
          <w:sz w:val="24"/>
          <w:szCs w:val="24"/>
          <w:lang w:val="fr-FR"/>
        </w:rPr>
      </w:pPr>
      <w:r w:rsidRPr="00860CC3">
        <w:rPr>
          <w:rFonts w:ascii="Times New Roman" w:hAnsi="Times New Roman"/>
          <w:sz w:val="24"/>
          <w:szCs w:val="24"/>
          <w:lang w:val="fr-FR"/>
        </w:rPr>
        <w:t>amélioration de la gestion du système d’information  sanitaire ;</w:t>
      </w:r>
    </w:p>
    <w:p w:rsidR="00171961" w:rsidRPr="00B54776" w:rsidRDefault="00171961" w:rsidP="003046BF">
      <w:pPr>
        <w:pStyle w:val="Paragraphedeliste"/>
        <w:numPr>
          <w:ilvl w:val="0"/>
          <w:numId w:val="41"/>
        </w:numPr>
        <w:spacing w:before="120" w:after="120" w:line="240" w:lineRule="auto"/>
        <w:ind w:right="360"/>
        <w:jc w:val="both"/>
        <w:divId w:val="410156154"/>
        <w:rPr>
          <w:rFonts w:ascii="Times New Roman" w:hAnsi="Times New Roman"/>
          <w:sz w:val="24"/>
          <w:szCs w:val="24"/>
          <w:lang w:val="fr-FR"/>
        </w:rPr>
      </w:pPr>
      <w:r w:rsidRPr="00860CC3">
        <w:rPr>
          <w:rFonts w:ascii="Times New Roman" w:hAnsi="Times New Roman"/>
          <w:sz w:val="24"/>
          <w:szCs w:val="24"/>
          <w:lang w:val="fr-FR"/>
        </w:rPr>
        <w:t xml:space="preserve">promotion de la recherche pour la santé ;  </w:t>
      </w:r>
    </w:p>
    <w:p w:rsidR="00171961" w:rsidRPr="00B54776" w:rsidRDefault="00171961" w:rsidP="003046BF">
      <w:pPr>
        <w:pStyle w:val="Paragraphedeliste"/>
        <w:numPr>
          <w:ilvl w:val="0"/>
          <w:numId w:val="41"/>
        </w:numPr>
        <w:spacing w:before="120" w:after="120" w:line="240" w:lineRule="auto"/>
        <w:ind w:right="480"/>
        <w:jc w:val="both"/>
        <w:divId w:val="410156154"/>
        <w:rPr>
          <w:rFonts w:ascii="Times New Roman" w:hAnsi="Times New Roman"/>
          <w:sz w:val="24"/>
          <w:szCs w:val="24"/>
          <w:lang w:val="fr-FR"/>
        </w:rPr>
      </w:pPr>
      <w:r w:rsidRPr="00860CC3">
        <w:rPr>
          <w:rFonts w:ascii="Times New Roman" w:hAnsi="Times New Roman"/>
          <w:sz w:val="24"/>
          <w:szCs w:val="24"/>
          <w:lang w:val="fr-FR"/>
        </w:rPr>
        <w:t xml:space="preserve">accroissement du financement de la santé et amélioration de l’accessibilité financière des populations aux services de santé. </w:t>
      </w:r>
    </w:p>
    <w:p w:rsidR="00171961" w:rsidRPr="00860CC3" w:rsidRDefault="00171961" w:rsidP="00FD4940">
      <w:pPr>
        <w:jc w:val="both"/>
        <w:divId w:val="410156154"/>
        <w:rPr>
          <w:lang w:val="fr-FR"/>
        </w:rPr>
      </w:pPr>
      <w:r w:rsidRPr="00860CC3">
        <w:rPr>
          <w:lang w:val="fr-FR"/>
        </w:rPr>
        <w:t xml:space="preserve">Pour la mise en œuvre de cette politique, le Burkina Faso dispose d’un PNDS 2011 – </w:t>
      </w:r>
      <w:r w:rsidR="009B07B9" w:rsidRPr="00860CC3">
        <w:rPr>
          <w:lang w:val="fr-FR"/>
        </w:rPr>
        <w:t>2020 dont</w:t>
      </w:r>
      <w:r w:rsidRPr="00860CC3">
        <w:rPr>
          <w:lang w:val="fr-FR"/>
        </w:rPr>
        <w:t xml:space="preserve"> les orientations sont celles de la politique nationale de santé.</w:t>
      </w:r>
    </w:p>
    <w:p w:rsidR="00662771" w:rsidRPr="00B54776" w:rsidRDefault="00662771" w:rsidP="00FD4940">
      <w:pPr>
        <w:pStyle w:val="Titre2"/>
        <w:spacing w:before="0" w:after="0" w:afterAutospacing="0"/>
        <w:jc w:val="both"/>
        <w:divId w:val="410156154"/>
        <w:rPr>
          <w:sz w:val="24"/>
          <w:szCs w:val="24"/>
          <w:lang w:val="fr-FR"/>
        </w:rPr>
      </w:pPr>
      <w:bookmarkStart w:id="12" w:name="_Toc289417455"/>
      <w:bookmarkStart w:id="13" w:name="_Toc366098295"/>
      <w:r w:rsidRPr="00B54776">
        <w:rPr>
          <w:sz w:val="24"/>
          <w:szCs w:val="24"/>
          <w:lang w:val="fr-FR"/>
        </w:rPr>
        <w:t>Carte sanitaire du Burkina Faso</w:t>
      </w:r>
    </w:p>
    <w:p w:rsidR="00662771" w:rsidRPr="00B07DCD" w:rsidRDefault="00662771" w:rsidP="00CA04D0">
      <w:pPr>
        <w:spacing w:line="360" w:lineRule="auto"/>
        <w:jc w:val="center"/>
        <w:divId w:val="410156154"/>
      </w:pPr>
      <w:r>
        <w:rPr>
          <w:noProof/>
          <w:lang w:val="fr-FR" w:eastAsia="fr-FR"/>
        </w:rPr>
        <w:drawing>
          <wp:inline distT="0" distB="0" distL="0" distR="0">
            <wp:extent cx="6435725" cy="4003675"/>
            <wp:effectExtent l="0" t="0" r="3175" b="0"/>
            <wp:docPr id="1" name="Image 1" descr="C:\Users\user\Pictures\car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user\Pictures\cart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35725" cy="4003675"/>
                    </a:xfrm>
                    <a:prstGeom prst="rect">
                      <a:avLst/>
                    </a:prstGeom>
                    <a:noFill/>
                    <a:ln>
                      <a:noFill/>
                    </a:ln>
                  </pic:spPr>
                </pic:pic>
              </a:graphicData>
            </a:graphic>
          </wp:inline>
        </w:drawing>
      </w:r>
    </w:p>
    <w:bookmarkEnd w:id="12"/>
    <w:bookmarkEnd w:id="13"/>
    <w:p w:rsidR="00662771" w:rsidRPr="00B07DCD" w:rsidRDefault="00662771" w:rsidP="00662771">
      <w:pPr>
        <w:spacing w:line="360" w:lineRule="auto"/>
        <w:jc w:val="both"/>
        <w:divId w:val="410156154"/>
        <w:sectPr w:rsidR="00662771" w:rsidRPr="00B07DCD" w:rsidSect="00662771">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9" w:footer="709" w:gutter="0"/>
          <w:cols w:space="708"/>
          <w:docGrid w:linePitch="360"/>
        </w:sectPr>
      </w:pPr>
    </w:p>
    <w:p w:rsidR="008B016D" w:rsidRPr="00536131" w:rsidRDefault="008B016D" w:rsidP="00536131">
      <w:pPr>
        <w:pStyle w:val="Paragraphedeliste"/>
        <w:numPr>
          <w:ilvl w:val="2"/>
          <w:numId w:val="42"/>
        </w:numPr>
        <w:spacing w:before="120" w:after="120"/>
        <w:ind w:right="960"/>
        <w:jc w:val="both"/>
        <w:divId w:val="410156154"/>
        <w:rPr>
          <w:rFonts w:ascii="Arial" w:hAnsi="Arial" w:cs="Arial"/>
          <w:bCs/>
          <w:color w:val="1F497D"/>
          <w:lang w:val="fr-FR"/>
        </w:rPr>
      </w:pPr>
      <w:bookmarkStart w:id="14" w:name="_Toc374908958"/>
      <w:r w:rsidRPr="00536131">
        <w:rPr>
          <w:rFonts w:ascii="Arial" w:hAnsi="Arial" w:cs="Arial"/>
          <w:bCs/>
          <w:color w:val="1F497D"/>
          <w:lang w:val="fr-FR"/>
        </w:rPr>
        <w:lastRenderedPageBreak/>
        <w:t xml:space="preserve">Organisation et fonctionnement du PEV </w:t>
      </w:r>
      <w:bookmarkEnd w:id="14"/>
      <w:r w:rsidR="00D7691A" w:rsidRPr="00536131">
        <w:rPr>
          <w:rFonts w:ascii="Arial" w:hAnsi="Arial" w:cs="Arial"/>
          <w:bCs/>
          <w:color w:val="1F497D"/>
          <w:lang w:val="fr-FR"/>
        </w:rPr>
        <w:t>au Burkina Faso</w:t>
      </w:r>
    </w:p>
    <w:p w:rsidR="00536131" w:rsidRPr="00536131" w:rsidRDefault="00536131" w:rsidP="00536131">
      <w:pPr>
        <w:pStyle w:val="Paragraphedeliste"/>
        <w:spacing w:before="120" w:after="120"/>
        <w:ind w:left="1320" w:right="960"/>
        <w:jc w:val="both"/>
        <w:divId w:val="410156154"/>
        <w:rPr>
          <w:rFonts w:ascii="Arial" w:hAnsi="Arial" w:cs="Arial"/>
          <w:bCs/>
          <w:color w:val="1F497D"/>
          <w:sz w:val="14"/>
          <w:lang w:val="fr-FR"/>
        </w:rPr>
      </w:pPr>
    </w:p>
    <w:p w:rsidR="00EA7509" w:rsidRPr="00860CC3" w:rsidRDefault="00EA7509" w:rsidP="00B563C2">
      <w:pPr>
        <w:jc w:val="both"/>
        <w:divId w:val="410156154"/>
        <w:rPr>
          <w:lang w:val="fr-FR"/>
        </w:rPr>
      </w:pPr>
      <w:r w:rsidRPr="00860CC3">
        <w:rPr>
          <w:lang w:val="fr-FR"/>
        </w:rPr>
        <w:t>Au plan institutionnel, l’organisation du PEV a connu plusieurs évolutions. En effet, de la Direction de la Surveillance Epidémiologique et des Vaccinations (DSEV) en 1982, la structure a été rebaptisée  Direction de la Prévention par les Vaccinations (DPV) en 1990. En 1994, c’est un Service qui est créé en lieu et place de la Direction : le Service de la Prévention par les Vaccinations (SPV) qui fut d’abord rattaché à la Direction de la Santé de la Famille (1994) puis à la Direction de la Médecine Préventive (1996).</w:t>
      </w:r>
    </w:p>
    <w:p w:rsidR="00EA7509" w:rsidRPr="00860CC3" w:rsidRDefault="00EA7509" w:rsidP="00B563C2">
      <w:pPr>
        <w:jc w:val="both"/>
        <w:divId w:val="410156154"/>
        <w:rPr>
          <w:lang w:val="fr-FR"/>
        </w:rPr>
      </w:pPr>
      <w:r w:rsidRPr="00860CC3">
        <w:rPr>
          <w:lang w:val="fr-FR"/>
        </w:rPr>
        <w:t>En 2003, le service est redevenu une direction technique à part entière, Direction de la Prévention par les Vaccinations (DPV).</w:t>
      </w:r>
    </w:p>
    <w:p w:rsidR="00EA7509" w:rsidRPr="002F7D48" w:rsidRDefault="00EA7509" w:rsidP="00B563C2">
      <w:pPr>
        <w:ind w:right="720"/>
        <w:jc w:val="both"/>
        <w:divId w:val="410156154"/>
        <w:rPr>
          <w:bCs/>
          <w:color w:val="1F497D"/>
          <w:lang w:val="fr-FR"/>
        </w:rPr>
      </w:pPr>
    </w:p>
    <w:p w:rsidR="00EA7509" w:rsidRPr="00860CC3" w:rsidRDefault="00EA7509" w:rsidP="00BE3E0A">
      <w:pPr>
        <w:jc w:val="both"/>
        <w:divId w:val="410156154"/>
        <w:rPr>
          <w:lang w:val="fr-FR"/>
        </w:rPr>
      </w:pPr>
      <w:r w:rsidRPr="00860CC3">
        <w:rPr>
          <w:lang w:val="fr-FR"/>
        </w:rPr>
        <w:t xml:space="preserve">Au terme du </w:t>
      </w:r>
      <w:r w:rsidR="00C36E43" w:rsidRPr="00860CC3">
        <w:rPr>
          <w:lang w:val="fr-FR"/>
        </w:rPr>
        <w:t>décret N°2013</w:t>
      </w:r>
      <w:r w:rsidRPr="00860CC3">
        <w:rPr>
          <w:lang w:val="fr-FR"/>
        </w:rPr>
        <w:t>-</w:t>
      </w:r>
      <w:r w:rsidR="00DE0318" w:rsidRPr="00860CC3">
        <w:rPr>
          <w:lang w:val="fr-FR"/>
        </w:rPr>
        <w:t>92</w:t>
      </w:r>
      <w:r w:rsidRPr="00860CC3">
        <w:rPr>
          <w:lang w:val="fr-FR"/>
        </w:rPr>
        <w:t xml:space="preserve">6/PRES/PM/MS du </w:t>
      </w:r>
      <w:r w:rsidR="00BE3E0A" w:rsidRPr="00860CC3">
        <w:rPr>
          <w:lang w:val="fr-FR"/>
        </w:rPr>
        <w:t>10</w:t>
      </w:r>
      <w:r w:rsidR="00C36E43" w:rsidRPr="00860CC3">
        <w:rPr>
          <w:lang w:val="fr-FR"/>
        </w:rPr>
        <w:t xml:space="preserve"> octobre 2013</w:t>
      </w:r>
      <w:r w:rsidRPr="00860CC3">
        <w:rPr>
          <w:lang w:val="fr-FR"/>
        </w:rPr>
        <w:t>,portant organisation du Ministère de la santé, la Direction de la prévention par les vaccinations (DPV) est une des six (6) directions techniques de la Direction générale de la santé (DGS).</w:t>
      </w:r>
    </w:p>
    <w:p w:rsidR="009E5623" w:rsidRPr="00860CC3" w:rsidRDefault="00EA7509" w:rsidP="00681BCA">
      <w:pPr>
        <w:jc w:val="both"/>
        <w:divId w:val="410156154"/>
        <w:rPr>
          <w:lang w:val="fr-FR"/>
        </w:rPr>
      </w:pPr>
      <w:r w:rsidRPr="00860CC3">
        <w:rPr>
          <w:lang w:val="fr-FR"/>
        </w:rPr>
        <w:t xml:space="preserve">Au terme </w:t>
      </w:r>
      <w:r w:rsidR="00681BCA" w:rsidRPr="00860CC3">
        <w:rPr>
          <w:lang w:val="fr-FR"/>
        </w:rPr>
        <w:t>d</w:t>
      </w:r>
      <w:r w:rsidRPr="00860CC3">
        <w:rPr>
          <w:lang w:val="fr-FR"/>
        </w:rPr>
        <w:t xml:space="preserve">e l’arrêté </w:t>
      </w:r>
      <w:r w:rsidR="00681BCA" w:rsidRPr="00860CC3">
        <w:rPr>
          <w:lang w:val="fr-FR"/>
        </w:rPr>
        <w:t xml:space="preserve">N°2013-1275/CAB </w:t>
      </w:r>
      <w:r w:rsidRPr="00860CC3">
        <w:rPr>
          <w:lang w:val="fr-FR"/>
        </w:rPr>
        <w:t xml:space="preserve">du </w:t>
      </w:r>
      <w:r w:rsidR="00681BCA" w:rsidRPr="00860CC3">
        <w:rPr>
          <w:lang w:val="fr-FR"/>
        </w:rPr>
        <w:t>18 octobre 2013</w:t>
      </w:r>
      <w:r w:rsidRPr="00860CC3">
        <w:rPr>
          <w:lang w:val="fr-FR"/>
        </w:rPr>
        <w:t xml:space="preserve">, </w:t>
      </w:r>
      <w:r w:rsidR="00681BCA" w:rsidRPr="00860CC3">
        <w:rPr>
          <w:lang w:val="fr-FR"/>
        </w:rPr>
        <w:t xml:space="preserve">portant attributions, organisation et fonctionnement de la Direction générale de la santé, </w:t>
      </w:r>
      <w:r w:rsidR="009E5623" w:rsidRPr="00860CC3">
        <w:rPr>
          <w:lang w:val="fr-FR"/>
        </w:rPr>
        <w:t>la DPV a pour missions:</w:t>
      </w:r>
    </w:p>
    <w:p w:rsidR="00681BCA" w:rsidRPr="00860CC3" w:rsidRDefault="009E5623" w:rsidP="003046BF">
      <w:pPr>
        <w:pStyle w:val="Paragraphedeliste"/>
        <w:numPr>
          <w:ilvl w:val="0"/>
          <w:numId w:val="40"/>
        </w:numPr>
        <w:spacing w:after="0" w:line="240" w:lineRule="auto"/>
        <w:jc w:val="both"/>
        <w:divId w:val="410156154"/>
        <w:rPr>
          <w:rFonts w:ascii="Times New Roman" w:hAnsi="Times New Roman"/>
          <w:sz w:val="24"/>
          <w:szCs w:val="24"/>
          <w:lang w:val="fr-FR"/>
        </w:rPr>
      </w:pPr>
      <w:r w:rsidRPr="00860CC3">
        <w:rPr>
          <w:rFonts w:ascii="Times New Roman" w:hAnsi="Times New Roman"/>
          <w:sz w:val="24"/>
          <w:szCs w:val="24"/>
          <w:lang w:val="fr-FR"/>
        </w:rPr>
        <w:t xml:space="preserve">de concevoir, de cordonner, de planifier, d’assurer </w:t>
      </w:r>
      <w:r w:rsidR="00681BCA" w:rsidRPr="00860CC3">
        <w:rPr>
          <w:rFonts w:ascii="Times New Roman" w:hAnsi="Times New Roman"/>
          <w:sz w:val="24"/>
          <w:szCs w:val="24"/>
          <w:lang w:val="fr-FR"/>
        </w:rPr>
        <w:t>le suivi et l’évaluation des activités de vaccination;</w:t>
      </w:r>
    </w:p>
    <w:p w:rsidR="009E5623" w:rsidRPr="00860CC3" w:rsidRDefault="009E5623" w:rsidP="003046BF">
      <w:pPr>
        <w:pStyle w:val="Paragraphedeliste"/>
        <w:numPr>
          <w:ilvl w:val="0"/>
          <w:numId w:val="40"/>
        </w:numPr>
        <w:spacing w:after="0" w:line="240" w:lineRule="auto"/>
        <w:jc w:val="both"/>
        <w:divId w:val="410156154"/>
        <w:rPr>
          <w:rFonts w:ascii="Times New Roman" w:hAnsi="Times New Roman"/>
          <w:sz w:val="24"/>
          <w:szCs w:val="24"/>
          <w:lang w:val="fr-FR"/>
        </w:rPr>
      </w:pPr>
      <w:r w:rsidRPr="00860CC3">
        <w:rPr>
          <w:rFonts w:ascii="Times New Roman" w:hAnsi="Times New Roman"/>
          <w:sz w:val="24"/>
          <w:szCs w:val="24"/>
          <w:lang w:val="fr-FR"/>
        </w:rPr>
        <w:t>de participer à la surveillance épidémiologique des maladies cibles du programme élargi de vaccination en collaboration avec la Direction de la lutte contre la maladie ; </w:t>
      </w:r>
    </w:p>
    <w:p w:rsidR="009E5623" w:rsidRPr="00860CC3" w:rsidRDefault="009E5623" w:rsidP="003046BF">
      <w:pPr>
        <w:pStyle w:val="Paragraphedeliste"/>
        <w:numPr>
          <w:ilvl w:val="0"/>
          <w:numId w:val="40"/>
        </w:numPr>
        <w:spacing w:after="0" w:line="240" w:lineRule="auto"/>
        <w:jc w:val="both"/>
        <w:divId w:val="410156154"/>
        <w:rPr>
          <w:rFonts w:ascii="Times New Roman" w:hAnsi="Times New Roman"/>
          <w:sz w:val="24"/>
          <w:szCs w:val="24"/>
          <w:lang w:val="fr-FR"/>
        </w:rPr>
      </w:pPr>
      <w:r w:rsidRPr="00860CC3">
        <w:rPr>
          <w:rFonts w:ascii="Times New Roman" w:hAnsi="Times New Roman"/>
          <w:sz w:val="24"/>
          <w:szCs w:val="24"/>
          <w:lang w:val="fr-FR"/>
        </w:rPr>
        <w:t>d’organiser et de co</w:t>
      </w:r>
      <w:r w:rsidRPr="009E5623">
        <w:rPr>
          <w:rFonts w:ascii="Times New Roman" w:hAnsi="Times New Roman"/>
          <w:sz w:val="24"/>
          <w:szCs w:val="24"/>
          <w:lang w:val="fr-FR"/>
        </w:rPr>
        <w:t>o</w:t>
      </w:r>
      <w:r w:rsidRPr="00860CC3">
        <w:rPr>
          <w:rFonts w:ascii="Times New Roman" w:hAnsi="Times New Roman"/>
          <w:sz w:val="24"/>
          <w:szCs w:val="24"/>
          <w:lang w:val="fr-FR"/>
        </w:rPr>
        <w:t>rdonner la riposte vaccinale en collaboration avec la Direction de la lutte contre la maladie dans les situations d’urgence et en cas d’épidémie où l’indication d’une vaccination est posée ; </w:t>
      </w:r>
    </w:p>
    <w:p w:rsidR="009E5623" w:rsidRPr="00860CC3" w:rsidRDefault="009E5623" w:rsidP="003046BF">
      <w:pPr>
        <w:pStyle w:val="Paragraphedeliste"/>
        <w:numPr>
          <w:ilvl w:val="0"/>
          <w:numId w:val="40"/>
        </w:numPr>
        <w:spacing w:after="0" w:line="240" w:lineRule="auto"/>
        <w:jc w:val="both"/>
        <w:divId w:val="410156154"/>
        <w:rPr>
          <w:rFonts w:ascii="Times New Roman" w:hAnsi="Times New Roman"/>
          <w:sz w:val="24"/>
          <w:szCs w:val="24"/>
          <w:lang w:val="fr-FR"/>
        </w:rPr>
      </w:pPr>
      <w:r w:rsidRPr="00860CC3">
        <w:rPr>
          <w:rFonts w:ascii="Times New Roman" w:hAnsi="Times New Roman"/>
          <w:sz w:val="24"/>
          <w:szCs w:val="24"/>
          <w:lang w:val="fr-FR"/>
        </w:rPr>
        <w:t xml:space="preserve">d’assurer l’approvisionnement en vaccins et consommables en collaboration avec la Direction </w:t>
      </w:r>
      <w:r w:rsidR="00681BCA" w:rsidRPr="00860CC3">
        <w:rPr>
          <w:rFonts w:ascii="Times New Roman" w:hAnsi="Times New Roman"/>
          <w:sz w:val="24"/>
          <w:szCs w:val="24"/>
          <w:lang w:val="fr-FR"/>
        </w:rPr>
        <w:t>de l’administration</w:t>
      </w:r>
      <w:r w:rsidRPr="00860CC3">
        <w:rPr>
          <w:rFonts w:ascii="Times New Roman" w:hAnsi="Times New Roman"/>
          <w:sz w:val="24"/>
          <w:szCs w:val="24"/>
          <w:lang w:val="fr-FR"/>
        </w:rPr>
        <w:t xml:space="preserve"> et des finances et la Direction de </w:t>
      </w:r>
      <w:r w:rsidR="00BE3E0A" w:rsidRPr="00860CC3">
        <w:rPr>
          <w:rFonts w:ascii="Times New Roman" w:hAnsi="Times New Roman"/>
          <w:sz w:val="24"/>
          <w:szCs w:val="24"/>
          <w:lang w:val="fr-FR"/>
        </w:rPr>
        <w:t xml:space="preserve">la </w:t>
      </w:r>
      <w:r w:rsidRPr="00860CC3">
        <w:rPr>
          <w:rFonts w:ascii="Times New Roman" w:hAnsi="Times New Roman"/>
          <w:sz w:val="24"/>
          <w:szCs w:val="24"/>
          <w:lang w:val="fr-FR"/>
        </w:rPr>
        <w:t>sécurisation des approvisionnements pharmaceutiques ;</w:t>
      </w:r>
    </w:p>
    <w:p w:rsidR="00042BCF" w:rsidRPr="00860CC3" w:rsidRDefault="009E5623" w:rsidP="003046BF">
      <w:pPr>
        <w:pStyle w:val="Paragraphedeliste"/>
        <w:numPr>
          <w:ilvl w:val="0"/>
          <w:numId w:val="40"/>
        </w:numPr>
        <w:spacing w:after="0" w:line="240" w:lineRule="auto"/>
        <w:ind w:left="840" w:right="120"/>
        <w:jc w:val="both"/>
        <w:divId w:val="410156154"/>
        <w:rPr>
          <w:rFonts w:ascii="Times New Roman" w:hAnsi="Times New Roman"/>
          <w:sz w:val="24"/>
          <w:szCs w:val="24"/>
          <w:lang w:val="fr-FR"/>
        </w:rPr>
      </w:pPr>
      <w:r w:rsidRPr="00860CC3">
        <w:rPr>
          <w:rFonts w:ascii="Times New Roman" w:hAnsi="Times New Roman"/>
          <w:sz w:val="24"/>
          <w:szCs w:val="24"/>
          <w:lang w:val="fr-FR"/>
        </w:rPr>
        <w:t>de participer aux travaux de recherche sur les vaccinations ; </w:t>
      </w:r>
    </w:p>
    <w:p w:rsidR="009E5623" w:rsidRPr="00860CC3" w:rsidRDefault="009E5623" w:rsidP="003046BF">
      <w:pPr>
        <w:pStyle w:val="Paragraphedeliste"/>
        <w:numPr>
          <w:ilvl w:val="0"/>
          <w:numId w:val="40"/>
        </w:numPr>
        <w:spacing w:after="0" w:line="240" w:lineRule="auto"/>
        <w:ind w:left="840" w:right="120"/>
        <w:jc w:val="both"/>
        <w:divId w:val="410156154"/>
        <w:rPr>
          <w:rFonts w:ascii="Times New Roman" w:hAnsi="Times New Roman"/>
          <w:sz w:val="24"/>
          <w:szCs w:val="24"/>
          <w:lang w:val="fr-FR"/>
        </w:rPr>
      </w:pPr>
      <w:r w:rsidRPr="00860CC3">
        <w:rPr>
          <w:rFonts w:ascii="Times New Roman" w:hAnsi="Times New Roman"/>
          <w:sz w:val="24"/>
          <w:szCs w:val="24"/>
          <w:lang w:val="fr-FR"/>
        </w:rPr>
        <w:t>d’apporter un appui technique aux structures déconcentrées dans la mise en œuvre des activités de vaccination</w:t>
      </w:r>
      <w:r w:rsidR="00042BCF" w:rsidRPr="00860CC3">
        <w:rPr>
          <w:rFonts w:ascii="Times New Roman" w:hAnsi="Times New Roman"/>
          <w:sz w:val="24"/>
          <w:szCs w:val="24"/>
          <w:lang w:val="fr-FR"/>
        </w:rPr>
        <w:t>.</w:t>
      </w:r>
    </w:p>
    <w:p w:rsidR="00EA7509" w:rsidRPr="009E5623" w:rsidRDefault="00EA7509" w:rsidP="00B563C2">
      <w:pPr>
        <w:ind w:right="720"/>
        <w:jc w:val="both"/>
        <w:divId w:val="410156154"/>
        <w:rPr>
          <w:bCs/>
          <w:lang w:val="fr-FR"/>
        </w:rPr>
      </w:pPr>
    </w:p>
    <w:p w:rsidR="00F94CD8" w:rsidRPr="002F7D48" w:rsidRDefault="00F94CD8" w:rsidP="00B563C2">
      <w:pPr>
        <w:ind w:right="720"/>
        <w:jc w:val="both"/>
        <w:divId w:val="410156154"/>
        <w:rPr>
          <w:bCs/>
          <w:lang w:val="fr-FR"/>
        </w:rPr>
      </w:pPr>
      <w:r w:rsidRPr="002F7D48">
        <w:rPr>
          <w:bCs/>
          <w:lang w:val="fr-FR"/>
        </w:rPr>
        <w:t>La direction du PEV est appuyée aussi par d’autres structures scientifiques telles que :</w:t>
      </w:r>
    </w:p>
    <w:p w:rsidR="00F94CD8" w:rsidRPr="00860CC3" w:rsidRDefault="00F94CD8" w:rsidP="003046BF">
      <w:pPr>
        <w:pStyle w:val="Paragraphedeliste"/>
        <w:numPr>
          <w:ilvl w:val="0"/>
          <w:numId w:val="43"/>
        </w:numPr>
        <w:autoSpaceDE w:val="0"/>
        <w:autoSpaceDN w:val="0"/>
        <w:adjustRightInd w:val="0"/>
        <w:spacing w:after="0" w:line="240" w:lineRule="auto"/>
        <w:jc w:val="both"/>
        <w:divId w:val="410156154"/>
        <w:rPr>
          <w:rFonts w:ascii="Times New Roman" w:hAnsi="Times New Roman"/>
          <w:sz w:val="24"/>
          <w:szCs w:val="24"/>
          <w:lang w:val="fr-FR"/>
        </w:rPr>
      </w:pPr>
      <w:r w:rsidRPr="00057DB1">
        <w:rPr>
          <w:rFonts w:ascii="Times New Roman" w:hAnsi="Times New Roman"/>
          <w:sz w:val="24"/>
          <w:szCs w:val="24"/>
          <w:lang w:val="fr-FR"/>
        </w:rPr>
        <w:t xml:space="preserve">le groupe </w:t>
      </w:r>
      <w:r w:rsidR="00057DB1" w:rsidRPr="00057DB1">
        <w:rPr>
          <w:rFonts w:ascii="Times New Roman" w:hAnsi="Times New Roman"/>
          <w:sz w:val="24"/>
          <w:szCs w:val="24"/>
          <w:lang w:val="fr-FR"/>
        </w:rPr>
        <w:t>technique consultatif sur la vaccination (GTCV)</w:t>
      </w:r>
    </w:p>
    <w:p w:rsidR="00F94CD8" w:rsidRPr="00860CC3" w:rsidRDefault="00F94CD8" w:rsidP="003046BF">
      <w:pPr>
        <w:pStyle w:val="Paragraphedeliste"/>
        <w:numPr>
          <w:ilvl w:val="0"/>
          <w:numId w:val="43"/>
        </w:numPr>
        <w:autoSpaceDE w:val="0"/>
        <w:autoSpaceDN w:val="0"/>
        <w:adjustRightInd w:val="0"/>
        <w:spacing w:after="0" w:line="240" w:lineRule="auto"/>
        <w:jc w:val="both"/>
        <w:divId w:val="410156154"/>
        <w:rPr>
          <w:rFonts w:ascii="Times New Roman" w:hAnsi="Times New Roman"/>
          <w:sz w:val="24"/>
          <w:szCs w:val="24"/>
          <w:lang w:val="fr-FR"/>
        </w:rPr>
      </w:pPr>
      <w:r w:rsidRPr="002F7D48">
        <w:rPr>
          <w:rFonts w:ascii="Times New Roman" w:hAnsi="Times New Roman"/>
          <w:sz w:val="24"/>
          <w:szCs w:val="24"/>
          <w:lang w:val="fr-FR"/>
        </w:rPr>
        <w:t>le comité</w:t>
      </w:r>
      <w:r w:rsidRPr="00860CC3">
        <w:rPr>
          <w:rFonts w:ascii="Times New Roman" w:hAnsi="Times New Roman"/>
          <w:sz w:val="24"/>
          <w:szCs w:val="24"/>
          <w:lang w:val="fr-FR"/>
        </w:rPr>
        <w:t xml:space="preserve"> national de certification de la poliomyélite</w:t>
      </w:r>
      <w:r w:rsidR="00057DB1" w:rsidRPr="00860CC3">
        <w:rPr>
          <w:rFonts w:ascii="Times New Roman" w:hAnsi="Times New Roman"/>
          <w:sz w:val="24"/>
          <w:szCs w:val="24"/>
          <w:lang w:val="fr-FR"/>
        </w:rPr>
        <w:t xml:space="preserve"> (CNC)</w:t>
      </w:r>
    </w:p>
    <w:p w:rsidR="00F94CD8" w:rsidRPr="002F7D48" w:rsidRDefault="00F94CD8" w:rsidP="003046BF">
      <w:pPr>
        <w:pStyle w:val="Paragraphedeliste"/>
        <w:numPr>
          <w:ilvl w:val="0"/>
          <w:numId w:val="43"/>
        </w:numPr>
        <w:autoSpaceDE w:val="0"/>
        <w:autoSpaceDN w:val="0"/>
        <w:adjustRightInd w:val="0"/>
        <w:spacing w:after="0" w:line="240" w:lineRule="auto"/>
        <w:jc w:val="both"/>
        <w:divId w:val="410156154"/>
        <w:rPr>
          <w:rFonts w:ascii="Times New Roman" w:hAnsi="Times New Roman"/>
          <w:sz w:val="24"/>
          <w:szCs w:val="24"/>
          <w:lang w:val="fr-FR"/>
        </w:rPr>
      </w:pPr>
      <w:r w:rsidRPr="002F7D48">
        <w:rPr>
          <w:rFonts w:ascii="Times New Roman" w:hAnsi="Times New Roman"/>
          <w:sz w:val="24"/>
          <w:szCs w:val="24"/>
          <w:lang w:val="fr-FR"/>
        </w:rPr>
        <w:t xml:space="preserve">le comité national des experts </w:t>
      </w:r>
      <w:r w:rsidR="00BE3E0A">
        <w:rPr>
          <w:rFonts w:ascii="Times New Roman" w:hAnsi="Times New Roman"/>
          <w:sz w:val="24"/>
          <w:szCs w:val="24"/>
          <w:lang w:val="fr-FR"/>
        </w:rPr>
        <w:t xml:space="preserve">de la </w:t>
      </w:r>
      <w:r w:rsidRPr="002F7D48">
        <w:rPr>
          <w:rFonts w:ascii="Times New Roman" w:hAnsi="Times New Roman"/>
          <w:sz w:val="24"/>
          <w:szCs w:val="24"/>
          <w:lang w:val="fr-FR"/>
        </w:rPr>
        <w:t>poliomyélite</w:t>
      </w:r>
      <w:r w:rsidR="00057DB1">
        <w:rPr>
          <w:rFonts w:ascii="Times New Roman" w:hAnsi="Times New Roman"/>
          <w:sz w:val="24"/>
          <w:szCs w:val="24"/>
          <w:lang w:val="fr-FR"/>
        </w:rPr>
        <w:t xml:space="preserve"> (CNEP)</w:t>
      </w:r>
    </w:p>
    <w:p w:rsidR="00F94CD8" w:rsidRPr="00860CC3" w:rsidRDefault="00F94CD8" w:rsidP="003046BF">
      <w:pPr>
        <w:pStyle w:val="Paragraphedeliste"/>
        <w:numPr>
          <w:ilvl w:val="0"/>
          <w:numId w:val="43"/>
        </w:numPr>
        <w:autoSpaceDE w:val="0"/>
        <w:autoSpaceDN w:val="0"/>
        <w:adjustRightInd w:val="0"/>
        <w:spacing w:after="0" w:line="240" w:lineRule="auto"/>
        <w:jc w:val="both"/>
        <w:divId w:val="410156154"/>
        <w:rPr>
          <w:rFonts w:ascii="Times New Roman" w:hAnsi="Times New Roman"/>
          <w:sz w:val="24"/>
          <w:szCs w:val="24"/>
          <w:lang w:val="fr-FR"/>
        </w:rPr>
      </w:pPr>
      <w:r w:rsidRPr="002F7D48">
        <w:rPr>
          <w:rFonts w:ascii="Times New Roman" w:hAnsi="Times New Roman"/>
          <w:sz w:val="24"/>
          <w:szCs w:val="24"/>
          <w:lang w:val="fr-FR"/>
        </w:rPr>
        <w:t>le sous-comité</w:t>
      </w:r>
      <w:r w:rsidRPr="00860CC3">
        <w:rPr>
          <w:rFonts w:ascii="Times New Roman" w:hAnsi="Times New Roman"/>
          <w:sz w:val="24"/>
          <w:szCs w:val="24"/>
          <w:lang w:val="fr-FR"/>
        </w:rPr>
        <w:t xml:space="preserve"> national de confinement de la poliomyélite</w:t>
      </w:r>
    </w:p>
    <w:p w:rsidR="00F94CD8" w:rsidRPr="002F7D48" w:rsidRDefault="00F94CD8" w:rsidP="00B563C2">
      <w:pPr>
        <w:ind w:right="720"/>
        <w:jc w:val="both"/>
        <w:divId w:val="410156154"/>
        <w:rPr>
          <w:bCs/>
          <w:lang w:val="fr-FR"/>
        </w:rPr>
      </w:pPr>
    </w:p>
    <w:p w:rsidR="00AD76D2" w:rsidRPr="002F7D48" w:rsidRDefault="00F94CD8" w:rsidP="004D72B5">
      <w:pPr>
        <w:autoSpaceDE w:val="0"/>
        <w:autoSpaceDN w:val="0"/>
        <w:adjustRightInd w:val="0"/>
        <w:jc w:val="both"/>
        <w:divId w:val="410156154"/>
        <w:rPr>
          <w:lang w:val="fr-FR"/>
        </w:rPr>
      </w:pPr>
      <w:r w:rsidRPr="002F7D48">
        <w:rPr>
          <w:bCs/>
          <w:lang w:val="fr-FR"/>
        </w:rPr>
        <w:t>La direction du PEV reçoit également un appui de la D</w:t>
      </w:r>
      <w:r w:rsidR="00AD76D2" w:rsidRPr="002F7D48">
        <w:rPr>
          <w:bCs/>
          <w:lang w:val="fr-FR"/>
        </w:rPr>
        <w:t xml:space="preserve">irection </w:t>
      </w:r>
      <w:r w:rsidRPr="002F7D48">
        <w:rPr>
          <w:bCs/>
          <w:lang w:val="fr-FR"/>
        </w:rPr>
        <w:t>G</w:t>
      </w:r>
      <w:r w:rsidR="00AD76D2" w:rsidRPr="002F7D48">
        <w:rPr>
          <w:bCs/>
          <w:lang w:val="fr-FR"/>
        </w:rPr>
        <w:t xml:space="preserve">énérale de la </w:t>
      </w:r>
      <w:r w:rsidRPr="002F7D48">
        <w:rPr>
          <w:bCs/>
          <w:lang w:val="fr-FR"/>
        </w:rPr>
        <w:t>P</w:t>
      </w:r>
      <w:r w:rsidR="00AD76D2" w:rsidRPr="002F7D48">
        <w:rPr>
          <w:bCs/>
          <w:lang w:val="fr-FR"/>
        </w:rPr>
        <w:t xml:space="preserve">harmacie, du </w:t>
      </w:r>
      <w:r w:rsidRPr="002F7D48">
        <w:rPr>
          <w:bCs/>
          <w:lang w:val="fr-FR"/>
        </w:rPr>
        <w:t>M</w:t>
      </w:r>
      <w:r w:rsidR="00AD76D2" w:rsidRPr="002F7D48">
        <w:rPr>
          <w:bCs/>
          <w:lang w:val="fr-FR"/>
        </w:rPr>
        <w:t xml:space="preserve">édicament et des </w:t>
      </w:r>
      <w:r w:rsidRPr="002F7D48">
        <w:rPr>
          <w:bCs/>
          <w:lang w:val="fr-FR"/>
        </w:rPr>
        <w:t>L</w:t>
      </w:r>
      <w:r w:rsidR="00AD76D2" w:rsidRPr="002F7D48">
        <w:rPr>
          <w:bCs/>
          <w:lang w:val="fr-FR"/>
        </w:rPr>
        <w:t>aboratoires</w:t>
      </w:r>
      <w:r w:rsidR="00AD76D2" w:rsidRPr="002F7D48">
        <w:rPr>
          <w:lang w:val="fr-FR"/>
        </w:rPr>
        <w:t xml:space="preserve"> (</w:t>
      </w:r>
      <w:r w:rsidR="004D72B5">
        <w:rPr>
          <w:lang w:val="fr-FR"/>
        </w:rPr>
        <w:t xml:space="preserve">DGPML) pour la gestion des MAPI, </w:t>
      </w:r>
      <w:r w:rsidR="00AD76D2" w:rsidRPr="002F7D48">
        <w:rPr>
          <w:lang w:val="fr-FR"/>
        </w:rPr>
        <w:t>l’ho</w:t>
      </w:r>
      <w:r w:rsidR="004D72B5">
        <w:rPr>
          <w:lang w:val="fr-FR"/>
        </w:rPr>
        <w:t xml:space="preserve">mologation et le contrôle de </w:t>
      </w:r>
      <w:r w:rsidR="00AD76D2" w:rsidRPr="002F7D48">
        <w:rPr>
          <w:lang w:val="fr-FR"/>
        </w:rPr>
        <w:t>qualité</w:t>
      </w:r>
      <w:r w:rsidR="004D72B5">
        <w:rPr>
          <w:lang w:val="fr-FR"/>
        </w:rPr>
        <w:t xml:space="preserve">; </w:t>
      </w:r>
      <w:r w:rsidR="00AD76D2" w:rsidRPr="002F7D48">
        <w:rPr>
          <w:bCs/>
          <w:lang w:val="fr-FR"/>
        </w:rPr>
        <w:t>de la Direction de la Lutte contre la Maladie (DLM) dans le cadre de la surv</w:t>
      </w:r>
      <w:r w:rsidR="00BE3E0A">
        <w:rPr>
          <w:bCs/>
          <w:lang w:val="fr-FR"/>
        </w:rPr>
        <w:t>eillance intégrée de la maladie;</w:t>
      </w:r>
      <w:r w:rsidR="004D72B5">
        <w:rPr>
          <w:bCs/>
          <w:lang w:val="fr-FR"/>
        </w:rPr>
        <w:t xml:space="preserve"> l</w:t>
      </w:r>
      <w:r w:rsidR="00AD76D2" w:rsidRPr="002F7D48">
        <w:rPr>
          <w:lang w:val="fr-FR"/>
        </w:rPr>
        <w:t xml:space="preserve">a Direction de la Promotion de la Santé (DPS) </w:t>
      </w:r>
      <w:r w:rsidR="007F04D0">
        <w:rPr>
          <w:lang w:val="fr-FR"/>
        </w:rPr>
        <w:t>pour l’élaboration des messages et la Direction de l’Administration et des Finances (DAF) dans le cadre des équipements et de la maintenance.</w:t>
      </w:r>
    </w:p>
    <w:p w:rsidR="00604D68" w:rsidRPr="00860CC3" w:rsidRDefault="00604D68" w:rsidP="00B563C2">
      <w:pPr>
        <w:autoSpaceDE w:val="0"/>
        <w:autoSpaceDN w:val="0"/>
        <w:adjustRightInd w:val="0"/>
        <w:jc w:val="both"/>
        <w:divId w:val="410156154"/>
        <w:rPr>
          <w:lang w:val="fr-FR"/>
        </w:rPr>
      </w:pPr>
    </w:p>
    <w:p w:rsidR="00604D68" w:rsidRPr="00955CED" w:rsidRDefault="00604D68" w:rsidP="00B563C2">
      <w:pPr>
        <w:autoSpaceDE w:val="0"/>
        <w:autoSpaceDN w:val="0"/>
        <w:adjustRightInd w:val="0"/>
        <w:jc w:val="both"/>
        <w:divId w:val="410156154"/>
        <w:rPr>
          <w:lang w:val="fr-FR"/>
        </w:rPr>
      </w:pPr>
      <w:r w:rsidRPr="00955CED">
        <w:rPr>
          <w:lang w:val="fr-FR"/>
        </w:rPr>
        <w:t xml:space="preserve">Les partenaires du Ministère de la Santé, pour le PEV, se concertent au sein du Groupe Thématique de Vaccination avec </w:t>
      </w:r>
      <w:r w:rsidR="00955CED" w:rsidRPr="00955CED">
        <w:rPr>
          <w:lang w:val="fr-FR"/>
        </w:rPr>
        <w:t>trois</w:t>
      </w:r>
      <w:r w:rsidRPr="00955CED">
        <w:rPr>
          <w:lang w:val="fr-FR"/>
        </w:rPr>
        <w:t xml:space="preserve"> composantes</w:t>
      </w:r>
      <w:r w:rsidR="00AD76D2" w:rsidRPr="00955CED">
        <w:rPr>
          <w:lang w:val="fr-FR"/>
        </w:rPr>
        <w:t> :</w:t>
      </w:r>
    </w:p>
    <w:p w:rsidR="00604D68" w:rsidRPr="00860CC3" w:rsidRDefault="00604D68" w:rsidP="003046BF">
      <w:pPr>
        <w:pStyle w:val="Paragraphedeliste"/>
        <w:numPr>
          <w:ilvl w:val="0"/>
          <w:numId w:val="43"/>
        </w:numPr>
        <w:autoSpaceDE w:val="0"/>
        <w:autoSpaceDN w:val="0"/>
        <w:adjustRightInd w:val="0"/>
        <w:spacing w:after="0" w:line="240" w:lineRule="auto"/>
        <w:jc w:val="both"/>
        <w:divId w:val="410156154"/>
        <w:rPr>
          <w:rFonts w:ascii="Times New Roman" w:hAnsi="Times New Roman"/>
          <w:sz w:val="24"/>
          <w:szCs w:val="24"/>
          <w:lang w:val="fr-FR"/>
        </w:rPr>
      </w:pPr>
      <w:r w:rsidRPr="00860CC3">
        <w:rPr>
          <w:rFonts w:ascii="Times New Roman" w:hAnsi="Times New Roman"/>
          <w:sz w:val="24"/>
          <w:szCs w:val="24"/>
          <w:lang w:val="fr-FR"/>
        </w:rPr>
        <w:t xml:space="preserve">le </w:t>
      </w:r>
      <w:r w:rsidR="00AD76D2" w:rsidRPr="00955CED">
        <w:rPr>
          <w:rFonts w:ascii="Times New Roman" w:hAnsi="Times New Roman"/>
          <w:sz w:val="24"/>
          <w:szCs w:val="24"/>
          <w:lang w:val="fr-FR"/>
        </w:rPr>
        <w:t>G</w:t>
      </w:r>
      <w:r w:rsidRPr="00955CED">
        <w:rPr>
          <w:rFonts w:ascii="Times New Roman" w:hAnsi="Times New Roman"/>
          <w:sz w:val="24"/>
          <w:szCs w:val="24"/>
          <w:lang w:val="fr-FR"/>
        </w:rPr>
        <w:t>roupe</w:t>
      </w:r>
      <w:r w:rsidR="00AD76D2" w:rsidRPr="00860CC3">
        <w:rPr>
          <w:rFonts w:ascii="Times New Roman" w:hAnsi="Times New Roman"/>
          <w:sz w:val="24"/>
          <w:szCs w:val="24"/>
          <w:lang w:val="fr-FR"/>
        </w:rPr>
        <w:t xml:space="preserve"> T</w:t>
      </w:r>
      <w:r w:rsidRPr="00860CC3">
        <w:rPr>
          <w:rFonts w:ascii="Times New Roman" w:hAnsi="Times New Roman"/>
          <w:sz w:val="24"/>
          <w:szCs w:val="24"/>
          <w:lang w:val="fr-FR"/>
        </w:rPr>
        <w:t xml:space="preserve">echnique </w:t>
      </w:r>
      <w:r w:rsidR="00AD76D2" w:rsidRPr="00860CC3">
        <w:rPr>
          <w:rFonts w:ascii="Times New Roman" w:hAnsi="Times New Roman"/>
          <w:sz w:val="24"/>
          <w:szCs w:val="24"/>
          <w:lang w:val="fr-FR"/>
        </w:rPr>
        <w:t>d’Appui au PEV (CTA/PEV)</w:t>
      </w:r>
      <w:r w:rsidR="00955CED" w:rsidRPr="00860CC3">
        <w:rPr>
          <w:rFonts w:ascii="Times New Roman" w:hAnsi="Times New Roman"/>
          <w:bCs/>
          <w:sz w:val="24"/>
          <w:szCs w:val="24"/>
          <w:lang w:val="fr-FR"/>
        </w:rPr>
        <w:t xml:space="preserve"> mis en place par arrêté N°258/MS/CAB du 18 juillet 2005.</w:t>
      </w:r>
    </w:p>
    <w:p w:rsidR="00604D68" w:rsidRPr="00955CED" w:rsidRDefault="00604D68" w:rsidP="003046BF">
      <w:pPr>
        <w:pStyle w:val="Paragraphedeliste"/>
        <w:numPr>
          <w:ilvl w:val="0"/>
          <w:numId w:val="43"/>
        </w:numPr>
        <w:autoSpaceDE w:val="0"/>
        <w:autoSpaceDN w:val="0"/>
        <w:adjustRightInd w:val="0"/>
        <w:spacing w:after="0" w:line="240" w:lineRule="auto"/>
        <w:jc w:val="both"/>
        <w:divId w:val="410156154"/>
        <w:rPr>
          <w:rFonts w:ascii="Times New Roman" w:hAnsi="Times New Roman"/>
          <w:sz w:val="24"/>
          <w:szCs w:val="24"/>
          <w:lang w:val="fr-FR"/>
        </w:rPr>
      </w:pPr>
      <w:r w:rsidRPr="00955CED">
        <w:rPr>
          <w:rFonts w:ascii="Times New Roman" w:hAnsi="Times New Roman"/>
          <w:sz w:val="24"/>
          <w:szCs w:val="24"/>
          <w:lang w:val="fr-FR"/>
        </w:rPr>
        <w:t>le Comité de Coordination Inter Agences (CCIA)</w:t>
      </w:r>
      <w:r w:rsidR="00955CED" w:rsidRPr="00955CED">
        <w:rPr>
          <w:rFonts w:ascii="Times New Roman" w:hAnsi="Times New Roman"/>
          <w:sz w:val="24"/>
          <w:szCs w:val="24"/>
          <w:lang w:val="fr-FR"/>
        </w:rPr>
        <w:t xml:space="preserve">, crée le </w:t>
      </w:r>
      <w:r w:rsidR="00955CED" w:rsidRPr="00860CC3">
        <w:rPr>
          <w:rFonts w:ascii="Times New Roman" w:hAnsi="Times New Roman"/>
          <w:bCs/>
          <w:sz w:val="24"/>
          <w:szCs w:val="24"/>
          <w:lang w:val="fr-FR"/>
        </w:rPr>
        <w:t xml:space="preserve">26 septembre 1989 et réorganisé </w:t>
      </w:r>
      <w:r w:rsidR="00BE3E0A" w:rsidRPr="00860CC3">
        <w:rPr>
          <w:rFonts w:ascii="Times New Roman" w:hAnsi="Times New Roman"/>
          <w:bCs/>
          <w:sz w:val="24"/>
          <w:szCs w:val="24"/>
          <w:lang w:val="fr-FR"/>
        </w:rPr>
        <w:t>à</w:t>
      </w:r>
      <w:r w:rsidR="00955CED" w:rsidRPr="00860CC3">
        <w:rPr>
          <w:rFonts w:ascii="Times New Roman" w:hAnsi="Times New Roman"/>
          <w:bCs/>
          <w:sz w:val="24"/>
          <w:szCs w:val="24"/>
          <w:lang w:val="fr-FR"/>
        </w:rPr>
        <w:t xml:space="preserve"> plusieurs reprises dont la dernière date de 2012 par arrêté N°2012-006/MS/CAB du 10 Janvier 2012</w:t>
      </w:r>
      <w:r w:rsidRPr="00955CED">
        <w:rPr>
          <w:rFonts w:ascii="Times New Roman" w:hAnsi="Times New Roman"/>
          <w:sz w:val="24"/>
          <w:szCs w:val="24"/>
          <w:lang w:val="fr-FR"/>
        </w:rPr>
        <w:t>.</w:t>
      </w:r>
    </w:p>
    <w:p w:rsidR="00955CED" w:rsidRPr="00955CED" w:rsidRDefault="00955CED" w:rsidP="003046BF">
      <w:pPr>
        <w:numPr>
          <w:ilvl w:val="0"/>
          <w:numId w:val="43"/>
        </w:numPr>
        <w:autoSpaceDE w:val="0"/>
        <w:autoSpaceDN w:val="0"/>
        <w:adjustRightInd w:val="0"/>
        <w:spacing w:before="120" w:after="120"/>
        <w:ind w:left="840" w:right="120"/>
        <w:jc w:val="both"/>
        <w:divId w:val="410156154"/>
        <w:rPr>
          <w:bCs/>
          <w:lang w:val="fr-FR"/>
        </w:rPr>
      </w:pPr>
      <w:r w:rsidRPr="00860CC3">
        <w:rPr>
          <w:bCs/>
          <w:lang w:val="fr-FR"/>
        </w:rPr>
        <w:lastRenderedPageBreak/>
        <w:t xml:space="preserve">la </w:t>
      </w:r>
      <w:r w:rsidRPr="00955CED">
        <w:rPr>
          <w:bCs/>
          <w:lang w:val="fr-CA"/>
        </w:rPr>
        <w:t xml:space="preserve">Cellule de Suivi et de Coordination de l’Approvisionnement en vaccins, consommables et matériels techniques du PEV, créée par arrêtée N°190/MS/CAB du 18 Août 2003. </w:t>
      </w:r>
    </w:p>
    <w:p w:rsidR="004C7096" w:rsidRPr="002F7D48" w:rsidRDefault="00604D68" w:rsidP="00B563C2">
      <w:pPr>
        <w:autoSpaceDE w:val="0"/>
        <w:autoSpaceDN w:val="0"/>
        <w:adjustRightInd w:val="0"/>
        <w:jc w:val="both"/>
        <w:divId w:val="410156154"/>
        <w:rPr>
          <w:lang w:val="fr-FR"/>
        </w:rPr>
      </w:pPr>
      <w:r w:rsidRPr="00955CED">
        <w:rPr>
          <w:lang w:val="fr-FR"/>
        </w:rPr>
        <w:t xml:space="preserve">Les services </w:t>
      </w:r>
      <w:r w:rsidR="00AA7846" w:rsidRPr="00955CED">
        <w:rPr>
          <w:lang w:val="fr-FR"/>
        </w:rPr>
        <w:t xml:space="preserve">de vaccination </w:t>
      </w:r>
      <w:r w:rsidRPr="00955CED">
        <w:rPr>
          <w:lang w:val="fr-FR"/>
        </w:rPr>
        <w:t xml:space="preserve">en charge de la mise en œuvre du PEV se retrouvent à tous les niveaux du système de santé: </w:t>
      </w:r>
      <w:r w:rsidR="004C7096" w:rsidRPr="00955CED">
        <w:rPr>
          <w:lang w:val="fr-FR"/>
        </w:rPr>
        <w:t xml:space="preserve">premier échelon du premier niveau </w:t>
      </w:r>
      <w:r w:rsidRPr="00955CED">
        <w:rPr>
          <w:lang w:val="fr-FR"/>
        </w:rPr>
        <w:t>(</w:t>
      </w:r>
      <w:r w:rsidR="004C7096" w:rsidRPr="00955CED">
        <w:rPr>
          <w:lang w:val="fr-FR"/>
        </w:rPr>
        <w:t>dispensaire</w:t>
      </w:r>
      <w:r w:rsidR="00AA7846" w:rsidRPr="00955CED">
        <w:rPr>
          <w:lang w:val="fr-FR"/>
        </w:rPr>
        <w:t xml:space="preserve"> isolé</w:t>
      </w:r>
      <w:r w:rsidR="004C7096" w:rsidRPr="00955CED">
        <w:rPr>
          <w:lang w:val="fr-FR"/>
        </w:rPr>
        <w:t>, maternité isolée</w:t>
      </w:r>
      <w:r w:rsidR="00AA7846" w:rsidRPr="00955CED">
        <w:rPr>
          <w:lang w:val="fr-FR"/>
        </w:rPr>
        <w:t xml:space="preserve">, </w:t>
      </w:r>
      <w:r w:rsidRPr="00955CED">
        <w:rPr>
          <w:lang w:val="fr-FR"/>
        </w:rPr>
        <w:t xml:space="preserve">centre de santé </w:t>
      </w:r>
      <w:r w:rsidR="00AA7846" w:rsidRPr="00955CED">
        <w:rPr>
          <w:lang w:val="fr-FR"/>
        </w:rPr>
        <w:t>et de promotion sociale</w:t>
      </w:r>
      <w:r w:rsidRPr="00955CED">
        <w:rPr>
          <w:lang w:val="fr-FR"/>
        </w:rPr>
        <w:t xml:space="preserve">, centre </w:t>
      </w:r>
      <w:r w:rsidR="004C7096" w:rsidRPr="00955CED">
        <w:rPr>
          <w:lang w:val="fr-FR"/>
        </w:rPr>
        <w:t>médical</w:t>
      </w:r>
      <w:r w:rsidRPr="00955CED">
        <w:rPr>
          <w:lang w:val="fr-FR"/>
        </w:rPr>
        <w:t xml:space="preserve">), </w:t>
      </w:r>
      <w:r w:rsidR="004C7096" w:rsidRPr="00860CC3">
        <w:rPr>
          <w:bCs/>
          <w:lang w:val="fr-FR"/>
        </w:rPr>
        <w:t xml:space="preserve">deuxième échelon </w:t>
      </w:r>
      <w:r w:rsidR="004C7096" w:rsidRPr="00955CED">
        <w:rPr>
          <w:lang w:val="fr-FR"/>
        </w:rPr>
        <w:t xml:space="preserve">du premier niveau </w:t>
      </w:r>
      <w:r w:rsidRPr="00955CED">
        <w:rPr>
          <w:lang w:val="fr-FR"/>
        </w:rPr>
        <w:t xml:space="preserve">(Centre </w:t>
      </w:r>
      <w:r w:rsidR="004C7096" w:rsidRPr="00955CED">
        <w:rPr>
          <w:lang w:val="fr-FR"/>
        </w:rPr>
        <w:t>Médical avec antenne chirurgicale), le deuxième niveau (Centre Hospitalier Régional)</w:t>
      </w:r>
      <w:r w:rsidRPr="00955CED">
        <w:rPr>
          <w:lang w:val="fr-FR"/>
        </w:rPr>
        <w:t xml:space="preserve"> et </w:t>
      </w:r>
      <w:r w:rsidR="004C7096" w:rsidRPr="00955CED">
        <w:rPr>
          <w:lang w:val="fr-FR"/>
        </w:rPr>
        <w:t>le troisième niveau (Centre Hospitalier National et Centre</w:t>
      </w:r>
      <w:r w:rsidR="004C7096" w:rsidRPr="002F7D48">
        <w:rPr>
          <w:lang w:val="fr-FR"/>
        </w:rPr>
        <w:t xml:space="preserve"> Hospitalier Universitaire).</w:t>
      </w:r>
    </w:p>
    <w:p w:rsidR="001A0172" w:rsidRPr="002F7D48" w:rsidRDefault="001A0172" w:rsidP="00B563C2">
      <w:pPr>
        <w:autoSpaceDE w:val="0"/>
        <w:autoSpaceDN w:val="0"/>
        <w:adjustRightInd w:val="0"/>
        <w:jc w:val="both"/>
        <w:divId w:val="410156154"/>
        <w:rPr>
          <w:lang w:val="fr-FR"/>
        </w:rPr>
      </w:pPr>
    </w:p>
    <w:p w:rsidR="001A0172" w:rsidRPr="002F7D48" w:rsidRDefault="001A0172" w:rsidP="003046BF">
      <w:pPr>
        <w:pStyle w:val="Corpsdetexte22"/>
        <w:widowControl/>
        <w:numPr>
          <w:ilvl w:val="0"/>
          <w:numId w:val="44"/>
        </w:numPr>
        <w:divId w:val="410156154"/>
        <w:rPr>
          <w:rFonts w:ascii="Times New Roman" w:hAnsi="Times New Roman" w:cs="Times New Roman"/>
          <w:bCs/>
          <w:lang w:val="fr-BE"/>
        </w:rPr>
      </w:pPr>
      <w:r w:rsidRPr="002F7D48">
        <w:rPr>
          <w:rFonts w:ascii="Times New Roman" w:hAnsi="Times New Roman" w:cs="Times New Roman"/>
          <w:bCs/>
          <w:lang w:val="fr-BE"/>
        </w:rPr>
        <w:t xml:space="preserve">Au niveau régional, la gestion du programme est sous la supervision du Directeur Régional de la Santé (DRS). Un responsable PEV, un responsable du Centre d’Information Sanitaire et Surveillance Epidémiologique (CISSE) et un responsable </w:t>
      </w:r>
      <w:r w:rsidR="00BE3E0A">
        <w:rPr>
          <w:rFonts w:ascii="Times New Roman" w:hAnsi="Times New Roman" w:cs="Times New Roman"/>
          <w:bCs/>
          <w:lang w:val="fr-BE"/>
        </w:rPr>
        <w:t xml:space="preserve">hygiène assainissement et communication pour la santé (RHACS) </w:t>
      </w:r>
      <w:r w:rsidRPr="002F7D48">
        <w:rPr>
          <w:rFonts w:ascii="Times New Roman" w:hAnsi="Times New Roman" w:cs="Times New Roman"/>
          <w:bCs/>
          <w:lang w:val="fr-BE"/>
        </w:rPr>
        <w:t xml:space="preserve">y sont désignés pour assurer la coordination des activités du PEV. Il s’agit notamment des activités d’appui à la formation et la supervision du personnel du niveau district. Le niveau régional assure également l’appui aux activités de communication et de monitoring selon les besoins identifiés. </w:t>
      </w:r>
    </w:p>
    <w:p w:rsidR="001A0172" w:rsidRPr="002F7D48" w:rsidRDefault="00CE0C59" w:rsidP="00B563C2">
      <w:pPr>
        <w:jc w:val="both"/>
        <w:divId w:val="410156154"/>
        <w:rPr>
          <w:bCs/>
          <w:lang w:val="fr-CA"/>
        </w:rPr>
      </w:pPr>
      <w:r>
        <w:rPr>
          <w:bCs/>
          <w:lang w:val="fr-BE" w:eastAsia="fr-FR"/>
        </w:rPr>
        <w:t xml:space="preserve">A ce </w:t>
      </w:r>
      <w:r w:rsidRPr="002F7D48">
        <w:rPr>
          <w:bCs/>
          <w:lang w:val="fr-CA"/>
        </w:rPr>
        <w:t>niveau</w:t>
      </w:r>
      <w:r w:rsidR="001A0172" w:rsidRPr="002F7D48">
        <w:rPr>
          <w:bCs/>
          <w:lang w:val="fr-CA"/>
        </w:rPr>
        <w:t xml:space="preserve"> un Comité Technique Régional de Santé (CTRS) assure la coordination de l’ensemble des activités de santé dont le PEV.</w:t>
      </w:r>
    </w:p>
    <w:p w:rsidR="001A0172" w:rsidRPr="002F7D48" w:rsidRDefault="001A0172" w:rsidP="00B563C2">
      <w:pPr>
        <w:jc w:val="both"/>
        <w:divId w:val="410156154"/>
        <w:rPr>
          <w:bCs/>
          <w:lang w:val="fr-CA"/>
        </w:rPr>
      </w:pPr>
    </w:p>
    <w:p w:rsidR="001A0172" w:rsidRPr="00860CC3" w:rsidRDefault="002F7D48" w:rsidP="003046BF">
      <w:pPr>
        <w:pStyle w:val="Paragraphedeliste"/>
        <w:numPr>
          <w:ilvl w:val="0"/>
          <w:numId w:val="44"/>
        </w:numPr>
        <w:spacing w:before="120" w:after="120" w:line="240" w:lineRule="auto"/>
        <w:ind w:right="240"/>
        <w:jc w:val="both"/>
        <w:divId w:val="410156154"/>
        <w:rPr>
          <w:rFonts w:ascii="Times New Roman" w:hAnsi="Times New Roman"/>
          <w:b/>
          <w:bCs/>
          <w:sz w:val="24"/>
          <w:szCs w:val="24"/>
          <w:lang w:val="fr-FR"/>
        </w:rPr>
      </w:pPr>
      <w:r w:rsidRPr="00860CC3">
        <w:rPr>
          <w:rFonts w:ascii="Times New Roman" w:hAnsi="Times New Roman"/>
          <w:b/>
          <w:bCs/>
          <w:sz w:val="24"/>
          <w:szCs w:val="24"/>
          <w:lang w:val="fr-FR"/>
        </w:rPr>
        <w:t>Au n</w:t>
      </w:r>
      <w:r w:rsidR="001A0172" w:rsidRPr="00860CC3">
        <w:rPr>
          <w:rFonts w:ascii="Times New Roman" w:hAnsi="Times New Roman"/>
          <w:b/>
          <w:bCs/>
          <w:sz w:val="24"/>
          <w:szCs w:val="24"/>
          <w:lang w:val="fr-FR"/>
        </w:rPr>
        <w:t>iveau district</w:t>
      </w:r>
      <w:r w:rsidR="001A0172" w:rsidRPr="00860CC3">
        <w:rPr>
          <w:rFonts w:ascii="Times New Roman" w:hAnsi="Times New Roman"/>
          <w:bCs/>
          <w:sz w:val="24"/>
          <w:szCs w:val="24"/>
          <w:lang w:val="fr-FR"/>
        </w:rPr>
        <w:t xml:space="preserve">, la gestion du programme est sous la supervision du Médecin-chef de District (MCD). Les responsables PEV, CISSE et </w:t>
      </w:r>
      <w:r w:rsidR="00750867" w:rsidRPr="00860CC3">
        <w:rPr>
          <w:rFonts w:ascii="Times New Roman" w:hAnsi="Times New Roman"/>
          <w:bCs/>
          <w:sz w:val="24"/>
          <w:szCs w:val="24"/>
          <w:lang w:val="fr-FR"/>
        </w:rPr>
        <w:t>RHACS</w:t>
      </w:r>
      <w:r w:rsidR="001A0172" w:rsidRPr="00860CC3">
        <w:rPr>
          <w:rFonts w:ascii="Times New Roman" w:hAnsi="Times New Roman"/>
          <w:bCs/>
          <w:sz w:val="24"/>
          <w:szCs w:val="24"/>
          <w:lang w:val="fr-FR"/>
        </w:rPr>
        <w:t xml:space="preserve"> sont désignés pour assurer respectivement la coordination des activités du </w:t>
      </w:r>
      <w:r w:rsidRPr="00860CC3">
        <w:rPr>
          <w:rFonts w:ascii="Times New Roman" w:hAnsi="Times New Roman"/>
          <w:bCs/>
          <w:sz w:val="24"/>
          <w:szCs w:val="24"/>
          <w:lang w:val="fr-FR"/>
        </w:rPr>
        <w:t>PEV, de</w:t>
      </w:r>
      <w:r w:rsidR="001A0172" w:rsidRPr="00860CC3">
        <w:rPr>
          <w:rFonts w:ascii="Times New Roman" w:hAnsi="Times New Roman"/>
          <w:bCs/>
          <w:sz w:val="24"/>
          <w:szCs w:val="24"/>
          <w:lang w:val="fr-FR"/>
        </w:rPr>
        <w:t xml:space="preserve"> la surveillance et de </w:t>
      </w:r>
      <w:r w:rsidRPr="00860CC3">
        <w:rPr>
          <w:rFonts w:ascii="Times New Roman" w:hAnsi="Times New Roman"/>
          <w:bCs/>
          <w:sz w:val="24"/>
          <w:szCs w:val="24"/>
          <w:lang w:val="fr-FR"/>
        </w:rPr>
        <w:t xml:space="preserve">la </w:t>
      </w:r>
      <w:r w:rsidR="001A0172" w:rsidRPr="00860CC3">
        <w:rPr>
          <w:rFonts w:ascii="Times New Roman" w:hAnsi="Times New Roman"/>
          <w:bCs/>
          <w:sz w:val="24"/>
          <w:szCs w:val="24"/>
          <w:lang w:val="fr-FR"/>
        </w:rPr>
        <w:t xml:space="preserve">communication. Ces activités concernent notamment les aspects de planification, de supervision, de formation du personnel des formations sanitaires et de communication. </w:t>
      </w:r>
    </w:p>
    <w:p w:rsidR="001A0172" w:rsidRPr="002F7D48" w:rsidRDefault="001A0172" w:rsidP="00B563C2">
      <w:pPr>
        <w:jc w:val="both"/>
        <w:divId w:val="410156154"/>
        <w:rPr>
          <w:bCs/>
          <w:lang w:val="fr-CA"/>
        </w:rPr>
      </w:pPr>
      <w:r w:rsidRPr="002F7D48">
        <w:rPr>
          <w:bCs/>
          <w:lang w:val="fr-CA"/>
        </w:rPr>
        <w:t>Au niveau district la coordination des activités de santé est assurée par le Conseil de Santé du District (CSD).</w:t>
      </w:r>
    </w:p>
    <w:p w:rsidR="001A0172" w:rsidRPr="002F7D48" w:rsidRDefault="001A0172" w:rsidP="00B563C2">
      <w:pPr>
        <w:jc w:val="both"/>
        <w:divId w:val="410156154"/>
        <w:rPr>
          <w:bCs/>
          <w:lang w:val="fr-CA"/>
        </w:rPr>
      </w:pPr>
    </w:p>
    <w:p w:rsidR="001A0172" w:rsidRPr="00860CC3" w:rsidRDefault="001A0172" w:rsidP="003046BF">
      <w:pPr>
        <w:numPr>
          <w:ilvl w:val="0"/>
          <w:numId w:val="30"/>
        </w:numPr>
        <w:ind w:left="622" w:right="120"/>
        <w:jc w:val="both"/>
        <w:divId w:val="410156154"/>
        <w:rPr>
          <w:b/>
          <w:bCs/>
          <w:lang w:val="fr-FR"/>
        </w:rPr>
      </w:pPr>
      <w:r w:rsidRPr="00860CC3">
        <w:rPr>
          <w:b/>
          <w:bCs/>
          <w:lang w:val="fr-FR"/>
        </w:rPr>
        <w:t>Niveau centre de santé et de promotion sociale</w:t>
      </w:r>
      <w:r w:rsidR="002F7D48" w:rsidRPr="00860CC3">
        <w:rPr>
          <w:b/>
          <w:bCs/>
          <w:lang w:val="fr-FR"/>
        </w:rPr>
        <w:t xml:space="preserve">, </w:t>
      </w:r>
      <w:r w:rsidRPr="00860CC3">
        <w:rPr>
          <w:bCs/>
          <w:lang w:val="fr-FR"/>
        </w:rPr>
        <w:t>la gestion du programme est sous la supervision de l’infirmier chef de poste (ICP). Un responsable PEV est désigné pour coordonner les activités de vaccination. C’est à ce niveau que sont mises en œuvre les différentes stratégies de vaccinations.</w:t>
      </w:r>
    </w:p>
    <w:p w:rsidR="00955CED" w:rsidRDefault="00955CED" w:rsidP="00B563C2">
      <w:pPr>
        <w:jc w:val="both"/>
        <w:divId w:val="410156154"/>
        <w:rPr>
          <w:rFonts w:asciiTheme="minorHAnsi" w:hAnsiTheme="minorHAnsi"/>
          <w:bCs/>
          <w:color w:val="1F497D" w:themeColor="text2"/>
          <w:lang w:val="fr-FR"/>
        </w:rPr>
      </w:pPr>
    </w:p>
    <w:p w:rsidR="007C5B3F" w:rsidRDefault="007C5B3F" w:rsidP="00B563C2">
      <w:pPr>
        <w:jc w:val="both"/>
        <w:divId w:val="410156154"/>
        <w:rPr>
          <w:rFonts w:asciiTheme="minorHAnsi" w:hAnsiTheme="minorHAnsi"/>
          <w:bCs/>
          <w:color w:val="1F497D" w:themeColor="text2"/>
          <w:lang w:val="fr-FR"/>
        </w:rPr>
      </w:pPr>
    </w:p>
    <w:p w:rsidR="007C5B3F" w:rsidRDefault="007C5B3F" w:rsidP="00B563C2">
      <w:pPr>
        <w:jc w:val="both"/>
        <w:divId w:val="410156154"/>
        <w:rPr>
          <w:rFonts w:asciiTheme="minorHAnsi" w:hAnsiTheme="minorHAnsi"/>
          <w:bCs/>
          <w:color w:val="1F497D" w:themeColor="text2"/>
          <w:lang w:val="fr-FR"/>
        </w:rPr>
      </w:pPr>
    </w:p>
    <w:p w:rsidR="007C5B3F" w:rsidRDefault="007C5B3F" w:rsidP="00B563C2">
      <w:pPr>
        <w:jc w:val="both"/>
        <w:divId w:val="410156154"/>
        <w:rPr>
          <w:rFonts w:asciiTheme="minorHAnsi" w:hAnsiTheme="minorHAnsi"/>
          <w:bCs/>
          <w:color w:val="1F497D" w:themeColor="text2"/>
          <w:lang w:val="fr-FR"/>
        </w:rPr>
      </w:pPr>
    </w:p>
    <w:p w:rsidR="007C5B3F" w:rsidRDefault="007C5B3F" w:rsidP="00B563C2">
      <w:pPr>
        <w:jc w:val="both"/>
        <w:divId w:val="410156154"/>
        <w:rPr>
          <w:rFonts w:asciiTheme="minorHAnsi" w:hAnsiTheme="minorHAnsi"/>
          <w:bCs/>
          <w:color w:val="1F497D" w:themeColor="text2"/>
          <w:lang w:val="fr-FR"/>
        </w:rPr>
      </w:pPr>
    </w:p>
    <w:p w:rsidR="007C5B3F" w:rsidRDefault="007C5B3F" w:rsidP="00B563C2">
      <w:pPr>
        <w:jc w:val="both"/>
        <w:divId w:val="410156154"/>
        <w:rPr>
          <w:rFonts w:asciiTheme="minorHAnsi" w:hAnsiTheme="minorHAnsi"/>
          <w:bCs/>
          <w:color w:val="1F497D" w:themeColor="text2"/>
          <w:lang w:val="fr-FR"/>
        </w:rPr>
      </w:pPr>
    </w:p>
    <w:p w:rsidR="007C5B3F" w:rsidRDefault="007C5B3F" w:rsidP="00B563C2">
      <w:pPr>
        <w:jc w:val="both"/>
        <w:divId w:val="410156154"/>
        <w:rPr>
          <w:rFonts w:asciiTheme="minorHAnsi" w:hAnsiTheme="minorHAnsi"/>
          <w:bCs/>
          <w:color w:val="1F497D" w:themeColor="text2"/>
          <w:lang w:val="fr-FR"/>
        </w:rPr>
      </w:pPr>
    </w:p>
    <w:p w:rsidR="007C5B3F" w:rsidRDefault="007C5B3F" w:rsidP="00B563C2">
      <w:pPr>
        <w:jc w:val="both"/>
        <w:divId w:val="410156154"/>
        <w:rPr>
          <w:rFonts w:asciiTheme="minorHAnsi" w:hAnsiTheme="minorHAnsi"/>
          <w:bCs/>
          <w:color w:val="1F497D" w:themeColor="text2"/>
          <w:lang w:val="fr-FR"/>
        </w:rPr>
      </w:pPr>
    </w:p>
    <w:p w:rsidR="007C5B3F" w:rsidRDefault="007C5B3F" w:rsidP="00B563C2">
      <w:pPr>
        <w:jc w:val="both"/>
        <w:divId w:val="410156154"/>
        <w:rPr>
          <w:rFonts w:asciiTheme="minorHAnsi" w:hAnsiTheme="minorHAnsi"/>
          <w:bCs/>
          <w:color w:val="1F497D" w:themeColor="text2"/>
          <w:lang w:val="fr-FR"/>
        </w:rPr>
      </w:pPr>
    </w:p>
    <w:p w:rsidR="007C5B3F" w:rsidRDefault="007C5B3F" w:rsidP="00B563C2">
      <w:pPr>
        <w:jc w:val="both"/>
        <w:divId w:val="410156154"/>
        <w:rPr>
          <w:rFonts w:asciiTheme="minorHAnsi" w:hAnsiTheme="minorHAnsi"/>
          <w:bCs/>
          <w:color w:val="1F497D" w:themeColor="text2"/>
          <w:lang w:val="fr-FR"/>
        </w:rPr>
      </w:pPr>
    </w:p>
    <w:p w:rsidR="007C5B3F" w:rsidRDefault="007C5B3F" w:rsidP="00B563C2">
      <w:pPr>
        <w:jc w:val="both"/>
        <w:divId w:val="410156154"/>
        <w:rPr>
          <w:rFonts w:asciiTheme="minorHAnsi" w:hAnsiTheme="minorHAnsi"/>
          <w:bCs/>
          <w:color w:val="1F497D" w:themeColor="text2"/>
          <w:lang w:val="fr-FR"/>
        </w:rPr>
      </w:pPr>
    </w:p>
    <w:p w:rsidR="007C5B3F" w:rsidRDefault="007C5B3F" w:rsidP="00B563C2">
      <w:pPr>
        <w:jc w:val="both"/>
        <w:divId w:val="410156154"/>
        <w:rPr>
          <w:rFonts w:asciiTheme="minorHAnsi" w:hAnsiTheme="minorHAnsi"/>
          <w:bCs/>
          <w:color w:val="1F497D" w:themeColor="text2"/>
          <w:lang w:val="fr-FR"/>
        </w:rPr>
      </w:pPr>
    </w:p>
    <w:p w:rsidR="007C5B3F" w:rsidRDefault="007C5B3F" w:rsidP="00B563C2">
      <w:pPr>
        <w:jc w:val="both"/>
        <w:divId w:val="410156154"/>
        <w:rPr>
          <w:rFonts w:asciiTheme="minorHAnsi" w:hAnsiTheme="minorHAnsi"/>
          <w:bCs/>
          <w:color w:val="1F497D" w:themeColor="text2"/>
          <w:lang w:val="fr-FR"/>
        </w:rPr>
      </w:pPr>
    </w:p>
    <w:p w:rsidR="007C5B3F" w:rsidRDefault="007C5B3F" w:rsidP="00B563C2">
      <w:pPr>
        <w:jc w:val="both"/>
        <w:divId w:val="410156154"/>
        <w:rPr>
          <w:rFonts w:asciiTheme="minorHAnsi" w:hAnsiTheme="minorHAnsi"/>
          <w:bCs/>
          <w:color w:val="1F497D" w:themeColor="text2"/>
          <w:lang w:val="fr-FR"/>
        </w:rPr>
      </w:pPr>
    </w:p>
    <w:p w:rsidR="007C5B3F" w:rsidRDefault="007C5B3F" w:rsidP="00B563C2">
      <w:pPr>
        <w:jc w:val="both"/>
        <w:divId w:val="410156154"/>
        <w:rPr>
          <w:rFonts w:asciiTheme="minorHAnsi" w:hAnsiTheme="minorHAnsi"/>
          <w:bCs/>
          <w:color w:val="1F497D" w:themeColor="text2"/>
          <w:lang w:val="fr-FR"/>
        </w:rPr>
      </w:pPr>
    </w:p>
    <w:p w:rsidR="000A2CB6" w:rsidRPr="00C369C9" w:rsidRDefault="00515293" w:rsidP="00B563C2">
      <w:pPr>
        <w:jc w:val="both"/>
        <w:divId w:val="410156154"/>
        <w:rPr>
          <w:rFonts w:asciiTheme="minorHAnsi" w:hAnsiTheme="minorHAnsi"/>
          <w:bCs/>
          <w:color w:val="1F497D" w:themeColor="text2"/>
          <w:lang w:val="fr-FR"/>
        </w:rPr>
      </w:pPr>
      <w:r w:rsidRPr="00C369C9">
        <w:rPr>
          <w:rFonts w:asciiTheme="minorHAnsi" w:hAnsiTheme="minorHAnsi"/>
          <w:bCs/>
          <w:color w:val="1F497D" w:themeColor="text2"/>
          <w:lang w:val="fr-FR"/>
        </w:rPr>
        <w:lastRenderedPageBreak/>
        <w:t xml:space="preserve">4.2  Obstacles géographiques, économiques, politiques, culturels, sexospécifiques et sociaux à la vaccination    </w:t>
      </w:r>
    </w:p>
    <w:p w:rsidR="009470D3" w:rsidRPr="00C369C9" w:rsidRDefault="009470D3" w:rsidP="00B563C2">
      <w:pPr>
        <w:autoSpaceDE w:val="0"/>
        <w:autoSpaceDN w:val="0"/>
        <w:adjustRightInd w:val="0"/>
        <w:ind w:right="230"/>
        <w:jc w:val="both"/>
        <w:divId w:val="410156154"/>
        <w:rPr>
          <w:rFonts w:asciiTheme="minorHAnsi" w:eastAsia="SimSun" w:hAnsiTheme="minorHAnsi" w:cs="Calibri"/>
          <w:color w:val="000000"/>
          <w:lang w:val="fr-FR"/>
        </w:rPr>
      </w:pPr>
    </w:p>
    <w:p w:rsidR="00515293" w:rsidRPr="00A4304F" w:rsidRDefault="00515293" w:rsidP="00C369C9">
      <w:pPr>
        <w:pStyle w:val="Paragraphedeliste"/>
        <w:numPr>
          <w:ilvl w:val="0"/>
          <w:numId w:val="5"/>
        </w:numPr>
        <w:autoSpaceDE w:val="0"/>
        <w:autoSpaceDN w:val="0"/>
        <w:adjustRightInd w:val="0"/>
        <w:spacing w:after="0" w:line="240" w:lineRule="auto"/>
        <w:ind w:left="720" w:right="115"/>
        <w:jc w:val="both"/>
        <w:divId w:val="410156154"/>
        <w:rPr>
          <w:rFonts w:asciiTheme="minorHAnsi" w:eastAsia="SimSun" w:hAnsiTheme="minorHAnsi" w:cs="Calibri"/>
          <w:color w:val="000000"/>
          <w:highlight w:val="cyan"/>
          <w:lang w:val="fr-FR"/>
        </w:rPr>
      </w:pPr>
      <w:r w:rsidRPr="00A4304F">
        <w:rPr>
          <w:rFonts w:asciiTheme="minorHAnsi" w:eastAsia="SimSun" w:hAnsiTheme="minorHAnsi" w:cs="Calibri"/>
          <w:color w:val="000000"/>
          <w:highlight w:val="cyan"/>
          <w:lang w:val="fr-FR"/>
        </w:rPr>
        <w:t xml:space="preserve">Veuillez compléter le tableau B2 ci-dessous avec les données de couverture vaccinale qui ont été relevées au cours des deux dernières années. Compte tenu de la priorité accordée à l’égalité </w:t>
      </w:r>
      <w:r w:rsidR="005962B0" w:rsidRPr="00A4304F">
        <w:rPr>
          <w:rFonts w:asciiTheme="minorHAnsi" w:eastAsia="SimSun" w:hAnsiTheme="minorHAnsi" w:cs="Calibri"/>
          <w:color w:val="000000"/>
          <w:highlight w:val="cyan"/>
          <w:lang w:val="fr-FR"/>
        </w:rPr>
        <w:t>des genres</w:t>
      </w:r>
      <w:r w:rsidRPr="00A4304F">
        <w:rPr>
          <w:rFonts w:asciiTheme="minorHAnsi" w:eastAsia="SimSun" w:hAnsiTheme="minorHAnsi" w:cs="Calibri"/>
          <w:color w:val="000000"/>
          <w:highlight w:val="cyan"/>
          <w:lang w:val="fr-FR"/>
        </w:rPr>
        <w:t xml:space="preserve"> et à l’équité, veuillez fournir vos données de couverture ventilées par sexe, si disponibles.     </w:t>
      </w:r>
    </w:p>
    <w:p w:rsidR="00223023" w:rsidRPr="00C369C9" w:rsidRDefault="00223023" w:rsidP="00223023">
      <w:pPr>
        <w:autoSpaceDE w:val="0"/>
        <w:autoSpaceDN w:val="0"/>
        <w:adjustRightInd w:val="0"/>
        <w:jc w:val="both"/>
        <w:divId w:val="410156154"/>
        <w:rPr>
          <w:rFonts w:asciiTheme="minorHAnsi" w:eastAsia="SimSun" w:hAnsiTheme="minorHAnsi" w:cs="Calibri"/>
          <w:color w:val="000000"/>
          <w:sz w:val="22"/>
          <w:szCs w:val="22"/>
          <w:lang w:val="fr-FR"/>
        </w:rPr>
      </w:pPr>
    </w:p>
    <w:p w:rsidR="000A2CB6" w:rsidRPr="00C369C9" w:rsidRDefault="00515293">
      <w:pPr>
        <w:autoSpaceDE w:val="0"/>
        <w:autoSpaceDN w:val="0"/>
        <w:adjustRightInd w:val="0"/>
        <w:jc w:val="both"/>
        <w:divId w:val="410156154"/>
        <w:rPr>
          <w:rFonts w:asciiTheme="minorHAnsi" w:eastAsia="SimSun" w:hAnsiTheme="minorHAnsi" w:cs="Calibri"/>
          <w:b/>
          <w:color w:val="000000"/>
          <w:sz w:val="20"/>
          <w:szCs w:val="20"/>
          <w:lang w:val="fr-FR"/>
        </w:rPr>
      </w:pPr>
      <w:r w:rsidRPr="00C369C9">
        <w:rPr>
          <w:rFonts w:asciiTheme="minorHAnsi" w:eastAsia="SimSun" w:hAnsiTheme="minorHAnsi" w:cs="Calibri"/>
          <w:b/>
          <w:color w:val="000000"/>
          <w:sz w:val="20"/>
          <w:szCs w:val="20"/>
          <w:lang w:val="fr-FR"/>
        </w:rPr>
        <w:t>Tableau B2. Tendances de la couverture nationale</w:t>
      </w:r>
    </w:p>
    <w:tbl>
      <w:tblPr>
        <w:tblW w:w="10276"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174"/>
        <w:gridCol w:w="2821"/>
        <w:gridCol w:w="1857"/>
        <w:gridCol w:w="1722"/>
      </w:tblGrid>
      <w:tr w:rsidR="00223023" w:rsidRPr="00E0783B" w:rsidTr="00A4304F">
        <w:trPr>
          <w:divId w:val="410156154"/>
          <w:trHeight w:val="377"/>
        </w:trPr>
        <w:tc>
          <w:tcPr>
            <w:tcW w:w="10276" w:type="dxa"/>
            <w:gridSpan w:val="5"/>
            <w:shd w:val="clear" w:color="auto" w:fill="auto"/>
            <w:vAlign w:val="center"/>
          </w:tcPr>
          <w:p w:rsidR="00223023" w:rsidRPr="00674924" w:rsidRDefault="00515293" w:rsidP="00B563C2">
            <w:pPr>
              <w:ind w:right="120"/>
              <w:jc w:val="center"/>
              <w:rPr>
                <w:b/>
                <w:color w:val="000000"/>
                <w:sz w:val="22"/>
                <w:szCs w:val="22"/>
                <w:lang w:val="fr-FR"/>
              </w:rPr>
            </w:pPr>
            <w:r w:rsidRPr="00674924">
              <w:rPr>
                <w:b/>
                <w:color w:val="000000"/>
                <w:sz w:val="22"/>
                <w:szCs w:val="22"/>
                <w:lang w:val="fr-FR"/>
              </w:rPr>
              <w:t xml:space="preserve">Tendances de la couverture nationale (pourcentage)   </w:t>
            </w:r>
          </w:p>
        </w:tc>
      </w:tr>
      <w:tr w:rsidR="00223023" w:rsidRPr="00E0783B" w:rsidTr="00A4304F">
        <w:trPr>
          <w:divId w:val="410156154"/>
          <w:trHeight w:val="404"/>
        </w:trPr>
        <w:tc>
          <w:tcPr>
            <w:tcW w:w="1702" w:type="dxa"/>
            <w:vMerge w:val="restart"/>
            <w:shd w:val="clear" w:color="auto" w:fill="auto"/>
            <w:vAlign w:val="center"/>
          </w:tcPr>
          <w:p w:rsidR="00223023" w:rsidRPr="00674924" w:rsidRDefault="00515293" w:rsidP="00B563C2">
            <w:pPr>
              <w:ind w:right="120"/>
              <w:jc w:val="center"/>
              <w:rPr>
                <w:b/>
                <w:color w:val="000000"/>
                <w:sz w:val="22"/>
                <w:szCs w:val="22"/>
                <w:lang w:val="fr-FR"/>
              </w:rPr>
            </w:pPr>
            <w:r w:rsidRPr="00674924">
              <w:rPr>
                <w:b/>
                <w:color w:val="000000"/>
                <w:sz w:val="22"/>
                <w:szCs w:val="22"/>
                <w:lang w:val="fr-FR"/>
              </w:rPr>
              <w:t xml:space="preserve">Vaccins </w:t>
            </w:r>
          </w:p>
        </w:tc>
        <w:tc>
          <w:tcPr>
            <w:tcW w:w="2174" w:type="dxa"/>
            <w:vMerge w:val="restart"/>
            <w:shd w:val="clear" w:color="auto" w:fill="auto"/>
            <w:vAlign w:val="center"/>
          </w:tcPr>
          <w:p w:rsidR="000A2CB6" w:rsidRPr="00674924" w:rsidRDefault="00515293" w:rsidP="00B563C2">
            <w:pPr>
              <w:ind w:right="120"/>
              <w:jc w:val="center"/>
              <w:rPr>
                <w:b/>
                <w:color w:val="000000"/>
                <w:sz w:val="22"/>
                <w:szCs w:val="22"/>
                <w:lang w:val="fr-FR"/>
              </w:rPr>
            </w:pPr>
            <w:r w:rsidRPr="00674924">
              <w:rPr>
                <w:b/>
                <w:color w:val="000000"/>
                <w:sz w:val="22"/>
                <w:szCs w:val="22"/>
                <w:lang w:val="fr-FR"/>
              </w:rPr>
              <w:t xml:space="preserve">Vaccins utilisés </w:t>
            </w:r>
          </w:p>
        </w:tc>
        <w:tc>
          <w:tcPr>
            <w:tcW w:w="2821" w:type="dxa"/>
            <w:vMerge w:val="restart"/>
            <w:shd w:val="clear" w:color="auto" w:fill="auto"/>
            <w:vAlign w:val="center"/>
          </w:tcPr>
          <w:p w:rsidR="00223023" w:rsidRPr="00674924" w:rsidRDefault="00515293" w:rsidP="00B563C2">
            <w:pPr>
              <w:ind w:right="120"/>
              <w:jc w:val="center"/>
              <w:rPr>
                <w:b/>
                <w:color w:val="000000"/>
                <w:sz w:val="22"/>
                <w:szCs w:val="22"/>
                <w:lang w:val="fr-FR"/>
              </w:rPr>
            </w:pPr>
            <w:r w:rsidRPr="00674924">
              <w:rPr>
                <w:b/>
                <w:color w:val="000000"/>
                <w:sz w:val="22"/>
                <w:szCs w:val="22"/>
                <w:lang w:val="fr-FR"/>
              </w:rPr>
              <w:t>Population cible</w:t>
            </w:r>
          </w:p>
          <w:p w:rsidR="000A2CB6" w:rsidRPr="00674924" w:rsidRDefault="00515293" w:rsidP="00B563C2">
            <w:pPr>
              <w:ind w:right="120"/>
              <w:jc w:val="center"/>
              <w:rPr>
                <w:b/>
                <w:color w:val="000000"/>
                <w:sz w:val="22"/>
                <w:szCs w:val="22"/>
                <w:lang w:val="fr-FR"/>
              </w:rPr>
            </w:pPr>
            <w:r w:rsidRPr="00674924">
              <w:rPr>
                <w:b/>
                <w:color w:val="000000"/>
                <w:sz w:val="22"/>
                <w:szCs w:val="22"/>
                <w:lang w:val="fr-FR"/>
              </w:rPr>
              <w:t xml:space="preserve">(données ventilées par âge et sexe, le cas échéant)   </w:t>
            </w:r>
          </w:p>
        </w:tc>
        <w:tc>
          <w:tcPr>
            <w:tcW w:w="3579" w:type="dxa"/>
            <w:gridSpan w:val="2"/>
            <w:shd w:val="clear" w:color="auto" w:fill="auto"/>
            <w:vAlign w:val="center"/>
          </w:tcPr>
          <w:p w:rsidR="000A2CB6" w:rsidRPr="00674924" w:rsidRDefault="00EA4CF9" w:rsidP="00B563C2">
            <w:pPr>
              <w:ind w:right="120"/>
              <w:jc w:val="center"/>
              <w:rPr>
                <w:b/>
                <w:color w:val="000000"/>
                <w:sz w:val="22"/>
                <w:szCs w:val="22"/>
                <w:lang w:val="fr-FR"/>
              </w:rPr>
            </w:pPr>
            <w:r w:rsidRPr="00674924">
              <w:rPr>
                <w:b/>
                <w:color w:val="000000"/>
                <w:sz w:val="22"/>
                <w:szCs w:val="22"/>
                <w:lang w:val="fr-FR"/>
              </w:rPr>
              <w:t>C</w:t>
            </w:r>
            <w:r w:rsidR="00515293" w:rsidRPr="00674924">
              <w:rPr>
                <w:b/>
                <w:color w:val="000000"/>
                <w:sz w:val="22"/>
                <w:szCs w:val="22"/>
                <w:lang w:val="fr-FR"/>
              </w:rPr>
              <w:t>ouverture relevée (formulaire de rapport conjoint)</w:t>
            </w:r>
          </w:p>
        </w:tc>
      </w:tr>
      <w:tr w:rsidR="00223023" w:rsidRPr="00674924" w:rsidTr="00A4304F">
        <w:trPr>
          <w:divId w:val="410156154"/>
          <w:trHeight w:val="404"/>
        </w:trPr>
        <w:tc>
          <w:tcPr>
            <w:tcW w:w="1702" w:type="dxa"/>
            <w:vMerge/>
            <w:shd w:val="clear" w:color="auto" w:fill="auto"/>
            <w:vAlign w:val="center"/>
          </w:tcPr>
          <w:p w:rsidR="00223023" w:rsidRPr="00674924" w:rsidRDefault="00223023" w:rsidP="00B563C2">
            <w:pPr>
              <w:ind w:right="120"/>
              <w:jc w:val="center"/>
              <w:rPr>
                <w:b/>
                <w:color w:val="000000"/>
                <w:sz w:val="22"/>
                <w:szCs w:val="22"/>
                <w:lang w:val="fr-FR"/>
              </w:rPr>
            </w:pPr>
          </w:p>
        </w:tc>
        <w:tc>
          <w:tcPr>
            <w:tcW w:w="2174" w:type="dxa"/>
            <w:vMerge/>
            <w:shd w:val="clear" w:color="auto" w:fill="auto"/>
            <w:vAlign w:val="center"/>
          </w:tcPr>
          <w:p w:rsidR="00223023" w:rsidRPr="00674924" w:rsidRDefault="00223023" w:rsidP="00B563C2">
            <w:pPr>
              <w:ind w:right="120"/>
              <w:jc w:val="center"/>
              <w:rPr>
                <w:b/>
                <w:color w:val="000000"/>
                <w:sz w:val="22"/>
                <w:szCs w:val="22"/>
                <w:lang w:val="fr-FR"/>
              </w:rPr>
            </w:pPr>
          </w:p>
        </w:tc>
        <w:tc>
          <w:tcPr>
            <w:tcW w:w="2821" w:type="dxa"/>
            <w:vMerge/>
            <w:shd w:val="clear" w:color="auto" w:fill="auto"/>
            <w:vAlign w:val="center"/>
          </w:tcPr>
          <w:p w:rsidR="00223023" w:rsidRPr="00674924" w:rsidRDefault="00223023" w:rsidP="00B563C2">
            <w:pPr>
              <w:ind w:right="120"/>
              <w:jc w:val="center"/>
              <w:rPr>
                <w:b/>
                <w:color w:val="000000"/>
                <w:sz w:val="22"/>
                <w:szCs w:val="22"/>
                <w:lang w:val="fr-FR"/>
              </w:rPr>
            </w:pPr>
          </w:p>
        </w:tc>
        <w:tc>
          <w:tcPr>
            <w:tcW w:w="1857" w:type="dxa"/>
            <w:shd w:val="clear" w:color="auto" w:fill="auto"/>
            <w:vAlign w:val="center"/>
          </w:tcPr>
          <w:p w:rsidR="00223023" w:rsidRPr="00674924" w:rsidRDefault="00515293" w:rsidP="00B563C2">
            <w:pPr>
              <w:ind w:right="120"/>
              <w:jc w:val="center"/>
              <w:rPr>
                <w:b/>
                <w:color w:val="000000"/>
                <w:sz w:val="22"/>
                <w:szCs w:val="22"/>
                <w:lang w:val="fr-FR"/>
              </w:rPr>
            </w:pPr>
            <w:r w:rsidRPr="00674924">
              <w:rPr>
                <w:b/>
                <w:color w:val="000000"/>
                <w:sz w:val="22"/>
                <w:szCs w:val="22"/>
                <w:lang w:val="fr-FR"/>
              </w:rPr>
              <w:t xml:space="preserve">Année la plus récente </w:t>
            </w:r>
          </w:p>
        </w:tc>
        <w:tc>
          <w:tcPr>
            <w:tcW w:w="1722" w:type="dxa"/>
            <w:shd w:val="clear" w:color="auto" w:fill="auto"/>
            <w:vAlign w:val="center"/>
          </w:tcPr>
          <w:p w:rsidR="00223023" w:rsidRPr="00674924" w:rsidRDefault="00515293" w:rsidP="00B563C2">
            <w:pPr>
              <w:ind w:right="120"/>
              <w:jc w:val="center"/>
              <w:rPr>
                <w:b/>
                <w:color w:val="000000"/>
                <w:sz w:val="22"/>
                <w:szCs w:val="22"/>
                <w:lang w:val="fr-FR"/>
              </w:rPr>
            </w:pPr>
            <w:r w:rsidRPr="00674924">
              <w:rPr>
                <w:b/>
                <w:color w:val="000000"/>
                <w:sz w:val="22"/>
                <w:szCs w:val="22"/>
                <w:lang w:val="fr-FR"/>
              </w:rPr>
              <w:t xml:space="preserve">Année précédente </w:t>
            </w:r>
          </w:p>
        </w:tc>
      </w:tr>
      <w:tr w:rsidR="00A4304F" w:rsidRPr="00674924" w:rsidTr="00A4304F">
        <w:trPr>
          <w:divId w:val="410156154"/>
        </w:trPr>
        <w:tc>
          <w:tcPr>
            <w:tcW w:w="1702" w:type="dxa"/>
            <w:shd w:val="clear" w:color="auto" w:fill="auto"/>
            <w:vAlign w:val="center"/>
          </w:tcPr>
          <w:p w:rsidR="00A4304F" w:rsidRPr="00674924" w:rsidRDefault="00A4304F" w:rsidP="00B563C2">
            <w:pPr>
              <w:ind w:right="120"/>
              <w:rPr>
                <w:color w:val="000000"/>
                <w:sz w:val="22"/>
                <w:szCs w:val="22"/>
                <w:lang w:val="fr-FR"/>
              </w:rPr>
            </w:pPr>
            <w:r w:rsidRPr="00674924">
              <w:rPr>
                <w:color w:val="000000"/>
                <w:sz w:val="22"/>
                <w:szCs w:val="22"/>
                <w:lang w:val="fr-FR"/>
              </w:rPr>
              <w:t>BCG</w:t>
            </w:r>
          </w:p>
        </w:tc>
        <w:tc>
          <w:tcPr>
            <w:tcW w:w="2174" w:type="dxa"/>
            <w:shd w:val="clear" w:color="auto" w:fill="auto"/>
            <w:vAlign w:val="center"/>
          </w:tcPr>
          <w:p w:rsidR="00A4304F" w:rsidRPr="00674924" w:rsidRDefault="00A4304F" w:rsidP="00B563C2">
            <w:pPr>
              <w:jc w:val="both"/>
              <w:rPr>
                <w:sz w:val="22"/>
                <w:szCs w:val="22"/>
              </w:rPr>
            </w:pPr>
            <w:r w:rsidRPr="00674924">
              <w:rPr>
                <w:sz w:val="22"/>
                <w:szCs w:val="22"/>
              </w:rPr>
              <w:t>SERUM INSTITUTE OF INDIA</w:t>
            </w:r>
          </w:p>
        </w:tc>
        <w:tc>
          <w:tcPr>
            <w:tcW w:w="2821" w:type="dxa"/>
            <w:shd w:val="clear" w:color="auto" w:fill="auto"/>
            <w:vAlign w:val="center"/>
          </w:tcPr>
          <w:p w:rsidR="00A4304F" w:rsidRPr="00674924" w:rsidRDefault="00A4304F" w:rsidP="00B563C2">
            <w:pPr>
              <w:jc w:val="center"/>
              <w:rPr>
                <w:sz w:val="22"/>
                <w:szCs w:val="22"/>
              </w:rPr>
            </w:pPr>
            <w:r w:rsidRPr="00674924">
              <w:rPr>
                <w:sz w:val="22"/>
                <w:szCs w:val="22"/>
              </w:rPr>
              <w:t>757</w:t>
            </w:r>
            <w:r w:rsidR="00E0783B">
              <w:rPr>
                <w:sz w:val="22"/>
                <w:szCs w:val="22"/>
              </w:rPr>
              <w:t xml:space="preserve"> </w:t>
            </w:r>
            <w:r w:rsidRPr="00674924">
              <w:rPr>
                <w:sz w:val="22"/>
                <w:szCs w:val="22"/>
              </w:rPr>
              <w:t>588</w:t>
            </w:r>
          </w:p>
        </w:tc>
        <w:tc>
          <w:tcPr>
            <w:tcW w:w="1857" w:type="dxa"/>
            <w:shd w:val="clear" w:color="auto" w:fill="auto"/>
            <w:vAlign w:val="center"/>
          </w:tcPr>
          <w:p w:rsidR="00A4304F" w:rsidRPr="00674924" w:rsidRDefault="00A4304F" w:rsidP="00B563C2">
            <w:pPr>
              <w:jc w:val="center"/>
              <w:rPr>
                <w:sz w:val="22"/>
                <w:szCs w:val="22"/>
              </w:rPr>
            </w:pPr>
            <w:r w:rsidRPr="00674924">
              <w:rPr>
                <w:sz w:val="22"/>
                <w:szCs w:val="22"/>
              </w:rPr>
              <w:t>106,39%</w:t>
            </w:r>
          </w:p>
        </w:tc>
        <w:tc>
          <w:tcPr>
            <w:tcW w:w="1722" w:type="dxa"/>
            <w:shd w:val="clear" w:color="auto" w:fill="auto"/>
            <w:vAlign w:val="center"/>
          </w:tcPr>
          <w:p w:rsidR="00A4304F" w:rsidRPr="00674924" w:rsidRDefault="00A4304F" w:rsidP="00B563C2">
            <w:pPr>
              <w:jc w:val="center"/>
              <w:rPr>
                <w:sz w:val="22"/>
                <w:szCs w:val="22"/>
              </w:rPr>
            </w:pPr>
            <w:r w:rsidRPr="00674924">
              <w:rPr>
                <w:sz w:val="22"/>
                <w:szCs w:val="22"/>
              </w:rPr>
              <w:t>109,37%</w:t>
            </w:r>
          </w:p>
        </w:tc>
      </w:tr>
      <w:tr w:rsidR="00A4304F" w:rsidRPr="00674924" w:rsidTr="00A4304F">
        <w:trPr>
          <w:divId w:val="41015615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ind w:right="120"/>
              <w:rPr>
                <w:color w:val="000000"/>
                <w:sz w:val="22"/>
                <w:szCs w:val="22"/>
                <w:lang w:val="fr-FR"/>
              </w:rPr>
            </w:pPr>
            <w:r w:rsidRPr="00674924">
              <w:rPr>
                <w:color w:val="000000"/>
                <w:sz w:val="22"/>
                <w:szCs w:val="22"/>
                <w:lang w:val="fr-FR"/>
              </w:rPr>
              <w:t>VPO3</w:t>
            </w: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F911A0" w:rsidP="00B563C2">
            <w:pPr>
              <w:jc w:val="both"/>
              <w:rPr>
                <w:sz w:val="22"/>
                <w:szCs w:val="22"/>
              </w:rPr>
            </w:pPr>
            <w:r w:rsidRPr="00674924">
              <w:rPr>
                <w:sz w:val="22"/>
                <w:szCs w:val="22"/>
              </w:rPr>
              <w:t xml:space="preserve">GSK et </w:t>
            </w:r>
            <w:r w:rsidR="00A4304F" w:rsidRPr="00674924">
              <w:rPr>
                <w:sz w:val="22"/>
                <w:szCs w:val="22"/>
              </w:rPr>
              <w:t>HAFFKINE BIO</w:t>
            </w:r>
          </w:p>
        </w:tc>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center"/>
              <w:rPr>
                <w:bCs/>
                <w:color w:val="FF0000"/>
                <w:sz w:val="22"/>
                <w:szCs w:val="22"/>
              </w:rPr>
            </w:pPr>
            <w:r w:rsidRPr="00674924">
              <w:rPr>
                <w:bCs/>
                <w:sz w:val="22"/>
                <w:szCs w:val="22"/>
              </w:rPr>
              <w:t>704 651</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center"/>
              <w:rPr>
                <w:sz w:val="22"/>
                <w:szCs w:val="22"/>
              </w:rPr>
            </w:pPr>
            <w:r w:rsidRPr="00674924">
              <w:rPr>
                <w:sz w:val="22"/>
                <w:szCs w:val="22"/>
              </w:rPr>
              <w:t>101,21%</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center"/>
              <w:rPr>
                <w:sz w:val="22"/>
                <w:szCs w:val="22"/>
              </w:rPr>
            </w:pPr>
            <w:r w:rsidRPr="00674924">
              <w:rPr>
                <w:sz w:val="22"/>
                <w:szCs w:val="22"/>
              </w:rPr>
              <w:t>102,83%</w:t>
            </w:r>
          </w:p>
        </w:tc>
      </w:tr>
      <w:tr w:rsidR="00A4304F" w:rsidRPr="00674924" w:rsidTr="00A4304F">
        <w:trPr>
          <w:divId w:val="41015615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ind w:right="120"/>
              <w:rPr>
                <w:color w:val="000000"/>
                <w:sz w:val="22"/>
                <w:szCs w:val="22"/>
                <w:lang w:val="fr-FR"/>
              </w:rPr>
            </w:pPr>
            <w:r w:rsidRPr="00674924">
              <w:rPr>
                <w:color w:val="000000"/>
                <w:sz w:val="22"/>
                <w:szCs w:val="22"/>
                <w:lang w:val="fr-FR"/>
              </w:rPr>
              <w:t>DTC1 / Penta1</w:t>
            </w: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both"/>
              <w:rPr>
                <w:sz w:val="22"/>
                <w:szCs w:val="22"/>
              </w:rPr>
            </w:pPr>
            <w:r w:rsidRPr="00674924">
              <w:rPr>
                <w:sz w:val="22"/>
                <w:szCs w:val="22"/>
              </w:rPr>
              <w:t>BIOLOGICAL E. Limited</w:t>
            </w:r>
          </w:p>
        </w:tc>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center"/>
              <w:rPr>
                <w:sz w:val="22"/>
                <w:szCs w:val="22"/>
              </w:rPr>
            </w:pPr>
            <w:r w:rsidRPr="00674924">
              <w:rPr>
                <w:bCs/>
                <w:sz w:val="22"/>
                <w:szCs w:val="22"/>
              </w:rPr>
              <w:t>704 651</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center"/>
              <w:rPr>
                <w:sz w:val="22"/>
                <w:szCs w:val="22"/>
              </w:rPr>
            </w:pPr>
            <w:r w:rsidRPr="00674924">
              <w:rPr>
                <w:sz w:val="22"/>
                <w:szCs w:val="22"/>
              </w:rPr>
              <w:t>105,09%</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center"/>
              <w:rPr>
                <w:sz w:val="22"/>
                <w:szCs w:val="22"/>
              </w:rPr>
            </w:pPr>
            <w:r w:rsidRPr="00674924">
              <w:rPr>
                <w:sz w:val="22"/>
                <w:szCs w:val="22"/>
              </w:rPr>
              <w:t>106,79%</w:t>
            </w:r>
          </w:p>
        </w:tc>
      </w:tr>
      <w:tr w:rsidR="00A4304F" w:rsidRPr="00674924" w:rsidTr="00A4304F">
        <w:trPr>
          <w:divId w:val="41015615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ind w:right="120"/>
              <w:rPr>
                <w:color w:val="000000"/>
                <w:sz w:val="22"/>
                <w:szCs w:val="22"/>
                <w:lang w:val="fr-FR"/>
              </w:rPr>
            </w:pPr>
            <w:r w:rsidRPr="00674924">
              <w:rPr>
                <w:color w:val="000000"/>
                <w:sz w:val="22"/>
                <w:szCs w:val="22"/>
                <w:lang w:val="fr-FR"/>
              </w:rPr>
              <w:t>DTC3 / Penta3</w:t>
            </w: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both"/>
              <w:rPr>
                <w:sz w:val="22"/>
                <w:szCs w:val="22"/>
              </w:rPr>
            </w:pPr>
            <w:r w:rsidRPr="00674924">
              <w:rPr>
                <w:sz w:val="22"/>
                <w:szCs w:val="22"/>
              </w:rPr>
              <w:t>BIOLOGICAL E. Limited</w:t>
            </w:r>
          </w:p>
        </w:tc>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center"/>
              <w:rPr>
                <w:sz w:val="22"/>
                <w:szCs w:val="22"/>
              </w:rPr>
            </w:pPr>
            <w:r w:rsidRPr="00674924">
              <w:rPr>
                <w:bCs/>
                <w:sz w:val="22"/>
                <w:szCs w:val="22"/>
              </w:rPr>
              <w:t>704 651</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center"/>
              <w:rPr>
                <w:sz w:val="22"/>
                <w:szCs w:val="22"/>
              </w:rPr>
            </w:pPr>
            <w:r w:rsidRPr="00674924">
              <w:rPr>
                <w:sz w:val="22"/>
                <w:szCs w:val="22"/>
              </w:rPr>
              <w:t>101,48%</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center"/>
              <w:rPr>
                <w:sz w:val="22"/>
                <w:szCs w:val="22"/>
              </w:rPr>
            </w:pPr>
            <w:r w:rsidRPr="00674924">
              <w:rPr>
                <w:sz w:val="22"/>
                <w:szCs w:val="22"/>
              </w:rPr>
              <w:t>102,85%</w:t>
            </w:r>
          </w:p>
        </w:tc>
      </w:tr>
      <w:tr w:rsidR="00A4304F" w:rsidRPr="00674924" w:rsidTr="00A4304F">
        <w:trPr>
          <w:divId w:val="41015615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ind w:right="120"/>
              <w:rPr>
                <w:color w:val="000000"/>
                <w:sz w:val="22"/>
                <w:szCs w:val="22"/>
                <w:lang w:val="fr-FR"/>
              </w:rPr>
            </w:pPr>
            <w:r w:rsidRPr="00674924">
              <w:rPr>
                <w:color w:val="000000"/>
                <w:sz w:val="22"/>
                <w:szCs w:val="22"/>
                <w:lang w:val="fr-FR"/>
              </w:rPr>
              <w:t>VPH1</w:t>
            </w: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both"/>
              <w:rPr>
                <w:sz w:val="22"/>
                <w:szCs w:val="22"/>
              </w:rPr>
            </w:pPr>
          </w:p>
        </w:tc>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center"/>
              <w:rPr>
                <w:sz w:val="22"/>
                <w:szCs w:val="22"/>
              </w:rPr>
            </w:pP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center"/>
              <w:rPr>
                <w:sz w:val="22"/>
                <w:szCs w:val="22"/>
              </w:rPr>
            </w:pP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center"/>
              <w:rPr>
                <w:sz w:val="22"/>
                <w:szCs w:val="22"/>
              </w:rPr>
            </w:pPr>
          </w:p>
        </w:tc>
      </w:tr>
      <w:tr w:rsidR="00A4304F" w:rsidRPr="00674924" w:rsidTr="00A4304F">
        <w:trPr>
          <w:divId w:val="41015615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ind w:right="120"/>
              <w:rPr>
                <w:color w:val="000000"/>
                <w:sz w:val="22"/>
                <w:szCs w:val="22"/>
                <w:lang w:val="fr-FR"/>
              </w:rPr>
            </w:pPr>
            <w:r w:rsidRPr="00674924">
              <w:rPr>
                <w:color w:val="000000"/>
                <w:sz w:val="22"/>
                <w:szCs w:val="22"/>
                <w:lang w:val="fr-FR"/>
              </w:rPr>
              <w:t>VPH3</w:t>
            </w: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both"/>
              <w:rPr>
                <w:sz w:val="22"/>
                <w:szCs w:val="22"/>
              </w:rPr>
            </w:pPr>
          </w:p>
        </w:tc>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center"/>
              <w:rPr>
                <w:sz w:val="22"/>
                <w:szCs w:val="22"/>
              </w:rPr>
            </w:pP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center"/>
              <w:rPr>
                <w:sz w:val="22"/>
                <w:szCs w:val="22"/>
              </w:rPr>
            </w:pP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center"/>
              <w:rPr>
                <w:sz w:val="22"/>
                <w:szCs w:val="22"/>
              </w:rPr>
            </w:pPr>
          </w:p>
        </w:tc>
      </w:tr>
      <w:tr w:rsidR="00F911A0" w:rsidRPr="00674924" w:rsidTr="00A4304F">
        <w:trPr>
          <w:divId w:val="41015615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911A0" w:rsidRPr="00674924" w:rsidRDefault="00F911A0" w:rsidP="00B563C2">
            <w:pPr>
              <w:ind w:right="120"/>
              <w:rPr>
                <w:color w:val="000000"/>
                <w:sz w:val="22"/>
                <w:szCs w:val="22"/>
                <w:lang w:val="fr-FR"/>
              </w:rPr>
            </w:pPr>
            <w:r w:rsidRPr="00674924">
              <w:rPr>
                <w:color w:val="000000"/>
                <w:sz w:val="22"/>
                <w:szCs w:val="22"/>
                <w:lang w:val="fr-FR"/>
              </w:rPr>
              <w:t>Rougeole 1</w:t>
            </w: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rsidR="00F911A0" w:rsidRPr="00674924" w:rsidRDefault="00F911A0" w:rsidP="007F5242">
            <w:pPr>
              <w:jc w:val="both"/>
              <w:rPr>
                <w:sz w:val="22"/>
                <w:szCs w:val="22"/>
              </w:rPr>
            </w:pPr>
            <w:r w:rsidRPr="00674924">
              <w:rPr>
                <w:sz w:val="22"/>
                <w:szCs w:val="22"/>
              </w:rPr>
              <w:t>SERUM INSTITUTE OF INDIA</w:t>
            </w:r>
          </w:p>
        </w:tc>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rsidR="00F911A0" w:rsidRPr="00674924" w:rsidRDefault="00F911A0" w:rsidP="00B563C2">
            <w:pPr>
              <w:jc w:val="center"/>
              <w:rPr>
                <w:sz w:val="22"/>
                <w:szCs w:val="22"/>
              </w:rPr>
            </w:pPr>
            <w:r w:rsidRPr="00674924">
              <w:rPr>
                <w:bCs/>
                <w:sz w:val="22"/>
                <w:szCs w:val="22"/>
              </w:rPr>
              <w:t>704 651</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F911A0" w:rsidRPr="00674924" w:rsidRDefault="00F911A0" w:rsidP="00B563C2">
            <w:pPr>
              <w:jc w:val="center"/>
              <w:rPr>
                <w:bCs/>
                <w:color w:val="000000"/>
                <w:sz w:val="22"/>
                <w:szCs w:val="22"/>
              </w:rPr>
            </w:pPr>
            <w:r w:rsidRPr="00674924">
              <w:rPr>
                <w:bCs/>
                <w:color w:val="000000"/>
                <w:sz w:val="22"/>
                <w:szCs w:val="22"/>
              </w:rPr>
              <w:t>99,84%</w:t>
            </w:r>
          </w:p>
          <w:p w:rsidR="00F911A0" w:rsidRPr="00674924" w:rsidRDefault="00F911A0" w:rsidP="00B563C2">
            <w:pPr>
              <w:jc w:val="center"/>
              <w:rPr>
                <w:bCs/>
                <w:color w:val="000000"/>
                <w:sz w:val="22"/>
                <w:szCs w:val="22"/>
              </w:rPr>
            </w:pP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F911A0" w:rsidRPr="00674924" w:rsidRDefault="0025621F" w:rsidP="0025621F">
            <w:pPr>
              <w:jc w:val="center"/>
              <w:rPr>
                <w:sz w:val="22"/>
                <w:szCs w:val="22"/>
              </w:rPr>
            </w:pPr>
            <w:r w:rsidRPr="00674924">
              <w:rPr>
                <w:sz w:val="22"/>
                <w:szCs w:val="22"/>
              </w:rPr>
              <w:t>100%</w:t>
            </w:r>
          </w:p>
        </w:tc>
      </w:tr>
      <w:tr w:rsidR="00A4304F" w:rsidRPr="00674924" w:rsidTr="00A4304F">
        <w:trPr>
          <w:divId w:val="41015615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ind w:right="120"/>
              <w:rPr>
                <w:color w:val="000000"/>
                <w:sz w:val="22"/>
                <w:szCs w:val="22"/>
                <w:lang w:val="fr-FR"/>
              </w:rPr>
            </w:pPr>
            <w:r w:rsidRPr="00674924">
              <w:rPr>
                <w:color w:val="000000"/>
                <w:sz w:val="22"/>
                <w:szCs w:val="22"/>
                <w:lang w:val="fr-FR"/>
              </w:rPr>
              <w:t>Rougeole 2</w:t>
            </w: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both"/>
              <w:rPr>
                <w:sz w:val="22"/>
                <w:szCs w:val="22"/>
              </w:rPr>
            </w:pPr>
          </w:p>
        </w:tc>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center"/>
              <w:rPr>
                <w:sz w:val="22"/>
                <w:szCs w:val="22"/>
              </w:rPr>
            </w:pP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center"/>
              <w:rPr>
                <w:bCs/>
                <w:color w:val="000000"/>
                <w:sz w:val="22"/>
                <w:szCs w:val="22"/>
              </w:rPr>
            </w:pP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center"/>
              <w:rPr>
                <w:sz w:val="22"/>
                <w:szCs w:val="22"/>
              </w:rPr>
            </w:pPr>
          </w:p>
        </w:tc>
      </w:tr>
      <w:tr w:rsidR="00F911A0" w:rsidRPr="00674924" w:rsidTr="007F5242">
        <w:trPr>
          <w:divId w:val="41015615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911A0" w:rsidRPr="00674924" w:rsidRDefault="00F911A0" w:rsidP="00B563C2">
            <w:pPr>
              <w:ind w:right="120"/>
              <w:rPr>
                <w:color w:val="000000"/>
                <w:sz w:val="22"/>
                <w:szCs w:val="22"/>
                <w:lang w:val="fr-FR"/>
              </w:rPr>
            </w:pPr>
            <w:r w:rsidRPr="00674924">
              <w:rPr>
                <w:color w:val="000000"/>
                <w:sz w:val="22"/>
                <w:szCs w:val="22"/>
                <w:lang w:val="fr-FR"/>
              </w:rPr>
              <w:t>VPC1</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F911A0" w:rsidRPr="00674924" w:rsidRDefault="00F911A0">
            <w:r w:rsidRPr="00674924">
              <w:rPr>
                <w:sz w:val="22"/>
                <w:szCs w:val="22"/>
              </w:rPr>
              <w:t>Wyeth</w:t>
            </w:r>
          </w:p>
        </w:tc>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rsidR="00F911A0" w:rsidRPr="00674924" w:rsidRDefault="00F911A0" w:rsidP="00B563C2">
            <w:pPr>
              <w:jc w:val="center"/>
              <w:rPr>
                <w:sz w:val="22"/>
                <w:szCs w:val="22"/>
              </w:rPr>
            </w:pPr>
            <w:r w:rsidRPr="00674924">
              <w:rPr>
                <w:bCs/>
                <w:sz w:val="22"/>
                <w:szCs w:val="22"/>
              </w:rPr>
              <w:t>704 651</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F911A0" w:rsidRPr="00674924" w:rsidRDefault="00F911A0" w:rsidP="00F911A0">
            <w:pPr>
              <w:jc w:val="center"/>
              <w:rPr>
                <w:bCs/>
                <w:color w:val="000000"/>
                <w:sz w:val="22"/>
                <w:szCs w:val="22"/>
              </w:rPr>
            </w:pPr>
            <w:r w:rsidRPr="00674924">
              <w:rPr>
                <w:bCs/>
                <w:color w:val="000000"/>
                <w:sz w:val="22"/>
                <w:szCs w:val="22"/>
              </w:rPr>
              <w:t>31,14%*</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F911A0" w:rsidRPr="00674924" w:rsidRDefault="00F911A0" w:rsidP="00B563C2">
            <w:pPr>
              <w:jc w:val="center"/>
              <w:rPr>
                <w:sz w:val="22"/>
                <w:szCs w:val="22"/>
              </w:rPr>
            </w:pPr>
            <w:r w:rsidRPr="00674924">
              <w:rPr>
                <w:sz w:val="22"/>
                <w:szCs w:val="22"/>
              </w:rPr>
              <w:t>NA</w:t>
            </w:r>
          </w:p>
        </w:tc>
      </w:tr>
      <w:tr w:rsidR="00F911A0" w:rsidRPr="00674924" w:rsidTr="00F911A0">
        <w:trPr>
          <w:divId w:val="410156154"/>
          <w:trHeight w:val="301"/>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F911A0" w:rsidRPr="00674924" w:rsidRDefault="00F911A0" w:rsidP="00B563C2">
            <w:pPr>
              <w:ind w:right="120"/>
              <w:rPr>
                <w:color w:val="000000"/>
                <w:sz w:val="22"/>
                <w:szCs w:val="22"/>
                <w:lang w:val="fr-FR"/>
              </w:rPr>
            </w:pPr>
            <w:r w:rsidRPr="00674924">
              <w:rPr>
                <w:color w:val="000000"/>
                <w:sz w:val="22"/>
                <w:szCs w:val="22"/>
                <w:lang w:val="fr-FR"/>
              </w:rPr>
              <w:t>VPC3</w:t>
            </w:r>
          </w:p>
        </w:tc>
        <w:tc>
          <w:tcPr>
            <w:tcW w:w="2174" w:type="dxa"/>
            <w:tcBorders>
              <w:top w:val="single" w:sz="4" w:space="0" w:color="auto"/>
              <w:left w:val="single" w:sz="4" w:space="0" w:color="auto"/>
              <w:bottom w:val="single" w:sz="4" w:space="0" w:color="auto"/>
              <w:right w:val="single" w:sz="4" w:space="0" w:color="auto"/>
            </w:tcBorders>
            <w:shd w:val="clear" w:color="auto" w:fill="auto"/>
          </w:tcPr>
          <w:p w:rsidR="00F911A0" w:rsidRPr="00674924" w:rsidRDefault="00F911A0">
            <w:r w:rsidRPr="00674924">
              <w:rPr>
                <w:sz w:val="22"/>
                <w:szCs w:val="22"/>
              </w:rPr>
              <w:t>Wyeth</w:t>
            </w:r>
          </w:p>
        </w:tc>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rsidR="00F911A0" w:rsidRPr="00674924" w:rsidRDefault="00F911A0" w:rsidP="00B563C2">
            <w:pPr>
              <w:jc w:val="center"/>
              <w:rPr>
                <w:sz w:val="22"/>
                <w:szCs w:val="22"/>
              </w:rPr>
            </w:pPr>
            <w:r w:rsidRPr="00674924">
              <w:rPr>
                <w:bCs/>
                <w:sz w:val="22"/>
                <w:szCs w:val="22"/>
              </w:rPr>
              <w:t>704 651</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F911A0" w:rsidRPr="00674924" w:rsidRDefault="00E0783B" w:rsidP="00B563C2">
            <w:pPr>
              <w:jc w:val="center"/>
              <w:rPr>
                <w:bCs/>
                <w:color w:val="000000"/>
                <w:sz w:val="22"/>
                <w:szCs w:val="22"/>
              </w:rPr>
            </w:pPr>
            <w:r>
              <w:rPr>
                <w:bCs/>
                <w:color w:val="000000"/>
                <w:sz w:val="22"/>
                <w:szCs w:val="22"/>
              </w:rPr>
              <w:t>8,73</w:t>
            </w:r>
            <w:r w:rsidR="00F911A0" w:rsidRPr="00674924">
              <w:rPr>
                <w:bCs/>
                <w:color w:val="000000"/>
                <w:sz w:val="22"/>
                <w:szCs w:val="22"/>
              </w:rPr>
              <w:t>%*</w:t>
            </w:r>
          </w:p>
          <w:p w:rsidR="00F911A0" w:rsidRPr="00674924" w:rsidRDefault="00F911A0" w:rsidP="00B563C2">
            <w:pPr>
              <w:jc w:val="center"/>
              <w:rPr>
                <w:bCs/>
                <w:color w:val="000000"/>
                <w:sz w:val="22"/>
                <w:szCs w:val="22"/>
              </w:rPr>
            </w:pP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F911A0" w:rsidRPr="00674924" w:rsidRDefault="00F911A0" w:rsidP="00B563C2">
            <w:pPr>
              <w:jc w:val="center"/>
              <w:rPr>
                <w:sz w:val="22"/>
                <w:szCs w:val="22"/>
              </w:rPr>
            </w:pPr>
            <w:r w:rsidRPr="00674924">
              <w:rPr>
                <w:sz w:val="22"/>
                <w:szCs w:val="22"/>
              </w:rPr>
              <w:t>NA</w:t>
            </w:r>
          </w:p>
        </w:tc>
      </w:tr>
      <w:tr w:rsidR="00A4304F" w:rsidRPr="00674924" w:rsidTr="00A4304F">
        <w:trPr>
          <w:divId w:val="41015615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ind w:right="120"/>
              <w:rPr>
                <w:color w:val="000000"/>
                <w:sz w:val="22"/>
                <w:szCs w:val="22"/>
                <w:lang w:val="fr-FR"/>
              </w:rPr>
            </w:pPr>
            <w:r w:rsidRPr="00674924">
              <w:rPr>
                <w:color w:val="000000"/>
                <w:sz w:val="22"/>
                <w:szCs w:val="22"/>
                <w:lang w:val="fr-FR"/>
              </w:rPr>
              <w:t>Rota 1</w:t>
            </w: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both"/>
              <w:rPr>
                <w:sz w:val="22"/>
                <w:szCs w:val="22"/>
              </w:rPr>
            </w:pPr>
            <w:r w:rsidRPr="00674924">
              <w:rPr>
                <w:sz w:val="22"/>
                <w:szCs w:val="22"/>
              </w:rPr>
              <w:t>Merck</w:t>
            </w:r>
          </w:p>
        </w:tc>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center"/>
              <w:rPr>
                <w:sz w:val="22"/>
                <w:szCs w:val="22"/>
              </w:rPr>
            </w:pPr>
            <w:r w:rsidRPr="00674924">
              <w:rPr>
                <w:bCs/>
                <w:sz w:val="22"/>
                <w:szCs w:val="22"/>
              </w:rPr>
              <w:t>704 651</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center"/>
              <w:rPr>
                <w:bCs/>
                <w:color w:val="000000"/>
                <w:sz w:val="22"/>
                <w:szCs w:val="22"/>
              </w:rPr>
            </w:pPr>
            <w:r w:rsidRPr="00674924">
              <w:rPr>
                <w:bCs/>
                <w:color w:val="000000"/>
                <w:sz w:val="22"/>
                <w:szCs w:val="22"/>
              </w:rPr>
              <w:t>30,85%*</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center"/>
              <w:rPr>
                <w:sz w:val="22"/>
                <w:szCs w:val="22"/>
              </w:rPr>
            </w:pPr>
            <w:r w:rsidRPr="00674924">
              <w:rPr>
                <w:sz w:val="22"/>
                <w:szCs w:val="22"/>
              </w:rPr>
              <w:t>NA</w:t>
            </w:r>
          </w:p>
        </w:tc>
      </w:tr>
      <w:tr w:rsidR="00A4304F" w:rsidRPr="00A4304F" w:rsidTr="00A4304F">
        <w:trPr>
          <w:divId w:val="410156154"/>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ind w:right="120"/>
              <w:rPr>
                <w:color w:val="000000"/>
                <w:sz w:val="22"/>
                <w:szCs w:val="22"/>
                <w:lang w:val="fr-FR"/>
              </w:rPr>
            </w:pPr>
            <w:r w:rsidRPr="00674924">
              <w:rPr>
                <w:color w:val="000000"/>
                <w:sz w:val="22"/>
                <w:szCs w:val="22"/>
                <w:lang w:val="fr-FR"/>
              </w:rPr>
              <w:t xml:space="preserve">Rota 2 ou 3 </w:t>
            </w:r>
          </w:p>
        </w:tc>
        <w:tc>
          <w:tcPr>
            <w:tcW w:w="2174"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both"/>
              <w:rPr>
                <w:sz w:val="22"/>
                <w:szCs w:val="22"/>
              </w:rPr>
            </w:pPr>
            <w:r w:rsidRPr="00674924">
              <w:rPr>
                <w:sz w:val="22"/>
                <w:szCs w:val="22"/>
              </w:rPr>
              <w:t>Merck</w:t>
            </w:r>
          </w:p>
        </w:tc>
        <w:tc>
          <w:tcPr>
            <w:tcW w:w="2821"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center"/>
              <w:rPr>
                <w:sz w:val="22"/>
                <w:szCs w:val="22"/>
              </w:rPr>
            </w:pPr>
            <w:r w:rsidRPr="00674924">
              <w:rPr>
                <w:bCs/>
                <w:sz w:val="22"/>
                <w:szCs w:val="22"/>
              </w:rPr>
              <w:t>704</w:t>
            </w:r>
            <w:r w:rsidR="00F911A0" w:rsidRPr="00674924">
              <w:rPr>
                <w:bCs/>
                <w:sz w:val="22"/>
                <w:szCs w:val="22"/>
              </w:rPr>
              <w:t> </w:t>
            </w:r>
            <w:r w:rsidRPr="00674924">
              <w:rPr>
                <w:bCs/>
                <w:sz w:val="22"/>
                <w:szCs w:val="22"/>
              </w:rPr>
              <w:t>651</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F911A0" w:rsidP="00F911A0">
            <w:pPr>
              <w:jc w:val="center"/>
              <w:rPr>
                <w:bCs/>
                <w:color w:val="000000"/>
                <w:sz w:val="22"/>
                <w:szCs w:val="22"/>
              </w:rPr>
            </w:pPr>
            <w:r w:rsidRPr="00674924">
              <w:rPr>
                <w:bCs/>
                <w:color w:val="000000"/>
                <w:sz w:val="22"/>
                <w:szCs w:val="22"/>
              </w:rPr>
              <w:t>8,54%*</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rsidR="00A4304F" w:rsidRPr="00674924" w:rsidRDefault="00A4304F" w:rsidP="00B563C2">
            <w:pPr>
              <w:jc w:val="center"/>
              <w:rPr>
                <w:sz w:val="22"/>
                <w:szCs w:val="22"/>
              </w:rPr>
            </w:pPr>
            <w:r w:rsidRPr="00674924">
              <w:rPr>
                <w:sz w:val="22"/>
                <w:szCs w:val="22"/>
              </w:rPr>
              <w:t>NA</w:t>
            </w:r>
          </w:p>
        </w:tc>
      </w:tr>
    </w:tbl>
    <w:p w:rsidR="00223023" w:rsidRDefault="00A4304F" w:rsidP="00B563C2">
      <w:pPr>
        <w:jc w:val="both"/>
        <w:divId w:val="410156154"/>
        <w:rPr>
          <w:rFonts w:asciiTheme="minorHAnsi" w:hAnsiTheme="minorHAnsi"/>
          <w:lang w:val="fr-FR"/>
        </w:rPr>
      </w:pPr>
      <w:r w:rsidRPr="00A4304F">
        <w:rPr>
          <w:rFonts w:asciiTheme="minorHAnsi" w:hAnsiTheme="minorHAnsi"/>
          <w:b/>
          <w:i/>
          <w:u w:val="single"/>
          <w:lang w:val="fr-FR"/>
        </w:rPr>
        <w:t>N.B</w:t>
      </w:r>
      <w:r>
        <w:rPr>
          <w:rFonts w:asciiTheme="minorHAnsi" w:hAnsiTheme="minorHAnsi"/>
          <w:lang w:val="fr-FR"/>
        </w:rPr>
        <w:t xml:space="preserve"> : </w:t>
      </w:r>
      <w:r w:rsidR="007048E9">
        <w:rPr>
          <w:rFonts w:asciiTheme="minorHAnsi" w:hAnsiTheme="minorHAnsi"/>
          <w:lang w:val="fr-FR"/>
        </w:rPr>
        <w:t>*</w:t>
      </w:r>
      <w:r w:rsidR="008868B0" w:rsidRPr="00860CC3">
        <w:rPr>
          <w:lang w:val="fr-FR"/>
        </w:rPr>
        <w:t>les couvertures en Pneumo et en Rota concernent les mois de novembre et décembre 2013.</w:t>
      </w:r>
    </w:p>
    <w:p w:rsidR="00A4304F" w:rsidRPr="00C369C9" w:rsidRDefault="00A4304F" w:rsidP="00B563C2">
      <w:pPr>
        <w:jc w:val="both"/>
        <w:divId w:val="410156154"/>
        <w:rPr>
          <w:rFonts w:asciiTheme="minorHAnsi" w:hAnsiTheme="minorHAnsi"/>
          <w:lang w:val="fr-FR"/>
        </w:rPr>
      </w:pPr>
    </w:p>
    <w:p w:rsidR="00536131" w:rsidRDefault="00515293">
      <w:pPr>
        <w:pStyle w:val="Paragraphedeliste"/>
        <w:numPr>
          <w:ilvl w:val="0"/>
          <w:numId w:val="10"/>
        </w:numPr>
        <w:autoSpaceDE w:val="0"/>
        <w:autoSpaceDN w:val="0"/>
        <w:adjustRightInd w:val="0"/>
        <w:spacing w:after="0" w:line="240" w:lineRule="auto"/>
        <w:ind w:right="115"/>
        <w:jc w:val="both"/>
        <w:divId w:val="410156154"/>
        <w:rPr>
          <w:rFonts w:asciiTheme="minorHAnsi" w:eastAsia="SimSun" w:hAnsiTheme="minorHAnsi" w:cs="Calibri"/>
          <w:color w:val="000000"/>
          <w:highlight w:val="cyan"/>
          <w:lang w:val="fr-FR"/>
        </w:rPr>
      </w:pPr>
      <w:r w:rsidRPr="008868B0">
        <w:rPr>
          <w:rFonts w:asciiTheme="minorHAnsi" w:eastAsia="SimSun" w:hAnsiTheme="minorHAnsi" w:cs="Calibri"/>
          <w:color w:val="000000"/>
          <w:highlight w:val="cyan"/>
          <w:lang w:val="fr-FR"/>
        </w:rPr>
        <w:t xml:space="preserve">Veuillez décrire les obstacles géographiques, économiques, politiques, culturels, sexospécifiques et sociaux à la vaccination. Compte tenu de la priorité accordée à l’égalité </w:t>
      </w:r>
      <w:r w:rsidR="005962B0" w:rsidRPr="008868B0">
        <w:rPr>
          <w:rFonts w:asciiTheme="minorHAnsi" w:eastAsia="SimSun" w:hAnsiTheme="minorHAnsi" w:cs="Calibri"/>
          <w:color w:val="000000"/>
          <w:highlight w:val="cyan"/>
          <w:lang w:val="fr-FR"/>
        </w:rPr>
        <w:t>des genres</w:t>
      </w:r>
      <w:r w:rsidRPr="008868B0">
        <w:rPr>
          <w:rFonts w:asciiTheme="minorHAnsi" w:eastAsia="SimSun" w:hAnsiTheme="minorHAnsi" w:cs="Calibri"/>
          <w:color w:val="000000"/>
          <w:highlight w:val="cyan"/>
          <w:lang w:val="fr-FR"/>
        </w:rPr>
        <w:t xml:space="preserve"> et l’équité d’accès aux services de vaccination par GAVI, veuillez décrire toute étude que vous avez menée sur l’égalité </w:t>
      </w:r>
      <w:r w:rsidR="005962B0" w:rsidRPr="008868B0">
        <w:rPr>
          <w:rFonts w:asciiTheme="minorHAnsi" w:eastAsia="SimSun" w:hAnsiTheme="minorHAnsi" w:cs="Calibri"/>
          <w:color w:val="000000"/>
          <w:highlight w:val="cyan"/>
          <w:lang w:val="fr-FR"/>
        </w:rPr>
        <w:t>des genres</w:t>
      </w:r>
      <w:r w:rsidRPr="008868B0">
        <w:rPr>
          <w:rFonts w:asciiTheme="minorHAnsi" w:eastAsia="SimSun" w:hAnsiTheme="minorHAnsi" w:cs="Calibri"/>
          <w:color w:val="000000"/>
          <w:highlight w:val="cyan"/>
          <w:lang w:val="fr-FR"/>
        </w:rPr>
        <w:t xml:space="preserve"> et l’équité, y compris les mesures qui ont été prises pour réduire les obstacles.   </w:t>
      </w:r>
    </w:p>
    <w:p w:rsidR="000A2CB6" w:rsidRPr="00604063" w:rsidRDefault="00515293" w:rsidP="00536131">
      <w:pPr>
        <w:pStyle w:val="Paragraphedeliste"/>
        <w:autoSpaceDE w:val="0"/>
        <w:autoSpaceDN w:val="0"/>
        <w:adjustRightInd w:val="0"/>
        <w:spacing w:after="0" w:line="240" w:lineRule="auto"/>
        <w:ind w:right="115"/>
        <w:jc w:val="both"/>
        <w:divId w:val="410156154"/>
        <w:rPr>
          <w:rFonts w:asciiTheme="minorHAnsi" w:eastAsia="SimSun" w:hAnsiTheme="minorHAnsi" w:cs="Calibri"/>
          <w:color w:val="000000"/>
          <w:sz w:val="6"/>
          <w:highlight w:val="cyan"/>
          <w:lang w:val="fr-FR"/>
        </w:rPr>
      </w:pPr>
      <w:r w:rsidRPr="008868B0">
        <w:rPr>
          <w:rFonts w:asciiTheme="minorHAnsi" w:eastAsia="SimSun" w:hAnsiTheme="minorHAnsi" w:cs="Calibri"/>
          <w:color w:val="000000"/>
          <w:highlight w:val="cyan"/>
          <w:lang w:val="fr-FR"/>
        </w:rPr>
        <w:t xml:space="preserve"> </w:t>
      </w:r>
    </w:p>
    <w:p w:rsidR="00D95179" w:rsidRPr="009A5CFD" w:rsidRDefault="00D95179" w:rsidP="00B563C2">
      <w:pPr>
        <w:ind w:right="23"/>
        <w:jc w:val="both"/>
        <w:divId w:val="410156154"/>
        <w:rPr>
          <w:lang w:val="fr-FR"/>
        </w:rPr>
      </w:pPr>
      <w:r w:rsidRPr="009A5CFD">
        <w:rPr>
          <w:lang w:val="fr-FR"/>
        </w:rPr>
        <w:t xml:space="preserve">Le Burkina Faso est un pays qui a connu des épidémies </w:t>
      </w:r>
      <w:r w:rsidR="00EF1CF1" w:rsidRPr="009A5CFD">
        <w:rPr>
          <w:lang w:val="fr-FR"/>
        </w:rPr>
        <w:t>meurtrières surtout de méningite et de rougeole</w:t>
      </w:r>
      <w:r w:rsidRPr="009A5CFD">
        <w:rPr>
          <w:lang w:val="fr-FR"/>
        </w:rPr>
        <w:t xml:space="preserve">. De ce fait, </w:t>
      </w:r>
      <w:r w:rsidR="008868B0" w:rsidRPr="009A5CFD">
        <w:rPr>
          <w:lang w:val="fr-FR"/>
        </w:rPr>
        <w:t xml:space="preserve">les populations ont une attitude favorable à la vaccination. </w:t>
      </w:r>
    </w:p>
    <w:p w:rsidR="008868B0" w:rsidRPr="009A5CFD" w:rsidRDefault="008868B0" w:rsidP="00B563C2">
      <w:pPr>
        <w:ind w:right="23"/>
        <w:jc w:val="both"/>
        <w:divId w:val="410156154"/>
        <w:rPr>
          <w:lang w:val="fr-FR"/>
        </w:rPr>
      </w:pPr>
      <w:r w:rsidRPr="009A5CFD">
        <w:rPr>
          <w:lang w:val="fr-FR"/>
        </w:rPr>
        <w:t>L’analyse du genre n’</w:t>
      </w:r>
      <w:r w:rsidR="00EF1CF1" w:rsidRPr="009A5CFD">
        <w:rPr>
          <w:lang w:val="fr-FR"/>
        </w:rPr>
        <w:t>étai</w:t>
      </w:r>
      <w:r w:rsidR="00D95179" w:rsidRPr="009A5CFD">
        <w:rPr>
          <w:lang w:val="fr-FR"/>
        </w:rPr>
        <w:t>t</w:t>
      </w:r>
      <w:r w:rsidRPr="009A5CFD">
        <w:rPr>
          <w:lang w:val="fr-FR"/>
        </w:rPr>
        <w:t xml:space="preserve"> pas systématique dans les données administratives rapportées da</w:t>
      </w:r>
      <w:r w:rsidR="00D95179" w:rsidRPr="009A5CFD">
        <w:rPr>
          <w:lang w:val="fr-FR"/>
        </w:rPr>
        <w:t>ns les rapports de vaccination ; mais ces données seront disponibles les années à venir.</w:t>
      </w:r>
    </w:p>
    <w:p w:rsidR="008868B0" w:rsidRPr="009A5CFD" w:rsidRDefault="008868B0" w:rsidP="00B563C2">
      <w:pPr>
        <w:ind w:right="23"/>
        <w:jc w:val="both"/>
        <w:divId w:val="410156154"/>
        <w:rPr>
          <w:lang w:val="fr-FR"/>
        </w:rPr>
      </w:pPr>
    </w:p>
    <w:p w:rsidR="008868B0" w:rsidRPr="009A5CFD" w:rsidRDefault="00EF1CF1" w:rsidP="00B563C2">
      <w:pPr>
        <w:pStyle w:val="Listecouleur-Accent11"/>
        <w:autoSpaceDE w:val="0"/>
        <w:autoSpaceDN w:val="0"/>
        <w:adjustRightInd w:val="0"/>
        <w:spacing w:before="120" w:after="120" w:line="240" w:lineRule="auto"/>
        <w:ind w:left="0" w:right="360"/>
        <w:jc w:val="both"/>
        <w:divId w:val="410156154"/>
        <w:rPr>
          <w:rFonts w:ascii="Times New Roman" w:hAnsi="Times New Roman"/>
          <w:sz w:val="24"/>
          <w:szCs w:val="24"/>
          <w:lang w:val="fr-FR" w:eastAsia="fr-FR"/>
        </w:rPr>
      </w:pPr>
      <w:r w:rsidRPr="009A5CFD">
        <w:rPr>
          <w:rFonts w:ascii="Times New Roman" w:hAnsi="Times New Roman"/>
          <w:sz w:val="24"/>
          <w:szCs w:val="24"/>
          <w:lang w:val="fr-FR" w:eastAsia="fr-FR"/>
        </w:rPr>
        <w:t>Selon</w:t>
      </w:r>
      <w:r w:rsidRPr="009A5CFD">
        <w:rPr>
          <w:rFonts w:ascii="Times New Roman" w:hAnsi="Times New Roman"/>
          <w:sz w:val="24"/>
          <w:szCs w:val="24"/>
          <w:lang w:val="fr-FR"/>
        </w:rPr>
        <w:t xml:space="preserve"> les résultats de l’EDSBF-MICS IV </w:t>
      </w:r>
      <w:r w:rsidRPr="009A5CFD">
        <w:rPr>
          <w:rFonts w:ascii="Times New Roman" w:hAnsi="Times New Roman"/>
          <w:sz w:val="24"/>
          <w:szCs w:val="24"/>
          <w:lang w:val="fr-FR" w:eastAsia="fr-FR"/>
        </w:rPr>
        <w:t xml:space="preserve">2010, la couverture vaccinale des enfants de 12-23 mois ne présente pas d’écart important selon le sexe de l’enfant (82% pour le sexe masculin et 81% pour le sexe féminin), selon le rang de naissance ou le milieu de résidence (82% pour le sexe masculin et 81% pour le sexe féminin). Par contre la couverture vaccinale présente des variations importantes selon la région de résidence, </w:t>
      </w:r>
      <w:r w:rsidRPr="009A5CFD">
        <w:rPr>
          <w:rFonts w:ascii="Times New Roman" w:hAnsi="Times New Roman"/>
          <w:sz w:val="24"/>
          <w:szCs w:val="24"/>
          <w:lang w:val="fr-FR" w:eastAsia="fr-FR"/>
        </w:rPr>
        <w:lastRenderedPageBreak/>
        <w:t>Centre Nord (94%) et Sahel et Cascades (66%). En outre les variations selon le niveau d’instruction de la mère ne sont pas très importante, la proportion d’enfants complètement vaccinés variant de 81% quand la mère n’a aucune instruction,  à 85% quand elle a un niveau primaire et à 83% quand elle a un niveau secondaire ou plus. Le taux de couverture vaccinal varie légèrement avec le niveau économique du ménage de l’enfant allant de 73% chez les ménages les plus pauvres à 84% chez les plus riches.</w:t>
      </w:r>
    </w:p>
    <w:p w:rsidR="00DB5E0E" w:rsidRPr="007C5B3F" w:rsidRDefault="00DB5E0E" w:rsidP="008200BE">
      <w:pPr>
        <w:pStyle w:val="Listecouleur-Accent11"/>
        <w:autoSpaceDE w:val="0"/>
        <w:autoSpaceDN w:val="0"/>
        <w:adjustRightInd w:val="0"/>
        <w:spacing w:before="120" w:after="120" w:line="240" w:lineRule="auto"/>
        <w:ind w:left="0" w:right="360"/>
        <w:jc w:val="both"/>
        <w:divId w:val="410156154"/>
        <w:rPr>
          <w:rFonts w:ascii="Times New Roman" w:hAnsi="Times New Roman"/>
          <w:sz w:val="6"/>
          <w:szCs w:val="24"/>
          <w:lang w:val="fr-FR" w:eastAsia="fr-FR"/>
        </w:rPr>
      </w:pPr>
    </w:p>
    <w:p w:rsidR="008868B0" w:rsidRPr="009A5CFD" w:rsidRDefault="008868B0" w:rsidP="00B563C2">
      <w:pPr>
        <w:ind w:right="23"/>
        <w:jc w:val="both"/>
        <w:divId w:val="410156154"/>
        <w:rPr>
          <w:lang w:val="fr-FR"/>
        </w:rPr>
      </w:pPr>
      <w:r w:rsidRPr="009A5CFD">
        <w:rPr>
          <w:lang w:val="fr-FR"/>
        </w:rPr>
        <w:t xml:space="preserve">Par ailleurs, il révèle que la situation économique du ménage fait apparaître des disparités importantes, en particulier entre les enfants des ménages les plus pauvres et ceux des plus riches. En effet, le pourcentage d’enfants </w:t>
      </w:r>
      <w:r w:rsidR="00750867">
        <w:rPr>
          <w:lang w:val="fr-FR"/>
        </w:rPr>
        <w:t>de 12-23 mois ayant</w:t>
      </w:r>
      <w:r w:rsidR="00DB5E0E" w:rsidRPr="009A5CFD">
        <w:rPr>
          <w:lang w:val="fr-FR"/>
        </w:rPr>
        <w:t xml:space="preserve"> reçu tous les vaccins </w:t>
      </w:r>
      <w:r w:rsidRPr="009A5CFD">
        <w:rPr>
          <w:lang w:val="fr-FR"/>
        </w:rPr>
        <w:t xml:space="preserve">est de </w:t>
      </w:r>
      <w:r w:rsidR="00DB5E0E" w:rsidRPr="009A5CFD">
        <w:rPr>
          <w:lang w:val="fr-FR"/>
        </w:rPr>
        <w:t>73</w:t>
      </w:r>
      <w:r w:rsidRPr="009A5CFD">
        <w:rPr>
          <w:lang w:val="fr-FR"/>
        </w:rPr>
        <w:t xml:space="preserve">% chez les enfants des ménages les plus pauvres alors qu’il est de </w:t>
      </w:r>
      <w:r w:rsidR="00DB5E0E" w:rsidRPr="009A5CFD">
        <w:rPr>
          <w:lang w:val="fr-FR"/>
        </w:rPr>
        <w:t>84</w:t>
      </w:r>
      <w:r w:rsidRPr="009A5CFD">
        <w:rPr>
          <w:lang w:val="fr-FR"/>
        </w:rPr>
        <w:t xml:space="preserve">% chez les enfants des ménages les plus riches, soit un écart de </w:t>
      </w:r>
      <w:r w:rsidR="00DB5E0E" w:rsidRPr="009A5CFD">
        <w:rPr>
          <w:lang w:val="fr-FR"/>
        </w:rPr>
        <w:t>11</w:t>
      </w:r>
      <w:r w:rsidRPr="009A5CFD">
        <w:rPr>
          <w:lang w:val="fr-FR"/>
        </w:rPr>
        <w:t xml:space="preserve"> points de pourcentage.</w:t>
      </w:r>
    </w:p>
    <w:p w:rsidR="008868B0" w:rsidRPr="007C5B3F" w:rsidRDefault="008868B0" w:rsidP="00B563C2">
      <w:pPr>
        <w:ind w:right="23"/>
        <w:jc w:val="both"/>
        <w:divId w:val="410156154"/>
        <w:rPr>
          <w:sz w:val="14"/>
          <w:lang w:val="fr-FR"/>
        </w:rPr>
      </w:pPr>
    </w:p>
    <w:p w:rsidR="00DB5E0E" w:rsidRPr="00860CC3" w:rsidRDefault="00DB5E0E" w:rsidP="00B563C2">
      <w:pPr>
        <w:jc w:val="both"/>
        <w:divId w:val="410156154"/>
        <w:rPr>
          <w:lang w:val="fr-FR"/>
        </w:rPr>
      </w:pPr>
      <w:r w:rsidRPr="00860CC3">
        <w:rPr>
          <w:lang w:val="fr-FR"/>
        </w:rPr>
        <w:t xml:space="preserve">La plupart des contraintes et obstacles à l’atteinte des résultats escomptés en matière de vaccination restent liées au système de santé dont le renforcement est indispensable pour garantir la pérennité de la performance du PEV. Le renforcement de la mise en œuvre de l’approche Atteindre Chaque District (ACD) va contribuer à la levée de ces obstacles. La politique de prise en charge gratuite des soins chez les enfants de moins de 5 </w:t>
      </w:r>
      <w:r w:rsidR="00750867" w:rsidRPr="00860CC3">
        <w:rPr>
          <w:lang w:val="fr-FR"/>
        </w:rPr>
        <w:t>ans permet</w:t>
      </w:r>
      <w:r w:rsidRPr="00860CC3">
        <w:rPr>
          <w:lang w:val="fr-FR"/>
        </w:rPr>
        <w:t xml:space="preserve"> d’accélérer l’atteinte de l’équité dans l’offre de services de vaccination.</w:t>
      </w:r>
    </w:p>
    <w:p w:rsidR="008868B0" w:rsidRPr="009A5CFD" w:rsidRDefault="00DB5E0E" w:rsidP="00B563C2">
      <w:pPr>
        <w:ind w:right="23"/>
        <w:jc w:val="both"/>
        <w:divId w:val="410156154"/>
        <w:rPr>
          <w:lang w:val="fr-FR"/>
        </w:rPr>
      </w:pPr>
      <w:r w:rsidRPr="009A5CFD">
        <w:rPr>
          <w:lang w:val="fr-FR"/>
        </w:rPr>
        <w:t xml:space="preserve">D’autres mesures opérationnelles </w:t>
      </w:r>
      <w:r w:rsidR="008868B0" w:rsidRPr="009A5CFD">
        <w:rPr>
          <w:lang w:val="fr-FR"/>
        </w:rPr>
        <w:t>ont été prises et/ou en cours de mise en œuvre :</w:t>
      </w:r>
    </w:p>
    <w:p w:rsidR="00DB5E0E" w:rsidRPr="009A5CFD" w:rsidRDefault="005D050D" w:rsidP="00B563C2">
      <w:pPr>
        <w:pStyle w:val="Paragraphedeliste"/>
        <w:numPr>
          <w:ilvl w:val="0"/>
          <w:numId w:val="10"/>
        </w:numPr>
        <w:spacing w:before="120" w:after="120" w:line="240" w:lineRule="auto"/>
        <w:ind w:right="143"/>
        <w:jc w:val="both"/>
        <w:divId w:val="410156154"/>
        <w:rPr>
          <w:rFonts w:ascii="Times New Roman" w:hAnsi="Times New Roman"/>
          <w:sz w:val="24"/>
          <w:szCs w:val="24"/>
          <w:lang w:val="fr-FR"/>
        </w:rPr>
      </w:pPr>
      <w:r>
        <w:rPr>
          <w:rFonts w:ascii="Times New Roman" w:hAnsi="Times New Roman"/>
          <w:sz w:val="24"/>
          <w:szCs w:val="24"/>
          <w:lang w:val="fr-FR"/>
        </w:rPr>
        <w:t xml:space="preserve">le </w:t>
      </w:r>
      <w:r w:rsidR="00B47742" w:rsidRPr="009A5CFD">
        <w:rPr>
          <w:rFonts w:ascii="Times New Roman" w:hAnsi="Times New Roman"/>
          <w:sz w:val="24"/>
          <w:szCs w:val="24"/>
          <w:lang w:val="fr-FR"/>
        </w:rPr>
        <w:t>r</w:t>
      </w:r>
      <w:r w:rsidR="00DB5E0E" w:rsidRPr="009A5CFD">
        <w:rPr>
          <w:rFonts w:ascii="Times New Roman" w:hAnsi="Times New Roman"/>
          <w:sz w:val="24"/>
          <w:szCs w:val="24"/>
          <w:lang w:val="fr-FR"/>
        </w:rPr>
        <w:t xml:space="preserve">enforcement du parc automobile des équipes cadres de district </w:t>
      </w:r>
    </w:p>
    <w:p w:rsidR="00DB5E0E" w:rsidRPr="009A5CFD" w:rsidRDefault="005D050D" w:rsidP="00B563C2">
      <w:pPr>
        <w:pStyle w:val="Paragraphedeliste"/>
        <w:numPr>
          <w:ilvl w:val="0"/>
          <w:numId w:val="10"/>
        </w:numPr>
        <w:spacing w:before="120" w:after="120" w:line="240" w:lineRule="auto"/>
        <w:ind w:right="143"/>
        <w:jc w:val="both"/>
        <w:divId w:val="410156154"/>
        <w:rPr>
          <w:rFonts w:ascii="Times New Roman" w:hAnsi="Times New Roman"/>
          <w:sz w:val="24"/>
          <w:szCs w:val="24"/>
          <w:lang w:val="fr-FR"/>
        </w:rPr>
      </w:pPr>
      <w:r>
        <w:rPr>
          <w:rFonts w:ascii="Times New Roman" w:hAnsi="Times New Roman"/>
          <w:sz w:val="24"/>
          <w:szCs w:val="24"/>
          <w:lang w:val="fr-FR"/>
        </w:rPr>
        <w:t xml:space="preserve">le </w:t>
      </w:r>
      <w:r w:rsidR="00DB5E0E" w:rsidRPr="009A5CFD">
        <w:rPr>
          <w:rFonts w:ascii="Times New Roman" w:hAnsi="Times New Roman"/>
          <w:sz w:val="24"/>
          <w:szCs w:val="24"/>
          <w:lang w:val="fr-FR"/>
        </w:rPr>
        <w:t>r</w:t>
      </w:r>
      <w:r w:rsidR="008868B0" w:rsidRPr="009A5CFD">
        <w:rPr>
          <w:rFonts w:ascii="Times New Roman" w:hAnsi="Times New Roman"/>
          <w:sz w:val="24"/>
          <w:szCs w:val="24"/>
          <w:lang w:val="fr-FR"/>
        </w:rPr>
        <w:t>enforcement du parc motos pour les stratégies avancées afin d’atteindre les populations éloignées et/ou d’accès difficile</w:t>
      </w:r>
    </w:p>
    <w:p w:rsidR="008868B0" w:rsidRPr="009A5CFD" w:rsidRDefault="005D050D" w:rsidP="00B563C2">
      <w:pPr>
        <w:pStyle w:val="Paragraphedeliste"/>
        <w:numPr>
          <w:ilvl w:val="0"/>
          <w:numId w:val="10"/>
        </w:numPr>
        <w:spacing w:before="120" w:after="120" w:line="240" w:lineRule="auto"/>
        <w:ind w:right="143"/>
        <w:jc w:val="both"/>
        <w:divId w:val="410156154"/>
        <w:rPr>
          <w:rFonts w:ascii="Times New Roman" w:hAnsi="Times New Roman"/>
          <w:sz w:val="24"/>
          <w:szCs w:val="24"/>
          <w:lang w:val="fr-FR"/>
        </w:rPr>
      </w:pPr>
      <w:r>
        <w:rPr>
          <w:rFonts w:ascii="Times New Roman" w:hAnsi="Times New Roman"/>
          <w:sz w:val="24"/>
          <w:szCs w:val="24"/>
          <w:lang w:val="fr-FR"/>
        </w:rPr>
        <w:t>le r</w:t>
      </w:r>
      <w:r w:rsidR="00DB5E0E" w:rsidRPr="009A5CFD">
        <w:rPr>
          <w:rFonts w:ascii="Times New Roman" w:hAnsi="Times New Roman"/>
          <w:sz w:val="24"/>
          <w:szCs w:val="24"/>
          <w:lang w:val="fr-FR"/>
        </w:rPr>
        <w:t>enforcement de la capacité de stockage des vaccins</w:t>
      </w:r>
    </w:p>
    <w:p w:rsidR="008868B0" w:rsidRPr="009A5CFD" w:rsidRDefault="005D050D" w:rsidP="00B563C2">
      <w:pPr>
        <w:pStyle w:val="Paragraphedeliste"/>
        <w:numPr>
          <w:ilvl w:val="0"/>
          <w:numId w:val="10"/>
        </w:numPr>
        <w:spacing w:before="120" w:after="120" w:line="240" w:lineRule="auto"/>
        <w:ind w:right="143"/>
        <w:jc w:val="both"/>
        <w:divId w:val="410156154"/>
        <w:rPr>
          <w:rFonts w:ascii="Times New Roman" w:hAnsi="Times New Roman"/>
          <w:sz w:val="24"/>
          <w:szCs w:val="24"/>
          <w:lang w:val="fr-FR"/>
        </w:rPr>
      </w:pPr>
      <w:r>
        <w:rPr>
          <w:rFonts w:ascii="Times New Roman" w:hAnsi="Times New Roman"/>
          <w:sz w:val="24"/>
          <w:szCs w:val="24"/>
          <w:lang w:val="fr-FR"/>
        </w:rPr>
        <w:t xml:space="preserve">le </w:t>
      </w:r>
      <w:r w:rsidR="00DB5E0E" w:rsidRPr="009A5CFD">
        <w:rPr>
          <w:rFonts w:ascii="Times New Roman" w:hAnsi="Times New Roman"/>
          <w:sz w:val="24"/>
          <w:szCs w:val="24"/>
          <w:lang w:val="fr-FR"/>
        </w:rPr>
        <w:t>r</w:t>
      </w:r>
      <w:r w:rsidR="008868B0" w:rsidRPr="009A5CFD">
        <w:rPr>
          <w:rFonts w:ascii="Times New Roman" w:hAnsi="Times New Roman"/>
          <w:sz w:val="24"/>
          <w:szCs w:val="24"/>
          <w:lang w:val="fr-FR"/>
        </w:rPr>
        <w:t>enforcement des stratégies de communication avec adap</w:t>
      </w:r>
      <w:r w:rsidR="00DB5E0E" w:rsidRPr="009A5CFD">
        <w:rPr>
          <w:rFonts w:ascii="Times New Roman" w:hAnsi="Times New Roman"/>
          <w:sz w:val="24"/>
          <w:szCs w:val="24"/>
          <w:lang w:val="fr-FR"/>
        </w:rPr>
        <w:t>tation des messages en fonction</w:t>
      </w:r>
      <w:r w:rsidR="008868B0" w:rsidRPr="009A5CFD">
        <w:rPr>
          <w:rFonts w:ascii="Times New Roman" w:hAnsi="Times New Roman"/>
          <w:sz w:val="24"/>
          <w:szCs w:val="24"/>
          <w:lang w:val="fr-FR"/>
        </w:rPr>
        <w:t xml:space="preserve"> des connaissances, attitudes et pratiques des cibles</w:t>
      </w:r>
    </w:p>
    <w:p w:rsidR="00DB5E0E" w:rsidRDefault="005D050D" w:rsidP="00B563C2">
      <w:pPr>
        <w:pStyle w:val="Paragraphedeliste"/>
        <w:numPr>
          <w:ilvl w:val="0"/>
          <w:numId w:val="10"/>
        </w:numPr>
        <w:spacing w:after="0" w:line="240" w:lineRule="auto"/>
        <w:ind w:right="143"/>
        <w:jc w:val="both"/>
        <w:divId w:val="410156154"/>
        <w:rPr>
          <w:rFonts w:ascii="Times New Roman" w:hAnsi="Times New Roman"/>
          <w:sz w:val="24"/>
          <w:szCs w:val="24"/>
          <w:lang w:val="fr-FR"/>
        </w:rPr>
      </w:pPr>
      <w:r>
        <w:rPr>
          <w:rFonts w:ascii="Times New Roman" w:hAnsi="Times New Roman"/>
          <w:sz w:val="24"/>
          <w:szCs w:val="24"/>
          <w:lang w:val="fr-FR"/>
        </w:rPr>
        <w:t xml:space="preserve">le </w:t>
      </w:r>
      <w:r w:rsidR="00DB5E0E" w:rsidRPr="009A5CFD">
        <w:rPr>
          <w:rFonts w:ascii="Times New Roman" w:hAnsi="Times New Roman"/>
          <w:sz w:val="24"/>
          <w:szCs w:val="24"/>
          <w:lang w:val="fr-FR"/>
        </w:rPr>
        <w:t>renforcement de la supervision de proximité</w:t>
      </w:r>
      <w:r w:rsidR="002B3B06">
        <w:rPr>
          <w:rFonts w:ascii="Times New Roman" w:hAnsi="Times New Roman"/>
          <w:sz w:val="24"/>
          <w:szCs w:val="24"/>
          <w:lang w:val="fr-FR"/>
        </w:rPr>
        <w:t>.</w:t>
      </w:r>
    </w:p>
    <w:p w:rsidR="002F0802" w:rsidRPr="002F0802" w:rsidRDefault="002F0802" w:rsidP="00B563C2">
      <w:pPr>
        <w:ind w:left="120" w:right="263"/>
        <w:jc w:val="both"/>
        <w:divId w:val="410156154"/>
        <w:rPr>
          <w:lang w:val="fr-FR"/>
        </w:rPr>
      </w:pPr>
    </w:p>
    <w:p w:rsidR="002F0802" w:rsidRPr="002F0802" w:rsidRDefault="00515293" w:rsidP="00ED28DD">
      <w:pPr>
        <w:pStyle w:val="Paragraphedeliste"/>
        <w:numPr>
          <w:ilvl w:val="1"/>
          <w:numId w:val="42"/>
        </w:numPr>
        <w:spacing w:after="0" w:line="240" w:lineRule="auto"/>
        <w:ind w:right="120"/>
        <w:jc w:val="both"/>
        <w:divId w:val="410156154"/>
        <w:rPr>
          <w:rFonts w:asciiTheme="minorHAnsi" w:hAnsiTheme="minorHAnsi"/>
          <w:bCs/>
          <w:color w:val="1F497D" w:themeColor="text2"/>
          <w:lang w:val="fr-FR"/>
        </w:rPr>
      </w:pPr>
      <w:r w:rsidRPr="002F0802">
        <w:rPr>
          <w:rFonts w:asciiTheme="minorHAnsi" w:hAnsiTheme="minorHAnsi"/>
          <w:bCs/>
          <w:color w:val="1F497D" w:themeColor="text2"/>
          <w:lang w:val="fr-FR"/>
        </w:rPr>
        <w:t>Conclusions des récentes évaluations de programmes</w:t>
      </w:r>
    </w:p>
    <w:p w:rsidR="000A2CB6" w:rsidRPr="007C5B3F" w:rsidRDefault="000A2CB6" w:rsidP="00ED28DD">
      <w:pPr>
        <w:spacing w:before="120"/>
        <w:ind w:right="240"/>
        <w:jc w:val="both"/>
        <w:divId w:val="410156154"/>
        <w:rPr>
          <w:rFonts w:asciiTheme="minorHAnsi" w:hAnsiTheme="minorHAnsi"/>
          <w:bCs/>
          <w:color w:val="1F497D" w:themeColor="text2"/>
          <w:sz w:val="2"/>
          <w:lang w:val="fr-FR"/>
        </w:rPr>
      </w:pPr>
    </w:p>
    <w:p w:rsidR="00E7541D" w:rsidRDefault="00515293" w:rsidP="00ED28DD">
      <w:pPr>
        <w:pStyle w:val="Paragraphedeliste"/>
        <w:numPr>
          <w:ilvl w:val="0"/>
          <w:numId w:val="10"/>
        </w:numPr>
        <w:spacing w:after="0" w:line="240" w:lineRule="auto"/>
        <w:ind w:left="960" w:right="355"/>
        <w:jc w:val="both"/>
        <w:divId w:val="410156154"/>
        <w:rPr>
          <w:rFonts w:asciiTheme="minorHAnsi" w:hAnsiTheme="minorHAnsi"/>
          <w:highlight w:val="cyan"/>
          <w:lang w:val="fr-FR"/>
        </w:rPr>
      </w:pPr>
      <w:r w:rsidRPr="002F0802">
        <w:rPr>
          <w:rFonts w:asciiTheme="minorHAnsi" w:hAnsiTheme="minorHAnsi"/>
          <w:highlight w:val="cyan"/>
          <w:lang w:val="fr-FR"/>
        </w:rPr>
        <w:t>Mettre en exergue les éléments clés du programme de vaccination susceptibles de faciliter l’introduction du VPI, y compris les récents changements apportés pour corriger les faiblesses préalablement identifiées.</w:t>
      </w:r>
    </w:p>
    <w:p w:rsidR="00536131" w:rsidRPr="00ED28DD" w:rsidRDefault="00536131" w:rsidP="00536131">
      <w:pPr>
        <w:pStyle w:val="Paragraphedeliste"/>
        <w:spacing w:after="0" w:line="240" w:lineRule="auto"/>
        <w:ind w:left="960" w:right="355"/>
        <w:jc w:val="both"/>
        <w:divId w:val="410156154"/>
        <w:rPr>
          <w:rFonts w:asciiTheme="minorHAnsi" w:hAnsiTheme="minorHAnsi"/>
          <w:sz w:val="6"/>
          <w:highlight w:val="cyan"/>
          <w:lang w:val="fr-FR"/>
        </w:rPr>
      </w:pPr>
    </w:p>
    <w:p w:rsidR="00EA7209" w:rsidRDefault="00990E2F" w:rsidP="00B12881">
      <w:pPr>
        <w:keepLines/>
        <w:tabs>
          <w:tab w:val="left" w:pos="426"/>
        </w:tabs>
        <w:jc w:val="both"/>
        <w:divId w:val="410156154"/>
        <w:rPr>
          <w:lang w:val="fr-FR"/>
        </w:rPr>
      </w:pPr>
      <w:r w:rsidRPr="00860CC3">
        <w:rPr>
          <w:lang w:val="fr-FR"/>
        </w:rPr>
        <w:t xml:space="preserve">Dans le cadre de l’’introduction des vaccins contre le pneumocoque et le rota-virus, une évaluation de la gestion de la chaine d’approvisionnement des vaccins a été </w:t>
      </w:r>
      <w:r w:rsidR="00EA7209" w:rsidRPr="00860CC3">
        <w:rPr>
          <w:lang w:val="fr-FR"/>
        </w:rPr>
        <w:t>conduit</w:t>
      </w:r>
      <w:r w:rsidR="00783785" w:rsidRPr="00860CC3">
        <w:rPr>
          <w:lang w:val="fr-FR"/>
        </w:rPr>
        <w:t>e</w:t>
      </w:r>
      <w:r w:rsidR="00EA7209" w:rsidRPr="00860CC3">
        <w:rPr>
          <w:lang w:val="fr-FR"/>
        </w:rPr>
        <w:t xml:space="preserve"> en Août 2012.</w:t>
      </w:r>
      <w:r w:rsidR="00EA7209" w:rsidRPr="00783785">
        <w:rPr>
          <w:lang w:val="fr-FR"/>
        </w:rPr>
        <w:t>Les principaux résultats et constats sont </w:t>
      </w:r>
      <w:r w:rsidR="002F51F8">
        <w:rPr>
          <w:lang w:val="fr-FR"/>
        </w:rPr>
        <w:t>consignés dans le tableau ci-dessous</w:t>
      </w:r>
      <w:r w:rsidR="00EA7209" w:rsidRPr="00783785">
        <w:rPr>
          <w:lang w:val="fr-FR"/>
        </w:rPr>
        <w:t>: </w:t>
      </w:r>
    </w:p>
    <w:p w:rsidR="00102AF4" w:rsidRDefault="00D842C6" w:rsidP="00B563C2">
      <w:pPr>
        <w:pStyle w:val="Default"/>
        <w:jc w:val="both"/>
        <w:divId w:val="410156154"/>
        <w:rPr>
          <w:rFonts w:ascii="Times New Roman" w:hAnsi="Times New Roman" w:cs="Times New Roman"/>
          <w:lang w:val="fr-FR"/>
        </w:rPr>
      </w:pPr>
      <w:r>
        <w:rPr>
          <w:rFonts w:ascii="Times New Roman" w:hAnsi="Times New Roman" w:cs="Times New Roman"/>
          <w:lang w:val="fr-FR"/>
        </w:rPr>
        <w:t>Tableau n° V : Résultats de la GEV de 2012</w:t>
      </w:r>
    </w:p>
    <w:tbl>
      <w:tblPr>
        <w:tblStyle w:val="Grilledutableau"/>
        <w:tblW w:w="10576" w:type="dxa"/>
        <w:tblInd w:w="-240" w:type="dxa"/>
        <w:tblLook w:val="04A0" w:firstRow="1" w:lastRow="0" w:firstColumn="1" w:lastColumn="0" w:noHBand="0" w:noVBand="1"/>
      </w:tblPr>
      <w:tblGrid>
        <w:gridCol w:w="5041"/>
        <w:gridCol w:w="1192"/>
        <w:gridCol w:w="1263"/>
        <w:gridCol w:w="1123"/>
        <w:gridCol w:w="989"/>
        <w:gridCol w:w="968"/>
      </w:tblGrid>
      <w:tr w:rsidR="00A51E4A" w:rsidRPr="00E0783B" w:rsidTr="00ED28DD">
        <w:trPr>
          <w:divId w:val="410156154"/>
          <w:trHeight w:val="221"/>
        </w:trPr>
        <w:tc>
          <w:tcPr>
            <w:tcW w:w="5048" w:type="dxa"/>
            <w:vMerge w:val="restart"/>
            <w:vAlign w:val="center"/>
          </w:tcPr>
          <w:p w:rsidR="00A51E4A" w:rsidRPr="00687CA0" w:rsidRDefault="00A51E4A" w:rsidP="00B563C2">
            <w:pPr>
              <w:pStyle w:val="Default"/>
              <w:ind w:right="120"/>
              <w:jc w:val="both"/>
              <w:rPr>
                <w:rFonts w:ascii="Times New Roman" w:hAnsi="Times New Roman" w:cs="Times New Roman"/>
                <w:sz w:val="22"/>
                <w:szCs w:val="22"/>
                <w:lang w:val="fr-FR"/>
              </w:rPr>
            </w:pPr>
            <w:r w:rsidRPr="00687CA0">
              <w:rPr>
                <w:rFonts w:ascii="Times New Roman" w:hAnsi="Times New Roman" w:cs="Times New Roman"/>
                <w:b/>
                <w:bCs/>
                <w:sz w:val="22"/>
                <w:szCs w:val="22"/>
                <w:lang w:val="fr-FR"/>
              </w:rPr>
              <w:t>Critères de la GEV</w:t>
            </w:r>
          </w:p>
        </w:tc>
        <w:tc>
          <w:tcPr>
            <w:tcW w:w="1184" w:type="dxa"/>
            <w:vMerge w:val="restart"/>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b/>
                <w:bCs/>
                <w:sz w:val="22"/>
                <w:szCs w:val="22"/>
                <w:lang w:val="fr-FR"/>
              </w:rPr>
              <w:t>Objectifs</w:t>
            </w:r>
          </w:p>
        </w:tc>
        <w:tc>
          <w:tcPr>
            <w:tcW w:w="4344" w:type="dxa"/>
            <w:gridSpan w:val="4"/>
            <w:vAlign w:val="center"/>
          </w:tcPr>
          <w:p w:rsidR="00A51E4A" w:rsidRPr="00687CA0" w:rsidRDefault="00A51E4A" w:rsidP="00687CA0">
            <w:pPr>
              <w:pStyle w:val="Default"/>
              <w:ind w:right="120"/>
              <w:rPr>
                <w:rFonts w:ascii="Times New Roman" w:hAnsi="Times New Roman" w:cs="Times New Roman"/>
                <w:sz w:val="22"/>
                <w:szCs w:val="22"/>
                <w:lang w:val="fr-FR"/>
              </w:rPr>
            </w:pPr>
            <w:r w:rsidRPr="00687CA0">
              <w:rPr>
                <w:rFonts w:ascii="Times New Roman" w:hAnsi="Times New Roman" w:cs="Times New Roman"/>
                <w:b/>
                <w:bCs/>
                <w:sz w:val="22"/>
                <w:szCs w:val="22"/>
                <w:lang w:val="fr-FR"/>
              </w:rPr>
              <w:t>Nive</w:t>
            </w:r>
            <w:r w:rsidR="00687CA0" w:rsidRPr="00687CA0">
              <w:rPr>
                <w:rFonts w:ascii="Times New Roman" w:hAnsi="Times New Roman" w:cs="Times New Roman"/>
                <w:b/>
                <w:bCs/>
                <w:sz w:val="22"/>
                <w:szCs w:val="22"/>
                <w:lang w:val="fr-FR"/>
              </w:rPr>
              <w:t xml:space="preserve">aux de la chaine </w:t>
            </w:r>
            <w:r w:rsidRPr="00687CA0">
              <w:rPr>
                <w:rFonts w:ascii="Times New Roman" w:hAnsi="Times New Roman" w:cs="Times New Roman"/>
                <w:b/>
                <w:bCs/>
                <w:sz w:val="22"/>
                <w:szCs w:val="22"/>
                <w:lang w:val="fr-FR"/>
              </w:rPr>
              <w:t>d'approvisionnement</w:t>
            </w:r>
          </w:p>
        </w:tc>
      </w:tr>
      <w:tr w:rsidR="00687CA0" w:rsidRPr="00687CA0" w:rsidTr="00687CA0">
        <w:trPr>
          <w:divId w:val="410156154"/>
          <w:trHeight w:val="119"/>
        </w:trPr>
        <w:tc>
          <w:tcPr>
            <w:tcW w:w="5048" w:type="dxa"/>
            <w:vMerge/>
          </w:tcPr>
          <w:p w:rsidR="00A51E4A" w:rsidRPr="00687CA0" w:rsidRDefault="00A51E4A" w:rsidP="00102AF4">
            <w:pPr>
              <w:pStyle w:val="Default"/>
              <w:ind w:right="120"/>
              <w:jc w:val="both"/>
              <w:rPr>
                <w:rFonts w:ascii="Times New Roman" w:hAnsi="Times New Roman" w:cs="Times New Roman"/>
                <w:sz w:val="22"/>
                <w:szCs w:val="22"/>
                <w:lang w:val="fr-FR"/>
              </w:rPr>
            </w:pPr>
          </w:p>
        </w:tc>
        <w:tc>
          <w:tcPr>
            <w:tcW w:w="1184" w:type="dxa"/>
            <w:vMerge/>
            <w:vAlign w:val="center"/>
          </w:tcPr>
          <w:p w:rsidR="00A51E4A" w:rsidRPr="00687CA0" w:rsidRDefault="00A51E4A" w:rsidP="00A51E4A">
            <w:pPr>
              <w:pStyle w:val="Default"/>
              <w:ind w:right="120"/>
              <w:jc w:val="center"/>
              <w:rPr>
                <w:rFonts w:ascii="Times New Roman" w:hAnsi="Times New Roman" w:cs="Times New Roman"/>
                <w:sz w:val="22"/>
                <w:szCs w:val="22"/>
                <w:lang w:val="fr-FR"/>
              </w:rPr>
            </w:pPr>
          </w:p>
        </w:tc>
        <w:tc>
          <w:tcPr>
            <w:tcW w:w="1264" w:type="dxa"/>
            <w:vAlign w:val="center"/>
          </w:tcPr>
          <w:p w:rsidR="00A51E4A" w:rsidRPr="00687CA0" w:rsidRDefault="00A51E4A" w:rsidP="00A51E4A">
            <w:pPr>
              <w:jc w:val="center"/>
              <w:rPr>
                <w:sz w:val="22"/>
                <w:szCs w:val="22"/>
              </w:rPr>
            </w:pPr>
            <w:r w:rsidRPr="00687CA0">
              <w:rPr>
                <w:b/>
                <w:bCs/>
                <w:sz w:val="22"/>
                <w:szCs w:val="22"/>
                <w:lang w:val="fr-FR" w:eastAsia="en-US"/>
              </w:rPr>
              <w:t>Central</w:t>
            </w:r>
          </w:p>
        </w:tc>
        <w:tc>
          <w:tcPr>
            <w:tcW w:w="1123" w:type="dxa"/>
            <w:vAlign w:val="center"/>
          </w:tcPr>
          <w:p w:rsidR="00A51E4A" w:rsidRPr="00687CA0" w:rsidRDefault="00A51E4A" w:rsidP="00A51E4A">
            <w:pPr>
              <w:jc w:val="center"/>
              <w:rPr>
                <w:sz w:val="22"/>
                <w:szCs w:val="22"/>
              </w:rPr>
            </w:pPr>
            <w:r w:rsidRPr="00687CA0">
              <w:rPr>
                <w:b/>
                <w:bCs/>
                <w:sz w:val="22"/>
                <w:szCs w:val="22"/>
                <w:lang w:val="fr-FR" w:eastAsia="en-US"/>
              </w:rPr>
              <w:t>Régional</w:t>
            </w:r>
          </w:p>
        </w:tc>
        <w:tc>
          <w:tcPr>
            <w:tcW w:w="989" w:type="dxa"/>
            <w:vAlign w:val="center"/>
          </w:tcPr>
          <w:p w:rsidR="00A51E4A" w:rsidRPr="00687CA0" w:rsidRDefault="00A51E4A" w:rsidP="00A51E4A">
            <w:pPr>
              <w:jc w:val="center"/>
              <w:rPr>
                <w:sz w:val="22"/>
                <w:szCs w:val="22"/>
              </w:rPr>
            </w:pPr>
            <w:r w:rsidRPr="00687CA0">
              <w:rPr>
                <w:b/>
                <w:bCs/>
                <w:sz w:val="22"/>
                <w:szCs w:val="22"/>
                <w:lang w:val="fr-FR" w:eastAsia="en-US"/>
              </w:rPr>
              <w:t>District</w:t>
            </w:r>
          </w:p>
        </w:tc>
        <w:tc>
          <w:tcPr>
            <w:tcW w:w="968" w:type="dxa"/>
            <w:vAlign w:val="center"/>
          </w:tcPr>
          <w:p w:rsidR="00A51E4A" w:rsidRPr="00687CA0" w:rsidRDefault="00A51E4A" w:rsidP="00A51E4A">
            <w:pPr>
              <w:jc w:val="center"/>
              <w:rPr>
                <w:sz w:val="22"/>
                <w:szCs w:val="22"/>
              </w:rPr>
            </w:pPr>
            <w:r w:rsidRPr="00687CA0">
              <w:rPr>
                <w:b/>
                <w:bCs/>
                <w:sz w:val="22"/>
                <w:szCs w:val="22"/>
                <w:lang w:val="fr-FR" w:eastAsia="en-US"/>
              </w:rPr>
              <w:t>CSPS</w:t>
            </w:r>
          </w:p>
        </w:tc>
      </w:tr>
      <w:tr w:rsidR="00687CA0" w:rsidRPr="00687CA0" w:rsidTr="00687CA0">
        <w:trPr>
          <w:divId w:val="410156154"/>
          <w:trHeight w:val="445"/>
        </w:trPr>
        <w:tc>
          <w:tcPr>
            <w:tcW w:w="5048" w:type="dxa"/>
          </w:tcPr>
          <w:p w:rsidR="00102AF4" w:rsidRPr="00687CA0" w:rsidRDefault="00102AF4" w:rsidP="00102AF4">
            <w:pPr>
              <w:autoSpaceDE w:val="0"/>
              <w:autoSpaceDN w:val="0"/>
              <w:adjustRightInd w:val="0"/>
              <w:rPr>
                <w:sz w:val="22"/>
                <w:szCs w:val="22"/>
                <w:lang w:val="fr-FR" w:eastAsia="en-US"/>
              </w:rPr>
            </w:pPr>
            <w:r w:rsidRPr="00687CA0">
              <w:rPr>
                <w:b/>
                <w:bCs/>
                <w:sz w:val="22"/>
                <w:szCs w:val="22"/>
                <w:lang w:val="fr-FR" w:eastAsia="en-US"/>
              </w:rPr>
              <w:t>E1</w:t>
            </w:r>
            <w:r w:rsidRPr="00687CA0">
              <w:rPr>
                <w:sz w:val="22"/>
                <w:szCs w:val="22"/>
                <w:lang w:val="fr-FR" w:eastAsia="en-US"/>
              </w:rPr>
              <w:t>: Procédures avant expéditions et</w:t>
            </w:r>
          </w:p>
          <w:p w:rsidR="00102AF4" w:rsidRPr="00687CA0" w:rsidRDefault="00102AF4" w:rsidP="00A51E4A">
            <w:pPr>
              <w:autoSpaceDE w:val="0"/>
              <w:autoSpaceDN w:val="0"/>
              <w:adjustRightInd w:val="0"/>
              <w:rPr>
                <w:sz w:val="22"/>
                <w:szCs w:val="22"/>
                <w:lang w:val="fr-FR" w:eastAsia="en-US"/>
              </w:rPr>
            </w:pPr>
            <w:r w:rsidRPr="00687CA0">
              <w:rPr>
                <w:sz w:val="22"/>
                <w:szCs w:val="22"/>
                <w:lang w:val="fr-FR" w:eastAsia="en-US"/>
              </w:rPr>
              <w:t>réception vaccin</w:t>
            </w:r>
          </w:p>
        </w:tc>
        <w:tc>
          <w:tcPr>
            <w:tcW w:w="1184" w:type="dxa"/>
            <w:vAlign w:val="center"/>
          </w:tcPr>
          <w:p w:rsidR="00102AF4" w:rsidRPr="00687CA0" w:rsidRDefault="00102AF4"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b/>
                <w:bCs/>
                <w:sz w:val="22"/>
                <w:szCs w:val="22"/>
                <w:lang w:val="fr-FR"/>
              </w:rPr>
              <w:t>80%</w:t>
            </w:r>
          </w:p>
        </w:tc>
        <w:tc>
          <w:tcPr>
            <w:tcW w:w="1264" w:type="dxa"/>
            <w:vAlign w:val="center"/>
          </w:tcPr>
          <w:p w:rsidR="00102AF4" w:rsidRPr="00687CA0" w:rsidRDefault="00102AF4"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b/>
                <w:bCs/>
                <w:sz w:val="22"/>
                <w:szCs w:val="22"/>
                <w:lang w:val="fr-FR"/>
              </w:rPr>
              <w:t>65%</w:t>
            </w:r>
          </w:p>
        </w:tc>
        <w:tc>
          <w:tcPr>
            <w:tcW w:w="1123" w:type="dxa"/>
            <w:shd w:val="clear" w:color="auto" w:fill="D9D9D9" w:themeFill="background1" w:themeFillShade="D9"/>
            <w:vAlign w:val="center"/>
          </w:tcPr>
          <w:p w:rsidR="00102AF4" w:rsidRPr="00687CA0" w:rsidRDefault="00102AF4" w:rsidP="00A51E4A">
            <w:pPr>
              <w:pStyle w:val="Default"/>
              <w:ind w:right="120"/>
              <w:jc w:val="center"/>
              <w:rPr>
                <w:rFonts w:ascii="Times New Roman" w:hAnsi="Times New Roman" w:cs="Times New Roman"/>
                <w:sz w:val="22"/>
                <w:szCs w:val="22"/>
                <w:lang w:val="fr-FR"/>
              </w:rPr>
            </w:pPr>
          </w:p>
        </w:tc>
        <w:tc>
          <w:tcPr>
            <w:tcW w:w="989" w:type="dxa"/>
            <w:shd w:val="clear" w:color="auto" w:fill="D9D9D9" w:themeFill="background1" w:themeFillShade="D9"/>
            <w:vAlign w:val="center"/>
          </w:tcPr>
          <w:p w:rsidR="00102AF4" w:rsidRPr="00687CA0" w:rsidRDefault="00102AF4" w:rsidP="00A51E4A">
            <w:pPr>
              <w:pStyle w:val="Default"/>
              <w:ind w:right="120"/>
              <w:jc w:val="center"/>
              <w:rPr>
                <w:rFonts w:ascii="Times New Roman" w:hAnsi="Times New Roman" w:cs="Times New Roman"/>
                <w:sz w:val="22"/>
                <w:szCs w:val="22"/>
                <w:lang w:val="fr-FR"/>
              </w:rPr>
            </w:pPr>
          </w:p>
        </w:tc>
        <w:tc>
          <w:tcPr>
            <w:tcW w:w="968" w:type="dxa"/>
            <w:shd w:val="clear" w:color="auto" w:fill="D9D9D9" w:themeFill="background1" w:themeFillShade="D9"/>
            <w:vAlign w:val="center"/>
          </w:tcPr>
          <w:p w:rsidR="00102AF4" w:rsidRPr="00687CA0" w:rsidRDefault="00102AF4" w:rsidP="00A51E4A">
            <w:pPr>
              <w:pStyle w:val="Default"/>
              <w:ind w:right="120"/>
              <w:jc w:val="center"/>
              <w:rPr>
                <w:rFonts w:ascii="Times New Roman" w:hAnsi="Times New Roman" w:cs="Times New Roman"/>
                <w:sz w:val="22"/>
                <w:szCs w:val="22"/>
                <w:lang w:val="fr-FR"/>
              </w:rPr>
            </w:pPr>
          </w:p>
        </w:tc>
      </w:tr>
      <w:tr w:rsidR="00687CA0" w:rsidRPr="00687CA0" w:rsidTr="00687CA0">
        <w:trPr>
          <w:divId w:val="410156154"/>
        </w:trPr>
        <w:tc>
          <w:tcPr>
            <w:tcW w:w="5048" w:type="dxa"/>
          </w:tcPr>
          <w:p w:rsidR="00A51E4A" w:rsidRPr="00687CA0" w:rsidRDefault="00A51E4A" w:rsidP="00A51E4A">
            <w:pPr>
              <w:autoSpaceDE w:val="0"/>
              <w:autoSpaceDN w:val="0"/>
              <w:adjustRightInd w:val="0"/>
              <w:rPr>
                <w:sz w:val="22"/>
                <w:szCs w:val="22"/>
                <w:lang w:val="fr-FR"/>
              </w:rPr>
            </w:pPr>
            <w:r w:rsidRPr="00687CA0">
              <w:rPr>
                <w:b/>
                <w:bCs/>
                <w:sz w:val="22"/>
                <w:szCs w:val="22"/>
                <w:lang w:val="fr-FR" w:eastAsia="en-US"/>
              </w:rPr>
              <w:t xml:space="preserve">E2: </w:t>
            </w:r>
            <w:r w:rsidRPr="00687CA0">
              <w:rPr>
                <w:sz w:val="22"/>
                <w:szCs w:val="22"/>
                <w:lang w:val="fr-FR" w:eastAsia="en-US"/>
              </w:rPr>
              <w:t>Maintien de températures de stockage correctes des vaccins</w:t>
            </w:r>
          </w:p>
        </w:tc>
        <w:tc>
          <w:tcPr>
            <w:tcW w:w="1184" w:type="dxa"/>
            <w:vAlign w:val="center"/>
          </w:tcPr>
          <w:p w:rsidR="00A51E4A" w:rsidRPr="00687CA0" w:rsidRDefault="00A51E4A" w:rsidP="00A51E4A">
            <w:pPr>
              <w:jc w:val="center"/>
              <w:rPr>
                <w:sz w:val="22"/>
                <w:szCs w:val="22"/>
              </w:rPr>
            </w:pPr>
            <w:r w:rsidRPr="00687CA0">
              <w:rPr>
                <w:b/>
                <w:bCs/>
                <w:sz w:val="22"/>
                <w:szCs w:val="22"/>
                <w:lang w:val="fr-FR" w:eastAsia="en-US"/>
              </w:rPr>
              <w:t>80%</w:t>
            </w:r>
          </w:p>
        </w:tc>
        <w:tc>
          <w:tcPr>
            <w:tcW w:w="1264"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58%</w:t>
            </w:r>
          </w:p>
        </w:tc>
        <w:tc>
          <w:tcPr>
            <w:tcW w:w="1123"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68%</w:t>
            </w:r>
          </w:p>
        </w:tc>
        <w:tc>
          <w:tcPr>
            <w:tcW w:w="989"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83%</w:t>
            </w:r>
          </w:p>
        </w:tc>
        <w:tc>
          <w:tcPr>
            <w:tcW w:w="968"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80%</w:t>
            </w:r>
          </w:p>
        </w:tc>
      </w:tr>
      <w:tr w:rsidR="00687CA0" w:rsidRPr="00687CA0" w:rsidTr="00687CA0">
        <w:trPr>
          <w:divId w:val="410156154"/>
        </w:trPr>
        <w:tc>
          <w:tcPr>
            <w:tcW w:w="5048" w:type="dxa"/>
          </w:tcPr>
          <w:p w:rsidR="00A51E4A" w:rsidRPr="00687CA0" w:rsidRDefault="00A51E4A" w:rsidP="00A51E4A">
            <w:pPr>
              <w:autoSpaceDE w:val="0"/>
              <w:autoSpaceDN w:val="0"/>
              <w:adjustRightInd w:val="0"/>
              <w:rPr>
                <w:sz w:val="22"/>
                <w:szCs w:val="22"/>
                <w:lang w:val="fr-FR"/>
              </w:rPr>
            </w:pPr>
            <w:r w:rsidRPr="00687CA0">
              <w:rPr>
                <w:b/>
                <w:bCs/>
                <w:sz w:val="22"/>
                <w:szCs w:val="22"/>
                <w:lang w:val="fr-FR" w:eastAsia="en-US"/>
              </w:rPr>
              <w:t xml:space="preserve">E3: </w:t>
            </w:r>
            <w:r w:rsidRPr="00687CA0">
              <w:rPr>
                <w:sz w:val="22"/>
                <w:szCs w:val="22"/>
                <w:lang w:val="fr-FR" w:eastAsia="en-US"/>
              </w:rPr>
              <w:t xml:space="preserve">Maintien de capacités de stockage et de </w:t>
            </w:r>
            <w:r w:rsidRPr="00687CA0">
              <w:rPr>
                <w:sz w:val="22"/>
                <w:szCs w:val="22"/>
                <w:lang w:val="fr-FR"/>
              </w:rPr>
              <w:t>transports suffisants</w:t>
            </w:r>
          </w:p>
        </w:tc>
        <w:tc>
          <w:tcPr>
            <w:tcW w:w="1184" w:type="dxa"/>
            <w:vAlign w:val="center"/>
          </w:tcPr>
          <w:p w:rsidR="00A51E4A" w:rsidRPr="00687CA0" w:rsidRDefault="00A51E4A" w:rsidP="00A51E4A">
            <w:pPr>
              <w:jc w:val="center"/>
              <w:rPr>
                <w:sz w:val="22"/>
                <w:szCs w:val="22"/>
              </w:rPr>
            </w:pPr>
            <w:r w:rsidRPr="00687CA0">
              <w:rPr>
                <w:b/>
                <w:bCs/>
                <w:sz w:val="22"/>
                <w:szCs w:val="22"/>
                <w:lang w:val="fr-FR" w:eastAsia="en-US"/>
              </w:rPr>
              <w:t>80%</w:t>
            </w:r>
          </w:p>
        </w:tc>
        <w:tc>
          <w:tcPr>
            <w:tcW w:w="1264"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100%</w:t>
            </w:r>
          </w:p>
        </w:tc>
        <w:tc>
          <w:tcPr>
            <w:tcW w:w="1123"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71%</w:t>
            </w:r>
          </w:p>
        </w:tc>
        <w:tc>
          <w:tcPr>
            <w:tcW w:w="989"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79%</w:t>
            </w:r>
          </w:p>
        </w:tc>
        <w:tc>
          <w:tcPr>
            <w:tcW w:w="968"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87%</w:t>
            </w:r>
          </w:p>
        </w:tc>
      </w:tr>
      <w:tr w:rsidR="00687CA0" w:rsidRPr="00687CA0" w:rsidTr="00687CA0">
        <w:trPr>
          <w:divId w:val="410156154"/>
          <w:trHeight w:val="133"/>
        </w:trPr>
        <w:tc>
          <w:tcPr>
            <w:tcW w:w="5048" w:type="dxa"/>
          </w:tcPr>
          <w:p w:rsidR="00A51E4A" w:rsidRPr="00687CA0" w:rsidRDefault="00A51E4A" w:rsidP="00A51E4A">
            <w:pPr>
              <w:pStyle w:val="Default"/>
              <w:ind w:right="120"/>
              <w:jc w:val="both"/>
              <w:rPr>
                <w:rFonts w:ascii="Times New Roman" w:hAnsi="Times New Roman" w:cs="Times New Roman"/>
                <w:sz w:val="22"/>
                <w:szCs w:val="22"/>
                <w:lang w:val="fr-FR"/>
              </w:rPr>
            </w:pPr>
            <w:r w:rsidRPr="00687CA0">
              <w:rPr>
                <w:rFonts w:ascii="Times New Roman" w:hAnsi="Times New Roman" w:cs="Times New Roman"/>
                <w:b/>
                <w:bCs/>
                <w:sz w:val="22"/>
                <w:szCs w:val="22"/>
                <w:lang w:val="fr-FR"/>
              </w:rPr>
              <w:t>E4</w:t>
            </w:r>
            <w:r w:rsidRPr="00687CA0">
              <w:rPr>
                <w:rFonts w:ascii="Times New Roman" w:hAnsi="Times New Roman" w:cs="Times New Roman"/>
                <w:sz w:val="22"/>
                <w:szCs w:val="22"/>
                <w:lang w:val="fr-FR"/>
              </w:rPr>
              <w:t>: Bâtiments, équipement, transport</w:t>
            </w:r>
          </w:p>
        </w:tc>
        <w:tc>
          <w:tcPr>
            <w:tcW w:w="1184" w:type="dxa"/>
            <w:vAlign w:val="center"/>
          </w:tcPr>
          <w:p w:rsidR="00A51E4A" w:rsidRPr="00687CA0" w:rsidRDefault="00A51E4A" w:rsidP="00A51E4A">
            <w:pPr>
              <w:jc w:val="center"/>
              <w:rPr>
                <w:sz w:val="22"/>
                <w:szCs w:val="22"/>
              </w:rPr>
            </w:pPr>
            <w:r w:rsidRPr="00687CA0">
              <w:rPr>
                <w:b/>
                <w:bCs/>
                <w:sz w:val="22"/>
                <w:szCs w:val="22"/>
                <w:lang w:val="fr-FR" w:eastAsia="en-US"/>
              </w:rPr>
              <w:t>80%</w:t>
            </w:r>
          </w:p>
        </w:tc>
        <w:tc>
          <w:tcPr>
            <w:tcW w:w="1264"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77%</w:t>
            </w:r>
          </w:p>
        </w:tc>
        <w:tc>
          <w:tcPr>
            <w:tcW w:w="1123"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72%</w:t>
            </w:r>
          </w:p>
        </w:tc>
        <w:tc>
          <w:tcPr>
            <w:tcW w:w="989"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66%</w:t>
            </w:r>
          </w:p>
        </w:tc>
        <w:tc>
          <w:tcPr>
            <w:tcW w:w="968"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85%</w:t>
            </w:r>
          </w:p>
        </w:tc>
      </w:tr>
      <w:tr w:rsidR="00687CA0" w:rsidRPr="00687CA0" w:rsidTr="00687CA0">
        <w:trPr>
          <w:divId w:val="410156154"/>
        </w:trPr>
        <w:tc>
          <w:tcPr>
            <w:tcW w:w="5048" w:type="dxa"/>
          </w:tcPr>
          <w:p w:rsidR="00A51E4A" w:rsidRPr="00687CA0" w:rsidRDefault="00A51E4A" w:rsidP="00A51E4A">
            <w:pPr>
              <w:pStyle w:val="Default"/>
              <w:ind w:right="120"/>
              <w:jc w:val="both"/>
              <w:rPr>
                <w:rFonts w:ascii="Times New Roman" w:hAnsi="Times New Roman" w:cs="Times New Roman"/>
                <w:sz w:val="22"/>
                <w:szCs w:val="22"/>
                <w:lang w:val="fr-FR"/>
              </w:rPr>
            </w:pPr>
            <w:r w:rsidRPr="00687CA0">
              <w:rPr>
                <w:rFonts w:ascii="Times New Roman" w:hAnsi="Times New Roman" w:cs="Times New Roman"/>
                <w:b/>
                <w:bCs/>
                <w:sz w:val="22"/>
                <w:szCs w:val="22"/>
                <w:lang w:val="fr-FR"/>
              </w:rPr>
              <w:t>E5</w:t>
            </w:r>
            <w:r w:rsidRPr="00687CA0">
              <w:rPr>
                <w:rFonts w:ascii="Times New Roman" w:hAnsi="Times New Roman" w:cs="Times New Roman"/>
                <w:sz w:val="22"/>
                <w:szCs w:val="22"/>
                <w:lang w:val="fr-FR"/>
              </w:rPr>
              <w:t>: Maintenance</w:t>
            </w:r>
          </w:p>
        </w:tc>
        <w:tc>
          <w:tcPr>
            <w:tcW w:w="1184" w:type="dxa"/>
            <w:vAlign w:val="center"/>
          </w:tcPr>
          <w:p w:rsidR="00A51E4A" w:rsidRPr="00687CA0" w:rsidRDefault="00A51E4A" w:rsidP="00A51E4A">
            <w:pPr>
              <w:jc w:val="center"/>
              <w:rPr>
                <w:sz w:val="22"/>
                <w:szCs w:val="22"/>
              </w:rPr>
            </w:pPr>
            <w:r w:rsidRPr="00687CA0">
              <w:rPr>
                <w:b/>
                <w:bCs/>
                <w:sz w:val="22"/>
                <w:szCs w:val="22"/>
                <w:lang w:val="fr-FR" w:eastAsia="en-US"/>
              </w:rPr>
              <w:t>80%</w:t>
            </w:r>
          </w:p>
        </w:tc>
        <w:tc>
          <w:tcPr>
            <w:tcW w:w="1264"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75%</w:t>
            </w:r>
          </w:p>
        </w:tc>
        <w:tc>
          <w:tcPr>
            <w:tcW w:w="1123"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76%</w:t>
            </w:r>
          </w:p>
        </w:tc>
        <w:tc>
          <w:tcPr>
            <w:tcW w:w="989"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68%</w:t>
            </w:r>
          </w:p>
        </w:tc>
        <w:tc>
          <w:tcPr>
            <w:tcW w:w="968"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61%</w:t>
            </w:r>
          </w:p>
        </w:tc>
      </w:tr>
      <w:tr w:rsidR="00687CA0" w:rsidRPr="00687CA0" w:rsidTr="00687CA0">
        <w:trPr>
          <w:divId w:val="410156154"/>
        </w:trPr>
        <w:tc>
          <w:tcPr>
            <w:tcW w:w="5048" w:type="dxa"/>
          </w:tcPr>
          <w:p w:rsidR="00A51E4A" w:rsidRPr="00687CA0" w:rsidRDefault="00A51E4A" w:rsidP="00A51E4A">
            <w:pPr>
              <w:pStyle w:val="Default"/>
              <w:ind w:right="120"/>
              <w:jc w:val="both"/>
              <w:rPr>
                <w:rFonts w:ascii="Times New Roman" w:hAnsi="Times New Roman" w:cs="Times New Roman"/>
                <w:sz w:val="22"/>
                <w:szCs w:val="22"/>
                <w:lang w:val="fr-FR"/>
              </w:rPr>
            </w:pPr>
            <w:r w:rsidRPr="00687CA0">
              <w:rPr>
                <w:rFonts w:ascii="Times New Roman" w:hAnsi="Times New Roman" w:cs="Times New Roman"/>
                <w:b/>
                <w:bCs/>
                <w:sz w:val="22"/>
                <w:szCs w:val="22"/>
                <w:lang w:val="fr-FR"/>
              </w:rPr>
              <w:t>E6</w:t>
            </w:r>
            <w:r w:rsidRPr="00687CA0">
              <w:rPr>
                <w:rFonts w:ascii="Times New Roman" w:hAnsi="Times New Roman" w:cs="Times New Roman"/>
                <w:sz w:val="22"/>
                <w:szCs w:val="22"/>
                <w:lang w:val="fr-FR"/>
              </w:rPr>
              <w:t>: Gestion de stock</w:t>
            </w:r>
          </w:p>
        </w:tc>
        <w:tc>
          <w:tcPr>
            <w:tcW w:w="1184" w:type="dxa"/>
            <w:vAlign w:val="center"/>
          </w:tcPr>
          <w:p w:rsidR="00A51E4A" w:rsidRPr="00687CA0" w:rsidRDefault="00A51E4A" w:rsidP="00A51E4A">
            <w:pPr>
              <w:jc w:val="center"/>
              <w:rPr>
                <w:sz w:val="22"/>
                <w:szCs w:val="22"/>
              </w:rPr>
            </w:pPr>
            <w:r w:rsidRPr="00687CA0">
              <w:rPr>
                <w:b/>
                <w:bCs/>
                <w:sz w:val="22"/>
                <w:szCs w:val="22"/>
                <w:lang w:val="fr-FR" w:eastAsia="en-US"/>
              </w:rPr>
              <w:t>80%</w:t>
            </w:r>
          </w:p>
        </w:tc>
        <w:tc>
          <w:tcPr>
            <w:tcW w:w="1264"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86%</w:t>
            </w:r>
          </w:p>
        </w:tc>
        <w:tc>
          <w:tcPr>
            <w:tcW w:w="1123"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87%</w:t>
            </w:r>
          </w:p>
        </w:tc>
        <w:tc>
          <w:tcPr>
            <w:tcW w:w="989"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81%</w:t>
            </w:r>
          </w:p>
        </w:tc>
        <w:tc>
          <w:tcPr>
            <w:tcW w:w="968"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83%</w:t>
            </w:r>
          </w:p>
        </w:tc>
      </w:tr>
      <w:tr w:rsidR="00687CA0" w:rsidRPr="00687CA0" w:rsidTr="00687CA0">
        <w:trPr>
          <w:divId w:val="410156154"/>
        </w:trPr>
        <w:tc>
          <w:tcPr>
            <w:tcW w:w="5048" w:type="dxa"/>
          </w:tcPr>
          <w:p w:rsidR="00A51E4A" w:rsidRPr="00687CA0" w:rsidRDefault="00A51E4A" w:rsidP="00A51E4A">
            <w:pPr>
              <w:pStyle w:val="Default"/>
              <w:ind w:right="120"/>
              <w:jc w:val="both"/>
              <w:rPr>
                <w:rFonts w:ascii="Times New Roman" w:hAnsi="Times New Roman" w:cs="Times New Roman"/>
                <w:sz w:val="22"/>
                <w:szCs w:val="22"/>
                <w:lang w:val="fr-FR"/>
              </w:rPr>
            </w:pPr>
            <w:r w:rsidRPr="00687CA0">
              <w:rPr>
                <w:rFonts w:ascii="Times New Roman" w:hAnsi="Times New Roman" w:cs="Times New Roman"/>
                <w:b/>
                <w:bCs/>
                <w:sz w:val="22"/>
                <w:szCs w:val="22"/>
                <w:lang w:val="fr-FR"/>
              </w:rPr>
              <w:t>E7</w:t>
            </w:r>
            <w:r w:rsidRPr="00687CA0">
              <w:rPr>
                <w:rFonts w:ascii="Times New Roman" w:hAnsi="Times New Roman" w:cs="Times New Roman"/>
                <w:sz w:val="22"/>
                <w:szCs w:val="22"/>
                <w:lang w:val="fr-FR"/>
              </w:rPr>
              <w:t>: Distribution</w:t>
            </w:r>
          </w:p>
        </w:tc>
        <w:tc>
          <w:tcPr>
            <w:tcW w:w="1184" w:type="dxa"/>
            <w:vAlign w:val="center"/>
          </w:tcPr>
          <w:p w:rsidR="00A51E4A" w:rsidRPr="00687CA0" w:rsidRDefault="00A51E4A" w:rsidP="00A51E4A">
            <w:pPr>
              <w:jc w:val="center"/>
              <w:rPr>
                <w:sz w:val="22"/>
                <w:szCs w:val="22"/>
              </w:rPr>
            </w:pPr>
            <w:r w:rsidRPr="00687CA0">
              <w:rPr>
                <w:b/>
                <w:bCs/>
                <w:sz w:val="22"/>
                <w:szCs w:val="22"/>
                <w:lang w:val="fr-FR" w:eastAsia="en-US"/>
              </w:rPr>
              <w:t>80%</w:t>
            </w:r>
          </w:p>
        </w:tc>
        <w:tc>
          <w:tcPr>
            <w:tcW w:w="1264"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61%</w:t>
            </w:r>
          </w:p>
        </w:tc>
        <w:tc>
          <w:tcPr>
            <w:tcW w:w="1123"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55%</w:t>
            </w:r>
          </w:p>
        </w:tc>
        <w:tc>
          <w:tcPr>
            <w:tcW w:w="989"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53%</w:t>
            </w:r>
          </w:p>
        </w:tc>
        <w:tc>
          <w:tcPr>
            <w:tcW w:w="968"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63%</w:t>
            </w:r>
          </w:p>
        </w:tc>
      </w:tr>
      <w:tr w:rsidR="00687CA0" w:rsidRPr="00687CA0" w:rsidTr="00687CA0">
        <w:trPr>
          <w:divId w:val="410156154"/>
        </w:trPr>
        <w:tc>
          <w:tcPr>
            <w:tcW w:w="5048" w:type="dxa"/>
          </w:tcPr>
          <w:p w:rsidR="00A51E4A" w:rsidRPr="00687CA0" w:rsidRDefault="00A51E4A" w:rsidP="00A51E4A">
            <w:pPr>
              <w:pStyle w:val="Default"/>
              <w:ind w:right="120"/>
              <w:jc w:val="both"/>
              <w:rPr>
                <w:rFonts w:ascii="Times New Roman" w:hAnsi="Times New Roman" w:cs="Times New Roman"/>
                <w:sz w:val="22"/>
                <w:szCs w:val="22"/>
                <w:lang w:val="fr-FR"/>
              </w:rPr>
            </w:pPr>
            <w:r w:rsidRPr="00687CA0">
              <w:rPr>
                <w:rFonts w:ascii="Times New Roman" w:hAnsi="Times New Roman" w:cs="Times New Roman"/>
                <w:b/>
                <w:bCs/>
                <w:sz w:val="22"/>
                <w:szCs w:val="22"/>
                <w:lang w:val="fr-FR"/>
              </w:rPr>
              <w:t>E8</w:t>
            </w:r>
            <w:r w:rsidRPr="00687CA0">
              <w:rPr>
                <w:rFonts w:ascii="Times New Roman" w:hAnsi="Times New Roman" w:cs="Times New Roman"/>
                <w:sz w:val="22"/>
                <w:szCs w:val="22"/>
                <w:lang w:val="fr-FR"/>
              </w:rPr>
              <w:t>: Gestion des vaccins</w:t>
            </w:r>
          </w:p>
        </w:tc>
        <w:tc>
          <w:tcPr>
            <w:tcW w:w="1184" w:type="dxa"/>
            <w:vAlign w:val="center"/>
          </w:tcPr>
          <w:p w:rsidR="00A51E4A" w:rsidRPr="00687CA0" w:rsidRDefault="00A51E4A" w:rsidP="00A51E4A">
            <w:pPr>
              <w:jc w:val="center"/>
              <w:rPr>
                <w:sz w:val="22"/>
                <w:szCs w:val="22"/>
              </w:rPr>
            </w:pPr>
            <w:r w:rsidRPr="00687CA0">
              <w:rPr>
                <w:b/>
                <w:bCs/>
                <w:sz w:val="22"/>
                <w:szCs w:val="22"/>
                <w:lang w:val="fr-FR" w:eastAsia="en-US"/>
              </w:rPr>
              <w:t>80%</w:t>
            </w:r>
          </w:p>
        </w:tc>
        <w:tc>
          <w:tcPr>
            <w:tcW w:w="1264"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73%</w:t>
            </w:r>
          </w:p>
        </w:tc>
        <w:tc>
          <w:tcPr>
            <w:tcW w:w="1123"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72%</w:t>
            </w:r>
          </w:p>
        </w:tc>
        <w:tc>
          <w:tcPr>
            <w:tcW w:w="989"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87%</w:t>
            </w:r>
          </w:p>
        </w:tc>
        <w:tc>
          <w:tcPr>
            <w:tcW w:w="968"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86%</w:t>
            </w:r>
          </w:p>
        </w:tc>
      </w:tr>
      <w:tr w:rsidR="00687CA0" w:rsidRPr="00687CA0" w:rsidTr="00687CA0">
        <w:trPr>
          <w:divId w:val="410156154"/>
        </w:trPr>
        <w:tc>
          <w:tcPr>
            <w:tcW w:w="5048" w:type="dxa"/>
          </w:tcPr>
          <w:p w:rsidR="00A51E4A" w:rsidRPr="00687CA0" w:rsidRDefault="00A51E4A" w:rsidP="00A51E4A">
            <w:pPr>
              <w:autoSpaceDE w:val="0"/>
              <w:autoSpaceDN w:val="0"/>
              <w:adjustRightInd w:val="0"/>
              <w:rPr>
                <w:sz w:val="22"/>
                <w:szCs w:val="22"/>
                <w:lang w:val="fr-FR"/>
              </w:rPr>
            </w:pPr>
            <w:r w:rsidRPr="00687CA0">
              <w:rPr>
                <w:b/>
                <w:bCs/>
                <w:sz w:val="22"/>
                <w:szCs w:val="22"/>
                <w:lang w:val="fr-FR" w:eastAsia="en-US"/>
              </w:rPr>
              <w:t>E9</w:t>
            </w:r>
            <w:r w:rsidRPr="00687CA0">
              <w:rPr>
                <w:sz w:val="22"/>
                <w:szCs w:val="22"/>
                <w:lang w:val="fr-FR" w:eastAsia="en-US"/>
              </w:rPr>
              <w:t>: Système d'info &amp; fonctions d'appui à la gestion</w:t>
            </w:r>
          </w:p>
        </w:tc>
        <w:tc>
          <w:tcPr>
            <w:tcW w:w="1184" w:type="dxa"/>
            <w:vAlign w:val="center"/>
          </w:tcPr>
          <w:p w:rsidR="00A51E4A" w:rsidRPr="00687CA0" w:rsidRDefault="00A51E4A" w:rsidP="00A51E4A">
            <w:pPr>
              <w:jc w:val="center"/>
              <w:rPr>
                <w:sz w:val="22"/>
                <w:szCs w:val="22"/>
              </w:rPr>
            </w:pPr>
            <w:r w:rsidRPr="00687CA0">
              <w:rPr>
                <w:b/>
                <w:bCs/>
                <w:sz w:val="22"/>
                <w:szCs w:val="22"/>
                <w:lang w:val="fr-FR" w:eastAsia="en-US"/>
              </w:rPr>
              <w:t>80%</w:t>
            </w:r>
          </w:p>
        </w:tc>
        <w:tc>
          <w:tcPr>
            <w:tcW w:w="1264"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61%</w:t>
            </w:r>
          </w:p>
        </w:tc>
        <w:tc>
          <w:tcPr>
            <w:tcW w:w="1123"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94%</w:t>
            </w:r>
          </w:p>
        </w:tc>
        <w:tc>
          <w:tcPr>
            <w:tcW w:w="989" w:type="dxa"/>
            <w:vAlign w:val="center"/>
          </w:tcPr>
          <w:p w:rsidR="00A51E4A" w:rsidRPr="00687CA0" w:rsidRDefault="00A51E4A" w:rsidP="00A51E4A">
            <w:pPr>
              <w:pStyle w:val="Default"/>
              <w:ind w:right="120"/>
              <w:jc w:val="center"/>
              <w:rPr>
                <w:rFonts w:ascii="Times New Roman" w:hAnsi="Times New Roman" w:cs="Times New Roman"/>
                <w:sz w:val="22"/>
                <w:szCs w:val="22"/>
                <w:lang w:val="fr-FR"/>
              </w:rPr>
            </w:pPr>
            <w:r w:rsidRPr="00687CA0">
              <w:rPr>
                <w:rFonts w:ascii="Times New Roman" w:hAnsi="Times New Roman" w:cs="Times New Roman"/>
                <w:sz w:val="22"/>
                <w:szCs w:val="22"/>
                <w:lang w:val="fr-FR"/>
              </w:rPr>
              <w:t>92%</w:t>
            </w:r>
          </w:p>
        </w:tc>
        <w:tc>
          <w:tcPr>
            <w:tcW w:w="968" w:type="dxa"/>
            <w:shd w:val="clear" w:color="auto" w:fill="D9D9D9" w:themeFill="background1" w:themeFillShade="D9"/>
            <w:vAlign w:val="center"/>
          </w:tcPr>
          <w:p w:rsidR="00A51E4A" w:rsidRPr="00687CA0" w:rsidRDefault="00A51E4A" w:rsidP="00A51E4A">
            <w:pPr>
              <w:pStyle w:val="Default"/>
              <w:ind w:right="120"/>
              <w:jc w:val="center"/>
              <w:rPr>
                <w:rFonts w:ascii="Times New Roman" w:hAnsi="Times New Roman" w:cs="Times New Roman"/>
                <w:sz w:val="22"/>
                <w:szCs w:val="22"/>
                <w:lang w:val="fr-FR"/>
              </w:rPr>
            </w:pPr>
          </w:p>
        </w:tc>
      </w:tr>
    </w:tbl>
    <w:p w:rsidR="00EA7209" w:rsidRPr="007039F3" w:rsidRDefault="00A51E4A" w:rsidP="007039F3">
      <w:pPr>
        <w:pStyle w:val="Default"/>
        <w:jc w:val="both"/>
        <w:divId w:val="410156154"/>
        <w:rPr>
          <w:rFonts w:ascii="Times New Roman" w:hAnsi="Times New Roman" w:cs="Times New Roman"/>
          <w:lang w:val="fr-FR"/>
        </w:rPr>
      </w:pPr>
      <w:r w:rsidRPr="00783785">
        <w:rPr>
          <w:rFonts w:ascii="Times New Roman" w:hAnsi="Times New Roman" w:cs="Times New Roman"/>
          <w:lang w:val="fr-FR"/>
        </w:rPr>
        <w:lastRenderedPageBreak/>
        <w:t xml:space="preserve">Sur les neuf critères </w:t>
      </w:r>
      <w:r>
        <w:rPr>
          <w:rFonts w:ascii="Times New Roman" w:hAnsi="Times New Roman" w:cs="Times New Roman"/>
          <w:lang w:val="fr-FR"/>
        </w:rPr>
        <w:t xml:space="preserve">2 </w:t>
      </w:r>
      <w:r w:rsidRPr="00783785">
        <w:rPr>
          <w:rFonts w:ascii="Times New Roman" w:hAnsi="Times New Roman" w:cs="Times New Roman"/>
          <w:lang w:val="fr-FR"/>
        </w:rPr>
        <w:t>ont atteint l’objectif de 80%</w:t>
      </w:r>
      <w:r>
        <w:rPr>
          <w:rFonts w:ascii="Times New Roman" w:hAnsi="Times New Roman" w:cs="Times New Roman"/>
          <w:lang w:val="fr-FR"/>
        </w:rPr>
        <w:t xml:space="preserve"> au niveau central, 2 au niveau régional, </w:t>
      </w:r>
      <w:r w:rsidR="007039F3">
        <w:rPr>
          <w:rFonts w:ascii="Times New Roman" w:hAnsi="Times New Roman" w:cs="Times New Roman"/>
          <w:lang w:val="fr-FR"/>
        </w:rPr>
        <w:t>3 et 4 respectivement au niveau district et CSPS</w:t>
      </w:r>
      <w:r w:rsidRPr="00783785">
        <w:rPr>
          <w:rFonts w:ascii="Times New Roman" w:hAnsi="Times New Roman" w:cs="Times New Roman"/>
          <w:lang w:val="fr-FR"/>
        </w:rPr>
        <w:t>.</w:t>
      </w:r>
    </w:p>
    <w:p w:rsidR="00EA7209" w:rsidRPr="00783785" w:rsidRDefault="00EA7209" w:rsidP="00B563C2">
      <w:pPr>
        <w:pStyle w:val="Listecouleur-Accent11"/>
        <w:spacing w:after="0" w:line="240" w:lineRule="auto"/>
        <w:ind w:left="0" w:right="235"/>
        <w:jc w:val="both"/>
        <w:divId w:val="410156154"/>
        <w:rPr>
          <w:rFonts w:ascii="Times New Roman" w:hAnsi="Times New Roman"/>
          <w:sz w:val="24"/>
          <w:szCs w:val="24"/>
          <w:lang w:val="fr-FR"/>
        </w:rPr>
      </w:pPr>
    </w:p>
    <w:p w:rsidR="007039F3" w:rsidRDefault="00EA7209" w:rsidP="00B563C2">
      <w:pPr>
        <w:pStyle w:val="Listecouleur-Accent11"/>
        <w:spacing w:after="0" w:line="240" w:lineRule="auto"/>
        <w:ind w:left="0" w:right="235"/>
        <w:jc w:val="both"/>
        <w:divId w:val="410156154"/>
        <w:rPr>
          <w:rFonts w:ascii="Times New Roman" w:hAnsi="Times New Roman"/>
          <w:sz w:val="24"/>
          <w:szCs w:val="24"/>
          <w:lang w:val="fr-FR"/>
        </w:rPr>
      </w:pPr>
      <w:r w:rsidRPr="00783785">
        <w:rPr>
          <w:rFonts w:ascii="Times New Roman" w:hAnsi="Times New Roman"/>
          <w:sz w:val="24"/>
          <w:szCs w:val="24"/>
          <w:lang w:val="fr-FR"/>
        </w:rPr>
        <w:t xml:space="preserve">Un plan de mise en œuvre des recommandations de la GEV a été élaboré et mis en œuvre comprenant essentiellement : </w:t>
      </w:r>
    </w:p>
    <w:p w:rsidR="007039F3" w:rsidRPr="00284839" w:rsidRDefault="007039F3" w:rsidP="003046BF">
      <w:pPr>
        <w:pStyle w:val="Paragraphedeliste"/>
        <w:numPr>
          <w:ilvl w:val="0"/>
          <w:numId w:val="43"/>
        </w:numPr>
        <w:autoSpaceDE w:val="0"/>
        <w:autoSpaceDN w:val="0"/>
        <w:adjustRightInd w:val="0"/>
        <w:spacing w:after="0"/>
        <w:ind w:right="120"/>
        <w:jc w:val="both"/>
        <w:divId w:val="410156154"/>
        <w:rPr>
          <w:rFonts w:ascii="Times New Roman" w:hAnsi="Times New Roman"/>
          <w:sz w:val="24"/>
          <w:lang w:val="fr-FR"/>
        </w:rPr>
      </w:pPr>
      <w:r w:rsidRPr="00284839">
        <w:rPr>
          <w:rFonts w:ascii="Times New Roman" w:hAnsi="Times New Roman"/>
          <w:sz w:val="24"/>
          <w:lang w:val="fr-FR"/>
        </w:rPr>
        <w:t>La formation en gestion du PEV au personnel en charge de la gestion des</w:t>
      </w:r>
    </w:p>
    <w:p w:rsidR="00284839" w:rsidRPr="00284839" w:rsidRDefault="00ED28DD" w:rsidP="00284839">
      <w:pPr>
        <w:autoSpaceDE w:val="0"/>
        <w:autoSpaceDN w:val="0"/>
        <w:adjustRightInd w:val="0"/>
        <w:spacing w:line="276" w:lineRule="auto"/>
        <w:ind w:left="120" w:right="120"/>
        <w:jc w:val="both"/>
        <w:divId w:val="410156154"/>
        <w:rPr>
          <w:szCs w:val="22"/>
          <w:lang w:val="fr-FR" w:eastAsia="en-US"/>
        </w:rPr>
      </w:pPr>
      <w:r>
        <w:rPr>
          <w:szCs w:val="22"/>
          <w:lang w:val="fr-FR" w:eastAsia="en-US"/>
        </w:rPr>
        <w:t xml:space="preserve">          </w:t>
      </w:r>
      <w:r w:rsidR="007039F3" w:rsidRPr="00284839">
        <w:rPr>
          <w:szCs w:val="22"/>
          <w:lang w:val="fr-FR" w:eastAsia="en-US"/>
        </w:rPr>
        <w:t>vaccins et consommables à tous les niveaux</w:t>
      </w:r>
      <w:r w:rsidR="00284839" w:rsidRPr="00284839">
        <w:rPr>
          <w:szCs w:val="22"/>
          <w:lang w:val="fr-FR" w:eastAsia="en-US"/>
        </w:rPr>
        <w:t>,</w:t>
      </w:r>
    </w:p>
    <w:p w:rsidR="00284839" w:rsidRPr="00284839" w:rsidRDefault="00284839" w:rsidP="003046BF">
      <w:pPr>
        <w:pStyle w:val="Paragraphedeliste"/>
        <w:numPr>
          <w:ilvl w:val="0"/>
          <w:numId w:val="43"/>
        </w:numPr>
        <w:autoSpaceDE w:val="0"/>
        <w:autoSpaceDN w:val="0"/>
        <w:adjustRightInd w:val="0"/>
        <w:spacing w:after="0"/>
        <w:ind w:right="120"/>
        <w:jc w:val="both"/>
        <w:divId w:val="410156154"/>
        <w:rPr>
          <w:rFonts w:ascii="Times New Roman" w:hAnsi="Times New Roman"/>
          <w:sz w:val="24"/>
          <w:lang w:val="fr-FR"/>
        </w:rPr>
      </w:pPr>
      <w:r w:rsidRPr="00284839">
        <w:rPr>
          <w:rFonts w:ascii="Times New Roman" w:hAnsi="Times New Roman"/>
          <w:sz w:val="24"/>
          <w:lang w:val="fr-FR"/>
        </w:rPr>
        <w:t>Les supervisions formatives régulières de qualité à tous les niveaux de la chaîne</w:t>
      </w:r>
    </w:p>
    <w:p w:rsidR="007039F3" w:rsidRPr="00284839" w:rsidRDefault="00284839" w:rsidP="00284839">
      <w:pPr>
        <w:pStyle w:val="Paragraphedeliste"/>
        <w:autoSpaceDE w:val="0"/>
        <w:autoSpaceDN w:val="0"/>
        <w:adjustRightInd w:val="0"/>
        <w:spacing w:after="0"/>
        <w:ind w:right="240"/>
        <w:jc w:val="both"/>
        <w:divId w:val="410156154"/>
        <w:rPr>
          <w:rFonts w:ascii="Times New Roman" w:hAnsi="Times New Roman"/>
          <w:sz w:val="24"/>
          <w:lang w:val="fr-FR"/>
        </w:rPr>
      </w:pPr>
      <w:r w:rsidRPr="00284839">
        <w:rPr>
          <w:rFonts w:ascii="Times New Roman" w:hAnsi="Times New Roman"/>
          <w:sz w:val="24"/>
          <w:lang w:val="fr-FR"/>
        </w:rPr>
        <w:t>d’approvisionnement.</w:t>
      </w:r>
    </w:p>
    <w:p w:rsidR="00EA7209" w:rsidRDefault="00284839" w:rsidP="003046BF">
      <w:pPr>
        <w:pStyle w:val="Paragraphedeliste"/>
        <w:numPr>
          <w:ilvl w:val="0"/>
          <w:numId w:val="43"/>
        </w:numPr>
        <w:autoSpaceDE w:val="0"/>
        <w:autoSpaceDN w:val="0"/>
        <w:adjustRightInd w:val="0"/>
        <w:spacing w:after="0"/>
        <w:ind w:left="840" w:right="360"/>
        <w:jc w:val="both"/>
        <w:divId w:val="410156154"/>
        <w:rPr>
          <w:rFonts w:ascii="Times New Roman" w:hAnsi="Times New Roman"/>
          <w:sz w:val="24"/>
          <w:lang w:val="fr-FR"/>
        </w:rPr>
      </w:pPr>
      <w:r w:rsidRPr="00284839">
        <w:rPr>
          <w:rFonts w:ascii="Times New Roman" w:hAnsi="Times New Roman"/>
          <w:sz w:val="24"/>
          <w:lang w:val="fr-FR"/>
        </w:rPr>
        <w:t>L’élaboration d’un plan national de renforcement, de réhabilitation et de renouvellement des équipements de chaîne de froid à partir de l’inventaire réalisé</w:t>
      </w:r>
      <w:r>
        <w:rPr>
          <w:rFonts w:ascii="Times New Roman" w:hAnsi="Times New Roman"/>
          <w:sz w:val="24"/>
          <w:lang w:val="fr-FR"/>
        </w:rPr>
        <w:t>.</w:t>
      </w:r>
    </w:p>
    <w:p w:rsidR="00284839" w:rsidRPr="00284839" w:rsidRDefault="00284839" w:rsidP="00284839">
      <w:pPr>
        <w:pStyle w:val="Paragraphedeliste"/>
        <w:autoSpaceDE w:val="0"/>
        <w:autoSpaceDN w:val="0"/>
        <w:adjustRightInd w:val="0"/>
        <w:spacing w:after="0"/>
        <w:ind w:left="840" w:right="360"/>
        <w:jc w:val="both"/>
        <w:divId w:val="410156154"/>
        <w:rPr>
          <w:rFonts w:ascii="Times New Roman" w:hAnsi="Times New Roman"/>
          <w:sz w:val="24"/>
          <w:lang w:val="fr-FR"/>
        </w:rPr>
      </w:pPr>
    </w:p>
    <w:p w:rsidR="00EA7209" w:rsidRPr="00783785" w:rsidRDefault="00EA7209" w:rsidP="00B563C2">
      <w:pPr>
        <w:pStyle w:val="Listecouleur-Accent11"/>
        <w:spacing w:after="0" w:line="240" w:lineRule="auto"/>
        <w:ind w:left="0" w:right="235"/>
        <w:jc w:val="both"/>
        <w:divId w:val="410156154"/>
        <w:rPr>
          <w:rFonts w:ascii="Times New Roman" w:hAnsi="Times New Roman"/>
          <w:sz w:val="24"/>
          <w:szCs w:val="24"/>
          <w:lang w:val="fr-FR"/>
        </w:rPr>
      </w:pPr>
      <w:r w:rsidRPr="00783785">
        <w:rPr>
          <w:rFonts w:ascii="Times New Roman" w:hAnsi="Times New Roman"/>
          <w:sz w:val="24"/>
          <w:szCs w:val="24"/>
          <w:lang w:val="fr-FR"/>
        </w:rPr>
        <w:t>L’évaluation du niveau de mise en œuvre des recommandations de la GEV se fait également ré</w:t>
      </w:r>
      <w:r w:rsidR="00284839">
        <w:rPr>
          <w:rFonts w:ascii="Times New Roman" w:hAnsi="Times New Roman"/>
          <w:sz w:val="24"/>
          <w:szCs w:val="24"/>
          <w:lang w:val="fr-FR"/>
        </w:rPr>
        <w:t xml:space="preserve">gulièrement à, l’occasion des sorties de supervision et de contrôle. </w:t>
      </w:r>
    </w:p>
    <w:p w:rsidR="00EA7209" w:rsidRPr="00783785" w:rsidRDefault="00EA7209" w:rsidP="00B563C2">
      <w:pPr>
        <w:pStyle w:val="Listecouleur-Accent11"/>
        <w:spacing w:after="0" w:line="240" w:lineRule="auto"/>
        <w:ind w:left="0" w:right="235"/>
        <w:jc w:val="both"/>
        <w:divId w:val="410156154"/>
        <w:rPr>
          <w:rFonts w:ascii="Times New Roman" w:hAnsi="Times New Roman"/>
          <w:sz w:val="24"/>
          <w:szCs w:val="24"/>
          <w:lang w:val="fr-FR"/>
        </w:rPr>
      </w:pPr>
    </w:p>
    <w:p w:rsidR="00D13EA4" w:rsidRPr="00EA7209" w:rsidRDefault="00D13EA4" w:rsidP="00284839">
      <w:pPr>
        <w:pStyle w:val="Listecouleur-Accent11"/>
        <w:spacing w:after="0" w:line="240" w:lineRule="auto"/>
        <w:ind w:left="-120" w:right="235"/>
        <w:jc w:val="both"/>
        <w:divId w:val="410156154"/>
        <w:rPr>
          <w:rFonts w:ascii="Times New Roman" w:hAnsi="Times New Roman"/>
          <w:sz w:val="24"/>
          <w:szCs w:val="24"/>
          <w:lang w:val="fr-FR"/>
        </w:rPr>
      </w:pPr>
      <w:r w:rsidRPr="00783785">
        <w:rPr>
          <w:rFonts w:ascii="Times New Roman" w:hAnsi="Times New Roman"/>
          <w:sz w:val="24"/>
          <w:szCs w:val="24"/>
          <w:lang w:val="fr-FR"/>
        </w:rPr>
        <w:t xml:space="preserve">Ces différentes forces du </w:t>
      </w:r>
      <w:r w:rsidR="00284839">
        <w:rPr>
          <w:rFonts w:ascii="Times New Roman" w:hAnsi="Times New Roman"/>
          <w:sz w:val="24"/>
          <w:szCs w:val="24"/>
          <w:lang w:val="fr-FR"/>
        </w:rPr>
        <w:t>programme</w:t>
      </w:r>
      <w:r w:rsidRPr="00783785">
        <w:rPr>
          <w:rFonts w:ascii="Times New Roman" w:hAnsi="Times New Roman"/>
          <w:sz w:val="24"/>
          <w:szCs w:val="24"/>
          <w:lang w:val="fr-FR"/>
        </w:rPr>
        <w:t xml:space="preserve"> ont été capitalisées et renforcées</w:t>
      </w:r>
      <w:r w:rsidR="00284839">
        <w:rPr>
          <w:rFonts w:ascii="Times New Roman" w:hAnsi="Times New Roman"/>
          <w:sz w:val="24"/>
          <w:szCs w:val="24"/>
          <w:lang w:val="fr-FR"/>
        </w:rPr>
        <w:t xml:space="preserve">. Les </w:t>
      </w:r>
      <w:r w:rsidRPr="00783785">
        <w:rPr>
          <w:rFonts w:ascii="Times New Roman" w:hAnsi="Times New Roman"/>
          <w:sz w:val="24"/>
          <w:szCs w:val="24"/>
          <w:lang w:val="fr-FR"/>
        </w:rPr>
        <w:t>faiblesses ont été</w:t>
      </w:r>
      <w:r w:rsidRPr="00D13EA4">
        <w:rPr>
          <w:rFonts w:ascii="Times New Roman" w:hAnsi="Times New Roman"/>
          <w:sz w:val="24"/>
          <w:szCs w:val="24"/>
          <w:lang w:val="fr-FR"/>
        </w:rPr>
        <w:t xml:space="preserve"> prises en compte à l’occasion de l’introduction du vaccin contre le pneumocoque </w:t>
      </w:r>
      <w:r w:rsidRPr="00EC0239">
        <w:rPr>
          <w:rFonts w:ascii="Times New Roman" w:hAnsi="Times New Roman"/>
          <w:sz w:val="24"/>
          <w:szCs w:val="24"/>
          <w:lang w:val="fr-FR"/>
        </w:rPr>
        <w:t>et le rota-virus</w:t>
      </w:r>
      <w:r w:rsidRPr="00D13EA4">
        <w:rPr>
          <w:rFonts w:ascii="Times New Roman" w:hAnsi="Times New Roman"/>
          <w:sz w:val="24"/>
          <w:szCs w:val="24"/>
          <w:lang w:val="fr-FR"/>
        </w:rPr>
        <w:t xml:space="preserve"> en 2013 </w:t>
      </w:r>
      <w:r w:rsidR="00284839">
        <w:rPr>
          <w:rFonts w:ascii="Times New Roman" w:hAnsi="Times New Roman"/>
          <w:sz w:val="24"/>
          <w:szCs w:val="24"/>
          <w:lang w:val="fr-FR"/>
        </w:rPr>
        <w:t xml:space="preserve">ce qui sera un atout à l’introduction </w:t>
      </w:r>
      <w:r w:rsidRPr="00D13EA4">
        <w:rPr>
          <w:rFonts w:ascii="Times New Roman" w:hAnsi="Times New Roman"/>
          <w:sz w:val="24"/>
          <w:szCs w:val="24"/>
          <w:lang w:val="fr-FR"/>
        </w:rPr>
        <w:t>du VPI en 2015.</w:t>
      </w:r>
    </w:p>
    <w:p w:rsidR="005B0B0B" w:rsidRPr="005B0B0B" w:rsidRDefault="005B0B0B" w:rsidP="00B563C2">
      <w:pPr>
        <w:pStyle w:val="Listecouleur-Accent11"/>
        <w:spacing w:after="0" w:line="240" w:lineRule="auto"/>
        <w:ind w:left="0" w:right="235"/>
        <w:jc w:val="both"/>
        <w:divId w:val="410156154"/>
        <w:rPr>
          <w:rFonts w:ascii="Arial" w:hAnsi="Arial" w:cs="Arial"/>
          <w:lang w:val="fr-FR"/>
        </w:rPr>
      </w:pPr>
    </w:p>
    <w:p w:rsidR="00E24450" w:rsidRDefault="00515293" w:rsidP="00E24450">
      <w:pPr>
        <w:pStyle w:val="Paragraphedeliste"/>
        <w:numPr>
          <w:ilvl w:val="0"/>
          <w:numId w:val="10"/>
        </w:numPr>
        <w:spacing w:after="0" w:line="240" w:lineRule="auto"/>
        <w:ind w:left="1080" w:right="475"/>
        <w:jc w:val="both"/>
        <w:divId w:val="410156154"/>
        <w:rPr>
          <w:rFonts w:asciiTheme="minorHAnsi" w:hAnsiTheme="minorHAnsi"/>
          <w:highlight w:val="cyan"/>
          <w:lang w:val="fr-FR"/>
        </w:rPr>
      </w:pPr>
      <w:r w:rsidRPr="005B0B0B">
        <w:rPr>
          <w:rFonts w:asciiTheme="minorHAnsi" w:hAnsiTheme="minorHAnsi"/>
          <w:highlight w:val="cyan"/>
          <w:lang w:val="fr-FR"/>
        </w:rPr>
        <w:t xml:space="preserve">Résumer les conclusions de récentes évaluations de programmes, indiquant si les recommandations font partie intégrante d’un plan d’action national qui sera prochainement adopté ; décrire le suivi de l’application des recommandations et indiquer dans quelle mesure ces recommandations auront un impact sur l’introduction proposée du nouveau vaccin.  </w:t>
      </w:r>
    </w:p>
    <w:p w:rsidR="000B7681" w:rsidRDefault="000B7681" w:rsidP="000B7681">
      <w:pPr>
        <w:pStyle w:val="Paragraphedeliste"/>
        <w:spacing w:after="0" w:line="240" w:lineRule="auto"/>
        <w:ind w:left="1080" w:right="475"/>
        <w:jc w:val="both"/>
        <w:divId w:val="410156154"/>
        <w:rPr>
          <w:rFonts w:asciiTheme="minorHAnsi" w:hAnsiTheme="minorHAnsi"/>
          <w:highlight w:val="cyan"/>
          <w:lang w:val="fr-FR"/>
        </w:rPr>
      </w:pPr>
    </w:p>
    <w:p w:rsidR="00783785" w:rsidRPr="009960BF" w:rsidRDefault="009021B4" w:rsidP="00B563C2">
      <w:pPr>
        <w:tabs>
          <w:tab w:val="left" w:pos="1753"/>
        </w:tabs>
        <w:ind w:right="23"/>
        <w:jc w:val="both"/>
        <w:divId w:val="410156154"/>
        <w:rPr>
          <w:lang w:val="fr-FR"/>
        </w:rPr>
      </w:pPr>
      <w:r w:rsidRPr="009960BF">
        <w:rPr>
          <w:lang w:val="fr-FR"/>
        </w:rPr>
        <w:t xml:space="preserve">Le Burkina Faso a conduit une </w:t>
      </w:r>
      <w:r w:rsidR="00783785" w:rsidRPr="009960BF">
        <w:rPr>
          <w:lang w:val="fr-FR"/>
        </w:rPr>
        <w:t xml:space="preserve">enquête de couverture </w:t>
      </w:r>
      <w:r w:rsidRPr="009960BF">
        <w:rPr>
          <w:lang w:val="fr-FR"/>
        </w:rPr>
        <w:t xml:space="preserve">vaccinale </w:t>
      </w:r>
      <w:r w:rsidR="00783785" w:rsidRPr="009960BF">
        <w:rPr>
          <w:lang w:val="fr-FR"/>
        </w:rPr>
        <w:t>pendant la revue approfondie du PEV en 2010</w:t>
      </w:r>
      <w:r w:rsidRPr="009960BF">
        <w:rPr>
          <w:lang w:val="fr-FR"/>
        </w:rPr>
        <w:t>. Cette enquête</w:t>
      </w:r>
      <w:r w:rsidR="00783785" w:rsidRPr="009960BF">
        <w:rPr>
          <w:lang w:val="fr-FR"/>
        </w:rPr>
        <w:t xml:space="preserve"> a montré que chez les enfants de 12-23 mois la couverture vaccinale était de </w:t>
      </w:r>
      <w:r w:rsidR="00D85416" w:rsidRPr="009960BF">
        <w:rPr>
          <w:lang w:val="fr-FR"/>
        </w:rPr>
        <w:t>90% pour le VPO3, de 91</w:t>
      </w:r>
      <w:r w:rsidR="00783785" w:rsidRPr="009960BF">
        <w:rPr>
          <w:lang w:val="fr-FR"/>
        </w:rPr>
        <w:t>% pour le Penta3</w:t>
      </w:r>
      <w:r w:rsidR="00D85416" w:rsidRPr="009960BF">
        <w:rPr>
          <w:lang w:val="fr-FR"/>
        </w:rPr>
        <w:t xml:space="preserve"> et</w:t>
      </w:r>
      <w:r w:rsidR="00783785" w:rsidRPr="009960BF">
        <w:rPr>
          <w:lang w:val="fr-FR"/>
        </w:rPr>
        <w:t xml:space="preserve"> de </w:t>
      </w:r>
      <w:r w:rsidR="00D85416" w:rsidRPr="009960BF">
        <w:rPr>
          <w:lang w:val="fr-FR"/>
        </w:rPr>
        <w:t>87,6</w:t>
      </w:r>
      <w:r w:rsidR="00783785" w:rsidRPr="009960BF">
        <w:rPr>
          <w:lang w:val="fr-FR"/>
        </w:rPr>
        <w:t>% pour le vaccin anti</w:t>
      </w:r>
      <w:r w:rsidR="00D85416" w:rsidRPr="009960BF">
        <w:rPr>
          <w:lang w:val="fr-FR"/>
        </w:rPr>
        <w:t>-</w:t>
      </w:r>
      <w:r w:rsidR="00783785" w:rsidRPr="009960BF">
        <w:rPr>
          <w:lang w:val="fr-FR"/>
        </w:rPr>
        <w:t xml:space="preserve"> rougeoleux. La proportion d’enfants complètement vaccinés </w:t>
      </w:r>
      <w:r w:rsidR="00D85416" w:rsidRPr="009960BF">
        <w:rPr>
          <w:lang w:val="fr-FR"/>
        </w:rPr>
        <w:t xml:space="preserve">était de 85,5% </w:t>
      </w:r>
      <w:r w:rsidR="00783785" w:rsidRPr="009960BF">
        <w:rPr>
          <w:lang w:val="fr-FR"/>
        </w:rPr>
        <w:t xml:space="preserve">selon cette revue externe. </w:t>
      </w:r>
    </w:p>
    <w:p w:rsidR="009960BF" w:rsidRPr="009960BF" w:rsidRDefault="009960BF" w:rsidP="000B7681">
      <w:pPr>
        <w:tabs>
          <w:tab w:val="left" w:pos="1753"/>
        </w:tabs>
        <w:ind w:right="143"/>
        <w:jc w:val="both"/>
        <w:divId w:val="410156154"/>
        <w:rPr>
          <w:lang w:val="fr-FR"/>
        </w:rPr>
      </w:pPr>
      <w:r w:rsidRPr="009960BF">
        <w:rPr>
          <w:lang w:val="fr-FR"/>
        </w:rPr>
        <w:t>Les recommandations de cette revue portaient sur les volets suivants</w:t>
      </w:r>
      <w:r w:rsidR="000B7681">
        <w:rPr>
          <w:lang w:val="fr-FR"/>
        </w:rPr>
        <w:t> :</w:t>
      </w:r>
    </w:p>
    <w:p w:rsidR="009960BF" w:rsidRPr="00ED28DD" w:rsidRDefault="009960BF" w:rsidP="00B563C2">
      <w:pPr>
        <w:tabs>
          <w:tab w:val="left" w:pos="1753"/>
        </w:tabs>
        <w:ind w:left="120" w:right="143"/>
        <w:jc w:val="both"/>
        <w:divId w:val="410156154"/>
        <w:rPr>
          <w:sz w:val="2"/>
          <w:lang w:val="fr-FR"/>
        </w:rPr>
      </w:pPr>
    </w:p>
    <w:p w:rsidR="001938ED" w:rsidRPr="007433B9" w:rsidRDefault="001938ED" w:rsidP="003046BF">
      <w:pPr>
        <w:pStyle w:val="Paragraphedeliste"/>
        <w:numPr>
          <w:ilvl w:val="0"/>
          <w:numId w:val="65"/>
        </w:numPr>
        <w:tabs>
          <w:tab w:val="left" w:pos="1753"/>
        </w:tabs>
        <w:spacing w:before="120" w:after="120"/>
        <w:ind w:right="263"/>
        <w:jc w:val="both"/>
        <w:divId w:val="410156154"/>
        <w:rPr>
          <w:b/>
          <w:lang w:val="fr-FR"/>
        </w:rPr>
      </w:pPr>
      <w:r w:rsidRPr="007433B9">
        <w:rPr>
          <w:b/>
          <w:lang w:val="fr-FR"/>
        </w:rPr>
        <w:t xml:space="preserve">COUVERTURE VACCINALE  </w:t>
      </w:r>
    </w:p>
    <w:p w:rsidR="001938ED" w:rsidRPr="00B05E55" w:rsidRDefault="001938ED" w:rsidP="003046BF">
      <w:pPr>
        <w:pStyle w:val="Paragraphedeliste"/>
        <w:numPr>
          <w:ilvl w:val="0"/>
          <w:numId w:val="45"/>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Au niveau central  </w:t>
      </w:r>
    </w:p>
    <w:p w:rsidR="001938ED" w:rsidRPr="00B05E55" w:rsidRDefault="001938ED" w:rsidP="003046BF">
      <w:pPr>
        <w:pStyle w:val="Paragraphedeliste"/>
        <w:numPr>
          <w:ilvl w:val="0"/>
          <w:numId w:val="47"/>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Elaborer et diffuser un module national de formation des agents sur la gestion du PEV au niveau intermédiaire et périphérique   </w:t>
      </w:r>
    </w:p>
    <w:p w:rsidR="00D2161D" w:rsidRDefault="001938ED" w:rsidP="003046BF">
      <w:pPr>
        <w:pStyle w:val="Paragraphedeliste"/>
        <w:numPr>
          <w:ilvl w:val="0"/>
          <w:numId w:val="47"/>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Elaborer et diffuser des directives sur la poursuite de la vaccination des mères après l’accouchement  </w:t>
      </w:r>
    </w:p>
    <w:p w:rsidR="001938ED" w:rsidRPr="00B05E55" w:rsidRDefault="001938ED" w:rsidP="003046BF">
      <w:pPr>
        <w:pStyle w:val="Paragraphedeliste"/>
        <w:numPr>
          <w:ilvl w:val="0"/>
          <w:numId w:val="47"/>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Former des formateurs régionaux sur la gestion du PEV   </w:t>
      </w:r>
    </w:p>
    <w:p w:rsidR="001938ED" w:rsidRPr="00B05E55" w:rsidRDefault="001938ED" w:rsidP="003046BF">
      <w:pPr>
        <w:pStyle w:val="Paragraphedeliste"/>
        <w:numPr>
          <w:ilvl w:val="0"/>
          <w:numId w:val="47"/>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Réviser et diffuser le calendrier vaccinal  </w:t>
      </w:r>
    </w:p>
    <w:p w:rsidR="008200BE" w:rsidRPr="00D2161D" w:rsidRDefault="00D2161D" w:rsidP="003046BF">
      <w:pPr>
        <w:pStyle w:val="Paragraphedeliste"/>
        <w:numPr>
          <w:ilvl w:val="0"/>
          <w:numId w:val="43"/>
        </w:numPr>
        <w:tabs>
          <w:tab w:val="left" w:pos="1753"/>
        </w:tabs>
        <w:spacing w:before="120" w:after="120"/>
        <w:ind w:right="503"/>
        <w:jc w:val="both"/>
        <w:divId w:val="410156154"/>
        <w:rPr>
          <w:lang w:val="fr-FR"/>
        </w:rPr>
      </w:pPr>
      <w:r>
        <w:rPr>
          <w:lang w:val="fr-FR"/>
        </w:rPr>
        <w:t xml:space="preserve">Réaliser </w:t>
      </w:r>
      <w:r w:rsidR="00771B2E">
        <w:rPr>
          <w:lang w:val="fr-FR"/>
        </w:rPr>
        <w:t>la</w:t>
      </w:r>
      <w:r w:rsidR="001938ED" w:rsidRPr="00D2161D">
        <w:rPr>
          <w:lang w:val="fr-FR"/>
        </w:rPr>
        <w:t xml:space="preserve">supervision </w:t>
      </w:r>
      <w:r w:rsidR="00771B2E">
        <w:rPr>
          <w:lang w:val="fr-FR"/>
        </w:rPr>
        <w:t xml:space="preserve">PEV </w:t>
      </w:r>
      <w:r w:rsidR="001938ED" w:rsidRPr="00D2161D">
        <w:rPr>
          <w:lang w:val="fr-FR"/>
        </w:rPr>
        <w:t xml:space="preserve">des </w:t>
      </w:r>
      <w:r w:rsidR="007433B9" w:rsidRPr="00D2161D">
        <w:rPr>
          <w:lang w:val="fr-FR"/>
        </w:rPr>
        <w:t xml:space="preserve">agents </w:t>
      </w:r>
      <w:r w:rsidR="00771B2E">
        <w:rPr>
          <w:lang w:val="fr-FR"/>
        </w:rPr>
        <w:t>d</w:t>
      </w:r>
      <w:r w:rsidR="001938ED" w:rsidRPr="00D2161D">
        <w:rPr>
          <w:lang w:val="fr-FR"/>
        </w:rPr>
        <w:t xml:space="preserve">u niveau régional  </w:t>
      </w:r>
    </w:p>
    <w:p w:rsidR="008200BE" w:rsidRPr="00ED28DD" w:rsidRDefault="008200BE" w:rsidP="008200BE">
      <w:pPr>
        <w:pStyle w:val="Paragraphedeliste"/>
        <w:tabs>
          <w:tab w:val="left" w:pos="1753"/>
        </w:tabs>
        <w:spacing w:before="120" w:after="120" w:line="240" w:lineRule="auto"/>
        <w:ind w:left="840" w:right="263"/>
        <w:jc w:val="both"/>
        <w:divId w:val="410156154"/>
        <w:rPr>
          <w:rFonts w:ascii="Times New Roman" w:hAnsi="Times New Roman"/>
          <w:sz w:val="2"/>
          <w:szCs w:val="24"/>
          <w:lang w:val="fr-FR"/>
        </w:rPr>
      </w:pPr>
    </w:p>
    <w:p w:rsidR="001938ED" w:rsidRPr="00B05E55" w:rsidRDefault="001938ED" w:rsidP="003046BF">
      <w:pPr>
        <w:pStyle w:val="Paragraphedeliste"/>
        <w:numPr>
          <w:ilvl w:val="0"/>
          <w:numId w:val="45"/>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Au niveau régional  </w:t>
      </w:r>
    </w:p>
    <w:p w:rsidR="001938ED" w:rsidRPr="00B05E55" w:rsidRDefault="007433B9" w:rsidP="003046BF">
      <w:pPr>
        <w:pStyle w:val="Paragraphedeliste"/>
        <w:numPr>
          <w:ilvl w:val="0"/>
          <w:numId w:val="48"/>
        </w:numPr>
        <w:tabs>
          <w:tab w:val="left" w:pos="1753"/>
        </w:tabs>
        <w:spacing w:before="120" w:after="120" w:line="240" w:lineRule="auto"/>
        <w:ind w:right="263"/>
        <w:jc w:val="both"/>
        <w:divId w:val="410156154"/>
        <w:rPr>
          <w:rFonts w:ascii="Times New Roman" w:hAnsi="Times New Roman"/>
          <w:sz w:val="24"/>
          <w:szCs w:val="24"/>
          <w:lang w:val="fr-FR"/>
        </w:rPr>
      </w:pPr>
      <w:r>
        <w:rPr>
          <w:rFonts w:ascii="Times New Roman" w:hAnsi="Times New Roman"/>
          <w:sz w:val="24"/>
          <w:szCs w:val="24"/>
          <w:lang w:val="fr-FR"/>
        </w:rPr>
        <w:t>Former l</w:t>
      </w:r>
      <w:r w:rsidR="001938ED" w:rsidRPr="00B05E55">
        <w:rPr>
          <w:rFonts w:ascii="Times New Roman" w:hAnsi="Times New Roman"/>
          <w:sz w:val="24"/>
          <w:szCs w:val="24"/>
          <w:lang w:val="fr-FR"/>
        </w:rPr>
        <w:t xml:space="preserve">es formateurs de district sur la gestion du PEV   </w:t>
      </w:r>
    </w:p>
    <w:p w:rsidR="001938ED" w:rsidRDefault="001938ED" w:rsidP="003046BF">
      <w:pPr>
        <w:pStyle w:val="Paragraphedeliste"/>
        <w:numPr>
          <w:ilvl w:val="0"/>
          <w:numId w:val="48"/>
        </w:numPr>
        <w:tabs>
          <w:tab w:val="left" w:pos="1753"/>
        </w:tabs>
        <w:spacing w:before="120" w:after="120" w:line="240" w:lineRule="auto"/>
        <w:ind w:left="840"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Renforcer les activités de suivi du PEV au niveau district </w:t>
      </w:r>
    </w:p>
    <w:p w:rsidR="008200BE" w:rsidRPr="00ED28DD" w:rsidRDefault="008200BE" w:rsidP="008200BE">
      <w:pPr>
        <w:pStyle w:val="Paragraphedeliste"/>
        <w:tabs>
          <w:tab w:val="left" w:pos="1753"/>
        </w:tabs>
        <w:spacing w:before="120" w:after="120" w:line="240" w:lineRule="auto"/>
        <w:ind w:left="840" w:right="263"/>
        <w:jc w:val="both"/>
        <w:divId w:val="410156154"/>
        <w:rPr>
          <w:rFonts w:ascii="Times New Roman" w:hAnsi="Times New Roman"/>
          <w:sz w:val="2"/>
          <w:szCs w:val="24"/>
          <w:lang w:val="fr-FR"/>
        </w:rPr>
      </w:pPr>
    </w:p>
    <w:p w:rsidR="001938ED" w:rsidRPr="00B05E55" w:rsidRDefault="001938ED" w:rsidP="003046BF">
      <w:pPr>
        <w:pStyle w:val="Paragraphedeliste"/>
        <w:numPr>
          <w:ilvl w:val="0"/>
          <w:numId w:val="45"/>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Au niveau district  </w:t>
      </w:r>
    </w:p>
    <w:p w:rsidR="001938ED" w:rsidRPr="00B05E55" w:rsidRDefault="001938ED" w:rsidP="003046BF">
      <w:pPr>
        <w:pStyle w:val="Paragraphedeliste"/>
        <w:numPr>
          <w:ilvl w:val="0"/>
          <w:numId w:val="49"/>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Former les agents de santé sur la gestion du PEV   </w:t>
      </w:r>
    </w:p>
    <w:p w:rsidR="00771B2E" w:rsidRDefault="001938ED" w:rsidP="003046BF">
      <w:pPr>
        <w:pStyle w:val="Paragraphedeliste"/>
        <w:numPr>
          <w:ilvl w:val="0"/>
          <w:numId w:val="49"/>
        </w:numPr>
        <w:tabs>
          <w:tab w:val="left" w:pos="1753"/>
        </w:tabs>
        <w:spacing w:before="120" w:after="120" w:line="240" w:lineRule="auto"/>
        <w:ind w:left="840" w:right="38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Renforcer les activités de suivi du PEV au niveau CSPS  </w:t>
      </w:r>
    </w:p>
    <w:p w:rsidR="001938ED" w:rsidRPr="00771B2E" w:rsidRDefault="001938ED" w:rsidP="003046BF">
      <w:pPr>
        <w:pStyle w:val="Paragraphedeliste"/>
        <w:numPr>
          <w:ilvl w:val="0"/>
          <w:numId w:val="49"/>
        </w:numPr>
        <w:tabs>
          <w:tab w:val="left" w:pos="1753"/>
        </w:tabs>
        <w:spacing w:before="120" w:after="120" w:line="240" w:lineRule="auto"/>
        <w:ind w:left="840" w:right="383"/>
        <w:jc w:val="both"/>
        <w:divId w:val="410156154"/>
        <w:rPr>
          <w:rFonts w:ascii="Times New Roman" w:hAnsi="Times New Roman"/>
          <w:sz w:val="24"/>
          <w:szCs w:val="24"/>
          <w:lang w:val="fr-FR"/>
        </w:rPr>
      </w:pPr>
      <w:r w:rsidRPr="00771B2E">
        <w:rPr>
          <w:rFonts w:ascii="Times New Roman" w:hAnsi="Times New Roman"/>
          <w:sz w:val="24"/>
          <w:szCs w:val="24"/>
          <w:lang w:val="fr-FR"/>
        </w:rPr>
        <w:t xml:space="preserve">Impliquer le secteur privé dans la mise en œuvre des activités de vaccination  </w:t>
      </w:r>
    </w:p>
    <w:p w:rsidR="001938ED" w:rsidRPr="00B05E55" w:rsidRDefault="001938ED" w:rsidP="003046BF">
      <w:pPr>
        <w:pStyle w:val="Paragraphedeliste"/>
        <w:numPr>
          <w:ilvl w:val="0"/>
          <w:numId w:val="45"/>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lastRenderedPageBreak/>
        <w:t xml:space="preserve">Au niveau CSPS  </w:t>
      </w:r>
    </w:p>
    <w:p w:rsidR="001938ED" w:rsidRPr="00B05E55" w:rsidRDefault="001938ED" w:rsidP="003046BF">
      <w:pPr>
        <w:pStyle w:val="Paragraphedeliste"/>
        <w:numPr>
          <w:ilvl w:val="0"/>
          <w:numId w:val="50"/>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Améliorer la gestion des stocks de vaccins et consommables  </w:t>
      </w:r>
    </w:p>
    <w:p w:rsidR="001938ED" w:rsidRPr="00B05E55" w:rsidRDefault="001938ED" w:rsidP="003046BF">
      <w:pPr>
        <w:pStyle w:val="Paragraphedeliste"/>
        <w:numPr>
          <w:ilvl w:val="0"/>
          <w:numId w:val="50"/>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Rattraper tout enfant non vacciné venu en consultation au CSPS  </w:t>
      </w:r>
    </w:p>
    <w:p w:rsidR="001938ED" w:rsidRPr="00B05E55" w:rsidRDefault="001938ED" w:rsidP="003046BF">
      <w:pPr>
        <w:pStyle w:val="Paragraphedeliste"/>
        <w:numPr>
          <w:ilvl w:val="0"/>
          <w:numId w:val="50"/>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Impliquer la communauté dans l’élaboration et la mise en œuvre des programmes de vaccination  </w:t>
      </w:r>
    </w:p>
    <w:p w:rsidR="001938ED" w:rsidRPr="00B05E55" w:rsidRDefault="001938ED" w:rsidP="003046BF">
      <w:pPr>
        <w:pStyle w:val="Paragraphedeliste"/>
        <w:numPr>
          <w:ilvl w:val="0"/>
          <w:numId w:val="50"/>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Respecter les programmes de sorties de vaccination établis </w:t>
      </w:r>
    </w:p>
    <w:p w:rsidR="001938ED" w:rsidRPr="00B05E55" w:rsidRDefault="001938ED" w:rsidP="003046BF">
      <w:pPr>
        <w:pStyle w:val="Paragraphedeliste"/>
        <w:numPr>
          <w:ilvl w:val="0"/>
          <w:numId w:val="50"/>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Intensifier les activités de vaccination en stratégie avancée  </w:t>
      </w:r>
    </w:p>
    <w:p w:rsidR="001938ED" w:rsidRPr="00B05E55" w:rsidRDefault="001938ED" w:rsidP="003046BF">
      <w:pPr>
        <w:pStyle w:val="Paragraphedeliste"/>
        <w:numPr>
          <w:ilvl w:val="0"/>
          <w:numId w:val="50"/>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Améliorer le remplissage des carnets de vaccination  </w:t>
      </w:r>
    </w:p>
    <w:p w:rsidR="00B05E55" w:rsidRPr="007433B9" w:rsidRDefault="001938ED" w:rsidP="003046BF">
      <w:pPr>
        <w:pStyle w:val="Paragraphedeliste"/>
        <w:numPr>
          <w:ilvl w:val="0"/>
          <w:numId w:val="43"/>
        </w:numPr>
        <w:tabs>
          <w:tab w:val="left" w:pos="1753"/>
        </w:tabs>
        <w:spacing w:before="120" w:after="120"/>
        <w:ind w:right="503"/>
        <w:jc w:val="both"/>
        <w:divId w:val="410156154"/>
        <w:rPr>
          <w:rFonts w:ascii="Times New Roman" w:hAnsi="Times New Roman"/>
          <w:sz w:val="24"/>
          <w:lang w:val="fr-FR"/>
        </w:rPr>
      </w:pPr>
      <w:r w:rsidRPr="007433B9">
        <w:rPr>
          <w:rFonts w:ascii="Times New Roman" w:hAnsi="Times New Roman"/>
          <w:sz w:val="24"/>
          <w:lang w:val="fr-FR"/>
        </w:rPr>
        <w:t>Poursuivre la vaccination antitétanique des mères après l’accouchement</w:t>
      </w:r>
    </w:p>
    <w:p w:rsidR="008200BE" w:rsidRPr="008200BE" w:rsidRDefault="008200BE" w:rsidP="008200BE">
      <w:pPr>
        <w:pStyle w:val="Paragraphedeliste"/>
        <w:tabs>
          <w:tab w:val="left" w:pos="1753"/>
        </w:tabs>
        <w:spacing w:before="120" w:after="120" w:line="240" w:lineRule="auto"/>
        <w:ind w:left="960" w:right="263"/>
        <w:jc w:val="both"/>
        <w:divId w:val="410156154"/>
        <w:rPr>
          <w:rFonts w:ascii="Times New Roman" w:hAnsi="Times New Roman"/>
          <w:sz w:val="24"/>
          <w:szCs w:val="24"/>
          <w:lang w:val="fr-FR"/>
        </w:rPr>
      </w:pPr>
    </w:p>
    <w:p w:rsidR="001938ED" w:rsidRPr="007433B9" w:rsidRDefault="001938ED" w:rsidP="003046BF">
      <w:pPr>
        <w:pStyle w:val="Paragraphedeliste"/>
        <w:numPr>
          <w:ilvl w:val="0"/>
          <w:numId w:val="65"/>
        </w:numPr>
        <w:tabs>
          <w:tab w:val="left" w:pos="1753"/>
        </w:tabs>
        <w:spacing w:before="120" w:after="120"/>
        <w:ind w:right="263"/>
        <w:jc w:val="both"/>
        <w:divId w:val="410156154"/>
        <w:rPr>
          <w:b/>
          <w:lang w:val="fr-FR"/>
        </w:rPr>
      </w:pPr>
      <w:r w:rsidRPr="007433B9">
        <w:rPr>
          <w:b/>
          <w:lang w:val="fr-FR"/>
        </w:rPr>
        <w:t xml:space="preserve">GESTION DU PROGRAMME  </w:t>
      </w:r>
    </w:p>
    <w:p w:rsidR="001938ED" w:rsidRPr="00B05E55" w:rsidRDefault="001938ED" w:rsidP="003046BF">
      <w:pPr>
        <w:pStyle w:val="Paragraphedeliste"/>
        <w:numPr>
          <w:ilvl w:val="0"/>
          <w:numId w:val="45"/>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Au niveau central  </w:t>
      </w:r>
    </w:p>
    <w:p w:rsidR="001938ED" w:rsidRPr="00B05E55" w:rsidRDefault="001938ED" w:rsidP="003046BF">
      <w:pPr>
        <w:pStyle w:val="Paragraphedeliste"/>
        <w:numPr>
          <w:ilvl w:val="0"/>
          <w:numId w:val="51"/>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Renforcer les supervisons des agents responsables du PEV au niveau région  </w:t>
      </w:r>
    </w:p>
    <w:p w:rsidR="001938ED" w:rsidRPr="00771B2E" w:rsidRDefault="00771B2E" w:rsidP="003046BF">
      <w:pPr>
        <w:pStyle w:val="Paragraphedeliste"/>
        <w:numPr>
          <w:ilvl w:val="0"/>
          <w:numId w:val="43"/>
        </w:numPr>
        <w:tabs>
          <w:tab w:val="left" w:pos="1753"/>
        </w:tabs>
        <w:spacing w:before="120" w:after="120"/>
        <w:ind w:right="623"/>
        <w:jc w:val="both"/>
        <w:divId w:val="410156154"/>
        <w:rPr>
          <w:rFonts w:ascii="Times New Roman" w:hAnsi="Times New Roman"/>
          <w:sz w:val="24"/>
          <w:lang w:val="fr-FR"/>
        </w:rPr>
      </w:pPr>
      <w:r w:rsidRPr="00771B2E">
        <w:rPr>
          <w:rFonts w:ascii="Times New Roman" w:hAnsi="Times New Roman"/>
          <w:sz w:val="24"/>
          <w:lang w:val="fr-FR"/>
        </w:rPr>
        <w:t xml:space="preserve">Equiper les services du sous-secteur privé qui réalisent les vaccinations en matériel chaîne de froid   </w:t>
      </w:r>
    </w:p>
    <w:p w:rsidR="001938ED" w:rsidRPr="00771B2E" w:rsidRDefault="001938ED" w:rsidP="003046BF">
      <w:pPr>
        <w:pStyle w:val="Paragraphedeliste"/>
        <w:numPr>
          <w:ilvl w:val="0"/>
          <w:numId w:val="43"/>
        </w:numPr>
        <w:tabs>
          <w:tab w:val="left" w:pos="1753"/>
        </w:tabs>
        <w:spacing w:before="120" w:after="120"/>
        <w:ind w:right="503"/>
        <w:jc w:val="both"/>
        <w:divId w:val="410156154"/>
        <w:rPr>
          <w:rFonts w:ascii="Times New Roman" w:hAnsi="Times New Roman"/>
          <w:sz w:val="24"/>
          <w:lang w:val="fr-FR"/>
        </w:rPr>
      </w:pPr>
      <w:r w:rsidRPr="00771B2E">
        <w:rPr>
          <w:rFonts w:ascii="Times New Roman" w:hAnsi="Times New Roman"/>
          <w:sz w:val="24"/>
          <w:lang w:val="fr-FR"/>
        </w:rPr>
        <w:t xml:space="preserve">Mener des activités de recherches dans le domaine de la vaccination </w:t>
      </w:r>
    </w:p>
    <w:p w:rsidR="008200BE" w:rsidRPr="00ED28DD" w:rsidRDefault="008200BE" w:rsidP="008200BE">
      <w:pPr>
        <w:pStyle w:val="Paragraphedeliste"/>
        <w:tabs>
          <w:tab w:val="left" w:pos="1753"/>
        </w:tabs>
        <w:spacing w:before="120" w:after="120" w:line="240" w:lineRule="auto"/>
        <w:ind w:left="840" w:right="263"/>
        <w:jc w:val="both"/>
        <w:divId w:val="410156154"/>
        <w:rPr>
          <w:rFonts w:ascii="Times New Roman" w:hAnsi="Times New Roman"/>
          <w:sz w:val="2"/>
          <w:szCs w:val="24"/>
          <w:lang w:val="fr-FR"/>
        </w:rPr>
      </w:pPr>
    </w:p>
    <w:p w:rsidR="001938ED" w:rsidRPr="00B05E55" w:rsidRDefault="001938ED" w:rsidP="003046BF">
      <w:pPr>
        <w:pStyle w:val="Paragraphedeliste"/>
        <w:numPr>
          <w:ilvl w:val="0"/>
          <w:numId w:val="45"/>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Au niveau régional  </w:t>
      </w:r>
    </w:p>
    <w:p w:rsidR="0049614D" w:rsidRDefault="0049614D" w:rsidP="003046BF">
      <w:pPr>
        <w:pStyle w:val="Paragraphedeliste"/>
        <w:numPr>
          <w:ilvl w:val="0"/>
          <w:numId w:val="52"/>
        </w:numPr>
        <w:tabs>
          <w:tab w:val="left" w:pos="1753"/>
        </w:tabs>
        <w:spacing w:before="120" w:after="120" w:line="240" w:lineRule="auto"/>
        <w:ind w:right="263"/>
        <w:jc w:val="both"/>
        <w:divId w:val="410156154"/>
        <w:rPr>
          <w:rFonts w:ascii="Times New Roman" w:hAnsi="Times New Roman"/>
          <w:sz w:val="24"/>
          <w:szCs w:val="24"/>
          <w:lang w:val="fr-FR"/>
        </w:rPr>
      </w:pPr>
      <w:r>
        <w:rPr>
          <w:rFonts w:ascii="Times New Roman" w:hAnsi="Times New Roman"/>
          <w:sz w:val="24"/>
          <w:szCs w:val="24"/>
          <w:lang w:val="fr-FR"/>
        </w:rPr>
        <w:t>Tenir des cadres de concertation entre équipes DRS et district sur la gestion du programme,</w:t>
      </w:r>
    </w:p>
    <w:p w:rsidR="001938ED" w:rsidRPr="00B05E55" w:rsidRDefault="001938ED" w:rsidP="003046BF">
      <w:pPr>
        <w:pStyle w:val="Paragraphedeliste"/>
        <w:numPr>
          <w:ilvl w:val="0"/>
          <w:numId w:val="52"/>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Impliquer les autorités</w:t>
      </w:r>
      <w:r w:rsidR="0049614D">
        <w:rPr>
          <w:rFonts w:ascii="Times New Roman" w:hAnsi="Times New Roman"/>
          <w:sz w:val="24"/>
          <w:szCs w:val="24"/>
          <w:lang w:val="fr-FR"/>
        </w:rPr>
        <w:t xml:space="preserve"> politiques, administratives,</w:t>
      </w:r>
      <w:r w:rsidRPr="00B05E55">
        <w:rPr>
          <w:rFonts w:ascii="Times New Roman" w:hAnsi="Times New Roman"/>
          <w:sz w:val="24"/>
          <w:szCs w:val="24"/>
          <w:lang w:val="fr-FR"/>
        </w:rPr>
        <w:t xml:space="preserve"> c</w:t>
      </w:r>
      <w:r w:rsidR="009960BF" w:rsidRPr="00B05E55">
        <w:rPr>
          <w:rFonts w:ascii="Times New Roman" w:hAnsi="Times New Roman"/>
          <w:sz w:val="24"/>
          <w:szCs w:val="24"/>
          <w:lang w:val="fr-FR"/>
        </w:rPr>
        <w:t>ommunales</w:t>
      </w:r>
      <w:r w:rsidR="0049614D">
        <w:rPr>
          <w:rFonts w:ascii="Times New Roman" w:hAnsi="Times New Roman"/>
          <w:sz w:val="24"/>
          <w:szCs w:val="24"/>
          <w:lang w:val="fr-FR"/>
        </w:rPr>
        <w:t xml:space="preserve"> et partenaires locaux </w:t>
      </w:r>
      <w:r w:rsidR="009960BF" w:rsidRPr="00B05E55">
        <w:rPr>
          <w:rFonts w:ascii="Times New Roman" w:hAnsi="Times New Roman"/>
          <w:sz w:val="24"/>
          <w:szCs w:val="24"/>
          <w:lang w:val="fr-FR"/>
        </w:rPr>
        <w:t xml:space="preserve"> dans la mise en œuvre </w:t>
      </w:r>
      <w:r w:rsidRPr="00B05E55">
        <w:rPr>
          <w:rFonts w:ascii="Times New Roman" w:hAnsi="Times New Roman"/>
          <w:sz w:val="24"/>
          <w:szCs w:val="24"/>
          <w:lang w:val="fr-FR"/>
        </w:rPr>
        <w:t>de</w:t>
      </w:r>
      <w:r w:rsidR="007433B9">
        <w:rPr>
          <w:rFonts w:ascii="Times New Roman" w:hAnsi="Times New Roman"/>
          <w:sz w:val="24"/>
          <w:szCs w:val="24"/>
          <w:lang w:val="fr-FR"/>
        </w:rPr>
        <w:t>s activités de vaccination de routine</w:t>
      </w:r>
    </w:p>
    <w:p w:rsidR="001938ED" w:rsidRDefault="001938ED" w:rsidP="003046BF">
      <w:pPr>
        <w:pStyle w:val="Paragraphedeliste"/>
        <w:numPr>
          <w:ilvl w:val="0"/>
          <w:numId w:val="52"/>
        </w:numPr>
        <w:tabs>
          <w:tab w:val="left" w:pos="1753"/>
        </w:tabs>
        <w:spacing w:before="120" w:after="120" w:line="240" w:lineRule="auto"/>
        <w:ind w:left="840" w:right="263"/>
        <w:jc w:val="both"/>
        <w:divId w:val="410156154"/>
        <w:rPr>
          <w:rFonts w:ascii="Times New Roman" w:hAnsi="Times New Roman"/>
          <w:sz w:val="24"/>
          <w:szCs w:val="24"/>
          <w:lang w:val="fr-FR"/>
        </w:rPr>
      </w:pPr>
      <w:r w:rsidRPr="00B05E55">
        <w:rPr>
          <w:rFonts w:ascii="Times New Roman" w:hAnsi="Times New Roman"/>
          <w:sz w:val="24"/>
          <w:szCs w:val="24"/>
          <w:lang w:val="fr-FR"/>
        </w:rPr>
        <w:t>M</w:t>
      </w:r>
      <w:r w:rsidR="0049614D">
        <w:rPr>
          <w:rFonts w:ascii="Times New Roman" w:hAnsi="Times New Roman"/>
          <w:sz w:val="24"/>
          <w:szCs w:val="24"/>
          <w:lang w:val="fr-FR"/>
        </w:rPr>
        <w:t>ener des activités de recherche</w:t>
      </w:r>
      <w:r w:rsidRPr="00B05E55">
        <w:rPr>
          <w:rFonts w:ascii="Times New Roman" w:hAnsi="Times New Roman"/>
          <w:sz w:val="24"/>
          <w:szCs w:val="24"/>
          <w:lang w:val="fr-FR"/>
        </w:rPr>
        <w:t xml:space="preserve"> dans le domaine de la vaccination </w:t>
      </w:r>
    </w:p>
    <w:p w:rsidR="008200BE" w:rsidRPr="00ED28DD" w:rsidRDefault="008200BE" w:rsidP="008200BE">
      <w:pPr>
        <w:pStyle w:val="Paragraphedeliste"/>
        <w:tabs>
          <w:tab w:val="left" w:pos="1753"/>
        </w:tabs>
        <w:spacing w:before="120" w:after="120" w:line="240" w:lineRule="auto"/>
        <w:ind w:left="840" w:right="263"/>
        <w:jc w:val="both"/>
        <w:divId w:val="410156154"/>
        <w:rPr>
          <w:rFonts w:ascii="Times New Roman" w:hAnsi="Times New Roman"/>
          <w:sz w:val="2"/>
          <w:szCs w:val="24"/>
          <w:lang w:val="fr-FR"/>
        </w:rPr>
      </w:pPr>
    </w:p>
    <w:p w:rsidR="001938ED" w:rsidRPr="00B05E55" w:rsidRDefault="001938ED" w:rsidP="003046BF">
      <w:pPr>
        <w:pStyle w:val="Paragraphedeliste"/>
        <w:numPr>
          <w:ilvl w:val="0"/>
          <w:numId w:val="45"/>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Au niveau district   </w:t>
      </w:r>
    </w:p>
    <w:p w:rsidR="007433B9" w:rsidRDefault="0049614D" w:rsidP="003046BF">
      <w:pPr>
        <w:pStyle w:val="Paragraphedeliste"/>
        <w:numPr>
          <w:ilvl w:val="0"/>
          <w:numId w:val="53"/>
        </w:numPr>
        <w:tabs>
          <w:tab w:val="left" w:pos="1753"/>
        </w:tabs>
        <w:spacing w:before="120" w:after="120" w:line="240" w:lineRule="auto"/>
        <w:ind w:right="263"/>
        <w:jc w:val="both"/>
        <w:divId w:val="410156154"/>
        <w:rPr>
          <w:rFonts w:ascii="Times New Roman" w:hAnsi="Times New Roman"/>
          <w:sz w:val="24"/>
          <w:szCs w:val="24"/>
          <w:lang w:val="fr-FR"/>
        </w:rPr>
      </w:pPr>
      <w:r>
        <w:rPr>
          <w:rFonts w:ascii="Times New Roman" w:hAnsi="Times New Roman"/>
          <w:sz w:val="24"/>
          <w:szCs w:val="24"/>
          <w:lang w:val="fr-FR"/>
        </w:rPr>
        <w:t xml:space="preserve">Assurer </w:t>
      </w:r>
      <w:r w:rsidR="001938ED" w:rsidRPr="00B05E55">
        <w:rPr>
          <w:rFonts w:ascii="Times New Roman" w:hAnsi="Times New Roman"/>
          <w:sz w:val="24"/>
          <w:szCs w:val="24"/>
          <w:lang w:val="fr-FR"/>
        </w:rPr>
        <w:t xml:space="preserve">la disponibilité des vaccins, des consommables </w:t>
      </w:r>
      <w:r w:rsidR="009960BF" w:rsidRPr="00B05E55">
        <w:rPr>
          <w:rFonts w:ascii="Times New Roman" w:hAnsi="Times New Roman"/>
          <w:sz w:val="24"/>
          <w:szCs w:val="24"/>
          <w:lang w:val="fr-FR"/>
        </w:rPr>
        <w:t xml:space="preserve">et des supports dans les CSPS  </w:t>
      </w:r>
    </w:p>
    <w:p w:rsidR="001938ED" w:rsidRPr="00B05E55" w:rsidRDefault="001938ED" w:rsidP="003046BF">
      <w:pPr>
        <w:pStyle w:val="Paragraphedeliste"/>
        <w:numPr>
          <w:ilvl w:val="0"/>
          <w:numId w:val="53"/>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Impliquer les autori</w:t>
      </w:r>
      <w:r w:rsidR="0049614D">
        <w:rPr>
          <w:rFonts w:ascii="Times New Roman" w:hAnsi="Times New Roman"/>
          <w:sz w:val="24"/>
          <w:szCs w:val="24"/>
          <w:lang w:val="fr-FR"/>
        </w:rPr>
        <w:t xml:space="preserve">tés politiques, administratives, </w:t>
      </w:r>
      <w:r w:rsidRPr="00B05E55">
        <w:rPr>
          <w:rFonts w:ascii="Times New Roman" w:hAnsi="Times New Roman"/>
          <w:sz w:val="24"/>
          <w:szCs w:val="24"/>
          <w:lang w:val="fr-FR"/>
        </w:rPr>
        <w:t xml:space="preserve">communales </w:t>
      </w:r>
      <w:r w:rsidR="0049614D">
        <w:rPr>
          <w:rFonts w:ascii="Times New Roman" w:hAnsi="Times New Roman"/>
          <w:sz w:val="24"/>
          <w:szCs w:val="24"/>
          <w:lang w:val="fr-FR"/>
        </w:rPr>
        <w:t xml:space="preserve">et partenaires locaux </w:t>
      </w:r>
      <w:r w:rsidRPr="00B05E55">
        <w:rPr>
          <w:rFonts w:ascii="Times New Roman" w:hAnsi="Times New Roman"/>
          <w:sz w:val="24"/>
          <w:szCs w:val="24"/>
          <w:lang w:val="fr-FR"/>
        </w:rPr>
        <w:t>dans la mi</w:t>
      </w:r>
      <w:r w:rsidR="007433B9">
        <w:rPr>
          <w:rFonts w:ascii="Times New Roman" w:hAnsi="Times New Roman"/>
          <w:sz w:val="24"/>
          <w:szCs w:val="24"/>
          <w:lang w:val="fr-FR"/>
        </w:rPr>
        <w:t>se en œuvre des activités de vaccination</w:t>
      </w:r>
      <w:r w:rsidRPr="00B05E55">
        <w:rPr>
          <w:rFonts w:ascii="Times New Roman" w:hAnsi="Times New Roman"/>
          <w:sz w:val="24"/>
          <w:szCs w:val="24"/>
          <w:lang w:val="fr-FR"/>
        </w:rPr>
        <w:t xml:space="preserve"> de routine  </w:t>
      </w:r>
    </w:p>
    <w:p w:rsidR="001938ED" w:rsidRPr="00B05E55" w:rsidRDefault="0049614D" w:rsidP="003046BF">
      <w:pPr>
        <w:pStyle w:val="Paragraphedeliste"/>
        <w:numPr>
          <w:ilvl w:val="0"/>
          <w:numId w:val="53"/>
        </w:numPr>
        <w:tabs>
          <w:tab w:val="left" w:pos="1753"/>
        </w:tabs>
        <w:spacing w:before="120" w:after="120" w:line="240" w:lineRule="auto"/>
        <w:ind w:right="263"/>
        <w:jc w:val="both"/>
        <w:divId w:val="410156154"/>
        <w:rPr>
          <w:rFonts w:ascii="Times New Roman" w:hAnsi="Times New Roman"/>
          <w:sz w:val="24"/>
          <w:szCs w:val="24"/>
          <w:lang w:val="fr-FR"/>
        </w:rPr>
      </w:pPr>
      <w:r>
        <w:rPr>
          <w:rFonts w:ascii="Times New Roman" w:hAnsi="Times New Roman"/>
          <w:sz w:val="24"/>
          <w:szCs w:val="24"/>
          <w:lang w:val="fr-FR"/>
        </w:rPr>
        <w:t>Doter</w:t>
      </w:r>
      <w:r w:rsidR="001938ED" w:rsidRPr="00B05E55">
        <w:rPr>
          <w:rFonts w:ascii="Times New Roman" w:hAnsi="Times New Roman"/>
          <w:sz w:val="24"/>
          <w:szCs w:val="24"/>
          <w:lang w:val="fr-FR"/>
        </w:rPr>
        <w:t xml:space="preserve"> les services du sous-secteur privé qui réalisent les vaccinations en vaccins et consommables  </w:t>
      </w:r>
    </w:p>
    <w:p w:rsidR="001938ED" w:rsidRDefault="001938ED" w:rsidP="003046BF">
      <w:pPr>
        <w:pStyle w:val="Paragraphedeliste"/>
        <w:numPr>
          <w:ilvl w:val="0"/>
          <w:numId w:val="53"/>
        </w:numPr>
        <w:tabs>
          <w:tab w:val="left" w:pos="1753"/>
        </w:tabs>
        <w:spacing w:before="120" w:after="120" w:line="240" w:lineRule="auto"/>
        <w:ind w:left="840" w:right="263"/>
        <w:jc w:val="both"/>
        <w:divId w:val="410156154"/>
        <w:rPr>
          <w:rFonts w:ascii="Times New Roman" w:hAnsi="Times New Roman"/>
          <w:sz w:val="24"/>
          <w:szCs w:val="24"/>
          <w:lang w:val="fr-FR"/>
        </w:rPr>
      </w:pPr>
      <w:r w:rsidRPr="00B05E55">
        <w:rPr>
          <w:rFonts w:ascii="Times New Roman" w:hAnsi="Times New Roman"/>
          <w:sz w:val="24"/>
          <w:szCs w:val="24"/>
          <w:lang w:val="fr-FR"/>
        </w:rPr>
        <w:t>M</w:t>
      </w:r>
      <w:r w:rsidR="007433B9">
        <w:rPr>
          <w:rFonts w:ascii="Times New Roman" w:hAnsi="Times New Roman"/>
          <w:sz w:val="24"/>
          <w:szCs w:val="24"/>
          <w:lang w:val="fr-FR"/>
        </w:rPr>
        <w:t>ener des activités de recherche</w:t>
      </w:r>
      <w:r w:rsidRPr="00B05E55">
        <w:rPr>
          <w:rFonts w:ascii="Times New Roman" w:hAnsi="Times New Roman"/>
          <w:sz w:val="24"/>
          <w:szCs w:val="24"/>
          <w:lang w:val="fr-FR"/>
        </w:rPr>
        <w:t xml:space="preserve"> dans le domaine de la vaccination </w:t>
      </w:r>
    </w:p>
    <w:p w:rsidR="008200BE" w:rsidRPr="00ED28DD" w:rsidRDefault="008200BE" w:rsidP="008200BE">
      <w:pPr>
        <w:pStyle w:val="Paragraphedeliste"/>
        <w:tabs>
          <w:tab w:val="left" w:pos="1753"/>
        </w:tabs>
        <w:spacing w:before="120" w:after="120" w:line="240" w:lineRule="auto"/>
        <w:ind w:left="840" w:right="263"/>
        <w:jc w:val="both"/>
        <w:divId w:val="410156154"/>
        <w:rPr>
          <w:rFonts w:ascii="Times New Roman" w:hAnsi="Times New Roman"/>
          <w:sz w:val="2"/>
          <w:szCs w:val="24"/>
          <w:lang w:val="fr-FR"/>
        </w:rPr>
      </w:pPr>
    </w:p>
    <w:p w:rsidR="001938ED" w:rsidRPr="00B05E55" w:rsidRDefault="001938ED" w:rsidP="003046BF">
      <w:pPr>
        <w:pStyle w:val="Paragraphedeliste"/>
        <w:numPr>
          <w:ilvl w:val="0"/>
          <w:numId w:val="45"/>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Au niveau CSPS  </w:t>
      </w:r>
    </w:p>
    <w:p w:rsidR="001938ED" w:rsidRPr="00B05E55" w:rsidRDefault="001938ED" w:rsidP="003046BF">
      <w:pPr>
        <w:pStyle w:val="Paragraphedeliste"/>
        <w:numPr>
          <w:ilvl w:val="0"/>
          <w:numId w:val="54"/>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Mener quotidiennement les activités de vaccination dans les CSPS  </w:t>
      </w:r>
    </w:p>
    <w:p w:rsidR="001938ED" w:rsidRPr="00B05E55" w:rsidRDefault="001938ED" w:rsidP="003046BF">
      <w:pPr>
        <w:pStyle w:val="Paragraphedeliste"/>
        <w:numPr>
          <w:ilvl w:val="0"/>
          <w:numId w:val="54"/>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Impliquer fortement la communauté dans la gestion des activités de vaccination  </w:t>
      </w:r>
    </w:p>
    <w:p w:rsidR="001938ED" w:rsidRPr="00B05E55" w:rsidRDefault="001938ED" w:rsidP="003046BF">
      <w:pPr>
        <w:pStyle w:val="Paragraphedeliste"/>
        <w:numPr>
          <w:ilvl w:val="0"/>
          <w:numId w:val="54"/>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Assurer le remplissage correct des supports des données du PEV  </w:t>
      </w:r>
    </w:p>
    <w:p w:rsidR="001938ED" w:rsidRPr="00B05E55" w:rsidRDefault="0049614D" w:rsidP="003046BF">
      <w:pPr>
        <w:pStyle w:val="Paragraphedeliste"/>
        <w:numPr>
          <w:ilvl w:val="0"/>
          <w:numId w:val="54"/>
        </w:numPr>
        <w:tabs>
          <w:tab w:val="left" w:pos="1753"/>
        </w:tabs>
        <w:spacing w:before="120" w:after="120" w:line="240" w:lineRule="auto"/>
        <w:ind w:right="263"/>
        <w:jc w:val="both"/>
        <w:divId w:val="410156154"/>
        <w:rPr>
          <w:rFonts w:ascii="Times New Roman" w:hAnsi="Times New Roman"/>
          <w:sz w:val="24"/>
          <w:szCs w:val="24"/>
          <w:lang w:val="fr-FR"/>
        </w:rPr>
      </w:pPr>
      <w:r>
        <w:rPr>
          <w:rFonts w:ascii="Times New Roman" w:hAnsi="Times New Roman"/>
          <w:sz w:val="24"/>
          <w:szCs w:val="24"/>
          <w:lang w:val="fr-FR"/>
        </w:rPr>
        <w:t xml:space="preserve">Assurer la </w:t>
      </w:r>
      <w:r w:rsidR="001938ED" w:rsidRPr="00B05E55">
        <w:rPr>
          <w:rFonts w:ascii="Times New Roman" w:hAnsi="Times New Roman"/>
          <w:sz w:val="24"/>
          <w:szCs w:val="24"/>
          <w:lang w:val="fr-FR"/>
        </w:rPr>
        <w:t xml:space="preserve">disponibles les vaccins, les consommables et les supports dans les CSPS   </w:t>
      </w:r>
    </w:p>
    <w:p w:rsidR="001938ED" w:rsidRPr="00ED28DD" w:rsidRDefault="001938ED" w:rsidP="00B563C2">
      <w:pPr>
        <w:tabs>
          <w:tab w:val="left" w:pos="1753"/>
        </w:tabs>
        <w:ind w:right="143"/>
        <w:jc w:val="both"/>
        <w:divId w:val="410156154"/>
        <w:rPr>
          <w:sz w:val="2"/>
          <w:lang w:val="fr-FR"/>
        </w:rPr>
      </w:pPr>
    </w:p>
    <w:p w:rsidR="001938ED" w:rsidRPr="00B01F41" w:rsidRDefault="001938ED" w:rsidP="003046BF">
      <w:pPr>
        <w:pStyle w:val="Paragraphedeliste"/>
        <w:numPr>
          <w:ilvl w:val="0"/>
          <w:numId w:val="65"/>
        </w:numPr>
        <w:tabs>
          <w:tab w:val="left" w:pos="1753"/>
        </w:tabs>
        <w:spacing w:before="120" w:after="120"/>
        <w:ind w:right="263"/>
        <w:jc w:val="both"/>
        <w:divId w:val="410156154"/>
        <w:rPr>
          <w:b/>
          <w:lang w:val="fr-FR"/>
        </w:rPr>
      </w:pPr>
      <w:r w:rsidRPr="00B01F41">
        <w:rPr>
          <w:b/>
          <w:lang w:val="fr-FR"/>
        </w:rPr>
        <w:t xml:space="preserve">FINANCEMENT DU PROGRAMME </w:t>
      </w:r>
    </w:p>
    <w:p w:rsidR="001938ED" w:rsidRPr="00B05E55" w:rsidRDefault="001938ED" w:rsidP="003046BF">
      <w:pPr>
        <w:pStyle w:val="Paragraphedeliste"/>
        <w:numPr>
          <w:ilvl w:val="0"/>
          <w:numId w:val="45"/>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Au niveau central  </w:t>
      </w:r>
    </w:p>
    <w:p w:rsidR="001938ED" w:rsidRPr="00B05E55" w:rsidRDefault="001938ED" w:rsidP="003046BF">
      <w:pPr>
        <w:pStyle w:val="Paragraphedeliste"/>
        <w:numPr>
          <w:ilvl w:val="0"/>
          <w:numId w:val="55"/>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Accroître l</w:t>
      </w:r>
      <w:r w:rsidR="00B01F41">
        <w:rPr>
          <w:rFonts w:ascii="Times New Roman" w:hAnsi="Times New Roman"/>
          <w:sz w:val="24"/>
          <w:szCs w:val="24"/>
          <w:lang w:val="fr-FR"/>
        </w:rPr>
        <w:t>e financement du PEV</w:t>
      </w:r>
    </w:p>
    <w:p w:rsidR="001938ED" w:rsidRPr="00B05E55" w:rsidRDefault="001938ED" w:rsidP="003046BF">
      <w:pPr>
        <w:pStyle w:val="Paragraphedeliste"/>
        <w:numPr>
          <w:ilvl w:val="0"/>
          <w:numId w:val="55"/>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Elaborer un nouveau plan de viabilité financière pour le PEV;  </w:t>
      </w:r>
    </w:p>
    <w:p w:rsidR="001938ED" w:rsidRPr="00ED28DD" w:rsidRDefault="001938ED" w:rsidP="00B563C2">
      <w:pPr>
        <w:tabs>
          <w:tab w:val="left" w:pos="1753"/>
        </w:tabs>
        <w:ind w:right="143"/>
        <w:jc w:val="both"/>
        <w:divId w:val="410156154"/>
        <w:rPr>
          <w:sz w:val="2"/>
          <w:lang w:val="fr-FR"/>
        </w:rPr>
      </w:pPr>
    </w:p>
    <w:p w:rsidR="001938ED" w:rsidRPr="00B05E55" w:rsidRDefault="001938ED" w:rsidP="003046BF">
      <w:pPr>
        <w:pStyle w:val="Paragraphedeliste"/>
        <w:numPr>
          <w:ilvl w:val="0"/>
          <w:numId w:val="45"/>
        </w:numPr>
        <w:tabs>
          <w:tab w:val="left" w:pos="1753"/>
        </w:tabs>
        <w:spacing w:after="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Au niveau régional  </w:t>
      </w:r>
    </w:p>
    <w:p w:rsidR="001938ED" w:rsidRPr="00B05E55" w:rsidRDefault="001938ED" w:rsidP="003046BF">
      <w:pPr>
        <w:pStyle w:val="Paragraphedeliste"/>
        <w:numPr>
          <w:ilvl w:val="0"/>
          <w:numId w:val="56"/>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Rechercher des financements innovants au niveau intermédiaire pour le PEV  </w:t>
      </w:r>
    </w:p>
    <w:p w:rsidR="001938ED" w:rsidRDefault="007174A0" w:rsidP="003046BF">
      <w:pPr>
        <w:pStyle w:val="Paragraphedeliste"/>
        <w:numPr>
          <w:ilvl w:val="0"/>
          <w:numId w:val="56"/>
        </w:numPr>
        <w:tabs>
          <w:tab w:val="left" w:pos="1753"/>
        </w:tabs>
        <w:spacing w:after="0" w:line="240" w:lineRule="auto"/>
        <w:ind w:left="840" w:right="263"/>
        <w:jc w:val="both"/>
        <w:divId w:val="410156154"/>
        <w:rPr>
          <w:rFonts w:ascii="Times New Roman" w:hAnsi="Times New Roman"/>
          <w:sz w:val="24"/>
          <w:szCs w:val="24"/>
          <w:lang w:val="fr-FR"/>
        </w:rPr>
      </w:pPr>
      <w:r>
        <w:rPr>
          <w:rFonts w:ascii="Times New Roman" w:hAnsi="Times New Roman"/>
          <w:sz w:val="24"/>
          <w:szCs w:val="24"/>
          <w:lang w:val="fr-FR"/>
        </w:rPr>
        <w:t>Faire un plaidoyer pour l’a</w:t>
      </w:r>
      <w:r w:rsidRPr="00B05E55">
        <w:rPr>
          <w:rFonts w:ascii="Times New Roman" w:hAnsi="Times New Roman"/>
          <w:sz w:val="24"/>
          <w:szCs w:val="24"/>
          <w:lang w:val="fr-FR"/>
        </w:rPr>
        <w:t>ccroi</w:t>
      </w:r>
      <w:r>
        <w:rPr>
          <w:rFonts w:ascii="Times New Roman" w:hAnsi="Times New Roman"/>
          <w:sz w:val="24"/>
          <w:szCs w:val="24"/>
          <w:lang w:val="fr-FR"/>
        </w:rPr>
        <w:t>ssement</w:t>
      </w:r>
      <w:r w:rsidR="001938ED" w:rsidRPr="00B05E55">
        <w:rPr>
          <w:rFonts w:ascii="Times New Roman" w:hAnsi="Times New Roman"/>
          <w:sz w:val="24"/>
          <w:szCs w:val="24"/>
          <w:lang w:val="fr-FR"/>
        </w:rPr>
        <w:t xml:space="preserve"> du budget </w:t>
      </w:r>
      <w:r>
        <w:rPr>
          <w:rFonts w:ascii="Times New Roman" w:hAnsi="Times New Roman"/>
          <w:sz w:val="24"/>
          <w:szCs w:val="24"/>
          <w:lang w:val="fr-FR"/>
        </w:rPr>
        <w:t>alloué</w:t>
      </w:r>
      <w:r w:rsidR="001938ED" w:rsidRPr="00B05E55">
        <w:rPr>
          <w:rFonts w:ascii="Times New Roman" w:hAnsi="Times New Roman"/>
          <w:sz w:val="24"/>
          <w:szCs w:val="24"/>
          <w:lang w:val="fr-FR"/>
        </w:rPr>
        <w:t xml:space="preserve"> au volet maintenance et mobilisation sociale</w:t>
      </w:r>
      <w:r w:rsidRPr="00B05E55">
        <w:rPr>
          <w:rFonts w:ascii="Times New Roman" w:hAnsi="Times New Roman"/>
          <w:sz w:val="24"/>
          <w:szCs w:val="24"/>
          <w:lang w:val="fr-FR"/>
        </w:rPr>
        <w:t>des plans d’action</w:t>
      </w:r>
    </w:p>
    <w:p w:rsidR="008200BE" w:rsidRPr="00ED28DD" w:rsidRDefault="008200BE" w:rsidP="008200BE">
      <w:pPr>
        <w:tabs>
          <w:tab w:val="left" w:pos="1753"/>
        </w:tabs>
        <w:ind w:right="383"/>
        <w:jc w:val="both"/>
        <w:divId w:val="410156154"/>
        <w:rPr>
          <w:sz w:val="2"/>
          <w:lang w:val="fr-FR"/>
        </w:rPr>
      </w:pPr>
    </w:p>
    <w:p w:rsidR="001938ED" w:rsidRPr="00B05E55" w:rsidRDefault="001938ED" w:rsidP="003046BF">
      <w:pPr>
        <w:pStyle w:val="Paragraphedeliste"/>
        <w:numPr>
          <w:ilvl w:val="0"/>
          <w:numId w:val="45"/>
        </w:numPr>
        <w:tabs>
          <w:tab w:val="left" w:pos="1753"/>
        </w:tabs>
        <w:spacing w:after="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Au niveau  district  </w:t>
      </w:r>
    </w:p>
    <w:p w:rsidR="001938ED" w:rsidRPr="00B05E55" w:rsidRDefault="001938ED" w:rsidP="003046BF">
      <w:pPr>
        <w:pStyle w:val="Paragraphedeliste"/>
        <w:numPr>
          <w:ilvl w:val="0"/>
          <w:numId w:val="57"/>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Rechercher des financements innovants au niveau périphérique pour le PEV  </w:t>
      </w:r>
    </w:p>
    <w:p w:rsidR="007174A0" w:rsidRDefault="007174A0" w:rsidP="003046BF">
      <w:pPr>
        <w:pStyle w:val="Paragraphedeliste"/>
        <w:numPr>
          <w:ilvl w:val="0"/>
          <w:numId w:val="57"/>
        </w:numPr>
        <w:tabs>
          <w:tab w:val="left" w:pos="1753"/>
        </w:tabs>
        <w:spacing w:after="0" w:line="240" w:lineRule="auto"/>
        <w:ind w:right="263"/>
        <w:jc w:val="both"/>
        <w:divId w:val="410156154"/>
        <w:rPr>
          <w:rFonts w:ascii="Times New Roman" w:hAnsi="Times New Roman"/>
          <w:sz w:val="24"/>
          <w:szCs w:val="24"/>
          <w:lang w:val="fr-FR"/>
        </w:rPr>
      </w:pPr>
      <w:r>
        <w:rPr>
          <w:rFonts w:ascii="Times New Roman" w:hAnsi="Times New Roman"/>
          <w:sz w:val="24"/>
          <w:szCs w:val="24"/>
          <w:lang w:val="fr-FR"/>
        </w:rPr>
        <w:t>Faire un plaidoyer pour l’a</w:t>
      </w:r>
      <w:r w:rsidRPr="00B05E55">
        <w:rPr>
          <w:rFonts w:ascii="Times New Roman" w:hAnsi="Times New Roman"/>
          <w:sz w:val="24"/>
          <w:szCs w:val="24"/>
          <w:lang w:val="fr-FR"/>
        </w:rPr>
        <w:t>ccroi</w:t>
      </w:r>
      <w:r>
        <w:rPr>
          <w:rFonts w:ascii="Times New Roman" w:hAnsi="Times New Roman"/>
          <w:sz w:val="24"/>
          <w:szCs w:val="24"/>
          <w:lang w:val="fr-FR"/>
        </w:rPr>
        <w:t>ssement</w:t>
      </w:r>
      <w:r w:rsidRPr="00B05E55">
        <w:rPr>
          <w:rFonts w:ascii="Times New Roman" w:hAnsi="Times New Roman"/>
          <w:sz w:val="24"/>
          <w:szCs w:val="24"/>
          <w:lang w:val="fr-FR"/>
        </w:rPr>
        <w:t xml:space="preserve"> du budget </w:t>
      </w:r>
      <w:r>
        <w:rPr>
          <w:rFonts w:ascii="Times New Roman" w:hAnsi="Times New Roman"/>
          <w:sz w:val="24"/>
          <w:szCs w:val="24"/>
          <w:lang w:val="fr-FR"/>
        </w:rPr>
        <w:t>alloué</w:t>
      </w:r>
      <w:r w:rsidRPr="00B05E55">
        <w:rPr>
          <w:rFonts w:ascii="Times New Roman" w:hAnsi="Times New Roman"/>
          <w:sz w:val="24"/>
          <w:szCs w:val="24"/>
          <w:lang w:val="fr-FR"/>
        </w:rPr>
        <w:t xml:space="preserve"> au volet maintenance et mobilisation socialedes plans d’action    </w:t>
      </w:r>
    </w:p>
    <w:p w:rsidR="001938ED" w:rsidRPr="00B01F41" w:rsidRDefault="001938ED" w:rsidP="003046BF">
      <w:pPr>
        <w:pStyle w:val="Paragraphedeliste"/>
        <w:numPr>
          <w:ilvl w:val="0"/>
          <w:numId w:val="65"/>
        </w:numPr>
        <w:tabs>
          <w:tab w:val="left" w:pos="1753"/>
        </w:tabs>
        <w:spacing w:before="120" w:after="120"/>
        <w:ind w:right="263"/>
        <w:jc w:val="both"/>
        <w:divId w:val="410156154"/>
        <w:rPr>
          <w:b/>
          <w:lang w:val="fr-FR"/>
        </w:rPr>
      </w:pPr>
      <w:r w:rsidRPr="00B01F41">
        <w:rPr>
          <w:b/>
          <w:lang w:val="fr-FR"/>
        </w:rPr>
        <w:lastRenderedPageBreak/>
        <w:t xml:space="preserve">LOGISTIQUE ET SECURITE DES INJECTIONS  </w:t>
      </w:r>
    </w:p>
    <w:p w:rsidR="001938ED" w:rsidRPr="00B05E55" w:rsidRDefault="001938ED" w:rsidP="003046BF">
      <w:pPr>
        <w:pStyle w:val="Paragraphedeliste"/>
        <w:numPr>
          <w:ilvl w:val="0"/>
          <w:numId w:val="45"/>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Au niveau central  </w:t>
      </w:r>
    </w:p>
    <w:p w:rsidR="001938ED" w:rsidRPr="00B05E55" w:rsidRDefault="001938ED" w:rsidP="003046BF">
      <w:pPr>
        <w:pStyle w:val="Paragraphedeliste"/>
        <w:numPr>
          <w:ilvl w:val="0"/>
          <w:numId w:val="58"/>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Acquérir des moyens de transport adéquats des vaccins et consommables   </w:t>
      </w:r>
    </w:p>
    <w:p w:rsidR="001938ED" w:rsidRPr="00B05E55" w:rsidRDefault="001938ED" w:rsidP="003046BF">
      <w:pPr>
        <w:pStyle w:val="Paragraphedeliste"/>
        <w:numPr>
          <w:ilvl w:val="0"/>
          <w:numId w:val="58"/>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Elaborer un plan d’entretien des équipements de chaîne de froid et transport.  </w:t>
      </w:r>
    </w:p>
    <w:p w:rsidR="008200BE" w:rsidRDefault="001938ED" w:rsidP="003046BF">
      <w:pPr>
        <w:pStyle w:val="Paragraphedeliste"/>
        <w:numPr>
          <w:ilvl w:val="0"/>
          <w:numId w:val="58"/>
        </w:numPr>
        <w:tabs>
          <w:tab w:val="left" w:pos="1753"/>
        </w:tabs>
        <w:spacing w:before="240" w:after="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Elaborer un plan  d’amortissement des véhicules </w:t>
      </w:r>
    </w:p>
    <w:p w:rsidR="001938ED" w:rsidRPr="00ED28DD" w:rsidRDefault="001938ED" w:rsidP="008200BE">
      <w:pPr>
        <w:pStyle w:val="Paragraphedeliste"/>
        <w:tabs>
          <w:tab w:val="left" w:pos="1753"/>
        </w:tabs>
        <w:spacing w:before="240" w:after="0" w:line="240" w:lineRule="auto"/>
        <w:ind w:right="263"/>
        <w:jc w:val="both"/>
        <w:divId w:val="410156154"/>
        <w:rPr>
          <w:rFonts w:ascii="Times New Roman" w:hAnsi="Times New Roman"/>
          <w:sz w:val="2"/>
          <w:szCs w:val="24"/>
          <w:lang w:val="fr-FR"/>
        </w:rPr>
      </w:pPr>
    </w:p>
    <w:p w:rsidR="001938ED" w:rsidRPr="00B05E55" w:rsidRDefault="001938ED" w:rsidP="003046BF">
      <w:pPr>
        <w:pStyle w:val="Paragraphedeliste"/>
        <w:numPr>
          <w:ilvl w:val="0"/>
          <w:numId w:val="45"/>
        </w:numPr>
        <w:tabs>
          <w:tab w:val="left" w:pos="1753"/>
        </w:tabs>
        <w:spacing w:before="240" w:after="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Au niveau région/district  </w:t>
      </w:r>
    </w:p>
    <w:p w:rsidR="001938ED" w:rsidRPr="00B05E55" w:rsidRDefault="001938ED" w:rsidP="003046BF">
      <w:pPr>
        <w:pStyle w:val="Paragraphedeliste"/>
        <w:numPr>
          <w:ilvl w:val="0"/>
          <w:numId w:val="59"/>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Elaborer un plan d’entretien des équipements de chaîne de froid et transport ;  </w:t>
      </w:r>
    </w:p>
    <w:p w:rsidR="001938ED" w:rsidRPr="00B05E55" w:rsidRDefault="001938ED" w:rsidP="003046BF">
      <w:pPr>
        <w:pStyle w:val="Paragraphedeliste"/>
        <w:numPr>
          <w:ilvl w:val="0"/>
          <w:numId w:val="59"/>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Elaborer un plan d’amortissement de la logistique roulante  </w:t>
      </w:r>
    </w:p>
    <w:p w:rsidR="001938ED" w:rsidRPr="00B05E55" w:rsidRDefault="001938ED" w:rsidP="003046BF">
      <w:pPr>
        <w:pStyle w:val="Paragraphedeliste"/>
        <w:numPr>
          <w:ilvl w:val="0"/>
          <w:numId w:val="59"/>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Renforcer les compétences des agents de santé sur la gestion du PEV  </w:t>
      </w:r>
    </w:p>
    <w:p w:rsidR="001938ED" w:rsidRPr="007174A0" w:rsidRDefault="001938ED" w:rsidP="003046BF">
      <w:pPr>
        <w:pStyle w:val="Paragraphedeliste"/>
        <w:numPr>
          <w:ilvl w:val="0"/>
          <w:numId w:val="43"/>
        </w:numPr>
        <w:tabs>
          <w:tab w:val="left" w:pos="1753"/>
        </w:tabs>
        <w:spacing w:before="120" w:after="120"/>
        <w:ind w:right="623"/>
        <w:jc w:val="both"/>
        <w:divId w:val="410156154"/>
        <w:rPr>
          <w:rFonts w:ascii="Times New Roman" w:hAnsi="Times New Roman"/>
          <w:sz w:val="24"/>
          <w:lang w:val="fr-FR"/>
        </w:rPr>
      </w:pPr>
      <w:r w:rsidRPr="007174A0">
        <w:rPr>
          <w:rFonts w:ascii="Times New Roman" w:hAnsi="Times New Roman"/>
          <w:sz w:val="24"/>
          <w:lang w:val="fr-FR"/>
        </w:rPr>
        <w:t xml:space="preserve">Elaborer un  plan d’élimination des déchets issus de la vaccination    </w:t>
      </w:r>
    </w:p>
    <w:p w:rsidR="001938ED" w:rsidRPr="00B05E55" w:rsidRDefault="007174A0" w:rsidP="003046BF">
      <w:pPr>
        <w:pStyle w:val="Paragraphedeliste"/>
        <w:numPr>
          <w:ilvl w:val="0"/>
          <w:numId w:val="59"/>
        </w:numPr>
        <w:tabs>
          <w:tab w:val="left" w:pos="1753"/>
        </w:tabs>
        <w:spacing w:before="120" w:after="120" w:line="240" w:lineRule="auto"/>
        <w:ind w:right="263"/>
        <w:jc w:val="both"/>
        <w:divId w:val="410156154"/>
        <w:rPr>
          <w:rFonts w:ascii="Times New Roman" w:hAnsi="Times New Roman"/>
          <w:sz w:val="24"/>
          <w:szCs w:val="24"/>
          <w:lang w:val="fr-FR"/>
        </w:rPr>
      </w:pPr>
      <w:r>
        <w:rPr>
          <w:rFonts w:ascii="Times New Roman" w:hAnsi="Times New Roman"/>
          <w:sz w:val="24"/>
          <w:szCs w:val="24"/>
          <w:lang w:val="fr-FR"/>
        </w:rPr>
        <w:t>Elaborer</w:t>
      </w:r>
      <w:r w:rsidR="001938ED" w:rsidRPr="00B05E55">
        <w:rPr>
          <w:rFonts w:ascii="Times New Roman" w:hAnsi="Times New Roman"/>
          <w:sz w:val="24"/>
          <w:szCs w:val="24"/>
          <w:lang w:val="fr-FR"/>
        </w:rPr>
        <w:t xml:space="preserve"> un plan d’urgences</w:t>
      </w:r>
      <w:r>
        <w:rPr>
          <w:rFonts w:ascii="Times New Roman" w:hAnsi="Times New Roman"/>
          <w:sz w:val="24"/>
          <w:szCs w:val="24"/>
          <w:lang w:val="fr-FR"/>
        </w:rPr>
        <w:t xml:space="preserve"> et/ou de</w:t>
      </w:r>
      <w:r w:rsidR="001938ED" w:rsidRPr="00B05E55">
        <w:rPr>
          <w:rFonts w:ascii="Times New Roman" w:hAnsi="Times New Roman"/>
          <w:sz w:val="24"/>
          <w:szCs w:val="24"/>
          <w:lang w:val="fr-FR"/>
        </w:rPr>
        <w:t xml:space="preserve"> directives de conduite à tenir en cas de panne de la chaîne de froid  </w:t>
      </w:r>
    </w:p>
    <w:p w:rsidR="001938ED" w:rsidRPr="00ED28DD" w:rsidRDefault="001938ED" w:rsidP="00B563C2">
      <w:pPr>
        <w:tabs>
          <w:tab w:val="left" w:pos="1753"/>
        </w:tabs>
        <w:ind w:right="143"/>
        <w:jc w:val="both"/>
        <w:divId w:val="410156154"/>
        <w:rPr>
          <w:sz w:val="2"/>
          <w:lang w:val="fr-FR"/>
        </w:rPr>
      </w:pPr>
    </w:p>
    <w:p w:rsidR="001938ED" w:rsidRPr="00B01F41" w:rsidRDefault="001938ED" w:rsidP="003046BF">
      <w:pPr>
        <w:pStyle w:val="Paragraphedeliste"/>
        <w:numPr>
          <w:ilvl w:val="0"/>
          <w:numId w:val="65"/>
        </w:numPr>
        <w:tabs>
          <w:tab w:val="left" w:pos="1753"/>
        </w:tabs>
        <w:spacing w:before="120" w:after="120"/>
        <w:ind w:right="503"/>
        <w:jc w:val="both"/>
        <w:divId w:val="410156154"/>
        <w:rPr>
          <w:b/>
          <w:lang w:val="fr-FR"/>
        </w:rPr>
      </w:pPr>
      <w:r w:rsidRPr="00B01F41">
        <w:rPr>
          <w:b/>
          <w:lang w:val="fr-FR"/>
        </w:rPr>
        <w:t xml:space="preserve">COMMUNICATION  </w:t>
      </w:r>
    </w:p>
    <w:p w:rsidR="001938ED" w:rsidRPr="00B05E55" w:rsidRDefault="001938ED" w:rsidP="003046BF">
      <w:pPr>
        <w:pStyle w:val="Paragraphedeliste"/>
        <w:numPr>
          <w:ilvl w:val="0"/>
          <w:numId w:val="45"/>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Au niveau central  </w:t>
      </w:r>
    </w:p>
    <w:p w:rsidR="001938ED" w:rsidRPr="00B05E55" w:rsidRDefault="001938ED" w:rsidP="003046BF">
      <w:pPr>
        <w:pStyle w:val="Paragraphedeliste"/>
        <w:numPr>
          <w:ilvl w:val="0"/>
          <w:numId w:val="60"/>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Elaborer un plan de communication pour les activités de vaccination avec priorité pour le PEV de routine ;  </w:t>
      </w:r>
    </w:p>
    <w:p w:rsidR="001938ED" w:rsidRPr="00B05E55" w:rsidRDefault="001938ED" w:rsidP="003046BF">
      <w:pPr>
        <w:pStyle w:val="Paragraphedeliste"/>
        <w:numPr>
          <w:ilvl w:val="0"/>
          <w:numId w:val="60"/>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Renforcer les compétences des responsables PEV/région en IEC/PEV;  </w:t>
      </w:r>
    </w:p>
    <w:p w:rsidR="001938ED" w:rsidRPr="00B05E55" w:rsidRDefault="001938ED" w:rsidP="003046BF">
      <w:pPr>
        <w:pStyle w:val="Paragraphedeliste"/>
        <w:numPr>
          <w:ilvl w:val="0"/>
          <w:numId w:val="60"/>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Mettre à la disposition des régions/districts des supports de communication ;  </w:t>
      </w:r>
    </w:p>
    <w:p w:rsidR="001938ED" w:rsidRPr="00ED28DD" w:rsidRDefault="001938ED" w:rsidP="00B563C2">
      <w:pPr>
        <w:tabs>
          <w:tab w:val="left" w:pos="1753"/>
        </w:tabs>
        <w:ind w:right="143"/>
        <w:jc w:val="both"/>
        <w:divId w:val="410156154"/>
        <w:rPr>
          <w:sz w:val="2"/>
          <w:lang w:val="fr-FR"/>
        </w:rPr>
      </w:pPr>
    </w:p>
    <w:p w:rsidR="009960BF" w:rsidRPr="00B05E55" w:rsidRDefault="001938ED" w:rsidP="003046BF">
      <w:pPr>
        <w:pStyle w:val="Paragraphedeliste"/>
        <w:numPr>
          <w:ilvl w:val="0"/>
          <w:numId w:val="45"/>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Au niveau régional  </w:t>
      </w:r>
    </w:p>
    <w:p w:rsidR="00B01F41" w:rsidRDefault="001938ED" w:rsidP="003046BF">
      <w:pPr>
        <w:pStyle w:val="Paragraphedeliste"/>
        <w:numPr>
          <w:ilvl w:val="0"/>
          <w:numId w:val="61"/>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Appuyer les Equipes cadres dans la mise en œuvre </w:t>
      </w:r>
      <w:r w:rsidR="00B01F41">
        <w:rPr>
          <w:rFonts w:ascii="Times New Roman" w:hAnsi="Times New Roman"/>
          <w:sz w:val="24"/>
          <w:szCs w:val="24"/>
          <w:lang w:val="fr-FR"/>
        </w:rPr>
        <w:t>des activités de communication</w:t>
      </w:r>
    </w:p>
    <w:p w:rsidR="009960BF" w:rsidRPr="00B05E55" w:rsidRDefault="001938ED" w:rsidP="003046BF">
      <w:pPr>
        <w:pStyle w:val="Paragraphedeliste"/>
        <w:numPr>
          <w:ilvl w:val="0"/>
          <w:numId w:val="61"/>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Renforcer les compétences des agents chargés des questions de vaccination des districts  Mettre à la disposition des districts des supports de communication  </w:t>
      </w:r>
    </w:p>
    <w:p w:rsidR="008200BE" w:rsidRPr="00ED28DD" w:rsidRDefault="008200BE" w:rsidP="008200BE">
      <w:pPr>
        <w:pStyle w:val="Paragraphedeliste"/>
        <w:tabs>
          <w:tab w:val="left" w:pos="1753"/>
        </w:tabs>
        <w:spacing w:before="120" w:after="120" w:line="240" w:lineRule="auto"/>
        <w:ind w:left="840" w:right="263"/>
        <w:jc w:val="both"/>
        <w:divId w:val="410156154"/>
        <w:rPr>
          <w:rFonts w:ascii="Times New Roman" w:hAnsi="Times New Roman"/>
          <w:sz w:val="2"/>
          <w:szCs w:val="24"/>
          <w:lang w:val="fr-FR"/>
        </w:rPr>
      </w:pPr>
    </w:p>
    <w:p w:rsidR="009960BF" w:rsidRPr="00B05E55" w:rsidRDefault="001938ED" w:rsidP="003046BF">
      <w:pPr>
        <w:pStyle w:val="Paragraphedeliste"/>
        <w:numPr>
          <w:ilvl w:val="0"/>
          <w:numId w:val="45"/>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Au niveau district    </w:t>
      </w:r>
    </w:p>
    <w:p w:rsidR="009960BF" w:rsidRPr="00D2161D" w:rsidRDefault="001938ED" w:rsidP="003046BF">
      <w:pPr>
        <w:pStyle w:val="Paragraphedeliste"/>
        <w:numPr>
          <w:ilvl w:val="0"/>
          <w:numId w:val="62"/>
        </w:numPr>
        <w:tabs>
          <w:tab w:val="left" w:pos="1753"/>
        </w:tabs>
        <w:spacing w:before="120" w:after="120" w:line="240" w:lineRule="auto"/>
        <w:ind w:left="840" w:right="383"/>
        <w:jc w:val="both"/>
        <w:divId w:val="410156154"/>
        <w:rPr>
          <w:rFonts w:ascii="Times New Roman" w:hAnsi="Times New Roman"/>
          <w:sz w:val="24"/>
          <w:szCs w:val="24"/>
          <w:lang w:val="fr-FR"/>
        </w:rPr>
      </w:pPr>
      <w:r w:rsidRPr="00B05E55">
        <w:rPr>
          <w:rFonts w:ascii="Times New Roman" w:hAnsi="Times New Roman"/>
          <w:sz w:val="24"/>
          <w:szCs w:val="24"/>
          <w:lang w:val="fr-FR"/>
        </w:rPr>
        <w:t>Renforcer les compétences des agents chargés des question</w:t>
      </w:r>
      <w:r w:rsidR="009960BF" w:rsidRPr="00B05E55">
        <w:rPr>
          <w:rFonts w:ascii="Times New Roman" w:hAnsi="Times New Roman"/>
          <w:sz w:val="24"/>
          <w:szCs w:val="24"/>
          <w:lang w:val="fr-FR"/>
        </w:rPr>
        <w:t>s de vaccination au niveau CSPS</w:t>
      </w:r>
      <w:r w:rsidR="00D2161D">
        <w:rPr>
          <w:rFonts w:ascii="Times New Roman" w:hAnsi="Times New Roman"/>
          <w:sz w:val="24"/>
          <w:szCs w:val="24"/>
          <w:lang w:val="fr-FR"/>
        </w:rPr>
        <w:t xml:space="preserve"> en matière de communication</w:t>
      </w:r>
      <w:r w:rsidRPr="00B05E55">
        <w:rPr>
          <w:rFonts w:ascii="Times New Roman" w:hAnsi="Times New Roman"/>
          <w:sz w:val="24"/>
          <w:szCs w:val="24"/>
          <w:lang w:val="fr-FR"/>
        </w:rPr>
        <w:t xml:space="preserve">;  </w:t>
      </w:r>
    </w:p>
    <w:p w:rsidR="009960BF" w:rsidRPr="00B05E55" w:rsidRDefault="001938ED" w:rsidP="003046BF">
      <w:pPr>
        <w:pStyle w:val="Paragraphedeliste"/>
        <w:numPr>
          <w:ilvl w:val="0"/>
          <w:numId w:val="62"/>
        </w:numPr>
        <w:tabs>
          <w:tab w:val="left" w:pos="1753"/>
        </w:tabs>
        <w:spacing w:before="120" w:after="120" w:line="240" w:lineRule="auto"/>
        <w:ind w:right="26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Impliquer les medias, les enseignants, les responsables coutumiers et religieux dans la mise en œuvre des activités de communication ;  </w:t>
      </w:r>
    </w:p>
    <w:p w:rsidR="008200BE" w:rsidRPr="00ED28DD" w:rsidRDefault="008200BE" w:rsidP="008200BE">
      <w:pPr>
        <w:pStyle w:val="Paragraphedeliste"/>
        <w:tabs>
          <w:tab w:val="left" w:pos="1753"/>
        </w:tabs>
        <w:spacing w:before="120" w:after="120" w:line="240" w:lineRule="auto"/>
        <w:ind w:left="840" w:right="383"/>
        <w:jc w:val="both"/>
        <w:divId w:val="410156154"/>
        <w:rPr>
          <w:rFonts w:ascii="Times New Roman" w:hAnsi="Times New Roman"/>
          <w:sz w:val="2"/>
          <w:szCs w:val="24"/>
          <w:lang w:val="fr-FR"/>
        </w:rPr>
      </w:pPr>
    </w:p>
    <w:p w:rsidR="009960BF" w:rsidRPr="00B05E55" w:rsidRDefault="001938ED" w:rsidP="003046BF">
      <w:pPr>
        <w:pStyle w:val="Paragraphedeliste"/>
        <w:numPr>
          <w:ilvl w:val="0"/>
          <w:numId w:val="45"/>
        </w:numPr>
        <w:tabs>
          <w:tab w:val="left" w:pos="1753"/>
        </w:tabs>
        <w:spacing w:before="120" w:after="120" w:line="240" w:lineRule="auto"/>
        <w:ind w:right="38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Au niveau CSPS  </w:t>
      </w:r>
    </w:p>
    <w:p w:rsidR="009960BF" w:rsidRPr="00B05E55" w:rsidRDefault="001938ED" w:rsidP="003046BF">
      <w:pPr>
        <w:pStyle w:val="Paragraphedeliste"/>
        <w:numPr>
          <w:ilvl w:val="0"/>
          <w:numId w:val="46"/>
        </w:numPr>
        <w:tabs>
          <w:tab w:val="left" w:pos="1753"/>
        </w:tabs>
        <w:spacing w:before="120" w:after="120" w:line="240" w:lineRule="auto"/>
        <w:ind w:right="14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Renforcer la vaccination en stratégie </w:t>
      </w:r>
      <w:r w:rsidR="00D2161D">
        <w:rPr>
          <w:rFonts w:ascii="Times New Roman" w:hAnsi="Times New Roman"/>
          <w:sz w:val="24"/>
          <w:szCs w:val="24"/>
          <w:lang w:val="fr-FR"/>
        </w:rPr>
        <w:t xml:space="preserve">fixe et </w:t>
      </w:r>
      <w:r w:rsidRPr="00B05E55">
        <w:rPr>
          <w:rFonts w:ascii="Times New Roman" w:hAnsi="Times New Roman"/>
          <w:sz w:val="24"/>
          <w:szCs w:val="24"/>
          <w:lang w:val="fr-FR"/>
        </w:rPr>
        <w:t xml:space="preserve">avancée ;  </w:t>
      </w:r>
    </w:p>
    <w:p w:rsidR="009960BF" w:rsidRPr="00B05E55" w:rsidRDefault="001938ED" w:rsidP="003046BF">
      <w:pPr>
        <w:pStyle w:val="Paragraphedeliste"/>
        <w:numPr>
          <w:ilvl w:val="0"/>
          <w:numId w:val="46"/>
        </w:numPr>
        <w:tabs>
          <w:tab w:val="left" w:pos="1753"/>
        </w:tabs>
        <w:spacing w:before="120" w:after="120" w:line="240" w:lineRule="auto"/>
        <w:ind w:right="14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Intensifier la sensibilisation des populations en faveur des vaccinations ;  </w:t>
      </w:r>
    </w:p>
    <w:p w:rsidR="009960BF" w:rsidRPr="00B05E55" w:rsidRDefault="001938ED" w:rsidP="003046BF">
      <w:pPr>
        <w:pStyle w:val="Paragraphedeliste"/>
        <w:numPr>
          <w:ilvl w:val="0"/>
          <w:numId w:val="46"/>
        </w:numPr>
        <w:tabs>
          <w:tab w:val="left" w:pos="1753"/>
        </w:tabs>
        <w:spacing w:before="120" w:after="120" w:line="240" w:lineRule="auto"/>
        <w:ind w:right="143"/>
        <w:jc w:val="both"/>
        <w:divId w:val="410156154"/>
        <w:rPr>
          <w:rFonts w:ascii="Times New Roman" w:hAnsi="Times New Roman"/>
          <w:sz w:val="24"/>
          <w:szCs w:val="24"/>
          <w:lang w:val="fr-FR"/>
        </w:rPr>
      </w:pPr>
      <w:r w:rsidRPr="00B05E55">
        <w:rPr>
          <w:rFonts w:ascii="Times New Roman" w:hAnsi="Times New Roman"/>
          <w:sz w:val="24"/>
          <w:szCs w:val="24"/>
          <w:lang w:val="fr-FR"/>
        </w:rPr>
        <w:t xml:space="preserve">Améliorer les compétences des agents de santé communautaires en IEC/PEV  </w:t>
      </w:r>
    </w:p>
    <w:p w:rsidR="001938ED" w:rsidRPr="00ED28DD" w:rsidRDefault="001938ED" w:rsidP="00B563C2">
      <w:pPr>
        <w:tabs>
          <w:tab w:val="left" w:pos="1753"/>
        </w:tabs>
        <w:ind w:right="23"/>
        <w:jc w:val="both"/>
        <w:divId w:val="410156154"/>
        <w:rPr>
          <w:sz w:val="2"/>
          <w:lang w:val="fr-FR"/>
        </w:rPr>
      </w:pPr>
    </w:p>
    <w:p w:rsidR="00783785" w:rsidRPr="009960BF" w:rsidRDefault="00783785" w:rsidP="00B563C2">
      <w:pPr>
        <w:tabs>
          <w:tab w:val="left" w:pos="1753"/>
        </w:tabs>
        <w:ind w:right="23"/>
        <w:jc w:val="both"/>
        <w:divId w:val="410156154"/>
        <w:rPr>
          <w:lang w:val="fr-FR"/>
        </w:rPr>
      </w:pPr>
      <w:r w:rsidRPr="009960BF">
        <w:rPr>
          <w:lang w:val="fr-FR"/>
        </w:rPr>
        <w:t>Un plan de mise en œuvre des recommandations a été élabor</w:t>
      </w:r>
      <w:r w:rsidR="009021B4" w:rsidRPr="009960BF">
        <w:rPr>
          <w:lang w:val="fr-FR"/>
        </w:rPr>
        <w:t>é et pris en compte dans le PPAC 2011-2015</w:t>
      </w:r>
      <w:r w:rsidR="00C8275A">
        <w:rPr>
          <w:lang w:val="fr-FR"/>
        </w:rPr>
        <w:t xml:space="preserve"> révisé</w:t>
      </w:r>
      <w:r w:rsidR="009021B4" w:rsidRPr="009960BF">
        <w:rPr>
          <w:lang w:val="fr-FR"/>
        </w:rPr>
        <w:t>. Ce PPAC</w:t>
      </w:r>
      <w:r w:rsidRPr="009960BF">
        <w:rPr>
          <w:lang w:val="fr-FR"/>
        </w:rPr>
        <w:t xml:space="preserve"> a été opérationnalisé dans de</w:t>
      </w:r>
      <w:r w:rsidR="00D85416" w:rsidRPr="009960BF">
        <w:rPr>
          <w:lang w:val="fr-FR"/>
        </w:rPr>
        <w:t xml:space="preserve">s plans annuels dont le suivi </w:t>
      </w:r>
      <w:r w:rsidRPr="009960BF">
        <w:rPr>
          <w:lang w:val="fr-FR"/>
        </w:rPr>
        <w:t>es</w:t>
      </w:r>
      <w:r w:rsidR="00D85416" w:rsidRPr="009960BF">
        <w:rPr>
          <w:lang w:val="fr-FR"/>
        </w:rPr>
        <w:t>t fait régulièrement à travers l</w:t>
      </w:r>
      <w:r w:rsidRPr="009960BF">
        <w:rPr>
          <w:lang w:val="fr-FR"/>
        </w:rPr>
        <w:t>es r</w:t>
      </w:r>
      <w:r w:rsidR="00D85416" w:rsidRPr="009960BF">
        <w:rPr>
          <w:lang w:val="fr-FR"/>
        </w:rPr>
        <w:t>éunions du CCIA et l</w:t>
      </w:r>
      <w:r w:rsidRPr="009960BF">
        <w:rPr>
          <w:lang w:val="fr-FR"/>
        </w:rPr>
        <w:t xml:space="preserve">es réunions de suivi des performances du PEV à tous les niveaux. </w:t>
      </w:r>
      <w:r w:rsidR="00D85416" w:rsidRPr="009960BF">
        <w:rPr>
          <w:lang w:val="fr-FR"/>
        </w:rPr>
        <w:t xml:space="preserve">Le PPAC a été </w:t>
      </w:r>
      <w:r w:rsidR="009021B4" w:rsidRPr="001C476A">
        <w:rPr>
          <w:lang w:val="fr-FR"/>
        </w:rPr>
        <w:t>révisé</w:t>
      </w:r>
      <w:r w:rsidR="00D85416" w:rsidRPr="001C476A">
        <w:rPr>
          <w:lang w:val="fr-FR"/>
        </w:rPr>
        <w:t xml:space="preserve"> en </w:t>
      </w:r>
      <w:r w:rsidR="001C476A" w:rsidRPr="001C476A">
        <w:rPr>
          <w:lang w:val="fr-FR"/>
        </w:rPr>
        <w:t xml:space="preserve">2012 </w:t>
      </w:r>
      <w:r w:rsidR="00D85416" w:rsidRPr="001C476A">
        <w:rPr>
          <w:lang w:val="fr-FR"/>
        </w:rPr>
        <w:t xml:space="preserve">et en </w:t>
      </w:r>
      <w:r w:rsidR="001C476A" w:rsidRPr="001C476A">
        <w:rPr>
          <w:lang w:val="fr-FR"/>
        </w:rPr>
        <w:t xml:space="preserve">2013 </w:t>
      </w:r>
      <w:r w:rsidRPr="001C476A">
        <w:rPr>
          <w:lang w:val="fr-FR"/>
        </w:rPr>
        <w:t>pour</w:t>
      </w:r>
      <w:r w:rsidRPr="009960BF">
        <w:rPr>
          <w:lang w:val="fr-FR"/>
        </w:rPr>
        <w:t xml:space="preserve"> revoir l’analyse de la situation et réviser les jalons qui ont été dépassés. Ce système de suivi mis en place servira également pour le processus d’introduction des nouveaux vaccins en général et celle du VPI en particulier. </w:t>
      </w:r>
    </w:p>
    <w:p w:rsidR="00515293" w:rsidRPr="00D85416" w:rsidRDefault="00515293" w:rsidP="00B563C2">
      <w:pPr>
        <w:ind w:right="235"/>
        <w:jc w:val="both"/>
        <w:divId w:val="410156154"/>
        <w:rPr>
          <w:highlight w:val="cyan"/>
          <w:lang w:val="fr-FR"/>
        </w:rPr>
      </w:pPr>
    </w:p>
    <w:p w:rsidR="001C476A" w:rsidRDefault="00515293">
      <w:pPr>
        <w:pStyle w:val="Paragraphedeliste"/>
        <w:numPr>
          <w:ilvl w:val="0"/>
          <w:numId w:val="10"/>
        </w:numPr>
        <w:spacing w:after="0" w:line="240" w:lineRule="auto"/>
        <w:ind w:right="115"/>
        <w:jc w:val="both"/>
        <w:divId w:val="410156154"/>
        <w:rPr>
          <w:rFonts w:asciiTheme="minorHAnsi" w:hAnsiTheme="minorHAnsi"/>
          <w:highlight w:val="cyan"/>
          <w:lang w:val="fr-FR"/>
        </w:rPr>
      </w:pPr>
      <w:r w:rsidRPr="00B563C2">
        <w:rPr>
          <w:rFonts w:asciiTheme="minorHAnsi" w:hAnsiTheme="minorHAnsi"/>
          <w:highlight w:val="cyan"/>
          <w:lang w:val="fr-FR"/>
        </w:rPr>
        <w:t>Déterminer si la mise en œuvre des recommandations tirées des récentes évaluations est confrontée à des contraintes en termes de ressources</w:t>
      </w:r>
      <w:r w:rsidR="00660BC7" w:rsidRPr="00B563C2">
        <w:rPr>
          <w:rFonts w:asciiTheme="minorHAnsi" w:hAnsiTheme="minorHAnsi"/>
          <w:highlight w:val="cyan"/>
          <w:lang w:val="fr-FR"/>
        </w:rPr>
        <w:t>,</w:t>
      </w:r>
      <w:r w:rsidRPr="00B563C2">
        <w:rPr>
          <w:rFonts w:asciiTheme="minorHAnsi" w:hAnsiTheme="minorHAnsi"/>
          <w:highlight w:val="cyan"/>
          <w:lang w:val="fr-FR"/>
        </w:rPr>
        <w:t xml:space="preserve"> et décrire les mesures qui ont été prises pour y remédier.  </w:t>
      </w:r>
    </w:p>
    <w:p w:rsidR="00D842C6" w:rsidRPr="00ED28DD" w:rsidRDefault="00D842C6" w:rsidP="00D842C6">
      <w:pPr>
        <w:pStyle w:val="Paragraphedeliste"/>
        <w:spacing w:after="0" w:line="240" w:lineRule="auto"/>
        <w:ind w:right="115"/>
        <w:jc w:val="both"/>
        <w:divId w:val="410156154"/>
        <w:rPr>
          <w:rFonts w:asciiTheme="minorHAnsi" w:hAnsiTheme="minorHAnsi"/>
          <w:sz w:val="2"/>
          <w:highlight w:val="cyan"/>
          <w:lang w:val="fr-FR"/>
        </w:rPr>
      </w:pPr>
    </w:p>
    <w:p w:rsidR="001C476A" w:rsidRPr="002250E9" w:rsidRDefault="001C476A" w:rsidP="00B563C2">
      <w:pPr>
        <w:pStyle w:val="Listecouleur-Accent11"/>
        <w:spacing w:after="0" w:line="240" w:lineRule="auto"/>
        <w:ind w:left="0" w:right="115"/>
        <w:jc w:val="both"/>
        <w:divId w:val="410156154"/>
        <w:rPr>
          <w:rFonts w:ascii="Times New Roman" w:hAnsi="Times New Roman"/>
          <w:sz w:val="24"/>
          <w:szCs w:val="24"/>
          <w:lang w:val="fr-FR"/>
        </w:rPr>
      </w:pPr>
      <w:r w:rsidRPr="002250E9">
        <w:rPr>
          <w:rFonts w:ascii="Times New Roman" w:hAnsi="Times New Roman"/>
          <w:sz w:val="24"/>
          <w:szCs w:val="24"/>
          <w:lang w:val="fr-FR"/>
        </w:rPr>
        <w:t>La principale contrainte à la mise en œuvre des recommandations est d’ordre financier. La solution pour y remédier est la mobilisation des ressources aussi bien au niveau de l’Etat que des partenaires. En effet, avec la soumission avec succès à GAVI en 2001, la vaccination de routine a été permanemment renforcée en logistique roulante, en matériel chaîne du froid et en supports de communication en tenant compte des insuffisances identifiées lors d</w:t>
      </w:r>
      <w:r w:rsidR="00D13C2A" w:rsidRPr="002250E9">
        <w:rPr>
          <w:rFonts w:ascii="Times New Roman" w:hAnsi="Times New Roman"/>
          <w:sz w:val="24"/>
          <w:szCs w:val="24"/>
          <w:lang w:val="fr-FR"/>
        </w:rPr>
        <w:t xml:space="preserve">es </w:t>
      </w:r>
      <w:r w:rsidR="00D13C2A" w:rsidRPr="002250E9">
        <w:rPr>
          <w:rFonts w:ascii="Times New Roman" w:hAnsi="Times New Roman"/>
          <w:sz w:val="24"/>
          <w:szCs w:val="24"/>
          <w:lang w:val="fr-FR"/>
        </w:rPr>
        <w:lastRenderedPageBreak/>
        <w:t>évaluations</w:t>
      </w:r>
      <w:r w:rsidRPr="002250E9">
        <w:rPr>
          <w:rFonts w:ascii="Times New Roman" w:hAnsi="Times New Roman"/>
          <w:sz w:val="24"/>
          <w:szCs w:val="24"/>
          <w:lang w:val="fr-FR"/>
        </w:rPr>
        <w:t xml:space="preserve">. De même, </w:t>
      </w:r>
      <w:r w:rsidR="00683A4E" w:rsidRPr="002250E9">
        <w:rPr>
          <w:rFonts w:ascii="Times New Roman" w:hAnsi="Times New Roman"/>
          <w:sz w:val="24"/>
          <w:szCs w:val="24"/>
          <w:lang w:val="fr-FR"/>
        </w:rPr>
        <w:t>l’Etat</w:t>
      </w:r>
      <w:r w:rsidR="00D13C2A" w:rsidRPr="002250E9">
        <w:rPr>
          <w:rFonts w:ascii="Times New Roman" w:hAnsi="Times New Roman"/>
          <w:sz w:val="24"/>
          <w:szCs w:val="24"/>
          <w:lang w:val="fr-FR"/>
        </w:rPr>
        <w:t xml:space="preserve"> et ses </w:t>
      </w:r>
      <w:r w:rsidRPr="002250E9">
        <w:rPr>
          <w:rFonts w:ascii="Times New Roman" w:hAnsi="Times New Roman"/>
          <w:sz w:val="24"/>
          <w:szCs w:val="24"/>
          <w:lang w:val="fr-FR"/>
        </w:rPr>
        <w:t>partenaires (OMS, UNICEF</w:t>
      </w:r>
      <w:r w:rsidR="00D13C2A" w:rsidRPr="002250E9">
        <w:rPr>
          <w:rFonts w:ascii="Times New Roman" w:hAnsi="Times New Roman"/>
          <w:sz w:val="24"/>
          <w:szCs w:val="24"/>
          <w:lang w:val="fr-FR"/>
        </w:rPr>
        <w:t xml:space="preserve">) </w:t>
      </w:r>
      <w:r w:rsidRPr="002250E9">
        <w:rPr>
          <w:rFonts w:ascii="Times New Roman" w:hAnsi="Times New Roman"/>
          <w:sz w:val="24"/>
          <w:szCs w:val="24"/>
          <w:lang w:val="fr-FR"/>
        </w:rPr>
        <w:t xml:space="preserve">apportent </w:t>
      </w:r>
      <w:r w:rsidR="00D13C2A" w:rsidRPr="002250E9">
        <w:rPr>
          <w:rFonts w:ascii="Times New Roman" w:hAnsi="Times New Roman"/>
          <w:sz w:val="24"/>
          <w:szCs w:val="24"/>
          <w:lang w:val="fr-FR"/>
        </w:rPr>
        <w:t xml:space="preserve">annuellement </w:t>
      </w:r>
      <w:r w:rsidRPr="002250E9">
        <w:rPr>
          <w:rFonts w:ascii="Times New Roman" w:hAnsi="Times New Roman"/>
          <w:sz w:val="24"/>
          <w:szCs w:val="24"/>
          <w:lang w:val="fr-FR"/>
        </w:rPr>
        <w:t>un appui technique et financier pour résoudre ces insuffisances.</w:t>
      </w:r>
    </w:p>
    <w:p w:rsidR="00515293" w:rsidRPr="00ED28DD" w:rsidRDefault="00515293" w:rsidP="00B563C2">
      <w:pPr>
        <w:spacing w:before="120" w:after="120"/>
        <w:ind w:right="235"/>
        <w:jc w:val="both"/>
        <w:divId w:val="410156154"/>
        <w:rPr>
          <w:sz w:val="2"/>
          <w:lang w:val="fr-FR"/>
        </w:rPr>
      </w:pPr>
    </w:p>
    <w:p w:rsidR="00515293" w:rsidRPr="00B563C2" w:rsidRDefault="00515293">
      <w:pPr>
        <w:pStyle w:val="Paragraphedeliste"/>
        <w:numPr>
          <w:ilvl w:val="0"/>
          <w:numId w:val="10"/>
        </w:numPr>
        <w:spacing w:after="0" w:line="240" w:lineRule="auto"/>
        <w:ind w:right="115"/>
        <w:jc w:val="both"/>
        <w:divId w:val="410156154"/>
        <w:rPr>
          <w:rFonts w:asciiTheme="minorHAnsi" w:hAnsiTheme="minorHAnsi"/>
          <w:highlight w:val="cyan"/>
          <w:lang w:val="fr-FR"/>
        </w:rPr>
      </w:pPr>
      <w:r w:rsidRPr="00B563C2">
        <w:rPr>
          <w:rFonts w:asciiTheme="minorHAnsi" w:hAnsiTheme="minorHAnsi"/>
          <w:highlight w:val="cyan"/>
          <w:lang w:val="fr-FR"/>
        </w:rPr>
        <w:t xml:space="preserve">Décrire toute expérience antérieure en matière d’introduction de nouveaux vaccins et indiquer dans quelle mesure les enseignements tirés de ces expériences </w:t>
      </w:r>
      <w:proofErr w:type="gramStart"/>
      <w:r w:rsidRPr="00B563C2">
        <w:rPr>
          <w:rFonts w:asciiTheme="minorHAnsi" w:hAnsiTheme="minorHAnsi"/>
          <w:highlight w:val="cyan"/>
          <w:lang w:val="fr-FR"/>
        </w:rPr>
        <w:t>faciliteront</w:t>
      </w:r>
      <w:proofErr w:type="gramEnd"/>
      <w:r w:rsidRPr="00B563C2">
        <w:rPr>
          <w:rFonts w:asciiTheme="minorHAnsi" w:hAnsiTheme="minorHAnsi"/>
          <w:highlight w:val="cyan"/>
          <w:lang w:val="fr-FR"/>
        </w:rPr>
        <w:t xml:space="preserve"> l’introduction du nouveau vaccin en question.   </w:t>
      </w:r>
    </w:p>
    <w:p w:rsidR="00A07DFC" w:rsidRPr="002250E9" w:rsidRDefault="005665E9" w:rsidP="00B563C2">
      <w:pPr>
        <w:spacing w:before="120"/>
        <w:ind w:right="120"/>
        <w:jc w:val="both"/>
        <w:divId w:val="410156154"/>
        <w:rPr>
          <w:lang w:val="fr-FR"/>
        </w:rPr>
      </w:pPr>
      <w:r w:rsidRPr="002250E9">
        <w:rPr>
          <w:lang w:val="fr-FR"/>
        </w:rPr>
        <w:t>Depuis le lancement du PEV au Burkina Faso, de nouveaux vaccins et vaccins sous-utilisés ont été introduits dans le programme</w:t>
      </w:r>
      <w:r w:rsidR="00A07DFC" w:rsidRPr="002250E9">
        <w:rPr>
          <w:lang w:val="fr-FR"/>
        </w:rPr>
        <w:t> : le vaccin anti- amaril en 1984, le vaccin pentavalent DTC-HepB-Hib en 2006 et le vaccin contre le pneumocoque et le vaccin contre le rotavirus en 2013. De même plusieurs campagnes de vaccination de masse ont été organisées (campagne de vaccination contre la rougeole : rattrapage en 2001 et suivi en 2</w:t>
      </w:r>
      <w:r w:rsidR="002250E9" w:rsidRPr="002250E9">
        <w:rPr>
          <w:lang w:val="fr-FR"/>
        </w:rPr>
        <w:t xml:space="preserve">004, 2007 et 2011), campagne de </w:t>
      </w:r>
      <w:r w:rsidR="00A07DFC" w:rsidRPr="002250E9">
        <w:rPr>
          <w:lang w:val="fr-FR"/>
        </w:rPr>
        <w:t xml:space="preserve">vaccination avec le vaccin MenAfriVac en 2010. </w:t>
      </w:r>
    </w:p>
    <w:p w:rsidR="00A07DFC" w:rsidRPr="002250E9" w:rsidRDefault="00A07DFC" w:rsidP="00B563C2">
      <w:pPr>
        <w:spacing w:before="120"/>
        <w:ind w:right="120"/>
        <w:jc w:val="both"/>
        <w:divId w:val="410156154"/>
        <w:rPr>
          <w:lang w:val="fr-FR"/>
        </w:rPr>
      </w:pPr>
      <w:r w:rsidRPr="002250E9">
        <w:rPr>
          <w:lang w:val="fr-FR"/>
        </w:rPr>
        <w:t>Il est envisagé</w:t>
      </w:r>
      <w:r w:rsidR="002250E9" w:rsidRPr="002250E9">
        <w:rPr>
          <w:lang w:val="fr-FR"/>
        </w:rPr>
        <w:t xml:space="preserve"> l’organisation d’une campagne de vaccination avec vaccin  rougeole- rubéole (RR) en novembre 2014, l’introduction de la deuxième dose du vaccin anti-rougeoleux en octobre 2014,l’introduction du vaccin RR en 2015. </w:t>
      </w:r>
      <w:r w:rsidRPr="002250E9">
        <w:rPr>
          <w:lang w:val="fr-FR"/>
        </w:rPr>
        <w:t>Ce processus d’introduction est soutenu par GAVI avec un cofinancement de l’Etat.</w:t>
      </w:r>
    </w:p>
    <w:p w:rsidR="006B1AFE" w:rsidRDefault="002250E9" w:rsidP="00B563C2">
      <w:pPr>
        <w:spacing w:before="120"/>
        <w:ind w:right="240"/>
        <w:jc w:val="both"/>
        <w:divId w:val="410156154"/>
        <w:rPr>
          <w:lang w:val="fr-FR"/>
        </w:rPr>
      </w:pPr>
      <w:r w:rsidRPr="002250E9">
        <w:rPr>
          <w:lang w:val="fr-FR"/>
        </w:rPr>
        <w:t>De ce fait, une expérience nationale est acquise dans le plaidoyer, la mobilisation des ressources, la gestion opérationnelle (révision des modules, outils et supports de gestion, formation et supervision du personnel, communication, suivi et évaluation…) et logistique (évaluation des capacités de stockages, estimation des besoins…) du processus d’introduction des nouveaux vaccins. Une expertise nationale est donc disponible à tous les niveaux dans le domaine et sera mobilisée pour l’introduction du VPI.</w:t>
      </w:r>
    </w:p>
    <w:p w:rsidR="00B563C2" w:rsidRDefault="00B563C2" w:rsidP="00B563C2">
      <w:pPr>
        <w:ind w:right="240"/>
        <w:jc w:val="both"/>
        <w:divId w:val="410156154"/>
        <w:rPr>
          <w:lang w:val="fr-FR"/>
        </w:rPr>
      </w:pPr>
    </w:p>
    <w:p w:rsidR="004E0A2C" w:rsidRPr="004E0A2C" w:rsidRDefault="00515293" w:rsidP="003046BF">
      <w:pPr>
        <w:pStyle w:val="Paragraphedeliste"/>
        <w:numPr>
          <w:ilvl w:val="1"/>
          <w:numId w:val="42"/>
        </w:numPr>
        <w:spacing w:after="0"/>
        <w:ind w:right="120"/>
        <w:divId w:val="410156154"/>
        <w:rPr>
          <w:rFonts w:asciiTheme="minorHAnsi" w:hAnsiTheme="minorHAnsi"/>
          <w:bCs/>
          <w:color w:val="1F497D" w:themeColor="text2"/>
          <w:lang w:val="fr-FR"/>
        </w:rPr>
      </w:pPr>
      <w:r w:rsidRPr="004E0A2C">
        <w:rPr>
          <w:rFonts w:asciiTheme="minorHAnsi" w:hAnsiTheme="minorHAnsi"/>
          <w:bCs/>
          <w:color w:val="1F497D" w:themeColor="text2"/>
          <w:lang w:val="fr-FR"/>
        </w:rPr>
        <w:t>Gestion des stocks</w:t>
      </w:r>
    </w:p>
    <w:p w:rsidR="000A2CB6" w:rsidRPr="004E0A2C" w:rsidRDefault="000A2CB6" w:rsidP="00B563C2">
      <w:pPr>
        <w:ind w:right="240"/>
        <w:divId w:val="410156154"/>
        <w:rPr>
          <w:rFonts w:asciiTheme="minorHAnsi" w:hAnsiTheme="minorHAnsi"/>
          <w:bCs/>
          <w:color w:val="1F497D" w:themeColor="text2"/>
          <w:lang w:val="fr-FR"/>
        </w:rPr>
      </w:pPr>
    </w:p>
    <w:p w:rsidR="004E0A2C" w:rsidRPr="004E0A2C" w:rsidRDefault="00515293">
      <w:pPr>
        <w:pStyle w:val="Paragraphedeliste"/>
        <w:numPr>
          <w:ilvl w:val="0"/>
          <w:numId w:val="10"/>
        </w:numPr>
        <w:spacing w:after="0" w:line="240" w:lineRule="auto"/>
        <w:ind w:right="115"/>
        <w:jc w:val="both"/>
        <w:divId w:val="410156154"/>
        <w:rPr>
          <w:rFonts w:asciiTheme="minorHAnsi" w:hAnsiTheme="minorHAnsi"/>
          <w:highlight w:val="cyan"/>
          <w:lang w:val="fr-FR"/>
        </w:rPr>
      </w:pPr>
      <w:r w:rsidRPr="004E0A2C">
        <w:rPr>
          <w:rFonts w:asciiTheme="minorHAnsi" w:hAnsiTheme="minorHAnsi"/>
          <w:highlight w:val="cyan"/>
          <w:lang w:val="fr-FR"/>
        </w:rPr>
        <w:t>Fournir une brève description du système de gestion des stocks en vigueur dans le pays (s’il est informatisé, manuel ou autre) ; mettre en exergue les problèmes prévisibles de gestion des stocks avec l’introduction du VPI et indiquer les mesures qui seront prises pour y remédier.</w:t>
      </w:r>
    </w:p>
    <w:p w:rsidR="004E0A2C" w:rsidRPr="00CF017C" w:rsidRDefault="008F3FCD" w:rsidP="00B563C2">
      <w:pPr>
        <w:jc w:val="both"/>
        <w:divId w:val="410156154"/>
        <w:rPr>
          <w:lang w:val="fr-FR"/>
        </w:rPr>
      </w:pPr>
      <w:r w:rsidRPr="00CF017C">
        <w:rPr>
          <w:lang w:val="fr-FR"/>
        </w:rPr>
        <w:t xml:space="preserve">Au Burkina Faso, </w:t>
      </w:r>
      <w:r w:rsidR="004E0A2C" w:rsidRPr="00CF017C">
        <w:rPr>
          <w:lang w:val="fr-FR"/>
        </w:rPr>
        <w:t xml:space="preserve">l'estimation des besoins annuels est basée sur la méthode de la population cible en utilisant les taux de perte rapportés et les objectifs nationaux. Elle se fait </w:t>
      </w:r>
      <w:r w:rsidR="007004DA" w:rsidRPr="00CF017C">
        <w:rPr>
          <w:lang w:val="fr-FR"/>
        </w:rPr>
        <w:t>avec l’outil Forecast</w:t>
      </w:r>
      <w:r w:rsidR="00902944">
        <w:rPr>
          <w:lang w:val="fr-FR"/>
        </w:rPr>
        <w:t xml:space="preserve"> </w:t>
      </w:r>
      <w:r w:rsidR="004E0A2C" w:rsidRPr="00CF017C">
        <w:rPr>
          <w:lang w:val="fr-FR"/>
        </w:rPr>
        <w:t xml:space="preserve">au cours d’un atelier national de prévision des intrants </w:t>
      </w:r>
      <w:r w:rsidRPr="00CF017C">
        <w:rPr>
          <w:lang w:val="fr-FR"/>
        </w:rPr>
        <w:t>regroupant les agents de la direction du P</w:t>
      </w:r>
      <w:r w:rsidR="007004DA">
        <w:rPr>
          <w:lang w:val="fr-FR"/>
        </w:rPr>
        <w:t>EV et les partenaires impliqués</w:t>
      </w:r>
      <w:r w:rsidR="004E0A2C" w:rsidRPr="00CF017C">
        <w:rPr>
          <w:lang w:val="fr-FR"/>
        </w:rPr>
        <w:t xml:space="preserve">. </w:t>
      </w:r>
    </w:p>
    <w:p w:rsidR="004E0A2C" w:rsidRPr="00CF017C" w:rsidRDefault="004E0A2C" w:rsidP="00B563C2">
      <w:pPr>
        <w:jc w:val="both"/>
        <w:divId w:val="410156154"/>
        <w:rPr>
          <w:lang w:val="fr-FR"/>
        </w:rPr>
      </w:pPr>
    </w:p>
    <w:p w:rsidR="004E0A2C" w:rsidRPr="00CF017C" w:rsidRDefault="004E0A2C" w:rsidP="00B563C2">
      <w:pPr>
        <w:jc w:val="both"/>
        <w:divId w:val="410156154"/>
        <w:rPr>
          <w:lang w:val="fr-FR"/>
        </w:rPr>
      </w:pPr>
      <w:r w:rsidRPr="00CF017C">
        <w:rPr>
          <w:lang w:val="fr-FR"/>
        </w:rPr>
        <w:t>L</w:t>
      </w:r>
      <w:r w:rsidR="006820DD" w:rsidRPr="00CF017C">
        <w:rPr>
          <w:lang w:val="fr-FR"/>
        </w:rPr>
        <w:t>’</w:t>
      </w:r>
      <w:r w:rsidRPr="00CF017C">
        <w:rPr>
          <w:lang w:val="fr-FR"/>
        </w:rPr>
        <w:t xml:space="preserve">approvisionnement du pays en vaccins et consommables pour le PEV se </w:t>
      </w:r>
      <w:r w:rsidR="006820DD" w:rsidRPr="00CF017C">
        <w:rPr>
          <w:lang w:val="fr-FR"/>
        </w:rPr>
        <w:t>fait à travers l’UNICEF.</w:t>
      </w:r>
      <w:r w:rsidR="006820DD" w:rsidRPr="00860CC3">
        <w:rPr>
          <w:bCs/>
          <w:lang w:val="fr-FR"/>
        </w:rPr>
        <w:t xml:space="preserve"> Il est semestriel pour le niveau national.</w:t>
      </w:r>
    </w:p>
    <w:p w:rsidR="004E0A2C" w:rsidRPr="00CF017C" w:rsidRDefault="004E0A2C" w:rsidP="00B563C2">
      <w:pPr>
        <w:jc w:val="both"/>
        <w:divId w:val="410156154"/>
        <w:rPr>
          <w:lang w:val="fr-FR"/>
        </w:rPr>
      </w:pPr>
    </w:p>
    <w:p w:rsidR="004E0A2C" w:rsidRPr="00CF017C" w:rsidRDefault="004E0A2C" w:rsidP="00152812">
      <w:pPr>
        <w:autoSpaceDE w:val="0"/>
        <w:autoSpaceDN w:val="0"/>
        <w:adjustRightInd w:val="0"/>
        <w:jc w:val="both"/>
        <w:divId w:val="410156154"/>
        <w:rPr>
          <w:lang w:val="fr-FR"/>
        </w:rPr>
      </w:pPr>
      <w:r w:rsidRPr="00CF017C">
        <w:rPr>
          <w:lang w:val="fr-FR"/>
        </w:rPr>
        <w:t xml:space="preserve">Au niveau central, </w:t>
      </w:r>
      <w:r w:rsidR="00B903FF" w:rsidRPr="00CF017C">
        <w:rPr>
          <w:lang w:val="fr-FR"/>
        </w:rPr>
        <w:t xml:space="preserve">régional et district, </w:t>
      </w:r>
      <w:r w:rsidRPr="00CF017C">
        <w:rPr>
          <w:lang w:val="fr-FR"/>
        </w:rPr>
        <w:t xml:space="preserve">le système d’enregistrement est informatisé </w:t>
      </w:r>
      <w:r w:rsidR="00152812">
        <w:rPr>
          <w:lang w:val="fr-FR"/>
        </w:rPr>
        <w:t xml:space="preserve">par l’utilisation du System Management Tools </w:t>
      </w:r>
      <w:r w:rsidRPr="00CF017C">
        <w:rPr>
          <w:lang w:val="fr-FR"/>
        </w:rPr>
        <w:t xml:space="preserve">(SMT). </w:t>
      </w:r>
      <w:r w:rsidR="00152812">
        <w:rPr>
          <w:lang w:val="fr-FR"/>
        </w:rPr>
        <w:t xml:space="preserve">Les mouvements de stocks des </w:t>
      </w:r>
      <w:r w:rsidRPr="00CF017C">
        <w:rPr>
          <w:lang w:val="fr-FR"/>
        </w:rPr>
        <w:t>vaccins et consommables sont enregistrées par type, numéro de lot, date d’expiration, état de la PCV fabricant, conditionnement. Il existe des registres et des fiches de stock pour l’enregistrement manuel renforçant le système informatique. Tous les intrants du PEV sont rangés par type et par lot et l</w:t>
      </w:r>
      <w:r w:rsidR="00152812">
        <w:rPr>
          <w:lang w:val="fr-FR"/>
        </w:rPr>
        <w:t xml:space="preserve">a gestion </w:t>
      </w:r>
      <w:r w:rsidRPr="00CF017C">
        <w:rPr>
          <w:lang w:val="fr-FR"/>
        </w:rPr>
        <w:t>se f</w:t>
      </w:r>
      <w:r w:rsidR="00152812">
        <w:rPr>
          <w:lang w:val="fr-FR"/>
        </w:rPr>
        <w:t>ait</w:t>
      </w:r>
      <w:r w:rsidRPr="00CF017C">
        <w:rPr>
          <w:lang w:val="fr-FR"/>
        </w:rPr>
        <w:t xml:space="preserve"> selon le principe P</w:t>
      </w:r>
      <w:r w:rsidR="00152812">
        <w:rPr>
          <w:lang w:val="fr-FR"/>
        </w:rPr>
        <w:t>P</w:t>
      </w:r>
      <w:r w:rsidRPr="00CF017C">
        <w:rPr>
          <w:lang w:val="fr-FR"/>
        </w:rPr>
        <w:t xml:space="preserve">PS (Premier </w:t>
      </w:r>
      <w:r w:rsidR="00152812">
        <w:rPr>
          <w:lang w:val="fr-FR"/>
        </w:rPr>
        <w:t>Périmé</w:t>
      </w:r>
      <w:r w:rsidRPr="00CF017C">
        <w:rPr>
          <w:lang w:val="fr-FR"/>
        </w:rPr>
        <w:t xml:space="preserve">, Premier Sorti). Un inventaire </w:t>
      </w:r>
      <w:r w:rsidR="00B903FF" w:rsidRPr="00CF017C">
        <w:rPr>
          <w:lang w:val="fr-FR"/>
        </w:rPr>
        <w:t xml:space="preserve">est fait </w:t>
      </w:r>
      <w:r w:rsidR="00B903FF" w:rsidRPr="00152812">
        <w:rPr>
          <w:lang w:val="fr-FR"/>
        </w:rPr>
        <w:t>semestriellement au niveau central</w:t>
      </w:r>
      <w:r w:rsidR="00152812" w:rsidRPr="00152812">
        <w:rPr>
          <w:lang w:val="fr-FR"/>
        </w:rPr>
        <w:t>, trimestriellement au niveau régional, bimensuellement au niveau district et mensuellement pour le niveau centre de santé</w:t>
      </w:r>
      <w:r w:rsidRPr="00152812">
        <w:rPr>
          <w:lang w:val="fr-FR"/>
        </w:rPr>
        <w:t>.</w:t>
      </w:r>
    </w:p>
    <w:p w:rsidR="004E0A2C" w:rsidRPr="00CF017C" w:rsidRDefault="004E0A2C" w:rsidP="00B563C2">
      <w:pPr>
        <w:autoSpaceDE w:val="0"/>
        <w:autoSpaceDN w:val="0"/>
        <w:adjustRightInd w:val="0"/>
        <w:jc w:val="both"/>
        <w:divId w:val="410156154"/>
        <w:rPr>
          <w:lang w:val="fr-FR"/>
        </w:rPr>
      </w:pPr>
    </w:p>
    <w:p w:rsidR="004E0A2C" w:rsidRPr="00CF017C" w:rsidRDefault="004E0A2C" w:rsidP="00C53EAC">
      <w:pPr>
        <w:autoSpaceDE w:val="0"/>
        <w:autoSpaceDN w:val="0"/>
        <w:adjustRightInd w:val="0"/>
        <w:jc w:val="both"/>
        <w:divId w:val="410156154"/>
        <w:rPr>
          <w:lang w:val="fr-FR"/>
        </w:rPr>
      </w:pPr>
      <w:r w:rsidRPr="00CF017C">
        <w:rPr>
          <w:lang w:val="fr-FR"/>
        </w:rPr>
        <w:t xml:space="preserve">Au niveau </w:t>
      </w:r>
      <w:r w:rsidR="00B903FF" w:rsidRPr="00CF017C">
        <w:rPr>
          <w:lang w:val="fr-FR"/>
        </w:rPr>
        <w:t>CSPS</w:t>
      </w:r>
      <w:r w:rsidR="00F629D5">
        <w:rPr>
          <w:lang w:val="fr-FR"/>
        </w:rPr>
        <w:t>, i</w:t>
      </w:r>
      <w:r w:rsidRPr="00CF017C">
        <w:rPr>
          <w:lang w:val="fr-FR"/>
        </w:rPr>
        <w:t>l existe des registres et des fiches de stock pour l’enregistrement manuel des mouvements de</w:t>
      </w:r>
      <w:r w:rsidR="00152812">
        <w:rPr>
          <w:lang w:val="fr-FR"/>
        </w:rPr>
        <w:t xml:space="preserve"> stocks.</w:t>
      </w:r>
      <w:r w:rsidRPr="00CF017C">
        <w:rPr>
          <w:lang w:val="fr-FR"/>
        </w:rPr>
        <w:t xml:space="preserve"> Toutes les entrées et sorties (vaccins et consommables) sont enregistrées par type, numéro de lot, date d’expiration, état de la PCV (Pastille de contrôle </w:t>
      </w:r>
      <w:r w:rsidRPr="00CF017C">
        <w:rPr>
          <w:lang w:val="fr-FR"/>
        </w:rPr>
        <w:lastRenderedPageBreak/>
        <w:t xml:space="preserve">des vaccins fabricant, conditionnement. </w:t>
      </w:r>
      <w:r w:rsidR="00152812">
        <w:rPr>
          <w:lang w:val="fr-FR"/>
        </w:rPr>
        <w:t xml:space="preserve">Les vaccins du PEV sont </w:t>
      </w:r>
      <w:r w:rsidRPr="00CF017C">
        <w:rPr>
          <w:lang w:val="fr-FR"/>
        </w:rPr>
        <w:t xml:space="preserve">rangés </w:t>
      </w:r>
      <w:r w:rsidR="00C53EAC">
        <w:rPr>
          <w:lang w:val="fr-FR"/>
        </w:rPr>
        <w:t xml:space="preserve">selon leur degré de sensibilité à la chaleur et à la congélation. La gestion de stocks se fait selon le principe </w:t>
      </w:r>
      <w:r w:rsidR="00C53EAC" w:rsidRPr="00CF017C">
        <w:rPr>
          <w:lang w:val="fr-FR"/>
        </w:rPr>
        <w:t>P</w:t>
      </w:r>
      <w:r w:rsidR="00C53EAC">
        <w:rPr>
          <w:lang w:val="fr-FR"/>
        </w:rPr>
        <w:t>P</w:t>
      </w:r>
      <w:r w:rsidR="00C53EAC" w:rsidRPr="00CF017C">
        <w:rPr>
          <w:lang w:val="fr-FR"/>
        </w:rPr>
        <w:t xml:space="preserve">PS (Premier </w:t>
      </w:r>
      <w:r w:rsidR="00C53EAC">
        <w:rPr>
          <w:lang w:val="fr-FR"/>
        </w:rPr>
        <w:t>Périmé, Premier Sorti)</w:t>
      </w:r>
      <w:r w:rsidRPr="00CF017C">
        <w:rPr>
          <w:lang w:val="fr-FR"/>
        </w:rPr>
        <w:t xml:space="preserve">. Un inventaire mensuel des stocks est fait, enregistré, puis communiqué </w:t>
      </w:r>
      <w:r w:rsidR="00B903FF" w:rsidRPr="00CF017C">
        <w:rPr>
          <w:lang w:val="fr-FR"/>
        </w:rPr>
        <w:t>au district</w:t>
      </w:r>
      <w:r w:rsidRPr="00CF017C">
        <w:rPr>
          <w:lang w:val="fr-FR"/>
        </w:rPr>
        <w:t>.</w:t>
      </w:r>
    </w:p>
    <w:p w:rsidR="004E0A2C" w:rsidRPr="00CF017C" w:rsidRDefault="004E0A2C" w:rsidP="00B563C2">
      <w:pPr>
        <w:autoSpaceDE w:val="0"/>
        <w:autoSpaceDN w:val="0"/>
        <w:adjustRightInd w:val="0"/>
        <w:jc w:val="both"/>
        <w:divId w:val="410156154"/>
        <w:rPr>
          <w:lang w:val="fr-FR"/>
        </w:rPr>
      </w:pPr>
    </w:p>
    <w:p w:rsidR="004E0A2C" w:rsidRPr="00CF017C" w:rsidRDefault="004E0A2C" w:rsidP="00B563C2">
      <w:pPr>
        <w:pStyle w:val="Listecouleur-Accent11"/>
        <w:spacing w:after="0" w:line="240" w:lineRule="auto"/>
        <w:ind w:left="0" w:right="235"/>
        <w:jc w:val="both"/>
        <w:divId w:val="410156154"/>
        <w:rPr>
          <w:rFonts w:ascii="Times New Roman" w:eastAsia="Times New Roman" w:hAnsi="Times New Roman"/>
          <w:sz w:val="24"/>
          <w:szCs w:val="24"/>
          <w:lang w:val="fr-FR" w:eastAsia="en-GB"/>
        </w:rPr>
      </w:pPr>
      <w:r w:rsidRPr="00CF017C">
        <w:rPr>
          <w:rFonts w:ascii="Times New Roman" w:eastAsia="Times New Roman" w:hAnsi="Times New Roman"/>
          <w:sz w:val="24"/>
          <w:szCs w:val="24"/>
          <w:lang w:val="fr-FR" w:eastAsia="en-GB"/>
        </w:rPr>
        <w:t>Pour l’introduction du VPI, une supervision avant, pendant et après cette introduction, va permettre de renforcer les compétences du personnel dans la gestion des stocks en plus de la formation qui sera faite.</w:t>
      </w:r>
    </w:p>
    <w:p w:rsidR="00B903FF" w:rsidRPr="00CF017C" w:rsidRDefault="00B903FF" w:rsidP="00B563C2">
      <w:pPr>
        <w:pStyle w:val="Listecouleur-Accent11"/>
        <w:spacing w:after="0" w:line="240" w:lineRule="auto"/>
        <w:ind w:left="0" w:right="235"/>
        <w:jc w:val="both"/>
        <w:divId w:val="410156154"/>
        <w:rPr>
          <w:rFonts w:ascii="Times New Roman" w:eastAsia="Times New Roman" w:hAnsi="Times New Roman"/>
          <w:sz w:val="24"/>
          <w:szCs w:val="24"/>
          <w:lang w:val="fr-FR" w:eastAsia="en-GB"/>
        </w:rPr>
      </w:pPr>
    </w:p>
    <w:p w:rsidR="00536131" w:rsidRDefault="00515293">
      <w:pPr>
        <w:pStyle w:val="Paragraphedeliste"/>
        <w:numPr>
          <w:ilvl w:val="0"/>
          <w:numId w:val="10"/>
        </w:numPr>
        <w:spacing w:after="0" w:line="240" w:lineRule="auto"/>
        <w:ind w:right="115"/>
        <w:jc w:val="both"/>
        <w:divId w:val="410156154"/>
        <w:rPr>
          <w:rFonts w:asciiTheme="minorHAnsi" w:hAnsiTheme="minorHAnsi"/>
          <w:highlight w:val="cyan"/>
          <w:lang w:val="fr-FR"/>
        </w:rPr>
      </w:pPr>
      <w:r w:rsidRPr="00B903FF">
        <w:rPr>
          <w:rFonts w:asciiTheme="minorHAnsi" w:hAnsiTheme="minorHAnsi"/>
          <w:highlight w:val="cyan"/>
          <w:lang w:val="fr-FR"/>
        </w:rPr>
        <w:t xml:space="preserve">Décrire le système de transport disponible pour assurer la livraison des vaccins à la périphérie ; déterminer s’il convient d’augmenter la fréquence de livraison et, si tel est le cas, vérifier que des fonds suffisants sont disponibles (pour les véhicules, les chauffeurs, le carburant et les indemnités journalières, entre autres) en vue d’assurer la distribution du nouveau vaccin à tous les niveaux.   </w:t>
      </w:r>
    </w:p>
    <w:p w:rsidR="00515293" w:rsidRPr="00B903FF" w:rsidRDefault="00515293" w:rsidP="00536131">
      <w:pPr>
        <w:pStyle w:val="Paragraphedeliste"/>
        <w:spacing w:after="0" w:line="240" w:lineRule="auto"/>
        <w:ind w:right="115"/>
        <w:jc w:val="both"/>
        <w:divId w:val="410156154"/>
        <w:rPr>
          <w:rFonts w:asciiTheme="minorHAnsi" w:hAnsiTheme="minorHAnsi"/>
          <w:highlight w:val="cyan"/>
          <w:lang w:val="fr-FR"/>
        </w:rPr>
      </w:pPr>
      <w:r w:rsidRPr="00B903FF">
        <w:rPr>
          <w:rFonts w:asciiTheme="minorHAnsi" w:hAnsiTheme="minorHAnsi"/>
          <w:highlight w:val="cyan"/>
          <w:lang w:val="fr-FR"/>
        </w:rPr>
        <w:t xml:space="preserve">  </w:t>
      </w:r>
    </w:p>
    <w:p w:rsidR="00205204" w:rsidRPr="00AF44E3" w:rsidRDefault="00205204" w:rsidP="00C53EAC">
      <w:pPr>
        <w:ind w:right="115"/>
        <w:jc w:val="both"/>
        <w:divId w:val="410156154"/>
        <w:rPr>
          <w:color w:val="000000"/>
          <w:highlight w:val="lightGray"/>
          <w:lang w:val="fr-FR"/>
        </w:rPr>
      </w:pPr>
      <w:r w:rsidRPr="00860CC3">
        <w:rPr>
          <w:bCs/>
          <w:lang w:val="fr-FR"/>
        </w:rPr>
        <w:t>L</w:t>
      </w:r>
      <w:r w:rsidR="00C53EAC" w:rsidRPr="00860CC3">
        <w:rPr>
          <w:bCs/>
          <w:lang w:val="fr-FR"/>
        </w:rPr>
        <w:t xml:space="preserve">e transport </w:t>
      </w:r>
      <w:r w:rsidRPr="00860CC3">
        <w:rPr>
          <w:bCs/>
          <w:lang w:val="fr-FR"/>
        </w:rPr>
        <w:t xml:space="preserve">des vaccins </w:t>
      </w:r>
      <w:r w:rsidR="00C53EAC" w:rsidRPr="00860CC3">
        <w:rPr>
          <w:bCs/>
          <w:lang w:val="fr-FR"/>
        </w:rPr>
        <w:t xml:space="preserve">du niveau central vers les régions se fait par des </w:t>
      </w:r>
      <w:r w:rsidRPr="00860CC3">
        <w:rPr>
          <w:bCs/>
          <w:lang w:val="fr-FR"/>
        </w:rPr>
        <w:t xml:space="preserve">camions </w:t>
      </w:r>
      <w:r w:rsidR="00A14AED" w:rsidRPr="00860CC3">
        <w:rPr>
          <w:bCs/>
          <w:lang w:val="fr-FR"/>
        </w:rPr>
        <w:t xml:space="preserve">frigorifiques </w:t>
      </w:r>
      <w:r w:rsidR="00CE6487" w:rsidRPr="00860CC3">
        <w:rPr>
          <w:bCs/>
          <w:lang w:val="fr-FR"/>
        </w:rPr>
        <w:t xml:space="preserve">et </w:t>
      </w:r>
      <w:r w:rsidR="00C53EAC" w:rsidRPr="00860CC3">
        <w:rPr>
          <w:bCs/>
          <w:lang w:val="fr-FR"/>
        </w:rPr>
        <w:t xml:space="preserve">celui des consommables par des </w:t>
      </w:r>
      <w:r w:rsidR="00A14AED" w:rsidRPr="00860CC3">
        <w:rPr>
          <w:bCs/>
          <w:lang w:val="fr-FR"/>
        </w:rPr>
        <w:t xml:space="preserve">camions </w:t>
      </w:r>
      <w:r w:rsidRPr="00860CC3">
        <w:rPr>
          <w:bCs/>
          <w:lang w:val="fr-FR"/>
        </w:rPr>
        <w:t xml:space="preserve">de </w:t>
      </w:r>
      <w:r w:rsidR="00A14AED" w:rsidRPr="00860CC3">
        <w:rPr>
          <w:bCs/>
          <w:lang w:val="fr-FR"/>
        </w:rPr>
        <w:t xml:space="preserve">10 tonnes. </w:t>
      </w:r>
    </w:p>
    <w:p w:rsidR="00205204" w:rsidRPr="00860CC3" w:rsidRDefault="00205204" w:rsidP="00C53EAC">
      <w:pPr>
        <w:spacing w:before="120" w:after="120"/>
        <w:ind w:right="480"/>
        <w:jc w:val="both"/>
        <w:divId w:val="410156154"/>
        <w:rPr>
          <w:bCs/>
          <w:lang w:val="fr-FR"/>
        </w:rPr>
      </w:pPr>
      <w:r w:rsidRPr="00860CC3">
        <w:rPr>
          <w:bCs/>
          <w:lang w:val="fr-FR"/>
        </w:rPr>
        <w:t>Les districts utilisent des véhicules pick-up pour le ravitaillement en vaccins et consommables</w:t>
      </w:r>
      <w:r w:rsidR="00C53EAC" w:rsidRPr="00860CC3">
        <w:rPr>
          <w:bCs/>
          <w:lang w:val="fr-FR"/>
        </w:rPr>
        <w:t xml:space="preserve"> aux dépôts régionaux</w:t>
      </w:r>
      <w:r w:rsidRPr="00860CC3">
        <w:rPr>
          <w:bCs/>
          <w:lang w:val="fr-FR"/>
        </w:rPr>
        <w:t xml:space="preserve">. </w:t>
      </w:r>
    </w:p>
    <w:p w:rsidR="00205204" w:rsidRPr="00C53EAC" w:rsidRDefault="00205204" w:rsidP="00C53EAC">
      <w:pPr>
        <w:spacing w:before="120" w:after="120"/>
        <w:ind w:right="240"/>
        <w:jc w:val="both"/>
        <w:divId w:val="410156154"/>
        <w:rPr>
          <w:lang w:val="fr-FR"/>
        </w:rPr>
      </w:pPr>
      <w:proofErr w:type="gramStart"/>
      <w:r w:rsidRPr="00C53EAC">
        <w:rPr>
          <w:lang w:val="fr-FR"/>
        </w:rPr>
        <w:t>les</w:t>
      </w:r>
      <w:proofErr w:type="gramEnd"/>
      <w:r w:rsidRPr="00C53EAC">
        <w:rPr>
          <w:lang w:val="fr-FR"/>
        </w:rPr>
        <w:t xml:space="preserve"> centres de santé s’approvisionnent chaque mois au niveau des dépôts des districts sanitaires</w:t>
      </w:r>
      <w:r w:rsidR="00CE6487" w:rsidRPr="00C53EAC">
        <w:rPr>
          <w:lang w:val="fr-FR"/>
        </w:rPr>
        <w:t xml:space="preserve"> à l’aid</w:t>
      </w:r>
      <w:r w:rsidR="00C53EAC">
        <w:rPr>
          <w:lang w:val="fr-FR"/>
        </w:rPr>
        <w:t>e de</w:t>
      </w:r>
      <w:r w:rsidR="00CE6487" w:rsidRPr="00C53EAC">
        <w:rPr>
          <w:lang w:val="fr-FR"/>
        </w:rPr>
        <w:t xml:space="preserve"> motos</w:t>
      </w:r>
      <w:r w:rsidRPr="00C53EAC">
        <w:rPr>
          <w:lang w:val="fr-FR"/>
        </w:rPr>
        <w:t>.</w:t>
      </w:r>
    </w:p>
    <w:p w:rsidR="00A14AED" w:rsidRPr="00860CC3" w:rsidRDefault="00CE6487" w:rsidP="00C53EAC">
      <w:pPr>
        <w:spacing w:before="120"/>
        <w:ind w:right="120"/>
        <w:jc w:val="both"/>
        <w:divId w:val="410156154"/>
        <w:rPr>
          <w:bCs/>
          <w:lang w:val="fr-FR"/>
        </w:rPr>
      </w:pPr>
      <w:r w:rsidRPr="00860CC3">
        <w:rPr>
          <w:bCs/>
          <w:lang w:val="fr-FR"/>
        </w:rPr>
        <w:t xml:space="preserve">La distribution du VPI va s’intégrer au système </w:t>
      </w:r>
      <w:r w:rsidR="00536131">
        <w:rPr>
          <w:bCs/>
          <w:lang w:val="fr-FR"/>
        </w:rPr>
        <w:t>d’approvi</w:t>
      </w:r>
      <w:r w:rsidR="00AF44E3" w:rsidRPr="00860CC3">
        <w:rPr>
          <w:bCs/>
          <w:lang w:val="fr-FR"/>
        </w:rPr>
        <w:t>sionnement</w:t>
      </w:r>
      <w:r w:rsidR="00536131">
        <w:rPr>
          <w:bCs/>
          <w:lang w:val="fr-FR"/>
        </w:rPr>
        <w:t xml:space="preserve"> </w:t>
      </w:r>
      <w:r w:rsidRPr="00860CC3">
        <w:rPr>
          <w:bCs/>
          <w:lang w:val="fr-FR"/>
        </w:rPr>
        <w:t xml:space="preserve">existant. </w:t>
      </w:r>
      <w:r w:rsidR="00AF44E3" w:rsidRPr="00860CC3">
        <w:rPr>
          <w:bCs/>
          <w:lang w:val="fr-FR"/>
        </w:rPr>
        <w:t xml:space="preserve">De ce fait </w:t>
      </w:r>
      <w:r w:rsidR="00A14AED" w:rsidRPr="00860CC3">
        <w:rPr>
          <w:bCs/>
          <w:lang w:val="fr-FR"/>
        </w:rPr>
        <w:t xml:space="preserve">l’introduction du VPI ne modifiera </w:t>
      </w:r>
      <w:r w:rsidR="00C53EAC" w:rsidRPr="00860CC3">
        <w:rPr>
          <w:bCs/>
          <w:lang w:val="fr-FR"/>
        </w:rPr>
        <w:t>ni</w:t>
      </w:r>
      <w:r w:rsidR="00A14AED" w:rsidRPr="00860CC3">
        <w:rPr>
          <w:bCs/>
          <w:lang w:val="fr-FR"/>
        </w:rPr>
        <w:t xml:space="preserve"> le rythme d’approvisionnement </w:t>
      </w:r>
      <w:r w:rsidR="00C53EAC" w:rsidRPr="00860CC3">
        <w:rPr>
          <w:bCs/>
          <w:lang w:val="fr-FR"/>
        </w:rPr>
        <w:t>ni</w:t>
      </w:r>
      <w:r w:rsidR="00A14AED" w:rsidRPr="00860CC3">
        <w:rPr>
          <w:bCs/>
          <w:lang w:val="fr-FR"/>
        </w:rPr>
        <w:t xml:space="preserve"> les moyens de transport existants.</w:t>
      </w:r>
    </w:p>
    <w:p w:rsidR="00CE6487" w:rsidRPr="00AF44E3" w:rsidRDefault="00AF44E3" w:rsidP="00B563C2">
      <w:pPr>
        <w:spacing w:before="120"/>
        <w:ind w:right="120"/>
        <w:jc w:val="both"/>
        <w:divId w:val="410156154"/>
        <w:rPr>
          <w:color w:val="000000"/>
          <w:lang w:val="fr-FR"/>
        </w:rPr>
      </w:pPr>
      <w:r w:rsidRPr="00AF44E3">
        <w:rPr>
          <w:color w:val="000000"/>
          <w:lang w:val="fr-FR"/>
        </w:rPr>
        <w:t>Le coût du</w:t>
      </w:r>
      <w:r w:rsidR="00CE6487" w:rsidRPr="00AF44E3">
        <w:rPr>
          <w:color w:val="000000"/>
          <w:lang w:val="fr-FR"/>
        </w:rPr>
        <w:t xml:space="preserve"> transport des vaccins et consommables est pris en compte dans les plans opérationnels des </w:t>
      </w:r>
      <w:r w:rsidRPr="00AF44E3">
        <w:rPr>
          <w:color w:val="000000"/>
          <w:lang w:val="fr-FR"/>
        </w:rPr>
        <w:t>s</w:t>
      </w:r>
      <w:r w:rsidR="00CE6487" w:rsidRPr="00AF44E3">
        <w:rPr>
          <w:color w:val="000000"/>
          <w:lang w:val="fr-FR"/>
        </w:rPr>
        <w:t xml:space="preserve">tructures sanitaires. Ainsi, il est assuré par le budget de l’Etat et par le recouvrement des recettes </w:t>
      </w:r>
      <w:r w:rsidRPr="00AF44E3">
        <w:rPr>
          <w:color w:val="000000"/>
          <w:lang w:val="fr-FR"/>
        </w:rPr>
        <w:t xml:space="preserve">au niveau </w:t>
      </w:r>
      <w:r w:rsidR="00CE6487" w:rsidRPr="00AF44E3">
        <w:rPr>
          <w:color w:val="000000"/>
          <w:lang w:val="fr-FR"/>
        </w:rPr>
        <w:t>des centres de santé.</w:t>
      </w:r>
    </w:p>
    <w:p w:rsidR="00B563C2" w:rsidRDefault="00B563C2" w:rsidP="00B563C2">
      <w:pPr>
        <w:jc w:val="both"/>
        <w:divId w:val="410156154"/>
        <w:rPr>
          <w:lang w:val="fr-FR"/>
        </w:rPr>
      </w:pPr>
    </w:p>
    <w:p w:rsidR="000A2CB6" w:rsidRPr="00AF44E3" w:rsidRDefault="00515293" w:rsidP="00AF44E3">
      <w:pPr>
        <w:spacing w:after="120" w:line="360" w:lineRule="auto"/>
        <w:jc w:val="both"/>
        <w:divId w:val="410156154"/>
        <w:rPr>
          <w:rFonts w:eastAsia="SimSun"/>
          <w:b/>
          <w:color w:val="1F497D" w:themeColor="text2"/>
          <w:lang w:val="fr-FR"/>
        </w:rPr>
      </w:pPr>
      <w:r w:rsidRPr="00AF44E3">
        <w:rPr>
          <w:rFonts w:eastAsia="SimSun"/>
          <w:b/>
          <w:color w:val="1F497D" w:themeColor="text2"/>
          <w:lang w:val="fr-FR"/>
        </w:rPr>
        <w:t xml:space="preserve">5. Suivi-évaluation   </w:t>
      </w:r>
    </w:p>
    <w:p w:rsidR="000A2CB6" w:rsidRPr="00AF44E3" w:rsidRDefault="00515293" w:rsidP="00AF44E3">
      <w:pPr>
        <w:spacing w:line="360" w:lineRule="auto"/>
        <w:jc w:val="both"/>
        <w:divId w:val="410156154"/>
        <w:rPr>
          <w:bCs/>
          <w:color w:val="1F497D" w:themeColor="text2"/>
          <w:lang w:val="fr-FR"/>
        </w:rPr>
      </w:pPr>
      <w:r w:rsidRPr="00AF44E3">
        <w:rPr>
          <w:bCs/>
          <w:color w:val="1F497D" w:themeColor="text2"/>
          <w:lang w:val="fr-FR"/>
        </w:rPr>
        <w:t xml:space="preserve">5.1  Mise à jour des instruments de suivi   </w:t>
      </w:r>
    </w:p>
    <w:p w:rsidR="00FB3939" w:rsidRPr="00D842C6" w:rsidRDefault="00515293">
      <w:pPr>
        <w:pStyle w:val="Paragraphedeliste"/>
        <w:numPr>
          <w:ilvl w:val="0"/>
          <w:numId w:val="7"/>
        </w:numPr>
        <w:spacing w:after="0" w:line="240" w:lineRule="auto"/>
        <w:ind w:right="115"/>
        <w:jc w:val="both"/>
        <w:divId w:val="410156154"/>
        <w:rPr>
          <w:b/>
          <w:bCs/>
          <w:highlight w:val="cyan"/>
          <w:lang w:val="fr-FR"/>
        </w:rPr>
      </w:pPr>
      <w:r w:rsidRPr="00FB3939">
        <w:rPr>
          <w:highlight w:val="cyan"/>
          <w:lang w:val="fr-FR"/>
        </w:rPr>
        <w:t xml:space="preserve">Décrire les mesures destinées à mettre à jour, imprimer et diffuser les instruments de suivi et de supervision du PEV (formats d’enregistrement et de diffusion, y compris fiches de pointage, registres, carnets de vaccination, tableaux muraux, bases de données informatisées, etc.) pour intégrer le VPI et les autres nouveaux vaccins présentés dans le PPAC, avant le lancement du vaccin.   </w:t>
      </w:r>
    </w:p>
    <w:p w:rsidR="00D842C6" w:rsidRPr="00FB3939" w:rsidRDefault="00D842C6" w:rsidP="00D842C6">
      <w:pPr>
        <w:pStyle w:val="Paragraphedeliste"/>
        <w:spacing w:after="0" w:line="240" w:lineRule="auto"/>
        <w:ind w:right="115"/>
        <w:jc w:val="both"/>
        <w:divId w:val="410156154"/>
        <w:rPr>
          <w:b/>
          <w:bCs/>
          <w:highlight w:val="cyan"/>
          <w:lang w:val="fr-FR"/>
        </w:rPr>
      </w:pPr>
    </w:p>
    <w:p w:rsidR="00056E98" w:rsidRPr="00860CC3" w:rsidRDefault="00056E98" w:rsidP="00B563C2">
      <w:pPr>
        <w:keepLines/>
        <w:tabs>
          <w:tab w:val="left" w:pos="426"/>
        </w:tabs>
        <w:jc w:val="both"/>
        <w:divId w:val="410156154"/>
        <w:rPr>
          <w:lang w:val="fr-FR"/>
        </w:rPr>
      </w:pPr>
      <w:r w:rsidRPr="00860CC3">
        <w:rPr>
          <w:lang w:val="fr-FR"/>
        </w:rPr>
        <w:t>Dans le but d’améliorer les performances du Système National d’Information Sanitaire, le ministère de la santé a élaboré un plan stratégique pour la période 2011-2020. Il vise à assurer la disponibilité à temps d’une information sanitaire de qualité accessible et utilisée par les acteurs du système de santé pour la planification et la prise de décision.</w:t>
      </w:r>
    </w:p>
    <w:p w:rsidR="00056E98" w:rsidRPr="00860CC3" w:rsidRDefault="00056E98" w:rsidP="00B563C2">
      <w:pPr>
        <w:keepLines/>
        <w:tabs>
          <w:tab w:val="left" w:pos="426"/>
        </w:tabs>
        <w:jc w:val="both"/>
        <w:divId w:val="410156154"/>
        <w:rPr>
          <w:lang w:val="fr-FR"/>
        </w:rPr>
      </w:pPr>
      <w:r w:rsidRPr="00860CC3">
        <w:rPr>
          <w:lang w:val="fr-FR"/>
        </w:rPr>
        <w:t>La collecte, l’analyse et la transmission des données sur les vaccinations se fait à travers les rapports mensuels PEV et de surveillance provenant des centres de santé.</w:t>
      </w:r>
    </w:p>
    <w:p w:rsidR="00056E98" w:rsidRPr="00860CC3" w:rsidRDefault="00056E98" w:rsidP="00B563C2">
      <w:pPr>
        <w:keepLines/>
        <w:tabs>
          <w:tab w:val="left" w:pos="426"/>
        </w:tabs>
        <w:jc w:val="both"/>
        <w:divId w:val="410156154"/>
        <w:rPr>
          <w:lang w:val="fr-FR"/>
        </w:rPr>
      </w:pPr>
      <w:r w:rsidRPr="00860CC3">
        <w:rPr>
          <w:lang w:val="fr-FR"/>
        </w:rPr>
        <w:t xml:space="preserve">Le circuit de transmission des données sur le PEV est le suivant : </w:t>
      </w:r>
    </w:p>
    <w:p w:rsidR="00056E98" w:rsidRPr="00860CC3" w:rsidRDefault="00056E98" w:rsidP="00B563C2">
      <w:pPr>
        <w:keepLines/>
        <w:tabs>
          <w:tab w:val="left" w:pos="426"/>
        </w:tabs>
        <w:jc w:val="both"/>
        <w:divId w:val="410156154"/>
        <w:rPr>
          <w:lang w:val="fr-FR"/>
        </w:rPr>
      </w:pPr>
      <w:r w:rsidRPr="00860CC3">
        <w:rPr>
          <w:lang w:val="fr-FR"/>
        </w:rPr>
        <w:t xml:space="preserve">Centre de santé </w:t>
      </w:r>
      <w:r w:rsidRPr="00056E98">
        <w:sym w:font="Wingdings" w:char="F0E0"/>
      </w:r>
      <w:r w:rsidRPr="00860CC3">
        <w:rPr>
          <w:lang w:val="fr-FR"/>
        </w:rPr>
        <w:t xml:space="preserve"> District</w:t>
      </w:r>
      <w:r w:rsidRPr="00056E98">
        <w:sym w:font="Wingdings" w:char="F0E0"/>
      </w:r>
      <w:r w:rsidRPr="00860CC3">
        <w:rPr>
          <w:lang w:val="fr-FR"/>
        </w:rPr>
        <w:t xml:space="preserve"> Direction régionale </w:t>
      </w:r>
      <w:r w:rsidRPr="00056E98">
        <w:sym w:font="Wingdings" w:char="F0E0"/>
      </w:r>
      <w:r w:rsidRPr="00860CC3">
        <w:rPr>
          <w:lang w:val="fr-FR"/>
        </w:rPr>
        <w:t xml:space="preserve"> Direction du PEV.</w:t>
      </w:r>
    </w:p>
    <w:p w:rsidR="00056E98" w:rsidRPr="00056E98" w:rsidRDefault="00056E98" w:rsidP="00B563C2">
      <w:pPr>
        <w:keepLines/>
        <w:tabs>
          <w:tab w:val="left" w:pos="426"/>
        </w:tabs>
        <w:jc w:val="both"/>
        <w:divId w:val="410156154"/>
      </w:pPr>
      <w:r w:rsidRPr="00860CC3">
        <w:rPr>
          <w:lang w:val="fr-FR"/>
        </w:rPr>
        <w:t xml:space="preserve">En prélude à l’introduction du VPI, le système d’information du PEV sera actualisé. </w:t>
      </w:r>
      <w:r w:rsidRPr="00056E98">
        <w:t xml:space="preserve">Les </w:t>
      </w:r>
      <w:r w:rsidR="00DA4B64" w:rsidRPr="00056E98">
        <w:t xml:space="preserve">outils </w:t>
      </w:r>
      <w:r w:rsidR="00DA4B64">
        <w:t>de</w:t>
      </w:r>
      <w:r w:rsidRPr="00056E98">
        <w:t xml:space="preserve"> gestion</w:t>
      </w:r>
      <w:r w:rsidR="00DA4B64">
        <w:t xml:space="preserve"> </w:t>
      </w:r>
      <w:r w:rsidRPr="00056E98">
        <w:t>seront</w:t>
      </w:r>
      <w:r w:rsidR="00DA4B64">
        <w:t xml:space="preserve"> </w:t>
      </w:r>
      <w:r w:rsidRPr="00056E98">
        <w:t xml:space="preserve">révisés. </w:t>
      </w:r>
      <w:r w:rsidR="00ED28DD" w:rsidRPr="00056E98">
        <w:t>IL</w:t>
      </w:r>
      <w:r w:rsidRPr="00056E98">
        <w:t xml:space="preserve"> s’agit</w:t>
      </w:r>
      <w:r w:rsidR="00DA4B64">
        <w:t xml:space="preserve"> </w:t>
      </w:r>
      <w:r w:rsidR="00DA4B64" w:rsidRPr="00056E98">
        <w:t>de:</w:t>
      </w:r>
    </w:p>
    <w:p w:rsidR="00056E98" w:rsidRPr="00860CC3" w:rsidRDefault="00056E98" w:rsidP="003046BF">
      <w:pPr>
        <w:keepLines/>
        <w:numPr>
          <w:ilvl w:val="0"/>
          <w:numId w:val="34"/>
        </w:numPr>
        <w:tabs>
          <w:tab w:val="left" w:pos="426"/>
        </w:tabs>
        <w:jc w:val="both"/>
        <w:divId w:val="410156154"/>
        <w:rPr>
          <w:lang w:val="fr-FR"/>
        </w:rPr>
      </w:pPr>
      <w:r w:rsidRPr="00860CC3">
        <w:rPr>
          <w:lang w:val="fr-FR"/>
        </w:rPr>
        <w:t>Registre de vaccination des enfants,</w:t>
      </w:r>
    </w:p>
    <w:p w:rsidR="00056E98" w:rsidRPr="00860CC3" w:rsidRDefault="00056E98" w:rsidP="003046BF">
      <w:pPr>
        <w:keepLines/>
        <w:numPr>
          <w:ilvl w:val="0"/>
          <w:numId w:val="34"/>
        </w:numPr>
        <w:tabs>
          <w:tab w:val="left" w:pos="426"/>
        </w:tabs>
        <w:jc w:val="both"/>
        <w:divId w:val="410156154"/>
        <w:rPr>
          <w:lang w:val="fr-FR"/>
        </w:rPr>
      </w:pPr>
      <w:r w:rsidRPr="00860CC3">
        <w:rPr>
          <w:lang w:val="fr-FR"/>
        </w:rPr>
        <w:lastRenderedPageBreak/>
        <w:t>Registre de vaccination des femmes enceintes,</w:t>
      </w:r>
    </w:p>
    <w:p w:rsidR="00056E98" w:rsidRPr="00056E98" w:rsidRDefault="00056E98" w:rsidP="003046BF">
      <w:pPr>
        <w:keepLines/>
        <w:numPr>
          <w:ilvl w:val="0"/>
          <w:numId w:val="34"/>
        </w:numPr>
        <w:tabs>
          <w:tab w:val="left" w:pos="426"/>
        </w:tabs>
        <w:jc w:val="both"/>
        <w:divId w:val="410156154"/>
      </w:pPr>
      <w:r w:rsidRPr="00056E98">
        <w:t xml:space="preserve">Rapport mensuel de vaccination, </w:t>
      </w:r>
    </w:p>
    <w:p w:rsidR="00056E98" w:rsidRPr="00860CC3" w:rsidRDefault="00056E98" w:rsidP="003046BF">
      <w:pPr>
        <w:keepLines/>
        <w:numPr>
          <w:ilvl w:val="0"/>
          <w:numId w:val="34"/>
        </w:numPr>
        <w:tabs>
          <w:tab w:val="left" w:pos="426"/>
        </w:tabs>
        <w:jc w:val="both"/>
        <w:divId w:val="410156154"/>
        <w:rPr>
          <w:lang w:val="fr-FR"/>
        </w:rPr>
      </w:pPr>
      <w:r w:rsidRPr="00860CC3">
        <w:rPr>
          <w:lang w:val="fr-FR"/>
        </w:rPr>
        <w:t>Registre de gestion des vaccins et diluants,</w:t>
      </w:r>
    </w:p>
    <w:p w:rsidR="00056E98" w:rsidRPr="00860CC3" w:rsidRDefault="00056E98" w:rsidP="003046BF">
      <w:pPr>
        <w:keepLines/>
        <w:numPr>
          <w:ilvl w:val="0"/>
          <w:numId w:val="34"/>
        </w:numPr>
        <w:tabs>
          <w:tab w:val="left" w:pos="426"/>
        </w:tabs>
        <w:jc w:val="both"/>
        <w:divId w:val="410156154"/>
        <w:rPr>
          <w:lang w:val="fr-FR"/>
        </w:rPr>
      </w:pPr>
      <w:r w:rsidRPr="00860CC3">
        <w:rPr>
          <w:lang w:val="fr-FR"/>
        </w:rPr>
        <w:t>Graphique de surveillance de la couverture vaccinale,</w:t>
      </w:r>
    </w:p>
    <w:p w:rsidR="00056E98" w:rsidRPr="00860CC3" w:rsidRDefault="00056E98" w:rsidP="003046BF">
      <w:pPr>
        <w:keepLines/>
        <w:numPr>
          <w:ilvl w:val="0"/>
          <w:numId w:val="34"/>
        </w:numPr>
        <w:tabs>
          <w:tab w:val="left" w:pos="426"/>
        </w:tabs>
        <w:jc w:val="both"/>
        <w:divId w:val="410156154"/>
        <w:rPr>
          <w:lang w:val="fr-FR"/>
        </w:rPr>
      </w:pPr>
      <w:r w:rsidRPr="00860CC3">
        <w:rPr>
          <w:lang w:val="fr-FR"/>
        </w:rPr>
        <w:t>Registre de gestion des consommables,</w:t>
      </w:r>
    </w:p>
    <w:p w:rsidR="00056E98" w:rsidRPr="00860CC3" w:rsidRDefault="00056E98" w:rsidP="003046BF">
      <w:pPr>
        <w:keepLines/>
        <w:numPr>
          <w:ilvl w:val="0"/>
          <w:numId w:val="34"/>
        </w:numPr>
        <w:tabs>
          <w:tab w:val="left" w:pos="426"/>
        </w:tabs>
        <w:jc w:val="both"/>
        <w:divId w:val="410156154"/>
        <w:rPr>
          <w:lang w:val="fr-FR"/>
        </w:rPr>
      </w:pPr>
      <w:r w:rsidRPr="00860CC3">
        <w:rPr>
          <w:lang w:val="fr-FR"/>
        </w:rPr>
        <w:t>Carnet de bons de commande et de livraison des vaccins et consommables;</w:t>
      </w:r>
    </w:p>
    <w:p w:rsidR="00056E98" w:rsidRPr="00056E98" w:rsidRDefault="00056E98" w:rsidP="003046BF">
      <w:pPr>
        <w:pStyle w:val="Listecouleur-Accent11"/>
        <w:numPr>
          <w:ilvl w:val="0"/>
          <w:numId w:val="34"/>
        </w:numPr>
        <w:spacing w:after="0" w:line="240" w:lineRule="auto"/>
        <w:ind w:left="840" w:right="235"/>
        <w:jc w:val="both"/>
        <w:divId w:val="410156154"/>
        <w:rPr>
          <w:rFonts w:ascii="Times New Roman" w:hAnsi="Times New Roman"/>
          <w:sz w:val="24"/>
          <w:szCs w:val="24"/>
          <w:lang w:val="fr-FR"/>
        </w:rPr>
      </w:pPr>
      <w:r w:rsidRPr="00056E98">
        <w:rPr>
          <w:rFonts w:ascii="Times New Roman" w:hAnsi="Times New Roman"/>
          <w:sz w:val="24"/>
          <w:szCs w:val="24"/>
          <w:lang w:val="fr-FR"/>
        </w:rPr>
        <w:t>Outil SMT pour la gestion des vaccins au niveau régional et central.</w:t>
      </w:r>
    </w:p>
    <w:p w:rsidR="00515293" w:rsidRDefault="00056E98" w:rsidP="00645505">
      <w:pPr>
        <w:spacing w:before="120" w:after="120"/>
        <w:ind w:left="120" w:right="235"/>
        <w:jc w:val="both"/>
        <w:divId w:val="410156154"/>
        <w:rPr>
          <w:color w:val="000000"/>
          <w:lang w:val="fr-FR"/>
        </w:rPr>
      </w:pPr>
      <w:r w:rsidRPr="00056E98">
        <w:rPr>
          <w:color w:val="000000"/>
          <w:lang w:val="fr-FR"/>
        </w:rPr>
        <w:t>Ces différents outils</w:t>
      </w:r>
      <w:r w:rsidR="00943515">
        <w:rPr>
          <w:color w:val="000000"/>
          <w:lang w:val="fr-FR"/>
        </w:rPr>
        <w:t>, modules</w:t>
      </w:r>
      <w:r w:rsidRPr="00056E98">
        <w:rPr>
          <w:color w:val="000000"/>
          <w:lang w:val="fr-FR"/>
        </w:rPr>
        <w:t xml:space="preserve"> et supports seront </w:t>
      </w:r>
      <w:r w:rsidR="00645505">
        <w:rPr>
          <w:color w:val="000000"/>
          <w:lang w:val="fr-FR"/>
        </w:rPr>
        <w:t>reproduits</w:t>
      </w:r>
      <w:r w:rsidRPr="00056E98">
        <w:rPr>
          <w:color w:val="000000"/>
          <w:lang w:val="fr-FR"/>
        </w:rPr>
        <w:t xml:space="preserve"> et diffusés à tous les niveaux avant la mise en œuvre des sessions de formation des acteurs.</w:t>
      </w:r>
    </w:p>
    <w:p w:rsidR="00536131" w:rsidRPr="00056E98" w:rsidRDefault="00536131" w:rsidP="00645505">
      <w:pPr>
        <w:spacing w:before="120" w:after="120"/>
        <w:ind w:left="120" w:right="235"/>
        <w:jc w:val="both"/>
        <w:divId w:val="410156154"/>
        <w:rPr>
          <w:b/>
          <w:bCs/>
          <w:lang w:val="fr-FR"/>
        </w:rPr>
      </w:pPr>
    </w:p>
    <w:p w:rsidR="009E4949" w:rsidRPr="009E4949" w:rsidRDefault="00515293" w:rsidP="009E4949">
      <w:pPr>
        <w:pStyle w:val="Paragraphedeliste"/>
        <w:numPr>
          <w:ilvl w:val="0"/>
          <w:numId w:val="7"/>
        </w:numPr>
        <w:spacing w:after="0" w:line="240" w:lineRule="auto"/>
        <w:ind w:right="115"/>
        <w:jc w:val="both"/>
        <w:divId w:val="410156154"/>
        <w:rPr>
          <w:b/>
          <w:bCs/>
          <w:highlight w:val="cyan"/>
          <w:lang w:val="fr-FR"/>
        </w:rPr>
      </w:pPr>
      <w:r w:rsidRPr="00056E98">
        <w:rPr>
          <w:rFonts w:asciiTheme="minorHAnsi" w:eastAsia="SimSun" w:hAnsiTheme="minorHAnsi" w:cs="Calibri"/>
          <w:color w:val="000000"/>
          <w:highlight w:val="cyan"/>
          <w:lang w:val="fr-FR"/>
        </w:rPr>
        <w:t xml:space="preserve">Conformément à la politique de GAVI en matière d’égalité </w:t>
      </w:r>
      <w:r w:rsidR="00EA4CF9" w:rsidRPr="00056E98">
        <w:rPr>
          <w:rFonts w:asciiTheme="minorHAnsi" w:eastAsia="SimSun" w:hAnsiTheme="minorHAnsi" w:cs="Calibri"/>
          <w:color w:val="000000"/>
          <w:highlight w:val="cyan"/>
          <w:lang w:val="fr-FR"/>
        </w:rPr>
        <w:t>des genres</w:t>
      </w:r>
      <w:r w:rsidRPr="00056E98">
        <w:rPr>
          <w:rFonts w:asciiTheme="minorHAnsi" w:eastAsia="SimSun" w:hAnsiTheme="minorHAnsi" w:cs="Calibri"/>
          <w:color w:val="000000"/>
          <w:highlight w:val="cyan"/>
          <w:lang w:val="fr-FR"/>
        </w:rPr>
        <w:t xml:space="preserve">, qui vise à améliorer la couverture vaccinale et l’accès aux services de vaccination, veillez le cas échéant à ce qu’il soit possible d’intégrer des données ventilées par sexe sur la distribution des vaccins dans tous les formulaires de suivi de la vaccination. </w:t>
      </w:r>
    </w:p>
    <w:p w:rsidR="009E4949" w:rsidRPr="00860CC3" w:rsidRDefault="009E4949" w:rsidP="00B563C2">
      <w:pPr>
        <w:spacing w:before="120" w:after="120"/>
        <w:ind w:right="235"/>
        <w:jc w:val="both"/>
        <w:divId w:val="410156154"/>
        <w:rPr>
          <w:lang w:val="fr-FR"/>
        </w:rPr>
      </w:pPr>
      <w:r w:rsidRPr="009E4949">
        <w:rPr>
          <w:rFonts w:eastAsia="SimSun"/>
          <w:color w:val="000000"/>
          <w:lang w:val="fr-FR"/>
        </w:rPr>
        <w:t>Les supports primai</w:t>
      </w:r>
      <w:r>
        <w:rPr>
          <w:rFonts w:eastAsia="SimSun"/>
          <w:color w:val="000000"/>
          <w:lang w:val="fr-FR"/>
        </w:rPr>
        <w:t>r</w:t>
      </w:r>
      <w:r w:rsidRPr="009E4949">
        <w:rPr>
          <w:rFonts w:eastAsia="SimSun"/>
          <w:color w:val="000000"/>
          <w:lang w:val="fr-FR"/>
        </w:rPr>
        <w:t>es (r</w:t>
      </w:r>
      <w:r w:rsidRPr="00860CC3">
        <w:rPr>
          <w:lang w:val="fr-FR"/>
        </w:rPr>
        <w:t>egistre de vaccination des enfants, registre de vaccination des femmes enceintes, rapport mensuel de vaccination</w:t>
      </w:r>
      <w:r w:rsidR="00943515" w:rsidRPr="00860CC3">
        <w:rPr>
          <w:lang w:val="fr-FR"/>
        </w:rPr>
        <w:t>) prennent en compte les données désagrégées par sexe. Ceci permettra de disposer des informations sexo</w:t>
      </w:r>
      <w:r w:rsidR="00902944">
        <w:rPr>
          <w:lang w:val="fr-FR"/>
        </w:rPr>
        <w:t>-</w:t>
      </w:r>
      <w:r w:rsidR="00943515" w:rsidRPr="00860CC3">
        <w:rPr>
          <w:lang w:val="fr-FR"/>
        </w:rPr>
        <w:t>spécifiques pour l’accès à la vaccination.</w:t>
      </w:r>
    </w:p>
    <w:p w:rsidR="008B4F15" w:rsidRPr="00860CC3" w:rsidRDefault="008B4F15" w:rsidP="008B4F15">
      <w:pPr>
        <w:spacing w:before="120" w:after="120"/>
        <w:ind w:right="475"/>
        <w:jc w:val="both"/>
        <w:divId w:val="410156154"/>
        <w:rPr>
          <w:lang w:val="fr-FR"/>
        </w:rPr>
      </w:pPr>
    </w:p>
    <w:p w:rsidR="00687CA0" w:rsidRDefault="00687CA0" w:rsidP="00C63E63">
      <w:pPr>
        <w:autoSpaceDE w:val="0"/>
        <w:autoSpaceDN w:val="0"/>
        <w:adjustRightInd w:val="0"/>
        <w:ind w:right="230"/>
        <w:jc w:val="both"/>
        <w:divId w:val="410156154"/>
        <w:rPr>
          <w:rFonts w:asciiTheme="minorHAnsi" w:hAnsiTheme="minorHAnsi"/>
          <w:bCs/>
          <w:color w:val="1F497D" w:themeColor="text2"/>
          <w:lang w:val="fr-FR"/>
        </w:rPr>
      </w:pPr>
    </w:p>
    <w:p w:rsidR="00D842C6" w:rsidRDefault="00515293" w:rsidP="00C63E63">
      <w:pPr>
        <w:autoSpaceDE w:val="0"/>
        <w:autoSpaceDN w:val="0"/>
        <w:adjustRightInd w:val="0"/>
        <w:ind w:right="230"/>
        <w:jc w:val="both"/>
        <w:divId w:val="410156154"/>
        <w:rPr>
          <w:rFonts w:asciiTheme="minorHAnsi" w:hAnsiTheme="minorHAnsi"/>
          <w:bCs/>
          <w:color w:val="1F497D" w:themeColor="text2"/>
          <w:lang w:val="fr-FR"/>
        </w:rPr>
      </w:pPr>
      <w:r w:rsidRPr="00C369C9">
        <w:rPr>
          <w:rFonts w:asciiTheme="minorHAnsi" w:hAnsiTheme="minorHAnsi"/>
          <w:bCs/>
          <w:color w:val="1F497D" w:themeColor="text2"/>
          <w:lang w:val="fr-FR"/>
        </w:rPr>
        <w:t>5.2 Surveillance des manifestations post-vaccinales indésirables (MAPI)</w:t>
      </w:r>
    </w:p>
    <w:p w:rsidR="00D842C6" w:rsidRDefault="00D842C6" w:rsidP="00C63E63">
      <w:pPr>
        <w:autoSpaceDE w:val="0"/>
        <w:autoSpaceDN w:val="0"/>
        <w:adjustRightInd w:val="0"/>
        <w:ind w:right="230"/>
        <w:jc w:val="both"/>
        <w:divId w:val="410156154"/>
        <w:rPr>
          <w:rFonts w:asciiTheme="minorHAnsi" w:hAnsiTheme="minorHAnsi"/>
          <w:bCs/>
          <w:color w:val="1F497D" w:themeColor="text2"/>
          <w:lang w:val="fr-FR"/>
        </w:rPr>
      </w:pPr>
    </w:p>
    <w:p w:rsidR="007337B7" w:rsidRPr="00ED28DD" w:rsidRDefault="007337B7" w:rsidP="007337B7">
      <w:pPr>
        <w:pStyle w:val="Listecouleur-Accent11"/>
        <w:numPr>
          <w:ilvl w:val="0"/>
          <w:numId w:val="7"/>
        </w:numPr>
        <w:spacing w:after="0" w:line="240" w:lineRule="auto"/>
        <w:ind w:right="115"/>
        <w:jc w:val="both"/>
        <w:divId w:val="410156154"/>
        <w:rPr>
          <w:rFonts w:ascii="Times New Roman" w:hAnsi="Times New Roman"/>
          <w:sz w:val="24"/>
          <w:szCs w:val="24"/>
          <w:highlight w:val="cyan"/>
          <w:lang w:val="fr-FR"/>
        </w:rPr>
      </w:pPr>
      <w:r w:rsidRPr="00ED28DD">
        <w:rPr>
          <w:rFonts w:ascii="Times New Roman" w:hAnsi="Times New Roman"/>
          <w:sz w:val="24"/>
          <w:szCs w:val="24"/>
          <w:highlight w:val="cyan"/>
          <w:lang w:val="fr-FR"/>
        </w:rPr>
        <w:t>Fournir des informations sur la politique nationale en matière de MAPI; décrire notamment la capacité du pays à assurer la mise en œuvre du système national de pharmacovigilance, les activités de détection des MAPI et les mesures prises pour y remédier, afin de réagir efficacement aux rumeurs et allégations éventuelles</w:t>
      </w:r>
    </w:p>
    <w:p w:rsidR="007337B7" w:rsidRPr="00064D4A" w:rsidRDefault="007337B7" w:rsidP="007337B7">
      <w:pPr>
        <w:autoSpaceDE w:val="0"/>
        <w:autoSpaceDN w:val="0"/>
        <w:adjustRightInd w:val="0"/>
        <w:ind w:right="230"/>
        <w:jc w:val="both"/>
        <w:divId w:val="410156154"/>
        <w:rPr>
          <w:bCs/>
          <w:color w:val="1F497D" w:themeColor="text2"/>
          <w:lang w:val="fr-FR"/>
        </w:rPr>
      </w:pPr>
    </w:p>
    <w:p w:rsidR="007337B7" w:rsidRPr="00064D4A" w:rsidRDefault="007337B7" w:rsidP="007337B7">
      <w:pPr>
        <w:pStyle w:val="Listecouleur-Accent11"/>
        <w:numPr>
          <w:ilvl w:val="0"/>
          <w:numId w:val="75"/>
        </w:numPr>
        <w:spacing w:after="0" w:line="240" w:lineRule="auto"/>
        <w:ind w:right="235"/>
        <w:jc w:val="both"/>
        <w:divId w:val="410156154"/>
        <w:rPr>
          <w:rFonts w:ascii="Times New Roman" w:hAnsi="Times New Roman"/>
          <w:b/>
          <w:sz w:val="24"/>
          <w:szCs w:val="24"/>
          <w:lang w:val="fr-FR"/>
        </w:rPr>
      </w:pPr>
      <w:r w:rsidRPr="00064D4A">
        <w:rPr>
          <w:rFonts w:ascii="Times New Roman" w:hAnsi="Times New Roman"/>
          <w:b/>
          <w:sz w:val="24"/>
          <w:szCs w:val="24"/>
          <w:lang w:val="fr-FR"/>
        </w:rPr>
        <w:t>Capacité du Burkina Faso à assurer la mise en œuvre du système national de pharmacovigilance</w:t>
      </w:r>
    </w:p>
    <w:p w:rsidR="007337B7" w:rsidRPr="00064D4A" w:rsidRDefault="007337B7" w:rsidP="007337B7">
      <w:pPr>
        <w:pStyle w:val="Listecouleur-Accent11"/>
        <w:spacing w:after="0" w:line="240" w:lineRule="auto"/>
        <w:ind w:left="0" w:right="235"/>
        <w:jc w:val="both"/>
        <w:divId w:val="410156154"/>
        <w:rPr>
          <w:rFonts w:ascii="Times New Roman" w:hAnsi="Times New Roman"/>
          <w:sz w:val="24"/>
          <w:szCs w:val="24"/>
          <w:lang w:val="fr-FR"/>
        </w:rPr>
      </w:pPr>
      <w:r w:rsidRPr="00EC0239">
        <w:rPr>
          <w:rFonts w:ascii="Times New Roman" w:hAnsi="Times New Roman"/>
          <w:sz w:val="24"/>
          <w:szCs w:val="24"/>
          <w:lang w:val="fr-FR"/>
        </w:rPr>
        <w:t xml:space="preserve">Le Burkina Faso dispose d’un système </w:t>
      </w:r>
      <w:r w:rsidRPr="00064D4A">
        <w:rPr>
          <w:rFonts w:ascii="Times New Roman" w:hAnsi="Times New Roman"/>
          <w:sz w:val="24"/>
          <w:szCs w:val="24"/>
          <w:lang w:val="fr-FR"/>
        </w:rPr>
        <w:t xml:space="preserve">national </w:t>
      </w:r>
      <w:r w:rsidRPr="00EC0239">
        <w:rPr>
          <w:rFonts w:ascii="Times New Roman" w:hAnsi="Times New Roman"/>
          <w:sz w:val="24"/>
          <w:szCs w:val="24"/>
          <w:lang w:val="fr-FR"/>
        </w:rPr>
        <w:t xml:space="preserve">de </w:t>
      </w:r>
      <w:r w:rsidRPr="00064D4A">
        <w:rPr>
          <w:rFonts w:ascii="Times New Roman" w:hAnsi="Times New Roman"/>
          <w:sz w:val="24"/>
          <w:szCs w:val="24"/>
          <w:lang w:val="fr-FR"/>
        </w:rPr>
        <w:t xml:space="preserve">vigilance des produits de santé. Ce système a été mis en place par le Décret N°02012-1033/PRES/PM/MS du 28 décembre 2012 portant création, attributions et organisation d'un système national de vigilance des produits de santé à usage humain. Cependant, avant la mise en place de ce système, les activités de </w:t>
      </w:r>
      <w:r w:rsidRPr="00EC0239">
        <w:rPr>
          <w:rFonts w:ascii="Times New Roman" w:hAnsi="Times New Roman"/>
          <w:sz w:val="24"/>
          <w:szCs w:val="24"/>
          <w:lang w:val="fr-FR"/>
        </w:rPr>
        <w:t>surveillance des MAPI</w:t>
      </w:r>
      <w:r w:rsidRPr="00064D4A">
        <w:rPr>
          <w:rFonts w:ascii="Times New Roman" w:hAnsi="Times New Roman"/>
          <w:sz w:val="24"/>
          <w:szCs w:val="24"/>
          <w:lang w:val="fr-FR"/>
        </w:rPr>
        <w:t xml:space="preserve"> se menaient et ont été renforcées lors de la  </w:t>
      </w:r>
      <w:r w:rsidRPr="00EC0239">
        <w:rPr>
          <w:rFonts w:ascii="Times New Roman" w:hAnsi="Times New Roman"/>
          <w:sz w:val="24"/>
          <w:szCs w:val="24"/>
          <w:lang w:val="fr-FR"/>
        </w:rPr>
        <w:t xml:space="preserve">campagne </w:t>
      </w:r>
      <w:r w:rsidRPr="00064D4A">
        <w:rPr>
          <w:rFonts w:ascii="Times New Roman" w:hAnsi="Times New Roman"/>
          <w:sz w:val="24"/>
          <w:szCs w:val="24"/>
          <w:lang w:val="fr-FR"/>
        </w:rPr>
        <w:t xml:space="preserve">de vaccination </w:t>
      </w:r>
      <w:r w:rsidRPr="00EC0239">
        <w:rPr>
          <w:rFonts w:ascii="Times New Roman" w:hAnsi="Times New Roman"/>
          <w:sz w:val="24"/>
          <w:szCs w:val="24"/>
          <w:lang w:val="fr-FR"/>
        </w:rPr>
        <w:t>MenA</w:t>
      </w:r>
      <w:r w:rsidRPr="00064D4A">
        <w:rPr>
          <w:rFonts w:ascii="Times New Roman" w:hAnsi="Times New Roman"/>
          <w:sz w:val="24"/>
          <w:szCs w:val="24"/>
          <w:lang w:val="fr-FR"/>
        </w:rPr>
        <w:t>frivac</w:t>
      </w:r>
      <w:r w:rsidR="00DA4B64">
        <w:rPr>
          <w:rFonts w:ascii="Times New Roman" w:hAnsi="Times New Roman"/>
          <w:sz w:val="24"/>
          <w:szCs w:val="24"/>
          <w:lang w:val="fr-FR"/>
        </w:rPr>
        <w:t xml:space="preserve"> </w:t>
      </w:r>
      <w:r w:rsidRPr="00064D4A">
        <w:rPr>
          <w:rFonts w:ascii="Times New Roman" w:hAnsi="Times New Roman"/>
          <w:sz w:val="24"/>
          <w:szCs w:val="24"/>
          <w:lang w:val="fr-FR"/>
        </w:rPr>
        <w:t>de 2010 contre les méningites bactériennes</w:t>
      </w:r>
      <w:r w:rsidRPr="00EC0239">
        <w:rPr>
          <w:rFonts w:ascii="Times New Roman" w:hAnsi="Times New Roman"/>
          <w:sz w:val="24"/>
          <w:szCs w:val="24"/>
          <w:lang w:val="fr-FR"/>
        </w:rPr>
        <w:t>.</w:t>
      </w:r>
    </w:p>
    <w:p w:rsidR="007337B7" w:rsidRPr="00064D4A" w:rsidRDefault="007337B7" w:rsidP="007337B7">
      <w:pPr>
        <w:pStyle w:val="Listecouleur-Accent11"/>
        <w:spacing w:after="0" w:line="240" w:lineRule="auto"/>
        <w:ind w:left="0" w:right="235"/>
        <w:jc w:val="both"/>
        <w:divId w:val="410156154"/>
        <w:rPr>
          <w:rFonts w:ascii="Times New Roman" w:hAnsi="Times New Roman"/>
          <w:sz w:val="24"/>
          <w:szCs w:val="24"/>
          <w:lang w:val="fr-FR"/>
        </w:rPr>
      </w:pPr>
    </w:p>
    <w:p w:rsidR="007337B7" w:rsidRPr="00064D4A" w:rsidRDefault="007337B7" w:rsidP="008D5894">
      <w:pPr>
        <w:pStyle w:val="Listecouleur-Accent11"/>
        <w:spacing w:after="0" w:line="240" w:lineRule="auto"/>
        <w:ind w:left="0" w:right="235"/>
        <w:jc w:val="both"/>
        <w:divId w:val="410156154"/>
        <w:rPr>
          <w:rFonts w:ascii="Times New Roman" w:hAnsi="Times New Roman"/>
          <w:sz w:val="24"/>
          <w:szCs w:val="24"/>
          <w:lang w:val="fr-FR"/>
        </w:rPr>
      </w:pPr>
      <w:r w:rsidRPr="00064D4A">
        <w:rPr>
          <w:rFonts w:ascii="Times New Roman" w:hAnsi="Times New Roman"/>
          <w:sz w:val="24"/>
          <w:szCs w:val="24"/>
          <w:lang w:val="fr-FR"/>
        </w:rPr>
        <w:t xml:space="preserve">La pharmacovigilance des vaccins est assurée par comité </w:t>
      </w:r>
      <w:r w:rsidR="008D5894">
        <w:rPr>
          <w:rFonts w:ascii="Times New Roman" w:hAnsi="Times New Roman"/>
          <w:sz w:val="24"/>
          <w:szCs w:val="24"/>
          <w:lang w:val="fr-FR"/>
        </w:rPr>
        <w:t xml:space="preserve">le </w:t>
      </w:r>
      <w:r w:rsidRPr="00064D4A">
        <w:rPr>
          <w:rFonts w:ascii="Times New Roman" w:hAnsi="Times New Roman"/>
          <w:sz w:val="24"/>
          <w:szCs w:val="24"/>
          <w:lang w:val="fr-FR"/>
        </w:rPr>
        <w:t xml:space="preserve">technique spécialisé de vigilance des médicaments et vaccins </w:t>
      </w:r>
      <w:r w:rsidR="008D5894" w:rsidRPr="00064D4A">
        <w:rPr>
          <w:rFonts w:ascii="Times New Roman" w:hAnsi="Times New Roman"/>
          <w:sz w:val="24"/>
          <w:szCs w:val="24"/>
          <w:lang w:val="fr-FR"/>
        </w:rPr>
        <w:t>mise en place en juin 2013</w:t>
      </w:r>
      <w:r w:rsidRPr="00064D4A">
        <w:rPr>
          <w:rFonts w:ascii="Times New Roman" w:hAnsi="Times New Roman"/>
          <w:sz w:val="24"/>
          <w:szCs w:val="24"/>
          <w:lang w:val="fr-FR"/>
        </w:rPr>
        <w:t>.</w:t>
      </w:r>
    </w:p>
    <w:p w:rsidR="007337B7" w:rsidRPr="00064D4A" w:rsidRDefault="007337B7" w:rsidP="007337B7">
      <w:pPr>
        <w:pStyle w:val="Listecouleur-Accent11"/>
        <w:spacing w:before="360" w:after="120" w:line="240" w:lineRule="auto"/>
        <w:ind w:left="0" w:right="235"/>
        <w:jc w:val="both"/>
        <w:divId w:val="410156154"/>
        <w:rPr>
          <w:rFonts w:ascii="Times New Roman" w:hAnsi="Times New Roman"/>
          <w:color w:val="000000"/>
          <w:sz w:val="24"/>
          <w:szCs w:val="24"/>
          <w:lang w:val="fr-FR"/>
        </w:rPr>
      </w:pPr>
    </w:p>
    <w:p w:rsidR="007337B7" w:rsidRPr="00064D4A" w:rsidRDefault="007337B7" w:rsidP="007337B7">
      <w:pPr>
        <w:pStyle w:val="Listecouleur-Accent11"/>
        <w:numPr>
          <w:ilvl w:val="0"/>
          <w:numId w:val="75"/>
        </w:numPr>
        <w:spacing w:after="0" w:line="240" w:lineRule="auto"/>
        <w:ind w:right="235"/>
        <w:jc w:val="both"/>
        <w:divId w:val="410156154"/>
        <w:rPr>
          <w:rFonts w:ascii="Times New Roman" w:hAnsi="Times New Roman"/>
          <w:b/>
          <w:sz w:val="24"/>
          <w:szCs w:val="24"/>
          <w:lang w:val="fr-FR"/>
        </w:rPr>
      </w:pPr>
      <w:r w:rsidRPr="00064D4A">
        <w:rPr>
          <w:rFonts w:ascii="Times New Roman" w:hAnsi="Times New Roman"/>
          <w:b/>
          <w:sz w:val="24"/>
          <w:szCs w:val="24"/>
          <w:lang w:val="fr-FR"/>
        </w:rPr>
        <w:t>Activités de détection des MAPI</w:t>
      </w:r>
    </w:p>
    <w:p w:rsidR="007337B7" w:rsidRPr="00064D4A" w:rsidRDefault="007337B7" w:rsidP="007337B7">
      <w:pPr>
        <w:pStyle w:val="Listecouleur-Accent11"/>
        <w:spacing w:after="0" w:line="240" w:lineRule="auto"/>
        <w:ind w:left="0" w:right="235"/>
        <w:jc w:val="both"/>
        <w:divId w:val="410156154"/>
        <w:rPr>
          <w:rFonts w:ascii="Times New Roman" w:hAnsi="Times New Roman"/>
          <w:sz w:val="24"/>
          <w:szCs w:val="24"/>
          <w:lang w:val="fr-FR"/>
        </w:rPr>
      </w:pPr>
      <w:r w:rsidRPr="00064D4A">
        <w:rPr>
          <w:rFonts w:ascii="Times New Roman" w:hAnsi="Times New Roman"/>
          <w:sz w:val="24"/>
          <w:szCs w:val="24"/>
          <w:lang w:val="fr-FR"/>
        </w:rPr>
        <w:t>En ce qui concerne les activités de détection des MAPI, elles sont organisées par la mise en place d’un circuit de notification suivant l’arrêté N° Arrêté n</w:t>
      </w:r>
      <w:r w:rsidRPr="00064D4A">
        <w:rPr>
          <w:rFonts w:ascii="Times New Roman" w:hAnsi="Times New Roman"/>
          <w:sz w:val="24"/>
          <w:szCs w:val="24"/>
          <w:lang w:val="fr-FR"/>
        </w:rPr>
        <w:sym w:font="Symbol" w:char="F0B0"/>
      </w:r>
      <w:r w:rsidRPr="00064D4A">
        <w:rPr>
          <w:rFonts w:ascii="Times New Roman" w:hAnsi="Times New Roman"/>
          <w:sz w:val="24"/>
          <w:szCs w:val="24"/>
          <w:lang w:val="fr-FR"/>
        </w:rPr>
        <w:t xml:space="preserve">2013-542/MS/CAB du 04 juin </w:t>
      </w:r>
      <w:r w:rsidR="008D5894">
        <w:rPr>
          <w:rFonts w:ascii="Times New Roman" w:hAnsi="Times New Roman"/>
          <w:sz w:val="24"/>
          <w:szCs w:val="24"/>
          <w:lang w:val="fr-FR"/>
        </w:rPr>
        <w:t xml:space="preserve">2013 </w:t>
      </w:r>
      <w:r w:rsidRPr="00064D4A">
        <w:rPr>
          <w:rFonts w:ascii="Times New Roman" w:hAnsi="Times New Roman"/>
          <w:sz w:val="24"/>
          <w:szCs w:val="24"/>
          <w:lang w:val="fr-FR"/>
        </w:rPr>
        <w:t>portant organisation du circuit de notification des effets indésirables des produits de santé à usage humain. De même des outils de notifications (guide de pharmacovigilance et fiche de notification MAPI) ont été élaborés, validés et diffusés dans toutes les structures de santé.</w:t>
      </w:r>
    </w:p>
    <w:p w:rsidR="007337B7" w:rsidRPr="00064D4A" w:rsidRDefault="007337B7" w:rsidP="007337B7">
      <w:pPr>
        <w:ind w:right="235"/>
        <w:contextualSpacing/>
        <w:jc w:val="both"/>
        <w:divId w:val="410156154"/>
        <w:rPr>
          <w:lang w:val="fr-FR"/>
        </w:rPr>
      </w:pPr>
      <w:r w:rsidRPr="00064D4A">
        <w:rPr>
          <w:lang w:val="fr-FR"/>
        </w:rPr>
        <w:t xml:space="preserve">Lors des campagnes de vaccination de masse, une organisation est mise en place avec le comité technique spécialisé de vigilance des médicaments et vaccins, la commission suivi </w:t>
      </w:r>
      <w:r w:rsidRPr="00064D4A">
        <w:rPr>
          <w:lang w:val="fr-FR"/>
        </w:rPr>
        <w:lastRenderedPageBreak/>
        <w:t>et évaluation, les comités régionaux et les comités départementaux. Ces comités seront mis en contribution pour la surveillance de MAPI en routine après l’introduction du VPI.</w:t>
      </w:r>
    </w:p>
    <w:p w:rsidR="007337B7" w:rsidRPr="00064D4A" w:rsidRDefault="007337B7" w:rsidP="007337B7">
      <w:pPr>
        <w:ind w:right="235"/>
        <w:contextualSpacing/>
        <w:jc w:val="both"/>
        <w:divId w:val="410156154"/>
        <w:rPr>
          <w:lang w:val="fr-FR"/>
        </w:rPr>
      </w:pPr>
      <w:r w:rsidRPr="00064D4A">
        <w:rPr>
          <w:lang w:val="fr-FR"/>
        </w:rPr>
        <w:t>Les capacités des acteurs seront renforcées lors des formations pour une prise en  en charge adéquate des cas de rumeurs.</w:t>
      </w:r>
    </w:p>
    <w:p w:rsidR="007337B7" w:rsidRPr="00064D4A" w:rsidRDefault="007337B7" w:rsidP="007337B7">
      <w:pPr>
        <w:autoSpaceDE w:val="0"/>
        <w:autoSpaceDN w:val="0"/>
        <w:adjustRightInd w:val="0"/>
        <w:ind w:right="230"/>
        <w:jc w:val="both"/>
        <w:divId w:val="410156154"/>
        <w:rPr>
          <w:rFonts w:eastAsia="SimSun"/>
          <w:color w:val="000000"/>
          <w:lang w:val="fr-FR"/>
        </w:rPr>
      </w:pPr>
    </w:p>
    <w:p w:rsidR="007337B7" w:rsidRPr="00ED28DD" w:rsidRDefault="007337B7" w:rsidP="007337B7">
      <w:pPr>
        <w:numPr>
          <w:ilvl w:val="0"/>
          <w:numId w:val="7"/>
        </w:numPr>
        <w:ind w:left="840" w:right="235"/>
        <w:contextualSpacing/>
        <w:jc w:val="both"/>
        <w:divId w:val="410156154"/>
        <w:rPr>
          <w:rFonts w:eastAsia="Calibri"/>
          <w:highlight w:val="cyan"/>
          <w:lang w:val="fr-FR" w:eastAsia="en-US"/>
        </w:rPr>
      </w:pPr>
      <w:r w:rsidRPr="00ED28DD">
        <w:rPr>
          <w:rFonts w:eastAsia="Calibri"/>
          <w:highlight w:val="cyan"/>
          <w:lang w:val="fr-FR" w:eastAsia="en-US"/>
        </w:rPr>
        <w:t>Fournir le cas échéant des informations sur le Comité national d’experts chargé des MAPI et les méthodes utilisées pour évaluer les liens de causalité entre MAPI.</w:t>
      </w:r>
    </w:p>
    <w:p w:rsidR="007337B7" w:rsidRPr="00064D4A" w:rsidRDefault="007337B7" w:rsidP="007337B7">
      <w:pPr>
        <w:ind w:right="235"/>
        <w:contextualSpacing/>
        <w:jc w:val="both"/>
        <w:divId w:val="410156154"/>
        <w:rPr>
          <w:rFonts w:eastAsia="Calibri"/>
          <w:color w:val="C00000"/>
          <w:highlight w:val="cyan"/>
          <w:lang w:val="fr-FR" w:eastAsia="en-US"/>
        </w:rPr>
      </w:pPr>
    </w:p>
    <w:p w:rsidR="007337B7" w:rsidRPr="00064D4A" w:rsidRDefault="007337B7" w:rsidP="007337B7">
      <w:pPr>
        <w:ind w:right="235"/>
        <w:contextualSpacing/>
        <w:jc w:val="both"/>
        <w:divId w:val="410156154"/>
        <w:rPr>
          <w:rFonts w:eastAsia="Calibri"/>
          <w:color w:val="C00000"/>
          <w:highlight w:val="cyan"/>
          <w:lang w:val="fr-FR" w:eastAsia="en-US"/>
        </w:rPr>
      </w:pPr>
      <w:r w:rsidRPr="00064D4A">
        <w:rPr>
          <w:lang w:val="fr-FR"/>
        </w:rPr>
        <w:t xml:space="preserve">Le comité technique spécialisé de vigilance des médicaments et vaccins comprend 11 membres. </w:t>
      </w:r>
      <w:r w:rsidR="008D5894">
        <w:rPr>
          <w:lang w:val="fr-FR"/>
        </w:rPr>
        <w:t>Il est composé de</w:t>
      </w:r>
      <w:r w:rsidRPr="00064D4A">
        <w:rPr>
          <w:lang w:val="fr-FR"/>
        </w:rPr>
        <w:t> :</w:t>
      </w:r>
    </w:p>
    <w:p w:rsidR="007337B7" w:rsidRPr="00064D4A" w:rsidRDefault="007337B7" w:rsidP="007337B7">
      <w:pPr>
        <w:pStyle w:val="Listecouleur-Accent11"/>
        <w:numPr>
          <w:ilvl w:val="0"/>
          <w:numId w:val="74"/>
        </w:numPr>
        <w:spacing w:after="0" w:line="240" w:lineRule="auto"/>
        <w:ind w:right="235"/>
        <w:jc w:val="both"/>
        <w:divId w:val="410156154"/>
        <w:rPr>
          <w:rFonts w:ascii="Times New Roman" w:hAnsi="Times New Roman"/>
          <w:sz w:val="24"/>
          <w:szCs w:val="24"/>
          <w:lang w:val="fr-FR"/>
        </w:rPr>
      </w:pPr>
      <w:r w:rsidRPr="00064D4A">
        <w:rPr>
          <w:rFonts w:ascii="Times New Roman" w:hAnsi="Times New Roman"/>
          <w:sz w:val="24"/>
          <w:szCs w:val="24"/>
          <w:lang w:val="fr-FR"/>
        </w:rPr>
        <w:t xml:space="preserve">un pharmacien spécialiste en bactériologie-virologie </w:t>
      </w:r>
    </w:p>
    <w:p w:rsidR="007337B7" w:rsidRPr="00064D4A" w:rsidRDefault="007337B7" w:rsidP="007337B7">
      <w:pPr>
        <w:pStyle w:val="Listecouleur-Accent11"/>
        <w:numPr>
          <w:ilvl w:val="0"/>
          <w:numId w:val="74"/>
        </w:numPr>
        <w:spacing w:after="0" w:line="240" w:lineRule="auto"/>
        <w:ind w:right="235"/>
        <w:jc w:val="both"/>
        <w:divId w:val="410156154"/>
        <w:rPr>
          <w:rFonts w:ascii="Times New Roman" w:hAnsi="Times New Roman"/>
          <w:sz w:val="24"/>
          <w:szCs w:val="24"/>
          <w:lang w:val="fr-FR"/>
        </w:rPr>
      </w:pPr>
      <w:r w:rsidRPr="00064D4A">
        <w:rPr>
          <w:rFonts w:ascii="Times New Roman" w:hAnsi="Times New Roman"/>
          <w:sz w:val="24"/>
          <w:szCs w:val="24"/>
          <w:lang w:val="fr-FR"/>
        </w:rPr>
        <w:t>un pharmacien spécialiste en pharmacologie</w:t>
      </w:r>
    </w:p>
    <w:p w:rsidR="007337B7" w:rsidRPr="00064D4A" w:rsidRDefault="007337B7" w:rsidP="007337B7">
      <w:pPr>
        <w:pStyle w:val="Listecouleur-Accent11"/>
        <w:numPr>
          <w:ilvl w:val="0"/>
          <w:numId w:val="74"/>
        </w:numPr>
        <w:spacing w:after="0" w:line="240" w:lineRule="auto"/>
        <w:ind w:right="235"/>
        <w:jc w:val="both"/>
        <w:divId w:val="410156154"/>
        <w:rPr>
          <w:rFonts w:ascii="Times New Roman" w:hAnsi="Times New Roman"/>
          <w:sz w:val="24"/>
          <w:szCs w:val="24"/>
          <w:lang w:val="fr-FR"/>
        </w:rPr>
      </w:pPr>
      <w:r w:rsidRPr="00064D4A">
        <w:rPr>
          <w:rFonts w:ascii="Times New Roman" w:hAnsi="Times New Roman"/>
          <w:sz w:val="24"/>
          <w:szCs w:val="24"/>
          <w:lang w:val="fr-FR"/>
        </w:rPr>
        <w:t>un médecin spécialiste en épidémiologie /'</w:t>
      </w:r>
    </w:p>
    <w:p w:rsidR="007337B7" w:rsidRPr="00064D4A" w:rsidRDefault="007337B7" w:rsidP="007337B7">
      <w:pPr>
        <w:pStyle w:val="Listecouleur-Accent11"/>
        <w:numPr>
          <w:ilvl w:val="0"/>
          <w:numId w:val="74"/>
        </w:numPr>
        <w:spacing w:after="0" w:line="240" w:lineRule="auto"/>
        <w:ind w:right="235"/>
        <w:jc w:val="both"/>
        <w:divId w:val="410156154"/>
        <w:rPr>
          <w:rFonts w:ascii="Times New Roman" w:hAnsi="Times New Roman"/>
          <w:sz w:val="24"/>
          <w:szCs w:val="24"/>
          <w:lang w:val="fr-FR"/>
        </w:rPr>
      </w:pPr>
      <w:r w:rsidRPr="00064D4A">
        <w:rPr>
          <w:rFonts w:ascii="Times New Roman" w:hAnsi="Times New Roman"/>
          <w:sz w:val="24"/>
          <w:szCs w:val="24"/>
          <w:lang w:val="fr-FR"/>
        </w:rPr>
        <w:t>un médecin spécialiste en pédiatrie</w:t>
      </w:r>
    </w:p>
    <w:p w:rsidR="007337B7" w:rsidRPr="00064D4A" w:rsidRDefault="007337B7" w:rsidP="007337B7">
      <w:pPr>
        <w:pStyle w:val="Listecouleur-Accent11"/>
        <w:numPr>
          <w:ilvl w:val="0"/>
          <w:numId w:val="74"/>
        </w:numPr>
        <w:spacing w:after="0" w:line="240" w:lineRule="auto"/>
        <w:ind w:right="235"/>
        <w:jc w:val="both"/>
        <w:divId w:val="410156154"/>
        <w:rPr>
          <w:rFonts w:ascii="Times New Roman" w:hAnsi="Times New Roman"/>
          <w:sz w:val="24"/>
          <w:szCs w:val="24"/>
          <w:lang w:val="fr-FR"/>
        </w:rPr>
      </w:pPr>
      <w:r w:rsidRPr="00064D4A">
        <w:rPr>
          <w:rFonts w:ascii="Times New Roman" w:hAnsi="Times New Roman"/>
          <w:sz w:val="24"/>
          <w:szCs w:val="24"/>
          <w:lang w:val="fr-FR"/>
        </w:rPr>
        <w:t>un médecin spécialiste en dermatologie</w:t>
      </w:r>
    </w:p>
    <w:p w:rsidR="007337B7" w:rsidRPr="00064D4A" w:rsidRDefault="007337B7" w:rsidP="007337B7">
      <w:pPr>
        <w:pStyle w:val="Listecouleur-Accent11"/>
        <w:numPr>
          <w:ilvl w:val="0"/>
          <w:numId w:val="74"/>
        </w:numPr>
        <w:spacing w:after="0" w:line="240" w:lineRule="auto"/>
        <w:ind w:right="235"/>
        <w:jc w:val="both"/>
        <w:divId w:val="410156154"/>
        <w:rPr>
          <w:rFonts w:ascii="Times New Roman" w:hAnsi="Times New Roman"/>
          <w:sz w:val="24"/>
          <w:szCs w:val="24"/>
          <w:lang w:val="fr-FR"/>
        </w:rPr>
      </w:pPr>
      <w:r w:rsidRPr="00064D4A">
        <w:rPr>
          <w:rFonts w:ascii="Times New Roman" w:hAnsi="Times New Roman"/>
          <w:sz w:val="24"/>
          <w:szCs w:val="24"/>
          <w:lang w:val="fr-FR"/>
        </w:rPr>
        <w:t xml:space="preserve">un médecin spécialiste en néphrologie </w:t>
      </w:r>
    </w:p>
    <w:p w:rsidR="007337B7" w:rsidRPr="00064D4A" w:rsidRDefault="007337B7" w:rsidP="007337B7">
      <w:pPr>
        <w:pStyle w:val="Listecouleur-Accent11"/>
        <w:numPr>
          <w:ilvl w:val="0"/>
          <w:numId w:val="74"/>
        </w:numPr>
        <w:spacing w:after="0" w:line="240" w:lineRule="auto"/>
        <w:ind w:right="235"/>
        <w:jc w:val="both"/>
        <w:divId w:val="410156154"/>
        <w:rPr>
          <w:rFonts w:ascii="Times New Roman" w:hAnsi="Times New Roman"/>
          <w:sz w:val="24"/>
          <w:szCs w:val="24"/>
          <w:lang w:val="fr-FR"/>
        </w:rPr>
      </w:pPr>
      <w:r w:rsidRPr="00064D4A">
        <w:rPr>
          <w:rFonts w:ascii="Times New Roman" w:hAnsi="Times New Roman"/>
          <w:sz w:val="24"/>
          <w:szCs w:val="24"/>
          <w:lang w:val="fr-FR"/>
        </w:rPr>
        <w:t>un médecin spécialiste en gynécologie obstétrique</w:t>
      </w:r>
    </w:p>
    <w:p w:rsidR="007337B7" w:rsidRPr="00064D4A" w:rsidRDefault="007337B7" w:rsidP="007337B7">
      <w:pPr>
        <w:pStyle w:val="Listecouleur-Accent11"/>
        <w:numPr>
          <w:ilvl w:val="0"/>
          <w:numId w:val="74"/>
        </w:numPr>
        <w:spacing w:after="0" w:line="240" w:lineRule="auto"/>
        <w:ind w:right="235"/>
        <w:jc w:val="both"/>
        <w:divId w:val="410156154"/>
        <w:rPr>
          <w:rFonts w:ascii="Times New Roman" w:hAnsi="Times New Roman"/>
          <w:sz w:val="24"/>
          <w:szCs w:val="24"/>
          <w:lang w:val="fr-FR"/>
        </w:rPr>
      </w:pPr>
      <w:r w:rsidRPr="00064D4A">
        <w:rPr>
          <w:rFonts w:ascii="Times New Roman" w:hAnsi="Times New Roman"/>
          <w:sz w:val="24"/>
          <w:szCs w:val="24"/>
          <w:lang w:val="fr-FR"/>
        </w:rPr>
        <w:t>un pharmacien spécialisé en technologie pharmaceutique</w:t>
      </w:r>
    </w:p>
    <w:p w:rsidR="007337B7" w:rsidRPr="00064D4A" w:rsidRDefault="007337B7" w:rsidP="007337B7">
      <w:pPr>
        <w:pStyle w:val="Listecouleur-Accent11"/>
        <w:numPr>
          <w:ilvl w:val="0"/>
          <w:numId w:val="74"/>
        </w:numPr>
        <w:spacing w:after="0" w:line="240" w:lineRule="auto"/>
        <w:ind w:right="235"/>
        <w:jc w:val="both"/>
        <w:divId w:val="410156154"/>
        <w:rPr>
          <w:rFonts w:ascii="Times New Roman" w:hAnsi="Times New Roman"/>
          <w:sz w:val="24"/>
          <w:szCs w:val="24"/>
          <w:lang w:val="fr-FR"/>
        </w:rPr>
      </w:pPr>
      <w:r w:rsidRPr="00064D4A">
        <w:rPr>
          <w:rFonts w:ascii="Times New Roman" w:hAnsi="Times New Roman"/>
          <w:sz w:val="24"/>
          <w:szCs w:val="24"/>
          <w:lang w:val="fr-FR"/>
        </w:rPr>
        <w:t>un médecin spécialiste en neurologie</w:t>
      </w:r>
    </w:p>
    <w:p w:rsidR="007337B7" w:rsidRPr="00064D4A" w:rsidRDefault="007337B7" w:rsidP="007337B7">
      <w:pPr>
        <w:pStyle w:val="Listecouleur-Accent11"/>
        <w:numPr>
          <w:ilvl w:val="0"/>
          <w:numId w:val="74"/>
        </w:numPr>
        <w:spacing w:after="0" w:line="240" w:lineRule="auto"/>
        <w:ind w:right="235"/>
        <w:jc w:val="both"/>
        <w:divId w:val="410156154"/>
        <w:rPr>
          <w:rFonts w:ascii="Times New Roman" w:hAnsi="Times New Roman"/>
          <w:sz w:val="24"/>
          <w:szCs w:val="24"/>
          <w:lang w:val="fr-FR"/>
        </w:rPr>
      </w:pPr>
      <w:r w:rsidRPr="00064D4A">
        <w:rPr>
          <w:rFonts w:ascii="Times New Roman" w:hAnsi="Times New Roman"/>
          <w:sz w:val="24"/>
          <w:szCs w:val="24"/>
          <w:lang w:val="fr-FR"/>
        </w:rPr>
        <w:t>un médecin spécialiste en maladies infectieuses</w:t>
      </w:r>
    </w:p>
    <w:p w:rsidR="007337B7" w:rsidRPr="00064D4A" w:rsidRDefault="007337B7" w:rsidP="007337B7">
      <w:pPr>
        <w:pStyle w:val="Listecouleur-Accent11"/>
        <w:numPr>
          <w:ilvl w:val="0"/>
          <w:numId w:val="74"/>
        </w:numPr>
        <w:spacing w:after="0" w:line="240" w:lineRule="auto"/>
        <w:ind w:right="235"/>
        <w:jc w:val="both"/>
        <w:divId w:val="410156154"/>
        <w:rPr>
          <w:rFonts w:ascii="Times New Roman" w:hAnsi="Times New Roman"/>
          <w:b/>
          <w:color w:val="000000"/>
          <w:sz w:val="24"/>
          <w:szCs w:val="24"/>
          <w:lang w:val="fr-FR" w:eastAsia="fr-FR"/>
        </w:rPr>
      </w:pPr>
      <w:r w:rsidRPr="00064D4A">
        <w:rPr>
          <w:rFonts w:ascii="Times New Roman" w:hAnsi="Times New Roman"/>
          <w:sz w:val="24"/>
          <w:szCs w:val="24"/>
          <w:lang w:val="fr-FR"/>
        </w:rPr>
        <w:t>un médecin spécialiste en médecine interne.</w:t>
      </w:r>
    </w:p>
    <w:p w:rsidR="007337B7" w:rsidRDefault="007337B7" w:rsidP="007337B7">
      <w:pPr>
        <w:pStyle w:val="Listecouleur-Accent11"/>
        <w:spacing w:after="0" w:line="240" w:lineRule="auto"/>
        <w:ind w:left="0" w:right="235"/>
        <w:jc w:val="both"/>
        <w:divId w:val="410156154"/>
        <w:rPr>
          <w:rFonts w:ascii="Times New Roman" w:hAnsi="Times New Roman"/>
          <w:sz w:val="24"/>
          <w:szCs w:val="24"/>
          <w:lang w:val="fr-FR"/>
        </w:rPr>
      </w:pPr>
    </w:p>
    <w:p w:rsidR="007337B7" w:rsidRPr="00064D4A" w:rsidRDefault="007337B7" w:rsidP="007337B7">
      <w:pPr>
        <w:pStyle w:val="Listecouleur-Accent11"/>
        <w:spacing w:after="0" w:line="240" w:lineRule="auto"/>
        <w:ind w:left="0" w:right="235"/>
        <w:jc w:val="both"/>
        <w:divId w:val="410156154"/>
        <w:rPr>
          <w:rFonts w:ascii="Times New Roman" w:hAnsi="Times New Roman"/>
          <w:sz w:val="24"/>
          <w:szCs w:val="24"/>
          <w:lang w:val="fr-FR"/>
        </w:rPr>
      </w:pPr>
      <w:r w:rsidRPr="00064D4A">
        <w:rPr>
          <w:rFonts w:ascii="Times New Roman" w:hAnsi="Times New Roman"/>
          <w:sz w:val="24"/>
          <w:szCs w:val="24"/>
          <w:lang w:val="fr-FR"/>
        </w:rPr>
        <w:t>Le comité technique spécialisé est chargé de :</w:t>
      </w:r>
    </w:p>
    <w:p w:rsidR="007337B7" w:rsidRPr="00064D4A" w:rsidRDefault="007337B7" w:rsidP="007337B7">
      <w:pPr>
        <w:pStyle w:val="Listecouleur-Accent11"/>
        <w:numPr>
          <w:ilvl w:val="0"/>
          <w:numId w:val="73"/>
        </w:numPr>
        <w:spacing w:after="0" w:line="240" w:lineRule="auto"/>
        <w:ind w:right="235"/>
        <w:jc w:val="both"/>
        <w:divId w:val="410156154"/>
        <w:rPr>
          <w:rFonts w:ascii="Times New Roman" w:hAnsi="Times New Roman"/>
          <w:sz w:val="24"/>
          <w:szCs w:val="24"/>
          <w:lang w:val="fr-FR"/>
        </w:rPr>
      </w:pPr>
      <w:r w:rsidRPr="00064D4A">
        <w:rPr>
          <w:rFonts w:ascii="Times New Roman" w:hAnsi="Times New Roman"/>
          <w:sz w:val="24"/>
          <w:szCs w:val="24"/>
          <w:lang w:val="fr-FR"/>
        </w:rPr>
        <w:t>évaluer les informations collectées, enquêtes et travaux en matière des vigilances des médicaments et vaccins</w:t>
      </w:r>
    </w:p>
    <w:p w:rsidR="007337B7" w:rsidRPr="00064D4A" w:rsidRDefault="007337B7" w:rsidP="007337B7">
      <w:pPr>
        <w:pStyle w:val="Listecouleur-Accent11"/>
        <w:numPr>
          <w:ilvl w:val="0"/>
          <w:numId w:val="73"/>
        </w:numPr>
        <w:spacing w:after="0" w:line="240" w:lineRule="auto"/>
        <w:ind w:right="235"/>
        <w:jc w:val="both"/>
        <w:divId w:val="410156154"/>
        <w:rPr>
          <w:rFonts w:ascii="Times New Roman" w:hAnsi="Times New Roman"/>
          <w:sz w:val="24"/>
          <w:szCs w:val="24"/>
          <w:lang w:val="fr-FR"/>
        </w:rPr>
      </w:pPr>
      <w:r w:rsidRPr="00064D4A">
        <w:rPr>
          <w:rFonts w:ascii="Times New Roman" w:hAnsi="Times New Roman"/>
          <w:sz w:val="24"/>
          <w:szCs w:val="24"/>
          <w:lang w:val="fr-FR"/>
        </w:rPr>
        <w:t>préparer les travaux de la commission nationale ;</w:t>
      </w:r>
    </w:p>
    <w:p w:rsidR="007337B7" w:rsidRPr="00064D4A" w:rsidRDefault="007337B7" w:rsidP="007337B7">
      <w:pPr>
        <w:pStyle w:val="Listecouleur-Accent11"/>
        <w:numPr>
          <w:ilvl w:val="0"/>
          <w:numId w:val="73"/>
        </w:numPr>
        <w:spacing w:after="0" w:line="240" w:lineRule="auto"/>
        <w:ind w:right="235"/>
        <w:jc w:val="both"/>
        <w:divId w:val="410156154"/>
        <w:rPr>
          <w:rFonts w:ascii="Times New Roman" w:hAnsi="Times New Roman"/>
          <w:sz w:val="24"/>
          <w:szCs w:val="24"/>
          <w:lang w:val="fr-FR"/>
        </w:rPr>
      </w:pPr>
      <w:r w:rsidRPr="00064D4A">
        <w:rPr>
          <w:rFonts w:ascii="Times New Roman" w:hAnsi="Times New Roman"/>
          <w:sz w:val="24"/>
          <w:szCs w:val="24"/>
          <w:lang w:val="fr-FR"/>
        </w:rPr>
        <w:t>proposer les enquêtes à la commission nationale des vigilances;</w:t>
      </w:r>
    </w:p>
    <w:p w:rsidR="007337B7" w:rsidRPr="00064D4A" w:rsidRDefault="007337B7" w:rsidP="007337B7">
      <w:pPr>
        <w:pStyle w:val="Listecouleur-Accent11"/>
        <w:numPr>
          <w:ilvl w:val="0"/>
          <w:numId w:val="73"/>
        </w:numPr>
        <w:spacing w:before="360" w:after="120" w:line="240" w:lineRule="auto"/>
        <w:ind w:right="235"/>
        <w:jc w:val="both"/>
        <w:divId w:val="410156154"/>
        <w:rPr>
          <w:rFonts w:ascii="Times New Roman" w:hAnsi="Times New Roman"/>
          <w:color w:val="000000"/>
          <w:sz w:val="24"/>
          <w:szCs w:val="24"/>
          <w:lang w:val="fr-FR"/>
        </w:rPr>
      </w:pPr>
      <w:r w:rsidRPr="00064D4A">
        <w:rPr>
          <w:rFonts w:ascii="Times New Roman" w:hAnsi="Times New Roman"/>
          <w:sz w:val="24"/>
          <w:szCs w:val="24"/>
          <w:lang w:val="fr-FR"/>
        </w:rPr>
        <w:t>proposer et évaluer tout plan de gestion de risques liés à l’utilisation des médicaments et vaccins</w:t>
      </w:r>
      <w:r w:rsidRPr="00064D4A">
        <w:rPr>
          <w:rFonts w:ascii="Times New Roman" w:hAnsi="Times New Roman"/>
          <w:color w:val="000000"/>
          <w:sz w:val="24"/>
          <w:szCs w:val="24"/>
          <w:lang w:val="fr-FR"/>
        </w:rPr>
        <w:t xml:space="preserve">. </w:t>
      </w:r>
    </w:p>
    <w:p w:rsidR="007337B7" w:rsidRPr="007337B7" w:rsidRDefault="007337B7" w:rsidP="008D5894">
      <w:pPr>
        <w:ind w:right="235"/>
        <w:jc w:val="both"/>
        <w:divId w:val="410156154"/>
        <w:rPr>
          <w:rFonts w:eastAsia="Calibri"/>
          <w:lang w:val="fr-FR" w:eastAsia="en-US"/>
        </w:rPr>
      </w:pPr>
      <w:r w:rsidRPr="007337B7">
        <w:rPr>
          <w:rFonts w:eastAsia="Calibri"/>
          <w:lang w:val="fr-FR" w:eastAsia="en-US"/>
        </w:rPr>
        <w:t>La rencontre des membres du co</w:t>
      </w:r>
      <w:r w:rsidR="008D5894">
        <w:rPr>
          <w:rFonts w:eastAsia="Calibri"/>
          <w:lang w:val="fr-FR" w:eastAsia="en-US"/>
        </w:rPr>
        <w:t>mité des experts MAPI se fait s</w:t>
      </w:r>
      <w:r w:rsidRPr="007337B7">
        <w:rPr>
          <w:rFonts w:eastAsia="Calibri"/>
          <w:lang w:val="fr-FR" w:eastAsia="en-US"/>
        </w:rPr>
        <w:t>u</w:t>
      </w:r>
      <w:r w:rsidR="008D5894">
        <w:rPr>
          <w:rFonts w:eastAsia="Calibri"/>
          <w:lang w:val="fr-FR" w:eastAsia="en-US"/>
        </w:rPr>
        <w:t>r</w:t>
      </w:r>
      <w:r w:rsidRPr="007337B7">
        <w:rPr>
          <w:rFonts w:eastAsia="Calibri"/>
          <w:lang w:val="fr-FR" w:eastAsia="en-US"/>
        </w:rPr>
        <w:t xml:space="preserve"> convocation du comité technique pour analyser les dossiers qui leur sont présentés.</w:t>
      </w:r>
    </w:p>
    <w:p w:rsidR="007337B7" w:rsidRPr="00064D4A" w:rsidRDefault="007337B7" w:rsidP="007337B7">
      <w:pPr>
        <w:pStyle w:val="Listecouleur-Accent11"/>
        <w:spacing w:after="0" w:line="240" w:lineRule="auto"/>
        <w:ind w:left="0" w:right="235"/>
        <w:jc w:val="both"/>
        <w:divId w:val="410156154"/>
        <w:rPr>
          <w:rFonts w:ascii="Times New Roman" w:hAnsi="Times New Roman"/>
          <w:color w:val="000000"/>
          <w:sz w:val="24"/>
          <w:szCs w:val="24"/>
          <w:lang w:val="fr-FR"/>
        </w:rPr>
      </w:pPr>
      <w:r w:rsidRPr="00064D4A">
        <w:rPr>
          <w:rFonts w:ascii="Times New Roman" w:hAnsi="Times New Roman"/>
          <w:color w:val="000000"/>
          <w:sz w:val="24"/>
          <w:szCs w:val="24"/>
          <w:lang w:val="fr-FR"/>
        </w:rPr>
        <w:t xml:space="preserve">En cas d’urgence, le comité technique spécialisé </w:t>
      </w:r>
      <w:r w:rsidRPr="00064D4A">
        <w:rPr>
          <w:rFonts w:ascii="Times New Roman" w:hAnsi="Times New Roman"/>
          <w:sz w:val="24"/>
          <w:szCs w:val="24"/>
          <w:lang w:val="fr-FR"/>
        </w:rPr>
        <w:t>de vigilance des médicaments et vaccins</w:t>
      </w:r>
      <w:r w:rsidRPr="00064D4A">
        <w:rPr>
          <w:rFonts w:ascii="Times New Roman" w:hAnsi="Times New Roman"/>
          <w:color w:val="000000"/>
          <w:sz w:val="24"/>
          <w:szCs w:val="24"/>
          <w:lang w:val="fr-FR"/>
        </w:rPr>
        <w:t xml:space="preserve"> tient lieu de cellule de crise.</w:t>
      </w:r>
    </w:p>
    <w:p w:rsidR="007337B7" w:rsidRPr="00A84DF7" w:rsidRDefault="007337B7" w:rsidP="007337B7">
      <w:pPr>
        <w:ind w:right="235"/>
        <w:jc w:val="both"/>
        <w:divId w:val="410156154"/>
        <w:rPr>
          <w:rFonts w:eastAsia="Calibri"/>
          <w:lang w:val="fr-FR" w:eastAsia="en-US"/>
        </w:rPr>
      </w:pPr>
      <w:r w:rsidRPr="00A84DF7">
        <w:rPr>
          <w:rFonts w:eastAsia="Calibri"/>
          <w:lang w:val="fr-FR" w:eastAsia="en-US"/>
        </w:rPr>
        <w:t xml:space="preserve">L’évaluation des liens de causalités des cas prend en compte les liens temporels, les arguments cliniques et biologiques, les données issues des essais pré et post commercialisation du vaccin. </w:t>
      </w:r>
    </w:p>
    <w:p w:rsidR="007337B7" w:rsidRPr="00A84DF7" w:rsidRDefault="007337B7" w:rsidP="007337B7">
      <w:pPr>
        <w:ind w:right="235"/>
        <w:jc w:val="both"/>
        <w:divId w:val="410156154"/>
        <w:rPr>
          <w:rFonts w:eastAsia="Calibri"/>
          <w:lang w:val="fr-FR" w:eastAsia="en-US"/>
        </w:rPr>
      </w:pPr>
    </w:p>
    <w:p w:rsidR="007337B7" w:rsidRPr="00ED28DD" w:rsidRDefault="007337B7" w:rsidP="00ED28DD">
      <w:pPr>
        <w:pStyle w:val="Paragraphedeliste"/>
        <w:numPr>
          <w:ilvl w:val="0"/>
          <w:numId w:val="45"/>
        </w:numPr>
        <w:spacing w:after="0" w:line="240" w:lineRule="auto"/>
        <w:ind w:right="355"/>
        <w:jc w:val="both"/>
        <w:divId w:val="410156154"/>
        <w:rPr>
          <w:lang w:val="fr-FR"/>
        </w:rPr>
      </w:pPr>
      <w:r w:rsidRPr="00ED28DD">
        <w:rPr>
          <w:highlight w:val="cyan"/>
          <w:lang w:val="fr-FR"/>
        </w:rPr>
        <w:t>Décrire le processus et les procédures de suivi des manifestations indésirables suite à l’introduction du VPI au niveau des districts, ainsi qu’aux niveaux local, régional/provincial et national.</w:t>
      </w:r>
    </w:p>
    <w:p w:rsidR="007337B7" w:rsidRPr="00064D4A" w:rsidRDefault="007337B7" w:rsidP="007337B7">
      <w:pPr>
        <w:jc w:val="both"/>
        <w:divId w:val="410156154"/>
        <w:rPr>
          <w:lang w:val="fr-FR"/>
        </w:rPr>
      </w:pPr>
    </w:p>
    <w:p w:rsidR="007337B7" w:rsidRPr="00064D4A" w:rsidRDefault="007337B7" w:rsidP="007337B7">
      <w:pPr>
        <w:ind w:right="235"/>
        <w:contextualSpacing/>
        <w:jc w:val="both"/>
        <w:divId w:val="410156154"/>
        <w:rPr>
          <w:rFonts w:eastAsia="Calibri"/>
          <w:lang w:val="fr-FR" w:eastAsia="en-US"/>
        </w:rPr>
      </w:pPr>
      <w:r w:rsidRPr="00064D4A">
        <w:rPr>
          <w:rFonts w:eastAsia="Calibri"/>
          <w:lang w:val="fr-FR" w:eastAsia="en-US"/>
        </w:rPr>
        <w:t>Les cas de MAPI sont notifiés aux centres de santé par les relais communautaires ou les patients. Pour chaque cas de MAPI, une fiche de notification est remplie et transmise par les prestataires de soins au niveau district.</w:t>
      </w:r>
    </w:p>
    <w:p w:rsidR="007337B7" w:rsidRPr="00064D4A" w:rsidRDefault="007337B7" w:rsidP="007337B7">
      <w:pPr>
        <w:ind w:right="235"/>
        <w:contextualSpacing/>
        <w:jc w:val="both"/>
        <w:divId w:val="410156154"/>
        <w:rPr>
          <w:rFonts w:eastAsia="Calibri"/>
          <w:lang w:val="fr-FR" w:eastAsia="en-US"/>
        </w:rPr>
      </w:pPr>
    </w:p>
    <w:p w:rsidR="007337B7" w:rsidRPr="00064D4A" w:rsidRDefault="007337B7" w:rsidP="007337B7">
      <w:pPr>
        <w:ind w:right="235"/>
        <w:contextualSpacing/>
        <w:jc w:val="both"/>
        <w:divId w:val="410156154"/>
        <w:rPr>
          <w:rFonts w:eastAsia="Calibri"/>
          <w:lang w:val="fr-FR" w:eastAsia="en-US"/>
        </w:rPr>
      </w:pPr>
      <w:r w:rsidRPr="00064D4A">
        <w:rPr>
          <w:rFonts w:eastAsia="Calibri"/>
          <w:lang w:val="fr-FR" w:eastAsia="en-US"/>
        </w:rPr>
        <w:t xml:space="preserve">Les cas graves et sévères font l’objet d’une investigation au niveau de l’hôpital de référence. Les fiches de notification et d’investigation de tous les cas de MAPI sont transmises à la région sanitaire, puis au niveau central. </w:t>
      </w:r>
    </w:p>
    <w:p w:rsidR="007337B7" w:rsidRPr="00064D4A" w:rsidRDefault="007337B7" w:rsidP="007337B7">
      <w:pPr>
        <w:ind w:right="235"/>
        <w:contextualSpacing/>
        <w:jc w:val="both"/>
        <w:divId w:val="410156154"/>
        <w:rPr>
          <w:rFonts w:eastAsia="Calibri"/>
          <w:lang w:val="fr-FR" w:eastAsia="en-US"/>
        </w:rPr>
      </w:pPr>
    </w:p>
    <w:p w:rsidR="007337B7" w:rsidRPr="00064D4A" w:rsidRDefault="007337B7" w:rsidP="007337B7">
      <w:pPr>
        <w:ind w:right="235"/>
        <w:contextualSpacing/>
        <w:jc w:val="both"/>
        <w:divId w:val="410156154"/>
        <w:rPr>
          <w:rFonts w:eastAsia="Calibri"/>
          <w:lang w:val="fr-FR" w:eastAsia="en-US"/>
        </w:rPr>
      </w:pPr>
      <w:r w:rsidRPr="00064D4A">
        <w:rPr>
          <w:rFonts w:eastAsia="Calibri"/>
          <w:lang w:val="fr-FR" w:eastAsia="en-US"/>
        </w:rPr>
        <w:lastRenderedPageBreak/>
        <w:t xml:space="preserve">La prise en charge des cas de MAPI non graves est faite localement au niveau de l’établissement sanitaire de notification. Les cas graves et sévères seront référés à l’hôpital de référence du district, puis au besoin à un niveau supérieur. </w:t>
      </w:r>
    </w:p>
    <w:p w:rsidR="00B563C2" w:rsidRDefault="00B563C2" w:rsidP="00C63E63">
      <w:pPr>
        <w:autoSpaceDE w:val="0"/>
        <w:autoSpaceDN w:val="0"/>
        <w:adjustRightInd w:val="0"/>
        <w:ind w:right="230"/>
        <w:jc w:val="both"/>
        <w:divId w:val="410156154"/>
        <w:rPr>
          <w:rFonts w:asciiTheme="minorHAnsi" w:eastAsia="SimSun" w:hAnsiTheme="minorHAnsi" w:cs="Calibri"/>
          <w:color w:val="000000"/>
          <w:lang w:val="fr-FR"/>
        </w:rPr>
      </w:pPr>
    </w:p>
    <w:p w:rsidR="000A2CB6" w:rsidRPr="00C369C9" w:rsidRDefault="00515293">
      <w:pPr>
        <w:spacing w:after="120"/>
        <w:divId w:val="410156154"/>
        <w:rPr>
          <w:rFonts w:asciiTheme="minorHAnsi" w:eastAsia="SimSun" w:hAnsiTheme="minorHAnsi"/>
          <w:b/>
          <w:color w:val="1F497D" w:themeColor="text2"/>
          <w:sz w:val="28"/>
          <w:szCs w:val="28"/>
          <w:lang w:val="fr-FR"/>
        </w:rPr>
      </w:pPr>
      <w:r w:rsidRPr="00C369C9">
        <w:rPr>
          <w:rFonts w:asciiTheme="minorHAnsi" w:eastAsia="SimSun" w:hAnsiTheme="minorHAnsi"/>
          <w:b/>
          <w:color w:val="1F497D" w:themeColor="text2"/>
          <w:sz w:val="28"/>
          <w:szCs w:val="28"/>
          <w:lang w:val="fr-FR"/>
        </w:rPr>
        <w:t>6. Plaidoyer, communication et mobilisation sociale</w:t>
      </w:r>
    </w:p>
    <w:p w:rsidR="00832362" w:rsidRPr="00832362" w:rsidRDefault="00515293">
      <w:pPr>
        <w:pStyle w:val="Paragraphedeliste"/>
        <w:numPr>
          <w:ilvl w:val="0"/>
          <w:numId w:val="16"/>
        </w:numPr>
        <w:spacing w:after="0" w:line="240" w:lineRule="auto"/>
        <w:ind w:right="115"/>
        <w:jc w:val="both"/>
        <w:divId w:val="410156154"/>
        <w:rPr>
          <w:highlight w:val="cyan"/>
          <w:lang w:val="fr-FR"/>
        </w:rPr>
      </w:pPr>
      <w:r w:rsidRPr="00832362">
        <w:rPr>
          <w:highlight w:val="cyan"/>
          <w:lang w:val="fr-FR"/>
        </w:rPr>
        <w:t xml:space="preserve">Décrire les mesures destinées à sensibiliser les dirigeants politiques et les leaders d’opinion à l’échelon national/régional et au niveau des districts sur l’introduction du VPI, ses avantages pour la population et sa contribution à la stratégie pour l’éradication de la poliomyélite et l’assaut final contre la maladie. </w:t>
      </w:r>
    </w:p>
    <w:p w:rsidR="00832362" w:rsidRPr="00860CC3" w:rsidRDefault="00832362" w:rsidP="00806E51">
      <w:pPr>
        <w:keepLines/>
        <w:tabs>
          <w:tab w:val="left" w:pos="426"/>
        </w:tabs>
        <w:spacing w:before="120"/>
        <w:ind w:left="120" w:right="120"/>
        <w:jc w:val="both"/>
        <w:divId w:val="410156154"/>
        <w:rPr>
          <w:lang w:val="fr-FR"/>
        </w:rPr>
      </w:pPr>
      <w:r w:rsidRPr="00860CC3">
        <w:rPr>
          <w:lang w:val="fr-FR"/>
        </w:rPr>
        <w:t>Les dirigeants politiques, les responsables administratifs, d</w:t>
      </w:r>
      <w:r w:rsidR="00806E51" w:rsidRPr="00860CC3">
        <w:rPr>
          <w:lang w:val="fr-FR"/>
        </w:rPr>
        <w:t xml:space="preserve">u niveau national au niveau </w:t>
      </w:r>
      <w:r w:rsidRPr="00860CC3">
        <w:rPr>
          <w:lang w:val="fr-FR"/>
        </w:rPr>
        <w:t xml:space="preserve">périphérique seront </w:t>
      </w:r>
      <w:r w:rsidR="00806E51" w:rsidRPr="00860CC3">
        <w:rPr>
          <w:lang w:val="fr-FR"/>
        </w:rPr>
        <w:t>sensibilisés grâce au plaidoyer et</w:t>
      </w:r>
      <w:r w:rsidRPr="00860CC3">
        <w:rPr>
          <w:lang w:val="fr-FR"/>
        </w:rPr>
        <w:t xml:space="preserve"> à la communication interpersonnelle. L’objectif est de donner le maximum d’information à ces publics-cibles dont le soutien est vital au succès de l’introduction du Vaccin Polio Inactivé.</w:t>
      </w:r>
    </w:p>
    <w:p w:rsidR="00832362" w:rsidRDefault="007B1D93" w:rsidP="0055252C">
      <w:pPr>
        <w:keepLines/>
        <w:tabs>
          <w:tab w:val="left" w:pos="426"/>
        </w:tabs>
        <w:spacing w:before="120"/>
        <w:ind w:right="120"/>
        <w:jc w:val="both"/>
        <w:divId w:val="410156154"/>
        <w:rPr>
          <w:lang w:val="fr-FR"/>
        </w:rPr>
      </w:pPr>
      <w:r w:rsidRPr="00860CC3">
        <w:rPr>
          <w:lang w:val="fr-FR"/>
        </w:rPr>
        <w:t xml:space="preserve">Des outils tels que des dépliants, des fiches de présentation du VPI seront utilisés au cours de rencontres </w:t>
      </w:r>
      <w:r w:rsidR="00806E51" w:rsidRPr="00860CC3">
        <w:rPr>
          <w:lang w:val="fr-FR"/>
        </w:rPr>
        <w:t>de plaidoyer</w:t>
      </w:r>
      <w:r w:rsidRPr="00860CC3">
        <w:rPr>
          <w:lang w:val="fr-FR"/>
        </w:rPr>
        <w:t xml:space="preserve"> avec les décideurs politiques. Des sessions de plaidoyer seront également organisées sous la forme de rencontres ciblées avec des responsables administratifs et des leaders d’opinion dont un mapping</w:t>
      </w:r>
      <w:r w:rsidR="00806E51" w:rsidRPr="00860CC3">
        <w:rPr>
          <w:lang w:val="fr-FR"/>
        </w:rPr>
        <w:t xml:space="preserve"> (cartographie)</w:t>
      </w:r>
      <w:r w:rsidRPr="00860CC3">
        <w:rPr>
          <w:lang w:val="fr-FR"/>
        </w:rPr>
        <w:t xml:space="preserve"> sera fait afin de les identifier pour faciliter leur implication. Des supports en power point qui résument les</w:t>
      </w:r>
      <w:r w:rsidR="00832362" w:rsidRPr="00860CC3">
        <w:rPr>
          <w:lang w:val="fr-FR"/>
        </w:rPr>
        <w:t>avantages du VPI pour la population et l’intérêt pour le Burkina Faso d’adhérer à la stratégie mondiale d’éradication de la poliomyélite</w:t>
      </w:r>
      <w:r w:rsidR="0055252C" w:rsidRPr="00860CC3">
        <w:rPr>
          <w:lang w:val="fr-FR"/>
        </w:rPr>
        <w:t xml:space="preserve"> seront produits</w:t>
      </w:r>
      <w:r w:rsidR="00832362" w:rsidRPr="00860CC3">
        <w:rPr>
          <w:lang w:val="fr-FR"/>
        </w:rPr>
        <w:t xml:space="preserve">. </w:t>
      </w:r>
    </w:p>
    <w:p w:rsidR="005C63FD" w:rsidRPr="00860CC3" w:rsidRDefault="005C63FD" w:rsidP="0055252C">
      <w:pPr>
        <w:keepLines/>
        <w:tabs>
          <w:tab w:val="left" w:pos="426"/>
        </w:tabs>
        <w:spacing w:before="120"/>
        <w:ind w:right="120"/>
        <w:jc w:val="both"/>
        <w:divId w:val="410156154"/>
        <w:rPr>
          <w:lang w:val="fr-FR"/>
        </w:rPr>
      </w:pPr>
    </w:p>
    <w:p w:rsidR="00832362" w:rsidRDefault="00515293">
      <w:pPr>
        <w:pStyle w:val="Paragraphedeliste"/>
        <w:numPr>
          <w:ilvl w:val="0"/>
          <w:numId w:val="16"/>
        </w:numPr>
        <w:spacing w:after="0" w:line="240" w:lineRule="auto"/>
        <w:ind w:right="115"/>
        <w:jc w:val="both"/>
        <w:divId w:val="410156154"/>
        <w:rPr>
          <w:highlight w:val="cyan"/>
          <w:lang w:val="fr-FR"/>
        </w:rPr>
      </w:pPr>
      <w:r w:rsidRPr="00832362">
        <w:rPr>
          <w:highlight w:val="cyan"/>
          <w:lang w:val="fr-FR"/>
        </w:rPr>
        <w:t xml:space="preserve">Décrire le processus d’élaboration d’une stratégie de communication pour l’introduction du VPI au niveau communautaire, avec identification des messages clés, des moyens de communication et des méthodes utilisées pour améliorer l’impact. Décrire, le cas échéant, dans quelle mesure les résultats de l’évaluation des connaissances, attitudes, pratiques et croyances des prestataires et/ou les études sur les obstacles à la vaccination ont été utilisés </w:t>
      </w:r>
      <w:r w:rsidR="006D30CB" w:rsidRPr="00832362">
        <w:rPr>
          <w:highlight w:val="cyan"/>
          <w:lang w:val="fr-FR"/>
        </w:rPr>
        <w:t>afin d’</w:t>
      </w:r>
      <w:r w:rsidRPr="00832362">
        <w:rPr>
          <w:highlight w:val="cyan"/>
          <w:lang w:val="fr-FR"/>
        </w:rPr>
        <w:t xml:space="preserve">éclairer la stratégie de communication pour l’introduction du VPI. </w:t>
      </w:r>
    </w:p>
    <w:p w:rsidR="0055252C" w:rsidRPr="00860CC3" w:rsidRDefault="00832362" w:rsidP="0055252C">
      <w:pPr>
        <w:spacing w:before="120"/>
        <w:ind w:left="120" w:right="120"/>
        <w:jc w:val="both"/>
        <w:divId w:val="410156154"/>
        <w:rPr>
          <w:lang w:val="fr-FR"/>
        </w:rPr>
      </w:pPr>
      <w:r w:rsidRPr="00860CC3">
        <w:rPr>
          <w:lang w:val="fr-FR"/>
        </w:rPr>
        <w:t xml:space="preserve">La communication représente une composante essentielle du PEV au Burkina. Un service de communication </w:t>
      </w:r>
      <w:r w:rsidR="0055252C" w:rsidRPr="00860CC3">
        <w:rPr>
          <w:lang w:val="fr-FR"/>
        </w:rPr>
        <w:t xml:space="preserve">est chargé </w:t>
      </w:r>
      <w:r w:rsidRPr="00860CC3">
        <w:rPr>
          <w:lang w:val="fr-FR"/>
        </w:rPr>
        <w:t xml:space="preserve">au sein de la Direction de la Prévention par la Vaccination (DPV) </w:t>
      </w:r>
      <w:r w:rsidR="0055252C" w:rsidRPr="00860CC3">
        <w:rPr>
          <w:lang w:val="fr-FR"/>
        </w:rPr>
        <w:t>de traiter des questions de communication pour le programme.</w:t>
      </w:r>
    </w:p>
    <w:p w:rsidR="00832362" w:rsidRPr="00860CC3" w:rsidRDefault="0055252C" w:rsidP="0055252C">
      <w:pPr>
        <w:spacing w:before="120"/>
        <w:ind w:left="120" w:right="120"/>
        <w:jc w:val="both"/>
        <w:divId w:val="410156154"/>
        <w:rPr>
          <w:lang w:val="fr-FR"/>
        </w:rPr>
      </w:pPr>
      <w:r w:rsidRPr="00860CC3">
        <w:rPr>
          <w:lang w:val="fr-FR"/>
        </w:rPr>
        <w:t>Ce service travaille en étroite collaboration a</w:t>
      </w:r>
      <w:r w:rsidR="00832362" w:rsidRPr="00860CC3">
        <w:rPr>
          <w:lang w:val="fr-FR"/>
        </w:rPr>
        <w:t xml:space="preserve">vec les régions (à travers les </w:t>
      </w:r>
      <w:r w:rsidRPr="00860CC3">
        <w:rPr>
          <w:lang w:val="fr-FR"/>
        </w:rPr>
        <w:t>RHACS</w:t>
      </w:r>
      <w:r w:rsidR="00832362" w:rsidRPr="00860CC3">
        <w:rPr>
          <w:lang w:val="fr-FR"/>
        </w:rPr>
        <w:t xml:space="preserve">) et les districts (avec les </w:t>
      </w:r>
      <w:r w:rsidRPr="00860CC3">
        <w:rPr>
          <w:lang w:val="fr-FR"/>
        </w:rPr>
        <w:t>RHACS</w:t>
      </w:r>
      <w:r w:rsidR="00832362" w:rsidRPr="00860CC3">
        <w:rPr>
          <w:lang w:val="fr-FR"/>
        </w:rPr>
        <w:t xml:space="preserve">). </w:t>
      </w:r>
      <w:r w:rsidRPr="00860CC3">
        <w:rPr>
          <w:lang w:val="fr-FR"/>
        </w:rPr>
        <w:t xml:space="preserve">Il </w:t>
      </w:r>
      <w:r w:rsidR="00832362" w:rsidRPr="00860CC3">
        <w:rPr>
          <w:lang w:val="fr-FR"/>
        </w:rPr>
        <w:t xml:space="preserve">met en œuvre </w:t>
      </w:r>
      <w:r w:rsidRPr="00860CC3">
        <w:rPr>
          <w:lang w:val="fr-FR"/>
        </w:rPr>
        <w:t xml:space="preserve">desactivités </w:t>
      </w:r>
      <w:r w:rsidR="00832362" w:rsidRPr="00860CC3">
        <w:rPr>
          <w:lang w:val="fr-FR"/>
        </w:rPr>
        <w:t>de communication pour la vaccination de routine, les AVS, la surveillance</w:t>
      </w:r>
      <w:r w:rsidRPr="00860CC3">
        <w:rPr>
          <w:lang w:val="fr-FR"/>
        </w:rPr>
        <w:t xml:space="preserve">. </w:t>
      </w:r>
    </w:p>
    <w:p w:rsidR="00832362" w:rsidRPr="00860CC3" w:rsidRDefault="00832362" w:rsidP="00F171B4">
      <w:pPr>
        <w:spacing w:before="120"/>
        <w:ind w:left="120" w:right="120"/>
        <w:jc w:val="both"/>
        <w:divId w:val="410156154"/>
        <w:rPr>
          <w:lang w:val="fr-FR"/>
        </w:rPr>
      </w:pPr>
      <w:r w:rsidRPr="00860CC3">
        <w:rPr>
          <w:lang w:val="fr-FR"/>
        </w:rPr>
        <w:t xml:space="preserve">Les principales stratégies de communication pour l’introduction du VPI sont le plaidoyer, la mobilisation sociale et la communication pour le changement de comportement. Les principaux publics-cibles sont les </w:t>
      </w:r>
      <w:r w:rsidRPr="005C63FD">
        <w:rPr>
          <w:color w:val="000000" w:themeColor="text1"/>
          <w:lang w:val="fr-FR"/>
        </w:rPr>
        <w:t>parents</w:t>
      </w:r>
      <w:r w:rsidRPr="005C63FD">
        <w:rPr>
          <w:lang w:val="fr-FR"/>
        </w:rPr>
        <w:t>(mères et pères d’enfants ; y compris le</w:t>
      </w:r>
      <w:r w:rsidR="00F171B4" w:rsidRPr="005C63FD">
        <w:rPr>
          <w:lang w:val="fr-FR"/>
        </w:rPr>
        <w:t>ur entourage familial immédiat)</w:t>
      </w:r>
      <w:r w:rsidRPr="005C63FD">
        <w:rPr>
          <w:lang w:val="fr-FR"/>
        </w:rPr>
        <w:t>, les agents de santé, les dirigeants politiques et les leaders d’opinion depuis le niveau national jusqu’au niveau communautaire.</w:t>
      </w:r>
    </w:p>
    <w:p w:rsidR="00832362" w:rsidRPr="00860CC3" w:rsidRDefault="007F04D0" w:rsidP="001D0A03">
      <w:pPr>
        <w:spacing w:before="120"/>
        <w:ind w:right="120"/>
        <w:jc w:val="both"/>
        <w:divId w:val="410156154"/>
        <w:rPr>
          <w:lang w:val="fr-FR"/>
        </w:rPr>
      </w:pPr>
      <w:r>
        <w:rPr>
          <w:lang w:val="fr-FR"/>
        </w:rPr>
        <w:t>Compte tenu que l’introduction du</w:t>
      </w:r>
      <w:r w:rsidR="00832362" w:rsidRPr="00860CC3">
        <w:rPr>
          <w:lang w:val="fr-FR"/>
        </w:rPr>
        <w:t xml:space="preserve"> VPI va modifier le calendrier vaccinal existant et sera présent dans le PEV de routine en même temps que le VPO, un effort particulier sera demandé en termes de messages-clés à délivrer à des publics-cibles précis mais variés (notamment les parents d’enfants et les agents de santé). Toujours dans ce sens, il sera mis en place un dispositif de communication de crise et de gestion d’éventuelles rumeurs dans la communauté. </w:t>
      </w:r>
      <w:r w:rsidR="00F171B4" w:rsidRPr="00860CC3">
        <w:rPr>
          <w:lang w:val="fr-FR"/>
        </w:rPr>
        <w:t xml:space="preserve">A cet effet, </w:t>
      </w:r>
      <w:r w:rsidR="00832362" w:rsidRPr="00860CC3">
        <w:rPr>
          <w:lang w:val="fr-FR"/>
        </w:rPr>
        <w:t>un plan spécifique de communication/mobilisation sociale sera proposé pour accompagner et faciliter l’introduction du VPI. S</w:t>
      </w:r>
      <w:r w:rsidR="00F171B4" w:rsidRPr="00860CC3">
        <w:rPr>
          <w:lang w:val="fr-FR"/>
        </w:rPr>
        <w:t>on élaboration s</w:t>
      </w:r>
      <w:r w:rsidR="00832362" w:rsidRPr="00860CC3">
        <w:rPr>
          <w:lang w:val="fr-FR"/>
        </w:rPr>
        <w:t>era placée sous la responsabilité du DPV</w:t>
      </w:r>
      <w:r w:rsidR="00F171B4" w:rsidRPr="00860CC3">
        <w:rPr>
          <w:lang w:val="fr-FR"/>
        </w:rPr>
        <w:t xml:space="preserve"> avec l’accompagnement d</w:t>
      </w:r>
      <w:r w:rsidR="00832362" w:rsidRPr="00860CC3">
        <w:rPr>
          <w:lang w:val="fr-FR"/>
        </w:rPr>
        <w:t>es p</w:t>
      </w:r>
      <w:r w:rsidR="00F171B4" w:rsidRPr="00860CC3">
        <w:rPr>
          <w:lang w:val="fr-FR"/>
        </w:rPr>
        <w:t xml:space="preserve">artenaires tels que </w:t>
      </w:r>
      <w:r w:rsidR="001D0A03" w:rsidRPr="00860CC3">
        <w:rPr>
          <w:lang w:val="fr-FR"/>
        </w:rPr>
        <w:t>l’OMS, l’</w:t>
      </w:r>
      <w:r w:rsidR="00832362" w:rsidRPr="00860CC3">
        <w:rPr>
          <w:lang w:val="fr-FR"/>
        </w:rPr>
        <w:t xml:space="preserve">Unicef, </w:t>
      </w:r>
      <w:r w:rsidR="001D0A03" w:rsidRPr="00860CC3">
        <w:rPr>
          <w:lang w:val="fr-FR"/>
        </w:rPr>
        <w:t xml:space="preserve">la </w:t>
      </w:r>
      <w:r w:rsidR="00832362" w:rsidRPr="00860CC3">
        <w:rPr>
          <w:lang w:val="fr-FR"/>
        </w:rPr>
        <w:t xml:space="preserve">Croix rouge, </w:t>
      </w:r>
      <w:r w:rsidR="001D0A03" w:rsidRPr="00860CC3">
        <w:rPr>
          <w:lang w:val="fr-FR"/>
        </w:rPr>
        <w:t xml:space="preserve">le </w:t>
      </w:r>
      <w:r w:rsidR="00832362" w:rsidRPr="00860CC3">
        <w:rPr>
          <w:lang w:val="fr-FR"/>
        </w:rPr>
        <w:t xml:space="preserve">Rotary et la société civile. </w:t>
      </w:r>
    </w:p>
    <w:p w:rsidR="007B1D93" w:rsidRPr="007B1D93" w:rsidRDefault="00515293">
      <w:pPr>
        <w:pStyle w:val="Paragraphedeliste"/>
        <w:numPr>
          <w:ilvl w:val="0"/>
          <w:numId w:val="16"/>
        </w:numPr>
        <w:spacing w:after="0" w:line="240" w:lineRule="auto"/>
        <w:ind w:right="115"/>
        <w:jc w:val="both"/>
        <w:divId w:val="410156154"/>
        <w:rPr>
          <w:highlight w:val="cyan"/>
          <w:lang w:val="fr-FR"/>
        </w:rPr>
      </w:pPr>
      <w:r w:rsidRPr="007B1D93">
        <w:rPr>
          <w:highlight w:val="cyan"/>
          <w:lang w:val="fr-FR"/>
        </w:rPr>
        <w:lastRenderedPageBreak/>
        <w:t xml:space="preserve">Décrire le processus d’élaboration des matériels d’information, d’éducation et de communication (IEC), les médias, les groupes de discussion et les évaluations anthropologiques pour les principaux groupes cibles, le cas échéant.  </w:t>
      </w:r>
    </w:p>
    <w:p w:rsidR="007B1D93" w:rsidRPr="00860CC3" w:rsidRDefault="007B1D93" w:rsidP="003F4F6D">
      <w:pPr>
        <w:spacing w:before="120"/>
        <w:jc w:val="both"/>
        <w:divId w:val="410156154"/>
        <w:rPr>
          <w:lang w:val="fr-FR"/>
        </w:rPr>
      </w:pPr>
      <w:r w:rsidRPr="00860CC3">
        <w:rPr>
          <w:lang w:val="fr-FR"/>
        </w:rPr>
        <w:t xml:space="preserve">Sous le leadership du </w:t>
      </w:r>
      <w:r w:rsidR="003F4F6D" w:rsidRPr="00860CC3">
        <w:rPr>
          <w:lang w:val="fr-FR"/>
        </w:rPr>
        <w:t>directeur</w:t>
      </w:r>
      <w:r w:rsidRPr="00860CC3">
        <w:rPr>
          <w:lang w:val="fr-FR"/>
        </w:rPr>
        <w:t xml:space="preserve"> du PEV, un atelier d’élaboration et de validation des supports éducatifs sera organisé. Au cours de cet atelier, la nature et la</w:t>
      </w:r>
      <w:r w:rsidR="001D0A03" w:rsidRPr="00860CC3">
        <w:rPr>
          <w:lang w:val="fr-FR"/>
        </w:rPr>
        <w:t xml:space="preserve"> quantité desdits matériels seront</w:t>
      </w:r>
      <w:r w:rsidRPr="00860CC3">
        <w:rPr>
          <w:lang w:val="fr-FR"/>
        </w:rPr>
        <w:t xml:space="preserve"> précisée</w:t>
      </w:r>
      <w:r w:rsidR="001D0A03" w:rsidRPr="00860CC3">
        <w:rPr>
          <w:lang w:val="fr-FR"/>
        </w:rPr>
        <w:t>s</w:t>
      </w:r>
      <w:r w:rsidRPr="00860CC3">
        <w:rPr>
          <w:lang w:val="fr-FR"/>
        </w:rPr>
        <w:t xml:space="preserve"> au regard de la spécificité du VPI (dépliants, banderoles, posters, affiches, etc.).</w:t>
      </w:r>
    </w:p>
    <w:p w:rsidR="007B1D93" w:rsidRPr="00860CC3" w:rsidRDefault="007B1D93" w:rsidP="001D0A03">
      <w:pPr>
        <w:spacing w:before="120"/>
        <w:jc w:val="both"/>
        <w:divId w:val="410156154"/>
        <w:rPr>
          <w:lang w:val="fr-FR"/>
        </w:rPr>
      </w:pPr>
      <w:r w:rsidRPr="00860CC3">
        <w:rPr>
          <w:lang w:val="fr-FR"/>
        </w:rPr>
        <w:t xml:space="preserve">Des groupes spécifiques seront conviés à cet atelier de validation, notamment les hommes de média et certains corps professionnels. </w:t>
      </w:r>
    </w:p>
    <w:p w:rsidR="007B1D93" w:rsidRPr="00860CC3" w:rsidRDefault="007B1D93" w:rsidP="00B563C2">
      <w:pPr>
        <w:spacing w:before="120"/>
        <w:jc w:val="both"/>
        <w:divId w:val="410156154"/>
        <w:rPr>
          <w:lang w:val="fr-FR"/>
        </w:rPr>
      </w:pPr>
      <w:r w:rsidRPr="00860CC3">
        <w:rPr>
          <w:lang w:val="fr-FR"/>
        </w:rPr>
        <w:t>Il est à noter que le pré-test des matériels éducatifs sera fait avant leur adoption défin</w:t>
      </w:r>
      <w:r w:rsidR="001D0A03" w:rsidRPr="00860CC3">
        <w:rPr>
          <w:lang w:val="fr-FR"/>
        </w:rPr>
        <w:t>itive, la quelle sera suivie de</w:t>
      </w:r>
      <w:r w:rsidRPr="00860CC3">
        <w:rPr>
          <w:lang w:val="fr-FR"/>
        </w:rPr>
        <w:t xml:space="preserve"> la multiplication desdits supports. </w:t>
      </w:r>
    </w:p>
    <w:p w:rsidR="007B1D93" w:rsidRPr="00860CC3" w:rsidRDefault="007B1D93" w:rsidP="003F4F6D">
      <w:pPr>
        <w:spacing w:before="120"/>
        <w:jc w:val="both"/>
        <w:divId w:val="410156154"/>
        <w:rPr>
          <w:lang w:val="fr-FR"/>
        </w:rPr>
      </w:pPr>
      <w:r w:rsidRPr="00860CC3">
        <w:rPr>
          <w:lang w:val="fr-FR"/>
        </w:rPr>
        <w:t xml:space="preserve">Enfin, les journalistes, en tant que groupe spécifique </w:t>
      </w:r>
      <w:r w:rsidR="003F4F6D" w:rsidRPr="00860CC3">
        <w:rPr>
          <w:lang w:val="fr-FR"/>
        </w:rPr>
        <w:t xml:space="preserve">chargé de </w:t>
      </w:r>
      <w:r w:rsidRPr="00860CC3">
        <w:rPr>
          <w:lang w:val="fr-FR"/>
        </w:rPr>
        <w:t>la diffusion des messages au grand public, seront invités à un atelier de briefing sur le VPI et ses avantages pour le pays.</w:t>
      </w:r>
    </w:p>
    <w:p w:rsidR="00536131" w:rsidRPr="007B1D93" w:rsidRDefault="00536131" w:rsidP="00B563C2">
      <w:pPr>
        <w:spacing w:before="120" w:after="120"/>
        <w:ind w:left="120" w:right="235"/>
        <w:jc w:val="both"/>
        <w:divId w:val="410156154"/>
        <w:rPr>
          <w:lang w:val="fr-FR"/>
        </w:rPr>
      </w:pPr>
      <w:bookmarkStart w:id="15" w:name="_GoBack"/>
      <w:bookmarkEnd w:id="15"/>
    </w:p>
    <w:p w:rsidR="007B1D93" w:rsidRDefault="00515293" w:rsidP="007B1D93">
      <w:pPr>
        <w:pStyle w:val="Paragraphedeliste"/>
        <w:numPr>
          <w:ilvl w:val="0"/>
          <w:numId w:val="16"/>
        </w:numPr>
        <w:spacing w:after="0" w:line="240" w:lineRule="auto"/>
        <w:ind w:left="960" w:right="355"/>
        <w:jc w:val="both"/>
        <w:divId w:val="410156154"/>
        <w:rPr>
          <w:highlight w:val="cyan"/>
          <w:lang w:val="fr-FR"/>
        </w:rPr>
      </w:pPr>
      <w:r w:rsidRPr="007B1D93">
        <w:rPr>
          <w:highlight w:val="cyan"/>
          <w:lang w:val="fr-FR"/>
        </w:rPr>
        <w:t xml:space="preserve">Décrire les mesures qui ont été prises afin d’organiser une cérémonie de lancement à l’échelon national, s’il y a lieu, et des cérémonies au niveau sous-national le cas échéant, y compris la promotion éventuelle des programmes de vaccination et des stratégies intégrées de lutte contre la maladie.    </w:t>
      </w:r>
    </w:p>
    <w:p w:rsidR="007B1D93" w:rsidRPr="00860CC3" w:rsidRDefault="007B1D93" w:rsidP="003F4F6D">
      <w:pPr>
        <w:autoSpaceDE w:val="0"/>
        <w:autoSpaceDN w:val="0"/>
        <w:adjustRightInd w:val="0"/>
        <w:spacing w:before="120"/>
        <w:ind w:left="120" w:right="240"/>
        <w:jc w:val="both"/>
        <w:divId w:val="410156154"/>
        <w:rPr>
          <w:rFonts w:eastAsia="Calibri"/>
          <w:lang w:val="fr-FR"/>
        </w:rPr>
      </w:pPr>
      <w:r w:rsidRPr="00860CC3">
        <w:rPr>
          <w:lang w:val="fr-FR"/>
        </w:rPr>
        <w:t>Un</w:t>
      </w:r>
      <w:r w:rsidR="003F4F6D" w:rsidRPr="00860CC3">
        <w:rPr>
          <w:lang w:val="fr-FR"/>
        </w:rPr>
        <w:t xml:space="preserve">e cérémonie </w:t>
      </w:r>
      <w:r w:rsidRPr="00860CC3">
        <w:rPr>
          <w:lang w:val="fr-FR"/>
        </w:rPr>
        <w:t>de lancement au niveau national sera organisé</w:t>
      </w:r>
      <w:r w:rsidR="003F4F6D" w:rsidRPr="00860CC3">
        <w:rPr>
          <w:lang w:val="fr-FR"/>
        </w:rPr>
        <w:t>e</w:t>
      </w:r>
      <w:r w:rsidRPr="00860CC3">
        <w:rPr>
          <w:lang w:val="fr-FR"/>
        </w:rPr>
        <w:t xml:space="preserve">. </w:t>
      </w:r>
      <w:r w:rsidR="003F4F6D" w:rsidRPr="00860CC3">
        <w:rPr>
          <w:lang w:val="fr-FR"/>
        </w:rPr>
        <w:t xml:space="preserve">Elle </w:t>
      </w:r>
      <w:r w:rsidRPr="00860CC3">
        <w:rPr>
          <w:lang w:val="fr-FR"/>
        </w:rPr>
        <w:t>sera placé</w:t>
      </w:r>
      <w:r w:rsidR="003F4F6D" w:rsidRPr="00860CC3">
        <w:rPr>
          <w:lang w:val="fr-FR"/>
        </w:rPr>
        <w:t>e</w:t>
      </w:r>
      <w:r w:rsidRPr="00860CC3">
        <w:rPr>
          <w:lang w:val="fr-FR"/>
        </w:rPr>
        <w:t xml:space="preserve"> sous le </w:t>
      </w:r>
      <w:r w:rsidRPr="00860CC3">
        <w:rPr>
          <w:rFonts w:eastAsia="Calibri"/>
          <w:lang w:val="fr-FR"/>
        </w:rPr>
        <w:t xml:space="preserve">parrainage </w:t>
      </w:r>
      <w:r w:rsidR="003F4F6D" w:rsidRPr="00860CC3">
        <w:rPr>
          <w:rFonts w:eastAsia="Calibri"/>
          <w:lang w:val="fr-FR"/>
        </w:rPr>
        <w:t>du Ministre de la Santé</w:t>
      </w:r>
      <w:r w:rsidRPr="00860CC3">
        <w:rPr>
          <w:rFonts w:eastAsia="Calibri"/>
          <w:lang w:val="fr-FR"/>
        </w:rPr>
        <w:t xml:space="preserve"> ayant à ses côtés les autorités administratives, les leaders religieux, traditionnels, les élus locaux, les Représentants de l’OMS et de l’UNICEF ainsi que des personnes ressources de la société civile.</w:t>
      </w:r>
    </w:p>
    <w:p w:rsidR="007B1D93" w:rsidRPr="00860CC3" w:rsidRDefault="007B1D93" w:rsidP="00B563C2">
      <w:pPr>
        <w:spacing w:before="120"/>
        <w:ind w:left="120" w:right="355"/>
        <w:jc w:val="both"/>
        <w:divId w:val="410156154"/>
        <w:rPr>
          <w:rFonts w:eastAsia="Calibri"/>
          <w:lang w:val="fr-FR"/>
        </w:rPr>
      </w:pPr>
      <w:r w:rsidRPr="00860CC3">
        <w:rPr>
          <w:rFonts w:eastAsia="Calibri"/>
          <w:lang w:val="fr-FR"/>
        </w:rPr>
        <w:t>Les critères de choix de la localité du lancement seront définis en fonctio</w:t>
      </w:r>
      <w:r w:rsidR="003F4F6D" w:rsidRPr="00860CC3">
        <w:rPr>
          <w:rFonts w:eastAsia="Calibri"/>
          <w:lang w:val="fr-FR"/>
        </w:rPr>
        <w:t>n de la faible couverture en vaccination</w:t>
      </w:r>
      <w:r w:rsidRPr="00860CC3">
        <w:rPr>
          <w:rFonts w:eastAsia="Calibri"/>
          <w:lang w:val="fr-FR"/>
        </w:rPr>
        <w:t xml:space="preserve"> de routine, les nombreux cas de refus avec le vaccin polio oral, la proximité avec les pays endémiques et la détection des cas  de PVS. Les recommandations du CCIA à ce sujet vont faciliter la prise de décision.</w:t>
      </w:r>
    </w:p>
    <w:p w:rsidR="007B1D93" w:rsidRPr="00860CC3" w:rsidRDefault="007B1D93" w:rsidP="00B563C2">
      <w:pPr>
        <w:keepLines/>
        <w:tabs>
          <w:tab w:val="left" w:pos="426"/>
        </w:tabs>
        <w:spacing w:before="120"/>
        <w:ind w:left="120" w:right="120"/>
        <w:jc w:val="both"/>
        <w:divId w:val="410156154"/>
        <w:rPr>
          <w:lang w:val="fr-FR"/>
        </w:rPr>
      </w:pPr>
      <w:r w:rsidRPr="00860CC3">
        <w:rPr>
          <w:rFonts w:eastAsia="Calibri"/>
          <w:lang w:val="fr-FR"/>
        </w:rPr>
        <w:t xml:space="preserve">Des cérémonies d’information de l’introduction du VPI seront organisées dans chaque région, district et aire de santé.  </w:t>
      </w:r>
      <w:bookmarkEnd w:id="2"/>
      <w:bookmarkEnd w:id="3"/>
      <w:bookmarkEnd w:id="4"/>
      <w:bookmarkEnd w:id="5"/>
    </w:p>
    <w:sectPr w:rsidR="007B1D93" w:rsidRPr="00860CC3" w:rsidSect="00092201">
      <w:footerReference w:type="default" r:id="rId22"/>
      <w:pgSz w:w="11906" w:h="16838" w:code="9"/>
      <w:pgMar w:top="1440" w:right="1287" w:bottom="1349" w:left="134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21F" w:rsidRDefault="008D321F">
      <w:r>
        <w:separator/>
      </w:r>
    </w:p>
  </w:endnote>
  <w:endnote w:type="continuationSeparator" w:id="0">
    <w:p w:rsidR="008D321F" w:rsidRDefault="008D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avek">
    <w:altName w:val="Seravek"/>
    <w:panose1 w:val="00000000000000000000"/>
    <w:charset w:val="00"/>
    <w:family w:val="swiss"/>
    <w:notTrueType/>
    <w:pitch w:val="default"/>
    <w:sig w:usb0="00000003" w:usb1="00000000" w:usb2="00000000" w:usb3="00000000" w:csb0="00000001" w:csb1="00000000"/>
  </w:font>
  <w:font w:name="Greta Text Pro Light">
    <w:altName w:val="Greta Text Pro Light"/>
    <w:panose1 w:val="00000000000000000000"/>
    <w:charset w:val="00"/>
    <w:family w:val="roman"/>
    <w:notTrueType/>
    <w:pitch w:val="default"/>
    <w:sig w:usb0="00000003" w:usb1="00000000" w:usb2="00000000" w:usb3="00000000" w:csb0="00000001" w:csb1="00000000"/>
  </w:font>
  <w:font w:name="DIN">
    <w:altName w:val="DIN"/>
    <w:panose1 w:val="00000000000000000000"/>
    <w:charset w:val="00"/>
    <w:family w:val="swiss"/>
    <w:notTrueType/>
    <w:pitch w:val="default"/>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MS ??">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42" w:rsidRDefault="007F524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42" w:rsidRDefault="007F5242">
    <w:pPr>
      <w:pStyle w:val="Pieddepage"/>
      <w:jc w:val="center"/>
    </w:pPr>
    <w:r>
      <w:rPr>
        <w:noProof/>
        <w:lang w:val="fr-FR" w:eastAsia="fr-FR"/>
      </w:rPr>
      <mc:AlternateContent>
        <mc:Choice Requires="wps">
          <w:drawing>
            <wp:inline distT="0" distB="0" distL="0" distR="0">
              <wp:extent cx="5933440" cy="54610"/>
              <wp:effectExtent l="9525" t="19050" r="10160" b="12065"/>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9A5C02D" id="_x0000_t110" coordsize="21600,21600" o:spt="110" path="m10800,l,10800,10800,21600,21600,10800xe">
              <v:stroke joinstyle="miter"/>
              <v:path gradientshapeok="t" o:connecttype="rect" textboxrect="5400,5400,16200,16200"/>
            </v:shapetype>
            <v:shape id="AutoShape 1"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" fillcolor="black">
              <w10:anchorlock/>
            </v:shape>
          </w:pict>
        </mc:Fallback>
      </mc:AlternateContent>
    </w:r>
  </w:p>
  <w:p w:rsidR="007F5242" w:rsidRDefault="007F5242">
    <w:pPr>
      <w:pStyle w:val="Pieddepage"/>
      <w:jc w:val="center"/>
    </w:pPr>
    <w:r>
      <w:fldChar w:fldCharType="begin"/>
    </w:r>
    <w:r>
      <w:instrText xml:space="preserve"> PAGE    \* MERGEFORMAT </w:instrText>
    </w:r>
    <w:r>
      <w:fldChar w:fldCharType="separate"/>
    </w:r>
    <w:r w:rsidR="005C63FD">
      <w:rPr>
        <w:noProof/>
      </w:rPr>
      <w:t>26</w:t>
    </w:r>
    <w:r>
      <w:rPr>
        <w:noProof/>
      </w:rPr>
      <w:fldChar w:fldCharType="end"/>
    </w:r>
  </w:p>
  <w:p w:rsidR="007F5242" w:rsidRDefault="007F5242">
    <w:pPr>
      <w:pStyle w:val="Pieddepage"/>
    </w:pPr>
  </w:p>
  <w:p w:rsidR="007F5242" w:rsidRDefault="007F524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42" w:rsidRDefault="007F5242">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569070"/>
      <w:docPartObj>
        <w:docPartGallery w:val="Page Numbers (Bottom of Page)"/>
        <w:docPartUnique/>
      </w:docPartObj>
    </w:sdtPr>
    <w:sdtEndPr>
      <w:rPr>
        <w:noProof/>
      </w:rPr>
    </w:sdtEndPr>
    <w:sdtContent>
      <w:p w:rsidR="007F5242" w:rsidRDefault="007F5242">
        <w:pPr>
          <w:pStyle w:val="Pieddepage"/>
          <w:jc w:val="right"/>
        </w:pPr>
        <w:r>
          <w:fldChar w:fldCharType="begin"/>
        </w:r>
        <w:r>
          <w:instrText xml:space="preserve"> PAGE   \* MERGEFORMAT </w:instrText>
        </w:r>
        <w:r>
          <w:fldChar w:fldCharType="separate"/>
        </w:r>
        <w:r w:rsidR="005C63FD">
          <w:rPr>
            <w:noProof/>
          </w:rPr>
          <w:t>39</w:t>
        </w:r>
        <w:r>
          <w:rPr>
            <w:noProof/>
          </w:rPr>
          <w:fldChar w:fldCharType="end"/>
        </w:r>
      </w:p>
    </w:sdtContent>
  </w:sdt>
  <w:p w:rsidR="007F5242" w:rsidRDefault="007F524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21F" w:rsidRDefault="008D321F">
      <w:r>
        <w:separator/>
      </w:r>
    </w:p>
  </w:footnote>
  <w:footnote w:type="continuationSeparator" w:id="0">
    <w:p w:rsidR="008D321F" w:rsidRDefault="008D321F">
      <w:r>
        <w:continuationSeparator/>
      </w:r>
    </w:p>
  </w:footnote>
  <w:footnote w:id="1">
    <w:p w:rsidR="007F5242" w:rsidRPr="00C369C9" w:rsidRDefault="007F5242">
      <w:pPr>
        <w:pStyle w:val="Notedebasdepage"/>
        <w:rPr>
          <w:lang w:val="fr-FR"/>
        </w:rPr>
      </w:pPr>
      <w:r w:rsidRPr="001C30AD">
        <w:rPr>
          <w:rStyle w:val="Appelnotedebasdep"/>
        </w:rPr>
        <w:footnoteRef/>
      </w:r>
      <w:r w:rsidRPr="00C369C9">
        <w:rPr>
          <w:lang w:val="fr-FR"/>
        </w:rPr>
        <w:t xml:space="preserve"> GAVI déterminera les besoins en vaccins et seringues autobloquantes en fonction de la taille de la population cible et des préférences vaccinales, en tenant compte du taux de perte et du stock régulateur de vaccins (25 % la première année). Si l’on constate des différences entre les estimations de couverture fournies par le pays et celles de l’OMS et de l’UNICEF, le Secrétariat s’en remettra aux estimations fournies par ces derniers.   </w:t>
      </w:r>
    </w:p>
  </w:footnote>
  <w:footnote w:id="2">
    <w:p w:rsidR="007F5242" w:rsidRPr="004B0B37" w:rsidRDefault="007F5242" w:rsidP="003F374B">
      <w:pPr>
        <w:pStyle w:val="Notedebasdepage"/>
        <w:rPr>
          <w:lang w:val="fr-MC"/>
        </w:rPr>
      </w:pPr>
      <w:r>
        <w:rPr>
          <w:rStyle w:val="Appelnotedebasdep"/>
        </w:rPr>
        <w:footnoteRef/>
      </w:r>
      <w:r w:rsidRPr="004B0B37">
        <w:rPr>
          <w:lang w:val="fr-MC"/>
        </w:rPr>
        <w:t>INSD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42" w:rsidRDefault="007F524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42" w:rsidRDefault="007F524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42" w:rsidRDefault="007F524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25pt;height:11.25pt" o:bullet="t">
        <v:imagedata r:id="rId1" o:title="msoF980"/>
      </v:shape>
    </w:pict>
  </w:numPicBullet>
  <w:abstractNum w:abstractNumId="0">
    <w:nsid w:val="02791A5E"/>
    <w:multiLevelType w:val="hybridMultilevel"/>
    <w:tmpl w:val="A114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47D4A"/>
    <w:multiLevelType w:val="multilevel"/>
    <w:tmpl w:val="ACE42230"/>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6"/>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2">
    <w:nsid w:val="04D760F9"/>
    <w:multiLevelType w:val="hybridMultilevel"/>
    <w:tmpl w:val="F73089D2"/>
    <w:lvl w:ilvl="0" w:tplc="BB96F2D4">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900"/>
        </w:tabs>
        <w:ind w:left="900" w:hanging="360"/>
      </w:pPr>
      <w:rPr>
        <w:rFonts w:ascii="Courier New" w:hAnsi="Courier New" w:hint="default"/>
      </w:rPr>
    </w:lvl>
    <w:lvl w:ilvl="2" w:tplc="040C0005" w:tentative="1">
      <w:start w:val="1"/>
      <w:numFmt w:val="bullet"/>
      <w:lvlText w:val=""/>
      <w:lvlJc w:val="left"/>
      <w:pPr>
        <w:tabs>
          <w:tab w:val="num" w:pos="1620"/>
        </w:tabs>
        <w:ind w:left="1620" w:hanging="360"/>
      </w:pPr>
      <w:rPr>
        <w:rFonts w:ascii="Wingdings" w:hAnsi="Wingdings" w:hint="default"/>
      </w:rPr>
    </w:lvl>
    <w:lvl w:ilvl="3" w:tplc="040C0001" w:tentative="1">
      <w:start w:val="1"/>
      <w:numFmt w:val="bullet"/>
      <w:lvlText w:val=""/>
      <w:lvlJc w:val="left"/>
      <w:pPr>
        <w:tabs>
          <w:tab w:val="num" w:pos="2340"/>
        </w:tabs>
        <w:ind w:left="2340" w:hanging="360"/>
      </w:pPr>
      <w:rPr>
        <w:rFonts w:ascii="Symbol" w:hAnsi="Symbol" w:hint="default"/>
      </w:rPr>
    </w:lvl>
    <w:lvl w:ilvl="4" w:tplc="040C0003" w:tentative="1">
      <w:start w:val="1"/>
      <w:numFmt w:val="bullet"/>
      <w:lvlText w:val="o"/>
      <w:lvlJc w:val="left"/>
      <w:pPr>
        <w:tabs>
          <w:tab w:val="num" w:pos="3060"/>
        </w:tabs>
        <w:ind w:left="3060" w:hanging="360"/>
      </w:pPr>
      <w:rPr>
        <w:rFonts w:ascii="Courier New" w:hAnsi="Courier New" w:hint="default"/>
      </w:rPr>
    </w:lvl>
    <w:lvl w:ilvl="5" w:tplc="040C0005" w:tentative="1">
      <w:start w:val="1"/>
      <w:numFmt w:val="bullet"/>
      <w:lvlText w:val=""/>
      <w:lvlJc w:val="left"/>
      <w:pPr>
        <w:tabs>
          <w:tab w:val="num" w:pos="3780"/>
        </w:tabs>
        <w:ind w:left="3780" w:hanging="360"/>
      </w:pPr>
      <w:rPr>
        <w:rFonts w:ascii="Wingdings" w:hAnsi="Wingdings" w:hint="default"/>
      </w:rPr>
    </w:lvl>
    <w:lvl w:ilvl="6" w:tplc="040C0001" w:tentative="1">
      <w:start w:val="1"/>
      <w:numFmt w:val="bullet"/>
      <w:lvlText w:val=""/>
      <w:lvlJc w:val="left"/>
      <w:pPr>
        <w:tabs>
          <w:tab w:val="num" w:pos="4500"/>
        </w:tabs>
        <w:ind w:left="4500" w:hanging="360"/>
      </w:pPr>
      <w:rPr>
        <w:rFonts w:ascii="Symbol" w:hAnsi="Symbol" w:hint="default"/>
      </w:rPr>
    </w:lvl>
    <w:lvl w:ilvl="7" w:tplc="040C0003" w:tentative="1">
      <w:start w:val="1"/>
      <w:numFmt w:val="bullet"/>
      <w:lvlText w:val="o"/>
      <w:lvlJc w:val="left"/>
      <w:pPr>
        <w:tabs>
          <w:tab w:val="num" w:pos="5220"/>
        </w:tabs>
        <w:ind w:left="5220" w:hanging="360"/>
      </w:pPr>
      <w:rPr>
        <w:rFonts w:ascii="Courier New" w:hAnsi="Courier New" w:hint="default"/>
      </w:rPr>
    </w:lvl>
    <w:lvl w:ilvl="8" w:tplc="040C0005" w:tentative="1">
      <w:start w:val="1"/>
      <w:numFmt w:val="bullet"/>
      <w:lvlText w:val=""/>
      <w:lvlJc w:val="left"/>
      <w:pPr>
        <w:tabs>
          <w:tab w:val="num" w:pos="5940"/>
        </w:tabs>
        <w:ind w:left="5940" w:hanging="360"/>
      </w:pPr>
      <w:rPr>
        <w:rFonts w:ascii="Wingdings" w:hAnsi="Wingdings" w:hint="default"/>
      </w:rPr>
    </w:lvl>
  </w:abstractNum>
  <w:abstractNum w:abstractNumId="3">
    <w:nsid w:val="04DB6E6F"/>
    <w:multiLevelType w:val="hybridMultilevel"/>
    <w:tmpl w:val="B9E647EA"/>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5B3496D"/>
    <w:multiLevelType w:val="hybridMultilevel"/>
    <w:tmpl w:val="4DEE11C0"/>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6884FB4"/>
    <w:multiLevelType w:val="hybridMultilevel"/>
    <w:tmpl w:val="E438C120"/>
    <w:lvl w:ilvl="0" w:tplc="2B525A46">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7267510"/>
    <w:multiLevelType w:val="multilevel"/>
    <w:tmpl w:val="E274172E"/>
    <w:lvl w:ilvl="0">
      <w:start w:val="1"/>
      <w:numFmt w:val="decimal"/>
      <w:pStyle w:val="Style2"/>
      <w:lvlText w:val="%1."/>
      <w:lvlJc w:val="left"/>
      <w:pPr>
        <w:ind w:left="360" w:hanging="360"/>
      </w:pPr>
      <w:rPr>
        <w:rFonts w:hint="default"/>
      </w:rPr>
    </w:lvl>
    <w:lvl w:ilvl="1">
      <w:start w:val="1"/>
      <w:numFmt w:val="decimal"/>
      <w:pStyle w:val="Style3"/>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7">
    <w:nsid w:val="07434542"/>
    <w:multiLevelType w:val="hybridMultilevel"/>
    <w:tmpl w:val="8F94C706"/>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7C67109"/>
    <w:multiLevelType w:val="hybridMultilevel"/>
    <w:tmpl w:val="90F6C33E"/>
    <w:lvl w:ilvl="0" w:tplc="F4D8CC66">
      <w:start w:val="2"/>
      <w:numFmt w:val="bullet"/>
      <w:lvlText w:val="-"/>
      <w:lvlJc w:val="left"/>
      <w:pPr>
        <w:ind w:left="720" w:hanging="360"/>
      </w:pPr>
      <w:rPr>
        <w:rFonts w:ascii="Times New Roman" w:hAnsi="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C723542"/>
    <w:multiLevelType w:val="hybridMultilevel"/>
    <w:tmpl w:val="925C4180"/>
    <w:lvl w:ilvl="0" w:tplc="48C4E20C">
      <w:start w:val="3"/>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0DA7749D"/>
    <w:multiLevelType w:val="hybridMultilevel"/>
    <w:tmpl w:val="E67C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E41157"/>
    <w:multiLevelType w:val="hybridMultilevel"/>
    <w:tmpl w:val="D55475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E0748E5"/>
    <w:multiLevelType w:val="hybridMultilevel"/>
    <w:tmpl w:val="3B9427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1CC7122"/>
    <w:multiLevelType w:val="hybridMultilevel"/>
    <w:tmpl w:val="F43EAFAA"/>
    <w:lvl w:ilvl="0" w:tplc="4FCC9492">
      <w:numFmt w:val="bullet"/>
      <w:lvlText w:val="-"/>
      <w:lvlJc w:val="left"/>
      <w:pPr>
        <w:ind w:left="840" w:hanging="360"/>
      </w:pPr>
      <w:rPr>
        <w:rFonts w:ascii="Times New Roman" w:eastAsia="Calibri" w:hAnsi="Times New Roman" w:cs="Times New Roman"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4">
    <w:nsid w:val="12B26012"/>
    <w:multiLevelType w:val="hybridMultilevel"/>
    <w:tmpl w:val="D53601F2"/>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6822016"/>
    <w:multiLevelType w:val="hybridMultilevel"/>
    <w:tmpl w:val="4CB6368A"/>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8620F07"/>
    <w:multiLevelType w:val="hybridMultilevel"/>
    <w:tmpl w:val="458C7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670316"/>
    <w:multiLevelType w:val="hybridMultilevel"/>
    <w:tmpl w:val="CFC66756"/>
    <w:lvl w:ilvl="0" w:tplc="D4706878">
      <w:numFmt w:val="bullet"/>
      <w:lvlText w:val="-"/>
      <w:lvlJc w:val="left"/>
      <w:pPr>
        <w:tabs>
          <w:tab w:val="num" w:pos="900"/>
        </w:tabs>
        <w:ind w:left="900" w:hanging="360"/>
      </w:pPr>
      <w:rPr>
        <w:rFonts w:ascii="Times New Roman" w:eastAsia="Times New Roman" w:hAnsi="Times New Roman"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DE355D4"/>
    <w:multiLevelType w:val="hybridMultilevel"/>
    <w:tmpl w:val="F864DCB6"/>
    <w:lvl w:ilvl="0" w:tplc="BB96F2D4">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1E0E2AB4"/>
    <w:multiLevelType w:val="hybridMultilevel"/>
    <w:tmpl w:val="ED28BE76"/>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0242CEC"/>
    <w:multiLevelType w:val="hybridMultilevel"/>
    <w:tmpl w:val="10BEACEA"/>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27D454E"/>
    <w:multiLevelType w:val="hybridMultilevel"/>
    <w:tmpl w:val="FDA89FBA"/>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2B415D6"/>
    <w:multiLevelType w:val="hybridMultilevel"/>
    <w:tmpl w:val="429E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3397E3A"/>
    <w:multiLevelType w:val="hybridMultilevel"/>
    <w:tmpl w:val="A6D6F506"/>
    <w:lvl w:ilvl="0" w:tplc="B1A44E42">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41022A9"/>
    <w:multiLevelType w:val="hybridMultilevel"/>
    <w:tmpl w:val="A85A2D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51D7AAF"/>
    <w:multiLevelType w:val="hybridMultilevel"/>
    <w:tmpl w:val="C76AE2E2"/>
    <w:lvl w:ilvl="0" w:tplc="BB96F2D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534012B"/>
    <w:multiLevelType w:val="hybridMultilevel"/>
    <w:tmpl w:val="E7E0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89223F7"/>
    <w:multiLevelType w:val="hybridMultilevel"/>
    <w:tmpl w:val="F2DA18F6"/>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94D1D08"/>
    <w:multiLevelType w:val="hybridMultilevel"/>
    <w:tmpl w:val="D690C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97E6FAA"/>
    <w:multiLevelType w:val="hybridMultilevel"/>
    <w:tmpl w:val="AA1A2D84"/>
    <w:lvl w:ilvl="0" w:tplc="040C0001">
      <w:start w:val="1"/>
      <w:numFmt w:val="bullet"/>
      <w:lvlText w:val=""/>
      <w:lvlJc w:val="left"/>
      <w:pPr>
        <w:ind w:left="908" w:hanging="360"/>
      </w:pPr>
      <w:rPr>
        <w:rFonts w:ascii="Symbol" w:hAnsi="Symbol" w:hint="default"/>
      </w:rPr>
    </w:lvl>
    <w:lvl w:ilvl="1" w:tplc="040C0003">
      <w:start w:val="1"/>
      <w:numFmt w:val="bullet"/>
      <w:lvlText w:val="o"/>
      <w:lvlJc w:val="left"/>
      <w:pPr>
        <w:ind w:left="1628" w:hanging="360"/>
      </w:pPr>
      <w:rPr>
        <w:rFonts w:ascii="Courier New" w:hAnsi="Courier New" w:cs="Courier New" w:hint="default"/>
      </w:rPr>
    </w:lvl>
    <w:lvl w:ilvl="2" w:tplc="040C0005" w:tentative="1">
      <w:start w:val="1"/>
      <w:numFmt w:val="bullet"/>
      <w:lvlText w:val=""/>
      <w:lvlJc w:val="left"/>
      <w:pPr>
        <w:ind w:left="2348" w:hanging="360"/>
      </w:pPr>
      <w:rPr>
        <w:rFonts w:ascii="Wingdings" w:hAnsi="Wingdings" w:hint="default"/>
      </w:rPr>
    </w:lvl>
    <w:lvl w:ilvl="3" w:tplc="040C0001" w:tentative="1">
      <w:start w:val="1"/>
      <w:numFmt w:val="bullet"/>
      <w:lvlText w:val=""/>
      <w:lvlJc w:val="left"/>
      <w:pPr>
        <w:ind w:left="3068" w:hanging="360"/>
      </w:pPr>
      <w:rPr>
        <w:rFonts w:ascii="Symbol" w:hAnsi="Symbol" w:hint="default"/>
      </w:rPr>
    </w:lvl>
    <w:lvl w:ilvl="4" w:tplc="040C0003" w:tentative="1">
      <w:start w:val="1"/>
      <w:numFmt w:val="bullet"/>
      <w:lvlText w:val="o"/>
      <w:lvlJc w:val="left"/>
      <w:pPr>
        <w:ind w:left="3788" w:hanging="360"/>
      </w:pPr>
      <w:rPr>
        <w:rFonts w:ascii="Courier New" w:hAnsi="Courier New" w:cs="Courier New" w:hint="default"/>
      </w:rPr>
    </w:lvl>
    <w:lvl w:ilvl="5" w:tplc="040C0005" w:tentative="1">
      <w:start w:val="1"/>
      <w:numFmt w:val="bullet"/>
      <w:lvlText w:val=""/>
      <w:lvlJc w:val="left"/>
      <w:pPr>
        <w:ind w:left="4508" w:hanging="360"/>
      </w:pPr>
      <w:rPr>
        <w:rFonts w:ascii="Wingdings" w:hAnsi="Wingdings" w:hint="default"/>
      </w:rPr>
    </w:lvl>
    <w:lvl w:ilvl="6" w:tplc="040C0001" w:tentative="1">
      <w:start w:val="1"/>
      <w:numFmt w:val="bullet"/>
      <w:lvlText w:val=""/>
      <w:lvlJc w:val="left"/>
      <w:pPr>
        <w:ind w:left="5228" w:hanging="360"/>
      </w:pPr>
      <w:rPr>
        <w:rFonts w:ascii="Symbol" w:hAnsi="Symbol" w:hint="default"/>
      </w:rPr>
    </w:lvl>
    <w:lvl w:ilvl="7" w:tplc="040C0003" w:tentative="1">
      <w:start w:val="1"/>
      <w:numFmt w:val="bullet"/>
      <w:lvlText w:val="o"/>
      <w:lvlJc w:val="left"/>
      <w:pPr>
        <w:ind w:left="5948" w:hanging="360"/>
      </w:pPr>
      <w:rPr>
        <w:rFonts w:ascii="Courier New" w:hAnsi="Courier New" w:cs="Courier New" w:hint="default"/>
      </w:rPr>
    </w:lvl>
    <w:lvl w:ilvl="8" w:tplc="040C0005" w:tentative="1">
      <w:start w:val="1"/>
      <w:numFmt w:val="bullet"/>
      <w:lvlText w:val=""/>
      <w:lvlJc w:val="left"/>
      <w:pPr>
        <w:ind w:left="6668" w:hanging="360"/>
      </w:pPr>
      <w:rPr>
        <w:rFonts w:ascii="Wingdings" w:hAnsi="Wingdings" w:hint="default"/>
      </w:rPr>
    </w:lvl>
  </w:abstractNum>
  <w:abstractNum w:abstractNumId="30">
    <w:nsid w:val="298932A5"/>
    <w:multiLevelType w:val="hybridMultilevel"/>
    <w:tmpl w:val="44C4742E"/>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F922D0F"/>
    <w:multiLevelType w:val="hybridMultilevel"/>
    <w:tmpl w:val="C0121D7C"/>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30515D04"/>
    <w:multiLevelType w:val="hybridMultilevel"/>
    <w:tmpl w:val="69A0AADA"/>
    <w:lvl w:ilvl="0" w:tplc="BB96F2D4">
      <w:numFmt w:val="bullet"/>
      <w:lvlText w:val="-"/>
      <w:lvlJc w:val="left"/>
      <w:pPr>
        <w:ind w:left="1500" w:hanging="360"/>
      </w:pPr>
      <w:rPr>
        <w:rFonts w:ascii="Times New Roman" w:eastAsia="Times New Roman" w:hAnsi="Times New Roman" w:cs="Times New Roman" w:hint="default"/>
      </w:rPr>
    </w:lvl>
    <w:lvl w:ilvl="1" w:tplc="180C0003" w:tentative="1">
      <w:start w:val="1"/>
      <w:numFmt w:val="bullet"/>
      <w:lvlText w:val="o"/>
      <w:lvlJc w:val="left"/>
      <w:pPr>
        <w:ind w:left="2220" w:hanging="360"/>
      </w:pPr>
      <w:rPr>
        <w:rFonts w:ascii="Courier New" w:hAnsi="Courier New" w:cs="Courier New" w:hint="default"/>
      </w:rPr>
    </w:lvl>
    <w:lvl w:ilvl="2" w:tplc="180C0005" w:tentative="1">
      <w:start w:val="1"/>
      <w:numFmt w:val="bullet"/>
      <w:lvlText w:val=""/>
      <w:lvlJc w:val="left"/>
      <w:pPr>
        <w:ind w:left="2940" w:hanging="360"/>
      </w:pPr>
      <w:rPr>
        <w:rFonts w:ascii="Wingdings" w:hAnsi="Wingdings" w:hint="default"/>
      </w:rPr>
    </w:lvl>
    <w:lvl w:ilvl="3" w:tplc="180C0001" w:tentative="1">
      <w:start w:val="1"/>
      <w:numFmt w:val="bullet"/>
      <w:lvlText w:val=""/>
      <w:lvlJc w:val="left"/>
      <w:pPr>
        <w:ind w:left="3660" w:hanging="360"/>
      </w:pPr>
      <w:rPr>
        <w:rFonts w:ascii="Symbol" w:hAnsi="Symbol" w:hint="default"/>
      </w:rPr>
    </w:lvl>
    <w:lvl w:ilvl="4" w:tplc="180C0003" w:tentative="1">
      <w:start w:val="1"/>
      <w:numFmt w:val="bullet"/>
      <w:lvlText w:val="o"/>
      <w:lvlJc w:val="left"/>
      <w:pPr>
        <w:ind w:left="4380" w:hanging="360"/>
      </w:pPr>
      <w:rPr>
        <w:rFonts w:ascii="Courier New" w:hAnsi="Courier New" w:cs="Courier New" w:hint="default"/>
      </w:rPr>
    </w:lvl>
    <w:lvl w:ilvl="5" w:tplc="180C0005" w:tentative="1">
      <w:start w:val="1"/>
      <w:numFmt w:val="bullet"/>
      <w:lvlText w:val=""/>
      <w:lvlJc w:val="left"/>
      <w:pPr>
        <w:ind w:left="5100" w:hanging="360"/>
      </w:pPr>
      <w:rPr>
        <w:rFonts w:ascii="Wingdings" w:hAnsi="Wingdings" w:hint="default"/>
      </w:rPr>
    </w:lvl>
    <w:lvl w:ilvl="6" w:tplc="180C0001" w:tentative="1">
      <w:start w:val="1"/>
      <w:numFmt w:val="bullet"/>
      <w:lvlText w:val=""/>
      <w:lvlJc w:val="left"/>
      <w:pPr>
        <w:ind w:left="5820" w:hanging="360"/>
      </w:pPr>
      <w:rPr>
        <w:rFonts w:ascii="Symbol" w:hAnsi="Symbol" w:hint="default"/>
      </w:rPr>
    </w:lvl>
    <w:lvl w:ilvl="7" w:tplc="180C0003" w:tentative="1">
      <w:start w:val="1"/>
      <w:numFmt w:val="bullet"/>
      <w:lvlText w:val="o"/>
      <w:lvlJc w:val="left"/>
      <w:pPr>
        <w:ind w:left="6540" w:hanging="360"/>
      </w:pPr>
      <w:rPr>
        <w:rFonts w:ascii="Courier New" w:hAnsi="Courier New" w:cs="Courier New" w:hint="default"/>
      </w:rPr>
    </w:lvl>
    <w:lvl w:ilvl="8" w:tplc="180C0005" w:tentative="1">
      <w:start w:val="1"/>
      <w:numFmt w:val="bullet"/>
      <w:lvlText w:val=""/>
      <w:lvlJc w:val="left"/>
      <w:pPr>
        <w:ind w:left="7260" w:hanging="360"/>
      </w:pPr>
      <w:rPr>
        <w:rFonts w:ascii="Wingdings" w:hAnsi="Wingdings" w:hint="default"/>
      </w:rPr>
    </w:lvl>
  </w:abstractNum>
  <w:abstractNum w:abstractNumId="33">
    <w:nsid w:val="319A2C36"/>
    <w:multiLevelType w:val="hybridMultilevel"/>
    <w:tmpl w:val="A8426C46"/>
    <w:lvl w:ilvl="0" w:tplc="3BDE2592">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2D54CAD"/>
    <w:multiLevelType w:val="hybridMultilevel"/>
    <w:tmpl w:val="A45285C2"/>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35">
    <w:nsid w:val="3521776D"/>
    <w:multiLevelType w:val="hybridMultilevel"/>
    <w:tmpl w:val="A44A5A9C"/>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57511EE"/>
    <w:multiLevelType w:val="hybridMultilevel"/>
    <w:tmpl w:val="05A6EFAC"/>
    <w:lvl w:ilvl="0" w:tplc="040C0005">
      <w:start w:val="1"/>
      <w:numFmt w:val="bullet"/>
      <w:lvlText w:val=""/>
      <w:lvlJc w:val="left"/>
      <w:pPr>
        <w:ind w:left="780" w:hanging="360"/>
      </w:pPr>
      <w:rPr>
        <w:rFonts w:ascii="Wingdings" w:hAnsi="Wingdings" w:hint="default"/>
      </w:rPr>
    </w:lvl>
    <w:lvl w:ilvl="1" w:tplc="180C0003" w:tentative="1">
      <w:start w:val="1"/>
      <w:numFmt w:val="bullet"/>
      <w:lvlText w:val="o"/>
      <w:lvlJc w:val="left"/>
      <w:pPr>
        <w:ind w:left="1500" w:hanging="360"/>
      </w:pPr>
      <w:rPr>
        <w:rFonts w:ascii="Courier New" w:hAnsi="Courier New" w:cs="Courier New" w:hint="default"/>
      </w:rPr>
    </w:lvl>
    <w:lvl w:ilvl="2" w:tplc="180C0005" w:tentative="1">
      <w:start w:val="1"/>
      <w:numFmt w:val="bullet"/>
      <w:lvlText w:val=""/>
      <w:lvlJc w:val="left"/>
      <w:pPr>
        <w:ind w:left="2220" w:hanging="360"/>
      </w:pPr>
      <w:rPr>
        <w:rFonts w:ascii="Wingdings" w:hAnsi="Wingdings" w:hint="default"/>
      </w:rPr>
    </w:lvl>
    <w:lvl w:ilvl="3" w:tplc="180C0001" w:tentative="1">
      <w:start w:val="1"/>
      <w:numFmt w:val="bullet"/>
      <w:lvlText w:val=""/>
      <w:lvlJc w:val="left"/>
      <w:pPr>
        <w:ind w:left="2940" w:hanging="360"/>
      </w:pPr>
      <w:rPr>
        <w:rFonts w:ascii="Symbol" w:hAnsi="Symbol" w:hint="default"/>
      </w:rPr>
    </w:lvl>
    <w:lvl w:ilvl="4" w:tplc="180C0003" w:tentative="1">
      <w:start w:val="1"/>
      <w:numFmt w:val="bullet"/>
      <w:lvlText w:val="o"/>
      <w:lvlJc w:val="left"/>
      <w:pPr>
        <w:ind w:left="3660" w:hanging="360"/>
      </w:pPr>
      <w:rPr>
        <w:rFonts w:ascii="Courier New" w:hAnsi="Courier New" w:cs="Courier New" w:hint="default"/>
      </w:rPr>
    </w:lvl>
    <w:lvl w:ilvl="5" w:tplc="180C0005" w:tentative="1">
      <w:start w:val="1"/>
      <w:numFmt w:val="bullet"/>
      <w:lvlText w:val=""/>
      <w:lvlJc w:val="left"/>
      <w:pPr>
        <w:ind w:left="4380" w:hanging="360"/>
      </w:pPr>
      <w:rPr>
        <w:rFonts w:ascii="Wingdings" w:hAnsi="Wingdings" w:hint="default"/>
      </w:rPr>
    </w:lvl>
    <w:lvl w:ilvl="6" w:tplc="180C0001" w:tentative="1">
      <w:start w:val="1"/>
      <w:numFmt w:val="bullet"/>
      <w:lvlText w:val=""/>
      <w:lvlJc w:val="left"/>
      <w:pPr>
        <w:ind w:left="5100" w:hanging="360"/>
      </w:pPr>
      <w:rPr>
        <w:rFonts w:ascii="Symbol" w:hAnsi="Symbol" w:hint="default"/>
      </w:rPr>
    </w:lvl>
    <w:lvl w:ilvl="7" w:tplc="180C0003" w:tentative="1">
      <w:start w:val="1"/>
      <w:numFmt w:val="bullet"/>
      <w:lvlText w:val="o"/>
      <w:lvlJc w:val="left"/>
      <w:pPr>
        <w:ind w:left="5820" w:hanging="360"/>
      </w:pPr>
      <w:rPr>
        <w:rFonts w:ascii="Courier New" w:hAnsi="Courier New" w:cs="Courier New" w:hint="default"/>
      </w:rPr>
    </w:lvl>
    <w:lvl w:ilvl="8" w:tplc="180C0005" w:tentative="1">
      <w:start w:val="1"/>
      <w:numFmt w:val="bullet"/>
      <w:lvlText w:val=""/>
      <w:lvlJc w:val="left"/>
      <w:pPr>
        <w:ind w:left="6540" w:hanging="360"/>
      </w:pPr>
      <w:rPr>
        <w:rFonts w:ascii="Wingdings" w:hAnsi="Wingdings" w:hint="default"/>
      </w:rPr>
    </w:lvl>
  </w:abstractNum>
  <w:abstractNum w:abstractNumId="37">
    <w:nsid w:val="35AB29BE"/>
    <w:multiLevelType w:val="hybridMultilevel"/>
    <w:tmpl w:val="45D2DDA0"/>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8572A83"/>
    <w:multiLevelType w:val="hybridMultilevel"/>
    <w:tmpl w:val="3DEA8908"/>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39E00F0D"/>
    <w:multiLevelType w:val="hybridMultilevel"/>
    <w:tmpl w:val="10DAD93C"/>
    <w:lvl w:ilvl="0" w:tplc="54B63EC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39F53523"/>
    <w:multiLevelType w:val="hybridMultilevel"/>
    <w:tmpl w:val="65863C56"/>
    <w:lvl w:ilvl="0" w:tplc="1F28AFB2">
      <w:start w:val="2"/>
      <w:numFmt w:val="bullet"/>
      <w:lvlText w:val="-"/>
      <w:lvlJc w:val="left"/>
      <w:pPr>
        <w:ind w:left="720" w:hanging="360"/>
      </w:pPr>
      <w:rPr>
        <w:rFonts w:ascii="Arial" w:eastAsia="Calibri" w:hAnsi="Arial" w:cs="Arial" w:hint="default"/>
      </w:rPr>
    </w:lvl>
    <w:lvl w:ilvl="1" w:tplc="180C0003" w:tentative="1">
      <w:start w:val="1"/>
      <w:numFmt w:val="bullet"/>
      <w:lvlText w:val="o"/>
      <w:lvlJc w:val="left"/>
      <w:pPr>
        <w:ind w:left="1440" w:hanging="360"/>
      </w:pPr>
      <w:rPr>
        <w:rFonts w:ascii="Courier New" w:hAnsi="Courier New" w:cs="Courier New" w:hint="default"/>
      </w:rPr>
    </w:lvl>
    <w:lvl w:ilvl="2" w:tplc="180C0005" w:tentative="1">
      <w:start w:val="1"/>
      <w:numFmt w:val="bullet"/>
      <w:lvlText w:val=""/>
      <w:lvlJc w:val="left"/>
      <w:pPr>
        <w:ind w:left="2160" w:hanging="360"/>
      </w:pPr>
      <w:rPr>
        <w:rFonts w:ascii="Wingdings" w:hAnsi="Wingdings" w:hint="default"/>
      </w:rPr>
    </w:lvl>
    <w:lvl w:ilvl="3" w:tplc="180C0001" w:tentative="1">
      <w:start w:val="1"/>
      <w:numFmt w:val="bullet"/>
      <w:lvlText w:val=""/>
      <w:lvlJc w:val="left"/>
      <w:pPr>
        <w:ind w:left="2880" w:hanging="360"/>
      </w:pPr>
      <w:rPr>
        <w:rFonts w:ascii="Symbol" w:hAnsi="Symbol" w:hint="default"/>
      </w:rPr>
    </w:lvl>
    <w:lvl w:ilvl="4" w:tplc="180C0003" w:tentative="1">
      <w:start w:val="1"/>
      <w:numFmt w:val="bullet"/>
      <w:lvlText w:val="o"/>
      <w:lvlJc w:val="left"/>
      <w:pPr>
        <w:ind w:left="3600" w:hanging="360"/>
      </w:pPr>
      <w:rPr>
        <w:rFonts w:ascii="Courier New" w:hAnsi="Courier New" w:cs="Courier New" w:hint="default"/>
      </w:rPr>
    </w:lvl>
    <w:lvl w:ilvl="5" w:tplc="180C0005" w:tentative="1">
      <w:start w:val="1"/>
      <w:numFmt w:val="bullet"/>
      <w:lvlText w:val=""/>
      <w:lvlJc w:val="left"/>
      <w:pPr>
        <w:ind w:left="4320" w:hanging="360"/>
      </w:pPr>
      <w:rPr>
        <w:rFonts w:ascii="Wingdings" w:hAnsi="Wingdings" w:hint="default"/>
      </w:rPr>
    </w:lvl>
    <w:lvl w:ilvl="6" w:tplc="180C0001" w:tentative="1">
      <w:start w:val="1"/>
      <w:numFmt w:val="bullet"/>
      <w:lvlText w:val=""/>
      <w:lvlJc w:val="left"/>
      <w:pPr>
        <w:ind w:left="5040" w:hanging="360"/>
      </w:pPr>
      <w:rPr>
        <w:rFonts w:ascii="Symbol" w:hAnsi="Symbol" w:hint="default"/>
      </w:rPr>
    </w:lvl>
    <w:lvl w:ilvl="7" w:tplc="180C0003" w:tentative="1">
      <w:start w:val="1"/>
      <w:numFmt w:val="bullet"/>
      <w:lvlText w:val="o"/>
      <w:lvlJc w:val="left"/>
      <w:pPr>
        <w:ind w:left="5760" w:hanging="360"/>
      </w:pPr>
      <w:rPr>
        <w:rFonts w:ascii="Courier New" w:hAnsi="Courier New" w:cs="Courier New" w:hint="default"/>
      </w:rPr>
    </w:lvl>
    <w:lvl w:ilvl="8" w:tplc="180C0005" w:tentative="1">
      <w:start w:val="1"/>
      <w:numFmt w:val="bullet"/>
      <w:lvlText w:val=""/>
      <w:lvlJc w:val="left"/>
      <w:pPr>
        <w:ind w:left="6480" w:hanging="360"/>
      </w:pPr>
      <w:rPr>
        <w:rFonts w:ascii="Wingdings" w:hAnsi="Wingdings" w:hint="default"/>
      </w:rPr>
    </w:lvl>
  </w:abstractNum>
  <w:abstractNum w:abstractNumId="41">
    <w:nsid w:val="3AA22203"/>
    <w:multiLevelType w:val="hybridMultilevel"/>
    <w:tmpl w:val="0F9C332A"/>
    <w:lvl w:ilvl="0" w:tplc="4FCC949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3B7532F5"/>
    <w:multiLevelType w:val="hybridMultilevel"/>
    <w:tmpl w:val="62E2DAAC"/>
    <w:lvl w:ilvl="0" w:tplc="1F28AFB2">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3BDB063B"/>
    <w:multiLevelType w:val="hybridMultilevel"/>
    <w:tmpl w:val="6EA632CA"/>
    <w:lvl w:ilvl="0" w:tplc="4FCC9492">
      <w:numFmt w:val="bullet"/>
      <w:lvlText w:val="-"/>
      <w:lvlJc w:val="left"/>
      <w:pPr>
        <w:ind w:left="840" w:hanging="360"/>
      </w:pPr>
      <w:rPr>
        <w:rFonts w:ascii="Times New Roman" w:eastAsia="Calibri" w:hAnsi="Times New Roman" w:cs="Times New Roman"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44">
    <w:nsid w:val="3EE10C12"/>
    <w:multiLevelType w:val="hybridMultilevel"/>
    <w:tmpl w:val="699851A8"/>
    <w:lvl w:ilvl="0" w:tplc="F08260DE">
      <w:start w:val="1"/>
      <w:numFmt w:val="bullet"/>
      <w:lvlText w:val="⁻"/>
      <w:lvlJc w:val="left"/>
      <w:pPr>
        <w:ind w:left="960" w:hanging="360"/>
      </w:pPr>
      <w:rPr>
        <w:rFonts w:ascii="Calibri" w:hAnsi="Calibri"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45">
    <w:nsid w:val="4148266D"/>
    <w:multiLevelType w:val="hybridMultilevel"/>
    <w:tmpl w:val="DAC8BD4A"/>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2284669"/>
    <w:multiLevelType w:val="hybridMultilevel"/>
    <w:tmpl w:val="BE8A62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nsid w:val="42C53D78"/>
    <w:multiLevelType w:val="hybridMultilevel"/>
    <w:tmpl w:val="E8465EF2"/>
    <w:lvl w:ilvl="0" w:tplc="2B525A46">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54065E5"/>
    <w:multiLevelType w:val="hybridMultilevel"/>
    <w:tmpl w:val="BEDC880E"/>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48E963E5"/>
    <w:multiLevelType w:val="hybridMultilevel"/>
    <w:tmpl w:val="4106ECC4"/>
    <w:lvl w:ilvl="0" w:tplc="4FCC949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4AAA19C2"/>
    <w:multiLevelType w:val="hybridMultilevel"/>
    <w:tmpl w:val="768E810A"/>
    <w:lvl w:ilvl="0" w:tplc="04090001">
      <w:start w:val="1"/>
      <w:numFmt w:val="bullet"/>
      <w:lvlText w:val=""/>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D3A7C47"/>
    <w:multiLevelType w:val="hybridMultilevel"/>
    <w:tmpl w:val="60E0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944860"/>
    <w:multiLevelType w:val="hybridMultilevel"/>
    <w:tmpl w:val="A6A6C0EE"/>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523870CC"/>
    <w:multiLevelType w:val="hybridMultilevel"/>
    <w:tmpl w:val="284AE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55A43070"/>
    <w:multiLevelType w:val="hybridMultilevel"/>
    <w:tmpl w:val="C96E1438"/>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57BA4DC3"/>
    <w:multiLevelType w:val="hybridMultilevel"/>
    <w:tmpl w:val="D7A6AB7C"/>
    <w:lvl w:ilvl="0" w:tplc="1F28AFB2">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5B7A2D3D"/>
    <w:multiLevelType w:val="hybridMultilevel"/>
    <w:tmpl w:val="6498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CAE45A5"/>
    <w:multiLevelType w:val="hybridMultilevel"/>
    <w:tmpl w:val="10CA9AF6"/>
    <w:lvl w:ilvl="0" w:tplc="BB96F2D4">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8">
    <w:nsid w:val="5DF36BF2"/>
    <w:multiLevelType w:val="hybridMultilevel"/>
    <w:tmpl w:val="00B0C3AA"/>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3E751AF"/>
    <w:multiLevelType w:val="hybridMultilevel"/>
    <w:tmpl w:val="EF425F94"/>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660F0B5A"/>
    <w:multiLevelType w:val="hybridMultilevel"/>
    <w:tmpl w:val="63FA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6F100FA"/>
    <w:multiLevelType w:val="hybridMultilevel"/>
    <w:tmpl w:val="F45E7B24"/>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917645B"/>
    <w:multiLevelType w:val="hybridMultilevel"/>
    <w:tmpl w:val="A8B0D4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C8B5012"/>
    <w:multiLevelType w:val="hybridMultilevel"/>
    <w:tmpl w:val="19E27048"/>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D8710B1"/>
    <w:multiLevelType w:val="hybridMultilevel"/>
    <w:tmpl w:val="0CB84244"/>
    <w:lvl w:ilvl="0" w:tplc="04090001">
      <w:start w:val="1"/>
      <w:numFmt w:val="bullet"/>
      <w:lvlText w:val=""/>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EF4461C"/>
    <w:multiLevelType w:val="hybridMultilevel"/>
    <w:tmpl w:val="B5C831A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nsid w:val="70F10C80"/>
    <w:multiLevelType w:val="hybridMultilevel"/>
    <w:tmpl w:val="52B8CFEA"/>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72B84A0C"/>
    <w:multiLevelType w:val="hybridMultilevel"/>
    <w:tmpl w:val="04C8C8C6"/>
    <w:lvl w:ilvl="0" w:tplc="BB96F2D4">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8">
    <w:nsid w:val="76526F16"/>
    <w:multiLevelType w:val="hybridMultilevel"/>
    <w:tmpl w:val="FA5C2750"/>
    <w:lvl w:ilvl="0" w:tplc="5144ECA8">
      <w:start w:val="2"/>
      <w:numFmt w:val="bullet"/>
      <w:lvlText w:val="-"/>
      <w:lvlJc w:val="left"/>
      <w:pPr>
        <w:ind w:left="1080" w:hanging="360"/>
      </w:pPr>
      <w:rPr>
        <w:rFonts w:ascii="Arial" w:eastAsia="Calibri" w:hAnsi="Arial" w:cs="Aria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9">
    <w:nsid w:val="76B84E1F"/>
    <w:multiLevelType w:val="hybridMultilevel"/>
    <w:tmpl w:val="8856F65C"/>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78343458"/>
    <w:multiLevelType w:val="hybridMultilevel"/>
    <w:tmpl w:val="C3DC8C14"/>
    <w:lvl w:ilvl="0" w:tplc="040C0001">
      <w:start w:val="1"/>
      <w:numFmt w:val="bullet"/>
      <w:lvlText w:val=""/>
      <w:lvlJc w:val="left"/>
      <w:pPr>
        <w:ind w:left="480" w:hanging="360"/>
      </w:pPr>
      <w:rPr>
        <w:rFonts w:ascii="Symbol" w:hAnsi="Symbol"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71">
    <w:nsid w:val="7B023FC3"/>
    <w:multiLevelType w:val="hybridMultilevel"/>
    <w:tmpl w:val="C936BF26"/>
    <w:lvl w:ilvl="0" w:tplc="5144ECA8">
      <w:start w:val="2"/>
      <w:numFmt w:val="bullet"/>
      <w:lvlText w:val="-"/>
      <w:lvlJc w:val="left"/>
      <w:pPr>
        <w:ind w:left="720" w:hanging="360"/>
      </w:pPr>
      <w:rPr>
        <w:rFonts w:ascii="Arial" w:eastAsia="Calibri"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7C30219B"/>
    <w:multiLevelType w:val="hybridMultilevel"/>
    <w:tmpl w:val="6EC2A558"/>
    <w:lvl w:ilvl="0" w:tplc="040C0001">
      <w:start w:val="1"/>
      <w:numFmt w:val="bullet"/>
      <w:lvlText w:val=""/>
      <w:lvlJc w:val="left"/>
      <w:pPr>
        <w:ind w:left="-66" w:hanging="360"/>
      </w:pPr>
      <w:rPr>
        <w:rFonts w:ascii="Symbol" w:hAnsi="Symbo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73">
    <w:nsid w:val="7C4B0F42"/>
    <w:multiLevelType w:val="hybridMultilevel"/>
    <w:tmpl w:val="0FD824D8"/>
    <w:lvl w:ilvl="0" w:tplc="4FCC949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7C9A7B7C"/>
    <w:multiLevelType w:val="hybridMultilevel"/>
    <w:tmpl w:val="39723AB6"/>
    <w:lvl w:ilvl="0" w:tplc="A5066762">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7DAC0F89"/>
    <w:multiLevelType w:val="hybridMultilevel"/>
    <w:tmpl w:val="76A653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7F4424BB"/>
    <w:multiLevelType w:val="hybridMultilevel"/>
    <w:tmpl w:val="9F622414"/>
    <w:lvl w:ilvl="0" w:tplc="F08260D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61"/>
  </w:num>
  <w:num w:numId="3">
    <w:abstractNumId w:val="6"/>
  </w:num>
  <w:num w:numId="4">
    <w:abstractNumId w:val="22"/>
  </w:num>
  <w:num w:numId="5">
    <w:abstractNumId w:val="34"/>
  </w:num>
  <w:num w:numId="6">
    <w:abstractNumId w:val="51"/>
  </w:num>
  <w:num w:numId="7">
    <w:abstractNumId w:val="0"/>
  </w:num>
  <w:num w:numId="8">
    <w:abstractNumId w:val="16"/>
  </w:num>
  <w:num w:numId="9">
    <w:abstractNumId w:val="10"/>
  </w:num>
  <w:num w:numId="10">
    <w:abstractNumId w:val="26"/>
  </w:num>
  <w:num w:numId="11">
    <w:abstractNumId w:val="60"/>
  </w:num>
  <w:num w:numId="12">
    <w:abstractNumId w:val="28"/>
  </w:num>
  <w:num w:numId="13">
    <w:abstractNumId w:val="53"/>
  </w:num>
  <w:num w:numId="14">
    <w:abstractNumId w:val="64"/>
  </w:num>
  <w:num w:numId="15">
    <w:abstractNumId w:val="56"/>
  </w:num>
  <w:num w:numId="16">
    <w:abstractNumId w:val="50"/>
  </w:num>
  <w:num w:numId="17">
    <w:abstractNumId w:val="8"/>
  </w:num>
  <w:num w:numId="18">
    <w:abstractNumId w:val="52"/>
  </w:num>
  <w:num w:numId="19">
    <w:abstractNumId w:val="30"/>
  </w:num>
  <w:num w:numId="20">
    <w:abstractNumId w:val="15"/>
  </w:num>
  <w:num w:numId="21">
    <w:abstractNumId w:val="41"/>
  </w:num>
  <w:num w:numId="22">
    <w:abstractNumId w:val="42"/>
  </w:num>
  <w:num w:numId="23">
    <w:abstractNumId w:val="44"/>
  </w:num>
  <w:num w:numId="24">
    <w:abstractNumId w:val="21"/>
  </w:num>
  <w:num w:numId="25">
    <w:abstractNumId w:val="66"/>
  </w:num>
  <w:num w:numId="26">
    <w:abstractNumId w:val="4"/>
  </w:num>
  <w:num w:numId="27">
    <w:abstractNumId w:val="68"/>
  </w:num>
  <w:num w:numId="28">
    <w:abstractNumId w:val="33"/>
  </w:num>
  <w:num w:numId="29">
    <w:abstractNumId w:val="3"/>
  </w:num>
  <w:num w:numId="30">
    <w:abstractNumId w:val="72"/>
  </w:num>
  <w:num w:numId="31">
    <w:abstractNumId w:val="70"/>
  </w:num>
  <w:num w:numId="32">
    <w:abstractNumId w:val="29"/>
  </w:num>
  <w:num w:numId="33">
    <w:abstractNumId w:val="9"/>
  </w:num>
  <w:num w:numId="34">
    <w:abstractNumId w:val="49"/>
  </w:num>
  <w:num w:numId="35">
    <w:abstractNumId w:val="65"/>
  </w:num>
  <w:num w:numId="36">
    <w:abstractNumId w:val="73"/>
  </w:num>
  <w:num w:numId="37">
    <w:abstractNumId w:val="36"/>
  </w:num>
  <w:num w:numId="38">
    <w:abstractNumId w:val="40"/>
  </w:num>
  <w:num w:numId="39">
    <w:abstractNumId w:val="32"/>
  </w:num>
  <w:num w:numId="40">
    <w:abstractNumId w:val="62"/>
  </w:num>
  <w:num w:numId="41">
    <w:abstractNumId w:val="24"/>
  </w:num>
  <w:num w:numId="42">
    <w:abstractNumId w:val="1"/>
  </w:num>
  <w:num w:numId="43">
    <w:abstractNumId w:val="39"/>
  </w:num>
  <w:num w:numId="44">
    <w:abstractNumId w:val="46"/>
  </w:num>
  <w:num w:numId="45">
    <w:abstractNumId w:val="75"/>
  </w:num>
  <w:num w:numId="46">
    <w:abstractNumId w:val="45"/>
  </w:num>
  <w:num w:numId="47">
    <w:abstractNumId w:val="37"/>
  </w:num>
  <w:num w:numId="48">
    <w:abstractNumId w:val="14"/>
  </w:num>
  <w:num w:numId="49">
    <w:abstractNumId w:val="58"/>
  </w:num>
  <w:num w:numId="50">
    <w:abstractNumId w:val="27"/>
  </w:num>
  <w:num w:numId="51">
    <w:abstractNumId w:val="7"/>
  </w:num>
  <w:num w:numId="52">
    <w:abstractNumId w:val="54"/>
  </w:num>
  <w:num w:numId="53">
    <w:abstractNumId w:val="69"/>
  </w:num>
  <w:num w:numId="54">
    <w:abstractNumId w:val="35"/>
  </w:num>
  <w:num w:numId="55">
    <w:abstractNumId w:val="48"/>
  </w:num>
  <w:num w:numId="56">
    <w:abstractNumId w:val="59"/>
  </w:num>
  <w:num w:numId="57">
    <w:abstractNumId w:val="20"/>
  </w:num>
  <w:num w:numId="58">
    <w:abstractNumId w:val="38"/>
  </w:num>
  <w:num w:numId="59">
    <w:abstractNumId w:val="19"/>
  </w:num>
  <w:num w:numId="60">
    <w:abstractNumId w:val="76"/>
  </w:num>
  <w:num w:numId="61">
    <w:abstractNumId w:val="63"/>
  </w:num>
  <w:num w:numId="62">
    <w:abstractNumId w:val="31"/>
  </w:num>
  <w:num w:numId="63">
    <w:abstractNumId w:val="71"/>
  </w:num>
  <w:num w:numId="64">
    <w:abstractNumId w:val="55"/>
  </w:num>
  <w:num w:numId="65">
    <w:abstractNumId w:val="12"/>
  </w:num>
  <w:num w:numId="66">
    <w:abstractNumId w:val="17"/>
  </w:num>
  <w:num w:numId="67">
    <w:abstractNumId w:val="18"/>
  </w:num>
  <w:num w:numId="68">
    <w:abstractNumId w:val="67"/>
  </w:num>
  <w:num w:numId="69">
    <w:abstractNumId w:val="57"/>
  </w:num>
  <w:num w:numId="70">
    <w:abstractNumId w:val="25"/>
  </w:num>
  <w:num w:numId="71">
    <w:abstractNumId w:val="74"/>
  </w:num>
  <w:num w:numId="72">
    <w:abstractNumId w:val="2"/>
  </w:num>
  <w:num w:numId="73">
    <w:abstractNumId w:val="5"/>
  </w:num>
  <w:num w:numId="74">
    <w:abstractNumId w:val="47"/>
  </w:num>
  <w:num w:numId="75">
    <w:abstractNumId w:val="11"/>
  </w:num>
  <w:num w:numId="76">
    <w:abstractNumId w:val="43"/>
  </w:num>
  <w:num w:numId="77">
    <w:abstractNumId w:val="1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A0"/>
    <w:rsid w:val="00001BFD"/>
    <w:rsid w:val="0000283B"/>
    <w:rsid w:val="00004AF1"/>
    <w:rsid w:val="000078F6"/>
    <w:rsid w:val="00007B97"/>
    <w:rsid w:val="00014567"/>
    <w:rsid w:val="000256D0"/>
    <w:rsid w:val="000302CF"/>
    <w:rsid w:val="00031A41"/>
    <w:rsid w:val="000325DB"/>
    <w:rsid w:val="0003613A"/>
    <w:rsid w:val="000364B3"/>
    <w:rsid w:val="0003750A"/>
    <w:rsid w:val="00037A54"/>
    <w:rsid w:val="0004013F"/>
    <w:rsid w:val="000408CF"/>
    <w:rsid w:val="000415BF"/>
    <w:rsid w:val="000421F4"/>
    <w:rsid w:val="00042BCF"/>
    <w:rsid w:val="000455A4"/>
    <w:rsid w:val="0005231B"/>
    <w:rsid w:val="00052A8F"/>
    <w:rsid w:val="00053550"/>
    <w:rsid w:val="00053ADC"/>
    <w:rsid w:val="00056E98"/>
    <w:rsid w:val="0005783E"/>
    <w:rsid w:val="00057DB1"/>
    <w:rsid w:val="0006011A"/>
    <w:rsid w:val="00064F25"/>
    <w:rsid w:val="000711A2"/>
    <w:rsid w:val="000714DB"/>
    <w:rsid w:val="00072828"/>
    <w:rsid w:val="00072861"/>
    <w:rsid w:val="000738BD"/>
    <w:rsid w:val="00076C12"/>
    <w:rsid w:val="000801F2"/>
    <w:rsid w:val="000825AE"/>
    <w:rsid w:val="00083A96"/>
    <w:rsid w:val="00083EB7"/>
    <w:rsid w:val="00083ECB"/>
    <w:rsid w:val="000842C4"/>
    <w:rsid w:val="0008678F"/>
    <w:rsid w:val="00086B73"/>
    <w:rsid w:val="00092201"/>
    <w:rsid w:val="00092A06"/>
    <w:rsid w:val="000938B0"/>
    <w:rsid w:val="00094416"/>
    <w:rsid w:val="000946BC"/>
    <w:rsid w:val="00094EF2"/>
    <w:rsid w:val="00094F86"/>
    <w:rsid w:val="00095390"/>
    <w:rsid w:val="000953AC"/>
    <w:rsid w:val="000964A8"/>
    <w:rsid w:val="00096C68"/>
    <w:rsid w:val="000A0F85"/>
    <w:rsid w:val="000A2CB6"/>
    <w:rsid w:val="000A739B"/>
    <w:rsid w:val="000B1076"/>
    <w:rsid w:val="000B11CB"/>
    <w:rsid w:val="000B1F4C"/>
    <w:rsid w:val="000B2CE8"/>
    <w:rsid w:val="000B3218"/>
    <w:rsid w:val="000B3EC2"/>
    <w:rsid w:val="000B6324"/>
    <w:rsid w:val="000B7681"/>
    <w:rsid w:val="000C1020"/>
    <w:rsid w:val="000C19E8"/>
    <w:rsid w:val="000C20C6"/>
    <w:rsid w:val="000C38D6"/>
    <w:rsid w:val="000C444D"/>
    <w:rsid w:val="000C5712"/>
    <w:rsid w:val="000C6987"/>
    <w:rsid w:val="000C6E5C"/>
    <w:rsid w:val="000D3049"/>
    <w:rsid w:val="000D3757"/>
    <w:rsid w:val="000D38E2"/>
    <w:rsid w:val="000D4223"/>
    <w:rsid w:val="000D6898"/>
    <w:rsid w:val="000D7D7D"/>
    <w:rsid w:val="000E0FBB"/>
    <w:rsid w:val="000E5222"/>
    <w:rsid w:val="000E5C43"/>
    <w:rsid w:val="000E6037"/>
    <w:rsid w:val="000E6130"/>
    <w:rsid w:val="000E6199"/>
    <w:rsid w:val="000E6FFC"/>
    <w:rsid w:val="000F086F"/>
    <w:rsid w:val="000F0E5D"/>
    <w:rsid w:val="000F11CE"/>
    <w:rsid w:val="000F247A"/>
    <w:rsid w:val="000F44D2"/>
    <w:rsid w:val="000F461D"/>
    <w:rsid w:val="000F4653"/>
    <w:rsid w:val="000F4F79"/>
    <w:rsid w:val="000F539E"/>
    <w:rsid w:val="00100D46"/>
    <w:rsid w:val="00102AF4"/>
    <w:rsid w:val="001032C2"/>
    <w:rsid w:val="00105205"/>
    <w:rsid w:val="00106C7F"/>
    <w:rsid w:val="0010786B"/>
    <w:rsid w:val="00110AC2"/>
    <w:rsid w:val="00110C5D"/>
    <w:rsid w:val="00110DE9"/>
    <w:rsid w:val="001159B3"/>
    <w:rsid w:val="00117717"/>
    <w:rsid w:val="00121627"/>
    <w:rsid w:val="00121FE8"/>
    <w:rsid w:val="00122314"/>
    <w:rsid w:val="00124788"/>
    <w:rsid w:val="0012672E"/>
    <w:rsid w:val="00126ECA"/>
    <w:rsid w:val="001305EB"/>
    <w:rsid w:val="00132BBB"/>
    <w:rsid w:val="00136897"/>
    <w:rsid w:val="00136CF3"/>
    <w:rsid w:val="001420AA"/>
    <w:rsid w:val="00144514"/>
    <w:rsid w:val="00144AA0"/>
    <w:rsid w:val="00144C46"/>
    <w:rsid w:val="001476E8"/>
    <w:rsid w:val="00147951"/>
    <w:rsid w:val="001516A9"/>
    <w:rsid w:val="00152812"/>
    <w:rsid w:val="00153D56"/>
    <w:rsid w:val="00155BAF"/>
    <w:rsid w:val="001569AA"/>
    <w:rsid w:val="00157261"/>
    <w:rsid w:val="00160BCC"/>
    <w:rsid w:val="00163434"/>
    <w:rsid w:val="00165598"/>
    <w:rsid w:val="00165B11"/>
    <w:rsid w:val="00166172"/>
    <w:rsid w:val="00166AD9"/>
    <w:rsid w:val="001670C2"/>
    <w:rsid w:val="00171961"/>
    <w:rsid w:val="00171AC0"/>
    <w:rsid w:val="00172F6B"/>
    <w:rsid w:val="001756E5"/>
    <w:rsid w:val="00180E88"/>
    <w:rsid w:val="00181629"/>
    <w:rsid w:val="0018274D"/>
    <w:rsid w:val="00183551"/>
    <w:rsid w:val="00183C59"/>
    <w:rsid w:val="0018477E"/>
    <w:rsid w:val="00184DC7"/>
    <w:rsid w:val="00185037"/>
    <w:rsid w:val="0018509C"/>
    <w:rsid w:val="00186061"/>
    <w:rsid w:val="001938ED"/>
    <w:rsid w:val="001A0172"/>
    <w:rsid w:val="001A07EA"/>
    <w:rsid w:val="001A40E5"/>
    <w:rsid w:val="001A4C6D"/>
    <w:rsid w:val="001A5838"/>
    <w:rsid w:val="001A5B91"/>
    <w:rsid w:val="001A60E4"/>
    <w:rsid w:val="001A6C48"/>
    <w:rsid w:val="001A75FA"/>
    <w:rsid w:val="001A76E4"/>
    <w:rsid w:val="001B0FC1"/>
    <w:rsid w:val="001B13F9"/>
    <w:rsid w:val="001B1752"/>
    <w:rsid w:val="001B2F06"/>
    <w:rsid w:val="001B3136"/>
    <w:rsid w:val="001B755F"/>
    <w:rsid w:val="001B7948"/>
    <w:rsid w:val="001C0B8D"/>
    <w:rsid w:val="001C0E99"/>
    <w:rsid w:val="001C1ACC"/>
    <w:rsid w:val="001C30AD"/>
    <w:rsid w:val="001C3A35"/>
    <w:rsid w:val="001C476A"/>
    <w:rsid w:val="001C5902"/>
    <w:rsid w:val="001C776A"/>
    <w:rsid w:val="001D03BD"/>
    <w:rsid w:val="001D0962"/>
    <w:rsid w:val="001D0A03"/>
    <w:rsid w:val="001D0A9E"/>
    <w:rsid w:val="001D2E35"/>
    <w:rsid w:val="001D5753"/>
    <w:rsid w:val="001D5E60"/>
    <w:rsid w:val="001D6640"/>
    <w:rsid w:val="001E1269"/>
    <w:rsid w:val="001E59F3"/>
    <w:rsid w:val="001E69DD"/>
    <w:rsid w:val="001F320C"/>
    <w:rsid w:val="001F3750"/>
    <w:rsid w:val="001F38C8"/>
    <w:rsid w:val="001F40A3"/>
    <w:rsid w:val="001F46A6"/>
    <w:rsid w:val="001F4F9C"/>
    <w:rsid w:val="001F5F13"/>
    <w:rsid w:val="001F75C8"/>
    <w:rsid w:val="0020296B"/>
    <w:rsid w:val="00202D31"/>
    <w:rsid w:val="00205204"/>
    <w:rsid w:val="00205EBC"/>
    <w:rsid w:val="002075A0"/>
    <w:rsid w:val="00211D28"/>
    <w:rsid w:val="00212B4A"/>
    <w:rsid w:val="00214685"/>
    <w:rsid w:val="00215061"/>
    <w:rsid w:val="00215712"/>
    <w:rsid w:val="00217712"/>
    <w:rsid w:val="00221ACF"/>
    <w:rsid w:val="00223023"/>
    <w:rsid w:val="002250E9"/>
    <w:rsid w:val="0022557F"/>
    <w:rsid w:val="00231C36"/>
    <w:rsid w:val="002321CB"/>
    <w:rsid w:val="00232D03"/>
    <w:rsid w:val="00232DAE"/>
    <w:rsid w:val="00237BBA"/>
    <w:rsid w:val="0024069A"/>
    <w:rsid w:val="00240966"/>
    <w:rsid w:val="00241249"/>
    <w:rsid w:val="002448B9"/>
    <w:rsid w:val="00245441"/>
    <w:rsid w:val="00245ADD"/>
    <w:rsid w:val="00250209"/>
    <w:rsid w:val="00251148"/>
    <w:rsid w:val="00251931"/>
    <w:rsid w:val="0025221B"/>
    <w:rsid w:val="002528EB"/>
    <w:rsid w:val="002544D5"/>
    <w:rsid w:val="0025621F"/>
    <w:rsid w:val="002562AD"/>
    <w:rsid w:val="002570F8"/>
    <w:rsid w:val="002577BE"/>
    <w:rsid w:val="002615D5"/>
    <w:rsid w:val="00262C7F"/>
    <w:rsid w:val="00263096"/>
    <w:rsid w:val="002646A5"/>
    <w:rsid w:val="0026733B"/>
    <w:rsid w:val="00267E22"/>
    <w:rsid w:val="0027063C"/>
    <w:rsid w:val="00270CA2"/>
    <w:rsid w:val="002715DC"/>
    <w:rsid w:val="00276829"/>
    <w:rsid w:val="0028112C"/>
    <w:rsid w:val="00283816"/>
    <w:rsid w:val="00284839"/>
    <w:rsid w:val="00287590"/>
    <w:rsid w:val="00290327"/>
    <w:rsid w:val="00291985"/>
    <w:rsid w:val="0029443A"/>
    <w:rsid w:val="002972F0"/>
    <w:rsid w:val="002973C2"/>
    <w:rsid w:val="00297FC4"/>
    <w:rsid w:val="002A42CB"/>
    <w:rsid w:val="002A4EC0"/>
    <w:rsid w:val="002A5F2C"/>
    <w:rsid w:val="002A7508"/>
    <w:rsid w:val="002B03EC"/>
    <w:rsid w:val="002B1B3F"/>
    <w:rsid w:val="002B1DD1"/>
    <w:rsid w:val="002B20FE"/>
    <w:rsid w:val="002B3253"/>
    <w:rsid w:val="002B36B8"/>
    <w:rsid w:val="002B377B"/>
    <w:rsid w:val="002B3B06"/>
    <w:rsid w:val="002B5B10"/>
    <w:rsid w:val="002B7EC0"/>
    <w:rsid w:val="002B7FF8"/>
    <w:rsid w:val="002C1335"/>
    <w:rsid w:val="002C3B3E"/>
    <w:rsid w:val="002C4106"/>
    <w:rsid w:val="002C5418"/>
    <w:rsid w:val="002C66E3"/>
    <w:rsid w:val="002C685C"/>
    <w:rsid w:val="002C689A"/>
    <w:rsid w:val="002C6F47"/>
    <w:rsid w:val="002D0957"/>
    <w:rsid w:val="002D0AA0"/>
    <w:rsid w:val="002D175D"/>
    <w:rsid w:val="002D395E"/>
    <w:rsid w:val="002D39F9"/>
    <w:rsid w:val="002D3A7E"/>
    <w:rsid w:val="002D51D1"/>
    <w:rsid w:val="002D52EE"/>
    <w:rsid w:val="002D5FBE"/>
    <w:rsid w:val="002D64CB"/>
    <w:rsid w:val="002D6C4A"/>
    <w:rsid w:val="002E08A3"/>
    <w:rsid w:val="002E4584"/>
    <w:rsid w:val="002E586E"/>
    <w:rsid w:val="002F0802"/>
    <w:rsid w:val="002F1BD7"/>
    <w:rsid w:val="002F217D"/>
    <w:rsid w:val="002F222A"/>
    <w:rsid w:val="002F3622"/>
    <w:rsid w:val="002F51F8"/>
    <w:rsid w:val="002F60D0"/>
    <w:rsid w:val="002F7960"/>
    <w:rsid w:val="002F7D48"/>
    <w:rsid w:val="00300995"/>
    <w:rsid w:val="00300D59"/>
    <w:rsid w:val="00302D89"/>
    <w:rsid w:val="00302E2F"/>
    <w:rsid w:val="00303F0A"/>
    <w:rsid w:val="0030460B"/>
    <w:rsid w:val="003046BF"/>
    <w:rsid w:val="00305FBB"/>
    <w:rsid w:val="00310E1A"/>
    <w:rsid w:val="003162EC"/>
    <w:rsid w:val="003167D9"/>
    <w:rsid w:val="00316C52"/>
    <w:rsid w:val="003215A9"/>
    <w:rsid w:val="003219B6"/>
    <w:rsid w:val="00321C40"/>
    <w:rsid w:val="00324D37"/>
    <w:rsid w:val="003251AE"/>
    <w:rsid w:val="003306CF"/>
    <w:rsid w:val="0033138A"/>
    <w:rsid w:val="00332169"/>
    <w:rsid w:val="00333383"/>
    <w:rsid w:val="0033361A"/>
    <w:rsid w:val="00334F23"/>
    <w:rsid w:val="00335B95"/>
    <w:rsid w:val="00336A12"/>
    <w:rsid w:val="00340277"/>
    <w:rsid w:val="00341326"/>
    <w:rsid w:val="00341D1B"/>
    <w:rsid w:val="003521D5"/>
    <w:rsid w:val="003528FC"/>
    <w:rsid w:val="00353030"/>
    <w:rsid w:val="003531A4"/>
    <w:rsid w:val="0035591D"/>
    <w:rsid w:val="00357DDA"/>
    <w:rsid w:val="00362B35"/>
    <w:rsid w:val="003654CB"/>
    <w:rsid w:val="00370A1A"/>
    <w:rsid w:val="00372CC2"/>
    <w:rsid w:val="00375019"/>
    <w:rsid w:val="00376BA4"/>
    <w:rsid w:val="00377E60"/>
    <w:rsid w:val="00380975"/>
    <w:rsid w:val="00381786"/>
    <w:rsid w:val="0038347E"/>
    <w:rsid w:val="003834AE"/>
    <w:rsid w:val="00384605"/>
    <w:rsid w:val="003860FC"/>
    <w:rsid w:val="00386AD4"/>
    <w:rsid w:val="00393032"/>
    <w:rsid w:val="003A2C41"/>
    <w:rsid w:val="003A3694"/>
    <w:rsid w:val="003A3715"/>
    <w:rsid w:val="003A5D7E"/>
    <w:rsid w:val="003A63B8"/>
    <w:rsid w:val="003B0601"/>
    <w:rsid w:val="003B19F1"/>
    <w:rsid w:val="003B29FE"/>
    <w:rsid w:val="003C1E87"/>
    <w:rsid w:val="003C2936"/>
    <w:rsid w:val="003C5DE6"/>
    <w:rsid w:val="003C62D6"/>
    <w:rsid w:val="003C6B0B"/>
    <w:rsid w:val="003D0DBF"/>
    <w:rsid w:val="003D1ADD"/>
    <w:rsid w:val="003D2649"/>
    <w:rsid w:val="003D34EC"/>
    <w:rsid w:val="003D4A1E"/>
    <w:rsid w:val="003D53EF"/>
    <w:rsid w:val="003D724E"/>
    <w:rsid w:val="003E16F7"/>
    <w:rsid w:val="003E2203"/>
    <w:rsid w:val="003E48B7"/>
    <w:rsid w:val="003E490F"/>
    <w:rsid w:val="003E60AC"/>
    <w:rsid w:val="003E625E"/>
    <w:rsid w:val="003E688F"/>
    <w:rsid w:val="003E7795"/>
    <w:rsid w:val="003F34A6"/>
    <w:rsid w:val="003F374B"/>
    <w:rsid w:val="003F3B5F"/>
    <w:rsid w:val="003F3D6E"/>
    <w:rsid w:val="003F3E8B"/>
    <w:rsid w:val="003F4F6D"/>
    <w:rsid w:val="003F6F44"/>
    <w:rsid w:val="00400C76"/>
    <w:rsid w:val="00400FC6"/>
    <w:rsid w:val="0040538E"/>
    <w:rsid w:val="00405FD3"/>
    <w:rsid w:val="00406353"/>
    <w:rsid w:val="0041434A"/>
    <w:rsid w:val="00414720"/>
    <w:rsid w:val="00415B6E"/>
    <w:rsid w:val="00416170"/>
    <w:rsid w:val="00420378"/>
    <w:rsid w:val="0042270D"/>
    <w:rsid w:val="00425654"/>
    <w:rsid w:val="00425D74"/>
    <w:rsid w:val="004266C4"/>
    <w:rsid w:val="00427253"/>
    <w:rsid w:val="00431EEF"/>
    <w:rsid w:val="00433AB4"/>
    <w:rsid w:val="0043495D"/>
    <w:rsid w:val="0043560B"/>
    <w:rsid w:val="00435E1A"/>
    <w:rsid w:val="004420AE"/>
    <w:rsid w:val="004423A9"/>
    <w:rsid w:val="004427FA"/>
    <w:rsid w:val="0044355C"/>
    <w:rsid w:val="00445DAE"/>
    <w:rsid w:val="0045119B"/>
    <w:rsid w:val="00455453"/>
    <w:rsid w:val="00461A38"/>
    <w:rsid w:val="00461C7C"/>
    <w:rsid w:val="00462BDA"/>
    <w:rsid w:val="004630B1"/>
    <w:rsid w:val="004639CC"/>
    <w:rsid w:val="00463DF7"/>
    <w:rsid w:val="00474F31"/>
    <w:rsid w:val="00480CBB"/>
    <w:rsid w:val="00484977"/>
    <w:rsid w:val="00484C97"/>
    <w:rsid w:val="004861CE"/>
    <w:rsid w:val="0048667F"/>
    <w:rsid w:val="004872EE"/>
    <w:rsid w:val="004901BA"/>
    <w:rsid w:val="004925BC"/>
    <w:rsid w:val="0049263B"/>
    <w:rsid w:val="00492C8D"/>
    <w:rsid w:val="00493088"/>
    <w:rsid w:val="00493B58"/>
    <w:rsid w:val="00495846"/>
    <w:rsid w:val="0049614D"/>
    <w:rsid w:val="0049745C"/>
    <w:rsid w:val="004A1A37"/>
    <w:rsid w:val="004A1ECE"/>
    <w:rsid w:val="004A66B3"/>
    <w:rsid w:val="004A727D"/>
    <w:rsid w:val="004B1886"/>
    <w:rsid w:val="004B1BC1"/>
    <w:rsid w:val="004B7A41"/>
    <w:rsid w:val="004B7AAF"/>
    <w:rsid w:val="004B7CAE"/>
    <w:rsid w:val="004C1C8F"/>
    <w:rsid w:val="004C3346"/>
    <w:rsid w:val="004C4556"/>
    <w:rsid w:val="004C47E9"/>
    <w:rsid w:val="004C6211"/>
    <w:rsid w:val="004C7096"/>
    <w:rsid w:val="004D32D9"/>
    <w:rsid w:val="004D3C1C"/>
    <w:rsid w:val="004D57C0"/>
    <w:rsid w:val="004D5D69"/>
    <w:rsid w:val="004D6313"/>
    <w:rsid w:val="004D72B5"/>
    <w:rsid w:val="004E0A2C"/>
    <w:rsid w:val="004E33FD"/>
    <w:rsid w:val="004E3F18"/>
    <w:rsid w:val="004E7253"/>
    <w:rsid w:val="004F44A5"/>
    <w:rsid w:val="00501681"/>
    <w:rsid w:val="005047B3"/>
    <w:rsid w:val="005068B1"/>
    <w:rsid w:val="00506A64"/>
    <w:rsid w:val="00507493"/>
    <w:rsid w:val="0051095F"/>
    <w:rsid w:val="00510F66"/>
    <w:rsid w:val="005110F7"/>
    <w:rsid w:val="00514835"/>
    <w:rsid w:val="005150DE"/>
    <w:rsid w:val="00515293"/>
    <w:rsid w:val="00515DF4"/>
    <w:rsid w:val="005160CC"/>
    <w:rsid w:val="00522A10"/>
    <w:rsid w:val="00522EBF"/>
    <w:rsid w:val="00523988"/>
    <w:rsid w:val="0052770E"/>
    <w:rsid w:val="00533A26"/>
    <w:rsid w:val="00534D9D"/>
    <w:rsid w:val="00535256"/>
    <w:rsid w:val="0053574C"/>
    <w:rsid w:val="00536131"/>
    <w:rsid w:val="0053753F"/>
    <w:rsid w:val="005376F9"/>
    <w:rsid w:val="00541100"/>
    <w:rsid w:val="00541FA0"/>
    <w:rsid w:val="00542316"/>
    <w:rsid w:val="005434CC"/>
    <w:rsid w:val="00543E8E"/>
    <w:rsid w:val="00546100"/>
    <w:rsid w:val="00546604"/>
    <w:rsid w:val="005471FB"/>
    <w:rsid w:val="00550471"/>
    <w:rsid w:val="00550D55"/>
    <w:rsid w:val="00551FB1"/>
    <w:rsid w:val="0055252C"/>
    <w:rsid w:val="005527B4"/>
    <w:rsid w:val="005535A0"/>
    <w:rsid w:val="00555F82"/>
    <w:rsid w:val="005566A5"/>
    <w:rsid w:val="00560910"/>
    <w:rsid w:val="00561ABF"/>
    <w:rsid w:val="00563F84"/>
    <w:rsid w:val="00564459"/>
    <w:rsid w:val="00565F0D"/>
    <w:rsid w:val="005665E9"/>
    <w:rsid w:val="00567E12"/>
    <w:rsid w:val="0057223D"/>
    <w:rsid w:val="00574F95"/>
    <w:rsid w:val="00576DB0"/>
    <w:rsid w:val="00580602"/>
    <w:rsid w:val="00580F7C"/>
    <w:rsid w:val="005816BA"/>
    <w:rsid w:val="005817D8"/>
    <w:rsid w:val="005830FC"/>
    <w:rsid w:val="00583290"/>
    <w:rsid w:val="005855DB"/>
    <w:rsid w:val="00586C4E"/>
    <w:rsid w:val="005872D6"/>
    <w:rsid w:val="00590A0C"/>
    <w:rsid w:val="0059188F"/>
    <w:rsid w:val="0059508B"/>
    <w:rsid w:val="00595AB2"/>
    <w:rsid w:val="005962B0"/>
    <w:rsid w:val="005974FF"/>
    <w:rsid w:val="005A0603"/>
    <w:rsid w:val="005A086F"/>
    <w:rsid w:val="005A0B65"/>
    <w:rsid w:val="005A1F24"/>
    <w:rsid w:val="005A299B"/>
    <w:rsid w:val="005A3279"/>
    <w:rsid w:val="005A32D4"/>
    <w:rsid w:val="005A6A7A"/>
    <w:rsid w:val="005B0B0B"/>
    <w:rsid w:val="005B10F5"/>
    <w:rsid w:val="005B3904"/>
    <w:rsid w:val="005C1396"/>
    <w:rsid w:val="005C1F4E"/>
    <w:rsid w:val="005C2FED"/>
    <w:rsid w:val="005C3AB1"/>
    <w:rsid w:val="005C5D03"/>
    <w:rsid w:val="005C6159"/>
    <w:rsid w:val="005C61A8"/>
    <w:rsid w:val="005C63FD"/>
    <w:rsid w:val="005C7593"/>
    <w:rsid w:val="005D050D"/>
    <w:rsid w:val="005D115C"/>
    <w:rsid w:val="005D2581"/>
    <w:rsid w:val="005D5ABD"/>
    <w:rsid w:val="005D5F12"/>
    <w:rsid w:val="005E111D"/>
    <w:rsid w:val="005E2EF0"/>
    <w:rsid w:val="005E4030"/>
    <w:rsid w:val="005E4335"/>
    <w:rsid w:val="005E4453"/>
    <w:rsid w:val="005E45C7"/>
    <w:rsid w:val="005E5546"/>
    <w:rsid w:val="005E6E49"/>
    <w:rsid w:val="005E7348"/>
    <w:rsid w:val="005E7648"/>
    <w:rsid w:val="005F1D82"/>
    <w:rsid w:val="005F216C"/>
    <w:rsid w:val="005F3D9B"/>
    <w:rsid w:val="005F4886"/>
    <w:rsid w:val="005F6C6C"/>
    <w:rsid w:val="005F6F4E"/>
    <w:rsid w:val="005F7AA6"/>
    <w:rsid w:val="006021BE"/>
    <w:rsid w:val="00602AF2"/>
    <w:rsid w:val="00604063"/>
    <w:rsid w:val="006040D1"/>
    <w:rsid w:val="00604D68"/>
    <w:rsid w:val="0061138A"/>
    <w:rsid w:val="00612591"/>
    <w:rsid w:val="006135FA"/>
    <w:rsid w:val="006141BA"/>
    <w:rsid w:val="006142E6"/>
    <w:rsid w:val="00620649"/>
    <w:rsid w:val="006218FC"/>
    <w:rsid w:val="0062294D"/>
    <w:rsid w:val="00623365"/>
    <w:rsid w:val="0062432A"/>
    <w:rsid w:val="006262DD"/>
    <w:rsid w:val="00630E87"/>
    <w:rsid w:val="0063165C"/>
    <w:rsid w:val="00633D5E"/>
    <w:rsid w:val="00633E26"/>
    <w:rsid w:val="00635E9F"/>
    <w:rsid w:val="00636267"/>
    <w:rsid w:val="0064446C"/>
    <w:rsid w:val="00645505"/>
    <w:rsid w:val="00646F79"/>
    <w:rsid w:val="00650D17"/>
    <w:rsid w:val="00651FD9"/>
    <w:rsid w:val="00654870"/>
    <w:rsid w:val="00654AE9"/>
    <w:rsid w:val="00654C7B"/>
    <w:rsid w:val="00655E2E"/>
    <w:rsid w:val="00657F40"/>
    <w:rsid w:val="00660BC7"/>
    <w:rsid w:val="00660C87"/>
    <w:rsid w:val="006621A2"/>
    <w:rsid w:val="00662771"/>
    <w:rsid w:val="0066279D"/>
    <w:rsid w:val="00663705"/>
    <w:rsid w:val="00663CEB"/>
    <w:rsid w:val="00664E5D"/>
    <w:rsid w:val="006659A5"/>
    <w:rsid w:val="0066625D"/>
    <w:rsid w:val="00667454"/>
    <w:rsid w:val="00671CCC"/>
    <w:rsid w:val="00673F2C"/>
    <w:rsid w:val="00674924"/>
    <w:rsid w:val="006758A5"/>
    <w:rsid w:val="00677A7B"/>
    <w:rsid w:val="00680DE6"/>
    <w:rsid w:val="00681BCA"/>
    <w:rsid w:val="00681F03"/>
    <w:rsid w:val="006820DD"/>
    <w:rsid w:val="00682D55"/>
    <w:rsid w:val="00683A4E"/>
    <w:rsid w:val="006847E8"/>
    <w:rsid w:val="006877FF"/>
    <w:rsid w:val="00687CA0"/>
    <w:rsid w:val="00690932"/>
    <w:rsid w:val="006928CA"/>
    <w:rsid w:val="006937B0"/>
    <w:rsid w:val="00693B41"/>
    <w:rsid w:val="00693F47"/>
    <w:rsid w:val="006951FE"/>
    <w:rsid w:val="00697822"/>
    <w:rsid w:val="006A0DCC"/>
    <w:rsid w:val="006A25F8"/>
    <w:rsid w:val="006A2FE1"/>
    <w:rsid w:val="006A3194"/>
    <w:rsid w:val="006A4299"/>
    <w:rsid w:val="006B07FB"/>
    <w:rsid w:val="006B1AFE"/>
    <w:rsid w:val="006B1F27"/>
    <w:rsid w:val="006B2183"/>
    <w:rsid w:val="006B5B48"/>
    <w:rsid w:val="006B6220"/>
    <w:rsid w:val="006B63D6"/>
    <w:rsid w:val="006B6A4D"/>
    <w:rsid w:val="006C2954"/>
    <w:rsid w:val="006C5A07"/>
    <w:rsid w:val="006C623F"/>
    <w:rsid w:val="006D0F8B"/>
    <w:rsid w:val="006D30CB"/>
    <w:rsid w:val="006D41E9"/>
    <w:rsid w:val="006E095A"/>
    <w:rsid w:val="006E1F39"/>
    <w:rsid w:val="006E2383"/>
    <w:rsid w:val="006E3958"/>
    <w:rsid w:val="006E707B"/>
    <w:rsid w:val="006F0742"/>
    <w:rsid w:val="006F1E5D"/>
    <w:rsid w:val="006F3F74"/>
    <w:rsid w:val="006F5622"/>
    <w:rsid w:val="006F5F17"/>
    <w:rsid w:val="007004DA"/>
    <w:rsid w:val="00702206"/>
    <w:rsid w:val="007039F3"/>
    <w:rsid w:val="00704781"/>
    <w:rsid w:val="007048E9"/>
    <w:rsid w:val="00705B4E"/>
    <w:rsid w:val="0070681F"/>
    <w:rsid w:val="00707E86"/>
    <w:rsid w:val="00710C80"/>
    <w:rsid w:val="00713E17"/>
    <w:rsid w:val="0071441B"/>
    <w:rsid w:val="007174A0"/>
    <w:rsid w:val="007201C9"/>
    <w:rsid w:val="007252FA"/>
    <w:rsid w:val="00726347"/>
    <w:rsid w:val="007265DC"/>
    <w:rsid w:val="0072695D"/>
    <w:rsid w:val="00726F29"/>
    <w:rsid w:val="007337B7"/>
    <w:rsid w:val="00734249"/>
    <w:rsid w:val="007375CA"/>
    <w:rsid w:val="00737604"/>
    <w:rsid w:val="007415A7"/>
    <w:rsid w:val="007424FB"/>
    <w:rsid w:val="00742D0D"/>
    <w:rsid w:val="007433B9"/>
    <w:rsid w:val="007433FE"/>
    <w:rsid w:val="00743AFA"/>
    <w:rsid w:val="00745972"/>
    <w:rsid w:val="00746771"/>
    <w:rsid w:val="007505C8"/>
    <w:rsid w:val="007507CA"/>
    <w:rsid w:val="00750867"/>
    <w:rsid w:val="007508A6"/>
    <w:rsid w:val="00751920"/>
    <w:rsid w:val="00751E3C"/>
    <w:rsid w:val="00751ECA"/>
    <w:rsid w:val="00752DDE"/>
    <w:rsid w:val="00756735"/>
    <w:rsid w:val="00757597"/>
    <w:rsid w:val="00757826"/>
    <w:rsid w:val="0076065A"/>
    <w:rsid w:val="00762C3B"/>
    <w:rsid w:val="00763E84"/>
    <w:rsid w:val="00771B2E"/>
    <w:rsid w:val="00771FAD"/>
    <w:rsid w:val="00772A20"/>
    <w:rsid w:val="00772E94"/>
    <w:rsid w:val="00773972"/>
    <w:rsid w:val="00774FE2"/>
    <w:rsid w:val="00775ED0"/>
    <w:rsid w:val="00775EDC"/>
    <w:rsid w:val="007770A7"/>
    <w:rsid w:val="0078079A"/>
    <w:rsid w:val="00783785"/>
    <w:rsid w:val="00785BF3"/>
    <w:rsid w:val="00790977"/>
    <w:rsid w:val="00790D50"/>
    <w:rsid w:val="00792BA2"/>
    <w:rsid w:val="0079691E"/>
    <w:rsid w:val="00797214"/>
    <w:rsid w:val="007977DF"/>
    <w:rsid w:val="00797830"/>
    <w:rsid w:val="007A0580"/>
    <w:rsid w:val="007A14E0"/>
    <w:rsid w:val="007A5D2E"/>
    <w:rsid w:val="007B071C"/>
    <w:rsid w:val="007B1D93"/>
    <w:rsid w:val="007B3AAA"/>
    <w:rsid w:val="007B60C5"/>
    <w:rsid w:val="007B6111"/>
    <w:rsid w:val="007B6A37"/>
    <w:rsid w:val="007C0FBD"/>
    <w:rsid w:val="007C2D78"/>
    <w:rsid w:val="007C3423"/>
    <w:rsid w:val="007C49B6"/>
    <w:rsid w:val="007C4BB1"/>
    <w:rsid w:val="007C4C6D"/>
    <w:rsid w:val="007C54D3"/>
    <w:rsid w:val="007C5B3F"/>
    <w:rsid w:val="007C6634"/>
    <w:rsid w:val="007C6F10"/>
    <w:rsid w:val="007D1EBA"/>
    <w:rsid w:val="007D2B0E"/>
    <w:rsid w:val="007E1186"/>
    <w:rsid w:val="007E186A"/>
    <w:rsid w:val="007E209B"/>
    <w:rsid w:val="007E5B03"/>
    <w:rsid w:val="007F04D0"/>
    <w:rsid w:val="007F0AF5"/>
    <w:rsid w:val="007F0B82"/>
    <w:rsid w:val="007F1623"/>
    <w:rsid w:val="007F3E54"/>
    <w:rsid w:val="007F4AF6"/>
    <w:rsid w:val="007F5242"/>
    <w:rsid w:val="008001EF"/>
    <w:rsid w:val="008003C9"/>
    <w:rsid w:val="00802A56"/>
    <w:rsid w:val="00802F63"/>
    <w:rsid w:val="0080519C"/>
    <w:rsid w:val="00805974"/>
    <w:rsid w:val="00806E51"/>
    <w:rsid w:val="00807363"/>
    <w:rsid w:val="00810630"/>
    <w:rsid w:val="0081271B"/>
    <w:rsid w:val="008136D0"/>
    <w:rsid w:val="008146AB"/>
    <w:rsid w:val="008159D3"/>
    <w:rsid w:val="00815D2D"/>
    <w:rsid w:val="00817490"/>
    <w:rsid w:val="0081780F"/>
    <w:rsid w:val="008200BE"/>
    <w:rsid w:val="00820D10"/>
    <w:rsid w:val="00822268"/>
    <w:rsid w:val="00825495"/>
    <w:rsid w:val="00830D19"/>
    <w:rsid w:val="008318DF"/>
    <w:rsid w:val="00831A2B"/>
    <w:rsid w:val="00832362"/>
    <w:rsid w:val="00835105"/>
    <w:rsid w:val="008357E5"/>
    <w:rsid w:val="00835EA8"/>
    <w:rsid w:val="008364EA"/>
    <w:rsid w:val="00836E28"/>
    <w:rsid w:val="00837E1E"/>
    <w:rsid w:val="008425BF"/>
    <w:rsid w:val="008447E9"/>
    <w:rsid w:val="0084486F"/>
    <w:rsid w:val="00852135"/>
    <w:rsid w:val="0085420A"/>
    <w:rsid w:val="0085540D"/>
    <w:rsid w:val="0085715E"/>
    <w:rsid w:val="008578A1"/>
    <w:rsid w:val="00860856"/>
    <w:rsid w:val="00860CC3"/>
    <w:rsid w:val="00861147"/>
    <w:rsid w:val="008617B5"/>
    <w:rsid w:val="00864452"/>
    <w:rsid w:val="008667EC"/>
    <w:rsid w:val="008671DB"/>
    <w:rsid w:val="0087107E"/>
    <w:rsid w:val="00873F1D"/>
    <w:rsid w:val="00874C56"/>
    <w:rsid w:val="00877E44"/>
    <w:rsid w:val="008815D9"/>
    <w:rsid w:val="00881C9F"/>
    <w:rsid w:val="008868A7"/>
    <w:rsid w:val="008868B0"/>
    <w:rsid w:val="00892714"/>
    <w:rsid w:val="00896322"/>
    <w:rsid w:val="008A1536"/>
    <w:rsid w:val="008A156E"/>
    <w:rsid w:val="008A20A6"/>
    <w:rsid w:val="008A269E"/>
    <w:rsid w:val="008A52E3"/>
    <w:rsid w:val="008A5831"/>
    <w:rsid w:val="008A664B"/>
    <w:rsid w:val="008A6DD6"/>
    <w:rsid w:val="008A72AA"/>
    <w:rsid w:val="008B00C4"/>
    <w:rsid w:val="008B0160"/>
    <w:rsid w:val="008B016D"/>
    <w:rsid w:val="008B0B5E"/>
    <w:rsid w:val="008B16B5"/>
    <w:rsid w:val="008B4F15"/>
    <w:rsid w:val="008B59A8"/>
    <w:rsid w:val="008B6FAC"/>
    <w:rsid w:val="008C0446"/>
    <w:rsid w:val="008C071F"/>
    <w:rsid w:val="008C0994"/>
    <w:rsid w:val="008C1EB3"/>
    <w:rsid w:val="008C3043"/>
    <w:rsid w:val="008C35C1"/>
    <w:rsid w:val="008C3C25"/>
    <w:rsid w:val="008C3F8B"/>
    <w:rsid w:val="008C56E7"/>
    <w:rsid w:val="008C5CAA"/>
    <w:rsid w:val="008C7879"/>
    <w:rsid w:val="008C7B5E"/>
    <w:rsid w:val="008D1EA8"/>
    <w:rsid w:val="008D321F"/>
    <w:rsid w:val="008D475E"/>
    <w:rsid w:val="008D4860"/>
    <w:rsid w:val="008D5894"/>
    <w:rsid w:val="008D60CC"/>
    <w:rsid w:val="008D7C00"/>
    <w:rsid w:val="008E0922"/>
    <w:rsid w:val="008E0BA0"/>
    <w:rsid w:val="008E1FD9"/>
    <w:rsid w:val="008E5244"/>
    <w:rsid w:val="008E5E86"/>
    <w:rsid w:val="008F17A0"/>
    <w:rsid w:val="008F1AE8"/>
    <w:rsid w:val="008F2599"/>
    <w:rsid w:val="008F3FCD"/>
    <w:rsid w:val="008F4506"/>
    <w:rsid w:val="008F5E47"/>
    <w:rsid w:val="00900EA4"/>
    <w:rsid w:val="009021B4"/>
    <w:rsid w:val="00902944"/>
    <w:rsid w:val="0090560C"/>
    <w:rsid w:val="00905DF0"/>
    <w:rsid w:val="0090753E"/>
    <w:rsid w:val="00907C3B"/>
    <w:rsid w:val="0091136C"/>
    <w:rsid w:val="00911B1B"/>
    <w:rsid w:val="00911D55"/>
    <w:rsid w:val="009152CE"/>
    <w:rsid w:val="00917278"/>
    <w:rsid w:val="00920AF2"/>
    <w:rsid w:val="00920D8D"/>
    <w:rsid w:val="00921200"/>
    <w:rsid w:val="009272E9"/>
    <w:rsid w:val="00927DB6"/>
    <w:rsid w:val="00932FF7"/>
    <w:rsid w:val="00934FAE"/>
    <w:rsid w:val="00935134"/>
    <w:rsid w:val="009354E6"/>
    <w:rsid w:val="009356B5"/>
    <w:rsid w:val="009373C7"/>
    <w:rsid w:val="0094029E"/>
    <w:rsid w:val="00940D3E"/>
    <w:rsid w:val="00940DA7"/>
    <w:rsid w:val="00943515"/>
    <w:rsid w:val="00943B36"/>
    <w:rsid w:val="00943C98"/>
    <w:rsid w:val="00945685"/>
    <w:rsid w:val="009459E0"/>
    <w:rsid w:val="009469FD"/>
    <w:rsid w:val="009470D3"/>
    <w:rsid w:val="009475C6"/>
    <w:rsid w:val="009476CA"/>
    <w:rsid w:val="00951E45"/>
    <w:rsid w:val="0095351D"/>
    <w:rsid w:val="00953FE1"/>
    <w:rsid w:val="00955CED"/>
    <w:rsid w:val="0095673D"/>
    <w:rsid w:val="00961728"/>
    <w:rsid w:val="00966F8A"/>
    <w:rsid w:val="00967A08"/>
    <w:rsid w:val="00967B69"/>
    <w:rsid w:val="00970019"/>
    <w:rsid w:val="009736CB"/>
    <w:rsid w:val="00973E90"/>
    <w:rsid w:val="009743E9"/>
    <w:rsid w:val="00975828"/>
    <w:rsid w:val="00976A51"/>
    <w:rsid w:val="009773D4"/>
    <w:rsid w:val="009776CE"/>
    <w:rsid w:val="00980663"/>
    <w:rsid w:val="00981C01"/>
    <w:rsid w:val="0099030A"/>
    <w:rsid w:val="00990E2F"/>
    <w:rsid w:val="009934CD"/>
    <w:rsid w:val="00993C85"/>
    <w:rsid w:val="0099515C"/>
    <w:rsid w:val="009960BF"/>
    <w:rsid w:val="00996174"/>
    <w:rsid w:val="00996B7F"/>
    <w:rsid w:val="009A0840"/>
    <w:rsid w:val="009A3AB3"/>
    <w:rsid w:val="009A5801"/>
    <w:rsid w:val="009A5CFD"/>
    <w:rsid w:val="009B07B9"/>
    <w:rsid w:val="009B0BA2"/>
    <w:rsid w:val="009B1505"/>
    <w:rsid w:val="009B5955"/>
    <w:rsid w:val="009B7C02"/>
    <w:rsid w:val="009B7E70"/>
    <w:rsid w:val="009C015E"/>
    <w:rsid w:val="009C3102"/>
    <w:rsid w:val="009C3125"/>
    <w:rsid w:val="009C34C6"/>
    <w:rsid w:val="009C3952"/>
    <w:rsid w:val="009C4350"/>
    <w:rsid w:val="009C5518"/>
    <w:rsid w:val="009C5BE4"/>
    <w:rsid w:val="009C5C0A"/>
    <w:rsid w:val="009C7687"/>
    <w:rsid w:val="009C78E2"/>
    <w:rsid w:val="009D3DA7"/>
    <w:rsid w:val="009D6DF4"/>
    <w:rsid w:val="009E0905"/>
    <w:rsid w:val="009E257F"/>
    <w:rsid w:val="009E3F39"/>
    <w:rsid w:val="009E4949"/>
    <w:rsid w:val="009E5316"/>
    <w:rsid w:val="009E5623"/>
    <w:rsid w:val="009F0845"/>
    <w:rsid w:val="009F1F26"/>
    <w:rsid w:val="009F6364"/>
    <w:rsid w:val="009F7F34"/>
    <w:rsid w:val="00A00775"/>
    <w:rsid w:val="00A019EB"/>
    <w:rsid w:val="00A028AE"/>
    <w:rsid w:val="00A04024"/>
    <w:rsid w:val="00A04863"/>
    <w:rsid w:val="00A050E8"/>
    <w:rsid w:val="00A06407"/>
    <w:rsid w:val="00A07AF2"/>
    <w:rsid w:val="00A07DFC"/>
    <w:rsid w:val="00A11E3A"/>
    <w:rsid w:val="00A146FD"/>
    <w:rsid w:val="00A14AED"/>
    <w:rsid w:val="00A150F8"/>
    <w:rsid w:val="00A15894"/>
    <w:rsid w:val="00A16A2B"/>
    <w:rsid w:val="00A179A4"/>
    <w:rsid w:val="00A17A80"/>
    <w:rsid w:val="00A21110"/>
    <w:rsid w:val="00A215F4"/>
    <w:rsid w:val="00A22270"/>
    <w:rsid w:val="00A227BA"/>
    <w:rsid w:val="00A254D6"/>
    <w:rsid w:val="00A265AB"/>
    <w:rsid w:val="00A27021"/>
    <w:rsid w:val="00A30375"/>
    <w:rsid w:val="00A30D92"/>
    <w:rsid w:val="00A3519F"/>
    <w:rsid w:val="00A355DB"/>
    <w:rsid w:val="00A35D4C"/>
    <w:rsid w:val="00A37B85"/>
    <w:rsid w:val="00A37D3E"/>
    <w:rsid w:val="00A40A5E"/>
    <w:rsid w:val="00A4304F"/>
    <w:rsid w:val="00A44230"/>
    <w:rsid w:val="00A45C85"/>
    <w:rsid w:val="00A51E4A"/>
    <w:rsid w:val="00A52D39"/>
    <w:rsid w:val="00A547D4"/>
    <w:rsid w:val="00A555A5"/>
    <w:rsid w:val="00A55A67"/>
    <w:rsid w:val="00A56FA0"/>
    <w:rsid w:val="00A57D5E"/>
    <w:rsid w:val="00A603DB"/>
    <w:rsid w:val="00A620B3"/>
    <w:rsid w:val="00A656D8"/>
    <w:rsid w:val="00A657CB"/>
    <w:rsid w:val="00A67324"/>
    <w:rsid w:val="00A67FB5"/>
    <w:rsid w:val="00A834F4"/>
    <w:rsid w:val="00A83768"/>
    <w:rsid w:val="00A853BB"/>
    <w:rsid w:val="00A85BD3"/>
    <w:rsid w:val="00A91E4B"/>
    <w:rsid w:val="00A9404C"/>
    <w:rsid w:val="00A95A42"/>
    <w:rsid w:val="00A9724B"/>
    <w:rsid w:val="00A97877"/>
    <w:rsid w:val="00AA17DD"/>
    <w:rsid w:val="00AA1A25"/>
    <w:rsid w:val="00AA2463"/>
    <w:rsid w:val="00AA2F66"/>
    <w:rsid w:val="00AA301A"/>
    <w:rsid w:val="00AA35B8"/>
    <w:rsid w:val="00AA36BF"/>
    <w:rsid w:val="00AA4B86"/>
    <w:rsid w:val="00AA5594"/>
    <w:rsid w:val="00AA5715"/>
    <w:rsid w:val="00AA7319"/>
    <w:rsid w:val="00AA7846"/>
    <w:rsid w:val="00AA7976"/>
    <w:rsid w:val="00AA7FD9"/>
    <w:rsid w:val="00AB0009"/>
    <w:rsid w:val="00AB0A86"/>
    <w:rsid w:val="00AB53C4"/>
    <w:rsid w:val="00AB6EE8"/>
    <w:rsid w:val="00AB72E6"/>
    <w:rsid w:val="00AC0B09"/>
    <w:rsid w:val="00AC0B35"/>
    <w:rsid w:val="00AC2BA7"/>
    <w:rsid w:val="00AC61BB"/>
    <w:rsid w:val="00AC7B48"/>
    <w:rsid w:val="00AD25AA"/>
    <w:rsid w:val="00AD29CC"/>
    <w:rsid w:val="00AD531D"/>
    <w:rsid w:val="00AD5771"/>
    <w:rsid w:val="00AD67E3"/>
    <w:rsid w:val="00AD7174"/>
    <w:rsid w:val="00AD76D2"/>
    <w:rsid w:val="00AE1685"/>
    <w:rsid w:val="00AE1D1C"/>
    <w:rsid w:val="00AE222A"/>
    <w:rsid w:val="00AE3A85"/>
    <w:rsid w:val="00AE45D8"/>
    <w:rsid w:val="00AE58DA"/>
    <w:rsid w:val="00AE61BB"/>
    <w:rsid w:val="00AF2BDA"/>
    <w:rsid w:val="00AF44E3"/>
    <w:rsid w:val="00B014CD"/>
    <w:rsid w:val="00B01591"/>
    <w:rsid w:val="00B01F41"/>
    <w:rsid w:val="00B038CA"/>
    <w:rsid w:val="00B03E45"/>
    <w:rsid w:val="00B04B65"/>
    <w:rsid w:val="00B04B84"/>
    <w:rsid w:val="00B04FF5"/>
    <w:rsid w:val="00B05E55"/>
    <w:rsid w:val="00B06B9A"/>
    <w:rsid w:val="00B1116B"/>
    <w:rsid w:val="00B1247D"/>
    <w:rsid w:val="00B12847"/>
    <w:rsid w:val="00B12881"/>
    <w:rsid w:val="00B13511"/>
    <w:rsid w:val="00B17628"/>
    <w:rsid w:val="00B206BD"/>
    <w:rsid w:val="00B208BF"/>
    <w:rsid w:val="00B2173B"/>
    <w:rsid w:val="00B245DB"/>
    <w:rsid w:val="00B27788"/>
    <w:rsid w:val="00B27807"/>
    <w:rsid w:val="00B30036"/>
    <w:rsid w:val="00B30996"/>
    <w:rsid w:val="00B30D18"/>
    <w:rsid w:val="00B327E6"/>
    <w:rsid w:val="00B34BB7"/>
    <w:rsid w:val="00B34CA3"/>
    <w:rsid w:val="00B37A41"/>
    <w:rsid w:val="00B42B0D"/>
    <w:rsid w:val="00B441CA"/>
    <w:rsid w:val="00B460B3"/>
    <w:rsid w:val="00B46278"/>
    <w:rsid w:val="00B46720"/>
    <w:rsid w:val="00B47742"/>
    <w:rsid w:val="00B51325"/>
    <w:rsid w:val="00B52963"/>
    <w:rsid w:val="00B53C34"/>
    <w:rsid w:val="00B54097"/>
    <w:rsid w:val="00B540F7"/>
    <w:rsid w:val="00B54776"/>
    <w:rsid w:val="00B563BD"/>
    <w:rsid w:val="00B563C2"/>
    <w:rsid w:val="00B56487"/>
    <w:rsid w:val="00B569AD"/>
    <w:rsid w:val="00B607F3"/>
    <w:rsid w:val="00B617A2"/>
    <w:rsid w:val="00B644DE"/>
    <w:rsid w:val="00B67CC7"/>
    <w:rsid w:val="00B72258"/>
    <w:rsid w:val="00B763A4"/>
    <w:rsid w:val="00B763E7"/>
    <w:rsid w:val="00B8105B"/>
    <w:rsid w:val="00B903FF"/>
    <w:rsid w:val="00B95826"/>
    <w:rsid w:val="00B95FBE"/>
    <w:rsid w:val="00B96A64"/>
    <w:rsid w:val="00BA0692"/>
    <w:rsid w:val="00BA2A5C"/>
    <w:rsid w:val="00BA3111"/>
    <w:rsid w:val="00BA4016"/>
    <w:rsid w:val="00BA4AC1"/>
    <w:rsid w:val="00BA5A40"/>
    <w:rsid w:val="00BA7A3B"/>
    <w:rsid w:val="00BB157F"/>
    <w:rsid w:val="00BB5CCE"/>
    <w:rsid w:val="00BC18C2"/>
    <w:rsid w:val="00BC3307"/>
    <w:rsid w:val="00BC38A8"/>
    <w:rsid w:val="00BC7BB7"/>
    <w:rsid w:val="00BC7CE5"/>
    <w:rsid w:val="00BD2067"/>
    <w:rsid w:val="00BD4082"/>
    <w:rsid w:val="00BD6EBC"/>
    <w:rsid w:val="00BD70F7"/>
    <w:rsid w:val="00BE0C08"/>
    <w:rsid w:val="00BE1160"/>
    <w:rsid w:val="00BE11EE"/>
    <w:rsid w:val="00BE3E0A"/>
    <w:rsid w:val="00BE6273"/>
    <w:rsid w:val="00BE7B13"/>
    <w:rsid w:val="00BF1472"/>
    <w:rsid w:val="00BF36F5"/>
    <w:rsid w:val="00BF574B"/>
    <w:rsid w:val="00C00336"/>
    <w:rsid w:val="00C009B8"/>
    <w:rsid w:val="00C0515D"/>
    <w:rsid w:val="00C066E3"/>
    <w:rsid w:val="00C0694F"/>
    <w:rsid w:val="00C072F8"/>
    <w:rsid w:val="00C10641"/>
    <w:rsid w:val="00C1419F"/>
    <w:rsid w:val="00C213BB"/>
    <w:rsid w:val="00C21AE1"/>
    <w:rsid w:val="00C21B49"/>
    <w:rsid w:val="00C21BD1"/>
    <w:rsid w:val="00C2317F"/>
    <w:rsid w:val="00C243C9"/>
    <w:rsid w:val="00C24835"/>
    <w:rsid w:val="00C26C30"/>
    <w:rsid w:val="00C3083D"/>
    <w:rsid w:val="00C30B41"/>
    <w:rsid w:val="00C31655"/>
    <w:rsid w:val="00C34663"/>
    <w:rsid w:val="00C34D21"/>
    <w:rsid w:val="00C364DF"/>
    <w:rsid w:val="00C369C9"/>
    <w:rsid w:val="00C36D41"/>
    <w:rsid w:val="00C36E43"/>
    <w:rsid w:val="00C37909"/>
    <w:rsid w:val="00C40CE1"/>
    <w:rsid w:val="00C40D5E"/>
    <w:rsid w:val="00C41EF4"/>
    <w:rsid w:val="00C43B30"/>
    <w:rsid w:val="00C44C3E"/>
    <w:rsid w:val="00C456D3"/>
    <w:rsid w:val="00C4590A"/>
    <w:rsid w:val="00C50181"/>
    <w:rsid w:val="00C506D7"/>
    <w:rsid w:val="00C53EAC"/>
    <w:rsid w:val="00C54595"/>
    <w:rsid w:val="00C5506B"/>
    <w:rsid w:val="00C5654C"/>
    <w:rsid w:val="00C5681E"/>
    <w:rsid w:val="00C56EC0"/>
    <w:rsid w:val="00C570D8"/>
    <w:rsid w:val="00C60A57"/>
    <w:rsid w:val="00C6174E"/>
    <w:rsid w:val="00C62050"/>
    <w:rsid w:val="00C62916"/>
    <w:rsid w:val="00C629DD"/>
    <w:rsid w:val="00C62A0A"/>
    <w:rsid w:val="00C62AE0"/>
    <w:rsid w:val="00C63E63"/>
    <w:rsid w:val="00C64C8B"/>
    <w:rsid w:val="00C655F0"/>
    <w:rsid w:val="00C658E8"/>
    <w:rsid w:val="00C66CEA"/>
    <w:rsid w:val="00C70DD8"/>
    <w:rsid w:val="00C71E1F"/>
    <w:rsid w:val="00C728B9"/>
    <w:rsid w:val="00C74C69"/>
    <w:rsid w:val="00C75AEE"/>
    <w:rsid w:val="00C77C14"/>
    <w:rsid w:val="00C77E45"/>
    <w:rsid w:val="00C77FBD"/>
    <w:rsid w:val="00C8098E"/>
    <w:rsid w:val="00C8275A"/>
    <w:rsid w:val="00C84D18"/>
    <w:rsid w:val="00C92F02"/>
    <w:rsid w:val="00C93370"/>
    <w:rsid w:val="00C93F9F"/>
    <w:rsid w:val="00C964A4"/>
    <w:rsid w:val="00C96E97"/>
    <w:rsid w:val="00C973EA"/>
    <w:rsid w:val="00C97932"/>
    <w:rsid w:val="00C979CE"/>
    <w:rsid w:val="00CA04D0"/>
    <w:rsid w:val="00CA05BB"/>
    <w:rsid w:val="00CA1534"/>
    <w:rsid w:val="00CA1B2B"/>
    <w:rsid w:val="00CA2D31"/>
    <w:rsid w:val="00CA5973"/>
    <w:rsid w:val="00CA722A"/>
    <w:rsid w:val="00CA7A9C"/>
    <w:rsid w:val="00CB1801"/>
    <w:rsid w:val="00CB1A12"/>
    <w:rsid w:val="00CB4657"/>
    <w:rsid w:val="00CB5932"/>
    <w:rsid w:val="00CB6610"/>
    <w:rsid w:val="00CB7F36"/>
    <w:rsid w:val="00CC04CC"/>
    <w:rsid w:val="00CC06D0"/>
    <w:rsid w:val="00CD0CBF"/>
    <w:rsid w:val="00CD188A"/>
    <w:rsid w:val="00CD354D"/>
    <w:rsid w:val="00CD4AD9"/>
    <w:rsid w:val="00CD6509"/>
    <w:rsid w:val="00CE0C59"/>
    <w:rsid w:val="00CE1484"/>
    <w:rsid w:val="00CE20E8"/>
    <w:rsid w:val="00CE33BE"/>
    <w:rsid w:val="00CE3488"/>
    <w:rsid w:val="00CE3C8A"/>
    <w:rsid w:val="00CE6487"/>
    <w:rsid w:val="00CE7434"/>
    <w:rsid w:val="00CF017C"/>
    <w:rsid w:val="00CF03F5"/>
    <w:rsid w:val="00CF20C5"/>
    <w:rsid w:val="00CF2862"/>
    <w:rsid w:val="00CF2A32"/>
    <w:rsid w:val="00CF4D12"/>
    <w:rsid w:val="00CF57E9"/>
    <w:rsid w:val="00CF7C0A"/>
    <w:rsid w:val="00D00443"/>
    <w:rsid w:val="00D01701"/>
    <w:rsid w:val="00D03AAF"/>
    <w:rsid w:val="00D05E1C"/>
    <w:rsid w:val="00D06CC1"/>
    <w:rsid w:val="00D1195D"/>
    <w:rsid w:val="00D1254A"/>
    <w:rsid w:val="00D134D6"/>
    <w:rsid w:val="00D13C2A"/>
    <w:rsid w:val="00D13EA4"/>
    <w:rsid w:val="00D16E71"/>
    <w:rsid w:val="00D1741F"/>
    <w:rsid w:val="00D2032C"/>
    <w:rsid w:val="00D20E34"/>
    <w:rsid w:val="00D2161D"/>
    <w:rsid w:val="00D21E7F"/>
    <w:rsid w:val="00D22355"/>
    <w:rsid w:val="00D22CA2"/>
    <w:rsid w:val="00D2313B"/>
    <w:rsid w:val="00D255F6"/>
    <w:rsid w:val="00D25FE1"/>
    <w:rsid w:val="00D27DF5"/>
    <w:rsid w:val="00D30EEB"/>
    <w:rsid w:val="00D3423E"/>
    <w:rsid w:val="00D35ECF"/>
    <w:rsid w:val="00D40C45"/>
    <w:rsid w:val="00D40F31"/>
    <w:rsid w:val="00D413AA"/>
    <w:rsid w:val="00D43AE0"/>
    <w:rsid w:val="00D447AE"/>
    <w:rsid w:val="00D50312"/>
    <w:rsid w:val="00D541BF"/>
    <w:rsid w:val="00D54DD8"/>
    <w:rsid w:val="00D55901"/>
    <w:rsid w:val="00D602B2"/>
    <w:rsid w:val="00D61B11"/>
    <w:rsid w:val="00D62460"/>
    <w:rsid w:val="00D63EAF"/>
    <w:rsid w:val="00D6570B"/>
    <w:rsid w:val="00D669FC"/>
    <w:rsid w:val="00D675BD"/>
    <w:rsid w:val="00D7691A"/>
    <w:rsid w:val="00D76EE5"/>
    <w:rsid w:val="00D842C6"/>
    <w:rsid w:val="00D85416"/>
    <w:rsid w:val="00D865FD"/>
    <w:rsid w:val="00D86FDF"/>
    <w:rsid w:val="00D87203"/>
    <w:rsid w:val="00D872FE"/>
    <w:rsid w:val="00D913B5"/>
    <w:rsid w:val="00D91FF4"/>
    <w:rsid w:val="00D92449"/>
    <w:rsid w:val="00D94813"/>
    <w:rsid w:val="00D95179"/>
    <w:rsid w:val="00D9589C"/>
    <w:rsid w:val="00DA1286"/>
    <w:rsid w:val="00DA2B1C"/>
    <w:rsid w:val="00DA39B6"/>
    <w:rsid w:val="00DA4B64"/>
    <w:rsid w:val="00DB2A3C"/>
    <w:rsid w:val="00DB41A5"/>
    <w:rsid w:val="00DB4993"/>
    <w:rsid w:val="00DB56D8"/>
    <w:rsid w:val="00DB5D56"/>
    <w:rsid w:val="00DB5E0E"/>
    <w:rsid w:val="00DB6A6E"/>
    <w:rsid w:val="00DC4F48"/>
    <w:rsid w:val="00DC64AA"/>
    <w:rsid w:val="00DC7117"/>
    <w:rsid w:val="00DC7404"/>
    <w:rsid w:val="00DD158F"/>
    <w:rsid w:val="00DD1C9C"/>
    <w:rsid w:val="00DD4BCF"/>
    <w:rsid w:val="00DD4BD3"/>
    <w:rsid w:val="00DD78AD"/>
    <w:rsid w:val="00DE0318"/>
    <w:rsid w:val="00DE236D"/>
    <w:rsid w:val="00DE32B4"/>
    <w:rsid w:val="00DE40B8"/>
    <w:rsid w:val="00DE6B5C"/>
    <w:rsid w:val="00DE6E33"/>
    <w:rsid w:val="00DF0458"/>
    <w:rsid w:val="00DF0A6A"/>
    <w:rsid w:val="00DF11D5"/>
    <w:rsid w:val="00DF1570"/>
    <w:rsid w:val="00DF275E"/>
    <w:rsid w:val="00DF42C1"/>
    <w:rsid w:val="00E029B5"/>
    <w:rsid w:val="00E04514"/>
    <w:rsid w:val="00E06D67"/>
    <w:rsid w:val="00E0783B"/>
    <w:rsid w:val="00E10165"/>
    <w:rsid w:val="00E10639"/>
    <w:rsid w:val="00E146BA"/>
    <w:rsid w:val="00E14918"/>
    <w:rsid w:val="00E24450"/>
    <w:rsid w:val="00E274C8"/>
    <w:rsid w:val="00E30850"/>
    <w:rsid w:val="00E30B3B"/>
    <w:rsid w:val="00E32537"/>
    <w:rsid w:val="00E34148"/>
    <w:rsid w:val="00E37198"/>
    <w:rsid w:val="00E3758A"/>
    <w:rsid w:val="00E37674"/>
    <w:rsid w:val="00E42712"/>
    <w:rsid w:val="00E5155C"/>
    <w:rsid w:val="00E51FFC"/>
    <w:rsid w:val="00E54F3E"/>
    <w:rsid w:val="00E55796"/>
    <w:rsid w:val="00E5582D"/>
    <w:rsid w:val="00E55E2C"/>
    <w:rsid w:val="00E57C1E"/>
    <w:rsid w:val="00E62347"/>
    <w:rsid w:val="00E62512"/>
    <w:rsid w:val="00E635DA"/>
    <w:rsid w:val="00E636FD"/>
    <w:rsid w:val="00E64018"/>
    <w:rsid w:val="00E652A6"/>
    <w:rsid w:val="00E6591F"/>
    <w:rsid w:val="00E65E18"/>
    <w:rsid w:val="00E67501"/>
    <w:rsid w:val="00E71271"/>
    <w:rsid w:val="00E718BA"/>
    <w:rsid w:val="00E722AC"/>
    <w:rsid w:val="00E73EFA"/>
    <w:rsid w:val="00E74329"/>
    <w:rsid w:val="00E7510B"/>
    <w:rsid w:val="00E7541D"/>
    <w:rsid w:val="00E7594B"/>
    <w:rsid w:val="00E766AF"/>
    <w:rsid w:val="00E76A83"/>
    <w:rsid w:val="00E773EE"/>
    <w:rsid w:val="00E77B8A"/>
    <w:rsid w:val="00E807A9"/>
    <w:rsid w:val="00E815A5"/>
    <w:rsid w:val="00E8573D"/>
    <w:rsid w:val="00E8630C"/>
    <w:rsid w:val="00E86A31"/>
    <w:rsid w:val="00E938A9"/>
    <w:rsid w:val="00E95450"/>
    <w:rsid w:val="00E9661E"/>
    <w:rsid w:val="00E96A71"/>
    <w:rsid w:val="00E96B99"/>
    <w:rsid w:val="00E977B3"/>
    <w:rsid w:val="00EA055E"/>
    <w:rsid w:val="00EA1939"/>
    <w:rsid w:val="00EA4CF9"/>
    <w:rsid w:val="00EA6683"/>
    <w:rsid w:val="00EA671B"/>
    <w:rsid w:val="00EA7209"/>
    <w:rsid w:val="00EA7509"/>
    <w:rsid w:val="00EB1101"/>
    <w:rsid w:val="00EB178F"/>
    <w:rsid w:val="00EB4630"/>
    <w:rsid w:val="00EB5515"/>
    <w:rsid w:val="00EB5A58"/>
    <w:rsid w:val="00EB62B2"/>
    <w:rsid w:val="00EB6501"/>
    <w:rsid w:val="00EB7B27"/>
    <w:rsid w:val="00EC0239"/>
    <w:rsid w:val="00EC35D1"/>
    <w:rsid w:val="00EC5800"/>
    <w:rsid w:val="00EC6668"/>
    <w:rsid w:val="00EC7549"/>
    <w:rsid w:val="00EC7D72"/>
    <w:rsid w:val="00ED149B"/>
    <w:rsid w:val="00ED28B5"/>
    <w:rsid w:val="00ED28DD"/>
    <w:rsid w:val="00ED2D1D"/>
    <w:rsid w:val="00EE1A58"/>
    <w:rsid w:val="00EE24C7"/>
    <w:rsid w:val="00EE39EE"/>
    <w:rsid w:val="00EE39F7"/>
    <w:rsid w:val="00EE3E05"/>
    <w:rsid w:val="00EF1CF1"/>
    <w:rsid w:val="00EF218C"/>
    <w:rsid w:val="00EF2C80"/>
    <w:rsid w:val="00EF3692"/>
    <w:rsid w:val="00EF4867"/>
    <w:rsid w:val="00EF5C96"/>
    <w:rsid w:val="00F00794"/>
    <w:rsid w:val="00F03510"/>
    <w:rsid w:val="00F03937"/>
    <w:rsid w:val="00F0498C"/>
    <w:rsid w:val="00F05490"/>
    <w:rsid w:val="00F064C8"/>
    <w:rsid w:val="00F1323D"/>
    <w:rsid w:val="00F1334E"/>
    <w:rsid w:val="00F14EE7"/>
    <w:rsid w:val="00F15649"/>
    <w:rsid w:val="00F15C80"/>
    <w:rsid w:val="00F15EEA"/>
    <w:rsid w:val="00F16884"/>
    <w:rsid w:val="00F171B4"/>
    <w:rsid w:val="00F17F55"/>
    <w:rsid w:val="00F17F8F"/>
    <w:rsid w:val="00F21D99"/>
    <w:rsid w:val="00F22600"/>
    <w:rsid w:val="00F23D3B"/>
    <w:rsid w:val="00F244AC"/>
    <w:rsid w:val="00F255DB"/>
    <w:rsid w:val="00F27C54"/>
    <w:rsid w:val="00F3220C"/>
    <w:rsid w:val="00F3438A"/>
    <w:rsid w:val="00F34E98"/>
    <w:rsid w:val="00F34FAD"/>
    <w:rsid w:val="00F3569D"/>
    <w:rsid w:val="00F367FD"/>
    <w:rsid w:val="00F40302"/>
    <w:rsid w:val="00F40866"/>
    <w:rsid w:val="00F41015"/>
    <w:rsid w:val="00F45792"/>
    <w:rsid w:val="00F47C67"/>
    <w:rsid w:val="00F512CB"/>
    <w:rsid w:val="00F52443"/>
    <w:rsid w:val="00F527F7"/>
    <w:rsid w:val="00F54519"/>
    <w:rsid w:val="00F545A6"/>
    <w:rsid w:val="00F5686E"/>
    <w:rsid w:val="00F56E07"/>
    <w:rsid w:val="00F57325"/>
    <w:rsid w:val="00F57EAA"/>
    <w:rsid w:val="00F629D5"/>
    <w:rsid w:val="00F6588B"/>
    <w:rsid w:val="00F65C39"/>
    <w:rsid w:val="00F66198"/>
    <w:rsid w:val="00F709FC"/>
    <w:rsid w:val="00F71888"/>
    <w:rsid w:val="00F73B74"/>
    <w:rsid w:val="00F73FB8"/>
    <w:rsid w:val="00F74B85"/>
    <w:rsid w:val="00F76C3F"/>
    <w:rsid w:val="00F80448"/>
    <w:rsid w:val="00F84C32"/>
    <w:rsid w:val="00F87BEE"/>
    <w:rsid w:val="00F9022D"/>
    <w:rsid w:val="00F911A0"/>
    <w:rsid w:val="00F9162E"/>
    <w:rsid w:val="00F9280D"/>
    <w:rsid w:val="00F94CD8"/>
    <w:rsid w:val="00F968BD"/>
    <w:rsid w:val="00FA0FAD"/>
    <w:rsid w:val="00FA173C"/>
    <w:rsid w:val="00FA210F"/>
    <w:rsid w:val="00FA260C"/>
    <w:rsid w:val="00FA54F0"/>
    <w:rsid w:val="00FA5806"/>
    <w:rsid w:val="00FA6CB7"/>
    <w:rsid w:val="00FA747D"/>
    <w:rsid w:val="00FA76C7"/>
    <w:rsid w:val="00FB03B5"/>
    <w:rsid w:val="00FB0DAA"/>
    <w:rsid w:val="00FB0EBC"/>
    <w:rsid w:val="00FB24B7"/>
    <w:rsid w:val="00FB33B4"/>
    <w:rsid w:val="00FB3939"/>
    <w:rsid w:val="00FB3F08"/>
    <w:rsid w:val="00FB58B2"/>
    <w:rsid w:val="00FB65DB"/>
    <w:rsid w:val="00FB675E"/>
    <w:rsid w:val="00FB721B"/>
    <w:rsid w:val="00FC089D"/>
    <w:rsid w:val="00FC1556"/>
    <w:rsid w:val="00FC2963"/>
    <w:rsid w:val="00FC3760"/>
    <w:rsid w:val="00FC73AA"/>
    <w:rsid w:val="00FC76F9"/>
    <w:rsid w:val="00FC7D6C"/>
    <w:rsid w:val="00FD0258"/>
    <w:rsid w:val="00FD3FCF"/>
    <w:rsid w:val="00FD4940"/>
    <w:rsid w:val="00FD4CC8"/>
    <w:rsid w:val="00FD52A0"/>
    <w:rsid w:val="00FE0115"/>
    <w:rsid w:val="00FE10DD"/>
    <w:rsid w:val="00FE6C69"/>
    <w:rsid w:val="00FE7932"/>
    <w:rsid w:val="00FF0291"/>
    <w:rsid w:val="00FF3313"/>
    <w:rsid w:val="00FF6E7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211064-C889-4538-AB25-847B23FD4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3BD"/>
    <w:rPr>
      <w:sz w:val="24"/>
      <w:szCs w:val="24"/>
      <w:lang w:val="en-GB" w:eastAsia="en-GB"/>
    </w:rPr>
  </w:style>
  <w:style w:type="paragraph" w:styleId="Titre1">
    <w:name w:val="heading 1"/>
    <w:basedOn w:val="Normal"/>
    <w:link w:val="Titre1Car"/>
    <w:uiPriority w:val="99"/>
    <w:qFormat/>
    <w:rsid w:val="00B563BD"/>
    <w:pPr>
      <w:spacing w:before="100" w:beforeAutospacing="1" w:after="100" w:afterAutospacing="1"/>
      <w:outlineLvl w:val="0"/>
    </w:pPr>
    <w:rPr>
      <w:b/>
      <w:bCs/>
      <w:kern w:val="36"/>
      <w:sz w:val="48"/>
      <w:szCs w:val="48"/>
    </w:rPr>
  </w:style>
  <w:style w:type="paragraph" w:styleId="Titre2">
    <w:name w:val="heading 2"/>
    <w:basedOn w:val="Normal"/>
    <w:link w:val="Titre2Car"/>
    <w:uiPriority w:val="99"/>
    <w:qFormat/>
    <w:rsid w:val="00B563BD"/>
    <w:pPr>
      <w:spacing w:before="100" w:beforeAutospacing="1" w:after="100" w:afterAutospacing="1"/>
      <w:outlineLvl w:val="1"/>
    </w:pPr>
    <w:rPr>
      <w:b/>
      <w:bCs/>
      <w:sz w:val="36"/>
      <w:szCs w:val="36"/>
    </w:rPr>
  </w:style>
  <w:style w:type="paragraph" w:styleId="Titre3">
    <w:name w:val="heading 3"/>
    <w:basedOn w:val="Normal"/>
    <w:link w:val="Titre3Car"/>
    <w:uiPriority w:val="99"/>
    <w:qFormat/>
    <w:rsid w:val="00B563BD"/>
    <w:pPr>
      <w:spacing w:before="100" w:beforeAutospacing="1" w:after="100" w:afterAutospacing="1"/>
      <w:outlineLvl w:val="2"/>
    </w:pPr>
    <w:rPr>
      <w:b/>
      <w:bCs/>
      <w:sz w:val="27"/>
      <w:szCs w:val="27"/>
    </w:rPr>
  </w:style>
  <w:style w:type="paragraph" w:styleId="Titre4">
    <w:name w:val="heading 4"/>
    <w:basedOn w:val="Normal"/>
    <w:next w:val="Normal"/>
    <w:link w:val="Titre4Car"/>
    <w:uiPriority w:val="99"/>
    <w:unhideWhenUsed/>
    <w:qFormat/>
    <w:rsid w:val="005E4335"/>
    <w:pPr>
      <w:keepNext/>
      <w:keepLines/>
      <w:spacing w:before="200"/>
      <w:outlineLvl w:val="3"/>
    </w:pPr>
    <w:rPr>
      <w:rFonts w:ascii="Cambria" w:hAnsi="Cambria"/>
      <w:b/>
      <w:bCs/>
      <w:i/>
      <w:iCs/>
      <w:color w:val="4F81BD"/>
      <w:lang w:val="en-US" w:eastAsia="en-US"/>
    </w:rPr>
  </w:style>
  <w:style w:type="paragraph" w:styleId="Titre8">
    <w:name w:val="heading 8"/>
    <w:basedOn w:val="Normal"/>
    <w:next w:val="Normal"/>
    <w:link w:val="Titre8Car"/>
    <w:uiPriority w:val="99"/>
    <w:unhideWhenUsed/>
    <w:qFormat/>
    <w:rsid w:val="005E4335"/>
    <w:pPr>
      <w:keepNext/>
      <w:keepLines/>
      <w:spacing w:before="200"/>
      <w:outlineLvl w:val="7"/>
    </w:pPr>
    <w:rPr>
      <w:rFonts w:ascii="Cambria" w:hAnsi="Cambria"/>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B563BD"/>
    <w:rPr>
      <w:color w:val="0000FF"/>
      <w:u w:val="single"/>
    </w:rPr>
  </w:style>
  <w:style w:type="character" w:styleId="Lienhypertextesuivivisit">
    <w:name w:val="FollowedHyperlink"/>
    <w:rsid w:val="00B563BD"/>
    <w:rPr>
      <w:color w:val="0000FF"/>
      <w:u w:val="single"/>
    </w:rPr>
  </w:style>
  <w:style w:type="paragraph" w:styleId="NormalWeb">
    <w:name w:val="Normal (Web)"/>
    <w:basedOn w:val="Normal"/>
    <w:uiPriority w:val="99"/>
    <w:rsid w:val="00B563BD"/>
    <w:pPr>
      <w:spacing w:before="100" w:beforeAutospacing="1" w:after="100" w:afterAutospacing="1"/>
    </w:pPr>
  </w:style>
  <w:style w:type="paragraph" w:styleId="En-tte">
    <w:name w:val="header"/>
    <w:basedOn w:val="Normal"/>
    <w:link w:val="En-tteCar"/>
    <w:rsid w:val="00E64018"/>
    <w:pPr>
      <w:tabs>
        <w:tab w:val="center" w:pos="4320"/>
        <w:tab w:val="right" w:pos="8640"/>
      </w:tabs>
    </w:pPr>
  </w:style>
  <w:style w:type="paragraph" w:styleId="Pieddepage">
    <w:name w:val="footer"/>
    <w:basedOn w:val="Normal"/>
    <w:link w:val="PieddepageCar"/>
    <w:uiPriority w:val="99"/>
    <w:rsid w:val="00E64018"/>
    <w:pPr>
      <w:tabs>
        <w:tab w:val="center" w:pos="4320"/>
        <w:tab w:val="right" w:pos="8640"/>
      </w:tabs>
    </w:pPr>
  </w:style>
  <w:style w:type="paragraph" w:styleId="Notedefin">
    <w:name w:val="endnote text"/>
    <w:basedOn w:val="Normal"/>
    <w:link w:val="NotedefinCar"/>
    <w:rsid w:val="00FC76F9"/>
    <w:rPr>
      <w:sz w:val="20"/>
      <w:szCs w:val="20"/>
    </w:rPr>
  </w:style>
  <w:style w:type="character" w:customStyle="1" w:styleId="NotedefinCar">
    <w:name w:val="Note de fin Car"/>
    <w:link w:val="Notedefin"/>
    <w:rsid w:val="00FC76F9"/>
    <w:rPr>
      <w:lang w:val="en-GB" w:eastAsia="en-GB"/>
    </w:rPr>
  </w:style>
  <w:style w:type="character" w:styleId="Appeldenotedefin">
    <w:name w:val="endnote reference"/>
    <w:rsid w:val="00FC76F9"/>
    <w:rPr>
      <w:vertAlign w:val="superscript"/>
    </w:rPr>
  </w:style>
  <w:style w:type="paragraph" w:customStyle="1" w:styleId="ColorfulList-Accent11">
    <w:name w:val="Colorful List - Accent 11"/>
    <w:basedOn w:val="Normal"/>
    <w:uiPriority w:val="34"/>
    <w:qFormat/>
    <w:rsid w:val="004872EE"/>
    <w:pPr>
      <w:spacing w:after="200" w:line="276" w:lineRule="auto"/>
      <w:ind w:left="720"/>
      <w:contextualSpacing/>
    </w:pPr>
    <w:rPr>
      <w:rFonts w:ascii="Calibri" w:eastAsia="Calibri" w:hAnsi="Calibri" w:cs="Arial"/>
      <w:sz w:val="22"/>
      <w:szCs w:val="22"/>
      <w:lang w:eastAsia="en-US"/>
    </w:rPr>
  </w:style>
  <w:style w:type="paragraph" w:styleId="Notedebasdepage">
    <w:name w:val="footnote text"/>
    <w:aliases w:val="ALTS FOOTNOTE,fn,single space,FOOTNOTES,Fodnotetekst Tegn,Footnote Text1,footnote text Char,Fodnotetekst Tegn Char,single space Char,footnote text Char Char Char,Fodnotetekst Tegn Char1,single space Char1,footnote text Char Char1,ADB"/>
    <w:basedOn w:val="Normal"/>
    <w:link w:val="NotedebasdepageCar"/>
    <w:uiPriority w:val="99"/>
    <w:unhideWhenUsed/>
    <w:qFormat/>
    <w:rsid w:val="000B11CB"/>
    <w:rPr>
      <w:rFonts w:ascii="Calibri" w:eastAsia="SimSun" w:hAnsi="Calibri"/>
      <w:sz w:val="20"/>
      <w:szCs w:val="20"/>
    </w:rPr>
  </w:style>
  <w:style w:type="character" w:customStyle="1" w:styleId="NotedebasdepageCar">
    <w:name w:val="Note de bas de page Car"/>
    <w:aliases w:val="ALTS FOOTNOTE Car,fn Car,single space Car,FOOTNOTES Car,Fodnotetekst Tegn Car,Footnote Text1 Car,footnote text Char Car,Fodnotetekst Tegn Char Car,single space Char Car,footnote text Char Char Char Car,Fodnotetekst Tegn Char1 Car"/>
    <w:link w:val="Notedebasdepage"/>
    <w:uiPriority w:val="99"/>
    <w:rsid w:val="000B11CB"/>
    <w:rPr>
      <w:rFonts w:ascii="Calibri" w:eastAsia="SimSun" w:hAnsi="Calibri" w:cs="Arial"/>
    </w:rPr>
  </w:style>
  <w:style w:type="character" w:styleId="Appelnotedebasdep">
    <w:name w:val="footnote reference"/>
    <w:aliases w:val="Car Car Char Car Char Car Car Char Car Char Char,Car Car Car Car Car Car Car Car Char Car Car Char Car Car Car Char Car Char Char Char,ftref,BVI fnr, Car Car Char Car Char Car Car Char Car Char Char,16 Point,Superscript 6 Point"/>
    <w:unhideWhenUsed/>
    <w:rsid w:val="000B11CB"/>
    <w:rPr>
      <w:vertAlign w:val="superscript"/>
    </w:rPr>
  </w:style>
  <w:style w:type="paragraph" w:styleId="Lgende">
    <w:name w:val="caption"/>
    <w:basedOn w:val="Normal"/>
    <w:next w:val="Normal"/>
    <w:qFormat/>
    <w:rsid w:val="00180E88"/>
    <w:rPr>
      <w:b/>
      <w:bCs/>
      <w:sz w:val="20"/>
      <w:szCs w:val="20"/>
    </w:rPr>
  </w:style>
  <w:style w:type="character" w:customStyle="1" w:styleId="En-tteCar">
    <w:name w:val="En-tête Car"/>
    <w:link w:val="En-tte"/>
    <w:rsid w:val="00EB6501"/>
    <w:rPr>
      <w:sz w:val="24"/>
      <w:szCs w:val="24"/>
    </w:rPr>
  </w:style>
  <w:style w:type="character" w:customStyle="1" w:styleId="PieddepageCar">
    <w:name w:val="Pied de page Car"/>
    <w:link w:val="Pieddepage"/>
    <w:uiPriority w:val="99"/>
    <w:rsid w:val="00EB6501"/>
    <w:rPr>
      <w:sz w:val="24"/>
      <w:szCs w:val="24"/>
    </w:rPr>
  </w:style>
  <w:style w:type="paragraph" w:styleId="Textedebulles">
    <w:name w:val="Balloon Text"/>
    <w:basedOn w:val="Normal"/>
    <w:link w:val="TextedebullesCar"/>
    <w:uiPriority w:val="99"/>
    <w:rsid w:val="00DC64AA"/>
    <w:rPr>
      <w:rFonts w:ascii="Tahoma" w:hAnsi="Tahoma"/>
      <w:sz w:val="16"/>
      <w:szCs w:val="16"/>
    </w:rPr>
  </w:style>
  <w:style w:type="character" w:customStyle="1" w:styleId="TextedebullesCar">
    <w:name w:val="Texte de bulles Car"/>
    <w:link w:val="Textedebulles"/>
    <w:uiPriority w:val="99"/>
    <w:rsid w:val="00DC64AA"/>
    <w:rPr>
      <w:rFonts w:ascii="Tahoma" w:hAnsi="Tahoma" w:cs="Tahoma"/>
      <w:sz w:val="16"/>
      <w:szCs w:val="16"/>
    </w:rPr>
  </w:style>
  <w:style w:type="character" w:styleId="Marquedecommentaire">
    <w:name w:val="annotation reference"/>
    <w:uiPriority w:val="99"/>
    <w:rsid w:val="006E3958"/>
    <w:rPr>
      <w:sz w:val="16"/>
      <w:szCs w:val="16"/>
    </w:rPr>
  </w:style>
  <w:style w:type="paragraph" w:styleId="Commentaire">
    <w:name w:val="annotation text"/>
    <w:basedOn w:val="Normal"/>
    <w:link w:val="CommentaireCar"/>
    <w:uiPriority w:val="99"/>
    <w:rsid w:val="006E3958"/>
    <w:rPr>
      <w:sz w:val="20"/>
      <w:szCs w:val="20"/>
    </w:rPr>
  </w:style>
  <w:style w:type="character" w:customStyle="1" w:styleId="CommentaireCar">
    <w:name w:val="Commentaire Car"/>
    <w:basedOn w:val="Policepardfaut"/>
    <w:link w:val="Commentaire"/>
    <w:uiPriority w:val="99"/>
    <w:rsid w:val="006E3958"/>
  </w:style>
  <w:style w:type="paragraph" w:styleId="Objetducommentaire">
    <w:name w:val="annotation subject"/>
    <w:basedOn w:val="Commentaire"/>
    <w:next w:val="Commentaire"/>
    <w:link w:val="ObjetducommentaireCar"/>
    <w:uiPriority w:val="99"/>
    <w:rsid w:val="006E3958"/>
    <w:rPr>
      <w:b/>
      <w:bCs/>
    </w:rPr>
  </w:style>
  <w:style w:type="character" w:customStyle="1" w:styleId="ObjetducommentaireCar">
    <w:name w:val="Objet du commentaire Car"/>
    <w:link w:val="Objetducommentaire"/>
    <w:uiPriority w:val="99"/>
    <w:rsid w:val="006E3958"/>
    <w:rPr>
      <w:b/>
      <w:bCs/>
    </w:rPr>
  </w:style>
  <w:style w:type="paragraph" w:styleId="Paragraphedeliste">
    <w:name w:val="List Paragraph"/>
    <w:aliases w:val="References"/>
    <w:basedOn w:val="Normal"/>
    <w:link w:val="ParagraphedelisteCar"/>
    <w:uiPriority w:val="34"/>
    <w:qFormat/>
    <w:rsid w:val="00943C98"/>
    <w:pPr>
      <w:spacing w:after="200" w:line="276" w:lineRule="auto"/>
      <w:ind w:left="720"/>
      <w:contextualSpacing/>
    </w:pPr>
    <w:rPr>
      <w:rFonts w:ascii="Calibri" w:eastAsia="Calibri" w:hAnsi="Calibri"/>
      <w:sz w:val="22"/>
      <w:szCs w:val="22"/>
      <w:lang w:eastAsia="en-US"/>
    </w:rPr>
  </w:style>
  <w:style w:type="paragraph" w:styleId="Corpsdetexte2">
    <w:name w:val="Body Text 2"/>
    <w:basedOn w:val="Normal"/>
    <w:link w:val="Corpsdetexte2Car"/>
    <w:uiPriority w:val="99"/>
    <w:rsid w:val="00943C98"/>
    <w:rPr>
      <w:szCs w:val="20"/>
      <w:lang w:val="sv-SE" w:eastAsia="en-US"/>
    </w:rPr>
  </w:style>
  <w:style w:type="character" w:customStyle="1" w:styleId="Corpsdetexte2Car">
    <w:name w:val="Corps de texte 2 Car"/>
    <w:link w:val="Corpsdetexte2"/>
    <w:uiPriority w:val="99"/>
    <w:rsid w:val="00943C98"/>
    <w:rPr>
      <w:sz w:val="24"/>
      <w:lang w:val="sv-SE" w:eastAsia="en-US"/>
    </w:rPr>
  </w:style>
  <w:style w:type="table" w:customStyle="1" w:styleId="TableGrid1">
    <w:name w:val="Table Grid1"/>
    <w:basedOn w:val="TableauNormal"/>
    <w:next w:val="Grilledutableau"/>
    <w:uiPriority w:val="99"/>
    <w:rsid w:val="00B12847"/>
    <w:rPr>
      <w:rFonts w:ascii="Calibri" w:eastAsia="Calibri" w:hAnsi="Calibri"/>
      <w:sz w:val="22"/>
      <w:szCs w:val="22"/>
      <w:lang w:val="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Grilledutableau">
    <w:name w:val="Table Grid"/>
    <w:basedOn w:val="TableauNormal"/>
    <w:uiPriority w:val="59"/>
    <w:rsid w:val="00B128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phedelisteCar">
    <w:name w:val="Paragraphe de liste Car"/>
    <w:aliases w:val="References Car"/>
    <w:link w:val="Paragraphedeliste"/>
    <w:uiPriority w:val="34"/>
    <w:rsid w:val="00E57C1E"/>
    <w:rPr>
      <w:rFonts w:ascii="Calibri" w:eastAsia="Calibri" w:hAnsi="Calibri" w:cs="Arial"/>
      <w:sz w:val="22"/>
      <w:szCs w:val="22"/>
      <w:lang w:eastAsia="en-US"/>
    </w:rPr>
  </w:style>
  <w:style w:type="paragraph" w:customStyle="1" w:styleId="Style1">
    <w:name w:val="Style1"/>
    <w:basedOn w:val="Paragraphedeliste"/>
    <w:link w:val="Style1Char"/>
    <w:qFormat/>
    <w:rsid w:val="008C0446"/>
    <w:pPr>
      <w:numPr>
        <w:numId w:val="1"/>
      </w:numPr>
      <w:spacing w:after="120"/>
      <w:jc w:val="both"/>
    </w:pPr>
    <w:rPr>
      <w:rFonts w:eastAsia="SimSun"/>
      <w:b/>
      <w:i/>
      <w:sz w:val="28"/>
    </w:rPr>
  </w:style>
  <w:style w:type="character" w:customStyle="1" w:styleId="Style1Char">
    <w:name w:val="Style1 Char"/>
    <w:link w:val="Style1"/>
    <w:rsid w:val="008C0446"/>
    <w:rPr>
      <w:rFonts w:ascii="Calibri" w:eastAsia="SimSun" w:hAnsi="Calibri"/>
      <w:b/>
      <w:i/>
      <w:sz w:val="28"/>
      <w:szCs w:val="22"/>
      <w:lang w:val="en-GB"/>
    </w:rPr>
  </w:style>
  <w:style w:type="paragraph" w:styleId="Textebrut">
    <w:name w:val="Plain Text"/>
    <w:basedOn w:val="Normal"/>
    <w:link w:val="TextebrutCar"/>
    <w:uiPriority w:val="99"/>
    <w:unhideWhenUsed/>
    <w:rsid w:val="00095390"/>
    <w:rPr>
      <w:rFonts w:ascii="Calibri" w:eastAsia="Calibri" w:hAnsi="Calibri"/>
      <w:sz w:val="22"/>
      <w:szCs w:val="21"/>
      <w:lang w:eastAsia="en-US"/>
    </w:rPr>
  </w:style>
  <w:style w:type="character" w:customStyle="1" w:styleId="TextebrutCar">
    <w:name w:val="Texte brut Car"/>
    <w:link w:val="Textebrut"/>
    <w:uiPriority w:val="99"/>
    <w:rsid w:val="00095390"/>
    <w:rPr>
      <w:rFonts w:ascii="Calibri" w:eastAsia="Calibri" w:hAnsi="Calibri"/>
      <w:sz w:val="22"/>
      <w:szCs w:val="21"/>
      <w:lang w:eastAsia="en-US"/>
    </w:rPr>
  </w:style>
  <w:style w:type="character" w:customStyle="1" w:styleId="Titre3Car">
    <w:name w:val="Titre 3 Car"/>
    <w:link w:val="Titre3"/>
    <w:uiPriority w:val="99"/>
    <w:rsid w:val="007C4C6D"/>
    <w:rPr>
      <w:b/>
      <w:bCs/>
      <w:sz w:val="27"/>
      <w:szCs w:val="27"/>
    </w:rPr>
  </w:style>
  <w:style w:type="character" w:customStyle="1" w:styleId="Titre8Car">
    <w:name w:val="Titre 8 Car"/>
    <w:link w:val="Titre8"/>
    <w:uiPriority w:val="99"/>
    <w:rsid w:val="005E4335"/>
    <w:rPr>
      <w:rFonts w:ascii="Cambria" w:eastAsia="Times New Roman" w:hAnsi="Cambria" w:cs="Times New Roman"/>
      <w:color w:val="404040"/>
    </w:rPr>
  </w:style>
  <w:style w:type="character" w:customStyle="1" w:styleId="Titre4Car">
    <w:name w:val="Titre 4 Car"/>
    <w:link w:val="Titre4"/>
    <w:uiPriority w:val="99"/>
    <w:rsid w:val="005E4335"/>
    <w:rPr>
      <w:rFonts w:ascii="Cambria" w:eastAsia="Times New Roman" w:hAnsi="Cambria" w:cs="Times New Roman"/>
      <w:b/>
      <w:bCs/>
      <w:i/>
      <w:iCs/>
      <w:color w:val="4F81BD"/>
      <w:sz w:val="24"/>
      <w:szCs w:val="24"/>
      <w:lang w:val="en-US" w:eastAsia="en-US"/>
    </w:rPr>
  </w:style>
  <w:style w:type="character" w:styleId="Textedelespacerserv">
    <w:name w:val="Placeholder Text"/>
    <w:uiPriority w:val="99"/>
    <w:semiHidden/>
    <w:rsid w:val="005E4335"/>
    <w:rPr>
      <w:color w:val="808080"/>
    </w:rPr>
  </w:style>
  <w:style w:type="character" w:customStyle="1" w:styleId="Titre2Car">
    <w:name w:val="Titre 2 Car"/>
    <w:link w:val="Titre2"/>
    <w:uiPriority w:val="99"/>
    <w:rsid w:val="005E4335"/>
    <w:rPr>
      <w:b/>
      <w:bCs/>
      <w:sz w:val="36"/>
      <w:szCs w:val="36"/>
    </w:rPr>
  </w:style>
  <w:style w:type="character" w:customStyle="1" w:styleId="Titre1Car">
    <w:name w:val="Titre 1 Car"/>
    <w:link w:val="Titre1"/>
    <w:uiPriority w:val="99"/>
    <w:rsid w:val="005E4335"/>
    <w:rPr>
      <w:b/>
      <w:bCs/>
      <w:kern w:val="36"/>
      <w:sz w:val="48"/>
      <w:szCs w:val="48"/>
    </w:rPr>
  </w:style>
  <w:style w:type="paragraph" w:customStyle="1" w:styleId="Default">
    <w:name w:val="Default"/>
    <w:uiPriority w:val="99"/>
    <w:rsid w:val="005E4335"/>
    <w:pPr>
      <w:autoSpaceDE w:val="0"/>
      <w:autoSpaceDN w:val="0"/>
      <w:adjustRightInd w:val="0"/>
    </w:pPr>
    <w:rPr>
      <w:rFonts w:ascii="Seravek" w:eastAsia="Calibri" w:hAnsi="Seravek" w:cs="Seravek"/>
      <w:color w:val="000000"/>
      <w:sz w:val="24"/>
      <w:szCs w:val="24"/>
    </w:rPr>
  </w:style>
  <w:style w:type="paragraph" w:customStyle="1" w:styleId="Pa2">
    <w:name w:val="Pa2"/>
    <w:basedOn w:val="Default"/>
    <w:next w:val="Default"/>
    <w:uiPriority w:val="99"/>
    <w:rsid w:val="005E4335"/>
    <w:pPr>
      <w:spacing w:line="241" w:lineRule="atLeast"/>
    </w:pPr>
    <w:rPr>
      <w:rFonts w:cs="Times New Roman"/>
      <w:color w:val="auto"/>
    </w:rPr>
  </w:style>
  <w:style w:type="character" w:customStyle="1" w:styleId="A3">
    <w:name w:val="A3"/>
    <w:uiPriority w:val="99"/>
    <w:rsid w:val="005E4335"/>
    <w:rPr>
      <w:rFonts w:cs="Seravek"/>
      <w:color w:val="000000"/>
      <w:sz w:val="15"/>
      <w:szCs w:val="15"/>
    </w:rPr>
  </w:style>
  <w:style w:type="paragraph" w:styleId="Rvision">
    <w:name w:val="Revision"/>
    <w:hidden/>
    <w:uiPriority w:val="99"/>
    <w:semiHidden/>
    <w:rsid w:val="005E4335"/>
    <w:rPr>
      <w:rFonts w:ascii="Arial" w:eastAsia="Calibri" w:hAnsi="Arial"/>
      <w:sz w:val="24"/>
      <w:szCs w:val="24"/>
    </w:rPr>
  </w:style>
  <w:style w:type="paragraph" w:styleId="En-ttedetabledesmatires">
    <w:name w:val="TOC Heading"/>
    <w:basedOn w:val="Titre1"/>
    <w:next w:val="Normal"/>
    <w:uiPriority w:val="39"/>
    <w:unhideWhenUsed/>
    <w:qFormat/>
    <w:rsid w:val="005E4335"/>
    <w:pPr>
      <w:keepNext/>
      <w:keepLines/>
      <w:spacing w:before="480" w:beforeAutospacing="0" w:after="0" w:afterAutospacing="0" w:line="276" w:lineRule="auto"/>
      <w:outlineLvl w:val="9"/>
    </w:pPr>
    <w:rPr>
      <w:rFonts w:ascii="Cambria" w:hAnsi="Cambria"/>
      <w:color w:val="365F91"/>
      <w:kern w:val="0"/>
      <w:sz w:val="28"/>
      <w:szCs w:val="28"/>
      <w:lang w:val="en-US" w:eastAsia="en-US"/>
    </w:rPr>
  </w:style>
  <w:style w:type="paragraph" w:styleId="TM1">
    <w:name w:val="toc 1"/>
    <w:basedOn w:val="Normal"/>
    <w:next w:val="Normal"/>
    <w:autoRedefine/>
    <w:uiPriority w:val="39"/>
    <w:rsid w:val="00657F40"/>
    <w:pPr>
      <w:tabs>
        <w:tab w:val="left" w:pos="440"/>
        <w:tab w:val="right" w:leader="dot" w:pos="9260"/>
      </w:tabs>
      <w:spacing w:after="100"/>
    </w:pPr>
    <w:rPr>
      <w:rFonts w:asciiTheme="minorHAnsi" w:hAnsiTheme="minorHAnsi"/>
      <w:b/>
      <w:noProof/>
    </w:rPr>
  </w:style>
  <w:style w:type="paragraph" w:styleId="TM2">
    <w:name w:val="toc 2"/>
    <w:basedOn w:val="Normal"/>
    <w:next w:val="Normal"/>
    <w:autoRedefine/>
    <w:uiPriority w:val="39"/>
    <w:unhideWhenUsed/>
    <w:rsid w:val="005E4335"/>
    <w:pPr>
      <w:spacing w:after="100"/>
      <w:ind w:left="240"/>
    </w:pPr>
    <w:rPr>
      <w:rFonts w:ascii="Arial" w:eastAsia="Calibri" w:hAnsi="Arial"/>
      <w:lang w:val="en-US" w:eastAsia="en-US"/>
    </w:rPr>
  </w:style>
  <w:style w:type="paragraph" w:customStyle="1" w:styleId="Style2">
    <w:name w:val="Style2"/>
    <w:basedOn w:val="Normal"/>
    <w:link w:val="Style2Char"/>
    <w:qFormat/>
    <w:rsid w:val="00B51325"/>
    <w:pPr>
      <w:keepNext/>
      <w:keepLines/>
      <w:numPr>
        <w:numId w:val="3"/>
      </w:numPr>
      <w:spacing w:before="480"/>
      <w:outlineLvl w:val="0"/>
    </w:pPr>
    <w:rPr>
      <w:rFonts w:ascii="Cambria" w:hAnsi="Cambria"/>
      <w:b/>
      <w:color w:val="365F91"/>
      <w:sz w:val="28"/>
    </w:rPr>
  </w:style>
  <w:style w:type="paragraph" w:customStyle="1" w:styleId="Style3">
    <w:name w:val="Style3"/>
    <w:basedOn w:val="Normal"/>
    <w:link w:val="Style3Char"/>
    <w:qFormat/>
    <w:rsid w:val="00B51325"/>
    <w:pPr>
      <w:keepNext/>
      <w:keepLines/>
      <w:numPr>
        <w:ilvl w:val="1"/>
        <w:numId w:val="3"/>
      </w:numPr>
      <w:spacing w:before="200"/>
      <w:outlineLvl w:val="1"/>
    </w:pPr>
    <w:rPr>
      <w:rFonts w:ascii="Cambria" w:hAnsi="Cambria"/>
      <w:b/>
      <w:color w:val="4F81BD"/>
      <w:sz w:val="26"/>
    </w:rPr>
  </w:style>
  <w:style w:type="character" w:customStyle="1" w:styleId="Style2Char">
    <w:name w:val="Style2 Char"/>
    <w:link w:val="Style2"/>
    <w:rsid w:val="00B51325"/>
    <w:rPr>
      <w:rFonts w:ascii="Cambria" w:hAnsi="Cambria"/>
      <w:b/>
      <w:color w:val="365F91"/>
      <w:sz w:val="28"/>
      <w:szCs w:val="24"/>
      <w:lang w:val="en-GB" w:eastAsia="en-GB"/>
    </w:rPr>
  </w:style>
  <w:style w:type="character" w:customStyle="1" w:styleId="Style3Char">
    <w:name w:val="Style3 Char"/>
    <w:link w:val="Style3"/>
    <w:rsid w:val="00B51325"/>
    <w:rPr>
      <w:rFonts w:ascii="Cambria" w:hAnsi="Cambria"/>
      <w:b/>
      <w:color w:val="4F81BD"/>
      <w:sz w:val="26"/>
      <w:szCs w:val="24"/>
      <w:lang w:val="en-GB" w:eastAsia="en-GB"/>
    </w:rPr>
  </w:style>
  <w:style w:type="paragraph" w:customStyle="1" w:styleId="Pa14">
    <w:name w:val="Pa14"/>
    <w:basedOn w:val="Default"/>
    <w:next w:val="Default"/>
    <w:uiPriority w:val="99"/>
    <w:rsid w:val="00BD2067"/>
    <w:pPr>
      <w:spacing w:line="211" w:lineRule="atLeast"/>
    </w:pPr>
    <w:rPr>
      <w:rFonts w:ascii="Greta Text Pro Light" w:eastAsia="Times New Roman" w:hAnsi="Greta Text Pro Light" w:cs="Times New Roman"/>
      <w:color w:val="auto"/>
      <w:lang w:eastAsia="en-GB"/>
    </w:rPr>
  </w:style>
  <w:style w:type="character" w:customStyle="1" w:styleId="A14">
    <w:name w:val="A14"/>
    <w:uiPriority w:val="99"/>
    <w:rsid w:val="00BD2067"/>
    <w:rPr>
      <w:rFonts w:cs="Greta Text Pro Light"/>
      <w:color w:val="000000"/>
      <w:sz w:val="21"/>
      <w:szCs w:val="21"/>
      <w:u w:val="single"/>
    </w:rPr>
  </w:style>
  <w:style w:type="paragraph" w:customStyle="1" w:styleId="Pa17">
    <w:name w:val="Pa17"/>
    <w:basedOn w:val="Default"/>
    <w:next w:val="Default"/>
    <w:uiPriority w:val="99"/>
    <w:rsid w:val="00BD2067"/>
    <w:pPr>
      <w:spacing w:line="231" w:lineRule="atLeast"/>
    </w:pPr>
    <w:rPr>
      <w:rFonts w:ascii="Greta Text Pro Light" w:eastAsia="Times New Roman" w:hAnsi="Greta Text Pro Light" w:cs="Times New Roman"/>
      <w:color w:val="auto"/>
      <w:lang w:eastAsia="en-GB"/>
    </w:rPr>
  </w:style>
  <w:style w:type="paragraph" w:customStyle="1" w:styleId="Pa7">
    <w:name w:val="Pa7"/>
    <w:basedOn w:val="Default"/>
    <w:next w:val="Default"/>
    <w:uiPriority w:val="99"/>
    <w:rsid w:val="00BD2067"/>
    <w:pPr>
      <w:spacing w:line="181" w:lineRule="atLeast"/>
    </w:pPr>
    <w:rPr>
      <w:rFonts w:ascii="Greta Text Pro Light" w:eastAsia="Times New Roman" w:hAnsi="Greta Text Pro Light" w:cs="Times New Roman"/>
      <w:color w:val="auto"/>
      <w:lang w:eastAsia="en-GB"/>
    </w:rPr>
  </w:style>
  <w:style w:type="character" w:customStyle="1" w:styleId="A8">
    <w:name w:val="A8"/>
    <w:uiPriority w:val="99"/>
    <w:rsid w:val="00BD2067"/>
    <w:rPr>
      <w:rFonts w:ascii="Seravek" w:hAnsi="Seravek" w:cs="Seravek"/>
      <w:color w:val="000000"/>
      <w:sz w:val="18"/>
      <w:szCs w:val="18"/>
      <w:u w:val="single"/>
    </w:rPr>
  </w:style>
  <w:style w:type="paragraph" w:customStyle="1" w:styleId="ModelNrmlSingle">
    <w:name w:val="ModelNrmlSingle"/>
    <w:basedOn w:val="Normal"/>
    <w:link w:val="ModelNrmlSingleChar"/>
    <w:rsid w:val="00474F31"/>
    <w:pPr>
      <w:spacing w:after="240"/>
      <w:ind w:firstLine="720"/>
      <w:jc w:val="both"/>
    </w:pPr>
    <w:rPr>
      <w:sz w:val="22"/>
      <w:szCs w:val="20"/>
      <w:lang w:val="en-US" w:eastAsia="en-US"/>
    </w:rPr>
  </w:style>
  <w:style w:type="character" w:customStyle="1" w:styleId="ModelNrmlSingleChar">
    <w:name w:val="ModelNrmlSingle Char"/>
    <w:link w:val="ModelNrmlSingle"/>
    <w:locked/>
    <w:rsid w:val="00474F31"/>
    <w:rPr>
      <w:sz w:val="22"/>
      <w:lang w:val="en-US" w:eastAsia="en-US"/>
    </w:rPr>
  </w:style>
  <w:style w:type="character" w:styleId="Emphaseintense">
    <w:name w:val="Intense Emphasis"/>
    <w:basedOn w:val="Policepardfaut"/>
    <w:uiPriority w:val="21"/>
    <w:qFormat/>
    <w:rsid w:val="00D01701"/>
    <w:rPr>
      <w:b/>
      <w:bCs/>
      <w:i/>
      <w:iCs/>
      <w:color w:val="4F81BD"/>
    </w:rPr>
  </w:style>
  <w:style w:type="paragraph" w:styleId="Sansinterligne">
    <w:name w:val="No Spacing"/>
    <w:uiPriority w:val="1"/>
    <w:qFormat/>
    <w:rsid w:val="00D675BD"/>
    <w:rPr>
      <w:rFonts w:ascii="Calibri" w:eastAsia="Calibri" w:hAnsi="Calibri"/>
      <w:sz w:val="22"/>
      <w:szCs w:val="22"/>
    </w:rPr>
  </w:style>
  <w:style w:type="paragraph" w:customStyle="1" w:styleId="xmsonormal">
    <w:name w:val="x_msonormal"/>
    <w:basedOn w:val="Normal"/>
    <w:rsid w:val="00F34FAD"/>
    <w:pPr>
      <w:spacing w:before="100" w:beforeAutospacing="1" w:after="100" w:afterAutospacing="1"/>
    </w:pPr>
    <w:rPr>
      <w:lang w:val="fr-FR" w:eastAsia="fr-FR"/>
    </w:rPr>
  </w:style>
  <w:style w:type="paragraph" w:customStyle="1" w:styleId="Pa10">
    <w:name w:val="Pa10"/>
    <w:basedOn w:val="Default"/>
    <w:next w:val="Default"/>
    <w:uiPriority w:val="99"/>
    <w:rsid w:val="00892714"/>
    <w:pPr>
      <w:spacing w:line="221" w:lineRule="atLeast"/>
    </w:pPr>
    <w:rPr>
      <w:rFonts w:ascii="DIN" w:eastAsia="Times New Roman" w:hAnsi="DIN" w:cs="Times New Roman"/>
      <w:color w:val="auto"/>
    </w:rPr>
  </w:style>
  <w:style w:type="paragraph" w:styleId="Sous-titre">
    <w:name w:val="Subtitle"/>
    <w:basedOn w:val="Normal"/>
    <w:next w:val="Normal"/>
    <w:link w:val="Sous-titreCar"/>
    <w:qFormat/>
    <w:rsid w:val="00E7510B"/>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rsid w:val="00E7510B"/>
    <w:rPr>
      <w:rFonts w:asciiTheme="majorHAnsi" w:eastAsiaTheme="majorEastAsia" w:hAnsiTheme="majorHAnsi" w:cstheme="majorBidi"/>
      <w:i/>
      <w:iCs/>
      <w:color w:val="4F81BD" w:themeColor="accent1"/>
      <w:spacing w:val="15"/>
      <w:sz w:val="24"/>
      <w:szCs w:val="24"/>
      <w:lang w:val="en-GB" w:eastAsia="en-GB"/>
    </w:rPr>
  </w:style>
  <w:style w:type="paragraph" w:customStyle="1" w:styleId="EmptyLayoutCell">
    <w:name w:val="EmptyLayoutCell"/>
    <w:basedOn w:val="Normal"/>
    <w:rsid w:val="007770A7"/>
    <w:rPr>
      <w:sz w:val="2"/>
      <w:szCs w:val="20"/>
      <w:lang w:val="en-US" w:eastAsia="en-US"/>
    </w:rPr>
  </w:style>
  <w:style w:type="character" w:styleId="Accentuation">
    <w:name w:val="Emphasis"/>
    <w:basedOn w:val="Policepardfaut"/>
    <w:uiPriority w:val="20"/>
    <w:qFormat/>
    <w:rsid w:val="00F40866"/>
    <w:rPr>
      <w:b/>
      <w:bCs/>
      <w:i w:val="0"/>
      <w:iCs w:val="0"/>
    </w:rPr>
  </w:style>
  <w:style w:type="character" w:customStyle="1" w:styleId="st1">
    <w:name w:val="st1"/>
    <w:basedOn w:val="Policepardfaut"/>
    <w:rsid w:val="00F40866"/>
  </w:style>
  <w:style w:type="character" w:customStyle="1" w:styleId="Listecouleur-Accent1Car">
    <w:name w:val="Liste couleur - Accent 1 Car"/>
    <w:link w:val="Listecouleur-Accent1"/>
    <w:uiPriority w:val="34"/>
    <w:rsid w:val="00405FD3"/>
    <w:rPr>
      <w:rFonts w:ascii="Calibri" w:eastAsia="Calibri" w:hAnsi="Calibri" w:cs="Arial"/>
      <w:sz w:val="22"/>
      <w:szCs w:val="22"/>
      <w:lang w:eastAsia="en-US"/>
    </w:rPr>
  </w:style>
  <w:style w:type="table" w:styleId="Listecouleur-Accent1">
    <w:name w:val="Colorful List Accent 1"/>
    <w:basedOn w:val="TableauNormal"/>
    <w:link w:val="Listecouleur-Accent1Car"/>
    <w:uiPriority w:val="34"/>
    <w:rsid w:val="00405FD3"/>
    <w:rPr>
      <w:rFonts w:ascii="Calibri" w:eastAsia="Calibri" w:hAnsi="Calibri" w:cs="Arial"/>
      <w:sz w:val="22"/>
      <w:szCs w:val="22"/>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Listecouleur-Accent11">
    <w:name w:val="Liste couleur - Accent 11"/>
    <w:basedOn w:val="Normal"/>
    <w:uiPriority w:val="34"/>
    <w:qFormat/>
    <w:rsid w:val="00405FD3"/>
    <w:pPr>
      <w:spacing w:after="200" w:line="276" w:lineRule="auto"/>
      <w:ind w:left="720"/>
      <w:contextualSpacing/>
    </w:pPr>
    <w:rPr>
      <w:rFonts w:ascii="Calibri" w:eastAsia="Calibri" w:hAnsi="Calibri"/>
      <w:sz w:val="22"/>
      <w:szCs w:val="22"/>
      <w:lang w:val="x-none" w:eastAsia="en-US"/>
    </w:rPr>
  </w:style>
  <w:style w:type="paragraph" w:customStyle="1" w:styleId="Corpsdetexte22">
    <w:name w:val="Corps de texte 22"/>
    <w:basedOn w:val="Normal"/>
    <w:rsid w:val="0028112C"/>
    <w:pPr>
      <w:widowControl w:val="0"/>
      <w:jc w:val="both"/>
    </w:pPr>
    <w:rPr>
      <w:rFonts w:ascii="Arial" w:hAnsi="Arial" w:cs="Arial"/>
      <w:lang w:val="fr-FR" w:eastAsia="fr-FR"/>
    </w:rPr>
  </w:style>
  <w:style w:type="paragraph" w:customStyle="1" w:styleId="Corpsdetexte21">
    <w:name w:val="Corps de texte 21"/>
    <w:basedOn w:val="Normal"/>
    <w:rsid w:val="003F374B"/>
    <w:pPr>
      <w:widowControl w:val="0"/>
      <w:jc w:val="both"/>
    </w:pPr>
    <w:rPr>
      <w:rFonts w:ascii="Arial" w:hAnsi="Arial" w:cs="Arial"/>
      <w:lang w:val="fr-FR" w:eastAsia="fr-FR"/>
    </w:rPr>
  </w:style>
  <w:style w:type="paragraph" w:customStyle="1" w:styleId="Corpsdetexte23">
    <w:name w:val="Corps de texte 23"/>
    <w:basedOn w:val="Normal"/>
    <w:rsid w:val="00AA2F66"/>
    <w:pPr>
      <w:widowControl w:val="0"/>
      <w:jc w:val="both"/>
    </w:pPr>
    <w:rPr>
      <w:rFonts w:ascii="Arial" w:hAnsi="Arial" w:cs="Arial"/>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156154">
      <w:marLeft w:val="120"/>
      <w:marRight w:val="120"/>
      <w:marTop w:val="120"/>
      <w:marBottom w:val="120"/>
      <w:divBdr>
        <w:top w:val="none" w:sz="0" w:space="0" w:color="auto"/>
        <w:left w:val="none" w:sz="0" w:space="0" w:color="auto"/>
        <w:bottom w:val="none" w:sz="0" w:space="0" w:color="auto"/>
        <w:right w:val="none" w:sz="0" w:space="0" w:color="auto"/>
      </w:divBdr>
    </w:div>
    <w:div w:id="766731641">
      <w:bodyDiv w:val="1"/>
      <w:marLeft w:val="0"/>
      <w:marRight w:val="0"/>
      <w:marTop w:val="0"/>
      <w:marBottom w:val="0"/>
      <w:divBdr>
        <w:top w:val="none" w:sz="0" w:space="0" w:color="auto"/>
        <w:left w:val="none" w:sz="0" w:space="0" w:color="auto"/>
        <w:bottom w:val="none" w:sz="0" w:space="0" w:color="auto"/>
        <w:right w:val="none" w:sz="0" w:space="0" w:color="auto"/>
      </w:divBdr>
    </w:div>
    <w:div w:id="852232586">
      <w:bodyDiv w:val="1"/>
      <w:marLeft w:val="0"/>
      <w:marRight w:val="0"/>
      <w:marTop w:val="0"/>
      <w:marBottom w:val="0"/>
      <w:divBdr>
        <w:top w:val="none" w:sz="0" w:space="0" w:color="auto"/>
        <w:left w:val="none" w:sz="0" w:space="0" w:color="auto"/>
        <w:bottom w:val="none" w:sz="0" w:space="0" w:color="auto"/>
        <w:right w:val="none" w:sz="0" w:space="0" w:color="auto"/>
      </w:divBdr>
    </w:div>
    <w:div w:id="1177379076">
      <w:bodyDiv w:val="1"/>
      <w:marLeft w:val="0"/>
      <w:marRight w:val="0"/>
      <w:marTop w:val="0"/>
      <w:marBottom w:val="0"/>
      <w:divBdr>
        <w:top w:val="none" w:sz="0" w:space="0" w:color="auto"/>
        <w:left w:val="none" w:sz="0" w:space="0" w:color="auto"/>
        <w:bottom w:val="none" w:sz="0" w:space="0" w:color="auto"/>
        <w:right w:val="none" w:sz="0" w:space="0" w:color="auto"/>
      </w:divBdr>
    </w:div>
    <w:div w:id="138183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cef.org/supply/index_66260.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ho.int/immunization/programmes_systems/policies_strategies/vaccine_intro_resources/nvi_guidelines/e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Analyse%20cout%20et%20financement%20PPAC%202011-2015\cMYP_Costing_Tool_Vs%202%205_Fr%20PEV%20BFA%203_9_2013.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Feuil1!$B$11</c:f>
              <c:strCache>
                <c:ptCount val="1"/>
                <c:pt idx="0">
                  <c:v>PVS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Feuil1!$A$12:$A$28</c:f>
              <c:numCache>
                <c:formatCode>General</c:formatCode>
                <c:ptCount val="17"/>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numCache>
            </c:numRef>
          </c:cat>
          <c:val>
            <c:numRef>
              <c:f>Feuil1!$B$12:$B$28</c:f>
              <c:numCache>
                <c:formatCode>General</c:formatCode>
                <c:ptCount val="17"/>
                <c:pt idx="0">
                  <c:v>2</c:v>
                </c:pt>
                <c:pt idx="1">
                  <c:v>4</c:v>
                </c:pt>
                <c:pt idx="2">
                  <c:v>0</c:v>
                </c:pt>
                <c:pt idx="3">
                  <c:v>0</c:v>
                </c:pt>
                <c:pt idx="4">
                  <c:v>0</c:v>
                </c:pt>
                <c:pt idx="5">
                  <c:v>1</c:v>
                </c:pt>
                <c:pt idx="6">
                  <c:v>11</c:v>
                </c:pt>
                <c:pt idx="7">
                  <c:v>9</c:v>
                </c:pt>
                <c:pt idx="8">
                  <c:v>0</c:v>
                </c:pt>
                <c:pt idx="9">
                  <c:v>0</c:v>
                </c:pt>
                <c:pt idx="10">
                  <c:v>0</c:v>
                </c:pt>
                <c:pt idx="11">
                  <c:v>6</c:v>
                </c:pt>
                <c:pt idx="12">
                  <c:v>15</c:v>
                </c:pt>
                <c:pt idx="13">
                  <c:v>0</c:v>
                </c:pt>
                <c:pt idx="14">
                  <c:v>0</c:v>
                </c:pt>
                <c:pt idx="15">
                  <c:v>0</c:v>
                </c:pt>
                <c:pt idx="16">
                  <c:v>0</c:v>
                </c:pt>
              </c:numCache>
            </c:numRef>
          </c:val>
          <c:smooth val="0"/>
        </c:ser>
        <c:dLbls>
          <c:showLegendKey val="0"/>
          <c:showVal val="0"/>
          <c:showCatName val="0"/>
          <c:showSerName val="0"/>
          <c:showPercent val="0"/>
          <c:showBubbleSize val="0"/>
        </c:dLbls>
        <c:marker val="1"/>
        <c:smooth val="0"/>
        <c:axId val="495782448"/>
        <c:axId val="495791696"/>
      </c:lineChart>
      <c:catAx>
        <c:axId val="495782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t>Années</a:t>
                </a:r>
              </a:p>
            </c:rich>
          </c:tx>
          <c:layout>
            <c:manualLayout>
              <c:xMode val="edge"/>
              <c:yMode val="edge"/>
              <c:x val="0.49721259842519677"/>
              <c:y val="0.915717410323709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495791696"/>
        <c:crosses val="autoZero"/>
        <c:auto val="1"/>
        <c:lblAlgn val="ctr"/>
        <c:lblOffset val="100"/>
        <c:noMultiLvlLbl val="0"/>
      </c:catAx>
      <c:valAx>
        <c:axId val="4957916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t>Nombre de cas de PVS</a:t>
                </a:r>
              </a:p>
            </c:rich>
          </c:tx>
          <c:layout>
            <c:manualLayout>
              <c:xMode val="edge"/>
              <c:yMode val="edge"/>
              <c:x val="8.3333333333333384E-3"/>
              <c:y val="0.2539967920676583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95782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Arial"/>
                <a:ea typeface="Arial"/>
                <a:cs typeface="Arial"/>
              </a:defRPr>
            </a:pPr>
            <a:r>
              <a:rPr lang="fr-FR"/>
              <a:t>Projection du Financement Assuré**</a:t>
            </a:r>
          </a:p>
        </c:rich>
      </c:tx>
      <c:layout>
        <c:manualLayout>
          <c:xMode val="edge"/>
          <c:yMode val="edge"/>
          <c:x val="9.823182711198454E-3"/>
          <c:y val="9.2081031307550652E-3"/>
        </c:manualLayout>
      </c:layout>
      <c:overlay val="0"/>
      <c:spPr>
        <a:noFill/>
        <a:ln w="25400">
          <a:noFill/>
        </a:ln>
      </c:spPr>
    </c:title>
    <c:autoTitleDeleted val="0"/>
    <c:plotArea>
      <c:layout>
        <c:manualLayout>
          <c:layoutTarget val="inner"/>
          <c:xMode val="edge"/>
          <c:yMode val="edge"/>
          <c:x val="0.16895874263261296"/>
          <c:y val="0.13328642315281031"/>
          <c:w val="0.77996070726915623"/>
          <c:h val="0.59045828965347125"/>
        </c:manualLayout>
      </c:layout>
      <c:areaChart>
        <c:grouping val="stacked"/>
        <c:varyColors val="0"/>
        <c:ser>
          <c:idx val="0"/>
          <c:order val="0"/>
          <c:tx>
            <c:strRef>
              <c:f>'2. Calculs'!$C$5644</c:f>
              <c:strCache>
                <c:ptCount val="1"/>
                <c:pt idx="0">
                  <c:v>Gouvernement national</c:v>
                </c:pt>
              </c:strCache>
            </c:strRef>
          </c:tx>
          <c:spPr>
            <a:solidFill>
              <a:srgbClr val="9999FF"/>
            </a:solidFill>
            <a:ln w="12700">
              <a:solidFill>
                <a:srgbClr val="000000"/>
              </a:solidFill>
              <a:prstDash val="solid"/>
            </a:ln>
          </c:spPr>
          <c:cat>
            <c:numRef>
              <c:f>'2. Calculs'!$D$5642:$H$5642</c:f>
              <c:numCache>
                <c:formatCode>General</c:formatCode>
                <c:ptCount val="5"/>
                <c:pt idx="0">
                  <c:v>2011</c:v>
                </c:pt>
                <c:pt idx="1">
                  <c:v>2012</c:v>
                </c:pt>
                <c:pt idx="2">
                  <c:v>2013</c:v>
                </c:pt>
                <c:pt idx="3">
                  <c:v>2014</c:v>
                </c:pt>
                <c:pt idx="4">
                  <c:v>2015</c:v>
                </c:pt>
              </c:numCache>
            </c:numRef>
          </c:cat>
          <c:val>
            <c:numRef>
              <c:f>'2. Calculs'!$D$5644:$H$5644</c:f>
              <c:numCache>
                <c:formatCode>"$"#,##0;\-"$"#,##0</c:formatCode>
                <c:ptCount val="5"/>
                <c:pt idx="0">
                  <c:v>8659827.6699556503</c:v>
                </c:pt>
                <c:pt idx="1">
                  <c:v>8966066.4654735029</c:v>
                </c:pt>
                <c:pt idx="2">
                  <c:v>9536088.4866809454</c:v>
                </c:pt>
                <c:pt idx="3">
                  <c:v>11973994.858360823</c:v>
                </c:pt>
                <c:pt idx="4">
                  <c:v>10784704.238146177</c:v>
                </c:pt>
              </c:numCache>
            </c:numRef>
          </c:val>
        </c:ser>
        <c:ser>
          <c:idx val="1"/>
          <c:order val="1"/>
          <c:tx>
            <c:strRef>
              <c:f>'2. Calculs'!$C$5645</c:f>
              <c:strCache>
                <c:ptCount val="1"/>
                <c:pt idx="0">
                  <c:v>Gouvernement local</c:v>
                </c:pt>
              </c:strCache>
            </c:strRef>
          </c:tx>
          <c:spPr>
            <a:solidFill>
              <a:srgbClr val="CCCCFF"/>
            </a:solidFill>
            <a:ln w="12700">
              <a:solidFill>
                <a:srgbClr val="000000"/>
              </a:solidFill>
              <a:prstDash val="solid"/>
            </a:ln>
          </c:spPr>
          <c:cat>
            <c:numRef>
              <c:f>'2. Calculs'!$D$5642:$H$5642</c:f>
              <c:numCache>
                <c:formatCode>General</c:formatCode>
                <c:ptCount val="5"/>
                <c:pt idx="0">
                  <c:v>2011</c:v>
                </c:pt>
                <c:pt idx="1">
                  <c:v>2012</c:v>
                </c:pt>
                <c:pt idx="2">
                  <c:v>2013</c:v>
                </c:pt>
                <c:pt idx="3">
                  <c:v>2014</c:v>
                </c:pt>
                <c:pt idx="4">
                  <c:v>2015</c:v>
                </c:pt>
              </c:numCache>
            </c:numRef>
          </c:cat>
          <c:val>
            <c:numRef>
              <c:f>'2. Calculs'!$D$5645:$H$5645</c:f>
              <c:numCache>
                <c:formatCode>"$"#,##0;\-"$"#,##0</c:formatCode>
                <c:ptCount val="5"/>
                <c:pt idx="0">
                  <c:v>0</c:v>
                </c:pt>
                <c:pt idx="1">
                  <c:v>0</c:v>
                </c:pt>
                <c:pt idx="2">
                  <c:v>0</c:v>
                </c:pt>
                <c:pt idx="3">
                  <c:v>0</c:v>
                </c:pt>
                <c:pt idx="4">
                  <c:v>0</c:v>
                </c:pt>
              </c:numCache>
            </c:numRef>
          </c:val>
        </c:ser>
        <c:ser>
          <c:idx val="2"/>
          <c:order val="2"/>
          <c:tx>
            <c:strRef>
              <c:f>'2. Calculs'!$C$5646</c:f>
              <c:strCache>
                <c:ptCount val="1"/>
                <c:pt idx="0">
                  <c:v>GAVI</c:v>
                </c:pt>
              </c:strCache>
            </c:strRef>
          </c:tx>
          <c:spPr>
            <a:solidFill>
              <a:srgbClr val="993366"/>
            </a:solidFill>
            <a:ln w="12700">
              <a:solidFill>
                <a:srgbClr val="000000"/>
              </a:solidFill>
              <a:prstDash val="solid"/>
            </a:ln>
          </c:spPr>
          <c:cat>
            <c:numRef>
              <c:f>'2. Calculs'!$D$5642:$H$5642</c:f>
              <c:numCache>
                <c:formatCode>General</c:formatCode>
                <c:ptCount val="5"/>
                <c:pt idx="0">
                  <c:v>2011</c:v>
                </c:pt>
                <c:pt idx="1">
                  <c:v>2012</c:v>
                </c:pt>
                <c:pt idx="2">
                  <c:v>2013</c:v>
                </c:pt>
                <c:pt idx="3">
                  <c:v>2014</c:v>
                </c:pt>
                <c:pt idx="4">
                  <c:v>2015</c:v>
                </c:pt>
              </c:numCache>
            </c:numRef>
          </c:cat>
          <c:val>
            <c:numRef>
              <c:f>'2. Calculs'!$D$5646:$H$5646</c:f>
              <c:numCache>
                <c:formatCode>"$"#,##0;\-"$"#,##0</c:formatCode>
                <c:ptCount val="5"/>
                <c:pt idx="0">
                  <c:v>6269145.2898031073</c:v>
                </c:pt>
                <c:pt idx="1">
                  <c:v>6463489.8830960821</c:v>
                </c:pt>
                <c:pt idx="2">
                  <c:v>14102983.952655843</c:v>
                </c:pt>
                <c:pt idx="3">
                  <c:v>32137810.928123586</c:v>
                </c:pt>
                <c:pt idx="4">
                  <c:v>22345824.479310986</c:v>
                </c:pt>
              </c:numCache>
            </c:numRef>
          </c:val>
        </c:ser>
        <c:ser>
          <c:idx val="3"/>
          <c:order val="3"/>
          <c:tx>
            <c:strRef>
              <c:f>'2. Calculs'!$C$5647</c:f>
              <c:strCache>
                <c:ptCount val="1"/>
                <c:pt idx="0">
                  <c:v>UNICEF</c:v>
                </c:pt>
              </c:strCache>
            </c:strRef>
          </c:tx>
          <c:spPr>
            <a:solidFill>
              <a:srgbClr val="FFFF99"/>
            </a:solidFill>
            <a:ln w="12700">
              <a:solidFill>
                <a:srgbClr val="000000"/>
              </a:solidFill>
              <a:prstDash val="solid"/>
            </a:ln>
          </c:spPr>
          <c:cat>
            <c:numRef>
              <c:f>'2. Calculs'!$D$5642:$H$5642</c:f>
              <c:numCache>
                <c:formatCode>General</c:formatCode>
                <c:ptCount val="5"/>
                <c:pt idx="0">
                  <c:v>2011</c:v>
                </c:pt>
                <c:pt idx="1">
                  <c:v>2012</c:v>
                </c:pt>
                <c:pt idx="2">
                  <c:v>2013</c:v>
                </c:pt>
                <c:pt idx="3">
                  <c:v>2014</c:v>
                </c:pt>
                <c:pt idx="4">
                  <c:v>2015</c:v>
                </c:pt>
              </c:numCache>
            </c:numRef>
          </c:cat>
          <c:val>
            <c:numRef>
              <c:f>'2. Calculs'!$D$5647:$H$5647</c:f>
              <c:numCache>
                <c:formatCode>"$"#,##0;\-"$"#,##0</c:formatCode>
                <c:ptCount val="5"/>
                <c:pt idx="0">
                  <c:v>4377718.0756125385</c:v>
                </c:pt>
                <c:pt idx="1">
                  <c:v>2766872.1888196827</c:v>
                </c:pt>
                <c:pt idx="2">
                  <c:v>1949572.1700267727</c:v>
                </c:pt>
                <c:pt idx="3">
                  <c:v>2010906.8103401847</c:v>
                </c:pt>
                <c:pt idx="4">
                  <c:v>90452</c:v>
                </c:pt>
              </c:numCache>
            </c:numRef>
          </c:val>
        </c:ser>
        <c:ser>
          <c:idx val="4"/>
          <c:order val="4"/>
          <c:tx>
            <c:strRef>
              <c:f>'2. Calculs'!$C$5648</c:f>
              <c:strCache>
                <c:ptCount val="1"/>
                <c:pt idx="0">
                  <c:v>PADS</c:v>
                </c:pt>
              </c:strCache>
            </c:strRef>
          </c:tx>
          <c:spPr>
            <a:solidFill>
              <a:srgbClr val="339966"/>
            </a:solidFill>
            <a:ln w="12700">
              <a:solidFill>
                <a:srgbClr val="000000"/>
              </a:solidFill>
              <a:prstDash val="solid"/>
            </a:ln>
          </c:spPr>
          <c:cat>
            <c:numRef>
              <c:f>'2. Calculs'!$D$5642:$H$5642</c:f>
              <c:numCache>
                <c:formatCode>General</c:formatCode>
                <c:ptCount val="5"/>
                <c:pt idx="0">
                  <c:v>2011</c:v>
                </c:pt>
                <c:pt idx="1">
                  <c:v>2012</c:v>
                </c:pt>
                <c:pt idx="2">
                  <c:v>2013</c:v>
                </c:pt>
                <c:pt idx="3">
                  <c:v>2014</c:v>
                </c:pt>
                <c:pt idx="4">
                  <c:v>2015</c:v>
                </c:pt>
              </c:numCache>
            </c:numRef>
          </c:cat>
          <c:val>
            <c:numRef>
              <c:f>'2. Calculs'!$D$5648:$H$5648</c:f>
              <c:numCache>
                <c:formatCode>"$"#,##0;\-"$"#,##0</c:formatCode>
                <c:ptCount val="5"/>
                <c:pt idx="0">
                  <c:v>959030.52292422345</c:v>
                </c:pt>
                <c:pt idx="1">
                  <c:v>1185768.1648645068</c:v>
                </c:pt>
                <c:pt idx="2">
                  <c:v>720809.56217346038</c:v>
                </c:pt>
                <c:pt idx="3">
                  <c:v>0</c:v>
                </c:pt>
                <c:pt idx="4">
                  <c:v>0</c:v>
                </c:pt>
              </c:numCache>
            </c:numRef>
          </c:val>
        </c:ser>
        <c:ser>
          <c:idx val="5"/>
          <c:order val="5"/>
          <c:tx>
            <c:strRef>
              <c:f>'2. Calculs'!$C$5649</c:f>
              <c:strCache>
                <c:ptCount val="1"/>
                <c:pt idx="0">
                  <c:v>OMS</c:v>
                </c:pt>
              </c:strCache>
            </c:strRef>
          </c:tx>
          <c:spPr>
            <a:solidFill>
              <a:srgbClr val="FFCC99"/>
            </a:solidFill>
            <a:ln w="12700">
              <a:solidFill>
                <a:srgbClr val="000000"/>
              </a:solidFill>
              <a:prstDash val="solid"/>
            </a:ln>
          </c:spPr>
          <c:cat>
            <c:numRef>
              <c:f>'2. Calculs'!$D$5642:$H$5642</c:f>
              <c:numCache>
                <c:formatCode>General</c:formatCode>
                <c:ptCount val="5"/>
                <c:pt idx="0">
                  <c:v>2011</c:v>
                </c:pt>
                <c:pt idx="1">
                  <c:v>2012</c:v>
                </c:pt>
                <c:pt idx="2">
                  <c:v>2013</c:v>
                </c:pt>
                <c:pt idx="3">
                  <c:v>2014</c:v>
                </c:pt>
                <c:pt idx="4">
                  <c:v>2015</c:v>
                </c:pt>
              </c:numCache>
            </c:numRef>
          </c:cat>
          <c:val>
            <c:numRef>
              <c:f>'2. Calculs'!$D$5649:$H$5649</c:f>
              <c:numCache>
                <c:formatCode>"$"#,##0;\-"$"#,##0</c:formatCode>
                <c:ptCount val="5"/>
                <c:pt idx="0">
                  <c:v>1895065.18296782</c:v>
                </c:pt>
                <c:pt idx="1">
                  <c:v>1481552.3176132888</c:v>
                </c:pt>
                <c:pt idx="2">
                  <c:v>1252104.8657089276</c:v>
                </c:pt>
                <c:pt idx="3">
                  <c:v>1184608.8755890743</c:v>
                </c:pt>
                <c:pt idx="4">
                  <c:v>0</c:v>
                </c:pt>
              </c:numCache>
            </c:numRef>
          </c:val>
        </c:ser>
        <c:ser>
          <c:idx val="6"/>
          <c:order val="6"/>
          <c:tx>
            <c:strRef>
              <c:f>'2. Calculs'!$C$5650</c:f>
              <c:strCache>
                <c:ptCount val="1"/>
                <c:pt idx="0">
                  <c:v>PLAN BURKINA</c:v>
                </c:pt>
              </c:strCache>
            </c:strRef>
          </c:tx>
          <c:spPr>
            <a:solidFill>
              <a:srgbClr val="CCFFFF"/>
            </a:solidFill>
            <a:ln w="12700">
              <a:solidFill>
                <a:srgbClr val="000000"/>
              </a:solidFill>
              <a:prstDash val="solid"/>
            </a:ln>
          </c:spPr>
          <c:cat>
            <c:numRef>
              <c:f>'2. Calculs'!$D$5642:$H$5642</c:f>
              <c:numCache>
                <c:formatCode>General</c:formatCode>
                <c:ptCount val="5"/>
                <c:pt idx="0">
                  <c:v>2011</c:v>
                </c:pt>
                <c:pt idx="1">
                  <c:v>2012</c:v>
                </c:pt>
                <c:pt idx="2">
                  <c:v>2013</c:v>
                </c:pt>
                <c:pt idx="3">
                  <c:v>2014</c:v>
                </c:pt>
                <c:pt idx="4">
                  <c:v>2015</c:v>
                </c:pt>
              </c:numCache>
            </c:numRef>
          </c:cat>
          <c:val>
            <c:numRef>
              <c:f>'2. Calculs'!$D$5650:$H$5650</c:f>
              <c:numCache>
                <c:formatCode>"$"#,##0;\-"$"#,##0</c:formatCode>
                <c:ptCount val="5"/>
                <c:pt idx="0">
                  <c:v>17191</c:v>
                </c:pt>
                <c:pt idx="1">
                  <c:v>16000</c:v>
                </c:pt>
                <c:pt idx="2">
                  <c:v>0</c:v>
                </c:pt>
                <c:pt idx="3">
                  <c:v>0</c:v>
                </c:pt>
                <c:pt idx="4">
                  <c:v>0</c:v>
                </c:pt>
              </c:numCache>
            </c:numRef>
          </c:val>
        </c:ser>
        <c:ser>
          <c:idx val="7"/>
          <c:order val="7"/>
          <c:tx>
            <c:strRef>
              <c:f>'2. Calculs'!$C$5651</c:f>
              <c:strCache>
                <c:ptCount val="1"/>
                <c:pt idx="0">
                  <c:v>COGES</c:v>
                </c:pt>
              </c:strCache>
            </c:strRef>
          </c:tx>
          <c:spPr>
            <a:solidFill>
              <a:srgbClr val="666699"/>
            </a:solidFill>
            <a:ln w="12700">
              <a:solidFill>
                <a:srgbClr val="000000"/>
              </a:solidFill>
              <a:prstDash val="solid"/>
            </a:ln>
          </c:spPr>
          <c:cat>
            <c:numRef>
              <c:f>'2. Calculs'!$D$5642:$H$5642</c:f>
              <c:numCache>
                <c:formatCode>General</c:formatCode>
                <c:ptCount val="5"/>
                <c:pt idx="0">
                  <c:v>2011</c:v>
                </c:pt>
                <c:pt idx="1">
                  <c:v>2012</c:v>
                </c:pt>
                <c:pt idx="2">
                  <c:v>2013</c:v>
                </c:pt>
                <c:pt idx="3">
                  <c:v>2014</c:v>
                </c:pt>
                <c:pt idx="4">
                  <c:v>2015</c:v>
                </c:pt>
              </c:numCache>
            </c:numRef>
          </c:cat>
          <c:val>
            <c:numRef>
              <c:f>'2. Calculs'!$D$5651:$H$5651</c:f>
              <c:numCache>
                <c:formatCode>"$"#,##0;\-"$"#,##0</c:formatCode>
                <c:ptCount val="5"/>
                <c:pt idx="0">
                  <c:v>398222.34294548625</c:v>
                </c:pt>
                <c:pt idx="1">
                  <c:v>417949.26020786318</c:v>
                </c:pt>
                <c:pt idx="2">
                  <c:v>438516.47439688467</c:v>
                </c:pt>
                <c:pt idx="3">
                  <c:v>462532.74035283504</c:v>
                </c:pt>
                <c:pt idx="4">
                  <c:v>484942.37828397442</c:v>
                </c:pt>
              </c:numCache>
            </c:numRef>
          </c:val>
        </c:ser>
        <c:ser>
          <c:idx val="8"/>
          <c:order val="8"/>
          <c:tx>
            <c:strRef>
              <c:f>'2. Calculs'!$C$5652</c:f>
              <c:strCache>
                <c:ptCount val="1"/>
                <c:pt idx="0">
                  <c:v>OOAS</c:v>
                </c:pt>
              </c:strCache>
            </c:strRef>
          </c:tx>
          <c:spPr>
            <a:solidFill>
              <a:srgbClr val="333399"/>
            </a:solidFill>
            <a:ln w="12700">
              <a:solidFill>
                <a:srgbClr val="000000"/>
              </a:solidFill>
              <a:prstDash val="solid"/>
            </a:ln>
          </c:spPr>
          <c:cat>
            <c:numRef>
              <c:f>'2. Calculs'!$D$5642:$H$5642</c:f>
              <c:numCache>
                <c:formatCode>General</c:formatCode>
                <c:ptCount val="5"/>
                <c:pt idx="0">
                  <c:v>2011</c:v>
                </c:pt>
                <c:pt idx="1">
                  <c:v>2012</c:v>
                </c:pt>
                <c:pt idx="2">
                  <c:v>2013</c:v>
                </c:pt>
                <c:pt idx="3">
                  <c:v>2014</c:v>
                </c:pt>
                <c:pt idx="4">
                  <c:v>2015</c:v>
                </c:pt>
              </c:numCache>
            </c:numRef>
          </c:cat>
          <c:val>
            <c:numRef>
              <c:f>'2. Calculs'!$D$5652:$H$5652</c:f>
              <c:numCache>
                <c:formatCode>"$"#,##0;\-"$"#,##0</c:formatCode>
                <c:ptCount val="5"/>
                <c:pt idx="0">
                  <c:v>0</c:v>
                </c:pt>
                <c:pt idx="1">
                  <c:v>0</c:v>
                </c:pt>
                <c:pt idx="2">
                  <c:v>0</c:v>
                </c:pt>
                <c:pt idx="3">
                  <c:v>0</c:v>
                </c:pt>
                <c:pt idx="4">
                  <c:v>0</c:v>
                </c:pt>
              </c:numCache>
            </c:numRef>
          </c:val>
        </c:ser>
        <c:ser>
          <c:idx val="12"/>
          <c:order val="9"/>
          <c:tx>
            <c:strRef>
              <c:f>'2. Calculs'!$C$5653</c:f>
              <c:strCache>
                <c:ptCount val="1"/>
                <c:pt idx="0">
                  <c:v>Lions club Italie</c:v>
                </c:pt>
              </c:strCache>
            </c:strRef>
          </c:tx>
          <c:spPr>
            <a:solidFill>
              <a:srgbClr val="FF99CC"/>
            </a:solidFill>
            <a:ln w="12700">
              <a:solidFill>
                <a:srgbClr val="000000"/>
              </a:solidFill>
              <a:prstDash val="solid"/>
            </a:ln>
          </c:spPr>
          <c:cat>
            <c:numRef>
              <c:f>'2. Calculs'!$D$5642:$H$5642</c:f>
              <c:numCache>
                <c:formatCode>General</c:formatCode>
                <c:ptCount val="5"/>
                <c:pt idx="0">
                  <c:v>2011</c:v>
                </c:pt>
                <c:pt idx="1">
                  <c:v>2012</c:v>
                </c:pt>
                <c:pt idx="2">
                  <c:v>2013</c:v>
                </c:pt>
                <c:pt idx="3">
                  <c:v>2014</c:v>
                </c:pt>
                <c:pt idx="4">
                  <c:v>2015</c:v>
                </c:pt>
              </c:numCache>
            </c:numRef>
          </c:cat>
          <c:val>
            <c:numRef>
              <c:f>'2. Calculs'!$D$5653:$H$5653</c:f>
              <c:numCache>
                <c:formatCode>"$"#,##0;\-"$"#,##0</c:formatCode>
                <c:ptCount val="5"/>
                <c:pt idx="0">
                  <c:v>0</c:v>
                </c:pt>
                <c:pt idx="1">
                  <c:v>0</c:v>
                </c:pt>
                <c:pt idx="2">
                  <c:v>0</c:v>
                </c:pt>
                <c:pt idx="3">
                  <c:v>0</c:v>
                </c:pt>
                <c:pt idx="4">
                  <c:v>0</c:v>
                </c:pt>
              </c:numCache>
            </c:numRef>
          </c:val>
        </c:ser>
        <c:ser>
          <c:idx val="11"/>
          <c:order val="10"/>
          <c:tx>
            <c:strRef>
              <c:f>'2. Calculs'!$C$5654</c:f>
              <c:strCache>
                <c:ptCount val="1"/>
              </c:strCache>
            </c:strRef>
          </c:tx>
          <c:spPr>
            <a:solidFill>
              <a:srgbClr val="CC99FF"/>
            </a:solidFill>
            <a:ln w="12700">
              <a:solidFill>
                <a:srgbClr val="000000"/>
              </a:solidFill>
              <a:prstDash val="solid"/>
            </a:ln>
          </c:spPr>
          <c:cat>
            <c:numRef>
              <c:f>'2. Calculs'!$D$5642:$H$5642</c:f>
              <c:numCache>
                <c:formatCode>General</c:formatCode>
                <c:ptCount val="5"/>
                <c:pt idx="0">
                  <c:v>2011</c:v>
                </c:pt>
                <c:pt idx="1">
                  <c:v>2012</c:v>
                </c:pt>
                <c:pt idx="2">
                  <c:v>2013</c:v>
                </c:pt>
                <c:pt idx="3">
                  <c:v>2014</c:v>
                </c:pt>
                <c:pt idx="4">
                  <c:v>2015</c:v>
                </c:pt>
              </c:numCache>
            </c:numRef>
          </c:cat>
          <c:val>
            <c:numRef>
              <c:f>'2. Calculs'!$D$5654:$H$5654</c:f>
              <c:numCache>
                <c:formatCode>"$"#,##0;\-"$"#,##0</c:formatCode>
                <c:ptCount val="5"/>
                <c:pt idx="0">
                  <c:v>0</c:v>
                </c:pt>
                <c:pt idx="1">
                  <c:v>0</c:v>
                </c:pt>
                <c:pt idx="2">
                  <c:v>0</c:v>
                </c:pt>
                <c:pt idx="3">
                  <c:v>0</c:v>
                </c:pt>
                <c:pt idx="4">
                  <c:v>0</c:v>
                </c:pt>
              </c:numCache>
            </c:numRef>
          </c:val>
        </c:ser>
        <c:ser>
          <c:idx val="13"/>
          <c:order val="11"/>
          <c:tx>
            <c:strRef>
              <c:f>'2. Calculs'!$C$5655</c:f>
              <c:strCache>
                <c:ptCount val="1"/>
              </c:strCache>
            </c:strRef>
          </c:tx>
          <c:spPr>
            <a:solidFill>
              <a:srgbClr val="0066CC"/>
            </a:solidFill>
            <a:ln w="12700">
              <a:solidFill>
                <a:srgbClr val="000000"/>
              </a:solidFill>
              <a:prstDash val="solid"/>
            </a:ln>
          </c:spPr>
          <c:cat>
            <c:numRef>
              <c:f>'2. Calculs'!$D$5642:$H$5642</c:f>
              <c:numCache>
                <c:formatCode>General</c:formatCode>
                <c:ptCount val="5"/>
                <c:pt idx="0">
                  <c:v>2011</c:v>
                </c:pt>
                <c:pt idx="1">
                  <c:v>2012</c:v>
                </c:pt>
                <c:pt idx="2">
                  <c:v>2013</c:v>
                </c:pt>
                <c:pt idx="3">
                  <c:v>2014</c:v>
                </c:pt>
                <c:pt idx="4">
                  <c:v>2015</c:v>
                </c:pt>
              </c:numCache>
            </c:numRef>
          </c:cat>
          <c:val>
            <c:numRef>
              <c:f>'2. Calculs'!$D$5655:$H$5655</c:f>
              <c:numCache>
                <c:formatCode>"$"#,##0;\-"$"#,##0</c:formatCode>
                <c:ptCount val="5"/>
                <c:pt idx="0">
                  <c:v>0</c:v>
                </c:pt>
                <c:pt idx="1">
                  <c:v>0</c:v>
                </c:pt>
                <c:pt idx="2">
                  <c:v>0</c:v>
                </c:pt>
                <c:pt idx="3">
                  <c:v>0</c:v>
                </c:pt>
                <c:pt idx="4">
                  <c:v>0</c:v>
                </c:pt>
              </c:numCache>
            </c:numRef>
          </c:val>
        </c:ser>
        <c:ser>
          <c:idx val="14"/>
          <c:order val="12"/>
          <c:tx>
            <c:strRef>
              <c:f>'2. Calculs'!$C$5656</c:f>
              <c:strCache>
                <c:ptCount val="1"/>
              </c:strCache>
            </c:strRef>
          </c:tx>
          <c:spPr>
            <a:solidFill>
              <a:srgbClr val="008080"/>
            </a:solidFill>
            <a:ln w="12700">
              <a:solidFill>
                <a:srgbClr val="000000"/>
              </a:solidFill>
              <a:prstDash val="solid"/>
            </a:ln>
          </c:spPr>
          <c:cat>
            <c:numRef>
              <c:f>'2. Calculs'!$D$5642:$H$5642</c:f>
              <c:numCache>
                <c:formatCode>General</c:formatCode>
                <c:ptCount val="5"/>
                <c:pt idx="0">
                  <c:v>2011</c:v>
                </c:pt>
                <c:pt idx="1">
                  <c:v>2012</c:v>
                </c:pt>
                <c:pt idx="2">
                  <c:v>2013</c:v>
                </c:pt>
                <c:pt idx="3">
                  <c:v>2014</c:v>
                </c:pt>
                <c:pt idx="4">
                  <c:v>2015</c:v>
                </c:pt>
              </c:numCache>
            </c:numRef>
          </c:cat>
          <c:val>
            <c:numRef>
              <c:f>'2. Calculs'!$D$5656:$H$5656</c:f>
              <c:numCache>
                <c:formatCode>"$"#,##0;\-"$"#,##0</c:formatCode>
                <c:ptCount val="5"/>
                <c:pt idx="0">
                  <c:v>0</c:v>
                </c:pt>
                <c:pt idx="1">
                  <c:v>0</c:v>
                </c:pt>
                <c:pt idx="2">
                  <c:v>0</c:v>
                </c:pt>
                <c:pt idx="3">
                  <c:v>0</c:v>
                </c:pt>
                <c:pt idx="4">
                  <c:v>0</c:v>
                </c:pt>
              </c:numCache>
            </c:numRef>
          </c:val>
        </c:ser>
        <c:ser>
          <c:idx val="15"/>
          <c:order val="13"/>
          <c:tx>
            <c:strRef>
              <c:f>'2. Calculs'!$C$5657</c:f>
              <c:strCache>
                <c:ptCount val="1"/>
              </c:strCache>
            </c:strRef>
          </c:tx>
          <c:spPr>
            <a:solidFill>
              <a:srgbClr val="99CCFF"/>
            </a:solidFill>
            <a:ln w="12700">
              <a:solidFill>
                <a:srgbClr val="000000"/>
              </a:solidFill>
              <a:prstDash val="solid"/>
            </a:ln>
          </c:spPr>
          <c:cat>
            <c:numRef>
              <c:f>'2. Calculs'!$D$5642:$H$5642</c:f>
              <c:numCache>
                <c:formatCode>General</c:formatCode>
                <c:ptCount val="5"/>
                <c:pt idx="0">
                  <c:v>2011</c:v>
                </c:pt>
                <c:pt idx="1">
                  <c:v>2012</c:v>
                </c:pt>
                <c:pt idx="2">
                  <c:v>2013</c:v>
                </c:pt>
                <c:pt idx="3">
                  <c:v>2014</c:v>
                </c:pt>
                <c:pt idx="4">
                  <c:v>2015</c:v>
                </c:pt>
              </c:numCache>
            </c:numRef>
          </c:cat>
          <c:val>
            <c:numRef>
              <c:f>'2. Calculs'!$D$5657:$H$5657</c:f>
              <c:numCache>
                <c:formatCode>"$"#,##0;\-"$"#,##0</c:formatCode>
                <c:ptCount val="5"/>
                <c:pt idx="0">
                  <c:v>0</c:v>
                </c:pt>
                <c:pt idx="1">
                  <c:v>0</c:v>
                </c:pt>
                <c:pt idx="2">
                  <c:v>0</c:v>
                </c:pt>
                <c:pt idx="3">
                  <c:v>0</c:v>
                </c:pt>
                <c:pt idx="4">
                  <c:v>0</c:v>
                </c:pt>
              </c:numCache>
            </c:numRef>
          </c:val>
        </c:ser>
        <c:ser>
          <c:idx val="9"/>
          <c:order val="14"/>
          <c:tx>
            <c:strRef>
              <c:f>'2. Calculs'!$C$5658</c:f>
              <c:strCache>
                <c:ptCount val="1"/>
              </c:strCache>
            </c:strRef>
          </c:tx>
          <c:spPr>
            <a:solidFill>
              <a:srgbClr val="FF8080"/>
            </a:solidFill>
            <a:ln w="12700">
              <a:solidFill>
                <a:srgbClr val="000000"/>
              </a:solidFill>
              <a:prstDash val="solid"/>
            </a:ln>
          </c:spPr>
          <c:cat>
            <c:numRef>
              <c:f>'2. Calculs'!$D$5642:$H$5642</c:f>
              <c:numCache>
                <c:formatCode>General</c:formatCode>
                <c:ptCount val="5"/>
                <c:pt idx="0">
                  <c:v>2011</c:v>
                </c:pt>
                <c:pt idx="1">
                  <c:v>2012</c:v>
                </c:pt>
                <c:pt idx="2">
                  <c:v>2013</c:v>
                </c:pt>
                <c:pt idx="3">
                  <c:v>2014</c:v>
                </c:pt>
                <c:pt idx="4">
                  <c:v>2015</c:v>
                </c:pt>
              </c:numCache>
            </c:numRef>
          </c:cat>
          <c:val>
            <c:numRef>
              <c:f>'2. Calculs'!$D$5658:$H$5658</c:f>
              <c:numCache>
                <c:formatCode>"$"#,##0;\-"$"#,##0</c:formatCode>
                <c:ptCount val="5"/>
                <c:pt idx="0">
                  <c:v>0</c:v>
                </c:pt>
                <c:pt idx="1">
                  <c:v>0</c:v>
                </c:pt>
                <c:pt idx="2">
                  <c:v>0</c:v>
                </c:pt>
                <c:pt idx="3">
                  <c:v>0</c:v>
                </c:pt>
                <c:pt idx="4">
                  <c:v>0</c:v>
                </c:pt>
              </c:numCache>
            </c:numRef>
          </c:val>
        </c:ser>
        <c:ser>
          <c:idx val="10"/>
          <c:order val="15"/>
          <c:tx>
            <c:strRef>
              <c:f>'2. Calculs'!$C$5659</c:f>
              <c:strCache>
                <c:ptCount val="1"/>
              </c:strCache>
            </c:strRef>
          </c:tx>
          <c:spPr>
            <a:solidFill>
              <a:srgbClr val="F20884"/>
            </a:solidFill>
            <a:ln w="12700">
              <a:solidFill>
                <a:srgbClr val="000000"/>
              </a:solidFill>
              <a:prstDash val="solid"/>
            </a:ln>
          </c:spPr>
          <c:cat>
            <c:numRef>
              <c:f>'2. Calculs'!$D$5642:$H$5642</c:f>
              <c:numCache>
                <c:formatCode>General</c:formatCode>
                <c:ptCount val="5"/>
                <c:pt idx="0">
                  <c:v>2011</c:v>
                </c:pt>
                <c:pt idx="1">
                  <c:v>2012</c:v>
                </c:pt>
                <c:pt idx="2">
                  <c:v>2013</c:v>
                </c:pt>
                <c:pt idx="3">
                  <c:v>2014</c:v>
                </c:pt>
                <c:pt idx="4">
                  <c:v>2015</c:v>
                </c:pt>
              </c:numCache>
            </c:numRef>
          </c:cat>
          <c:val>
            <c:numRef>
              <c:f>'2. Calculs'!$D$5659:$H$5659</c:f>
              <c:numCache>
                <c:formatCode>"$"#,##0;\-"$"#,##0</c:formatCode>
                <c:ptCount val="5"/>
                <c:pt idx="0">
                  <c:v>0</c:v>
                </c:pt>
                <c:pt idx="1">
                  <c:v>0</c:v>
                </c:pt>
                <c:pt idx="2">
                  <c:v>0</c:v>
                </c:pt>
                <c:pt idx="3">
                  <c:v>0</c:v>
                </c:pt>
                <c:pt idx="4">
                  <c:v>0</c:v>
                </c:pt>
              </c:numCache>
            </c:numRef>
          </c:val>
        </c:ser>
        <c:ser>
          <c:idx val="16"/>
          <c:order val="16"/>
          <c:tx>
            <c:strRef>
              <c:f>'2. Calculs'!$C$5662</c:f>
              <c:strCache>
                <c:ptCount val="1"/>
                <c:pt idx="0">
                  <c:v>Écart Financier</c:v>
                </c:pt>
              </c:strCache>
            </c:strRef>
          </c:tx>
          <c:spPr>
            <a:pattFill prst="pct50">
              <a:fgClr>
                <a:srgbClr val="000000"/>
              </a:fgClr>
              <a:bgClr>
                <a:srgbClr val="FFFFFF"/>
              </a:bgClr>
            </a:pattFill>
            <a:ln w="12700">
              <a:solidFill>
                <a:srgbClr val="000000"/>
              </a:solidFill>
              <a:prstDash val="solid"/>
            </a:ln>
          </c:spPr>
          <c:val>
            <c:numRef>
              <c:f>'2. Calculs'!$D$5662:$H$5662</c:f>
              <c:numCache>
                <c:formatCode>"$"#,##0;\-"$"#,##0</c:formatCode>
                <c:ptCount val="5"/>
                <c:pt idx="0">
                  <c:v>1554657.8134463734</c:v>
                </c:pt>
                <c:pt idx="1">
                  <c:v>3045649.0906861834</c:v>
                </c:pt>
                <c:pt idx="2">
                  <c:v>4060808.2143333852</c:v>
                </c:pt>
                <c:pt idx="3">
                  <c:v>5511283.7226765081</c:v>
                </c:pt>
                <c:pt idx="4">
                  <c:v>8829050.5766938124</c:v>
                </c:pt>
              </c:numCache>
            </c:numRef>
          </c:val>
        </c:ser>
        <c:dLbls>
          <c:showLegendKey val="0"/>
          <c:showVal val="0"/>
          <c:showCatName val="0"/>
          <c:showSerName val="0"/>
          <c:showPercent val="0"/>
          <c:showBubbleSize val="0"/>
        </c:dLbls>
        <c:axId val="495785712"/>
        <c:axId val="495788976"/>
      </c:areaChart>
      <c:catAx>
        <c:axId val="4957857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Arial"/>
                <a:ea typeface="Arial"/>
                <a:cs typeface="Arial"/>
              </a:defRPr>
            </a:pPr>
            <a:endParaRPr lang="fr-FR"/>
          </a:p>
        </c:txPr>
        <c:crossAx val="495788976"/>
        <c:crosses val="autoZero"/>
        <c:auto val="1"/>
        <c:lblAlgn val="ctr"/>
        <c:lblOffset val="100"/>
        <c:tickLblSkip val="1"/>
        <c:tickMarkSkip val="1"/>
        <c:noMultiLvlLbl val="0"/>
      </c:catAx>
      <c:valAx>
        <c:axId val="495788976"/>
        <c:scaling>
          <c:orientation val="minMax"/>
        </c:scaling>
        <c:delete val="0"/>
        <c:axPos val="l"/>
        <c:majorGridlines>
          <c:spPr>
            <a:ln w="3175">
              <a:solidFill>
                <a:srgbClr val="000000"/>
              </a:solidFill>
              <a:prstDash val="solid"/>
            </a:ln>
          </c:spPr>
        </c:majorGridlines>
        <c:numFmt formatCode="&quot;$&quot;#,##0.0" sourceLinked="0"/>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Arial"/>
                <a:ea typeface="Arial"/>
                <a:cs typeface="Arial"/>
              </a:defRPr>
            </a:pPr>
            <a:endParaRPr lang="fr-FR"/>
          </a:p>
        </c:txPr>
        <c:crossAx val="495785712"/>
        <c:crosses val="autoZero"/>
        <c:crossBetween val="midCat"/>
        <c:dispUnits>
          <c:builtInUnit val="millions"/>
          <c:dispUnitsLbl>
            <c:layout>
              <c:manualLayout>
                <c:xMode val="edge"/>
                <c:yMode val="edge"/>
                <c:x val="9.823182711198454E-3"/>
                <c:y val="9.2081196911683025E-2"/>
              </c:manualLayout>
            </c:layout>
            <c:spPr>
              <a:noFill/>
              <a:ln w="25400">
                <a:noFill/>
              </a:ln>
            </c:spPr>
            <c:txPr>
              <a:bodyPr rot="-5400000" vert="horz"/>
              <a:lstStyle/>
              <a:p>
                <a:pPr algn="ctr" rtl="1">
                  <a:defRPr sz="1000" b="1" i="0" u="none" strike="noStrike" baseline="0">
                    <a:solidFill>
                      <a:srgbClr val="000000"/>
                    </a:solidFill>
                    <a:latin typeface="Arial"/>
                    <a:ea typeface="Arial"/>
                    <a:cs typeface="Arial"/>
                  </a:defRPr>
                </a:pPr>
                <a:endParaRPr lang="fr-FR"/>
              </a:p>
            </c:txPr>
          </c:dispUnitsLbl>
        </c:dispUnits>
      </c:valAx>
      <c:spPr>
        <a:noFill/>
        <a:ln w="3175">
          <a:solidFill>
            <a:srgbClr val="000000"/>
          </a:solidFill>
          <a:prstDash val="solid"/>
        </a:ln>
      </c:spPr>
    </c:plotArea>
    <c:legend>
      <c:legendPos val="r"/>
      <c:layout>
        <c:manualLayout>
          <c:xMode val="edge"/>
          <c:yMode val="edge"/>
          <c:x val="0.15913555992141454"/>
          <c:y val="0.81031462227442563"/>
          <c:w val="0.81728880157170924"/>
          <c:h val="0.18047920805479448"/>
        </c:manualLayout>
      </c:layout>
      <c:overlay val="0"/>
      <c:spPr>
        <a:solidFill>
          <a:srgbClr val="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fr-FR"/>
        </a:p>
      </c:txPr>
    </c:legend>
    <c:plotVisOnly val="1"/>
    <c:dispBlanksAs val="zero"/>
    <c:showDLblsOverMax val="0"/>
  </c:chart>
  <c:spPr>
    <a:noFill/>
    <a:ln w="9525">
      <a:noFill/>
    </a:ln>
  </c:spPr>
  <c:txPr>
    <a:bodyPr/>
    <a:lstStyle/>
    <a:p>
      <a:pPr>
        <a:defRPr sz="800" b="0" i="0" u="none" strike="noStrike" baseline="0">
          <a:solidFill>
            <a:srgbClr val="000000"/>
          </a:solidFill>
          <a:latin typeface="Arial"/>
          <a:ea typeface="Arial"/>
          <a:cs typeface="Arial"/>
        </a:defRPr>
      </a:pPr>
      <a:endParaRPr lang="fr-FR"/>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D696DACE247844965B58706C829067" ma:contentTypeVersion="0" ma:contentTypeDescription="Create a new document." ma:contentTypeScope="" ma:versionID="4e4927579bd58dfbcc6e894f6d86a1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754CE-47AC-491F-BB47-BC92790AD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11AC7C1-786E-497E-88FC-23AE2CAAC2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108E6F-0372-435B-BE3E-924930F3E21F}">
  <ds:schemaRefs>
    <ds:schemaRef ds:uri="http://schemas.microsoft.com/sharepoint/v3/contenttype/forms"/>
  </ds:schemaRefs>
</ds:datastoreItem>
</file>

<file path=customXml/itemProps4.xml><?xml version="1.0" encoding="utf-8"?>
<ds:datastoreItem xmlns:ds="http://schemas.openxmlformats.org/officeDocument/2006/customXml" ds:itemID="{0C0D9C74-FF2E-46F0-9EDC-D599619E0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39</Pages>
  <Words>15444</Words>
  <Characters>84947</Characters>
  <Application>Microsoft Office Word</Application>
  <DocSecurity>0</DocSecurity>
  <Lines>707</Lines>
  <Paragraphs>200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Submission to ministers</vt:lpstr>
      <vt:lpstr>Submission to ministers</vt:lpstr>
    </vt:vector>
  </TitlesOfParts>
  <Company>Gavi Alliance</Company>
  <LinksUpToDate>false</LinksUpToDate>
  <CharactersWithSpaces>100191</CharactersWithSpaces>
  <SharedDoc>false</SharedDoc>
  <HLinks>
    <vt:vector size="612" baseType="variant">
      <vt:variant>
        <vt:i4>5832736</vt:i4>
      </vt:variant>
      <vt:variant>
        <vt:i4>399</vt:i4>
      </vt:variant>
      <vt:variant>
        <vt:i4>0</vt:i4>
      </vt:variant>
      <vt:variant>
        <vt:i4>5</vt:i4>
      </vt:variant>
      <vt:variant>
        <vt:lpwstr>http://www.rho.org/files/rb1/WHO-UNICEF_Guidelines_Multi-Year_Plan_WHO-UNICEF_2006.pdf</vt:lpwstr>
      </vt:variant>
      <vt:variant>
        <vt:lpwstr/>
      </vt:variant>
      <vt:variant>
        <vt:i4>5832736</vt:i4>
      </vt:variant>
      <vt:variant>
        <vt:i4>396</vt:i4>
      </vt:variant>
      <vt:variant>
        <vt:i4>0</vt:i4>
      </vt:variant>
      <vt:variant>
        <vt:i4>5</vt:i4>
      </vt:variant>
      <vt:variant>
        <vt:lpwstr>http://www.rho.org/files/rb1/WHO-UNICEF_Guidelines_Multi-Year_Plan_WHO-UNICEF_2006.pdf</vt:lpwstr>
      </vt:variant>
      <vt:variant>
        <vt:lpwstr/>
      </vt:variant>
      <vt:variant>
        <vt:i4>917530</vt:i4>
      </vt:variant>
      <vt:variant>
        <vt:i4>393</vt:i4>
      </vt:variant>
      <vt:variant>
        <vt:i4>0</vt:i4>
      </vt:variant>
      <vt:variant>
        <vt:i4>5</vt:i4>
      </vt:variant>
      <vt:variant>
        <vt:lpwstr>http://www.rho.org/files/rb1/WHO_Guide_Standardization_Evaluation_Immunization_WHO_2008.pdf</vt:lpwstr>
      </vt:variant>
      <vt:variant>
        <vt:lpwstr/>
      </vt:variant>
      <vt:variant>
        <vt:i4>917530</vt:i4>
      </vt:variant>
      <vt:variant>
        <vt:i4>390</vt:i4>
      </vt:variant>
      <vt:variant>
        <vt:i4>0</vt:i4>
      </vt:variant>
      <vt:variant>
        <vt:i4>5</vt:i4>
      </vt:variant>
      <vt:variant>
        <vt:lpwstr>http://www.rho.org/files/rb1/WHO_Guide_Standardization_Evaluation_Immunization_WHO_2008.pdf</vt:lpwstr>
      </vt:variant>
      <vt:variant>
        <vt:lpwstr/>
      </vt:variant>
      <vt:variant>
        <vt:i4>5963830</vt:i4>
      </vt:variant>
      <vt:variant>
        <vt:i4>387</vt:i4>
      </vt:variant>
      <vt:variant>
        <vt:i4>0</vt:i4>
      </vt:variant>
      <vt:variant>
        <vt:i4>5</vt:i4>
      </vt:variant>
      <vt:variant>
        <vt:lpwstr>http://www.rho.org/files/rb1/WHO_Guide_Cost-effectiveness_Analysis_WHO_2003.pdf</vt:lpwstr>
      </vt:variant>
      <vt:variant>
        <vt:lpwstr/>
      </vt:variant>
      <vt:variant>
        <vt:i4>5963830</vt:i4>
      </vt:variant>
      <vt:variant>
        <vt:i4>384</vt:i4>
      </vt:variant>
      <vt:variant>
        <vt:i4>0</vt:i4>
      </vt:variant>
      <vt:variant>
        <vt:i4>5</vt:i4>
      </vt:variant>
      <vt:variant>
        <vt:lpwstr>http://www.rho.org/files/rb1/WHO_Guide_Cost-effectiveness_Analysis_WHO_2003.pdf</vt:lpwstr>
      </vt:variant>
      <vt:variant>
        <vt:lpwstr/>
      </vt:variant>
      <vt:variant>
        <vt:i4>7667805</vt:i4>
      </vt:variant>
      <vt:variant>
        <vt:i4>381</vt:i4>
      </vt:variant>
      <vt:variant>
        <vt:i4>0</vt:i4>
      </vt:variant>
      <vt:variant>
        <vt:i4>5</vt:i4>
      </vt:variant>
      <vt:variant>
        <vt:lpwstr>http://www.rho.org/files/rb1/Shaping_Strategy_Introduce_HPV_vaccines_Vietnam_PATH_2009.pdf</vt:lpwstr>
      </vt:variant>
      <vt:variant>
        <vt:lpwstr/>
      </vt:variant>
      <vt:variant>
        <vt:i4>7667805</vt:i4>
      </vt:variant>
      <vt:variant>
        <vt:i4>378</vt:i4>
      </vt:variant>
      <vt:variant>
        <vt:i4>0</vt:i4>
      </vt:variant>
      <vt:variant>
        <vt:i4>5</vt:i4>
      </vt:variant>
      <vt:variant>
        <vt:lpwstr>http://www.rho.org/files/rb1/Shaping_Strategy_Introduce_HPV_vaccines_Vietnam_PATH_2009.pdf</vt:lpwstr>
      </vt:variant>
      <vt:variant>
        <vt:lpwstr/>
      </vt:variant>
      <vt:variant>
        <vt:i4>5177461</vt:i4>
      </vt:variant>
      <vt:variant>
        <vt:i4>375</vt:i4>
      </vt:variant>
      <vt:variant>
        <vt:i4>0</vt:i4>
      </vt:variant>
      <vt:variant>
        <vt:i4>5</vt:i4>
      </vt:variant>
      <vt:variant>
        <vt:lpwstr>http://www.rho.org/files/rb1/Shaping_Strategy_Introduce_HPV_vaccines_Uganda_PATH_2009.pdf</vt:lpwstr>
      </vt:variant>
      <vt:variant>
        <vt:lpwstr/>
      </vt:variant>
      <vt:variant>
        <vt:i4>5177461</vt:i4>
      </vt:variant>
      <vt:variant>
        <vt:i4>372</vt:i4>
      </vt:variant>
      <vt:variant>
        <vt:i4>0</vt:i4>
      </vt:variant>
      <vt:variant>
        <vt:i4>5</vt:i4>
      </vt:variant>
      <vt:variant>
        <vt:lpwstr>http://www.rho.org/files/rb1/Shaping_Strategy_Introduce_HPV_vaccines_Uganda_PATH_2009.pdf</vt:lpwstr>
      </vt:variant>
      <vt:variant>
        <vt:lpwstr/>
      </vt:variant>
      <vt:variant>
        <vt:i4>3997709</vt:i4>
      </vt:variant>
      <vt:variant>
        <vt:i4>369</vt:i4>
      </vt:variant>
      <vt:variant>
        <vt:i4>0</vt:i4>
      </vt:variant>
      <vt:variant>
        <vt:i4>5</vt:i4>
      </vt:variant>
      <vt:variant>
        <vt:lpwstr>http://www.rho.org/files/rb1/Shaping_Strategy_Introduce_HPV_vaccines_Peru_PATH_2009.pdf</vt:lpwstr>
      </vt:variant>
      <vt:variant>
        <vt:lpwstr/>
      </vt:variant>
      <vt:variant>
        <vt:i4>3997709</vt:i4>
      </vt:variant>
      <vt:variant>
        <vt:i4>366</vt:i4>
      </vt:variant>
      <vt:variant>
        <vt:i4>0</vt:i4>
      </vt:variant>
      <vt:variant>
        <vt:i4>5</vt:i4>
      </vt:variant>
      <vt:variant>
        <vt:lpwstr>http://www.rho.org/files/rb1/Shaping_Strategy_Introduce_HPV_vaccines_Peru_PATH_2009.pdf</vt:lpwstr>
      </vt:variant>
      <vt:variant>
        <vt:lpwstr/>
      </vt:variant>
      <vt:variant>
        <vt:i4>589862</vt:i4>
      </vt:variant>
      <vt:variant>
        <vt:i4>363</vt:i4>
      </vt:variant>
      <vt:variant>
        <vt:i4>0</vt:i4>
      </vt:variant>
      <vt:variant>
        <vt:i4>5</vt:i4>
      </vt:variant>
      <vt:variant>
        <vt:lpwstr>http://www.rho.org/files/rb1/Shaping_Strategy_Introduce_HPV_vaccines_India_PATH_2009.pdf</vt:lpwstr>
      </vt:variant>
      <vt:variant>
        <vt:lpwstr/>
      </vt:variant>
      <vt:variant>
        <vt:i4>589862</vt:i4>
      </vt:variant>
      <vt:variant>
        <vt:i4>360</vt:i4>
      </vt:variant>
      <vt:variant>
        <vt:i4>0</vt:i4>
      </vt:variant>
      <vt:variant>
        <vt:i4>5</vt:i4>
      </vt:variant>
      <vt:variant>
        <vt:lpwstr>http://www.rho.org/files/rb1/Shaping_Strategy_Introduce_HPV_vaccines_India_PATH_2009.pdf</vt:lpwstr>
      </vt:variant>
      <vt:variant>
        <vt:lpwstr/>
      </vt:variant>
      <vt:variant>
        <vt:i4>2424893</vt:i4>
      </vt:variant>
      <vt:variant>
        <vt:i4>357</vt:i4>
      </vt:variant>
      <vt:variant>
        <vt:i4>0</vt:i4>
      </vt:variant>
      <vt:variant>
        <vt:i4>5</vt:i4>
      </vt:variant>
      <vt:variant>
        <vt:lpwstr>http://www.rho.org/files/rb1/Planning_Implementing_Cervical_Cancer_Prevention_Programs_Manual_ACCP_2004.pdf</vt:lpwstr>
      </vt:variant>
      <vt:variant>
        <vt:lpwstr/>
      </vt:variant>
      <vt:variant>
        <vt:i4>2424893</vt:i4>
      </vt:variant>
      <vt:variant>
        <vt:i4>354</vt:i4>
      </vt:variant>
      <vt:variant>
        <vt:i4>0</vt:i4>
      </vt:variant>
      <vt:variant>
        <vt:i4>5</vt:i4>
      </vt:variant>
      <vt:variant>
        <vt:lpwstr>http://www.rho.org/files/rb1/Planning_Implementing_Cervical_Cancer_Prevention_Programs_Manual_ACCP_2004.pdf</vt:lpwstr>
      </vt:variant>
      <vt:variant>
        <vt:lpwstr/>
      </vt:variant>
      <vt:variant>
        <vt:i4>4522065</vt:i4>
      </vt:variant>
      <vt:variant>
        <vt:i4>351</vt:i4>
      </vt:variant>
      <vt:variant>
        <vt:i4>0</vt:i4>
      </vt:variant>
      <vt:variant>
        <vt:i4>5</vt:i4>
      </vt:variant>
      <vt:variant>
        <vt:lpwstr>http://www.rho.org/files/rb1/Outlook_Progress_Preventing_Cervical_Cancer_PATH_2010.pdf</vt:lpwstr>
      </vt:variant>
      <vt:variant>
        <vt:lpwstr/>
      </vt:variant>
      <vt:variant>
        <vt:i4>4522065</vt:i4>
      </vt:variant>
      <vt:variant>
        <vt:i4>348</vt:i4>
      </vt:variant>
      <vt:variant>
        <vt:i4>0</vt:i4>
      </vt:variant>
      <vt:variant>
        <vt:i4>5</vt:i4>
      </vt:variant>
      <vt:variant>
        <vt:lpwstr>http://www.rho.org/files/rb1/Outlook_Progress_Preventing_Cervical_Cancer_PATH_2010.pdf</vt:lpwstr>
      </vt:variant>
      <vt:variant>
        <vt:lpwstr/>
      </vt:variant>
      <vt:variant>
        <vt:i4>2818076</vt:i4>
      </vt:variant>
      <vt:variant>
        <vt:i4>345</vt:i4>
      </vt:variant>
      <vt:variant>
        <vt:i4>0</vt:i4>
      </vt:variant>
      <vt:variant>
        <vt:i4>5</vt:i4>
      </vt:variant>
      <vt:variant>
        <vt:lpwstr>http://www.rho.org/files/rb1/Immunization_Child_Health_Materials_Development_Guide_PATH_2001.pdf</vt:lpwstr>
      </vt:variant>
      <vt:variant>
        <vt:lpwstr/>
      </vt:variant>
      <vt:variant>
        <vt:i4>2818076</vt:i4>
      </vt:variant>
      <vt:variant>
        <vt:i4>342</vt:i4>
      </vt:variant>
      <vt:variant>
        <vt:i4>0</vt:i4>
      </vt:variant>
      <vt:variant>
        <vt:i4>5</vt:i4>
      </vt:variant>
      <vt:variant>
        <vt:lpwstr>http://www.rho.org/files/rb1/Immunization_Child_Health_Materials_Development_Guide_PATH_2001.pdf</vt:lpwstr>
      </vt:variant>
      <vt:variant>
        <vt:lpwstr/>
      </vt:variant>
      <vt:variant>
        <vt:i4>3604506</vt:i4>
      </vt:variant>
      <vt:variant>
        <vt:i4>339</vt:i4>
      </vt:variant>
      <vt:variant>
        <vt:i4>0</vt:i4>
      </vt:variant>
      <vt:variant>
        <vt:i4>5</vt:i4>
      </vt:variant>
      <vt:variant>
        <vt:lpwstr>http://www.rho.org/files/rb1/HPV_Vaccine_Position_Paper_WHO_2009.pdf</vt:lpwstr>
      </vt:variant>
      <vt:variant>
        <vt:lpwstr/>
      </vt:variant>
      <vt:variant>
        <vt:i4>3604506</vt:i4>
      </vt:variant>
      <vt:variant>
        <vt:i4>336</vt:i4>
      </vt:variant>
      <vt:variant>
        <vt:i4>0</vt:i4>
      </vt:variant>
      <vt:variant>
        <vt:i4>5</vt:i4>
      </vt:variant>
      <vt:variant>
        <vt:lpwstr>http://www.rho.org/files/rb1/HPV_Vaccine_Position_Paper_WHO_2009.pdf</vt:lpwstr>
      </vt:variant>
      <vt:variant>
        <vt:lpwstr/>
      </vt:variant>
      <vt:variant>
        <vt:i4>4653125</vt:i4>
      </vt:variant>
      <vt:variant>
        <vt:i4>333</vt:i4>
      </vt:variant>
      <vt:variant>
        <vt:i4>0</vt:i4>
      </vt:variant>
      <vt:variant>
        <vt:i4>5</vt:i4>
      </vt:variant>
      <vt:variant>
        <vt:lpwstr>http://www.rho.org/files/rb1/HPV_Vaccine_Adoption_Devel_Countries_Financing_IAVI_PATH_2007.pdf</vt:lpwstr>
      </vt:variant>
      <vt:variant>
        <vt:lpwstr/>
      </vt:variant>
      <vt:variant>
        <vt:i4>4653125</vt:i4>
      </vt:variant>
      <vt:variant>
        <vt:i4>330</vt:i4>
      </vt:variant>
      <vt:variant>
        <vt:i4>0</vt:i4>
      </vt:variant>
      <vt:variant>
        <vt:i4>5</vt:i4>
      </vt:variant>
      <vt:variant>
        <vt:lpwstr>http://www.rho.org/files/rb1/HPV_Vaccine_Adoption_Devel_Countries_Financing_IAVI_PATH_2007.pdf</vt:lpwstr>
      </vt:variant>
      <vt:variant>
        <vt:lpwstr/>
      </vt:variant>
      <vt:variant>
        <vt:i4>3407921</vt:i4>
      </vt:variant>
      <vt:variant>
        <vt:i4>327</vt:i4>
      </vt:variant>
      <vt:variant>
        <vt:i4>0</vt:i4>
      </vt:variant>
      <vt:variant>
        <vt:i4>5</vt:i4>
      </vt:variant>
      <vt:variant>
        <vt:lpwstr>http://www.rho.org/files/rb1/HPV_Vaccination_Latin_America_Lessons_PATH_2010.pdf</vt:lpwstr>
      </vt:variant>
      <vt:variant>
        <vt:lpwstr/>
      </vt:variant>
      <vt:variant>
        <vt:i4>3407921</vt:i4>
      </vt:variant>
      <vt:variant>
        <vt:i4>324</vt:i4>
      </vt:variant>
      <vt:variant>
        <vt:i4>0</vt:i4>
      </vt:variant>
      <vt:variant>
        <vt:i4>5</vt:i4>
      </vt:variant>
      <vt:variant>
        <vt:lpwstr>http://www.rho.org/files/rb1/HPV_Vaccination_Latin_America_Lessons_PATH_2010.pdf</vt:lpwstr>
      </vt:variant>
      <vt:variant>
        <vt:lpwstr/>
      </vt:variant>
      <vt:variant>
        <vt:i4>4718693</vt:i4>
      </vt:variant>
      <vt:variant>
        <vt:i4>321</vt:i4>
      </vt:variant>
      <vt:variant>
        <vt:i4>0</vt:i4>
      </vt:variant>
      <vt:variant>
        <vt:i4>5</vt:i4>
      </vt:variant>
      <vt:variant>
        <vt:lpwstr>http://www.rho.org/files/rb1/HPV_Vaccination_Africa_Lessons_PATH_2011.pdf</vt:lpwstr>
      </vt:variant>
      <vt:variant>
        <vt:lpwstr/>
      </vt:variant>
      <vt:variant>
        <vt:i4>4718693</vt:i4>
      </vt:variant>
      <vt:variant>
        <vt:i4>318</vt:i4>
      </vt:variant>
      <vt:variant>
        <vt:i4>0</vt:i4>
      </vt:variant>
      <vt:variant>
        <vt:i4>5</vt:i4>
      </vt:variant>
      <vt:variant>
        <vt:lpwstr>http://www.rho.org/files/rb1/HPV_Vaccination_Africa_Lessons_PATH_2011.pdf</vt:lpwstr>
      </vt:variant>
      <vt:variant>
        <vt:lpwstr/>
      </vt:variant>
      <vt:variant>
        <vt:i4>6226023</vt:i4>
      </vt:variant>
      <vt:variant>
        <vt:i4>315</vt:i4>
      </vt:variant>
      <vt:variant>
        <vt:i4>0</vt:i4>
      </vt:variant>
      <vt:variant>
        <vt:i4>5</vt:i4>
      </vt:variant>
      <vt:variant>
        <vt:lpwstr>http://www.rho.org/files/rb1/Guidelines_Estimating_Costs_Introducing_New_Vaccines_WHO_2002.pdf</vt:lpwstr>
      </vt:variant>
      <vt:variant>
        <vt:lpwstr/>
      </vt:variant>
      <vt:variant>
        <vt:i4>6226023</vt:i4>
      </vt:variant>
      <vt:variant>
        <vt:i4>312</vt:i4>
      </vt:variant>
      <vt:variant>
        <vt:i4>0</vt:i4>
      </vt:variant>
      <vt:variant>
        <vt:i4>5</vt:i4>
      </vt:variant>
      <vt:variant>
        <vt:lpwstr>http://www.rho.org/files/rb1/Guidelines_Estimating_Costs_Introducing_New_Vaccines_WHO_2002.pdf</vt:lpwstr>
      </vt:variant>
      <vt:variant>
        <vt:lpwstr/>
      </vt:variant>
      <vt:variant>
        <vt:i4>4391000</vt:i4>
      </vt:variant>
      <vt:variant>
        <vt:i4>309</vt:i4>
      </vt:variant>
      <vt:variant>
        <vt:i4>0</vt:i4>
      </vt:variant>
      <vt:variant>
        <vt:i4>5</vt:i4>
      </vt:variant>
      <vt:variant>
        <vt:lpwstr>http://www.rho.org/files/rb1/Guidance_Cervical_Cancer_Prevention_Control_FIGO_2009.pdf</vt:lpwstr>
      </vt:variant>
      <vt:variant>
        <vt:lpwstr/>
      </vt:variant>
      <vt:variant>
        <vt:i4>4391000</vt:i4>
      </vt:variant>
      <vt:variant>
        <vt:i4>306</vt:i4>
      </vt:variant>
      <vt:variant>
        <vt:i4>0</vt:i4>
      </vt:variant>
      <vt:variant>
        <vt:i4>5</vt:i4>
      </vt:variant>
      <vt:variant>
        <vt:lpwstr>http://www.rho.org/files/rb1/Guidance_Cervical_Cancer_Prevention_Control_FIGO_2009.pdf</vt:lpwstr>
      </vt:variant>
      <vt:variant>
        <vt:lpwstr/>
      </vt:variant>
      <vt:variant>
        <vt:i4>3407990</vt:i4>
      </vt:variant>
      <vt:variant>
        <vt:i4>303</vt:i4>
      </vt:variant>
      <vt:variant>
        <vt:i4>0</vt:i4>
      </vt:variant>
      <vt:variant>
        <vt:i4>5</vt:i4>
      </vt:variant>
      <vt:variant>
        <vt:lpwstr>http://www.rho.org/files/rb1/Financial_Sustainability_Tool_Immunization_Program_WHO-GAVI_2003.pdf</vt:lpwstr>
      </vt:variant>
      <vt:variant>
        <vt:lpwstr/>
      </vt:variant>
      <vt:variant>
        <vt:i4>3407990</vt:i4>
      </vt:variant>
      <vt:variant>
        <vt:i4>300</vt:i4>
      </vt:variant>
      <vt:variant>
        <vt:i4>0</vt:i4>
      </vt:variant>
      <vt:variant>
        <vt:i4>5</vt:i4>
      </vt:variant>
      <vt:variant>
        <vt:lpwstr>http://www.rho.org/files/rb1/Financial_Sustainability_Tool_Immunization_Program_WHO-GAVI_2003.pdf</vt:lpwstr>
      </vt:variant>
      <vt:variant>
        <vt:lpwstr/>
      </vt:variant>
      <vt:variant>
        <vt:i4>852070</vt:i4>
      </vt:variant>
      <vt:variant>
        <vt:i4>297</vt:i4>
      </vt:variant>
      <vt:variant>
        <vt:i4>0</vt:i4>
      </vt:variant>
      <vt:variant>
        <vt:i4>5</vt:i4>
      </vt:variant>
      <vt:variant>
        <vt:lpwstr>http://www.rho.org/files/rb1/Expert_Consult_Comprehensive_Prevention_Cervical_Cancer_WPRO-WHO_2009.pdf</vt:lpwstr>
      </vt:variant>
      <vt:variant>
        <vt:lpwstr/>
      </vt:variant>
      <vt:variant>
        <vt:i4>852070</vt:i4>
      </vt:variant>
      <vt:variant>
        <vt:i4>294</vt:i4>
      </vt:variant>
      <vt:variant>
        <vt:i4>0</vt:i4>
      </vt:variant>
      <vt:variant>
        <vt:i4>5</vt:i4>
      </vt:variant>
      <vt:variant>
        <vt:lpwstr>http://www.rho.org/files/rb1/Expert_Consult_Comprehensive_Prevention_Cervical_Cancer_WPRO-WHO_2009.pdf</vt:lpwstr>
      </vt:variant>
      <vt:variant>
        <vt:lpwstr/>
      </vt:variant>
      <vt:variant>
        <vt:i4>2097275</vt:i4>
      </vt:variant>
      <vt:variant>
        <vt:i4>291</vt:i4>
      </vt:variant>
      <vt:variant>
        <vt:i4>0</vt:i4>
      </vt:variant>
      <vt:variant>
        <vt:i4>5</vt:i4>
      </vt:variant>
      <vt:variant>
        <vt:lpwstr>http://www.rho.org/files/rb1/Evidence-Based_CxCaScreening_LowResource_IntlPerspSexRH_2009.pdf</vt:lpwstr>
      </vt:variant>
      <vt:variant>
        <vt:lpwstr/>
      </vt:variant>
      <vt:variant>
        <vt:i4>2097275</vt:i4>
      </vt:variant>
      <vt:variant>
        <vt:i4>288</vt:i4>
      </vt:variant>
      <vt:variant>
        <vt:i4>0</vt:i4>
      </vt:variant>
      <vt:variant>
        <vt:i4>5</vt:i4>
      </vt:variant>
      <vt:variant>
        <vt:lpwstr>http://www.rho.org/files/rb1/Evidence-Based_CxCaScreening_LowResource_IntlPerspSexRH_2009.pdf</vt:lpwstr>
      </vt:variant>
      <vt:variant>
        <vt:lpwstr/>
      </vt:variant>
      <vt:variant>
        <vt:i4>5308485</vt:i4>
      </vt:variant>
      <vt:variant>
        <vt:i4>285</vt:i4>
      </vt:variant>
      <vt:variant>
        <vt:i4>0</vt:i4>
      </vt:variant>
      <vt:variant>
        <vt:i4>5</vt:i4>
      </vt:variant>
      <vt:variant>
        <vt:lpwstr>http://www.rho.org/files/rb1/Comprehensive_Cervical_Cancer_Prevention_Guidance_UNFPA_2011.pdf</vt:lpwstr>
      </vt:variant>
      <vt:variant>
        <vt:lpwstr/>
      </vt:variant>
      <vt:variant>
        <vt:i4>5308485</vt:i4>
      </vt:variant>
      <vt:variant>
        <vt:i4>282</vt:i4>
      </vt:variant>
      <vt:variant>
        <vt:i4>0</vt:i4>
      </vt:variant>
      <vt:variant>
        <vt:i4>5</vt:i4>
      </vt:variant>
      <vt:variant>
        <vt:lpwstr>http://www.rho.org/files/rb1/Comprehensive_Cervical_Cancer_Prevention_Guidance_UNFPA_2011.pdf</vt:lpwstr>
      </vt:variant>
      <vt:variant>
        <vt:lpwstr/>
      </vt:variant>
      <vt:variant>
        <vt:i4>458785</vt:i4>
      </vt:variant>
      <vt:variant>
        <vt:i4>279</vt:i4>
      </vt:variant>
      <vt:variant>
        <vt:i4>0</vt:i4>
      </vt:variant>
      <vt:variant>
        <vt:i4>5</vt:i4>
      </vt:variant>
      <vt:variant>
        <vt:lpwstr>http://www.rho.org/files/rb1/Comprehensive_Cervical_Cancer_Control_WHO_2006.pdf</vt:lpwstr>
      </vt:variant>
      <vt:variant>
        <vt:lpwstr/>
      </vt:variant>
      <vt:variant>
        <vt:i4>458785</vt:i4>
      </vt:variant>
      <vt:variant>
        <vt:i4>276</vt:i4>
      </vt:variant>
      <vt:variant>
        <vt:i4>0</vt:i4>
      </vt:variant>
      <vt:variant>
        <vt:i4>5</vt:i4>
      </vt:variant>
      <vt:variant>
        <vt:lpwstr>http://www.rho.org/files/rb1/Comprehensive_Cervical_Cancer_Control_WHO_2006.pdf</vt:lpwstr>
      </vt:variant>
      <vt:variant>
        <vt:lpwstr/>
      </vt:variant>
      <vt:variant>
        <vt:i4>5439587</vt:i4>
      </vt:variant>
      <vt:variant>
        <vt:i4>273</vt:i4>
      </vt:variant>
      <vt:variant>
        <vt:i4>0</vt:i4>
      </vt:variant>
      <vt:variant>
        <vt:i4>5</vt:i4>
      </vt:variant>
      <vt:variant>
        <vt:lpwstr>http://www.rho.org/files/rb1/Cervical_Cancer_Prevention_Millennium_Development_Goals_WHO_2008.pdf</vt:lpwstr>
      </vt:variant>
      <vt:variant>
        <vt:lpwstr/>
      </vt:variant>
      <vt:variant>
        <vt:i4>5439587</vt:i4>
      </vt:variant>
      <vt:variant>
        <vt:i4>270</vt:i4>
      </vt:variant>
      <vt:variant>
        <vt:i4>0</vt:i4>
      </vt:variant>
      <vt:variant>
        <vt:i4>5</vt:i4>
      </vt:variant>
      <vt:variant>
        <vt:lpwstr>http://www.rho.org/files/rb1/Cervical_Cancer_Prevention_Millennium_Development_Goals_WHO_2008.pdf</vt:lpwstr>
      </vt:variant>
      <vt:variant>
        <vt:lpwstr/>
      </vt:variant>
      <vt:variant>
        <vt:i4>2556029</vt:i4>
      </vt:variant>
      <vt:variant>
        <vt:i4>267</vt:i4>
      </vt:variant>
      <vt:variant>
        <vt:i4>0</vt:i4>
      </vt:variant>
      <vt:variant>
        <vt:i4>5</vt:i4>
      </vt:variant>
      <vt:variant>
        <vt:lpwstr>http://www.rho.org/files/rb1/Cervical_Cancer_HPV&amp;HPV_Vaccines_KeyPoints_WHO_PATH_UNFPA_2007.pdf</vt:lpwstr>
      </vt:variant>
      <vt:variant>
        <vt:lpwstr/>
      </vt:variant>
      <vt:variant>
        <vt:i4>2556029</vt:i4>
      </vt:variant>
      <vt:variant>
        <vt:i4>264</vt:i4>
      </vt:variant>
      <vt:variant>
        <vt:i4>0</vt:i4>
      </vt:variant>
      <vt:variant>
        <vt:i4>5</vt:i4>
      </vt:variant>
      <vt:variant>
        <vt:lpwstr>http://www.rho.org/files/rb1/Cervical_Cancer_HPV&amp;HPV_Vaccines_KeyPoints_WHO_PATH_UNFPA_2007.pdf</vt:lpwstr>
      </vt:variant>
      <vt:variant>
        <vt:lpwstr/>
      </vt:variant>
      <vt:variant>
        <vt:i4>1441876</vt:i4>
      </vt:variant>
      <vt:variant>
        <vt:i4>261</vt:i4>
      </vt:variant>
      <vt:variant>
        <vt:i4>0</vt:i4>
      </vt:variant>
      <vt:variant>
        <vt:i4>5</vt:i4>
      </vt:variant>
      <vt:variant>
        <vt:lpwstr>http://www.rho.org/files/rb1/Advocacy_for_Immunization_GAVI-PATH_2001.pdf</vt:lpwstr>
      </vt:variant>
      <vt:variant>
        <vt:lpwstr/>
      </vt:variant>
      <vt:variant>
        <vt:i4>1441876</vt:i4>
      </vt:variant>
      <vt:variant>
        <vt:i4>258</vt:i4>
      </vt:variant>
      <vt:variant>
        <vt:i4>0</vt:i4>
      </vt:variant>
      <vt:variant>
        <vt:i4>5</vt:i4>
      </vt:variant>
      <vt:variant>
        <vt:lpwstr>http://www.rho.org/files/rb1/Advocacy_for_Immunization_GAVI-PATH_2001.pdf</vt:lpwstr>
      </vt:variant>
      <vt:variant>
        <vt:lpwstr/>
      </vt:variant>
      <vt:variant>
        <vt:i4>4063332</vt:i4>
      </vt:variant>
      <vt:variant>
        <vt:i4>255</vt:i4>
      </vt:variant>
      <vt:variant>
        <vt:i4>0</vt:i4>
      </vt:variant>
      <vt:variant>
        <vt:i4>5</vt:i4>
      </vt:variant>
      <vt:variant>
        <vt:lpwstr>http://www.rho.org/</vt:lpwstr>
      </vt:variant>
      <vt:variant>
        <vt:lpwstr/>
      </vt:variant>
      <vt:variant>
        <vt:i4>1704006</vt:i4>
      </vt:variant>
      <vt:variant>
        <vt:i4>252</vt:i4>
      </vt:variant>
      <vt:variant>
        <vt:i4>0</vt:i4>
      </vt:variant>
      <vt:variant>
        <vt:i4>5</vt:i4>
      </vt:variant>
      <vt:variant>
        <vt:lpwstr>http://www.rho.org/HPV-strategic-planning.htm</vt:lpwstr>
      </vt:variant>
      <vt:variant>
        <vt:lpwstr/>
      </vt:variant>
      <vt:variant>
        <vt:i4>6750309</vt:i4>
      </vt:variant>
      <vt:variant>
        <vt:i4>249</vt:i4>
      </vt:variant>
      <vt:variant>
        <vt:i4>0</vt:i4>
      </vt:variant>
      <vt:variant>
        <vt:i4>5</vt:i4>
      </vt:variant>
      <vt:variant>
        <vt:lpwstr>http://www.sciencedirect.com/science/journal/0264410X/29/31</vt:lpwstr>
      </vt:variant>
      <vt:variant>
        <vt:lpwstr/>
      </vt:variant>
      <vt:variant>
        <vt:i4>6946925</vt:i4>
      </vt:variant>
      <vt:variant>
        <vt:i4>246</vt:i4>
      </vt:variant>
      <vt:variant>
        <vt:i4>0</vt:i4>
      </vt:variant>
      <vt:variant>
        <vt:i4>5</vt:i4>
      </vt:variant>
      <vt:variant>
        <vt:lpwstr>http://www.who.int/bulletin/volumes/89/11/en/index.html</vt:lpwstr>
      </vt:variant>
      <vt:variant>
        <vt:lpwstr/>
      </vt:variant>
      <vt:variant>
        <vt:i4>4128845</vt:i4>
      </vt:variant>
      <vt:variant>
        <vt:i4>243</vt:i4>
      </vt:variant>
      <vt:variant>
        <vt:i4>0</vt:i4>
      </vt:variant>
      <vt:variant>
        <vt:i4>5</vt:i4>
      </vt:variant>
      <vt:variant>
        <vt:lpwstr>http://wwwlive.who.int/nuvi/hpv/cervical_cancer_costing_tool/en/index.html</vt:lpwstr>
      </vt:variant>
      <vt:variant>
        <vt:lpwstr/>
      </vt:variant>
      <vt:variant>
        <vt:i4>3014776</vt:i4>
      </vt:variant>
      <vt:variant>
        <vt:i4>240</vt:i4>
      </vt:variant>
      <vt:variant>
        <vt:i4>0</vt:i4>
      </vt:variant>
      <vt:variant>
        <vt:i4>5</vt:i4>
      </vt:variant>
      <vt:variant>
        <vt:lpwstr>http://www.who.int/</vt:lpwstr>
      </vt:variant>
      <vt:variant>
        <vt:lpwstr/>
      </vt:variant>
      <vt:variant>
        <vt:i4>3014776</vt:i4>
      </vt:variant>
      <vt:variant>
        <vt:i4>237</vt:i4>
      </vt:variant>
      <vt:variant>
        <vt:i4>0</vt:i4>
      </vt:variant>
      <vt:variant>
        <vt:i4>5</vt:i4>
      </vt:variant>
      <vt:variant>
        <vt:lpwstr>http://www.who.int/</vt:lpwstr>
      </vt:variant>
      <vt:variant>
        <vt:lpwstr/>
      </vt:variant>
      <vt:variant>
        <vt:i4>4063332</vt:i4>
      </vt:variant>
      <vt:variant>
        <vt:i4>234</vt:i4>
      </vt:variant>
      <vt:variant>
        <vt:i4>0</vt:i4>
      </vt:variant>
      <vt:variant>
        <vt:i4>5</vt:i4>
      </vt:variant>
      <vt:variant>
        <vt:lpwstr>http://www.rho.org/</vt:lpwstr>
      </vt:variant>
      <vt:variant>
        <vt:lpwstr/>
      </vt:variant>
      <vt:variant>
        <vt:i4>4128845</vt:i4>
      </vt:variant>
      <vt:variant>
        <vt:i4>231</vt:i4>
      </vt:variant>
      <vt:variant>
        <vt:i4>0</vt:i4>
      </vt:variant>
      <vt:variant>
        <vt:i4>5</vt:i4>
      </vt:variant>
      <vt:variant>
        <vt:lpwstr>http://wwwlive.who.int/nuvi/hpv/cervical_cancer_costing_tool/en/index.html</vt:lpwstr>
      </vt:variant>
      <vt:variant>
        <vt:lpwstr/>
      </vt:variant>
      <vt:variant>
        <vt:i4>8126513</vt:i4>
      </vt:variant>
      <vt:variant>
        <vt:i4>228</vt:i4>
      </vt:variant>
      <vt:variant>
        <vt:i4>0</vt:i4>
      </vt:variant>
      <vt:variant>
        <vt:i4>5</vt:i4>
      </vt:variant>
      <vt:variant>
        <vt:lpwstr>http://www.biomedcentral.com/1471-2458/12/370/abstract</vt:lpwstr>
      </vt:variant>
      <vt:variant>
        <vt:lpwstr/>
      </vt:variant>
      <vt:variant>
        <vt:i4>7471220</vt:i4>
      </vt:variant>
      <vt:variant>
        <vt:i4>225</vt:i4>
      </vt:variant>
      <vt:variant>
        <vt:i4>0</vt:i4>
      </vt:variant>
      <vt:variant>
        <vt:i4>5</vt:i4>
      </vt:variant>
      <vt:variant>
        <vt:lpwstr>http://www.apjcpcontrol.org/page/apjcp_issues_view.php?pno=1305&amp;gubun=p&amp;s_search=&amp;s_paper_vol=11&amp;s_number33</vt:lpwstr>
      </vt:variant>
      <vt:variant>
        <vt:lpwstr/>
      </vt:variant>
      <vt:variant>
        <vt:i4>6750309</vt:i4>
      </vt:variant>
      <vt:variant>
        <vt:i4>222</vt:i4>
      </vt:variant>
      <vt:variant>
        <vt:i4>0</vt:i4>
      </vt:variant>
      <vt:variant>
        <vt:i4>5</vt:i4>
      </vt:variant>
      <vt:variant>
        <vt:lpwstr>http://www.sciencedirect.com/science/journal/0264410X/29/31</vt:lpwstr>
      </vt:variant>
      <vt:variant>
        <vt:lpwstr/>
      </vt:variant>
      <vt:variant>
        <vt:i4>6946925</vt:i4>
      </vt:variant>
      <vt:variant>
        <vt:i4>219</vt:i4>
      </vt:variant>
      <vt:variant>
        <vt:i4>0</vt:i4>
      </vt:variant>
      <vt:variant>
        <vt:i4>5</vt:i4>
      </vt:variant>
      <vt:variant>
        <vt:lpwstr>http://www.who.int/bulletin/volumes/89/11/en/index.html</vt:lpwstr>
      </vt:variant>
      <vt:variant>
        <vt:lpwstr/>
      </vt:variant>
      <vt:variant>
        <vt:i4>4063332</vt:i4>
      </vt:variant>
      <vt:variant>
        <vt:i4>216</vt:i4>
      </vt:variant>
      <vt:variant>
        <vt:i4>0</vt:i4>
      </vt:variant>
      <vt:variant>
        <vt:i4>5</vt:i4>
      </vt:variant>
      <vt:variant>
        <vt:lpwstr>http://www.rho.org/</vt:lpwstr>
      </vt:variant>
      <vt:variant>
        <vt:lpwstr/>
      </vt:variant>
      <vt:variant>
        <vt:i4>1376347</vt:i4>
      </vt:variant>
      <vt:variant>
        <vt:i4>213</vt:i4>
      </vt:variant>
      <vt:variant>
        <vt:i4>0</vt:i4>
      </vt:variant>
      <vt:variant>
        <vt:i4>5</vt:i4>
      </vt:variant>
      <vt:variant>
        <vt:lpwstr>http://www.rho.org/HPV-vaccine-implementation.htm</vt:lpwstr>
      </vt:variant>
      <vt:variant>
        <vt:lpwstr/>
      </vt:variant>
      <vt:variant>
        <vt:i4>5767246</vt:i4>
      </vt:variant>
      <vt:variant>
        <vt:i4>210</vt:i4>
      </vt:variant>
      <vt:variant>
        <vt:i4>0</vt:i4>
      </vt:variant>
      <vt:variant>
        <vt:i4>5</vt:i4>
      </vt:variant>
      <vt:variant>
        <vt:lpwstr>http://www.who.int/nuvi/hpv/en/index.html</vt:lpwstr>
      </vt:variant>
      <vt:variant>
        <vt:lpwstr/>
      </vt:variant>
      <vt:variant>
        <vt:i4>655483</vt:i4>
      </vt:variant>
      <vt:variant>
        <vt:i4>207</vt:i4>
      </vt:variant>
      <vt:variant>
        <vt:i4>0</vt:i4>
      </vt:variant>
      <vt:variant>
        <vt:i4>5</vt:i4>
      </vt:variant>
      <vt:variant>
        <vt:lpwstr>http://www.who.int/immunization_standards/vaccine_quality/PQ_vaccine_list_en/en/index.html</vt:lpwstr>
      </vt:variant>
      <vt:variant>
        <vt:lpwstr/>
      </vt:variant>
      <vt:variant>
        <vt:i4>4587614</vt:i4>
      </vt:variant>
      <vt:variant>
        <vt:i4>204</vt:i4>
      </vt:variant>
      <vt:variant>
        <vt:i4>0</vt:i4>
      </vt:variant>
      <vt:variant>
        <vt:i4>5</vt:i4>
      </vt:variant>
      <vt:variant>
        <vt:lpwstr>http://www.gavialliance.org/</vt:lpwstr>
      </vt:variant>
      <vt:variant>
        <vt:lpwstr/>
      </vt:variant>
      <vt:variant>
        <vt:i4>5963787</vt:i4>
      </vt:variant>
      <vt:variant>
        <vt:i4>201</vt:i4>
      </vt:variant>
      <vt:variant>
        <vt:i4>0</vt:i4>
      </vt:variant>
      <vt:variant>
        <vt:i4>5</vt:i4>
      </vt:variant>
      <vt:variant>
        <vt:lpwstr>http://www.who.int/wer/2009/wer8415/en/index.html</vt:lpwstr>
      </vt:variant>
      <vt:variant>
        <vt:lpwstr/>
      </vt:variant>
      <vt:variant>
        <vt:i4>4587614</vt:i4>
      </vt:variant>
      <vt:variant>
        <vt:i4>198</vt:i4>
      </vt:variant>
      <vt:variant>
        <vt:i4>0</vt:i4>
      </vt:variant>
      <vt:variant>
        <vt:i4>5</vt:i4>
      </vt:variant>
      <vt:variant>
        <vt:lpwstr>http://www.gavialliance.org/</vt:lpwstr>
      </vt:variant>
      <vt:variant>
        <vt:lpwstr/>
      </vt:variant>
      <vt:variant>
        <vt:i4>4325502</vt:i4>
      </vt:variant>
      <vt:variant>
        <vt:i4>195</vt:i4>
      </vt:variant>
      <vt:variant>
        <vt:i4>0</vt:i4>
      </vt:variant>
      <vt:variant>
        <vt:i4>5</vt:i4>
      </vt:variant>
      <vt:variant>
        <vt:lpwstr>mailto:proposals@gavialliance.org</vt:lpwstr>
      </vt:variant>
      <vt:variant>
        <vt:lpwstr/>
      </vt:variant>
      <vt:variant>
        <vt:i4>4587614</vt:i4>
      </vt:variant>
      <vt:variant>
        <vt:i4>192</vt:i4>
      </vt:variant>
      <vt:variant>
        <vt:i4>0</vt:i4>
      </vt:variant>
      <vt:variant>
        <vt:i4>5</vt:i4>
      </vt:variant>
      <vt:variant>
        <vt:lpwstr>http://www.gavialliance.org/</vt:lpwstr>
      </vt:variant>
      <vt:variant>
        <vt:lpwstr/>
      </vt:variant>
      <vt:variant>
        <vt:i4>2949166</vt:i4>
      </vt:variant>
      <vt:variant>
        <vt:i4>189</vt:i4>
      </vt:variant>
      <vt:variant>
        <vt:i4>0</vt:i4>
      </vt:variant>
      <vt:variant>
        <vt:i4>5</vt:i4>
      </vt:variant>
      <vt:variant>
        <vt:lpwstr>http://www.gavialliance.org/support/apply/</vt:lpwstr>
      </vt:variant>
      <vt:variant>
        <vt:lpwstr/>
      </vt:variant>
      <vt:variant>
        <vt:i4>1507379</vt:i4>
      </vt:variant>
      <vt:variant>
        <vt:i4>182</vt:i4>
      </vt:variant>
      <vt:variant>
        <vt:i4>0</vt:i4>
      </vt:variant>
      <vt:variant>
        <vt:i4>5</vt:i4>
      </vt:variant>
      <vt:variant>
        <vt:lpwstr/>
      </vt:variant>
      <vt:variant>
        <vt:lpwstr>_Toc331582946</vt:lpwstr>
      </vt:variant>
      <vt:variant>
        <vt:i4>1507379</vt:i4>
      </vt:variant>
      <vt:variant>
        <vt:i4>176</vt:i4>
      </vt:variant>
      <vt:variant>
        <vt:i4>0</vt:i4>
      </vt:variant>
      <vt:variant>
        <vt:i4>5</vt:i4>
      </vt:variant>
      <vt:variant>
        <vt:lpwstr/>
      </vt:variant>
      <vt:variant>
        <vt:lpwstr>_Toc331582945</vt:lpwstr>
      </vt:variant>
      <vt:variant>
        <vt:i4>1507379</vt:i4>
      </vt:variant>
      <vt:variant>
        <vt:i4>170</vt:i4>
      </vt:variant>
      <vt:variant>
        <vt:i4>0</vt:i4>
      </vt:variant>
      <vt:variant>
        <vt:i4>5</vt:i4>
      </vt:variant>
      <vt:variant>
        <vt:lpwstr/>
      </vt:variant>
      <vt:variant>
        <vt:lpwstr>_Toc331582944</vt:lpwstr>
      </vt:variant>
      <vt:variant>
        <vt:i4>1507379</vt:i4>
      </vt:variant>
      <vt:variant>
        <vt:i4>164</vt:i4>
      </vt:variant>
      <vt:variant>
        <vt:i4>0</vt:i4>
      </vt:variant>
      <vt:variant>
        <vt:i4>5</vt:i4>
      </vt:variant>
      <vt:variant>
        <vt:lpwstr/>
      </vt:variant>
      <vt:variant>
        <vt:lpwstr>_Toc331582943</vt:lpwstr>
      </vt:variant>
      <vt:variant>
        <vt:i4>1507379</vt:i4>
      </vt:variant>
      <vt:variant>
        <vt:i4>158</vt:i4>
      </vt:variant>
      <vt:variant>
        <vt:i4>0</vt:i4>
      </vt:variant>
      <vt:variant>
        <vt:i4>5</vt:i4>
      </vt:variant>
      <vt:variant>
        <vt:lpwstr/>
      </vt:variant>
      <vt:variant>
        <vt:lpwstr>_Toc331582942</vt:lpwstr>
      </vt:variant>
      <vt:variant>
        <vt:i4>1507379</vt:i4>
      </vt:variant>
      <vt:variant>
        <vt:i4>152</vt:i4>
      </vt:variant>
      <vt:variant>
        <vt:i4>0</vt:i4>
      </vt:variant>
      <vt:variant>
        <vt:i4>5</vt:i4>
      </vt:variant>
      <vt:variant>
        <vt:lpwstr/>
      </vt:variant>
      <vt:variant>
        <vt:lpwstr>_Toc331582940</vt:lpwstr>
      </vt:variant>
      <vt:variant>
        <vt:i4>1048627</vt:i4>
      </vt:variant>
      <vt:variant>
        <vt:i4>146</vt:i4>
      </vt:variant>
      <vt:variant>
        <vt:i4>0</vt:i4>
      </vt:variant>
      <vt:variant>
        <vt:i4>5</vt:i4>
      </vt:variant>
      <vt:variant>
        <vt:lpwstr/>
      </vt:variant>
      <vt:variant>
        <vt:lpwstr>_Toc331582939</vt:lpwstr>
      </vt:variant>
      <vt:variant>
        <vt:i4>1048627</vt:i4>
      </vt:variant>
      <vt:variant>
        <vt:i4>140</vt:i4>
      </vt:variant>
      <vt:variant>
        <vt:i4>0</vt:i4>
      </vt:variant>
      <vt:variant>
        <vt:i4>5</vt:i4>
      </vt:variant>
      <vt:variant>
        <vt:lpwstr/>
      </vt:variant>
      <vt:variant>
        <vt:lpwstr>_Toc331582938</vt:lpwstr>
      </vt:variant>
      <vt:variant>
        <vt:i4>1048627</vt:i4>
      </vt:variant>
      <vt:variant>
        <vt:i4>134</vt:i4>
      </vt:variant>
      <vt:variant>
        <vt:i4>0</vt:i4>
      </vt:variant>
      <vt:variant>
        <vt:i4>5</vt:i4>
      </vt:variant>
      <vt:variant>
        <vt:lpwstr/>
      </vt:variant>
      <vt:variant>
        <vt:lpwstr>_Toc331582937</vt:lpwstr>
      </vt:variant>
      <vt:variant>
        <vt:i4>1048627</vt:i4>
      </vt:variant>
      <vt:variant>
        <vt:i4>128</vt:i4>
      </vt:variant>
      <vt:variant>
        <vt:i4>0</vt:i4>
      </vt:variant>
      <vt:variant>
        <vt:i4>5</vt:i4>
      </vt:variant>
      <vt:variant>
        <vt:lpwstr/>
      </vt:variant>
      <vt:variant>
        <vt:lpwstr>_Toc331582936</vt:lpwstr>
      </vt:variant>
      <vt:variant>
        <vt:i4>1048627</vt:i4>
      </vt:variant>
      <vt:variant>
        <vt:i4>122</vt:i4>
      </vt:variant>
      <vt:variant>
        <vt:i4>0</vt:i4>
      </vt:variant>
      <vt:variant>
        <vt:i4>5</vt:i4>
      </vt:variant>
      <vt:variant>
        <vt:lpwstr/>
      </vt:variant>
      <vt:variant>
        <vt:lpwstr>_Toc331582935</vt:lpwstr>
      </vt:variant>
      <vt:variant>
        <vt:i4>1048627</vt:i4>
      </vt:variant>
      <vt:variant>
        <vt:i4>116</vt:i4>
      </vt:variant>
      <vt:variant>
        <vt:i4>0</vt:i4>
      </vt:variant>
      <vt:variant>
        <vt:i4>5</vt:i4>
      </vt:variant>
      <vt:variant>
        <vt:lpwstr/>
      </vt:variant>
      <vt:variant>
        <vt:lpwstr>_Toc331582934</vt:lpwstr>
      </vt:variant>
      <vt:variant>
        <vt:i4>1048627</vt:i4>
      </vt:variant>
      <vt:variant>
        <vt:i4>110</vt:i4>
      </vt:variant>
      <vt:variant>
        <vt:i4>0</vt:i4>
      </vt:variant>
      <vt:variant>
        <vt:i4>5</vt:i4>
      </vt:variant>
      <vt:variant>
        <vt:lpwstr/>
      </vt:variant>
      <vt:variant>
        <vt:lpwstr>_Toc331582933</vt:lpwstr>
      </vt:variant>
      <vt:variant>
        <vt:i4>1048627</vt:i4>
      </vt:variant>
      <vt:variant>
        <vt:i4>104</vt:i4>
      </vt:variant>
      <vt:variant>
        <vt:i4>0</vt:i4>
      </vt:variant>
      <vt:variant>
        <vt:i4>5</vt:i4>
      </vt:variant>
      <vt:variant>
        <vt:lpwstr/>
      </vt:variant>
      <vt:variant>
        <vt:lpwstr>_Toc331582932</vt:lpwstr>
      </vt:variant>
      <vt:variant>
        <vt:i4>1048627</vt:i4>
      </vt:variant>
      <vt:variant>
        <vt:i4>98</vt:i4>
      </vt:variant>
      <vt:variant>
        <vt:i4>0</vt:i4>
      </vt:variant>
      <vt:variant>
        <vt:i4>5</vt:i4>
      </vt:variant>
      <vt:variant>
        <vt:lpwstr/>
      </vt:variant>
      <vt:variant>
        <vt:lpwstr>_Toc331582931</vt:lpwstr>
      </vt:variant>
      <vt:variant>
        <vt:i4>1048627</vt:i4>
      </vt:variant>
      <vt:variant>
        <vt:i4>92</vt:i4>
      </vt:variant>
      <vt:variant>
        <vt:i4>0</vt:i4>
      </vt:variant>
      <vt:variant>
        <vt:i4>5</vt:i4>
      </vt:variant>
      <vt:variant>
        <vt:lpwstr/>
      </vt:variant>
      <vt:variant>
        <vt:lpwstr>_Toc331582930</vt:lpwstr>
      </vt:variant>
      <vt:variant>
        <vt:i4>1114163</vt:i4>
      </vt:variant>
      <vt:variant>
        <vt:i4>86</vt:i4>
      </vt:variant>
      <vt:variant>
        <vt:i4>0</vt:i4>
      </vt:variant>
      <vt:variant>
        <vt:i4>5</vt:i4>
      </vt:variant>
      <vt:variant>
        <vt:lpwstr/>
      </vt:variant>
      <vt:variant>
        <vt:lpwstr>_Toc331582929</vt:lpwstr>
      </vt:variant>
      <vt:variant>
        <vt:i4>1114163</vt:i4>
      </vt:variant>
      <vt:variant>
        <vt:i4>80</vt:i4>
      </vt:variant>
      <vt:variant>
        <vt:i4>0</vt:i4>
      </vt:variant>
      <vt:variant>
        <vt:i4>5</vt:i4>
      </vt:variant>
      <vt:variant>
        <vt:lpwstr/>
      </vt:variant>
      <vt:variant>
        <vt:lpwstr>_Toc331582928</vt:lpwstr>
      </vt:variant>
      <vt:variant>
        <vt:i4>1114163</vt:i4>
      </vt:variant>
      <vt:variant>
        <vt:i4>74</vt:i4>
      </vt:variant>
      <vt:variant>
        <vt:i4>0</vt:i4>
      </vt:variant>
      <vt:variant>
        <vt:i4>5</vt:i4>
      </vt:variant>
      <vt:variant>
        <vt:lpwstr/>
      </vt:variant>
      <vt:variant>
        <vt:lpwstr>_Toc331582927</vt:lpwstr>
      </vt:variant>
      <vt:variant>
        <vt:i4>1114163</vt:i4>
      </vt:variant>
      <vt:variant>
        <vt:i4>68</vt:i4>
      </vt:variant>
      <vt:variant>
        <vt:i4>0</vt:i4>
      </vt:variant>
      <vt:variant>
        <vt:i4>5</vt:i4>
      </vt:variant>
      <vt:variant>
        <vt:lpwstr/>
      </vt:variant>
      <vt:variant>
        <vt:lpwstr>_Toc331582926</vt:lpwstr>
      </vt:variant>
      <vt:variant>
        <vt:i4>1114163</vt:i4>
      </vt:variant>
      <vt:variant>
        <vt:i4>62</vt:i4>
      </vt:variant>
      <vt:variant>
        <vt:i4>0</vt:i4>
      </vt:variant>
      <vt:variant>
        <vt:i4>5</vt:i4>
      </vt:variant>
      <vt:variant>
        <vt:lpwstr/>
      </vt:variant>
      <vt:variant>
        <vt:lpwstr>_Toc331582925</vt:lpwstr>
      </vt:variant>
      <vt:variant>
        <vt:i4>1114163</vt:i4>
      </vt:variant>
      <vt:variant>
        <vt:i4>56</vt:i4>
      </vt:variant>
      <vt:variant>
        <vt:i4>0</vt:i4>
      </vt:variant>
      <vt:variant>
        <vt:i4>5</vt:i4>
      </vt:variant>
      <vt:variant>
        <vt:lpwstr/>
      </vt:variant>
      <vt:variant>
        <vt:lpwstr>_Toc331582924</vt:lpwstr>
      </vt:variant>
      <vt:variant>
        <vt:i4>1114163</vt:i4>
      </vt:variant>
      <vt:variant>
        <vt:i4>50</vt:i4>
      </vt:variant>
      <vt:variant>
        <vt:i4>0</vt:i4>
      </vt:variant>
      <vt:variant>
        <vt:i4>5</vt:i4>
      </vt:variant>
      <vt:variant>
        <vt:lpwstr/>
      </vt:variant>
      <vt:variant>
        <vt:lpwstr>_Toc331582923</vt:lpwstr>
      </vt:variant>
      <vt:variant>
        <vt:i4>1114163</vt:i4>
      </vt:variant>
      <vt:variant>
        <vt:i4>44</vt:i4>
      </vt:variant>
      <vt:variant>
        <vt:i4>0</vt:i4>
      </vt:variant>
      <vt:variant>
        <vt:i4>5</vt:i4>
      </vt:variant>
      <vt:variant>
        <vt:lpwstr/>
      </vt:variant>
      <vt:variant>
        <vt:lpwstr>_Toc331582922</vt:lpwstr>
      </vt:variant>
      <vt:variant>
        <vt:i4>1114163</vt:i4>
      </vt:variant>
      <vt:variant>
        <vt:i4>38</vt:i4>
      </vt:variant>
      <vt:variant>
        <vt:i4>0</vt:i4>
      </vt:variant>
      <vt:variant>
        <vt:i4>5</vt:i4>
      </vt:variant>
      <vt:variant>
        <vt:lpwstr/>
      </vt:variant>
      <vt:variant>
        <vt:lpwstr>_Toc331582921</vt:lpwstr>
      </vt:variant>
      <vt:variant>
        <vt:i4>1114163</vt:i4>
      </vt:variant>
      <vt:variant>
        <vt:i4>32</vt:i4>
      </vt:variant>
      <vt:variant>
        <vt:i4>0</vt:i4>
      </vt:variant>
      <vt:variant>
        <vt:i4>5</vt:i4>
      </vt:variant>
      <vt:variant>
        <vt:lpwstr/>
      </vt:variant>
      <vt:variant>
        <vt:lpwstr>_Toc331582920</vt:lpwstr>
      </vt:variant>
      <vt:variant>
        <vt:i4>1179699</vt:i4>
      </vt:variant>
      <vt:variant>
        <vt:i4>26</vt:i4>
      </vt:variant>
      <vt:variant>
        <vt:i4>0</vt:i4>
      </vt:variant>
      <vt:variant>
        <vt:i4>5</vt:i4>
      </vt:variant>
      <vt:variant>
        <vt:lpwstr/>
      </vt:variant>
      <vt:variant>
        <vt:lpwstr>_Toc331582919</vt:lpwstr>
      </vt:variant>
      <vt:variant>
        <vt:i4>1179699</vt:i4>
      </vt:variant>
      <vt:variant>
        <vt:i4>20</vt:i4>
      </vt:variant>
      <vt:variant>
        <vt:i4>0</vt:i4>
      </vt:variant>
      <vt:variant>
        <vt:i4>5</vt:i4>
      </vt:variant>
      <vt:variant>
        <vt:lpwstr/>
      </vt:variant>
      <vt:variant>
        <vt:lpwstr>_Toc331582918</vt:lpwstr>
      </vt:variant>
      <vt:variant>
        <vt:i4>1179699</vt:i4>
      </vt:variant>
      <vt:variant>
        <vt:i4>14</vt:i4>
      </vt:variant>
      <vt:variant>
        <vt:i4>0</vt:i4>
      </vt:variant>
      <vt:variant>
        <vt:i4>5</vt:i4>
      </vt:variant>
      <vt:variant>
        <vt:lpwstr/>
      </vt:variant>
      <vt:variant>
        <vt:lpwstr>_Toc331582917</vt:lpwstr>
      </vt:variant>
      <vt:variant>
        <vt:i4>1179699</vt:i4>
      </vt:variant>
      <vt:variant>
        <vt:i4>8</vt:i4>
      </vt:variant>
      <vt:variant>
        <vt:i4>0</vt:i4>
      </vt:variant>
      <vt:variant>
        <vt:i4>5</vt:i4>
      </vt:variant>
      <vt:variant>
        <vt:lpwstr/>
      </vt:variant>
      <vt:variant>
        <vt:lpwstr>_Toc331582916</vt:lpwstr>
      </vt:variant>
      <vt:variant>
        <vt:i4>1179699</vt:i4>
      </vt:variant>
      <vt:variant>
        <vt:i4>2</vt:i4>
      </vt:variant>
      <vt:variant>
        <vt:i4>0</vt:i4>
      </vt:variant>
      <vt:variant>
        <vt:i4>5</vt:i4>
      </vt:variant>
      <vt:variant>
        <vt:lpwstr/>
      </vt:variant>
      <vt:variant>
        <vt:lpwstr>_Toc331582915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ministers</dc:title>
  <dc:creator>raffolder</dc:creator>
  <cp:lastModifiedBy>OUEDRAOGO</cp:lastModifiedBy>
  <cp:revision>35</cp:revision>
  <cp:lastPrinted>2013-10-21T20:17:00Z</cp:lastPrinted>
  <dcterms:created xsi:type="dcterms:W3CDTF">2014-09-02T10:31:00Z</dcterms:created>
  <dcterms:modified xsi:type="dcterms:W3CDTF">2014-09-14T08:58:00Z</dcterms:modified>
</cp:coreProperties>
</file>