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68E3A" w14:textId="77777777" w:rsidR="009E0F24" w:rsidRDefault="009E0F24" w:rsidP="009E0F24">
      <w:pPr>
        <w:jc w:val="center"/>
        <w:rPr>
          <w:b/>
          <w:sz w:val="52"/>
        </w:rPr>
      </w:pPr>
    </w:p>
    <w:p w14:paraId="767AEBEF" w14:textId="77777777" w:rsidR="00494CC0" w:rsidRPr="009E0F24" w:rsidRDefault="00494CC0" w:rsidP="009E0F24">
      <w:pPr>
        <w:jc w:val="center"/>
        <w:rPr>
          <w:b/>
          <w:sz w:val="52"/>
        </w:rPr>
      </w:pPr>
    </w:p>
    <w:p w14:paraId="1E2338A4" w14:textId="77777777" w:rsidR="00615578" w:rsidRDefault="00615578" w:rsidP="009E0F24">
      <w:pPr>
        <w:jc w:val="center"/>
        <w:rPr>
          <w:b/>
          <w:sz w:val="52"/>
        </w:rPr>
      </w:pPr>
    </w:p>
    <w:p w14:paraId="4840A5F2" w14:textId="77777777" w:rsidR="00615578" w:rsidRDefault="00615578" w:rsidP="009E0F24">
      <w:pPr>
        <w:jc w:val="center"/>
        <w:rPr>
          <w:b/>
          <w:sz w:val="52"/>
        </w:rPr>
      </w:pPr>
    </w:p>
    <w:p w14:paraId="732B21DB" w14:textId="58BED2CE" w:rsidR="00615578" w:rsidRDefault="001F0D70" w:rsidP="00615578">
      <w:pPr>
        <w:jc w:val="center"/>
        <w:rPr>
          <w:b/>
          <w:sz w:val="52"/>
        </w:rPr>
      </w:pPr>
      <w:r w:rsidRPr="009E0F24">
        <w:rPr>
          <w:b/>
          <w:sz w:val="52"/>
        </w:rPr>
        <w:t>IPV In</w:t>
      </w:r>
      <w:r w:rsidR="00317803" w:rsidRPr="009E0F24">
        <w:rPr>
          <w:b/>
          <w:sz w:val="52"/>
        </w:rPr>
        <w:t>troduction Plan</w:t>
      </w:r>
    </w:p>
    <w:p w14:paraId="2BAA199B" w14:textId="77777777" w:rsidR="00615578" w:rsidRDefault="00615578" w:rsidP="001515C4">
      <w:pPr>
        <w:rPr>
          <w:b/>
          <w:sz w:val="52"/>
        </w:rPr>
      </w:pPr>
    </w:p>
    <w:p w14:paraId="37A510F2" w14:textId="77777777" w:rsidR="00615578" w:rsidRPr="009E0F24" w:rsidRDefault="00615578" w:rsidP="00615578">
      <w:pPr>
        <w:jc w:val="center"/>
        <w:rPr>
          <w:b/>
          <w:sz w:val="52"/>
        </w:rPr>
      </w:pPr>
    </w:p>
    <w:p w14:paraId="4A51F4C0" w14:textId="77777777" w:rsidR="001F0D70" w:rsidRPr="009E0F24" w:rsidRDefault="009E0F24" w:rsidP="009E0F24">
      <w:pPr>
        <w:jc w:val="center"/>
        <w:rPr>
          <w:b/>
          <w:sz w:val="52"/>
        </w:rPr>
      </w:pPr>
      <w:r w:rsidRPr="009E0F24">
        <w:rPr>
          <w:b/>
          <w:sz w:val="52"/>
        </w:rPr>
        <w:t>Annex A</w:t>
      </w:r>
    </w:p>
    <w:p w14:paraId="45273F18" w14:textId="77777777" w:rsidR="00494CC0" w:rsidRDefault="00494CC0">
      <w:pPr>
        <w:rPr>
          <w:b/>
        </w:rPr>
      </w:pPr>
    </w:p>
    <w:p w14:paraId="0DAC514A" w14:textId="77777777" w:rsidR="00494CC0" w:rsidRDefault="00494CC0">
      <w:pPr>
        <w:rPr>
          <w:b/>
          <w:color w:val="BFBFBF" w:themeColor="background1" w:themeShade="BF"/>
          <w:sz w:val="40"/>
        </w:rPr>
      </w:pPr>
    </w:p>
    <w:p w14:paraId="26B747FF" w14:textId="2CDAC54C" w:rsidR="00317803" w:rsidRPr="00494CC0" w:rsidRDefault="00317803">
      <w:pPr>
        <w:rPr>
          <w:b/>
          <w:color w:val="BFBFBF" w:themeColor="background1" w:themeShade="BF"/>
        </w:rPr>
      </w:pPr>
      <w:r w:rsidRPr="00494CC0">
        <w:rPr>
          <w:b/>
          <w:color w:val="BFBFBF" w:themeColor="background1" w:themeShade="BF"/>
        </w:rPr>
        <w:br w:type="page"/>
      </w:r>
    </w:p>
    <w:sdt>
      <w:sdtPr>
        <w:rPr>
          <w:rFonts w:ascii="Calibri" w:eastAsiaTheme="minorEastAsia" w:hAnsi="Calibri" w:cstheme="minorBidi"/>
          <w:b w:val="0"/>
          <w:bCs w:val="0"/>
          <w:color w:val="auto"/>
          <w:sz w:val="22"/>
          <w:szCs w:val="24"/>
        </w:rPr>
        <w:id w:val="1123819267"/>
        <w:docPartObj>
          <w:docPartGallery w:val="Table of Contents"/>
          <w:docPartUnique/>
        </w:docPartObj>
      </w:sdtPr>
      <w:sdtEndPr>
        <w:rPr>
          <w:noProof/>
        </w:rPr>
      </w:sdtEndPr>
      <w:sdtContent>
        <w:p w14:paraId="6051B962" w14:textId="77777777" w:rsidR="00AB2BF4" w:rsidRPr="00AA089D" w:rsidRDefault="00AB2BF4">
          <w:pPr>
            <w:pStyle w:val="TOCHeading"/>
            <w:rPr>
              <w:rFonts w:ascii="Calibri" w:hAnsi="Calibri"/>
              <w:color w:val="8064A2" w:themeColor="accent4"/>
            </w:rPr>
          </w:pPr>
          <w:r w:rsidRPr="0064245E">
            <w:rPr>
              <w:color w:val="8064A2" w:themeColor="accent4"/>
            </w:rPr>
            <w:t>Table of Contents</w:t>
          </w:r>
        </w:p>
        <w:p w14:paraId="2822AE1A" w14:textId="77777777" w:rsidR="00AA089D" w:rsidRPr="00AA089D" w:rsidRDefault="00AB2BF4">
          <w:pPr>
            <w:pStyle w:val="TOC1"/>
            <w:rPr>
              <w:b w:val="0"/>
              <w:color w:val="auto"/>
              <w:lang w:eastAsia="ja-JP"/>
            </w:rPr>
          </w:pPr>
          <w:r w:rsidRPr="00AA089D">
            <w:rPr>
              <w:color w:val="C0504D" w:themeColor="accent2"/>
            </w:rPr>
            <w:fldChar w:fldCharType="begin"/>
          </w:r>
          <w:r w:rsidRPr="00AA089D">
            <w:instrText xml:space="preserve"> TOC \o "1-3" \h \z \u </w:instrText>
          </w:r>
          <w:r w:rsidRPr="00AA089D">
            <w:rPr>
              <w:color w:val="C0504D" w:themeColor="accent2"/>
            </w:rPr>
            <w:fldChar w:fldCharType="separate"/>
          </w:r>
          <w:r w:rsidR="00AA089D" w:rsidRPr="00AA089D">
            <w:t>Executive Summary</w:t>
          </w:r>
          <w:r w:rsidR="00AA089D" w:rsidRPr="00AA089D">
            <w:tab/>
          </w:r>
          <w:r w:rsidR="00AA089D" w:rsidRPr="00AA089D">
            <w:fldChar w:fldCharType="begin"/>
          </w:r>
          <w:r w:rsidR="00AA089D" w:rsidRPr="00AA089D">
            <w:instrText xml:space="preserve"> PAGEREF _Toc270048937 \h </w:instrText>
          </w:r>
          <w:r w:rsidR="00AA089D" w:rsidRPr="00AA089D">
            <w:fldChar w:fldCharType="separate"/>
          </w:r>
          <w:r w:rsidR="00AA089D" w:rsidRPr="00AA089D">
            <w:t>3</w:t>
          </w:r>
          <w:r w:rsidR="00AA089D" w:rsidRPr="00AA089D">
            <w:fldChar w:fldCharType="end"/>
          </w:r>
        </w:p>
        <w:p w14:paraId="557DD36A" w14:textId="77777777" w:rsidR="00AA089D" w:rsidRPr="00AA089D" w:rsidRDefault="00AA089D">
          <w:pPr>
            <w:pStyle w:val="TOC1"/>
            <w:rPr>
              <w:b w:val="0"/>
              <w:color w:val="auto"/>
              <w:lang w:eastAsia="ja-JP"/>
            </w:rPr>
          </w:pPr>
          <w:r w:rsidRPr="00AA089D">
            <w:t>1</w:t>
          </w:r>
          <w:r w:rsidRPr="00AA089D">
            <w:rPr>
              <w:b w:val="0"/>
              <w:color w:val="auto"/>
              <w:lang w:eastAsia="ja-JP"/>
            </w:rPr>
            <w:tab/>
          </w:r>
          <w:r w:rsidRPr="00AA089D">
            <w:t>Justification for introduction of IPV and national decision-making process</w:t>
          </w:r>
          <w:r w:rsidRPr="00AA089D">
            <w:tab/>
          </w:r>
          <w:r w:rsidRPr="00AA089D">
            <w:fldChar w:fldCharType="begin"/>
          </w:r>
          <w:r w:rsidRPr="00AA089D">
            <w:instrText xml:space="preserve"> PAGEREF _Toc270048938 \h </w:instrText>
          </w:r>
          <w:r w:rsidRPr="00AA089D">
            <w:fldChar w:fldCharType="separate"/>
          </w:r>
          <w:r w:rsidRPr="00AA089D">
            <w:t>5</w:t>
          </w:r>
          <w:r w:rsidRPr="00AA089D">
            <w:fldChar w:fldCharType="end"/>
          </w:r>
        </w:p>
        <w:p w14:paraId="57247DA5"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1.1</w:t>
          </w:r>
          <w:r w:rsidRPr="00AA089D">
            <w:rPr>
              <w:rFonts w:ascii="Calibri" w:hAnsi="Calibri"/>
              <w:noProof/>
              <w:sz w:val="24"/>
              <w:szCs w:val="24"/>
              <w:lang w:eastAsia="ja-JP"/>
            </w:rPr>
            <w:tab/>
          </w:r>
          <w:r w:rsidRPr="00AA089D">
            <w:rPr>
              <w:rFonts w:ascii="Calibri" w:hAnsi="Calibri"/>
              <w:noProof/>
            </w:rPr>
            <w:t>Rationale for the introduction of IPV</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_Toc270048939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5</w:t>
          </w:r>
          <w:r w:rsidRPr="00AA089D">
            <w:rPr>
              <w:rFonts w:ascii="Calibri" w:hAnsi="Calibri"/>
              <w:noProof/>
            </w:rPr>
            <w:fldChar w:fldCharType="end"/>
          </w:r>
        </w:p>
        <w:p w14:paraId="2DF5119D"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1.2</w:t>
          </w:r>
          <w:r w:rsidRPr="00AA089D">
            <w:rPr>
              <w:rFonts w:ascii="Calibri" w:hAnsi="Calibri"/>
              <w:noProof/>
              <w:sz w:val="24"/>
              <w:szCs w:val="24"/>
              <w:lang w:eastAsia="ja-JP"/>
            </w:rPr>
            <w:tab/>
          </w:r>
          <w:r w:rsidRPr="00AA089D">
            <w:rPr>
              <w:rFonts w:ascii="Calibri" w:hAnsi="Calibri"/>
              <w:noProof/>
            </w:rPr>
            <w:t>Decision making process for the introduction of IPV</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_Toc270048940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6</w:t>
          </w:r>
          <w:r w:rsidRPr="00AA089D">
            <w:rPr>
              <w:rFonts w:ascii="Calibri" w:hAnsi="Calibri"/>
              <w:noProof/>
            </w:rPr>
            <w:fldChar w:fldCharType="end"/>
          </w:r>
        </w:p>
        <w:p w14:paraId="2DB17260"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1.3</w:t>
          </w:r>
          <w:r w:rsidRPr="00AA089D">
            <w:rPr>
              <w:rFonts w:ascii="Calibri" w:hAnsi="Calibri"/>
              <w:noProof/>
              <w:sz w:val="24"/>
              <w:szCs w:val="24"/>
              <w:lang w:eastAsia="ja-JP"/>
            </w:rPr>
            <w:tab/>
          </w:r>
          <w:r w:rsidRPr="00AA089D">
            <w:rPr>
              <w:rFonts w:ascii="Calibri" w:hAnsi="Calibri"/>
              <w:noProof/>
            </w:rPr>
            <w:t>Technical and operational feasibility of introducing IPV</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_Toc270048941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6</w:t>
          </w:r>
          <w:r w:rsidRPr="00AA089D">
            <w:rPr>
              <w:rFonts w:ascii="Calibri" w:hAnsi="Calibri"/>
              <w:noProof/>
            </w:rPr>
            <w:fldChar w:fldCharType="end"/>
          </w:r>
        </w:p>
        <w:p w14:paraId="0B7DAB83" w14:textId="77777777" w:rsidR="00AA089D" w:rsidRPr="00AA089D" w:rsidRDefault="00AA089D">
          <w:pPr>
            <w:pStyle w:val="TOC1"/>
            <w:rPr>
              <w:b w:val="0"/>
              <w:color w:val="auto"/>
              <w:lang w:eastAsia="ja-JP"/>
            </w:rPr>
          </w:pPr>
          <w:r w:rsidRPr="00AA089D">
            <w:t>2</w:t>
          </w:r>
          <w:r w:rsidRPr="00AA089D">
            <w:rPr>
              <w:b w:val="0"/>
              <w:color w:val="auto"/>
              <w:lang w:eastAsia="ja-JP"/>
            </w:rPr>
            <w:tab/>
          </w:r>
          <w:r w:rsidRPr="00AA089D">
            <w:t>Situational analysis of the immunization program</w:t>
          </w:r>
          <w:r w:rsidRPr="00AA089D">
            <w:tab/>
          </w:r>
          <w:r w:rsidRPr="00AA089D">
            <w:fldChar w:fldCharType="begin"/>
          </w:r>
          <w:r w:rsidRPr="00AA089D">
            <w:instrText xml:space="preserve"> PAGEREF _Toc270048942 \h </w:instrText>
          </w:r>
          <w:r w:rsidRPr="00AA089D">
            <w:fldChar w:fldCharType="separate"/>
          </w:r>
          <w:r w:rsidRPr="00AA089D">
            <w:t>6</w:t>
          </w:r>
          <w:r w:rsidRPr="00AA089D">
            <w:fldChar w:fldCharType="end"/>
          </w:r>
        </w:p>
        <w:p w14:paraId="6F2983DF"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2.1</w:t>
          </w:r>
          <w:r w:rsidRPr="00AA089D">
            <w:rPr>
              <w:rFonts w:ascii="Calibri" w:hAnsi="Calibri"/>
              <w:noProof/>
              <w:sz w:val="24"/>
              <w:szCs w:val="24"/>
              <w:lang w:eastAsia="ja-JP"/>
            </w:rPr>
            <w:tab/>
          </w:r>
          <w:r w:rsidRPr="00AA089D">
            <w:rPr>
              <w:rFonts w:ascii="Calibri" w:hAnsi="Calibri"/>
              <w:noProof/>
            </w:rPr>
            <w:t>General context of the country</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_Toc270048943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6</w:t>
          </w:r>
          <w:r w:rsidRPr="00AA089D">
            <w:rPr>
              <w:rFonts w:ascii="Calibri" w:hAnsi="Calibri"/>
              <w:noProof/>
            </w:rPr>
            <w:fldChar w:fldCharType="end"/>
          </w:r>
        </w:p>
        <w:p w14:paraId="26B50690"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2.2</w:t>
          </w:r>
          <w:r w:rsidRPr="00AA089D">
            <w:rPr>
              <w:rFonts w:ascii="Calibri" w:hAnsi="Calibri"/>
              <w:noProof/>
              <w:sz w:val="24"/>
              <w:szCs w:val="24"/>
              <w:lang w:eastAsia="ja-JP"/>
            </w:rPr>
            <w:tab/>
          </w:r>
          <w:r w:rsidRPr="00AA089D">
            <w:rPr>
              <w:rFonts w:ascii="Calibri" w:hAnsi="Calibri"/>
              <w:noProof/>
            </w:rPr>
            <w:t>Trends in immunization coverage</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_Toc270048944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8</w:t>
          </w:r>
          <w:r w:rsidRPr="00AA089D">
            <w:rPr>
              <w:rFonts w:ascii="Calibri" w:hAnsi="Calibri"/>
              <w:noProof/>
            </w:rPr>
            <w:fldChar w:fldCharType="end"/>
          </w:r>
        </w:p>
        <w:p w14:paraId="09C9823B"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2.3</w:t>
          </w:r>
          <w:r w:rsidRPr="00AA089D">
            <w:rPr>
              <w:rFonts w:ascii="Calibri" w:hAnsi="Calibri"/>
              <w:noProof/>
              <w:sz w:val="24"/>
              <w:szCs w:val="24"/>
              <w:lang w:eastAsia="ja-JP"/>
            </w:rPr>
            <w:tab/>
          </w:r>
          <w:r w:rsidRPr="00AA089D">
            <w:rPr>
              <w:rFonts w:ascii="Calibri" w:hAnsi="Calibri"/>
              <w:noProof/>
            </w:rPr>
            <w:t>Findings from EPI Review (2010) including geographical, economic, policy, cultural, gender and social barriers to immunization</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_Toc270048945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8</w:t>
          </w:r>
          <w:r w:rsidRPr="00AA089D">
            <w:rPr>
              <w:rFonts w:ascii="Calibri" w:hAnsi="Calibri"/>
              <w:noProof/>
            </w:rPr>
            <w:fldChar w:fldCharType="end"/>
          </w:r>
        </w:p>
        <w:p w14:paraId="1295C297"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2.4</w:t>
          </w:r>
          <w:r w:rsidRPr="00AA089D">
            <w:rPr>
              <w:rFonts w:ascii="Calibri" w:hAnsi="Calibri"/>
              <w:noProof/>
              <w:sz w:val="24"/>
              <w:szCs w:val="24"/>
              <w:lang w:eastAsia="ja-JP"/>
            </w:rPr>
            <w:tab/>
          </w:r>
          <w:r w:rsidRPr="00AA089D">
            <w:rPr>
              <w:rFonts w:ascii="Calibri" w:hAnsi="Calibri"/>
              <w:noProof/>
            </w:rPr>
            <w:t>Update on EPI activities 2011-2013</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_Toc270048946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10</w:t>
          </w:r>
          <w:r w:rsidRPr="00AA089D">
            <w:rPr>
              <w:rFonts w:ascii="Calibri" w:hAnsi="Calibri"/>
              <w:noProof/>
            </w:rPr>
            <w:fldChar w:fldCharType="end"/>
          </w:r>
        </w:p>
        <w:p w14:paraId="1656D454"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2.5</w:t>
          </w:r>
          <w:r w:rsidRPr="00AA089D">
            <w:rPr>
              <w:rFonts w:ascii="Calibri" w:hAnsi="Calibri"/>
              <w:noProof/>
              <w:sz w:val="24"/>
              <w:szCs w:val="24"/>
              <w:lang w:eastAsia="ja-JP"/>
            </w:rPr>
            <w:tab/>
          </w:r>
          <w:r w:rsidRPr="00AA089D">
            <w:rPr>
              <w:rFonts w:ascii="Calibri" w:hAnsi="Calibri"/>
              <w:noProof/>
            </w:rPr>
            <w:t>Progress report on EVM Improvement Plan (2014)</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_Toc270048947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11</w:t>
          </w:r>
          <w:r w:rsidRPr="00AA089D">
            <w:rPr>
              <w:rFonts w:ascii="Calibri" w:hAnsi="Calibri"/>
              <w:noProof/>
            </w:rPr>
            <w:fldChar w:fldCharType="end"/>
          </w:r>
        </w:p>
        <w:p w14:paraId="1C1C5A35"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2.6</w:t>
          </w:r>
          <w:r w:rsidRPr="00AA089D">
            <w:rPr>
              <w:rFonts w:ascii="Calibri" w:hAnsi="Calibri"/>
              <w:noProof/>
              <w:sz w:val="24"/>
              <w:szCs w:val="24"/>
              <w:lang w:eastAsia="ja-JP"/>
            </w:rPr>
            <w:tab/>
          </w:r>
          <w:r w:rsidRPr="00AA089D">
            <w:rPr>
              <w:rFonts w:ascii="Calibri" w:hAnsi="Calibri"/>
              <w:noProof/>
            </w:rPr>
            <w:t>Vaccine management</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_Toc270048948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12</w:t>
          </w:r>
          <w:r w:rsidRPr="00AA089D">
            <w:rPr>
              <w:rFonts w:ascii="Calibri" w:hAnsi="Calibri"/>
              <w:noProof/>
            </w:rPr>
            <w:fldChar w:fldCharType="end"/>
          </w:r>
        </w:p>
        <w:p w14:paraId="06BD65DE" w14:textId="77777777" w:rsidR="00AA089D" w:rsidRPr="00AA089D" w:rsidRDefault="00AA089D">
          <w:pPr>
            <w:pStyle w:val="TOC1"/>
            <w:rPr>
              <w:b w:val="0"/>
              <w:color w:val="auto"/>
              <w:lang w:eastAsia="ja-JP"/>
            </w:rPr>
          </w:pPr>
          <w:r w:rsidRPr="00AA089D">
            <w:t>3</w:t>
          </w:r>
          <w:r w:rsidRPr="00AA089D">
            <w:rPr>
              <w:b w:val="0"/>
              <w:color w:val="auto"/>
              <w:lang w:eastAsia="ja-JP"/>
            </w:rPr>
            <w:tab/>
          </w:r>
          <w:r w:rsidRPr="00AA089D">
            <w:t>Overview of IPV: Vial size, licensure, dose requirements, and safety</w:t>
          </w:r>
          <w:r w:rsidRPr="00AA089D">
            <w:tab/>
          </w:r>
          <w:r w:rsidRPr="00AA089D">
            <w:fldChar w:fldCharType="begin"/>
          </w:r>
          <w:r w:rsidRPr="00AA089D">
            <w:instrText xml:space="preserve"> PAGEREF _Toc270048949 \h </w:instrText>
          </w:r>
          <w:r w:rsidRPr="00AA089D">
            <w:fldChar w:fldCharType="separate"/>
          </w:r>
          <w:r w:rsidRPr="00AA089D">
            <w:t>13</w:t>
          </w:r>
          <w:r w:rsidRPr="00AA089D">
            <w:fldChar w:fldCharType="end"/>
          </w:r>
        </w:p>
        <w:p w14:paraId="2AF9BB7C"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3.1</w:t>
          </w:r>
          <w:r w:rsidRPr="00AA089D">
            <w:rPr>
              <w:rFonts w:ascii="Calibri" w:hAnsi="Calibri"/>
              <w:noProof/>
              <w:sz w:val="24"/>
              <w:szCs w:val="24"/>
              <w:lang w:eastAsia="ja-JP"/>
            </w:rPr>
            <w:tab/>
          </w:r>
          <w:r w:rsidRPr="00AA089D">
            <w:rPr>
              <w:rFonts w:ascii="Calibri" w:hAnsi="Calibri"/>
              <w:noProof/>
            </w:rPr>
            <w:t>Vaccine preference</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_Toc270048950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13</w:t>
          </w:r>
          <w:r w:rsidRPr="00AA089D">
            <w:rPr>
              <w:rFonts w:ascii="Calibri" w:hAnsi="Calibri"/>
              <w:noProof/>
            </w:rPr>
            <w:fldChar w:fldCharType="end"/>
          </w:r>
        </w:p>
        <w:p w14:paraId="499A429D"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3.2</w:t>
          </w:r>
          <w:r w:rsidRPr="00AA089D">
            <w:rPr>
              <w:rFonts w:ascii="Calibri" w:hAnsi="Calibri"/>
              <w:noProof/>
              <w:sz w:val="24"/>
              <w:szCs w:val="24"/>
              <w:lang w:eastAsia="ja-JP"/>
            </w:rPr>
            <w:tab/>
          </w:r>
          <w:r w:rsidRPr="00AA089D">
            <w:rPr>
              <w:rFonts w:ascii="Calibri" w:hAnsi="Calibri"/>
              <w:noProof/>
            </w:rPr>
            <w:t>Country licensure status</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_Toc270048951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14</w:t>
          </w:r>
          <w:r w:rsidRPr="00AA089D">
            <w:rPr>
              <w:rFonts w:ascii="Calibri" w:hAnsi="Calibri"/>
              <w:noProof/>
            </w:rPr>
            <w:fldChar w:fldCharType="end"/>
          </w:r>
        </w:p>
        <w:p w14:paraId="3DFA4E36"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3.3</w:t>
          </w:r>
          <w:r w:rsidRPr="00AA089D">
            <w:rPr>
              <w:rFonts w:ascii="Calibri" w:hAnsi="Calibri"/>
              <w:noProof/>
              <w:sz w:val="24"/>
              <w:szCs w:val="24"/>
              <w:lang w:eastAsia="ja-JP"/>
            </w:rPr>
            <w:tab/>
          </w:r>
          <w:r w:rsidRPr="00AA089D">
            <w:rPr>
              <w:rFonts w:ascii="Calibri" w:hAnsi="Calibri"/>
              <w:noProof/>
            </w:rPr>
            <w:t>Target population and dose requirements for vaccine supply</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_Toc270048952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14</w:t>
          </w:r>
          <w:r w:rsidRPr="00AA089D">
            <w:rPr>
              <w:rFonts w:ascii="Calibri" w:hAnsi="Calibri"/>
              <w:noProof/>
            </w:rPr>
            <w:fldChar w:fldCharType="end"/>
          </w:r>
        </w:p>
        <w:p w14:paraId="46974AE7"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3.4</w:t>
          </w:r>
          <w:r w:rsidRPr="00AA089D">
            <w:rPr>
              <w:rFonts w:ascii="Calibri" w:hAnsi="Calibri"/>
              <w:noProof/>
              <w:sz w:val="24"/>
              <w:szCs w:val="24"/>
              <w:lang w:eastAsia="ja-JP"/>
            </w:rPr>
            <w:tab/>
          </w:r>
          <w:r w:rsidRPr="00AA089D">
            <w:rPr>
              <w:rFonts w:ascii="Calibri" w:hAnsi="Calibri"/>
              <w:noProof/>
            </w:rPr>
            <w:t>IPV safety information and contraindications</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_Toc270048953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15</w:t>
          </w:r>
          <w:r w:rsidRPr="00AA089D">
            <w:rPr>
              <w:rFonts w:ascii="Calibri" w:hAnsi="Calibri"/>
              <w:noProof/>
            </w:rPr>
            <w:fldChar w:fldCharType="end"/>
          </w:r>
        </w:p>
        <w:p w14:paraId="35215F3A" w14:textId="77777777" w:rsidR="00AA089D" w:rsidRPr="00AA089D" w:rsidRDefault="00AA089D">
          <w:pPr>
            <w:pStyle w:val="TOC1"/>
            <w:rPr>
              <w:b w:val="0"/>
              <w:color w:val="auto"/>
              <w:lang w:eastAsia="ja-JP"/>
            </w:rPr>
          </w:pPr>
          <w:r w:rsidRPr="00AA089D">
            <w:t>4</w:t>
          </w:r>
          <w:r w:rsidRPr="00AA089D">
            <w:rPr>
              <w:b w:val="0"/>
              <w:color w:val="auto"/>
              <w:lang w:eastAsia="ja-JP"/>
            </w:rPr>
            <w:tab/>
          </w:r>
          <w:r w:rsidRPr="00AA089D">
            <w:t>Introduction and implementation considerations</w:t>
          </w:r>
          <w:r w:rsidRPr="00AA089D">
            <w:tab/>
          </w:r>
          <w:r w:rsidRPr="00AA089D">
            <w:fldChar w:fldCharType="begin"/>
          </w:r>
          <w:r w:rsidRPr="00AA089D">
            <w:instrText xml:space="preserve"> PAGEREF _Toc270048954 \h </w:instrText>
          </w:r>
          <w:r w:rsidRPr="00AA089D">
            <w:fldChar w:fldCharType="separate"/>
          </w:r>
          <w:r w:rsidRPr="00AA089D">
            <w:t>15</w:t>
          </w:r>
          <w:r w:rsidRPr="00AA089D">
            <w:fldChar w:fldCharType="end"/>
          </w:r>
        </w:p>
        <w:p w14:paraId="5C4F0FB5"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4.1</w:t>
          </w:r>
          <w:r w:rsidRPr="00AA089D">
            <w:rPr>
              <w:rFonts w:ascii="Calibri" w:hAnsi="Calibri"/>
              <w:noProof/>
              <w:sz w:val="24"/>
              <w:szCs w:val="24"/>
              <w:lang w:eastAsia="ja-JP"/>
            </w:rPr>
            <w:tab/>
          </w:r>
          <w:r w:rsidRPr="00AA089D">
            <w:rPr>
              <w:rFonts w:ascii="Calibri" w:hAnsi="Calibri"/>
              <w:noProof/>
            </w:rPr>
            <w:t>IPV Introduction date</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_Toc270048955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15</w:t>
          </w:r>
          <w:r w:rsidRPr="00AA089D">
            <w:rPr>
              <w:rFonts w:ascii="Calibri" w:hAnsi="Calibri"/>
              <w:noProof/>
            </w:rPr>
            <w:fldChar w:fldCharType="end"/>
          </w:r>
        </w:p>
        <w:p w14:paraId="601A7236"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4.2</w:t>
          </w:r>
          <w:r w:rsidRPr="00AA089D">
            <w:rPr>
              <w:rFonts w:ascii="Calibri" w:hAnsi="Calibri"/>
              <w:noProof/>
              <w:sz w:val="24"/>
              <w:szCs w:val="24"/>
              <w:lang w:eastAsia="ja-JP"/>
            </w:rPr>
            <w:tab/>
          </w:r>
          <w:r w:rsidRPr="00AA089D">
            <w:rPr>
              <w:rFonts w:ascii="Calibri" w:hAnsi="Calibri"/>
              <w:noProof/>
            </w:rPr>
            <w:t>IPV Schedule, Route of administration, injection site, and order of immunizations</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_Toc270048956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15</w:t>
          </w:r>
          <w:r w:rsidRPr="00AA089D">
            <w:rPr>
              <w:rFonts w:ascii="Calibri" w:hAnsi="Calibri"/>
              <w:noProof/>
            </w:rPr>
            <w:fldChar w:fldCharType="end"/>
          </w:r>
        </w:p>
        <w:p w14:paraId="719C6B30"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4.3</w:t>
          </w:r>
          <w:r w:rsidRPr="00AA089D">
            <w:rPr>
              <w:rFonts w:ascii="Calibri" w:hAnsi="Calibri"/>
              <w:noProof/>
              <w:sz w:val="24"/>
              <w:szCs w:val="24"/>
              <w:lang w:eastAsia="ja-JP"/>
            </w:rPr>
            <w:tab/>
          </w:r>
          <w:r w:rsidRPr="00AA089D">
            <w:rPr>
              <w:rFonts w:ascii="Calibri" w:hAnsi="Calibri"/>
              <w:noProof/>
            </w:rPr>
            <w:t>National coordination mechanism to ensure the successful introduction</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_Toc270048957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17</w:t>
          </w:r>
          <w:r w:rsidRPr="00AA089D">
            <w:rPr>
              <w:rFonts w:ascii="Calibri" w:hAnsi="Calibri"/>
              <w:noProof/>
            </w:rPr>
            <w:fldChar w:fldCharType="end"/>
          </w:r>
        </w:p>
        <w:p w14:paraId="18C90E05"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4.4</w:t>
          </w:r>
          <w:r w:rsidRPr="00AA089D">
            <w:rPr>
              <w:rFonts w:ascii="Calibri" w:hAnsi="Calibri"/>
              <w:noProof/>
              <w:sz w:val="24"/>
              <w:szCs w:val="24"/>
              <w:lang w:eastAsia="ja-JP"/>
            </w:rPr>
            <w:tab/>
          </w:r>
          <w:r w:rsidRPr="00AA089D">
            <w:rPr>
              <w:rFonts w:ascii="Calibri" w:hAnsi="Calibri"/>
              <w:noProof/>
            </w:rPr>
            <w:t>Affordability and financial sustainability</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_Toc270048958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17</w:t>
          </w:r>
          <w:r w:rsidRPr="00AA089D">
            <w:rPr>
              <w:rFonts w:ascii="Calibri" w:hAnsi="Calibri"/>
              <w:noProof/>
            </w:rPr>
            <w:fldChar w:fldCharType="end"/>
          </w:r>
        </w:p>
        <w:p w14:paraId="742B99C6"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4.5</w:t>
          </w:r>
          <w:r w:rsidRPr="00AA089D">
            <w:rPr>
              <w:rFonts w:ascii="Calibri" w:hAnsi="Calibri"/>
              <w:noProof/>
              <w:sz w:val="24"/>
              <w:szCs w:val="24"/>
              <w:lang w:eastAsia="ja-JP"/>
            </w:rPr>
            <w:tab/>
          </w:r>
          <w:r w:rsidRPr="00AA089D">
            <w:rPr>
              <w:rFonts w:ascii="Calibri" w:hAnsi="Calibri"/>
              <w:noProof/>
            </w:rPr>
            <w:t>Overview of cold chain capacity at central levels, provincial, and operational district levels</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_Toc270048959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18</w:t>
          </w:r>
          <w:r w:rsidRPr="00AA089D">
            <w:rPr>
              <w:rFonts w:ascii="Calibri" w:hAnsi="Calibri"/>
              <w:noProof/>
            </w:rPr>
            <w:fldChar w:fldCharType="end"/>
          </w:r>
        </w:p>
        <w:p w14:paraId="47B73777"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4.6</w:t>
          </w:r>
          <w:r w:rsidRPr="00AA089D">
            <w:rPr>
              <w:rFonts w:ascii="Calibri" w:hAnsi="Calibri"/>
              <w:noProof/>
              <w:sz w:val="24"/>
              <w:szCs w:val="24"/>
              <w:lang w:eastAsia="ja-JP"/>
            </w:rPr>
            <w:tab/>
          </w:r>
          <w:r w:rsidRPr="00AA089D">
            <w:rPr>
              <w:rFonts w:ascii="Calibri" w:hAnsi="Calibri"/>
              <w:noProof/>
            </w:rPr>
            <w:t>Waste management and injection safety</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_Toc270048960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19</w:t>
          </w:r>
          <w:r w:rsidRPr="00AA089D">
            <w:rPr>
              <w:rFonts w:ascii="Calibri" w:hAnsi="Calibri"/>
              <w:noProof/>
            </w:rPr>
            <w:fldChar w:fldCharType="end"/>
          </w:r>
        </w:p>
        <w:p w14:paraId="5AD7B7DB"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4.7</w:t>
          </w:r>
          <w:r w:rsidRPr="00AA089D">
            <w:rPr>
              <w:rFonts w:ascii="Calibri" w:hAnsi="Calibri"/>
              <w:noProof/>
              <w:sz w:val="24"/>
              <w:szCs w:val="24"/>
              <w:lang w:eastAsia="ja-JP"/>
            </w:rPr>
            <w:tab/>
          </w:r>
          <w:r w:rsidRPr="00AA089D">
            <w:rPr>
              <w:rFonts w:ascii="Calibri" w:hAnsi="Calibri"/>
              <w:noProof/>
            </w:rPr>
            <w:t>Risks and challenges</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_Toc270048961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20</w:t>
          </w:r>
          <w:r w:rsidRPr="00AA089D">
            <w:rPr>
              <w:rFonts w:ascii="Calibri" w:hAnsi="Calibri"/>
              <w:noProof/>
            </w:rPr>
            <w:fldChar w:fldCharType="end"/>
          </w:r>
        </w:p>
        <w:p w14:paraId="20B52E6B"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4.8</w:t>
          </w:r>
          <w:r w:rsidRPr="00AA089D">
            <w:rPr>
              <w:rFonts w:ascii="Calibri" w:hAnsi="Calibri"/>
              <w:noProof/>
              <w:sz w:val="24"/>
              <w:szCs w:val="24"/>
              <w:lang w:eastAsia="ja-JP"/>
            </w:rPr>
            <w:tab/>
          </w:r>
          <w:r w:rsidRPr="00AA089D">
            <w:rPr>
              <w:rFonts w:ascii="Calibri" w:hAnsi="Calibri"/>
              <w:noProof/>
            </w:rPr>
            <w:t>Health worker training and supervision</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_Toc270048962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20</w:t>
          </w:r>
          <w:r w:rsidRPr="00AA089D">
            <w:rPr>
              <w:rFonts w:ascii="Calibri" w:hAnsi="Calibri"/>
              <w:noProof/>
            </w:rPr>
            <w:fldChar w:fldCharType="end"/>
          </w:r>
        </w:p>
        <w:p w14:paraId="61C27AE3" w14:textId="77777777" w:rsidR="00AA089D" w:rsidRPr="00AA089D" w:rsidRDefault="00AA089D">
          <w:pPr>
            <w:pStyle w:val="TOC1"/>
            <w:rPr>
              <w:b w:val="0"/>
              <w:color w:val="auto"/>
              <w:lang w:eastAsia="ja-JP"/>
            </w:rPr>
          </w:pPr>
          <w:r w:rsidRPr="00AA089D">
            <w:t>5</w:t>
          </w:r>
          <w:r w:rsidRPr="00AA089D">
            <w:rPr>
              <w:b w:val="0"/>
              <w:color w:val="auto"/>
              <w:lang w:eastAsia="ja-JP"/>
            </w:rPr>
            <w:tab/>
          </w:r>
          <w:r w:rsidRPr="00AA089D">
            <w:t>Monitoring and evaluation</w:t>
          </w:r>
          <w:r w:rsidRPr="00AA089D">
            <w:tab/>
          </w:r>
          <w:r w:rsidRPr="00AA089D">
            <w:fldChar w:fldCharType="begin"/>
          </w:r>
          <w:r w:rsidRPr="00AA089D">
            <w:instrText xml:space="preserve"> PAGEREF _Toc270048963 \h </w:instrText>
          </w:r>
          <w:r w:rsidRPr="00AA089D">
            <w:fldChar w:fldCharType="separate"/>
          </w:r>
          <w:r w:rsidRPr="00AA089D">
            <w:t>21</w:t>
          </w:r>
          <w:r w:rsidRPr="00AA089D">
            <w:fldChar w:fldCharType="end"/>
          </w:r>
        </w:p>
        <w:p w14:paraId="7CF14342"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5.1</w:t>
          </w:r>
          <w:r w:rsidRPr="00AA089D">
            <w:rPr>
              <w:rFonts w:ascii="Calibri" w:hAnsi="Calibri"/>
              <w:noProof/>
              <w:sz w:val="24"/>
              <w:szCs w:val="24"/>
              <w:lang w:eastAsia="ja-JP"/>
            </w:rPr>
            <w:tab/>
          </w:r>
          <w:r w:rsidRPr="00AA089D">
            <w:rPr>
              <w:rFonts w:ascii="Calibri" w:hAnsi="Calibri"/>
              <w:noProof/>
            </w:rPr>
            <w:t>Updating of monitoring tools</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_Toc270048964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21</w:t>
          </w:r>
          <w:r w:rsidRPr="00AA089D">
            <w:rPr>
              <w:rFonts w:ascii="Calibri" w:hAnsi="Calibri"/>
              <w:noProof/>
            </w:rPr>
            <w:fldChar w:fldCharType="end"/>
          </w:r>
        </w:p>
        <w:p w14:paraId="4EAE314A"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5.2</w:t>
          </w:r>
          <w:r w:rsidRPr="00AA089D">
            <w:rPr>
              <w:rFonts w:ascii="Calibri" w:hAnsi="Calibri"/>
              <w:noProof/>
              <w:sz w:val="24"/>
              <w:szCs w:val="24"/>
              <w:lang w:eastAsia="ja-JP"/>
            </w:rPr>
            <w:tab/>
          </w:r>
          <w:r w:rsidRPr="00AA089D">
            <w:rPr>
              <w:rFonts w:ascii="Calibri" w:hAnsi="Calibri"/>
              <w:noProof/>
            </w:rPr>
            <w:t>Post Introduction Evaluation</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_Toc270048965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21</w:t>
          </w:r>
          <w:r w:rsidRPr="00AA089D">
            <w:rPr>
              <w:rFonts w:ascii="Calibri" w:hAnsi="Calibri"/>
              <w:noProof/>
            </w:rPr>
            <w:fldChar w:fldCharType="end"/>
          </w:r>
        </w:p>
        <w:p w14:paraId="0BA5B688"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5.3</w:t>
          </w:r>
          <w:r w:rsidRPr="00AA089D">
            <w:rPr>
              <w:rFonts w:ascii="Calibri" w:hAnsi="Calibri"/>
              <w:noProof/>
              <w:sz w:val="24"/>
              <w:szCs w:val="24"/>
              <w:lang w:eastAsia="ja-JP"/>
            </w:rPr>
            <w:tab/>
          </w:r>
          <w:r w:rsidRPr="00AA089D">
            <w:rPr>
              <w:rFonts w:ascii="Calibri" w:hAnsi="Calibri"/>
              <w:noProof/>
            </w:rPr>
            <w:t>Adverse Event Following Immunization (AEFI) monitoring and reporting</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_Toc270048966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21</w:t>
          </w:r>
          <w:r w:rsidRPr="00AA089D">
            <w:rPr>
              <w:rFonts w:ascii="Calibri" w:hAnsi="Calibri"/>
              <w:noProof/>
            </w:rPr>
            <w:fldChar w:fldCharType="end"/>
          </w:r>
        </w:p>
        <w:p w14:paraId="6F58404B" w14:textId="77777777" w:rsidR="00AA089D" w:rsidRPr="00AA089D" w:rsidRDefault="00AA089D">
          <w:pPr>
            <w:pStyle w:val="TOC1"/>
            <w:rPr>
              <w:b w:val="0"/>
              <w:color w:val="auto"/>
              <w:lang w:eastAsia="ja-JP"/>
            </w:rPr>
          </w:pPr>
          <w:r w:rsidRPr="00AA089D">
            <w:t>6</w:t>
          </w:r>
          <w:r w:rsidRPr="00AA089D">
            <w:rPr>
              <w:b w:val="0"/>
              <w:color w:val="auto"/>
              <w:lang w:eastAsia="ja-JP"/>
            </w:rPr>
            <w:tab/>
          </w:r>
          <w:r w:rsidRPr="00AA089D">
            <w:t>Communication, advocacy, and sensitization of health staff</w:t>
          </w:r>
          <w:r w:rsidRPr="00AA089D">
            <w:tab/>
          </w:r>
          <w:r w:rsidRPr="00AA089D">
            <w:fldChar w:fldCharType="begin"/>
          </w:r>
          <w:r w:rsidRPr="00AA089D">
            <w:instrText xml:space="preserve"> PAGEREF _Toc270048967 \h </w:instrText>
          </w:r>
          <w:r w:rsidRPr="00AA089D">
            <w:fldChar w:fldCharType="separate"/>
          </w:r>
          <w:r w:rsidRPr="00AA089D">
            <w:t>22</w:t>
          </w:r>
          <w:r w:rsidRPr="00AA089D">
            <w:fldChar w:fldCharType="end"/>
          </w:r>
        </w:p>
        <w:p w14:paraId="27A762A0"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6.1</w:t>
          </w:r>
          <w:r w:rsidRPr="00AA089D">
            <w:rPr>
              <w:rFonts w:ascii="Calibri" w:hAnsi="Calibri"/>
              <w:noProof/>
              <w:sz w:val="24"/>
              <w:szCs w:val="24"/>
              <w:lang w:eastAsia="ja-JP"/>
            </w:rPr>
            <w:tab/>
          </w:r>
          <w:r w:rsidRPr="00AA089D">
            <w:rPr>
              <w:rFonts w:ascii="Calibri" w:hAnsi="Calibri"/>
              <w:noProof/>
            </w:rPr>
            <w:t>Importance of emphasizing communication during IPV introduction</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_Toc270048968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22</w:t>
          </w:r>
          <w:r w:rsidRPr="00AA089D">
            <w:rPr>
              <w:rFonts w:ascii="Calibri" w:hAnsi="Calibri"/>
              <w:noProof/>
            </w:rPr>
            <w:fldChar w:fldCharType="end"/>
          </w:r>
        </w:p>
        <w:p w14:paraId="5B7F64D2" w14:textId="77777777" w:rsidR="00AA089D" w:rsidRPr="00AA089D" w:rsidRDefault="00AA089D">
          <w:pPr>
            <w:pStyle w:val="TOC2"/>
            <w:tabs>
              <w:tab w:val="left" w:pos="529"/>
              <w:tab w:val="right" w:leader="dot" w:pos="9350"/>
            </w:tabs>
            <w:rPr>
              <w:rFonts w:ascii="Calibri" w:hAnsi="Calibri"/>
              <w:noProof/>
              <w:sz w:val="24"/>
              <w:szCs w:val="24"/>
              <w:lang w:eastAsia="ja-JP"/>
            </w:rPr>
          </w:pPr>
          <w:r w:rsidRPr="00AA089D">
            <w:rPr>
              <w:rFonts w:ascii="Calibri" w:hAnsi="Calibri"/>
              <w:noProof/>
            </w:rPr>
            <w:t>6.2</w:t>
          </w:r>
          <w:r w:rsidRPr="00AA089D">
            <w:rPr>
              <w:rFonts w:ascii="Calibri" w:hAnsi="Calibri"/>
              <w:noProof/>
              <w:sz w:val="24"/>
              <w:szCs w:val="24"/>
              <w:lang w:eastAsia="ja-JP"/>
            </w:rPr>
            <w:tab/>
          </w:r>
          <w:r w:rsidRPr="00AA089D">
            <w:rPr>
              <w:rFonts w:ascii="Calibri" w:hAnsi="Calibri"/>
              <w:noProof/>
            </w:rPr>
            <w:t>Strategies for communication for IPV</w:t>
          </w:r>
          <w:r w:rsidRPr="00AA089D">
            <w:rPr>
              <w:rFonts w:ascii="Calibri" w:hAnsi="Calibri"/>
              <w:noProof/>
            </w:rPr>
            <w:tab/>
          </w:r>
          <w:r w:rsidRPr="00AA089D">
            <w:rPr>
              <w:rFonts w:ascii="Calibri" w:hAnsi="Calibri"/>
              <w:noProof/>
            </w:rPr>
            <w:fldChar w:fldCharType="begin"/>
          </w:r>
          <w:r w:rsidRPr="00AA089D">
            <w:rPr>
              <w:rFonts w:ascii="Calibri" w:hAnsi="Calibri"/>
              <w:noProof/>
            </w:rPr>
            <w:instrText xml:space="preserve"> PAGEREF _Toc270048969 \h </w:instrText>
          </w:r>
          <w:r w:rsidRPr="00AA089D">
            <w:rPr>
              <w:rFonts w:ascii="Calibri" w:hAnsi="Calibri"/>
              <w:noProof/>
            </w:rPr>
          </w:r>
          <w:r w:rsidRPr="00AA089D">
            <w:rPr>
              <w:rFonts w:ascii="Calibri" w:hAnsi="Calibri"/>
              <w:noProof/>
            </w:rPr>
            <w:fldChar w:fldCharType="separate"/>
          </w:r>
          <w:r w:rsidRPr="00AA089D">
            <w:rPr>
              <w:rFonts w:ascii="Calibri" w:hAnsi="Calibri"/>
              <w:noProof/>
            </w:rPr>
            <w:t>23</w:t>
          </w:r>
          <w:r w:rsidRPr="00AA089D">
            <w:rPr>
              <w:rFonts w:ascii="Calibri" w:hAnsi="Calibri"/>
              <w:noProof/>
            </w:rPr>
            <w:fldChar w:fldCharType="end"/>
          </w:r>
        </w:p>
        <w:p w14:paraId="3EBBA28C" w14:textId="77777777" w:rsidR="00AB2BF4" w:rsidRDefault="00AB2BF4">
          <w:r w:rsidRPr="00AA089D">
            <w:rPr>
              <w:b/>
              <w:bCs/>
              <w:noProof/>
            </w:rPr>
            <w:fldChar w:fldCharType="end"/>
          </w:r>
        </w:p>
      </w:sdtContent>
    </w:sdt>
    <w:p w14:paraId="3F57B48B" w14:textId="77777777" w:rsidR="00416A48" w:rsidRDefault="00416A48" w:rsidP="00755699">
      <w:pPr>
        <w:rPr>
          <w:b/>
        </w:rPr>
      </w:pPr>
    </w:p>
    <w:p w14:paraId="22B6109D" w14:textId="77777777" w:rsidR="00416A48" w:rsidRDefault="00416A48" w:rsidP="00755699">
      <w:pPr>
        <w:rPr>
          <w:b/>
        </w:rPr>
      </w:pPr>
    </w:p>
    <w:p w14:paraId="3DA821E4" w14:textId="77777777" w:rsidR="00CF204A" w:rsidRDefault="00CF204A">
      <w:pPr>
        <w:rPr>
          <w:b/>
        </w:rPr>
      </w:pPr>
      <w:r>
        <w:rPr>
          <w:b/>
        </w:rPr>
        <w:br w:type="page"/>
      </w:r>
    </w:p>
    <w:p w14:paraId="7628ECE9" w14:textId="77777777" w:rsidR="00DA22DF" w:rsidRPr="00317803" w:rsidRDefault="001F0D70" w:rsidP="00703F18">
      <w:pPr>
        <w:pStyle w:val="Heading1"/>
        <w:numPr>
          <w:ilvl w:val="0"/>
          <w:numId w:val="0"/>
        </w:numPr>
        <w:ind w:left="432" w:hanging="432"/>
      </w:pPr>
      <w:bookmarkStart w:id="0" w:name="_Toc270048937"/>
      <w:r w:rsidRPr="00317803">
        <w:lastRenderedPageBreak/>
        <w:t>Executive Summary</w:t>
      </w:r>
      <w:bookmarkEnd w:id="0"/>
    </w:p>
    <w:p w14:paraId="67239C8D" w14:textId="77777777" w:rsidR="00874464" w:rsidRDefault="00874464"/>
    <w:p w14:paraId="247270B0" w14:textId="3B2312CB" w:rsidR="00874464" w:rsidRDefault="00874464" w:rsidP="002D3E61">
      <w:r>
        <w:t xml:space="preserve">The last case of </w:t>
      </w:r>
      <w:r w:rsidR="00567243">
        <w:t xml:space="preserve">wild </w:t>
      </w:r>
      <w:r>
        <w:t>polio</w:t>
      </w:r>
      <w:r w:rsidR="00567243">
        <w:t>virus</w:t>
      </w:r>
      <w:r>
        <w:t xml:space="preserve"> </w:t>
      </w:r>
      <w:r w:rsidR="00567243">
        <w:t xml:space="preserve">was </w:t>
      </w:r>
      <w:r>
        <w:t xml:space="preserve">detected in Cambodia in 1997, and the Western Pacific Region was certified polio-free in 2000. Since 2000, </w:t>
      </w:r>
      <w:r w:rsidR="00567243">
        <w:t xml:space="preserve">due to the efforts of the National Immunization Program, Cambodia has successfully maintained its polio-free status. In 2005-2006, three cases of circulating </w:t>
      </w:r>
      <w:r w:rsidR="003941C1">
        <w:t>vaccine-derived</w:t>
      </w:r>
      <w:r w:rsidR="00567243">
        <w:t xml:space="preserve"> polioviruses (cVDPV) were detected in Cambodia. Immediately following detection, an OPV campaign was conducted and the transmission of the cVDPV was stopped</w:t>
      </w:r>
      <w:r>
        <w:t>.</w:t>
      </w:r>
      <w:r w:rsidR="00B93D22">
        <w:t xml:space="preserve"> </w:t>
      </w:r>
      <w:r w:rsidR="008A321A">
        <w:t>This event</w:t>
      </w:r>
      <w:r w:rsidR="0004762A">
        <w:t xml:space="preserve"> underscores the reality of the risk posed by cVDPVs. </w:t>
      </w:r>
    </w:p>
    <w:p w14:paraId="4A021AEF" w14:textId="77777777" w:rsidR="00874464" w:rsidRDefault="00874464"/>
    <w:p w14:paraId="774926CC" w14:textId="28B8CD07" w:rsidR="00874464" w:rsidRDefault="003B155D">
      <w:r w:rsidRPr="003B155D">
        <w:t xml:space="preserve">In May 2013, the World Health Assembly (WHA) endorsed the </w:t>
      </w:r>
      <w:r w:rsidRPr="003B155D">
        <w:rPr>
          <w:i/>
        </w:rPr>
        <w:t>Polio Eradication &amp; Endgame Strategic Plan 2013-2018</w:t>
      </w:r>
      <w:r w:rsidRPr="003B155D">
        <w:t xml:space="preserve">. </w:t>
      </w:r>
      <w:r w:rsidR="00E320BD">
        <w:t xml:space="preserve">The intent of the plan was to ensure a polio-free world through the eradication of both wild and vaccine-related polioviruses. </w:t>
      </w:r>
      <w:r w:rsidRPr="003B155D">
        <w:t xml:space="preserve">Unlike previous global plans that focused on stopping </w:t>
      </w:r>
      <w:r>
        <w:t>transmission of wild poliovirus</w:t>
      </w:r>
      <w:r w:rsidRPr="003B155D">
        <w:t xml:space="preserve"> </w:t>
      </w:r>
      <w:r>
        <w:t xml:space="preserve">in </w:t>
      </w:r>
      <w:r w:rsidRPr="003B155D">
        <w:t xml:space="preserve">targeted endemic areas, the most recent global polio plan includes strategic objectives relevant to countries in polio-free regions. </w:t>
      </w:r>
      <w:r>
        <w:t xml:space="preserve"> Specifically</w:t>
      </w:r>
      <w:r w:rsidR="00874464">
        <w:t>, the End</w:t>
      </w:r>
      <w:r w:rsidR="00874464" w:rsidRPr="00874464">
        <w:t xml:space="preserve">game Plan calls for all countries to strengthen routine </w:t>
      </w:r>
      <w:r w:rsidR="00874464">
        <w:t xml:space="preserve">immunization, </w:t>
      </w:r>
      <w:r>
        <w:t xml:space="preserve">introduce at least one dose of IPV into the routine immunization schedule, </w:t>
      </w:r>
      <w:r w:rsidR="00874464" w:rsidRPr="00874464">
        <w:t>replace trivalent Oral Polio Vaccine (tOPV) wi</w:t>
      </w:r>
      <w:r>
        <w:t>th bivalent OPV (bOPV) in 2016</w:t>
      </w:r>
      <w:r w:rsidR="0004762A">
        <w:t>, initiate the bio-containment of all polioviruses, and help develop the polio legacy for years to come</w:t>
      </w:r>
      <w:r>
        <w:t xml:space="preserve">. </w:t>
      </w:r>
    </w:p>
    <w:p w14:paraId="2A96A096" w14:textId="77777777" w:rsidR="003B155D" w:rsidRDefault="003B155D"/>
    <w:p w14:paraId="6D0AE38A" w14:textId="00C232A0" w:rsidR="005C09FD" w:rsidRPr="00C13FA4" w:rsidRDefault="0004762A" w:rsidP="005C09FD">
      <w:r>
        <w:t xml:space="preserve">In the past 5 years, 98% of the global cases of cVDPV have been related to the type 2 vaccine strain. Recognizing the risk of type 2 cVDPV, the </w:t>
      </w:r>
      <w:r w:rsidRPr="003B155D">
        <w:t>Strategi</w:t>
      </w:r>
      <w:r>
        <w:t>c Advisory Group of Experts on I</w:t>
      </w:r>
      <w:r w:rsidRPr="003B155D">
        <w:t>mmunization (SAGE)</w:t>
      </w:r>
      <w:r>
        <w:t xml:space="preserve"> recommended the phase withdrawal of OPV, starting with type 2 strains. </w:t>
      </w:r>
      <w:r w:rsidR="003B155D" w:rsidRPr="003B155D">
        <w:t xml:space="preserve">In November </w:t>
      </w:r>
      <w:r w:rsidR="005C09FD">
        <w:t>2012</w:t>
      </w:r>
      <w:r w:rsidR="003B155D" w:rsidRPr="003B155D">
        <w:t>, the Strategi</w:t>
      </w:r>
      <w:r>
        <w:t>c Advisory Group of Experts on I</w:t>
      </w:r>
      <w:r w:rsidR="003B155D" w:rsidRPr="003B155D">
        <w:t>mmunization (SAGE) recommended that</w:t>
      </w:r>
      <w:r w:rsidR="008D5316">
        <w:t xml:space="preserve"> before the switch from trivalent to bivalent OPV</w:t>
      </w:r>
      <w:r w:rsidR="003B155D" w:rsidRPr="003B155D">
        <w:t>: all countries introduce at least one dose of Inactivated Poliovirus Vaccine (IPV) into their routine immunization schedule. The</w:t>
      </w:r>
      <w:r w:rsidR="006F5896">
        <w:t xml:space="preserve">re are </w:t>
      </w:r>
      <w:r w:rsidR="0084203E">
        <w:t>two</w:t>
      </w:r>
      <w:r w:rsidR="006F5896">
        <w:t xml:space="preserve"> major benefits to introducing one </w:t>
      </w:r>
      <w:r w:rsidR="003B155D" w:rsidRPr="003B155D">
        <w:t xml:space="preserve">dose of IPV </w:t>
      </w:r>
      <w:r w:rsidR="006F5896">
        <w:t>in Cambodia.</w:t>
      </w:r>
      <w:r w:rsidR="003B155D" w:rsidRPr="003B155D">
        <w:t xml:space="preserve"> First, it will reduce the risk of type 2 </w:t>
      </w:r>
      <w:r w:rsidR="006F5896">
        <w:t>vaccine-derived paralytic polio outbreaks</w:t>
      </w:r>
      <w:r w:rsidR="003B155D" w:rsidRPr="003B155D">
        <w:t xml:space="preserve"> </w:t>
      </w:r>
      <w:r w:rsidR="006F5896">
        <w:t xml:space="preserve">in Cambodia </w:t>
      </w:r>
      <w:r w:rsidR="004A433D">
        <w:t>after the switch from trivalent OP</w:t>
      </w:r>
      <w:r w:rsidR="00DF6CA0">
        <w:t xml:space="preserve">V </w:t>
      </w:r>
      <w:proofErr w:type="gramStart"/>
      <w:r w:rsidR="00DF6CA0">
        <w:t>(</w:t>
      </w:r>
      <w:r w:rsidR="00345FA3">
        <w:t xml:space="preserve"> serotype</w:t>
      </w:r>
      <w:proofErr w:type="gramEnd"/>
      <w:r w:rsidR="00345FA3">
        <w:t xml:space="preserve"> </w:t>
      </w:r>
      <w:r w:rsidR="00DF6CA0">
        <w:t>1,2,3) to bivalent OPV (</w:t>
      </w:r>
      <w:r w:rsidR="00345FA3">
        <w:t xml:space="preserve">serotype </w:t>
      </w:r>
      <w:r w:rsidR="00DF6CA0">
        <w:t>1&amp;3)</w:t>
      </w:r>
      <w:r w:rsidR="003B155D" w:rsidRPr="003B155D">
        <w:t xml:space="preserve">. Second, a dose of IPV will </w:t>
      </w:r>
      <w:r w:rsidR="0084203E">
        <w:t>increase</w:t>
      </w:r>
      <w:r w:rsidR="003B155D" w:rsidRPr="003B155D">
        <w:t xml:space="preserve"> immunity against types 1 and 3 polio</w:t>
      </w:r>
      <w:r w:rsidR="005C09FD">
        <w:t>viruses. This will ensure</w:t>
      </w:r>
      <w:r w:rsidR="0084203E">
        <w:t xml:space="preserve"> </w:t>
      </w:r>
      <w:r w:rsidR="005C09FD">
        <w:t xml:space="preserve">the </w:t>
      </w:r>
      <w:r w:rsidR="0084203E">
        <w:t xml:space="preserve">children </w:t>
      </w:r>
      <w:r w:rsidR="005C09FD">
        <w:t xml:space="preserve">of Cambodia </w:t>
      </w:r>
      <w:r w:rsidR="0084203E">
        <w:t>are protected in the case of an importation of wild poliovirus.</w:t>
      </w:r>
      <w:r w:rsidR="005C09FD">
        <w:t xml:space="preserve"> </w:t>
      </w:r>
      <w:r w:rsidR="003337C6">
        <w:t>In</w:t>
      </w:r>
      <w:r w:rsidR="003337C6" w:rsidRPr="00C13FA4">
        <w:t xml:space="preserve"> June 2013, the technical advisory group for immunizations in the Western Pacific Region (TAG) recommended that all countries initiate the development of a national polio endgame</w:t>
      </w:r>
      <w:r w:rsidR="003337C6">
        <w:t xml:space="preserve"> with specific plans for IPV introduction in all </w:t>
      </w:r>
      <w:r w:rsidR="00047B99">
        <w:t>exclusively</w:t>
      </w:r>
      <w:r w:rsidR="003C6398">
        <w:t xml:space="preserve"> OPV-using countries.</w:t>
      </w:r>
    </w:p>
    <w:p w14:paraId="758176E5" w14:textId="77777777" w:rsidR="003B155D" w:rsidRDefault="003B155D"/>
    <w:p w14:paraId="0344D465" w14:textId="454592A6" w:rsidR="008B0917" w:rsidRPr="00047B99" w:rsidRDefault="00047B99" w:rsidP="004A68B5">
      <w:r w:rsidRPr="00047B99">
        <w:t xml:space="preserve">Following SAGE </w:t>
      </w:r>
      <w:r>
        <w:t xml:space="preserve">and TAG recommendation, the government of Cambodia initiated discussion about the introduction of IPV. </w:t>
      </w:r>
      <w:r w:rsidR="008B0917">
        <w:t xml:space="preserve">In </w:t>
      </w:r>
      <w:r w:rsidR="004A68B5">
        <w:t>22 April 2014</w:t>
      </w:r>
      <w:r w:rsidR="008B0917">
        <w:t xml:space="preserve">, the government of Cambodia submitted an Expression of Interest to GAVI regarding IPV introduction.  </w:t>
      </w:r>
      <w:r>
        <w:t xml:space="preserve">In </w:t>
      </w:r>
      <w:r w:rsidR="004A68B5">
        <w:t xml:space="preserve">7 </w:t>
      </w:r>
      <w:r w:rsidR="00F32288" w:rsidRPr="004A68B5">
        <w:t>August</w:t>
      </w:r>
      <w:r w:rsidRPr="004A68B5">
        <w:t xml:space="preserve"> 2014, the</w:t>
      </w:r>
      <w:r>
        <w:t xml:space="preserve"> Technical Working Group for Health (TWG-H) reviewed the rationale for IPV introduction and endorsed the introduction</w:t>
      </w:r>
      <w:r w:rsidR="008B0917">
        <w:t xml:space="preserve"> of IPV</w:t>
      </w:r>
      <w:r>
        <w:t xml:space="preserve"> and </w:t>
      </w:r>
      <w:r w:rsidR="008B0917">
        <w:t>supported Cambodia’s application</w:t>
      </w:r>
      <w:r>
        <w:t xml:space="preserve"> to the GAVI</w:t>
      </w:r>
      <w:r w:rsidR="003E7EF1">
        <w:t xml:space="preserve"> alliance for financial support for the introduction. </w:t>
      </w:r>
      <w:r>
        <w:t xml:space="preserve"> </w:t>
      </w:r>
    </w:p>
    <w:p w14:paraId="2F7AAE92" w14:textId="77777777" w:rsidR="008B0917" w:rsidRDefault="008B0917"/>
    <w:p w14:paraId="5B430745" w14:textId="209DF771" w:rsidR="00300372" w:rsidRDefault="00300372">
      <w:r>
        <w:t>In October 2015, IPV will be introduced na</w:t>
      </w:r>
      <w:r w:rsidR="00EF6B29">
        <w:t xml:space="preserve">tionally in Cambodia. Preparation of documents and revision of immunization cards will take place during the third and fourth quarter of 2014 in combination with PCV and JE. </w:t>
      </w:r>
      <w:r w:rsidR="008D5316">
        <w:t>During</w:t>
      </w:r>
      <w:r w:rsidR="00EF6B29">
        <w:t xml:space="preserve"> the beginning of 2015, the training curriculum and materials will be developed. </w:t>
      </w:r>
      <w:r w:rsidR="00606F76">
        <w:t xml:space="preserve">The </w:t>
      </w:r>
      <w:r w:rsidR="00EF6B29">
        <w:t>trainings will take place the four months before introduction (June-September 2015). Following int</w:t>
      </w:r>
      <w:r w:rsidR="005B78A7">
        <w:t xml:space="preserve">roduction, post-introduction monitoring and evaluation will take place. </w:t>
      </w:r>
    </w:p>
    <w:p w14:paraId="6A3623E3" w14:textId="77777777" w:rsidR="005B78A7" w:rsidRDefault="005B78A7"/>
    <w:p w14:paraId="364C0085" w14:textId="39837310" w:rsidR="00C428CC" w:rsidRDefault="00C428CC">
      <w:r>
        <w:t xml:space="preserve">Cambodia has experience introducing other new vaccines including </w:t>
      </w:r>
      <w:r w:rsidR="003941C1">
        <w:t>pentavalent</w:t>
      </w:r>
      <w:r>
        <w:t xml:space="preserve"> vaccine (2010) and a second dose of MR vaccine (2012). Key lessons learned during these introductions were considered during the planning for IPV introduction. </w:t>
      </w:r>
    </w:p>
    <w:p w14:paraId="5029DF37" w14:textId="77777777" w:rsidR="00C428CC" w:rsidRDefault="00C428CC"/>
    <w:p w14:paraId="6F705DB0" w14:textId="6F12D57D" w:rsidR="005B78A7" w:rsidRDefault="005B78A7">
      <w:r>
        <w:t>In addition to IPV introduction, PCV and JE will also be introduced in Cambodia in the next few years</w:t>
      </w:r>
      <w:r w:rsidR="00672D08">
        <w:t xml:space="preserve"> (January 2015 and early 2016 </w:t>
      </w:r>
      <w:r w:rsidR="000C4294">
        <w:t>respectively</w:t>
      </w:r>
      <w:r w:rsidR="00672D08">
        <w:t>)</w:t>
      </w:r>
      <w:r>
        <w:t xml:space="preserve">. </w:t>
      </w:r>
      <w:r w:rsidR="000C4294">
        <w:t xml:space="preserve">Some </w:t>
      </w:r>
      <w:r w:rsidR="008D5316">
        <w:t>preparatory</w:t>
      </w:r>
      <w:r w:rsidR="000C4294">
        <w:t xml:space="preserve"> activities for these </w:t>
      </w:r>
      <w:r w:rsidR="008D5316">
        <w:t xml:space="preserve">three </w:t>
      </w:r>
      <w:r w:rsidR="000C4294">
        <w:t>vaccine introduction</w:t>
      </w:r>
      <w:r w:rsidR="008D5316">
        <w:t>s</w:t>
      </w:r>
      <w:r w:rsidR="000C4294">
        <w:t xml:space="preserve"> (such as revision of the immunization cards and forms) will be combined. </w:t>
      </w:r>
      <w:r w:rsidR="008D5316">
        <w:t>After discussion, it was decided that</w:t>
      </w:r>
      <w:r w:rsidR="000C4294">
        <w:t xml:space="preserve"> in order to avoid confusion of health care workers, trainings </w:t>
      </w:r>
      <w:r w:rsidR="008D5316">
        <w:t>for each vaccine will</w:t>
      </w:r>
      <w:r w:rsidR="000C4294">
        <w:t xml:space="preserve"> be conducted separately. Training for PCV will take place at the end of 2014. Lessons learned from these training sessions will be used to improve the training plan for IPV. </w:t>
      </w:r>
    </w:p>
    <w:p w14:paraId="5C7EB6A6" w14:textId="77777777" w:rsidR="00EF6B29" w:rsidRDefault="00EF6B29"/>
    <w:p w14:paraId="618A9F8B" w14:textId="4B94C3BF" w:rsidR="00143B0E" w:rsidRDefault="00BE68CF" w:rsidP="002D3E61">
      <w:r>
        <w:t>Given</w:t>
      </w:r>
      <w:r w:rsidR="00047B99" w:rsidRPr="00047B99">
        <w:t xml:space="preserve"> </w:t>
      </w:r>
      <w:r w:rsidR="00300372">
        <w:t xml:space="preserve">the high wastage that </w:t>
      </w:r>
      <w:r>
        <w:t>is</w:t>
      </w:r>
      <w:r w:rsidR="00300372">
        <w:t xml:space="preserve"> expected with a 10 dose vial</w:t>
      </w:r>
      <w:r>
        <w:t xml:space="preserve"> in routine immunization</w:t>
      </w:r>
      <w:r w:rsidR="00300372">
        <w:t>, Cambodia</w:t>
      </w:r>
      <w:r w:rsidR="00047B99" w:rsidRPr="00047B99">
        <w:t xml:space="preserve"> prefers </w:t>
      </w:r>
      <w:r w:rsidR="000C1BBB">
        <w:t xml:space="preserve">the </w:t>
      </w:r>
      <w:r>
        <w:t>five</w:t>
      </w:r>
      <w:r w:rsidR="00047B99" w:rsidRPr="00047B99">
        <w:t xml:space="preserve"> dose IPV vial presentation. </w:t>
      </w:r>
      <w:r w:rsidR="000C392D">
        <w:t>The t</w:t>
      </w:r>
      <w:r w:rsidR="00047B99" w:rsidRPr="00047B99">
        <w:t xml:space="preserve">otal </w:t>
      </w:r>
      <w:r w:rsidR="000C392D">
        <w:t xml:space="preserve">expected </w:t>
      </w:r>
      <w:r w:rsidR="00047B99" w:rsidRPr="00047B99">
        <w:t xml:space="preserve">IPV requirement </w:t>
      </w:r>
      <w:r w:rsidR="000C392D">
        <w:t>for the Oct 2015-Dec 2018</w:t>
      </w:r>
      <w:r w:rsidR="00340E8E">
        <w:t xml:space="preserve"> </w:t>
      </w:r>
      <w:r w:rsidR="000C392D">
        <w:t>is around 1.8 million doses.</w:t>
      </w:r>
      <w:r w:rsidR="00047B99" w:rsidRPr="00047B99">
        <w:t xml:space="preserve"> The Government of </w:t>
      </w:r>
      <w:r w:rsidR="00340E8E">
        <w:t>Cambodia</w:t>
      </w:r>
      <w:r w:rsidR="00047B99" w:rsidRPr="00047B99">
        <w:t xml:space="preserve"> </w:t>
      </w:r>
      <w:r w:rsidR="00340E8E">
        <w:t>has estimated that the total cost of IPV introduction (including potential contributions from GAVI, WHO, and UNICEF)</w:t>
      </w:r>
      <w:r w:rsidR="00047B99" w:rsidRPr="00047B99">
        <w:t xml:space="preserve"> </w:t>
      </w:r>
      <w:r w:rsidR="00340E8E">
        <w:t xml:space="preserve">will be </w:t>
      </w:r>
      <w:r w:rsidR="008D5316">
        <w:t>$797,577.</w:t>
      </w:r>
      <w:r w:rsidR="00340E8E">
        <w:t xml:space="preserve"> This estimate includes the cost of reprinting and distributing new immunization cards ($ </w:t>
      </w:r>
      <w:r w:rsidR="008D5316">
        <w:t>315,400</w:t>
      </w:r>
      <w:r w:rsidR="00340E8E">
        <w:t xml:space="preserve">) </w:t>
      </w:r>
      <w:r w:rsidR="00F83E71">
        <w:t>which will be paid by the government and</w:t>
      </w:r>
      <w:r w:rsidR="00340E8E">
        <w:t xml:space="preserve"> is a joint activity </w:t>
      </w:r>
      <w:r w:rsidR="00F83E71">
        <w:t>with</w:t>
      </w:r>
      <w:r w:rsidR="00340E8E">
        <w:t xml:space="preserve"> PCV and JE. </w:t>
      </w:r>
      <w:r w:rsidR="00F83E71">
        <w:t xml:space="preserve">In addition, </w:t>
      </w:r>
      <w:r w:rsidR="00340E8E">
        <w:t xml:space="preserve">Cambodia is requesting a vaccine introduction grant from GAVI of $312,000 for IPV.  Additionally, </w:t>
      </w:r>
      <w:r w:rsidR="008D5316">
        <w:t>WHO</w:t>
      </w:r>
      <w:r w:rsidR="00340E8E">
        <w:t xml:space="preserve"> and </w:t>
      </w:r>
      <w:r w:rsidR="008D5316">
        <w:t>UNICEF</w:t>
      </w:r>
      <w:r w:rsidR="00340E8E">
        <w:t xml:space="preserve"> have proposed potential support of $</w:t>
      </w:r>
      <w:r w:rsidR="008D5316">
        <w:t>55,000</w:t>
      </w:r>
      <w:r w:rsidR="00340E8E">
        <w:t xml:space="preserve"> and $</w:t>
      </w:r>
      <w:r w:rsidR="008D5316">
        <w:t>50,000</w:t>
      </w:r>
      <w:r w:rsidR="00340E8E">
        <w:t xml:space="preserve"> respectively to </w:t>
      </w:r>
      <w:r w:rsidR="008D5316">
        <w:t>provide technical assistance, monitoring</w:t>
      </w:r>
      <w:r w:rsidR="00E80ABF">
        <w:t xml:space="preserve"> support</w:t>
      </w:r>
      <w:r w:rsidR="008D5316">
        <w:t xml:space="preserve">, social mobilization, cold chain </w:t>
      </w:r>
      <w:r w:rsidR="00E80ABF">
        <w:t xml:space="preserve">investments </w:t>
      </w:r>
      <w:r w:rsidR="008D5316">
        <w:t>and other support to</w:t>
      </w:r>
      <w:r w:rsidR="00340E8E">
        <w:t xml:space="preserve"> IPV introduction. Finally, the remaining </w:t>
      </w:r>
      <w:r w:rsidR="00F83E71">
        <w:t>amount</w:t>
      </w:r>
      <w:r w:rsidR="00AB0A04">
        <w:t xml:space="preserve"> ($</w:t>
      </w:r>
      <w:r w:rsidR="00E80ABF">
        <w:t>65,000</w:t>
      </w:r>
      <w:r w:rsidR="00AB0A04">
        <w:t>)</w:t>
      </w:r>
      <w:r w:rsidR="00340E8E">
        <w:t xml:space="preserve"> is expected to be supported by </w:t>
      </w:r>
      <w:r w:rsidR="00F83E71">
        <w:t>HSSP funds an</w:t>
      </w:r>
      <w:r w:rsidR="00E80ABF">
        <w:t>d</w:t>
      </w:r>
      <w:r w:rsidR="00F83E71">
        <w:t xml:space="preserve"> government</w:t>
      </w:r>
      <w:r w:rsidR="00E80ABF">
        <w:t xml:space="preserve"> funds</w:t>
      </w:r>
      <w:r w:rsidR="00340E8E">
        <w:t xml:space="preserve">. </w:t>
      </w:r>
      <w:r w:rsidR="00C14C9B">
        <w:t>A</w:t>
      </w:r>
      <w:r w:rsidR="00C14C9B" w:rsidRPr="00047B99">
        <w:t>s per the GAVI co-financing policy</w:t>
      </w:r>
      <w:r w:rsidR="00C14C9B">
        <w:t xml:space="preserve"> for IPV, the Government will not be </w:t>
      </w:r>
      <w:r w:rsidR="00143B0E">
        <w:t>providing funds to finance the cost of</w:t>
      </w:r>
      <w:r w:rsidR="00C14C9B">
        <w:t xml:space="preserve"> IPV</w:t>
      </w:r>
      <w:r w:rsidR="00143B0E">
        <w:t xml:space="preserve"> procurement</w:t>
      </w:r>
      <w:r w:rsidR="00047B99" w:rsidRPr="00047B99">
        <w:t xml:space="preserve">. </w:t>
      </w:r>
    </w:p>
    <w:p w14:paraId="0646AC31" w14:textId="77777777" w:rsidR="00143B0E" w:rsidRDefault="00143B0E" w:rsidP="00F83E71"/>
    <w:p w14:paraId="309D956D" w14:textId="1E177DED" w:rsidR="00F83E71" w:rsidRPr="00955061" w:rsidRDefault="00047B99" w:rsidP="00F83E71">
      <w:r w:rsidRPr="00047B99">
        <w:t xml:space="preserve">The cold chain capacity analysis at different levels has shown sufficient capacity to accommodate the introduction </w:t>
      </w:r>
      <w:r w:rsidR="00F83E71">
        <w:t>of IPV in</w:t>
      </w:r>
      <w:r w:rsidRPr="00047B99">
        <w:t xml:space="preserve"> five dose vials.  </w:t>
      </w:r>
      <w:r w:rsidR="00F83E71">
        <w:t xml:space="preserve">Cambodia will procure IPV through UNICEF, and the vaccine will be registered with the Department of Drugs and Food (DDF).  </w:t>
      </w:r>
      <w:r w:rsidR="00F83E71" w:rsidRPr="00955061">
        <w:rPr>
          <w:lang w:bidi="lo-LA"/>
        </w:rPr>
        <w:t xml:space="preserve">NIP </w:t>
      </w:r>
      <w:r w:rsidR="007972F9">
        <w:rPr>
          <w:lang w:bidi="lo-LA"/>
        </w:rPr>
        <w:t xml:space="preserve">and the Technical Working Group for Health (TWG-H) </w:t>
      </w:r>
      <w:r w:rsidR="00F83E71" w:rsidRPr="00955061">
        <w:rPr>
          <w:lang w:bidi="lo-LA"/>
        </w:rPr>
        <w:t>will provide oversight over implementation of new vaccine introduction activities and monitoring and supervision.</w:t>
      </w:r>
    </w:p>
    <w:p w14:paraId="206D0B9D" w14:textId="77777777" w:rsidR="003B155D" w:rsidRDefault="003B155D"/>
    <w:p w14:paraId="3CABB371" w14:textId="02731D3A" w:rsidR="00F83E71" w:rsidRDefault="00F83E71">
      <w:r>
        <w:t xml:space="preserve">In line with the SAGE recommendation, a single dose of IPV will be given in addition to OPV, Penta, and PCV at 14 weeks of age. For children who miss immunization sessions and therefore start the immunization schedule late, IPV will be given at the first immunization contact in which the child is older than 14 weeks. </w:t>
      </w:r>
    </w:p>
    <w:p w14:paraId="220FDC41" w14:textId="77777777" w:rsidR="00F83E71" w:rsidRDefault="00F83E71"/>
    <w:p w14:paraId="17F0F955" w14:textId="1D68FFA8" w:rsidR="009F60BF" w:rsidRDefault="00ED3DB8">
      <w:r>
        <w:t>The four major expected challenges are</w:t>
      </w:r>
      <w:r w:rsidR="009F2576">
        <w:t>:</w:t>
      </w:r>
      <w:r>
        <w:t xml:space="preserve"> (1) </w:t>
      </w:r>
      <w:r w:rsidR="005D6C78">
        <w:t xml:space="preserve">fear of </w:t>
      </w:r>
      <w:r>
        <w:t>caregiver</w:t>
      </w:r>
      <w:r w:rsidR="009F2576">
        <w:t xml:space="preserve"> </w:t>
      </w:r>
      <w:r w:rsidR="005D6C78">
        <w:t>of</w:t>
      </w:r>
      <w:r w:rsidR="000E0AED">
        <w:t xml:space="preserve"> </w:t>
      </w:r>
      <w:r w:rsidR="009F2576">
        <w:t>three</w:t>
      </w:r>
      <w:r w:rsidR="000E0AED">
        <w:t xml:space="preserve"> injections</w:t>
      </w:r>
      <w:r w:rsidR="009F2576">
        <w:t xml:space="preserve"> </w:t>
      </w:r>
      <w:r w:rsidR="00942406">
        <w:t xml:space="preserve">to </w:t>
      </w:r>
      <w:r w:rsidR="009F2576">
        <w:t>be given at one visit</w:t>
      </w:r>
      <w:r w:rsidR="000E0AED">
        <w:t xml:space="preserve">, </w:t>
      </w:r>
      <w:r>
        <w:t>(</w:t>
      </w:r>
      <w:r w:rsidR="000E0AED">
        <w:t>2</w:t>
      </w:r>
      <w:r>
        <w:t xml:space="preserve">) </w:t>
      </w:r>
      <w:r w:rsidR="000E0AED">
        <w:t xml:space="preserve">difficulty communicating the </w:t>
      </w:r>
      <w:r w:rsidR="00942406">
        <w:t xml:space="preserve">complex rationale and </w:t>
      </w:r>
      <w:r w:rsidR="000E0AED">
        <w:t>need for IPV, (3)</w:t>
      </w:r>
      <w:r w:rsidR="000E0AED" w:rsidRPr="000E0AED">
        <w:t xml:space="preserve"> </w:t>
      </w:r>
      <w:r w:rsidR="000E0AED">
        <w:t>potential higher than estimated wastage, and (4) inadequate funding to cover all costs of new vaccine introductions. To mitigate</w:t>
      </w:r>
      <w:r w:rsidR="0069056E">
        <w:t xml:space="preserve"> the first two challenges, an emphasis will be placed on communication about IPV introduction at all levels. This is reflecting in the budget and need to ensure information is disseminated to all levels. </w:t>
      </w:r>
      <w:r w:rsidR="000E0AED">
        <w:t xml:space="preserve"> </w:t>
      </w:r>
      <w:r w:rsidR="0069056E">
        <w:t>Additionally, caregiver acceptance will be monit</w:t>
      </w:r>
      <w:r w:rsidR="00311DE5">
        <w:t xml:space="preserve">ored after the introduction to better understand </w:t>
      </w:r>
      <w:r w:rsidR="00264A61">
        <w:t>caregiver’s</w:t>
      </w:r>
      <w:r w:rsidR="00311DE5">
        <w:t xml:space="preserve"> attitudes. To address the challenges of high wastage, Cambodia will collect data on wastage following introduction and request changes in the dose allocation if needed based on the evidence. Finally, to ensure adequate funding, NIP will advocate the importance of new vaccine introductions and try to secure government funding.  </w:t>
      </w:r>
    </w:p>
    <w:p w14:paraId="341D8FF3" w14:textId="77777777" w:rsidR="009F60BF" w:rsidRDefault="009F60BF"/>
    <w:p w14:paraId="7F75E6EA" w14:textId="2FBEE6B4" w:rsidR="00375E79" w:rsidRDefault="00375E79">
      <w:r>
        <w:t xml:space="preserve">The Government of Cambodia is committed to polio eradication </w:t>
      </w:r>
      <w:r w:rsidR="009F60BF">
        <w:t xml:space="preserve">and ensuring </w:t>
      </w:r>
      <w:r>
        <w:t xml:space="preserve">a polio-free world. </w:t>
      </w:r>
      <w:r w:rsidR="009F60BF">
        <w:t xml:space="preserve">The introduction of IPV will be used as an opportunity to strengthen routine immunization and getting additional experience with the introduction of new vaccines.  </w:t>
      </w:r>
    </w:p>
    <w:p w14:paraId="25A68780" w14:textId="77777777" w:rsidR="00317803" w:rsidRDefault="00317803">
      <w:r>
        <w:br w:type="page"/>
      </w:r>
    </w:p>
    <w:p w14:paraId="00A8F3A6" w14:textId="77777777" w:rsidR="001F0D70" w:rsidRDefault="001F0D70"/>
    <w:p w14:paraId="6C97D8FB" w14:textId="77777777" w:rsidR="001F0D70" w:rsidRDefault="001F0D70" w:rsidP="001F0D70">
      <w:pPr>
        <w:pStyle w:val="Heading1"/>
      </w:pPr>
      <w:bookmarkStart w:id="1" w:name="_Toc270048938"/>
      <w:r w:rsidRPr="001F0D70">
        <w:t>Justification for introduction of IPV and national decision-making process</w:t>
      </w:r>
      <w:bookmarkEnd w:id="1"/>
    </w:p>
    <w:p w14:paraId="186BFF70" w14:textId="77777777" w:rsidR="001F0D70" w:rsidRDefault="001F0D70"/>
    <w:p w14:paraId="02331A12" w14:textId="77777777" w:rsidR="00CA7E4C" w:rsidRDefault="00CA7E4C" w:rsidP="00CA7E4C">
      <w:pPr>
        <w:pStyle w:val="Heading2"/>
      </w:pPr>
      <w:bookmarkStart w:id="2" w:name="_Toc270048939"/>
      <w:r>
        <w:t>Rationale for the introduction of IPV</w:t>
      </w:r>
      <w:bookmarkEnd w:id="2"/>
      <w:r>
        <w:t xml:space="preserve"> </w:t>
      </w:r>
    </w:p>
    <w:p w14:paraId="7D7BE8B8" w14:textId="77777777" w:rsidR="00CB16ED" w:rsidRDefault="00CB16ED"/>
    <w:p w14:paraId="159BE64A" w14:textId="77777777" w:rsidR="00F1673E" w:rsidRDefault="00F1673E">
      <w:r>
        <w:t>In 1988</w:t>
      </w:r>
      <w:r w:rsidR="00CB16ED">
        <w:t xml:space="preserve">, all </w:t>
      </w:r>
      <w:r>
        <w:t xml:space="preserve">WHO </w:t>
      </w:r>
      <w:r w:rsidR="00CB16ED">
        <w:t>Member States</w:t>
      </w:r>
      <w:r w:rsidR="007972A0">
        <w:t>, including Cambodia,</w:t>
      </w:r>
      <w:r w:rsidR="00CB16ED">
        <w:t xml:space="preserve"> </w:t>
      </w:r>
      <w:r>
        <w:t>committed to eradicating poliovirus so that no child in the world would ever be paralyzed by this preventable disease</w:t>
      </w:r>
      <w:r w:rsidR="00D91F6B">
        <w:t xml:space="preserve"> again</w:t>
      </w:r>
      <w:r>
        <w:t>.</w:t>
      </w:r>
      <w:r w:rsidR="007972A0">
        <w:t xml:space="preserve"> In 1994,</w:t>
      </w:r>
      <w:r>
        <w:t xml:space="preserve"> </w:t>
      </w:r>
      <w:r w:rsidR="007972A0">
        <w:t>Cambodia began polio eradication activities and in</w:t>
      </w:r>
      <w:r w:rsidR="00D91F6B" w:rsidRPr="00D91F6B">
        <w:t xml:space="preserve"> 199</w:t>
      </w:r>
      <w:r w:rsidR="00D91F6B">
        <w:t xml:space="preserve">5, </w:t>
      </w:r>
      <w:r w:rsidR="00D91F6B" w:rsidRPr="00D91F6B">
        <w:t xml:space="preserve">a polio eradication team was established </w:t>
      </w:r>
      <w:r w:rsidR="007972A0">
        <w:t>to further</w:t>
      </w:r>
      <w:r w:rsidR="00D91F6B" w:rsidRPr="00D91F6B">
        <w:t xml:space="preserve"> </w:t>
      </w:r>
      <w:r w:rsidR="00D91F6B">
        <w:t>intensify</w:t>
      </w:r>
      <w:r w:rsidR="00D91F6B" w:rsidRPr="00D91F6B">
        <w:t xml:space="preserve"> polio eradication. </w:t>
      </w:r>
      <w:r w:rsidR="007972A0">
        <w:t>The last confirmed case of poliomyelitis in Cambodia was detected in</w:t>
      </w:r>
      <w:r w:rsidRPr="00D91F6B">
        <w:t xml:space="preserve"> </w:t>
      </w:r>
      <w:r w:rsidR="007972A0">
        <w:t xml:space="preserve">March </w:t>
      </w:r>
      <w:r w:rsidRPr="00D91F6B">
        <w:t>1997</w:t>
      </w:r>
      <w:r w:rsidR="00D91F6B">
        <w:t>.</w:t>
      </w:r>
      <w:r w:rsidR="007972A0">
        <w:t xml:space="preserve"> </w:t>
      </w:r>
      <w:r w:rsidR="00D91F6B">
        <w:t xml:space="preserve"> </w:t>
      </w:r>
      <w:r w:rsidR="007972A0">
        <w:t xml:space="preserve">In November 2000, Cambodia and the entire Western Pacific Region </w:t>
      </w:r>
      <w:r>
        <w:t xml:space="preserve">was declared polio-free. </w:t>
      </w:r>
    </w:p>
    <w:p w14:paraId="18DE70A3" w14:textId="77777777" w:rsidR="00F1673E" w:rsidRDefault="00F1673E"/>
    <w:p w14:paraId="2893E932" w14:textId="51460082" w:rsidR="00067C32" w:rsidRDefault="00067C32">
      <w:r w:rsidRPr="004113B4">
        <w:t>Although Cambodia has been polio-free for over 15 year</w:t>
      </w:r>
      <w:r w:rsidR="007F49BF">
        <w:t xml:space="preserve">s, the risk of wild poliovirus </w:t>
      </w:r>
      <w:r w:rsidR="00974379" w:rsidRPr="004113B4">
        <w:t xml:space="preserve">importation will remain until polio is eradicated globally.  </w:t>
      </w:r>
      <w:r w:rsidRPr="004113B4">
        <w:t xml:space="preserve">The reality of this </w:t>
      </w:r>
      <w:r w:rsidR="00974379" w:rsidRPr="004113B4">
        <w:t>risk</w:t>
      </w:r>
      <w:r w:rsidRPr="004113B4">
        <w:t xml:space="preserve"> has been illustrated in recent years by the importation of </w:t>
      </w:r>
      <w:r w:rsidR="00EA76B7">
        <w:t xml:space="preserve">wild poliovirus </w:t>
      </w:r>
      <w:r w:rsidR="00D27349">
        <w:t>into countries near Cambodia such as the importation into China in 2011 which resulted in 21 confirmed paralytic cases</w:t>
      </w:r>
      <w:r w:rsidR="001D15F2">
        <w:t xml:space="preserve">. </w:t>
      </w:r>
      <w:r w:rsidR="00474BA9">
        <w:t xml:space="preserve">Therefore, it is critical that high immunization coverage with vaccines that protect against polioviruses is maintained. </w:t>
      </w:r>
    </w:p>
    <w:p w14:paraId="4D65DDAF" w14:textId="77777777" w:rsidR="00974379" w:rsidRDefault="00974379"/>
    <w:p w14:paraId="57F65718" w14:textId="77777777" w:rsidR="00AC32DA" w:rsidRDefault="00974379">
      <w:r>
        <w:t xml:space="preserve">In recent years, significant progress </w:t>
      </w:r>
      <w:r w:rsidR="00434FEF">
        <w:t>has been made towards</w:t>
      </w:r>
      <w:r>
        <w:t xml:space="preserve"> eradicating poliovirus</w:t>
      </w:r>
      <w:r w:rsidR="00474BA9">
        <w:t xml:space="preserve"> globally</w:t>
      </w:r>
      <w:r>
        <w:t xml:space="preserve">. </w:t>
      </w:r>
      <w:r w:rsidR="00434FEF">
        <w:t>However,</w:t>
      </w:r>
      <w:r w:rsidR="00AC32DA">
        <w:t xml:space="preserve"> an additional issue has become </w:t>
      </w:r>
      <w:r w:rsidR="00AC32DA" w:rsidRPr="004113B4">
        <w:t xml:space="preserve">increasingly important. It is known that in extremely rare circumstances, the attenuated vaccine virus strains in </w:t>
      </w:r>
      <w:r w:rsidR="001D15F2">
        <w:t xml:space="preserve">the oral polio vaccine (OPV) can mutate and become </w:t>
      </w:r>
      <w:r w:rsidR="00AC32DA" w:rsidRPr="004113B4">
        <w:t>transmissible and path</w:t>
      </w:r>
      <w:r w:rsidR="001D15F2">
        <w:t xml:space="preserve">ogenic viruses, referred to as </w:t>
      </w:r>
      <w:r w:rsidR="00AC32DA" w:rsidRPr="004113B4">
        <w:t xml:space="preserve">circulating vaccine-derived polioviruses (cVDPVs).  </w:t>
      </w:r>
      <w:proofErr w:type="gramStart"/>
      <w:r w:rsidR="00AC32DA" w:rsidRPr="004113B4">
        <w:t>cVDPVs</w:t>
      </w:r>
      <w:proofErr w:type="gramEnd"/>
      <w:r w:rsidR="00AC32DA" w:rsidRPr="004113B4">
        <w:t xml:space="preserve"> occur in areas with chronically low OPV immunization coverage. </w:t>
      </w:r>
      <w:proofErr w:type="gramStart"/>
      <w:r w:rsidR="00AC32DA" w:rsidRPr="004113B4">
        <w:t>cVDPVs</w:t>
      </w:r>
      <w:proofErr w:type="gramEnd"/>
      <w:r w:rsidR="00AC32DA" w:rsidRPr="004113B4">
        <w:t xml:space="preserve"> have been detected in multiple countries throughout the world, including Cambodia. In 2005</w:t>
      </w:r>
      <w:r w:rsidR="00C274DB" w:rsidRPr="004113B4">
        <w:t xml:space="preserve"> and 2006</w:t>
      </w:r>
      <w:r w:rsidR="00AC32DA" w:rsidRPr="004113B4">
        <w:t xml:space="preserve">, two cases of </w:t>
      </w:r>
      <w:r w:rsidR="00C274DB" w:rsidRPr="004113B4">
        <w:t>c</w:t>
      </w:r>
      <w:r w:rsidR="00AC32DA" w:rsidRPr="004113B4">
        <w:t>VDPV were detected in Cambodia. After detection, a rapid response</w:t>
      </w:r>
      <w:r w:rsidR="00AC32DA">
        <w:t xml:space="preserve"> was initiated, and the cVDPV outbreak was stopped. However, the risk of having another cVDPV emergence remains.</w:t>
      </w:r>
    </w:p>
    <w:p w14:paraId="2078095D" w14:textId="77777777" w:rsidR="00F1673E" w:rsidRDefault="00F1673E"/>
    <w:p w14:paraId="380BFFDD" w14:textId="77777777" w:rsidR="00F1673E" w:rsidRDefault="00F1673E" w:rsidP="00AC32DA">
      <w:r w:rsidRPr="00F1673E">
        <w:t xml:space="preserve">Because of </w:t>
      </w:r>
      <w:r>
        <w:t xml:space="preserve">the risks presented by </w:t>
      </w:r>
      <w:r w:rsidR="00067C32">
        <w:t>c</w:t>
      </w:r>
      <w:r>
        <w:t>VDPVs</w:t>
      </w:r>
      <w:r w:rsidRPr="00F1673E">
        <w:t xml:space="preserve">, </w:t>
      </w:r>
      <w:r w:rsidR="00AC32DA">
        <w:t>in 2008 the</w:t>
      </w:r>
      <w:r w:rsidRPr="00F1673E">
        <w:t xml:space="preserve"> </w:t>
      </w:r>
      <w:r w:rsidR="00AC32DA">
        <w:t>World Health Assembly</w:t>
      </w:r>
      <w:r w:rsidRPr="00F1673E">
        <w:t xml:space="preserve"> </w:t>
      </w:r>
      <w:r w:rsidR="00AC32DA">
        <w:t>declared</w:t>
      </w:r>
      <w:r w:rsidRPr="00F1673E">
        <w:t xml:space="preserve"> that</w:t>
      </w:r>
      <w:r w:rsidR="00AC32DA">
        <w:t xml:space="preserve"> eradicating</w:t>
      </w:r>
      <w:r w:rsidRPr="00F1673E">
        <w:t xml:space="preserve"> </w:t>
      </w:r>
      <w:r w:rsidR="00AC32DA">
        <w:t xml:space="preserve">polio would </w:t>
      </w:r>
      <w:r w:rsidR="001D15F2">
        <w:t>require not only</w:t>
      </w:r>
      <w:r w:rsidR="00AC32DA">
        <w:t xml:space="preserve"> eradicating </w:t>
      </w:r>
      <w:r w:rsidR="001D15F2">
        <w:t xml:space="preserve">wild polioviruses, but also </w:t>
      </w:r>
      <w:r w:rsidR="00AC32DA">
        <w:t xml:space="preserve">vaccine-related polioviruses. In order to accomplish this, </w:t>
      </w:r>
      <w:r w:rsidR="00534D24">
        <w:t xml:space="preserve">the WHA concluded that following the interruption of the </w:t>
      </w:r>
      <w:r w:rsidR="00534D24" w:rsidRPr="00F1673E">
        <w:t xml:space="preserve">transmission of </w:t>
      </w:r>
      <w:r w:rsidR="00534D24">
        <w:t xml:space="preserve">wild poliovirus, </w:t>
      </w:r>
      <w:r>
        <w:t>all</w:t>
      </w:r>
      <w:r w:rsidRPr="00F1673E">
        <w:t xml:space="preserve"> OPV vaccines </w:t>
      </w:r>
      <w:r w:rsidR="00534D24">
        <w:t>would need to be withdrawn</w:t>
      </w:r>
      <w:r w:rsidR="001D15F2">
        <w:t xml:space="preserve"> and replaced with IPV</w:t>
      </w:r>
      <w:r w:rsidRPr="00F1673E">
        <w:t>.</w:t>
      </w:r>
      <w:r w:rsidR="001D15F2">
        <w:t xml:space="preserve"> </w:t>
      </w:r>
    </w:p>
    <w:p w14:paraId="3F639B46" w14:textId="77777777" w:rsidR="001D15F2" w:rsidRDefault="001D15F2"/>
    <w:p w14:paraId="6B48AC09" w14:textId="5299696E" w:rsidR="00BE6658" w:rsidRDefault="00C675EB" w:rsidP="00BE6658">
      <w:r>
        <w:t>However</w:t>
      </w:r>
      <w:r w:rsidR="001D15F2">
        <w:t xml:space="preserve">, in November 2012, the </w:t>
      </w:r>
      <w:r w:rsidR="001D15F2" w:rsidRPr="00CB16ED">
        <w:t>Strategic Advisory Group of Experts (SAGE)</w:t>
      </w:r>
      <w:r w:rsidR="001D15F2">
        <w:t xml:space="preserve"> endorsed a new strategy: </w:t>
      </w:r>
      <w:r w:rsidR="003D1111">
        <w:t>the phased OPV</w:t>
      </w:r>
      <w:r w:rsidR="003D1111" w:rsidRPr="003D1111">
        <w:t xml:space="preserve"> </w:t>
      </w:r>
      <w:r w:rsidR="003D1111">
        <w:t xml:space="preserve">serotype withdrawal, starting with OPV vaccines containing </w:t>
      </w:r>
      <w:r w:rsidR="0048670C">
        <w:t>sero</w:t>
      </w:r>
      <w:r w:rsidR="003D1111">
        <w:t xml:space="preserve">type 2 OPV viruses followed by total OPV cessation. This means that all countries will switch from using the </w:t>
      </w:r>
      <w:r w:rsidR="00BE6658">
        <w:t xml:space="preserve">trivalent OPV (containing </w:t>
      </w:r>
      <w:r w:rsidR="0048670C">
        <w:t xml:space="preserve">serotype 1 </w:t>
      </w:r>
      <w:r w:rsidR="00BE6658">
        <w:t xml:space="preserve">OPV, </w:t>
      </w:r>
      <w:r w:rsidR="0048670C">
        <w:t xml:space="preserve">serotype 2 </w:t>
      </w:r>
      <w:r w:rsidR="00BE6658">
        <w:t xml:space="preserve">OPV, and </w:t>
      </w:r>
      <w:r w:rsidR="0048670C">
        <w:t xml:space="preserve">serotype 3 </w:t>
      </w:r>
      <w:r w:rsidR="00BE6658">
        <w:t>OPV) to bivalent OPV (containing only OPV</w:t>
      </w:r>
      <w:r w:rsidR="0048670C" w:rsidRPr="0048670C">
        <w:t xml:space="preserve"> </w:t>
      </w:r>
      <w:r w:rsidR="0048670C">
        <w:t xml:space="preserve">serotype </w:t>
      </w:r>
      <w:r w:rsidR="00BE6658">
        <w:t>1 and OPV</w:t>
      </w:r>
      <w:r w:rsidR="0048670C" w:rsidRPr="0048670C">
        <w:t xml:space="preserve"> </w:t>
      </w:r>
      <w:r w:rsidR="0048670C">
        <w:t xml:space="preserve">serotype </w:t>
      </w:r>
      <w:r w:rsidR="00BE6658">
        <w:t xml:space="preserve">3). </w:t>
      </w:r>
      <w:r w:rsidR="00BE6658" w:rsidRPr="00BE6658">
        <w:t>The primary reason for stopping the use of OPV</w:t>
      </w:r>
      <w:r w:rsidR="0048670C" w:rsidRPr="0048670C">
        <w:t xml:space="preserve"> </w:t>
      </w:r>
      <w:r w:rsidR="0048670C">
        <w:t xml:space="preserve">serotype </w:t>
      </w:r>
      <w:r w:rsidR="00BE6658" w:rsidRPr="00BE6658">
        <w:t>2 before OPV</w:t>
      </w:r>
      <w:r w:rsidR="0048670C" w:rsidRPr="0048670C">
        <w:t xml:space="preserve"> </w:t>
      </w:r>
      <w:r w:rsidR="0048670C">
        <w:t xml:space="preserve">serotype </w:t>
      </w:r>
      <w:r w:rsidR="00BE6658" w:rsidRPr="00BE6658">
        <w:t>1 and OPV</w:t>
      </w:r>
      <w:r w:rsidR="0048670C" w:rsidRPr="0048670C">
        <w:t xml:space="preserve"> </w:t>
      </w:r>
      <w:r w:rsidR="0048670C">
        <w:t xml:space="preserve">serotype </w:t>
      </w:r>
      <w:r w:rsidR="00BE6658" w:rsidRPr="00BE6658">
        <w:t>3 is that OPV</w:t>
      </w:r>
      <w:r w:rsidR="0048670C" w:rsidRPr="0048670C">
        <w:t xml:space="preserve"> </w:t>
      </w:r>
      <w:r w:rsidR="0048670C">
        <w:t xml:space="preserve">serotype </w:t>
      </w:r>
      <w:r w:rsidR="00BE6658" w:rsidRPr="00BE6658">
        <w:t>2 seems to have the greatest risk of mutating into a VDPV. For example, in the past five years, 98% of all VDPV cases were associated with VDPV2.</w:t>
      </w:r>
      <w:r w:rsidR="00BE6658">
        <w:t xml:space="preserve"> </w:t>
      </w:r>
      <w:r w:rsidR="00BE6658" w:rsidRPr="00BE6658">
        <w:t>In order to operationalize this new policy, all OPV</w:t>
      </w:r>
      <w:r w:rsidR="0048670C" w:rsidRPr="0048670C">
        <w:t xml:space="preserve"> </w:t>
      </w:r>
      <w:r w:rsidR="0048670C">
        <w:t xml:space="preserve">serotype </w:t>
      </w:r>
      <w:r w:rsidR="00BE6658" w:rsidRPr="00BE6658">
        <w:t>2 will be withdrawn, destroyed and replaced by an OPV vaccine that contains only type 1 and type 3 strains (known as bOPV). This process is referred to as the “tOPV–bOPV switch”.</w:t>
      </w:r>
    </w:p>
    <w:p w14:paraId="5DFCCCC7" w14:textId="77777777" w:rsidR="00534D24" w:rsidRDefault="00534D24"/>
    <w:p w14:paraId="4648E3B5" w14:textId="546056B6" w:rsidR="004838B2" w:rsidRDefault="00954E89">
      <w:r>
        <w:t>D</w:t>
      </w:r>
      <w:r w:rsidR="00BE6658">
        <w:t xml:space="preserve">uring and immediately after the switch, if children </w:t>
      </w:r>
      <w:r>
        <w:t>have</w:t>
      </w:r>
      <w:r w:rsidR="00BE6658">
        <w:t xml:space="preserve"> no type 2 immunity they </w:t>
      </w:r>
      <w:r>
        <w:t>will</w:t>
      </w:r>
      <w:r w:rsidR="00BE6658">
        <w:t xml:space="preserve"> be vulnerable to being paralyzed by cVDPV2. </w:t>
      </w:r>
      <w:r w:rsidR="00CB16ED" w:rsidRPr="00CB16ED">
        <w:t xml:space="preserve">To decrease the risk of cVDPV2 cases following the withdrawal of </w:t>
      </w:r>
      <w:r w:rsidR="007A3A6E">
        <w:t>sero</w:t>
      </w:r>
      <w:r w:rsidR="00CB16ED" w:rsidRPr="00CB16ED">
        <w:t xml:space="preserve">type 2 OPV, in November 2012, the Strategic Advisory Group of Experts (SAGE) recommended that at least one dose of IPV should be introduced into the routine immunization program of every country by </w:t>
      </w:r>
      <w:r w:rsidR="00CB16ED">
        <w:t>end-</w:t>
      </w:r>
      <w:r w:rsidR="00CB16ED" w:rsidRPr="00CB16ED">
        <w:t xml:space="preserve">2015. The main purpose of adding IPV to the routine schedule is to provide immunity against type 2 </w:t>
      </w:r>
      <w:r w:rsidR="00CB16ED" w:rsidRPr="00CB16ED">
        <w:lastRenderedPageBreak/>
        <w:t xml:space="preserve">polioviruses in case individuals are exposed to a cVDPV type 2 or </w:t>
      </w:r>
      <w:r w:rsidR="00EA76B7">
        <w:t xml:space="preserve">wild poliovirus </w:t>
      </w:r>
      <w:r w:rsidR="00CB16ED" w:rsidRPr="00CB16ED">
        <w:t>2 (if accidently released from a manufacturing or laboratory facility).  Additionally, adding IPV to the schedule will boost immunity to type 1 and type 3 polioviruses, providing further protection against wild polioviruses if an importation were to occur.</w:t>
      </w:r>
    </w:p>
    <w:p w14:paraId="7554626E" w14:textId="77777777" w:rsidR="004838B2" w:rsidRDefault="004838B2"/>
    <w:p w14:paraId="41510155" w14:textId="77777777" w:rsidR="00C62777" w:rsidRDefault="00BF7F0E">
      <w:r>
        <w:t>In order to prepare for the global switch from trivalent OPV to bivalent</w:t>
      </w:r>
      <w:r w:rsidRPr="00BF7F0E">
        <w:t xml:space="preserve"> </w:t>
      </w:r>
      <w:r>
        <w:t>OPV tentatively scheduled for April 2016, Cambodia will introduce IPV in October 2015.</w:t>
      </w:r>
    </w:p>
    <w:p w14:paraId="5BACFEF5" w14:textId="77777777" w:rsidR="00BE6658" w:rsidRDefault="00BE6658"/>
    <w:p w14:paraId="16BDD81F" w14:textId="77777777" w:rsidR="00CA7E4C" w:rsidRDefault="00CA7E4C" w:rsidP="004838B2">
      <w:pPr>
        <w:pStyle w:val="Heading2"/>
      </w:pPr>
      <w:bookmarkStart w:id="3" w:name="_Toc270048940"/>
      <w:r>
        <w:t>Decision making process for the introduction of IPV</w:t>
      </w:r>
      <w:bookmarkEnd w:id="3"/>
    </w:p>
    <w:p w14:paraId="0C18CBF2" w14:textId="77777777" w:rsidR="00CA7E4C" w:rsidRDefault="00CA7E4C"/>
    <w:p w14:paraId="2E54BC9C" w14:textId="77777777" w:rsidR="00CB16ED" w:rsidRDefault="00CB16ED" w:rsidP="004838B2">
      <w:r w:rsidRPr="00CB16ED">
        <w:t xml:space="preserve">Following the </w:t>
      </w:r>
      <w:r w:rsidR="00BF7F0E" w:rsidRPr="00CB16ED">
        <w:t xml:space="preserve">TAG </w:t>
      </w:r>
      <w:r w:rsidR="00BF7F0E">
        <w:t xml:space="preserve">recommendation in June 2013 and the </w:t>
      </w:r>
      <w:r w:rsidRPr="00CB16ED">
        <w:t>SAGE reco</w:t>
      </w:r>
      <w:r>
        <w:t xml:space="preserve">mmendation in November 2013, Cambodia </w:t>
      </w:r>
      <w:r w:rsidRPr="00CB16ED">
        <w:t xml:space="preserve">initiated discussion among immunization partners regarding the introduction </w:t>
      </w:r>
      <w:r w:rsidR="00BF7F0E">
        <w:t>of IPV. Following consultation</w:t>
      </w:r>
      <w:r w:rsidR="0076118A">
        <w:t xml:space="preserve">, </w:t>
      </w:r>
      <w:r>
        <w:t>the Ministry of Health in Cambodia</w:t>
      </w:r>
      <w:r w:rsidRPr="00CB16ED">
        <w:t xml:space="preserve"> decided to introduce IPV into th</w:t>
      </w:r>
      <w:r w:rsidR="00BF7F0E">
        <w:t xml:space="preserve">e routine immunization program in October 2015. </w:t>
      </w:r>
    </w:p>
    <w:p w14:paraId="03D48145" w14:textId="77777777" w:rsidR="00CB16ED" w:rsidRDefault="00CB16ED" w:rsidP="004838B2"/>
    <w:p w14:paraId="0A6FEA51" w14:textId="515C67F2" w:rsidR="00841DA9" w:rsidRDefault="00CB16ED" w:rsidP="00264A61">
      <w:r w:rsidRPr="00264A61">
        <w:t>The IPV introduction plan, introduction timeline, and introduction costs (budget) were presented to the Technical Working Group for Health (TWG</w:t>
      </w:r>
      <w:r w:rsidR="00B378DE" w:rsidRPr="00264A61">
        <w:t>-H</w:t>
      </w:r>
      <w:r w:rsidRPr="00264A61">
        <w:t xml:space="preserve">) meeting in </w:t>
      </w:r>
      <w:r w:rsidR="004A68B5" w:rsidRPr="00264A61">
        <w:t>7 August</w:t>
      </w:r>
      <w:r w:rsidRPr="00264A61">
        <w:t xml:space="preserve"> 2014. In the m</w:t>
      </w:r>
      <w:r w:rsidR="00264A61">
        <w:t xml:space="preserve">eeting, the plan, timeline, </w:t>
      </w:r>
      <w:r w:rsidRPr="00264A61">
        <w:t xml:space="preserve">budget </w:t>
      </w:r>
      <w:r w:rsidR="00264A61">
        <w:t xml:space="preserve">and proposed application to GAVI </w:t>
      </w:r>
      <w:r w:rsidRPr="00264A61">
        <w:t xml:space="preserve">were endorsed. </w:t>
      </w:r>
    </w:p>
    <w:p w14:paraId="027CEC63" w14:textId="77777777" w:rsidR="00C62777" w:rsidRDefault="00C62777"/>
    <w:p w14:paraId="0D8545F8" w14:textId="77777777" w:rsidR="001F0D70" w:rsidRDefault="001F0D70" w:rsidP="00CA7E4C">
      <w:pPr>
        <w:pStyle w:val="Heading2"/>
      </w:pPr>
      <w:bookmarkStart w:id="4" w:name="_Toc270048941"/>
      <w:r>
        <w:t>T</w:t>
      </w:r>
      <w:r w:rsidRPr="001F0D70">
        <w:t>echnical and operational feasibility of introducing IPV</w:t>
      </w:r>
      <w:bookmarkEnd w:id="4"/>
    </w:p>
    <w:p w14:paraId="4CD9F0D2" w14:textId="77777777" w:rsidR="001F0D70" w:rsidRDefault="001F0D70"/>
    <w:p w14:paraId="5FF87BD5" w14:textId="77777777" w:rsidR="00BF7F0E" w:rsidRDefault="00BF7F0E">
      <w:r>
        <w:t xml:space="preserve">A single dose of IPV will be introduced into the routine immunization schedule. Therefore, unlike some other new vaccines, IPV does not call for additional campaign planning or specialized delivery to a new target population. For this reason, IPV introduction is expected to be technically and operationally feasible by </w:t>
      </w:r>
      <w:r w:rsidR="00F527A0">
        <w:t>using the existing system for all routine immunization.</w:t>
      </w:r>
    </w:p>
    <w:p w14:paraId="5AB38886" w14:textId="77777777" w:rsidR="002D62E0" w:rsidRDefault="002D62E0"/>
    <w:p w14:paraId="348956F8" w14:textId="77777777" w:rsidR="00B378DE" w:rsidRDefault="00B378DE" w:rsidP="0029509B">
      <w:r>
        <w:t xml:space="preserve">Cambodia </w:t>
      </w:r>
      <w:r w:rsidR="00BE214D">
        <w:t>has experience introducing other new</w:t>
      </w:r>
      <w:r>
        <w:t xml:space="preserve"> vaccines </w:t>
      </w:r>
      <w:r w:rsidR="00BE214D">
        <w:t>including</w:t>
      </w:r>
      <w:r>
        <w:t xml:space="preserve"> </w:t>
      </w:r>
      <w:proofErr w:type="gramStart"/>
      <w:r>
        <w:t>Pentavalent</w:t>
      </w:r>
      <w:proofErr w:type="gramEnd"/>
      <w:r>
        <w:t xml:space="preserve"> vaccine (2010) and </w:t>
      </w:r>
      <w:r w:rsidR="00BE214D">
        <w:t>a</w:t>
      </w:r>
      <w:r>
        <w:t xml:space="preserve"> second dose of MR vaccine (2012). </w:t>
      </w:r>
      <w:r w:rsidR="0029509B">
        <w:t>Key l</w:t>
      </w:r>
      <w:r>
        <w:t>essons learned</w:t>
      </w:r>
      <w:r w:rsidR="00BE214D">
        <w:t xml:space="preserve"> </w:t>
      </w:r>
      <w:r w:rsidR="0029509B">
        <w:t xml:space="preserve">during these introductions were considered during the planning for IPV introduction. </w:t>
      </w:r>
    </w:p>
    <w:p w14:paraId="13DA3D37" w14:textId="77777777" w:rsidR="00B378DE" w:rsidRDefault="00B378DE"/>
    <w:p w14:paraId="366B27A5" w14:textId="76F90C3E" w:rsidR="00B378DE" w:rsidRDefault="00BE214D">
      <w:r>
        <w:t>Additionally, i</w:t>
      </w:r>
      <w:r w:rsidR="00B378DE">
        <w:t>n January 2015, three doses of</w:t>
      </w:r>
      <w:r w:rsidR="007A3A6E">
        <w:t xml:space="preserve"> the pneumococcal vaccine (PCV</w:t>
      </w:r>
      <w:r w:rsidR="00B378DE">
        <w:t xml:space="preserve">) will be introduced into the routine immunization schedule. The </w:t>
      </w:r>
      <w:r>
        <w:t xml:space="preserve">experience gained from the </w:t>
      </w:r>
      <w:r w:rsidR="00B378DE">
        <w:t xml:space="preserve">introduction of PCV </w:t>
      </w:r>
      <w:r>
        <w:t>wi</w:t>
      </w:r>
      <w:r w:rsidR="0029509B">
        <w:t xml:space="preserve">ll be used to assist the implementation of IPV </w:t>
      </w:r>
      <w:r>
        <w:t>introduction</w:t>
      </w:r>
      <w:r w:rsidR="0029509B">
        <w:t xml:space="preserve">. </w:t>
      </w:r>
      <w:r w:rsidR="00B378DE">
        <w:t xml:space="preserve">Additionally, </w:t>
      </w:r>
      <w:r w:rsidR="0029509B">
        <w:t>because PCV, IPV, and JE will all be introduced in the next two years, opportunities to capitalize on these concurrent introductions and combine activities will be taken. For example, the immunization cards, tally sheets, and immunization registry will all be revised at one point in time for PCV, IPV, and JE</w:t>
      </w:r>
      <w:r w:rsidR="00B378DE">
        <w:t xml:space="preserve">. </w:t>
      </w:r>
    </w:p>
    <w:p w14:paraId="47DCB56A" w14:textId="77777777" w:rsidR="002D62E0" w:rsidRDefault="002D62E0"/>
    <w:p w14:paraId="7928807E" w14:textId="77777777" w:rsidR="002D62E0" w:rsidRDefault="002D62E0" w:rsidP="002D62E0">
      <w:pPr>
        <w:pStyle w:val="Heading1"/>
      </w:pPr>
      <w:bookmarkStart w:id="5" w:name="_Toc270048942"/>
      <w:r>
        <w:t>Situational analysis of the immunization program</w:t>
      </w:r>
      <w:bookmarkEnd w:id="5"/>
    </w:p>
    <w:p w14:paraId="21D64B93" w14:textId="77777777" w:rsidR="002D62E0" w:rsidRDefault="002D62E0" w:rsidP="002D62E0">
      <w:pPr>
        <w:pStyle w:val="Heading2"/>
        <w:numPr>
          <w:ilvl w:val="0"/>
          <w:numId w:val="0"/>
        </w:numPr>
        <w:ind w:left="576" w:hanging="576"/>
      </w:pPr>
    </w:p>
    <w:p w14:paraId="351E0C29" w14:textId="77777777" w:rsidR="002D62E0" w:rsidRDefault="002D62E0" w:rsidP="002D62E0">
      <w:pPr>
        <w:pStyle w:val="Heading2"/>
      </w:pPr>
      <w:bookmarkStart w:id="6" w:name="_Toc270048943"/>
      <w:r>
        <w:t>General context of the country</w:t>
      </w:r>
      <w:bookmarkEnd w:id="6"/>
    </w:p>
    <w:p w14:paraId="5CC55EDA" w14:textId="77777777" w:rsidR="002D62E0" w:rsidRDefault="002D62E0" w:rsidP="002D62E0"/>
    <w:p w14:paraId="1AD4C8DC" w14:textId="77777777" w:rsidR="002D62E0" w:rsidRDefault="002D62E0" w:rsidP="002D62E0">
      <w:r w:rsidRPr="00464B24">
        <w:rPr>
          <w:b/>
        </w:rPr>
        <w:t xml:space="preserve">Structure of Health System: </w:t>
      </w:r>
      <w:r w:rsidRPr="00464B24">
        <w:t xml:space="preserve">The health system in Cambodia is divided into three levels: Central, Provincial </w:t>
      </w:r>
      <w:r>
        <w:t xml:space="preserve">Health Districts (PHD) </w:t>
      </w:r>
      <w:r w:rsidRPr="00464B24">
        <w:t>and Operational District</w:t>
      </w:r>
      <w:r>
        <w:t>s (OD)</w:t>
      </w:r>
      <w:r w:rsidRPr="00464B24">
        <w:t xml:space="preserve"> including health </w:t>
      </w:r>
      <w:r w:rsidR="00417F67">
        <w:t>center</w:t>
      </w:r>
      <w:r w:rsidRPr="00464B24">
        <w:t xml:space="preserve">s </w:t>
      </w:r>
      <w:r>
        <w:t xml:space="preserve">(HC), Health Posts (HP) </w:t>
      </w:r>
      <w:r w:rsidRPr="00464B24">
        <w:t xml:space="preserve">and referral hospitals.  </w:t>
      </w:r>
      <w:r w:rsidR="0068682A">
        <w:t xml:space="preserve">At the central level, there are </w:t>
      </w:r>
      <w:r w:rsidRPr="00464B24">
        <w:t>eight national hospitals.  The</w:t>
      </w:r>
      <w:r>
        <w:t xml:space="preserve"> Provincial level consists of 25</w:t>
      </w:r>
      <w:r w:rsidRPr="00464B24">
        <w:t xml:space="preserve"> Provincial </w:t>
      </w:r>
      <w:r w:rsidRPr="00B75B7A">
        <w:t xml:space="preserve">Health Departments and four regional training </w:t>
      </w:r>
      <w:r w:rsidR="00417F67" w:rsidRPr="00B75B7A">
        <w:t>center</w:t>
      </w:r>
      <w:r w:rsidRPr="00B75B7A">
        <w:t>s.  There are 81 Operational Districts</w:t>
      </w:r>
      <w:r w:rsidR="004F1E7A">
        <w:t xml:space="preserve"> with 86 referral hospitals</w:t>
      </w:r>
      <w:r w:rsidRPr="00B75B7A">
        <w:t>, which manage 1,</w:t>
      </w:r>
      <w:r w:rsidR="00B75B7A" w:rsidRPr="00B75B7A">
        <w:t>093</w:t>
      </w:r>
      <w:r w:rsidRPr="00B75B7A">
        <w:t xml:space="preserve"> Health Centers (HC) and </w:t>
      </w:r>
      <w:r w:rsidR="00B75B7A" w:rsidRPr="00B75B7A">
        <w:t>87</w:t>
      </w:r>
      <w:r w:rsidRPr="00B75B7A">
        <w:t xml:space="preserve"> health </w:t>
      </w:r>
      <w:r w:rsidRPr="00B75B7A">
        <w:lastRenderedPageBreak/>
        <w:t>posts (HP). Lastly, there are 14,340 village health support groups (VHSG) served by the heal</w:t>
      </w:r>
      <w:r>
        <w:t xml:space="preserve">th centers and health posts. </w:t>
      </w:r>
    </w:p>
    <w:p w14:paraId="702A5678" w14:textId="77777777" w:rsidR="002D62E0" w:rsidRPr="004270D0" w:rsidRDefault="004270D0" w:rsidP="002D62E0">
      <w:pPr>
        <w:rPr>
          <w:b/>
        </w:rPr>
      </w:pPr>
      <w:r w:rsidRPr="004270D0">
        <w:rPr>
          <w:b/>
          <w:noProof/>
          <w:lang w:eastAsia="zh-CN"/>
        </w:rPr>
        <w:drawing>
          <wp:inline distT="0" distB="0" distL="0" distR="0" wp14:anchorId="1BCE2E1A" wp14:editId="7DD0A05B">
            <wp:extent cx="6371590" cy="914400"/>
            <wp:effectExtent l="19050" t="0" r="2921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3441C6D" w14:textId="77777777" w:rsidR="004270D0" w:rsidRDefault="004270D0" w:rsidP="002D62E0">
      <w:pPr>
        <w:rPr>
          <w:b/>
        </w:rPr>
      </w:pPr>
    </w:p>
    <w:p w14:paraId="07034B8E" w14:textId="48CFCC16" w:rsidR="002D62E0" w:rsidRDefault="002D62E0" w:rsidP="002D62E0">
      <w:r w:rsidRPr="00464B24">
        <w:rPr>
          <w:b/>
        </w:rPr>
        <w:t xml:space="preserve">History of National Immunization Program: </w:t>
      </w:r>
      <w:r w:rsidRPr="00464B24">
        <w:t xml:space="preserve">In 1986, the government of Cambodia </w:t>
      </w:r>
      <w:r w:rsidR="004270D0">
        <w:t>started</w:t>
      </w:r>
      <w:r>
        <w:t xml:space="preserve"> </w:t>
      </w:r>
      <w:r w:rsidRPr="00464B24">
        <w:t xml:space="preserve">expanded program for immunization (EPI) </w:t>
      </w:r>
      <w:r w:rsidR="004270D0">
        <w:t>activities in some provinces</w:t>
      </w:r>
      <w:r w:rsidRPr="00464B24">
        <w:t>.</w:t>
      </w:r>
      <w:r w:rsidR="004270D0">
        <w:t xml:space="preserve"> The </w:t>
      </w:r>
      <w:r w:rsidR="007A3A6E" w:rsidRPr="00464B24">
        <w:t xml:space="preserve">immunization </w:t>
      </w:r>
      <w:r w:rsidR="004270D0">
        <w:t xml:space="preserve">program was expanded to the entire country in 1988. </w:t>
      </w:r>
      <w:r w:rsidRPr="00464B24">
        <w:t xml:space="preserve"> </w:t>
      </w:r>
      <w:r w:rsidR="00B75B7A">
        <w:t>Polio eradication activities started in 1994, and i</w:t>
      </w:r>
      <w:r w:rsidRPr="00464B24">
        <w:t>n 199</w:t>
      </w:r>
      <w:r w:rsidR="00694E9E">
        <w:t>7</w:t>
      </w:r>
      <w:r w:rsidRPr="00464B24">
        <w:t xml:space="preserve"> a polio eradication team was established to </w:t>
      </w:r>
      <w:r w:rsidR="00694E9E">
        <w:t>intensify</w:t>
      </w:r>
      <w:r w:rsidR="00B75B7A">
        <w:t xml:space="preserve"> the activities</w:t>
      </w:r>
      <w:r w:rsidRPr="00464B24">
        <w:t xml:space="preserve">. </w:t>
      </w:r>
      <w:r>
        <w:t>T</w:t>
      </w:r>
      <w:r w:rsidRPr="00464B24">
        <w:t xml:space="preserve">he Ministry of Health </w:t>
      </w:r>
      <w:r>
        <w:t>also established the</w:t>
      </w:r>
      <w:r w:rsidRPr="00464B24">
        <w:t xml:space="preserve"> national immunization program (NIP) in order to integrate the expanded program for immunization and the polio eradication into a single structure.</w:t>
      </w:r>
      <w:r>
        <w:t xml:space="preserve"> </w:t>
      </w:r>
    </w:p>
    <w:p w14:paraId="247644C7" w14:textId="77777777" w:rsidR="00B75B7A" w:rsidRDefault="00B75B7A" w:rsidP="002D62E0"/>
    <w:p w14:paraId="683956FD" w14:textId="5D105BFE" w:rsidR="00B75B7A" w:rsidRPr="008F4034" w:rsidRDefault="00F21331" w:rsidP="00BD11E9">
      <w:r w:rsidRPr="00F21331">
        <w:t>Following the NIP</w:t>
      </w:r>
      <w:r w:rsidR="007A3A6E">
        <w:t>’</w:t>
      </w:r>
      <w:r w:rsidRPr="00F21331">
        <w:t xml:space="preserve">s success with polio </w:t>
      </w:r>
      <w:r w:rsidR="00BD11E9">
        <w:t>eradication</w:t>
      </w:r>
      <w:r w:rsidRPr="00F21331">
        <w:t xml:space="preserve">, attention was turned to reducing the burden of measles, maternal and neonatal tetanus, primarily through expanding the reach of routine immunization services and conducting TT and measles campaign that targeted infants/children, pregnant and child bearing age women (15-44 year of age) throughout the country. In 2001 auto disposable syringes and safety boxes were introduced into the immunization program, </w:t>
      </w:r>
      <w:r w:rsidR="007A3A6E">
        <w:t xml:space="preserve">three doses of </w:t>
      </w:r>
      <w:r w:rsidRPr="00F21331">
        <w:t>hepatitis B vaccine was introduced in 2001</w:t>
      </w:r>
      <w:r w:rsidR="007A3A6E">
        <w:t xml:space="preserve"> and then</w:t>
      </w:r>
      <w:r w:rsidRPr="00F21331">
        <w:t xml:space="preserve"> a birth dose </w:t>
      </w:r>
      <w:r w:rsidR="007A3A6E">
        <w:t xml:space="preserve">was added to the schedule </w:t>
      </w:r>
      <w:r w:rsidRPr="00F21331">
        <w:t>in 2006.</w:t>
      </w:r>
      <w:r>
        <w:t xml:space="preserve"> </w:t>
      </w:r>
      <w:r w:rsidR="00B75B7A">
        <w:t xml:space="preserve"> In 2010, the country introduced the pentavalent vaccine (DPT-Hib-HepB), which meant children </w:t>
      </w:r>
      <w:r w:rsidR="00B75B7A" w:rsidRPr="008F4034">
        <w:t xml:space="preserve">were now being protected against an additional vaccine-preventable disease—Haemophilus influenzae B (Hib). In 2012, a second dose of measles containing vaccine (MCV2) was added </w:t>
      </w:r>
      <w:r w:rsidR="001B3902">
        <w:t xml:space="preserve">to the routine immunization schedule </w:t>
      </w:r>
      <w:r w:rsidR="00B75B7A" w:rsidRPr="008F4034">
        <w:t xml:space="preserve">to </w:t>
      </w:r>
      <w:r w:rsidRPr="008F4034">
        <w:t>be given at 18 months.</w:t>
      </w:r>
      <w:r w:rsidR="00B75B7A" w:rsidRPr="008F4034">
        <w:t xml:space="preserve"> </w:t>
      </w:r>
    </w:p>
    <w:p w14:paraId="7ACB19CC" w14:textId="77777777" w:rsidR="002D62E0" w:rsidRPr="008F4034" w:rsidRDefault="002D62E0" w:rsidP="002D62E0"/>
    <w:p w14:paraId="5CA9AAE8" w14:textId="77777777" w:rsidR="002D62E0" w:rsidRPr="00694E9E" w:rsidRDefault="002D62E0" w:rsidP="002D62E0">
      <w:pPr>
        <w:rPr>
          <w:b/>
        </w:rPr>
      </w:pPr>
      <w:r w:rsidRPr="008F4034">
        <w:rPr>
          <w:b/>
        </w:rPr>
        <w:t xml:space="preserve">Structure of National Immunization Program: </w:t>
      </w:r>
      <w:r w:rsidRPr="008F4034">
        <w:t>At the central level, the National Immunization</w:t>
      </w:r>
      <w:r>
        <w:t xml:space="preserve"> Program (NIP) </w:t>
      </w:r>
      <w:proofErr w:type="gramStart"/>
      <w:r>
        <w:t>staff are</w:t>
      </w:r>
      <w:proofErr w:type="gramEnd"/>
      <w:r>
        <w:t xml:space="preserve"> responsible for the oversight and implementation of all activities. The responsibilities of each officer </w:t>
      </w:r>
      <w:r w:rsidR="007334A5">
        <w:t>are</w:t>
      </w:r>
      <w:r>
        <w:t xml:space="preserve"> shown below. </w:t>
      </w:r>
    </w:p>
    <w:p w14:paraId="740E7399" w14:textId="77777777" w:rsidR="002D62E0" w:rsidRDefault="002D62E0" w:rsidP="002D62E0"/>
    <w:p w14:paraId="6975B54F" w14:textId="77777777" w:rsidR="002D62E0" w:rsidRDefault="002D62E0" w:rsidP="002D62E0">
      <w:r>
        <w:rPr>
          <w:noProof/>
          <w:lang w:eastAsia="zh-CN"/>
        </w:rPr>
        <w:drawing>
          <wp:inline distT="0" distB="0" distL="0" distR="0" wp14:anchorId="499637C1" wp14:editId="22E5C394">
            <wp:extent cx="6172200" cy="2023538"/>
            <wp:effectExtent l="0" t="0" r="0" b="8890"/>
            <wp:docPr id="8" name="Picture 8" descr="Macintosh HD:Users:laurenplatt:Documents:WHO Polio Eradication:WPRO Polio:Cambodia Mission:GAVI Application :Figures for Application:Figures Health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platt:Documents:WHO Polio Eradication:WPRO Polio:Cambodia Mission:GAVI Application :Figures for Application:Figures Health Syste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51561" b="23084"/>
                    <a:stretch/>
                  </pic:blipFill>
                  <pic:spPr bwMode="auto">
                    <a:xfrm>
                      <a:off x="0" y="0"/>
                      <a:ext cx="6176128" cy="2024826"/>
                    </a:xfrm>
                    <a:prstGeom prst="rect">
                      <a:avLst/>
                    </a:prstGeom>
                    <a:noFill/>
                    <a:ln>
                      <a:noFill/>
                    </a:ln>
                    <a:extLst>
                      <a:ext uri="{53640926-AAD7-44D8-BBD7-CCE9431645EC}">
                        <a14:shadowObscured xmlns:a14="http://schemas.microsoft.com/office/drawing/2010/main"/>
                      </a:ext>
                    </a:extLst>
                  </pic:spPr>
                </pic:pic>
              </a:graphicData>
            </a:graphic>
          </wp:inline>
        </w:drawing>
      </w:r>
    </w:p>
    <w:p w14:paraId="63B973EF" w14:textId="77777777" w:rsidR="002D62E0" w:rsidRDefault="002D62E0" w:rsidP="002D62E0"/>
    <w:p w14:paraId="5CA188AA" w14:textId="77777777" w:rsidR="002D62E0" w:rsidRDefault="002D62E0" w:rsidP="002D62E0">
      <w:r w:rsidRPr="00DE0378">
        <w:t xml:space="preserve">At the Provincial level, central supervisors </w:t>
      </w:r>
      <w:r w:rsidR="00694E9E">
        <w:t>interact with</w:t>
      </w:r>
      <w:r w:rsidRPr="00DE0378">
        <w:t xml:space="preserve"> the Pro</w:t>
      </w:r>
      <w:r>
        <w:t xml:space="preserve">vincial Health Director (PHD) and the </w:t>
      </w:r>
      <w:r w:rsidRPr="00DE0378">
        <w:t xml:space="preserve">EPI manager. At the OD level, programs are managed by the OD Director and District EPI manager. At the service delivery point, immunization services are provided </w:t>
      </w:r>
      <w:r w:rsidR="00417F67">
        <w:t xml:space="preserve">by healthcare workers </w:t>
      </w:r>
      <w:r w:rsidRPr="00DE0378">
        <w:t xml:space="preserve">as part of a Minimum Package of Activities (MPA) that include maternal and child health services and communicable disease </w:t>
      </w:r>
      <w:r w:rsidRPr="00DE0378">
        <w:lastRenderedPageBreak/>
        <w:t>control activities</w:t>
      </w:r>
      <w:r w:rsidR="00694E9E">
        <w:t>.  Health</w:t>
      </w:r>
      <w:r w:rsidRPr="00DE0378">
        <w:t xml:space="preserve"> </w:t>
      </w:r>
      <w:r>
        <w:t>center</w:t>
      </w:r>
      <w:r w:rsidRPr="00DE0378">
        <w:t xml:space="preserve"> </w:t>
      </w:r>
      <w:proofErr w:type="gramStart"/>
      <w:r w:rsidRPr="00DE0378">
        <w:t xml:space="preserve">staff (midwives and nurses) </w:t>
      </w:r>
      <w:r w:rsidR="00694E9E">
        <w:t>are</w:t>
      </w:r>
      <w:proofErr w:type="gramEnd"/>
      <w:r w:rsidR="00694E9E">
        <w:t xml:space="preserve"> </w:t>
      </w:r>
      <w:r w:rsidRPr="00DE0378">
        <w:t>under the direction of the health center chief. The majority of immunization</w:t>
      </w:r>
      <w:r w:rsidR="00AC54E7">
        <w:t xml:space="preserve"> services</w:t>
      </w:r>
      <w:r w:rsidRPr="00DE0378">
        <w:t xml:space="preserve"> (80%) are provided in villages through outreach services, often in collaboration with</w:t>
      </w:r>
      <w:r w:rsidR="00D07CDD">
        <w:t xml:space="preserve"> VHSG, local authorities, and NGOs</w:t>
      </w:r>
      <w:r w:rsidRPr="00DE0378">
        <w:t>.</w:t>
      </w:r>
    </w:p>
    <w:p w14:paraId="3C04D0BA" w14:textId="77777777" w:rsidR="002D62E0" w:rsidRDefault="002D62E0" w:rsidP="002D62E0"/>
    <w:p w14:paraId="1FC849C9" w14:textId="77777777" w:rsidR="002D62E0" w:rsidRDefault="002D62E0" w:rsidP="002D62E0">
      <w:pPr>
        <w:pStyle w:val="Heading2"/>
      </w:pPr>
      <w:bookmarkStart w:id="7" w:name="_Toc270048944"/>
      <w:r>
        <w:t>Trends in immunization coverage</w:t>
      </w:r>
      <w:bookmarkEnd w:id="7"/>
    </w:p>
    <w:p w14:paraId="61C3722B" w14:textId="77777777" w:rsidR="002D62E0" w:rsidRDefault="002D62E0" w:rsidP="002D62E0"/>
    <w:p w14:paraId="21FFC6C5" w14:textId="77777777" w:rsidR="002D62E0" w:rsidRPr="006A6176" w:rsidRDefault="002D62E0" w:rsidP="002D62E0">
      <w:r>
        <w:t>WHO-UNICEF estimates of coverage</w:t>
      </w:r>
      <w:r w:rsidR="00C94213">
        <w:t>, 2006-2013.</w:t>
      </w:r>
    </w:p>
    <w:tbl>
      <w:tblPr>
        <w:tblStyle w:val="TableGrid"/>
        <w:tblW w:w="9460" w:type="dxa"/>
        <w:tblLayout w:type="fixed"/>
        <w:tblLook w:val="04A0" w:firstRow="1" w:lastRow="0" w:firstColumn="1" w:lastColumn="0" w:noHBand="0" w:noVBand="1"/>
      </w:tblPr>
      <w:tblGrid>
        <w:gridCol w:w="3167"/>
        <w:gridCol w:w="786"/>
        <w:gridCol w:w="787"/>
        <w:gridCol w:w="786"/>
        <w:gridCol w:w="787"/>
        <w:gridCol w:w="787"/>
        <w:gridCol w:w="786"/>
        <w:gridCol w:w="787"/>
        <w:gridCol w:w="787"/>
      </w:tblGrid>
      <w:tr w:rsidR="002D62E0" w14:paraId="0325B145" w14:textId="77777777" w:rsidTr="00456414">
        <w:trPr>
          <w:trHeight w:val="270"/>
        </w:trPr>
        <w:tc>
          <w:tcPr>
            <w:tcW w:w="9460" w:type="dxa"/>
            <w:gridSpan w:val="9"/>
            <w:shd w:val="clear" w:color="auto" w:fill="C0504D" w:themeFill="accent2"/>
          </w:tcPr>
          <w:p w14:paraId="6C7943AA" w14:textId="77777777" w:rsidR="002D62E0" w:rsidRPr="008C35F1" w:rsidRDefault="002D62E0" w:rsidP="007334A5">
            <w:pPr>
              <w:rPr>
                <w:b/>
                <w:color w:val="FFFFFF" w:themeColor="background1"/>
              </w:rPr>
            </w:pPr>
            <w:r w:rsidRPr="008C35F1">
              <w:rPr>
                <w:b/>
                <w:color w:val="FFFFFF" w:themeColor="background1"/>
              </w:rPr>
              <w:t xml:space="preserve">Coverage </w:t>
            </w:r>
            <w:r w:rsidR="007334A5">
              <w:rPr>
                <w:b/>
                <w:color w:val="FFFFFF" w:themeColor="background1"/>
              </w:rPr>
              <w:t>of t</w:t>
            </w:r>
            <w:r w:rsidRPr="008C35F1">
              <w:rPr>
                <w:b/>
                <w:color w:val="FFFFFF" w:themeColor="background1"/>
              </w:rPr>
              <w:t xml:space="preserve">raditional </w:t>
            </w:r>
            <w:r w:rsidR="007334A5">
              <w:rPr>
                <w:b/>
                <w:color w:val="FFFFFF" w:themeColor="background1"/>
              </w:rPr>
              <w:t>EPI v</w:t>
            </w:r>
            <w:r w:rsidRPr="008C35F1">
              <w:rPr>
                <w:b/>
                <w:color w:val="FFFFFF" w:themeColor="background1"/>
              </w:rPr>
              <w:t>accines</w:t>
            </w:r>
          </w:p>
        </w:tc>
      </w:tr>
      <w:tr w:rsidR="002D62E0" w14:paraId="3683CF88" w14:textId="77777777" w:rsidTr="00456414">
        <w:trPr>
          <w:trHeight w:val="270"/>
        </w:trPr>
        <w:tc>
          <w:tcPr>
            <w:tcW w:w="3167" w:type="dxa"/>
            <w:shd w:val="clear" w:color="auto" w:fill="F2DBDB" w:themeFill="accent2" w:themeFillTint="33"/>
          </w:tcPr>
          <w:p w14:paraId="580E55BE" w14:textId="77777777" w:rsidR="002D62E0" w:rsidRDefault="002D62E0" w:rsidP="006C3725"/>
        </w:tc>
        <w:tc>
          <w:tcPr>
            <w:tcW w:w="786" w:type="dxa"/>
            <w:shd w:val="clear" w:color="auto" w:fill="F2DBDB" w:themeFill="accent2" w:themeFillTint="33"/>
          </w:tcPr>
          <w:p w14:paraId="38FC4446" w14:textId="77777777" w:rsidR="002D62E0" w:rsidRPr="008C35F1" w:rsidRDefault="002D62E0" w:rsidP="006C3725">
            <w:pPr>
              <w:jc w:val="center"/>
              <w:rPr>
                <w:b/>
              </w:rPr>
            </w:pPr>
            <w:r w:rsidRPr="008C35F1">
              <w:rPr>
                <w:b/>
              </w:rPr>
              <w:t>2013</w:t>
            </w:r>
          </w:p>
        </w:tc>
        <w:tc>
          <w:tcPr>
            <w:tcW w:w="787" w:type="dxa"/>
            <w:shd w:val="clear" w:color="auto" w:fill="F2DBDB" w:themeFill="accent2" w:themeFillTint="33"/>
          </w:tcPr>
          <w:p w14:paraId="40D411A3" w14:textId="77777777" w:rsidR="002D62E0" w:rsidRPr="008C35F1" w:rsidRDefault="002D62E0" w:rsidP="006C3725">
            <w:pPr>
              <w:jc w:val="center"/>
              <w:rPr>
                <w:b/>
              </w:rPr>
            </w:pPr>
            <w:r w:rsidRPr="008C35F1">
              <w:rPr>
                <w:b/>
              </w:rPr>
              <w:t>2012</w:t>
            </w:r>
          </w:p>
        </w:tc>
        <w:tc>
          <w:tcPr>
            <w:tcW w:w="786" w:type="dxa"/>
            <w:shd w:val="clear" w:color="auto" w:fill="F2DBDB" w:themeFill="accent2" w:themeFillTint="33"/>
          </w:tcPr>
          <w:p w14:paraId="22B57CBF" w14:textId="77777777" w:rsidR="002D62E0" w:rsidRPr="008C35F1" w:rsidRDefault="002D62E0" w:rsidP="006C3725">
            <w:pPr>
              <w:jc w:val="center"/>
              <w:rPr>
                <w:b/>
              </w:rPr>
            </w:pPr>
            <w:r w:rsidRPr="008C35F1">
              <w:rPr>
                <w:b/>
              </w:rPr>
              <w:t>2011</w:t>
            </w:r>
          </w:p>
        </w:tc>
        <w:tc>
          <w:tcPr>
            <w:tcW w:w="787" w:type="dxa"/>
            <w:shd w:val="clear" w:color="auto" w:fill="F2DBDB" w:themeFill="accent2" w:themeFillTint="33"/>
          </w:tcPr>
          <w:p w14:paraId="277F7FC2" w14:textId="77777777" w:rsidR="002D62E0" w:rsidRPr="008C35F1" w:rsidRDefault="002D62E0" w:rsidP="006C3725">
            <w:pPr>
              <w:jc w:val="center"/>
              <w:rPr>
                <w:b/>
              </w:rPr>
            </w:pPr>
            <w:r w:rsidRPr="008C35F1">
              <w:rPr>
                <w:b/>
              </w:rPr>
              <w:t>2010</w:t>
            </w:r>
          </w:p>
        </w:tc>
        <w:tc>
          <w:tcPr>
            <w:tcW w:w="787" w:type="dxa"/>
            <w:shd w:val="clear" w:color="auto" w:fill="F2DBDB" w:themeFill="accent2" w:themeFillTint="33"/>
          </w:tcPr>
          <w:p w14:paraId="6154FD2E" w14:textId="77777777" w:rsidR="002D62E0" w:rsidRPr="008C35F1" w:rsidRDefault="002D62E0" w:rsidP="006C3725">
            <w:pPr>
              <w:jc w:val="center"/>
              <w:rPr>
                <w:b/>
              </w:rPr>
            </w:pPr>
            <w:r w:rsidRPr="008C35F1">
              <w:rPr>
                <w:b/>
              </w:rPr>
              <w:t>2009</w:t>
            </w:r>
          </w:p>
        </w:tc>
        <w:tc>
          <w:tcPr>
            <w:tcW w:w="786" w:type="dxa"/>
            <w:shd w:val="clear" w:color="auto" w:fill="F2DBDB" w:themeFill="accent2" w:themeFillTint="33"/>
          </w:tcPr>
          <w:p w14:paraId="1481C766" w14:textId="77777777" w:rsidR="002D62E0" w:rsidRPr="008C35F1" w:rsidRDefault="002D62E0" w:rsidP="006C3725">
            <w:pPr>
              <w:jc w:val="center"/>
              <w:rPr>
                <w:b/>
              </w:rPr>
            </w:pPr>
            <w:r w:rsidRPr="008C35F1">
              <w:rPr>
                <w:b/>
              </w:rPr>
              <w:t>2008</w:t>
            </w:r>
          </w:p>
        </w:tc>
        <w:tc>
          <w:tcPr>
            <w:tcW w:w="787" w:type="dxa"/>
            <w:shd w:val="clear" w:color="auto" w:fill="F2DBDB" w:themeFill="accent2" w:themeFillTint="33"/>
          </w:tcPr>
          <w:p w14:paraId="51CB46EE" w14:textId="77777777" w:rsidR="002D62E0" w:rsidRPr="008C35F1" w:rsidRDefault="002D62E0" w:rsidP="006C3725">
            <w:pPr>
              <w:jc w:val="center"/>
              <w:rPr>
                <w:b/>
              </w:rPr>
            </w:pPr>
            <w:r w:rsidRPr="008C35F1">
              <w:rPr>
                <w:b/>
              </w:rPr>
              <w:t>2007</w:t>
            </w:r>
          </w:p>
        </w:tc>
        <w:tc>
          <w:tcPr>
            <w:tcW w:w="787" w:type="dxa"/>
            <w:shd w:val="clear" w:color="auto" w:fill="F2DBDB" w:themeFill="accent2" w:themeFillTint="33"/>
          </w:tcPr>
          <w:p w14:paraId="7E6CFF1C" w14:textId="77777777" w:rsidR="002D62E0" w:rsidRPr="008C35F1" w:rsidRDefault="002D62E0" w:rsidP="006C3725">
            <w:pPr>
              <w:jc w:val="center"/>
              <w:rPr>
                <w:b/>
              </w:rPr>
            </w:pPr>
            <w:r w:rsidRPr="008C35F1">
              <w:rPr>
                <w:b/>
              </w:rPr>
              <w:t>2006</w:t>
            </w:r>
          </w:p>
        </w:tc>
      </w:tr>
      <w:tr w:rsidR="002D62E0" w14:paraId="5A8B5D5C" w14:textId="77777777" w:rsidTr="00405BEE">
        <w:trPr>
          <w:trHeight w:val="256"/>
        </w:trPr>
        <w:tc>
          <w:tcPr>
            <w:tcW w:w="3167" w:type="dxa"/>
            <w:shd w:val="clear" w:color="auto" w:fill="auto"/>
          </w:tcPr>
          <w:p w14:paraId="79BD5FB5" w14:textId="77777777" w:rsidR="002D62E0" w:rsidRPr="008C35F1" w:rsidRDefault="002D62E0" w:rsidP="006C3725">
            <w:pPr>
              <w:rPr>
                <w:b/>
              </w:rPr>
            </w:pPr>
            <w:r w:rsidRPr="008C35F1">
              <w:rPr>
                <w:b/>
              </w:rPr>
              <w:t>BCG</w:t>
            </w:r>
          </w:p>
        </w:tc>
        <w:tc>
          <w:tcPr>
            <w:tcW w:w="786" w:type="dxa"/>
            <w:shd w:val="clear" w:color="auto" w:fill="auto"/>
            <w:vAlign w:val="bottom"/>
          </w:tcPr>
          <w:p w14:paraId="710D91A5" w14:textId="77777777" w:rsidR="002D62E0" w:rsidRDefault="002D62E0" w:rsidP="006C3725">
            <w:pPr>
              <w:jc w:val="center"/>
            </w:pPr>
            <w:r w:rsidRPr="005D0E74">
              <w:t>93</w:t>
            </w:r>
          </w:p>
        </w:tc>
        <w:tc>
          <w:tcPr>
            <w:tcW w:w="787" w:type="dxa"/>
            <w:shd w:val="clear" w:color="auto" w:fill="auto"/>
            <w:vAlign w:val="bottom"/>
          </w:tcPr>
          <w:p w14:paraId="3099608D" w14:textId="77777777" w:rsidR="002D62E0" w:rsidRDefault="002D62E0" w:rsidP="006C3725">
            <w:pPr>
              <w:jc w:val="center"/>
            </w:pPr>
            <w:r w:rsidRPr="005D0E74">
              <w:t>99</w:t>
            </w:r>
          </w:p>
        </w:tc>
        <w:tc>
          <w:tcPr>
            <w:tcW w:w="786" w:type="dxa"/>
            <w:shd w:val="clear" w:color="auto" w:fill="auto"/>
            <w:vAlign w:val="bottom"/>
          </w:tcPr>
          <w:p w14:paraId="0719D393" w14:textId="77777777" w:rsidR="002D62E0" w:rsidRDefault="002D62E0" w:rsidP="006C3725">
            <w:pPr>
              <w:jc w:val="center"/>
            </w:pPr>
            <w:r w:rsidRPr="005D0E74">
              <w:t>97</w:t>
            </w:r>
          </w:p>
        </w:tc>
        <w:tc>
          <w:tcPr>
            <w:tcW w:w="787" w:type="dxa"/>
            <w:shd w:val="clear" w:color="auto" w:fill="auto"/>
            <w:vAlign w:val="bottom"/>
          </w:tcPr>
          <w:p w14:paraId="04D6536C" w14:textId="77777777" w:rsidR="002D62E0" w:rsidRDefault="002D62E0" w:rsidP="006C3725">
            <w:pPr>
              <w:jc w:val="center"/>
            </w:pPr>
            <w:r w:rsidRPr="005D0E74">
              <w:t>94</w:t>
            </w:r>
          </w:p>
        </w:tc>
        <w:tc>
          <w:tcPr>
            <w:tcW w:w="787" w:type="dxa"/>
            <w:shd w:val="clear" w:color="auto" w:fill="auto"/>
          </w:tcPr>
          <w:p w14:paraId="2D4AFF5F" w14:textId="77777777" w:rsidR="002D62E0" w:rsidRPr="005D0E74" w:rsidRDefault="002D62E0" w:rsidP="006C3725">
            <w:pPr>
              <w:jc w:val="center"/>
            </w:pPr>
            <w:r w:rsidRPr="005D0E74">
              <w:t>96</w:t>
            </w:r>
          </w:p>
        </w:tc>
        <w:tc>
          <w:tcPr>
            <w:tcW w:w="786" w:type="dxa"/>
            <w:shd w:val="clear" w:color="auto" w:fill="auto"/>
            <w:vAlign w:val="bottom"/>
          </w:tcPr>
          <w:p w14:paraId="3133AEA3" w14:textId="77777777" w:rsidR="002D62E0" w:rsidRPr="005D0E74" w:rsidRDefault="002D62E0" w:rsidP="006C3725">
            <w:pPr>
              <w:jc w:val="center"/>
            </w:pPr>
            <w:r w:rsidRPr="005D0E74">
              <w:t>98</w:t>
            </w:r>
          </w:p>
        </w:tc>
        <w:tc>
          <w:tcPr>
            <w:tcW w:w="787" w:type="dxa"/>
            <w:shd w:val="clear" w:color="auto" w:fill="auto"/>
            <w:vAlign w:val="bottom"/>
          </w:tcPr>
          <w:p w14:paraId="26BF75DD" w14:textId="77777777" w:rsidR="002D62E0" w:rsidRPr="005D0E74" w:rsidRDefault="002D62E0" w:rsidP="006C3725">
            <w:pPr>
              <w:jc w:val="center"/>
            </w:pPr>
            <w:r w:rsidRPr="005D0E74">
              <w:t>90</w:t>
            </w:r>
          </w:p>
        </w:tc>
        <w:tc>
          <w:tcPr>
            <w:tcW w:w="787" w:type="dxa"/>
            <w:shd w:val="clear" w:color="auto" w:fill="auto"/>
          </w:tcPr>
          <w:p w14:paraId="1A19602D" w14:textId="77777777" w:rsidR="002D62E0" w:rsidRPr="005D0E74" w:rsidRDefault="002D62E0" w:rsidP="006C3725">
            <w:pPr>
              <w:jc w:val="center"/>
            </w:pPr>
            <w:r w:rsidRPr="005D0E74">
              <w:t>87</w:t>
            </w:r>
          </w:p>
        </w:tc>
      </w:tr>
      <w:tr w:rsidR="002D62E0" w14:paraId="3222DC93" w14:textId="77777777" w:rsidTr="00405BEE">
        <w:trPr>
          <w:trHeight w:val="270"/>
        </w:trPr>
        <w:tc>
          <w:tcPr>
            <w:tcW w:w="3167" w:type="dxa"/>
            <w:shd w:val="clear" w:color="auto" w:fill="auto"/>
          </w:tcPr>
          <w:p w14:paraId="2F898969" w14:textId="77777777" w:rsidR="002D62E0" w:rsidRPr="008C35F1" w:rsidRDefault="002D62E0" w:rsidP="006C3725">
            <w:pPr>
              <w:rPr>
                <w:b/>
              </w:rPr>
            </w:pPr>
            <w:r w:rsidRPr="008C35F1">
              <w:rPr>
                <w:b/>
              </w:rPr>
              <w:t>DTP1</w:t>
            </w:r>
          </w:p>
        </w:tc>
        <w:tc>
          <w:tcPr>
            <w:tcW w:w="786" w:type="dxa"/>
            <w:shd w:val="clear" w:color="auto" w:fill="auto"/>
            <w:vAlign w:val="bottom"/>
          </w:tcPr>
          <w:p w14:paraId="4A6945B4" w14:textId="77777777" w:rsidR="002D62E0" w:rsidRDefault="002D62E0" w:rsidP="006C3725">
            <w:pPr>
              <w:jc w:val="center"/>
            </w:pPr>
            <w:r w:rsidRPr="005D0E74">
              <w:t>95</w:t>
            </w:r>
          </w:p>
        </w:tc>
        <w:tc>
          <w:tcPr>
            <w:tcW w:w="787" w:type="dxa"/>
            <w:shd w:val="clear" w:color="auto" w:fill="auto"/>
            <w:vAlign w:val="bottom"/>
          </w:tcPr>
          <w:p w14:paraId="43A3EBF3" w14:textId="77777777" w:rsidR="002D62E0" w:rsidRDefault="002D62E0" w:rsidP="006C3725">
            <w:pPr>
              <w:jc w:val="center"/>
            </w:pPr>
            <w:r w:rsidRPr="005D0E74">
              <w:t>97</w:t>
            </w:r>
          </w:p>
        </w:tc>
        <w:tc>
          <w:tcPr>
            <w:tcW w:w="786" w:type="dxa"/>
            <w:shd w:val="clear" w:color="auto" w:fill="auto"/>
            <w:vAlign w:val="bottom"/>
          </w:tcPr>
          <w:p w14:paraId="029F8FCA" w14:textId="77777777" w:rsidR="002D62E0" w:rsidRDefault="002D62E0" w:rsidP="006C3725">
            <w:pPr>
              <w:jc w:val="center"/>
            </w:pPr>
            <w:r w:rsidRPr="005D0E74">
              <w:t>96</w:t>
            </w:r>
          </w:p>
        </w:tc>
        <w:tc>
          <w:tcPr>
            <w:tcW w:w="787" w:type="dxa"/>
            <w:shd w:val="clear" w:color="auto" w:fill="auto"/>
            <w:vAlign w:val="bottom"/>
          </w:tcPr>
          <w:p w14:paraId="3E5BE8F0" w14:textId="77777777" w:rsidR="002D62E0" w:rsidRDefault="002D62E0" w:rsidP="006C3725">
            <w:pPr>
              <w:jc w:val="center"/>
            </w:pPr>
            <w:r w:rsidRPr="005D0E74">
              <w:t>93</w:t>
            </w:r>
          </w:p>
        </w:tc>
        <w:tc>
          <w:tcPr>
            <w:tcW w:w="787" w:type="dxa"/>
            <w:shd w:val="clear" w:color="auto" w:fill="auto"/>
            <w:vAlign w:val="bottom"/>
          </w:tcPr>
          <w:p w14:paraId="67040DA3" w14:textId="77777777" w:rsidR="002D62E0" w:rsidRDefault="002D62E0" w:rsidP="006C3725">
            <w:pPr>
              <w:jc w:val="center"/>
            </w:pPr>
            <w:r w:rsidRPr="005D0E74">
              <w:t>99</w:t>
            </w:r>
          </w:p>
        </w:tc>
        <w:tc>
          <w:tcPr>
            <w:tcW w:w="786" w:type="dxa"/>
            <w:shd w:val="clear" w:color="auto" w:fill="auto"/>
            <w:vAlign w:val="bottom"/>
          </w:tcPr>
          <w:p w14:paraId="218C1DE1" w14:textId="77777777" w:rsidR="002D62E0" w:rsidRPr="005D0E74" w:rsidRDefault="002D62E0" w:rsidP="006C3725">
            <w:pPr>
              <w:jc w:val="center"/>
            </w:pPr>
            <w:r w:rsidRPr="005D0E74">
              <w:t>95</w:t>
            </w:r>
          </w:p>
        </w:tc>
        <w:tc>
          <w:tcPr>
            <w:tcW w:w="787" w:type="dxa"/>
            <w:shd w:val="clear" w:color="auto" w:fill="auto"/>
            <w:vAlign w:val="bottom"/>
          </w:tcPr>
          <w:p w14:paraId="1762F74A" w14:textId="77777777" w:rsidR="002D62E0" w:rsidRPr="005D0E74" w:rsidRDefault="002D62E0" w:rsidP="006C3725">
            <w:pPr>
              <w:jc w:val="center"/>
            </w:pPr>
            <w:r w:rsidRPr="005D0E74">
              <w:t>87</w:t>
            </w:r>
          </w:p>
        </w:tc>
        <w:tc>
          <w:tcPr>
            <w:tcW w:w="787" w:type="dxa"/>
            <w:shd w:val="clear" w:color="auto" w:fill="auto"/>
            <w:vAlign w:val="bottom"/>
          </w:tcPr>
          <w:p w14:paraId="4AB58E5A" w14:textId="77777777" w:rsidR="002D62E0" w:rsidRPr="005D0E74" w:rsidRDefault="002D62E0" w:rsidP="006C3725">
            <w:pPr>
              <w:jc w:val="center"/>
            </w:pPr>
            <w:r w:rsidRPr="005D0E74">
              <w:t>85</w:t>
            </w:r>
          </w:p>
        </w:tc>
      </w:tr>
      <w:tr w:rsidR="002D62E0" w14:paraId="56210B89" w14:textId="77777777" w:rsidTr="00405BEE">
        <w:trPr>
          <w:trHeight w:val="256"/>
        </w:trPr>
        <w:tc>
          <w:tcPr>
            <w:tcW w:w="3167" w:type="dxa"/>
            <w:shd w:val="clear" w:color="auto" w:fill="auto"/>
          </w:tcPr>
          <w:p w14:paraId="7E74D0FC" w14:textId="77777777" w:rsidR="002D62E0" w:rsidRPr="008C35F1" w:rsidRDefault="002D62E0" w:rsidP="006C3725">
            <w:pPr>
              <w:rPr>
                <w:b/>
              </w:rPr>
            </w:pPr>
            <w:r w:rsidRPr="008C35F1">
              <w:rPr>
                <w:b/>
              </w:rPr>
              <w:t>DTP3</w:t>
            </w:r>
          </w:p>
        </w:tc>
        <w:tc>
          <w:tcPr>
            <w:tcW w:w="786" w:type="dxa"/>
            <w:shd w:val="clear" w:color="auto" w:fill="auto"/>
            <w:vAlign w:val="bottom"/>
          </w:tcPr>
          <w:p w14:paraId="62824EBA" w14:textId="77777777" w:rsidR="002D62E0" w:rsidRDefault="002D62E0" w:rsidP="006C3725">
            <w:pPr>
              <w:jc w:val="center"/>
            </w:pPr>
            <w:r w:rsidRPr="005D0E74">
              <w:t>92</w:t>
            </w:r>
          </w:p>
        </w:tc>
        <w:tc>
          <w:tcPr>
            <w:tcW w:w="787" w:type="dxa"/>
            <w:shd w:val="clear" w:color="auto" w:fill="auto"/>
            <w:vAlign w:val="bottom"/>
          </w:tcPr>
          <w:p w14:paraId="3C132716" w14:textId="77777777" w:rsidR="002D62E0" w:rsidRDefault="002D62E0" w:rsidP="006C3725">
            <w:pPr>
              <w:jc w:val="center"/>
            </w:pPr>
            <w:r w:rsidRPr="005D0E74">
              <w:t>95</w:t>
            </w:r>
          </w:p>
        </w:tc>
        <w:tc>
          <w:tcPr>
            <w:tcW w:w="786" w:type="dxa"/>
            <w:shd w:val="clear" w:color="auto" w:fill="auto"/>
            <w:vAlign w:val="bottom"/>
          </w:tcPr>
          <w:p w14:paraId="45CF57F3" w14:textId="77777777" w:rsidR="002D62E0" w:rsidRDefault="002D62E0" w:rsidP="006C3725">
            <w:pPr>
              <w:jc w:val="center"/>
            </w:pPr>
            <w:r w:rsidRPr="005D0E74">
              <w:t>94</w:t>
            </w:r>
          </w:p>
        </w:tc>
        <w:tc>
          <w:tcPr>
            <w:tcW w:w="787" w:type="dxa"/>
            <w:shd w:val="clear" w:color="auto" w:fill="auto"/>
            <w:vAlign w:val="bottom"/>
          </w:tcPr>
          <w:p w14:paraId="3E6DE0C4" w14:textId="77777777" w:rsidR="002D62E0" w:rsidRDefault="002D62E0" w:rsidP="006C3725">
            <w:pPr>
              <w:jc w:val="center"/>
            </w:pPr>
            <w:r w:rsidRPr="005D0E74">
              <w:t>92</w:t>
            </w:r>
          </w:p>
        </w:tc>
        <w:tc>
          <w:tcPr>
            <w:tcW w:w="787" w:type="dxa"/>
            <w:shd w:val="clear" w:color="auto" w:fill="auto"/>
            <w:vAlign w:val="bottom"/>
          </w:tcPr>
          <w:p w14:paraId="185490BA" w14:textId="77777777" w:rsidR="002D62E0" w:rsidRDefault="002D62E0" w:rsidP="006C3725">
            <w:pPr>
              <w:jc w:val="center"/>
            </w:pPr>
            <w:r w:rsidRPr="005D0E74">
              <w:t>94</w:t>
            </w:r>
          </w:p>
        </w:tc>
        <w:tc>
          <w:tcPr>
            <w:tcW w:w="786" w:type="dxa"/>
            <w:shd w:val="clear" w:color="auto" w:fill="auto"/>
            <w:vAlign w:val="bottom"/>
          </w:tcPr>
          <w:p w14:paraId="7F40FB05" w14:textId="77777777" w:rsidR="002D62E0" w:rsidRPr="005D0E74" w:rsidRDefault="002D62E0" w:rsidP="006C3725">
            <w:pPr>
              <w:jc w:val="center"/>
            </w:pPr>
            <w:r w:rsidRPr="005D0E74">
              <w:t>91</w:t>
            </w:r>
          </w:p>
        </w:tc>
        <w:tc>
          <w:tcPr>
            <w:tcW w:w="787" w:type="dxa"/>
            <w:shd w:val="clear" w:color="auto" w:fill="auto"/>
            <w:vAlign w:val="bottom"/>
          </w:tcPr>
          <w:p w14:paraId="7AEAEBA5" w14:textId="77777777" w:rsidR="002D62E0" w:rsidRPr="005D0E74" w:rsidRDefault="002D62E0" w:rsidP="006C3725">
            <w:pPr>
              <w:jc w:val="center"/>
            </w:pPr>
            <w:r w:rsidRPr="005D0E74">
              <w:t>82</w:t>
            </w:r>
          </w:p>
        </w:tc>
        <w:tc>
          <w:tcPr>
            <w:tcW w:w="787" w:type="dxa"/>
            <w:shd w:val="clear" w:color="auto" w:fill="auto"/>
            <w:vAlign w:val="bottom"/>
          </w:tcPr>
          <w:p w14:paraId="215F0A76" w14:textId="77777777" w:rsidR="002D62E0" w:rsidRPr="005D0E74" w:rsidRDefault="002D62E0" w:rsidP="006C3725">
            <w:pPr>
              <w:jc w:val="center"/>
            </w:pPr>
            <w:r w:rsidRPr="005D0E74">
              <w:t>80</w:t>
            </w:r>
          </w:p>
        </w:tc>
      </w:tr>
      <w:tr w:rsidR="002D62E0" w14:paraId="36CEFB85" w14:textId="77777777" w:rsidTr="00405BEE">
        <w:trPr>
          <w:trHeight w:val="270"/>
        </w:trPr>
        <w:tc>
          <w:tcPr>
            <w:tcW w:w="3167" w:type="dxa"/>
            <w:shd w:val="clear" w:color="auto" w:fill="auto"/>
          </w:tcPr>
          <w:p w14:paraId="4CC4693A" w14:textId="77777777" w:rsidR="002D62E0" w:rsidRPr="008C35F1" w:rsidRDefault="002D62E0" w:rsidP="006C3725">
            <w:pPr>
              <w:rPr>
                <w:b/>
              </w:rPr>
            </w:pPr>
            <w:r w:rsidRPr="008C35F1">
              <w:rPr>
                <w:b/>
              </w:rPr>
              <w:t>HepB3</w:t>
            </w:r>
          </w:p>
        </w:tc>
        <w:tc>
          <w:tcPr>
            <w:tcW w:w="786" w:type="dxa"/>
            <w:shd w:val="clear" w:color="auto" w:fill="auto"/>
            <w:vAlign w:val="bottom"/>
          </w:tcPr>
          <w:p w14:paraId="2605A379" w14:textId="77777777" w:rsidR="002D62E0" w:rsidRPr="005D0E74" w:rsidRDefault="002D62E0" w:rsidP="006C3725">
            <w:pPr>
              <w:jc w:val="center"/>
            </w:pPr>
            <w:r w:rsidRPr="005D0E74">
              <w:t>92</w:t>
            </w:r>
          </w:p>
        </w:tc>
        <w:tc>
          <w:tcPr>
            <w:tcW w:w="787" w:type="dxa"/>
            <w:shd w:val="clear" w:color="auto" w:fill="auto"/>
            <w:vAlign w:val="bottom"/>
          </w:tcPr>
          <w:p w14:paraId="415D24C9" w14:textId="77777777" w:rsidR="002D62E0" w:rsidRPr="005D0E74" w:rsidRDefault="002D62E0" w:rsidP="006C3725">
            <w:pPr>
              <w:jc w:val="center"/>
            </w:pPr>
            <w:r w:rsidRPr="005D0E74">
              <w:t>95</w:t>
            </w:r>
          </w:p>
        </w:tc>
        <w:tc>
          <w:tcPr>
            <w:tcW w:w="786" w:type="dxa"/>
            <w:shd w:val="clear" w:color="auto" w:fill="auto"/>
            <w:vAlign w:val="bottom"/>
          </w:tcPr>
          <w:p w14:paraId="2D5905F7" w14:textId="77777777" w:rsidR="002D62E0" w:rsidRPr="005D0E74" w:rsidRDefault="002D62E0" w:rsidP="006C3725">
            <w:pPr>
              <w:jc w:val="center"/>
            </w:pPr>
            <w:r w:rsidRPr="005D0E74">
              <w:t>94</w:t>
            </w:r>
          </w:p>
        </w:tc>
        <w:tc>
          <w:tcPr>
            <w:tcW w:w="787" w:type="dxa"/>
            <w:shd w:val="clear" w:color="auto" w:fill="auto"/>
            <w:vAlign w:val="bottom"/>
          </w:tcPr>
          <w:p w14:paraId="4B46B17E" w14:textId="77777777" w:rsidR="002D62E0" w:rsidRPr="005D0E74" w:rsidRDefault="002D62E0" w:rsidP="006C3725">
            <w:pPr>
              <w:jc w:val="center"/>
            </w:pPr>
            <w:r w:rsidRPr="005D0E74">
              <w:t>92</w:t>
            </w:r>
          </w:p>
        </w:tc>
        <w:tc>
          <w:tcPr>
            <w:tcW w:w="787" w:type="dxa"/>
            <w:shd w:val="clear" w:color="auto" w:fill="auto"/>
            <w:vAlign w:val="bottom"/>
          </w:tcPr>
          <w:p w14:paraId="721403AA" w14:textId="77777777" w:rsidR="002D62E0" w:rsidRPr="005D0E74" w:rsidRDefault="002D62E0" w:rsidP="006C3725">
            <w:pPr>
              <w:jc w:val="center"/>
            </w:pPr>
            <w:r w:rsidRPr="005D0E74">
              <w:t>92</w:t>
            </w:r>
          </w:p>
        </w:tc>
        <w:tc>
          <w:tcPr>
            <w:tcW w:w="786" w:type="dxa"/>
            <w:shd w:val="clear" w:color="auto" w:fill="auto"/>
            <w:vAlign w:val="bottom"/>
          </w:tcPr>
          <w:p w14:paraId="04DD893F" w14:textId="77777777" w:rsidR="002D62E0" w:rsidRPr="005D0E74" w:rsidRDefault="002D62E0" w:rsidP="006C3725">
            <w:pPr>
              <w:jc w:val="center"/>
            </w:pPr>
            <w:r w:rsidRPr="005D0E74">
              <w:t>91</w:t>
            </w:r>
          </w:p>
        </w:tc>
        <w:tc>
          <w:tcPr>
            <w:tcW w:w="787" w:type="dxa"/>
            <w:shd w:val="clear" w:color="auto" w:fill="auto"/>
            <w:vAlign w:val="bottom"/>
          </w:tcPr>
          <w:p w14:paraId="41E6EC5C" w14:textId="77777777" w:rsidR="002D62E0" w:rsidRPr="005D0E74" w:rsidRDefault="002D62E0" w:rsidP="006C3725">
            <w:pPr>
              <w:jc w:val="center"/>
            </w:pPr>
            <w:r w:rsidRPr="005D0E74">
              <w:t>82</w:t>
            </w:r>
          </w:p>
        </w:tc>
        <w:tc>
          <w:tcPr>
            <w:tcW w:w="787" w:type="dxa"/>
            <w:shd w:val="clear" w:color="auto" w:fill="auto"/>
            <w:vAlign w:val="bottom"/>
          </w:tcPr>
          <w:p w14:paraId="53066148" w14:textId="77777777" w:rsidR="002D62E0" w:rsidRPr="005D0E74" w:rsidRDefault="002D62E0" w:rsidP="006C3725">
            <w:pPr>
              <w:jc w:val="center"/>
            </w:pPr>
            <w:r w:rsidRPr="005D0E74">
              <w:t>80</w:t>
            </w:r>
          </w:p>
        </w:tc>
      </w:tr>
      <w:tr w:rsidR="002D62E0" w14:paraId="0B0877D2" w14:textId="77777777" w:rsidTr="00405BEE">
        <w:trPr>
          <w:trHeight w:val="256"/>
        </w:trPr>
        <w:tc>
          <w:tcPr>
            <w:tcW w:w="3167" w:type="dxa"/>
            <w:shd w:val="clear" w:color="auto" w:fill="auto"/>
          </w:tcPr>
          <w:p w14:paraId="3D93FA87" w14:textId="77777777" w:rsidR="002D62E0" w:rsidRPr="008C35F1" w:rsidRDefault="002D62E0" w:rsidP="006C3725">
            <w:pPr>
              <w:rPr>
                <w:b/>
              </w:rPr>
            </w:pPr>
            <w:r w:rsidRPr="008C35F1">
              <w:rPr>
                <w:b/>
              </w:rPr>
              <w:t>Pol3/OPV3</w:t>
            </w:r>
          </w:p>
        </w:tc>
        <w:tc>
          <w:tcPr>
            <w:tcW w:w="786" w:type="dxa"/>
            <w:shd w:val="clear" w:color="auto" w:fill="auto"/>
            <w:vAlign w:val="bottom"/>
          </w:tcPr>
          <w:p w14:paraId="70FEE561" w14:textId="77777777" w:rsidR="002D62E0" w:rsidRPr="005D0E74" w:rsidRDefault="002D62E0" w:rsidP="006C3725">
            <w:pPr>
              <w:jc w:val="center"/>
            </w:pPr>
            <w:r w:rsidRPr="005D0E74">
              <w:t>77</w:t>
            </w:r>
            <w:r w:rsidR="00AC54E7">
              <w:t>**</w:t>
            </w:r>
          </w:p>
        </w:tc>
        <w:tc>
          <w:tcPr>
            <w:tcW w:w="787" w:type="dxa"/>
            <w:shd w:val="clear" w:color="auto" w:fill="auto"/>
            <w:vAlign w:val="bottom"/>
          </w:tcPr>
          <w:p w14:paraId="7DB2C05B" w14:textId="77777777" w:rsidR="002D62E0" w:rsidRPr="005D0E74" w:rsidRDefault="002D62E0" w:rsidP="006C3725">
            <w:pPr>
              <w:jc w:val="center"/>
            </w:pPr>
            <w:r w:rsidRPr="005D0E74">
              <w:t>95</w:t>
            </w:r>
          </w:p>
        </w:tc>
        <w:tc>
          <w:tcPr>
            <w:tcW w:w="786" w:type="dxa"/>
            <w:shd w:val="clear" w:color="auto" w:fill="auto"/>
            <w:vAlign w:val="bottom"/>
          </w:tcPr>
          <w:p w14:paraId="4D8A68A8" w14:textId="77777777" w:rsidR="002D62E0" w:rsidRPr="005D0E74" w:rsidRDefault="002D62E0" w:rsidP="006C3725">
            <w:pPr>
              <w:jc w:val="center"/>
            </w:pPr>
            <w:r w:rsidRPr="005D0E74">
              <w:t>94</w:t>
            </w:r>
          </w:p>
        </w:tc>
        <w:tc>
          <w:tcPr>
            <w:tcW w:w="787" w:type="dxa"/>
            <w:shd w:val="clear" w:color="auto" w:fill="auto"/>
            <w:vAlign w:val="bottom"/>
          </w:tcPr>
          <w:p w14:paraId="51DDC9C6" w14:textId="77777777" w:rsidR="002D62E0" w:rsidRPr="005D0E74" w:rsidRDefault="002D62E0" w:rsidP="006C3725">
            <w:pPr>
              <w:jc w:val="center"/>
            </w:pPr>
            <w:r w:rsidRPr="005D0E74">
              <w:t>92</w:t>
            </w:r>
          </w:p>
        </w:tc>
        <w:tc>
          <w:tcPr>
            <w:tcW w:w="787" w:type="dxa"/>
            <w:shd w:val="clear" w:color="auto" w:fill="auto"/>
            <w:vAlign w:val="bottom"/>
          </w:tcPr>
          <w:p w14:paraId="44929B7A" w14:textId="77777777" w:rsidR="002D62E0" w:rsidRPr="005D0E74" w:rsidRDefault="002D62E0" w:rsidP="006C3725">
            <w:pPr>
              <w:jc w:val="center"/>
            </w:pPr>
            <w:r w:rsidRPr="005D0E74">
              <w:t>95</w:t>
            </w:r>
          </w:p>
        </w:tc>
        <w:tc>
          <w:tcPr>
            <w:tcW w:w="786" w:type="dxa"/>
            <w:shd w:val="clear" w:color="auto" w:fill="auto"/>
            <w:vAlign w:val="bottom"/>
          </w:tcPr>
          <w:p w14:paraId="47637C66" w14:textId="77777777" w:rsidR="002D62E0" w:rsidRPr="005D0E74" w:rsidRDefault="002D62E0" w:rsidP="006C3725">
            <w:pPr>
              <w:jc w:val="center"/>
            </w:pPr>
            <w:r w:rsidRPr="005D0E74">
              <w:t>91</w:t>
            </w:r>
          </w:p>
        </w:tc>
        <w:tc>
          <w:tcPr>
            <w:tcW w:w="787" w:type="dxa"/>
            <w:shd w:val="clear" w:color="auto" w:fill="auto"/>
            <w:vAlign w:val="bottom"/>
          </w:tcPr>
          <w:p w14:paraId="4EA8302B" w14:textId="77777777" w:rsidR="002D62E0" w:rsidRPr="005D0E74" w:rsidRDefault="002D62E0" w:rsidP="006C3725">
            <w:pPr>
              <w:jc w:val="center"/>
            </w:pPr>
            <w:r w:rsidRPr="005D0E74">
              <w:t>82</w:t>
            </w:r>
          </w:p>
        </w:tc>
        <w:tc>
          <w:tcPr>
            <w:tcW w:w="787" w:type="dxa"/>
            <w:shd w:val="clear" w:color="auto" w:fill="auto"/>
            <w:vAlign w:val="bottom"/>
          </w:tcPr>
          <w:p w14:paraId="254CB6AB" w14:textId="77777777" w:rsidR="002D62E0" w:rsidRPr="005D0E74" w:rsidRDefault="002D62E0" w:rsidP="006C3725">
            <w:pPr>
              <w:jc w:val="center"/>
            </w:pPr>
            <w:r w:rsidRPr="005D0E74">
              <w:t>80</w:t>
            </w:r>
          </w:p>
        </w:tc>
      </w:tr>
      <w:tr w:rsidR="002D62E0" w14:paraId="5CB27160" w14:textId="77777777" w:rsidTr="00405BEE">
        <w:trPr>
          <w:trHeight w:val="270"/>
        </w:trPr>
        <w:tc>
          <w:tcPr>
            <w:tcW w:w="3167" w:type="dxa"/>
            <w:shd w:val="clear" w:color="auto" w:fill="auto"/>
          </w:tcPr>
          <w:p w14:paraId="5EE96185" w14:textId="77777777" w:rsidR="002D62E0" w:rsidRPr="008C35F1" w:rsidRDefault="002D62E0" w:rsidP="006C3725">
            <w:pPr>
              <w:rPr>
                <w:b/>
              </w:rPr>
            </w:pPr>
            <w:r w:rsidRPr="008C35F1">
              <w:rPr>
                <w:b/>
              </w:rPr>
              <w:t>MCV</w:t>
            </w:r>
          </w:p>
        </w:tc>
        <w:tc>
          <w:tcPr>
            <w:tcW w:w="786" w:type="dxa"/>
            <w:shd w:val="clear" w:color="auto" w:fill="auto"/>
            <w:vAlign w:val="bottom"/>
          </w:tcPr>
          <w:p w14:paraId="3A4F07EE" w14:textId="77777777" w:rsidR="002D62E0" w:rsidRPr="005D0E74" w:rsidRDefault="002D62E0" w:rsidP="006C3725">
            <w:pPr>
              <w:jc w:val="center"/>
            </w:pPr>
            <w:r w:rsidRPr="005D0E74">
              <w:t>90</w:t>
            </w:r>
          </w:p>
        </w:tc>
        <w:tc>
          <w:tcPr>
            <w:tcW w:w="787" w:type="dxa"/>
            <w:shd w:val="clear" w:color="auto" w:fill="auto"/>
            <w:vAlign w:val="bottom"/>
          </w:tcPr>
          <w:p w14:paraId="04EFFC6C" w14:textId="77777777" w:rsidR="002D62E0" w:rsidRPr="005D0E74" w:rsidRDefault="002D62E0" w:rsidP="006C3725">
            <w:pPr>
              <w:jc w:val="center"/>
            </w:pPr>
            <w:r w:rsidRPr="005D0E74">
              <w:t>93</w:t>
            </w:r>
          </w:p>
        </w:tc>
        <w:tc>
          <w:tcPr>
            <w:tcW w:w="786" w:type="dxa"/>
            <w:shd w:val="clear" w:color="auto" w:fill="auto"/>
            <w:vAlign w:val="bottom"/>
          </w:tcPr>
          <w:p w14:paraId="05B36F3D" w14:textId="77777777" w:rsidR="002D62E0" w:rsidRPr="005D0E74" w:rsidRDefault="002D62E0" w:rsidP="006C3725">
            <w:pPr>
              <w:jc w:val="center"/>
            </w:pPr>
            <w:r w:rsidRPr="005D0E74">
              <w:t>93</w:t>
            </w:r>
          </w:p>
        </w:tc>
        <w:tc>
          <w:tcPr>
            <w:tcW w:w="787" w:type="dxa"/>
            <w:shd w:val="clear" w:color="auto" w:fill="auto"/>
            <w:vAlign w:val="bottom"/>
          </w:tcPr>
          <w:p w14:paraId="4FBF2CE2" w14:textId="77777777" w:rsidR="002D62E0" w:rsidRPr="005D0E74" w:rsidRDefault="002D62E0" w:rsidP="006C3725">
            <w:pPr>
              <w:jc w:val="center"/>
            </w:pPr>
            <w:r w:rsidRPr="005D0E74">
              <w:t>93</w:t>
            </w:r>
          </w:p>
        </w:tc>
        <w:tc>
          <w:tcPr>
            <w:tcW w:w="787" w:type="dxa"/>
            <w:shd w:val="clear" w:color="auto" w:fill="auto"/>
            <w:vAlign w:val="bottom"/>
          </w:tcPr>
          <w:p w14:paraId="7429BD01" w14:textId="77777777" w:rsidR="002D62E0" w:rsidRPr="005D0E74" w:rsidRDefault="002D62E0" w:rsidP="006C3725">
            <w:pPr>
              <w:jc w:val="center"/>
            </w:pPr>
            <w:r w:rsidRPr="005D0E74">
              <w:t>92</w:t>
            </w:r>
          </w:p>
        </w:tc>
        <w:tc>
          <w:tcPr>
            <w:tcW w:w="786" w:type="dxa"/>
            <w:shd w:val="clear" w:color="auto" w:fill="auto"/>
            <w:vAlign w:val="bottom"/>
          </w:tcPr>
          <w:p w14:paraId="0044C694" w14:textId="77777777" w:rsidR="002D62E0" w:rsidRPr="005D0E74" w:rsidRDefault="002D62E0" w:rsidP="006C3725">
            <w:pPr>
              <w:jc w:val="center"/>
            </w:pPr>
            <w:r w:rsidRPr="005D0E74">
              <w:t>89</w:t>
            </w:r>
          </w:p>
        </w:tc>
        <w:tc>
          <w:tcPr>
            <w:tcW w:w="787" w:type="dxa"/>
            <w:shd w:val="clear" w:color="auto" w:fill="auto"/>
            <w:vAlign w:val="bottom"/>
          </w:tcPr>
          <w:p w14:paraId="6982CEF0" w14:textId="77777777" w:rsidR="002D62E0" w:rsidRPr="005D0E74" w:rsidRDefault="002D62E0" w:rsidP="006C3725">
            <w:pPr>
              <w:jc w:val="center"/>
            </w:pPr>
            <w:r w:rsidRPr="005D0E74">
              <w:t>79</w:t>
            </w:r>
          </w:p>
        </w:tc>
        <w:tc>
          <w:tcPr>
            <w:tcW w:w="787" w:type="dxa"/>
            <w:shd w:val="clear" w:color="auto" w:fill="auto"/>
            <w:vAlign w:val="bottom"/>
          </w:tcPr>
          <w:p w14:paraId="5A49CFB6" w14:textId="77777777" w:rsidR="002D62E0" w:rsidRPr="005D0E74" w:rsidRDefault="002D62E0" w:rsidP="006C3725">
            <w:pPr>
              <w:jc w:val="center"/>
            </w:pPr>
            <w:r w:rsidRPr="005D0E74">
              <w:t>78</w:t>
            </w:r>
          </w:p>
        </w:tc>
      </w:tr>
      <w:tr w:rsidR="002D62E0" w14:paraId="568D7FD8" w14:textId="77777777" w:rsidTr="00456414">
        <w:trPr>
          <w:trHeight w:val="270"/>
        </w:trPr>
        <w:tc>
          <w:tcPr>
            <w:tcW w:w="9460" w:type="dxa"/>
            <w:gridSpan w:val="9"/>
            <w:shd w:val="clear" w:color="auto" w:fill="C0504D" w:themeFill="accent2"/>
          </w:tcPr>
          <w:p w14:paraId="44B45E2B" w14:textId="77777777" w:rsidR="002D62E0" w:rsidRPr="008C35F1" w:rsidRDefault="002D62E0" w:rsidP="006C3725">
            <w:pPr>
              <w:rPr>
                <w:b/>
                <w:color w:val="FFFFFF" w:themeColor="background1"/>
              </w:rPr>
            </w:pPr>
            <w:r w:rsidRPr="008C35F1">
              <w:rPr>
                <w:b/>
                <w:color w:val="FFFFFF" w:themeColor="background1"/>
              </w:rPr>
              <w:t>Introduced since 2006</w:t>
            </w:r>
          </w:p>
        </w:tc>
      </w:tr>
      <w:tr w:rsidR="002D62E0" w14:paraId="3DEC976A" w14:textId="77777777" w:rsidTr="00456414">
        <w:trPr>
          <w:trHeight w:val="256"/>
        </w:trPr>
        <w:tc>
          <w:tcPr>
            <w:tcW w:w="3167" w:type="dxa"/>
            <w:shd w:val="clear" w:color="auto" w:fill="F2DBDB" w:themeFill="accent2" w:themeFillTint="33"/>
          </w:tcPr>
          <w:p w14:paraId="0D6E74B6" w14:textId="77777777" w:rsidR="002D62E0" w:rsidRPr="008C35F1" w:rsidRDefault="002D62E0" w:rsidP="006C3725">
            <w:pPr>
              <w:rPr>
                <w:b/>
              </w:rPr>
            </w:pPr>
          </w:p>
        </w:tc>
        <w:tc>
          <w:tcPr>
            <w:tcW w:w="786" w:type="dxa"/>
            <w:shd w:val="clear" w:color="auto" w:fill="F2DBDB" w:themeFill="accent2" w:themeFillTint="33"/>
          </w:tcPr>
          <w:p w14:paraId="61802B87" w14:textId="77777777" w:rsidR="002D62E0" w:rsidRPr="008C35F1" w:rsidRDefault="002D62E0" w:rsidP="006C3725">
            <w:pPr>
              <w:jc w:val="center"/>
              <w:rPr>
                <w:b/>
              </w:rPr>
            </w:pPr>
            <w:r w:rsidRPr="008C35F1">
              <w:rPr>
                <w:b/>
              </w:rPr>
              <w:t>2013</w:t>
            </w:r>
          </w:p>
        </w:tc>
        <w:tc>
          <w:tcPr>
            <w:tcW w:w="787" w:type="dxa"/>
            <w:shd w:val="clear" w:color="auto" w:fill="F2DBDB" w:themeFill="accent2" w:themeFillTint="33"/>
          </w:tcPr>
          <w:p w14:paraId="0D12C9D7" w14:textId="77777777" w:rsidR="002D62E0" w:rsidRPr="008C35F1" w:rsidRDefault="002D62E0" w:rsidP="006C3725">
            <w:pPr>
              <w:jc w:val="center"/>
              <w:rPr>
                <w:b/>
              </w:rPr>
            </w:pPr>
            <w:r w:rsidRPr="008C35F1">
              <w:rPr>
                <w:b/>
              </w:rPr>
              <w:t>2012</w:t>
            </w:r>
          </w:p>
        </w:tc>
        <w:tc>
          <w:tcPr>
            <w:tcW w:w="786" w:type="dxa"/>
            <w:shd w:val="clear" w:color="auto" w:fill="F2DBDB" w:themeFill="accent2" w:themeFillTint="33"/>
          </w:tcPr>
          <w:p w14:paraId="24D5F0E2" w14:textId="77777777" w:rsidR="002D62E0" w:rsidRPr="008C35F1" w:rsidRDefault="002D62E0" w:rsidP="006C3725">
            <w:pPr>
              <w:jc w:val="center"/>
              <w:rPr>
                <w:b/>
              </w:rPr>
            </w:pPr>
            <w:r w:rsidRPr="008C35F1">
              <w:rPr>
                <w:b/>
              </w:rPr>
              <w:t>2011</w:t>
            </w:r>
          </w:p>
        </w:tc>
        <w:tc>
          <w:tcPr>
            <w:tcW w:w="787" w:type="dxa"/>
            <w:shd w:val="clear" w:color="auto" w:fill="F2DBDB" w:themeFill="accent2" w:themeFillTint="33"/>
          </w:tcPr>
          <w:p w14:paraId="3E86D549" w14:textId="77777777" w:rsidR="002D62E0" w:rsidRPr="008C35F1" w:rsidRDefault="002D62E0" w:rsidP="006C3725">
            <w:pPr>
              <w:jc w:val="center"/>
              <w:rPr>
                <w:b/>
              </w:rPr>
            </w:pPr>
            <w:r w:rsidRPr="008C35F1">
              <w:rPr>
                <w:b/>
              </w:rPr>
              <w:t>2010</w:t>
            </w:r>
          </w:p>
        </w:tc>
        <w:tc>
          <w:tcPr>
            <w:tcW w:w="787" w:type="dxa"/>
            <w:shd w:val="clear" w:color="auto" w:fill="F2DBDB" w:themeFill="accent2" w:themeFillTint="33"/>
          </w:tcPr>
          <w:p w14:paraId="55B11A6C" w14:textId="77777777" w:rsidR="002D62E0" w:rsidRPr="008C35F1" w:rsidRDefault="002D62E0" w:rsidP="006C3725">
            <w:pPr>
              <w:jc w:val="center"/>
              <w:rPr>
                <w:b/>
              </w:rPr>
            </w:pPr>
            <w:r w:rsidRPr="008C35F1">
              <w:rPr>
                <w:b/>
              </w:rPr>
              <w:t>2009</w:t>
            </w:r>
          </w:p>
        </w:tc>
        <w:tc>
          <w:tcPr>
            <w:tcW w:w="786" w:type="dxa"/>
            <w:shd w:val="clear" w:color="auto" w:fill="F2DBDB" w:themeFill="accent2" w:themeFillTint="33"/>
          </w:tcPr>
          <w:p w14:paraId="064F9753" w14:textId="77777777" w:rsidR="002D62E0" w:rsidRPr="008C35F1" w:rsidRDefault="002D62E0" w:rsidP="006C3725">
            <w:pPr>
              <w:jc w:val="center"/>
              <w:rPr>
                <w:b/>
              </w:rPr>
            </w:pPr>
            <w:r w:rsidRPr="008C35F1">
              <w:rPr>
                <w:b/>
              </w:rPr>
              <w:t>2008</w:t>
            </w:r>
          </w:p>
        </w:tc>
        <w:tc>
          <w:tcPr>
            <w:tcW w:w="787" w:type="dxa"/>
            <w:shd w:val="clear" w:color="auto" w:fill="F2DBDB" w:themeFill="accent2" w:themeFillTint="33"/>
          </w:tcPr>
          <w:p w14:paraId="366D08D2" w14:textId="77777777" w:rsidR="002D62E0" w:rsidRPr="008C35F1" w:rsidRDefault="002D62E0" w:rsidP="006C3725">
            <w:pPr>
              <w:jc w:val="center"/>
              <w:rPr>
                <w:b/>
              </w:rPr>
            </w:pPr>
            <w:r w:rsidRPr="008C35F1">
              <w:rPr>
                <w:b/>
              </w:rPr>
              <w:t>2007</w:t>
            </w:r>
          </w:p>
        </w:tc>
        <w:tc>
          <w:tcPr>
            <w:tcW w:w="787" w:type="dxa"/>
            <w:shd w:val="clear" w:color="auto" w:fill="F2DBDB" w:themeFill="accent2" w:themeFillTint="33"/>
          </w:tcPr>
          <w:p w14:paraId="0FF82693" w14:textId="77777777" w:rsidR="002D62E0" w:rsidRPr="008C35F1" w:rsidRDefault="002D62E0" w:rsidP="006C3725">
            <w:pPr>
              <w:jc w:val="center"/>
              <w:rPr>
                <w:b/>
              </w:rPr>
            </w:pPr>
            <w:r w:rsidRPr="008C35F1">
              <w:rPr>
                <w:b/>
              </w:rPr>
              <w:t>2006</w:t>
            </w:r>
          </w:p>
        </w:tc>
      </w:tr>
      <w:tr w:rsidR="002D62E0" w14:paraId="1D62C585" w14:textId="77777777" w:rsidTr="00405BEE">
        <w:trPr>
          <w:trHeight w:val="256"/>
        </w:trPr>
        <w:tc>
          <w:tcPr>
            <w:tcW w:w="3167" w:type="dxa"/>
            <w:shd w:val="clear" w:color="auto" w:fill="auto"/>
          </w:tcPr>
          <w:p w14:paraId="38799852" w14:textId="77777777" w:rsidR="002D62E0" w:rsidRPr="008C35F1" w:rsidRDefault="002D62E0" w:rsidP="006C3725">
            <w:pPr>
              <w:rPr>
                <w:b/>
              </w:rPr>
            </w:pPr>
            <w:r w:rsidRPr="008C35F1">
              <w:rPr>
                <w:b/>
              </w:rPr>
              <w:t>HepB Birth dose</w:t>
            </w:r>
          </w:p>
        </w:tc>
        <w:tc>
          <w:tcPr>
            <w:tcW w:w="786" w:type="dxa"/>
            <w:shd w:val="clear" w:color="auto" w:fill="auto"/>
            <w:vAlign w:val="bottom"/>
          </w:tcPr>
          <w:p w14:paraId="2BD56153" w14:textId="77777777" w:rsidR="002D62E0" w:rsidRPr="005D0E74" w:rsidRDefault="002D62E0" w:rsidP="006C3725">
            <w:pPr>
              <w:jc w:val="center"/>
            </w:pPr>
            <w:r w:rsidRPr="005D0E74">
              <w:t>58</w:t>
            </w:r>
          </w:p>
        </w:tc>
        <w:tc>
          <w:tcPr>
            <w:tcW w:w="787" w:type="dxa"/>
            <w:shd w:val="clear" w:color="auto" w:fill="auto"/>
            <w:vAlign w:val="bottom"/>
          </w:tcPr>
          <w:p w14:paraId="34037755" w14:textId="77777777" w:rsidR="002D62E0" w:rsidRPr="005D0E74" w:rsidRDefault="002D62E0" w:rsidP="006C3725">
            <w:pPr>
              <w:jc w:val="center"/>
            </w:pPr>
            <w:r w:rsidRPr="005D0E74">
              <w:t>65</w:t>
            </w:r>
          </w:p>
        </w:tc>
        <w:tc>
          <w:tcPr>
            <w:tcW w:w="786" w:type="dxa"/>
            <w:shd w:val="clear" w:color="auto" w:fill="auto"/>
            <w:vAlign w:val="bottom"/>
          </w:tcPr>
          <w:p w14:paraId="0405CAFA" w14:textId="77777777" w:rsidR="002D62E0" w:rsidRPr="005D0E74" w:rsidRDefault="002D62E0" w:rsidP="006C3725">
            <w:pPr>
              <w:jc w:val="center"/>
            </w:pPr>
            <w:r w:rsidRPr="005D0E74">
              <w:t>68</w:t>
            </w:r>
          </w:p>
        </w:tc>
        <w:tc>
          <w:tcPr>
            <w:tcW w:w="787" w:type="dxa"/>
            <w:shd w:val="clear" w:color="auto" w:fill="auto"/>
            <w:vAlign w:val="bottom"/>
          </w:tcPr>
          <w:p w14:paraId="6D489D27" w14:textId="77777777" w:rsidR="002D62E0" w:rsidRPr="005D0E74" w:rsidRDefault="002D62E0" w:rsidP="006C3725">
            <w:pPr>
              <w:jc w:val="center"/>
            </w:pPr>
            <w:r w:rsidRPr="005D0E74">
              <w:t>57</w:t>
            </w:r>
          </w:p>
        </w:tc>
        <w:tc>
          <w:tcPr>
            <w:tcW w:w="787" w:type="dxa"/>
            <w:shd w:val="clear" w:color="auto" w:fill="auto"/>
            <w:vAlign w:val="bottom"/>
          </w:tcPr>
          <w:p w14:paraId="15C1D430" w14:textId="77777777" w:rsidR="002D62E0" w:rsidRDefault="002D62E0" w:rsidP="006C3725">
            <w:pPr>
              <w:jc w:val="center"/>
            </w:pPr>
            <w:r w:rsidRPr="005D0E74">
              <w:t>55</w:t>
            </w:r>
          </w:p>
        </w:tc>
        <w:tc>
          <w:tcPr>
            <w:tcW w:w="786" w:type="dxa"/>
            <w:shd w:val="clear" w:color="auto" w:fill="auto"/>
            <w:vAlign w:val="bottom"/>
          </w:tcPr>
          <w:p w14:paraId="47F5E205" w14:textId="77777777" w:rsidR="002D62E0" w:rsidRPr="005D0E74" w:rsidRDefault="002D62E0" w:rsidP="006C3725">
            <w:pPr>
              <w:jc w:val="center"/>
            </w:pPr>
            <w:r w:rsidRPr="005D0E74">
              <w:t>46</w:t>
            </w:r>
          </w:p>
        </w:tc>
        <w:tc>
          <w:tcPr>
            <w:tcW w:w="787" w:type="dxa"/>
            <w:shd w:val="clear" w:color="auto" w:fill="auto"/>
            <w:vAlign w:val="bottom"/>
          </w:tcPr>
          <w:p w14:paraId="3EECB694" w14:textId="77777777" w:rsidR="002D62E0" w:rsidRPr="005D0E74" w:rsidRDefault="002D62E0" w:rsidP="006C3725">
            <w:pPr>
              <w:jc w:val="center"/>
            </w:pPr>
            <w:r w:rsidRPr="005D0E74">
              <w:t>25</w:t>
            </w:r>
          </w:p>
        </w:tc>
        <w:tc>
          <w:tcPr>
            <w:tcW w:w="787" w:type="dxa"/>
            <w:shd w:val="clear" w:color="auto" w:fill="auto"/>
            <w:vAlign w:val="bottom"/>
          </w:tcPr>
          <w:p w14:paraId="1A2520A9" w14:textId="77777777" w:rsidR="002D62E0" w:rsidRPr="005D0E74" w:rsidRDefault="002D62E0" w:rsidP="006C3725">
            <w:pPr>
              <w:jc w:val="center"/>
            </w:pPr>
          </w:p>
        </w:tc>
      </w:tr>
      <w:tr w:rsidR="00417F67" w14:paraId="430FF6A9" w14:textId="77777777" w:rsidTr="00405BEE">
        <w:trPr>
          <w:trHeight w:val="256"/>
        </w:trPr>
        <w:tc>
          <w:tcPr>
            <w:tcW w:w="3167" w:type="dxa"/>
            <w:shd w:val="clear" w:color="auto" w:fill="auto"/>
          </w:tcPr>
          <w:p w14:paraId="714035C9" w14:textId="77777777" w:rsidR="00417F67" w:rsidRPr="008C35F1" w:rsidRDefault="00417F67" w:rsidP="006C3725">
            <w:pPr>
              <w:rPr>
                <w:b/>
              </w:rPr>
            </w:pPr>
            <w:r w:rsidRPr="008C35F1">
              <w:rPr>
                <w:b/>
              </w:rPr>
              <w:t>Neonates prot</w:t>
            </w:r>
            <w:r>
              <w:rPr>
                <w:b/>
              </w:rPr>
              <w:t xml:space="preserve">ected at birth </w:t>
            </w:r>
            <w:r w:rsidRPr="008C35F1">
              <w:rPr>
                <w:b/>
              </w:rPr>
              <w:t>(PAB)</w:t>
            </w:r>
            <w:r>
              <w:rPr>
                <w:b/>
              </w:rPr>
              <w:t xml:space="preserve"> </w:t>
            </w:r>
            <w:r w:rsidRPr="008C35F1">
              <w:rPr>
                <w:b/>
              </w:rPr>
              <w:t xml:space="preserve">against neonatal tetanus </w:t>
            </w:r>
          </w:p>
        </w:tc>
        <w:tc>
          <w:tcPr>
            <w:tcW w:w="786" w:type="dxa"/>
            <w:shd w:val="clear" w:color="auto" w:fill="auto"/>
            <w:vAlign w:val="center"/>
          </w:tcPr>
          <w:p w14:paraId="475C623F" w14:textId="77777777" w:rsidR="00417F67" w:rsidRPr="005D0E74" w:rsidRDefault="00417F67" w:rsidP="006C3725">
            <w:pPr>
              <w:jc w:val="center"/>
            </w:pPr>
            <w:r w:rsidRPr="005D0E74">
              <w:t>91</w:t>
            </w:r>
          </w:p>
        </w:tc>
        <w:tc>
          <w:tcPr>
            <w:tcW w:w="787" w:type="dxa"/>
            <w:shd w:val="clear" w:color="auto" w:fill="auto"/>
            <w:vAlign w:val="center"/>
          </w:tcPr>
          <w:p w14:paraId="3E31D90A" w14:textId="77777777" w:rsidR="00417F67" w:rsidRPr="005D0E74" w:rsidRDefault="00417F67" w:rsidP="006C3725">
            <w:pPr>
              <w:jc w:val="center"/>
            </w:pPr>
            <w:r w:rsidRPr="005D0E74">
              <w:t>91</w:t>
            </w:r>
          </w:p>
        </w:tc>
        <w:tc>
          <w:tcPr>
            <w:tcW w:w="786" w:type="dxa"/>
            <w:shd w:val="clear" w:color="auto" w:fill="auto"/>
            <w:vAlign w:val="center"/>
          </w:tcPr>
          <w:p w14:paraId="1960196B" w14:textId="77777777" w:rsidR="00417F67" w:rsidRPr="005D0E74" w:rsidRDefault="00417F67" w:rsidP="006C3725">
            <w:pPr>
              <w:jc w:val="center"/>
            </w:pPr>
            <w:r w:rsidRPr="005D0E74">
              <w:t>91</w:t>
            </w:r>
          </w:p>
        </w:tc>
        <w:tc>
          <w:tcPr>
            <w:tcW w:w="787" w:type="dxa"/>
            <w:shd w:val="clear" w:color="auto" w:fill="auto"/>
            <w:vAlign w:val="center"/>
          </w:tcPr>
          <w:p w14:paraId="16BBEDF9" w14:textId="77777777" w:rsidR="00417F67" w:rsidRPr="005D0E74" w:rsidRDefault="00417F67" w:rsidP="006C3725">
            <w:pPr>
              <w:jc w:val="center"/>
            </w:pPr>
            <w:r w:rsidRPr="005D0E74">
              <w:t>91</w:t>
            </w:r>
          </w:p>
        </w:tc>
        <w:tc>
          <w:tcPr>
            <w:tcW w:w="787" w:type="dxa"/>
            <w:shd w:val="clear" w:color="auto" w:fill="auto"/>
            <w:vAlign w:val="center"/>
          </w:tcPr>
          <w:p w14:paraId="42A5239A" w14:textId="77777777" w:rsidR="00417F67" w:rsidRDefault="00417F67" w:rsidP="006C3725">
            <w:pPr>
              <w:jc w:val="center"/>
            </w:pPr>
            <w:r w:rsidRPr="005D0E74">
              <w:t>91</w:t>
            </w:r>
          </w:p>
        </w:tc>
        <w:tc>
          <w:tcPr>
            <w:tcW w:w="786" w:type="dxa"/>
            <w:shd w:val="clear" w:color="auto" w:fill="auto"/>
            <w:vAlign w:val="bottom"/>
          </w:tcPr>
          <w:p w14:paraId="5453A2FC" w14:textId="77777777" w:rsidR="00417F67" w:rsidRPr="005D0E74" w:rsidRDefault="00417F67" w:rsidP="006C3725">
            <w:pPr>
              <w:jc w:val="center"/>
            </w:pPr>
          </w:p>
        </w:tc>
        <w:tc>
          <w:tcPr>
            <w:tcW w:w="787" w:type="dxa"/>
            <w:shd w:val="clear" w:color="auto" w:fill="auto"/>
            <w:vAlign w:val="bottom"/>
          </w:tcPr>
          <w:p w14:paraId="27A087CC" w14:textId="77777777" w:rsidR="00417F67" w:rsidRPr="005D0E74" w:rsidRDefault="00417F67" w:rsidP="006C3725">
            <w:pPr>
              <w:jc w:val="center"/>
            </w:pPr>
          </w:p>
        </w:tc>
        <w:tc>
          <w:tcPr>
            <w:tcW w:w="787" w:type="dxa"/>
            <w:shd w:val="clear" w:color="auto" w:fill="auto"/>
            <w:vAlign w:val="bottom"/>
          </w:tcPr>
          <w:p w14:paraId="54866650" w14:textId="77777777" w:rsidR="00417F67" w:rsidRPr="005D0E74" w:rsidRDefault="00417F67" w:rsidP="006C3725">
            <w:pPr>
              <w:jc w:val="center"/>
            </w:pPr>
          </w:p>
        </w:tc>
      </w:tr>
      <w:tr w:rsidR="002D62E0" w14:paraId="4920D90A" w14:textId="77777777" w:rsidTr="00405BEE">
        <w:trPr>
          <w:trHeight w:val="256"/>
        </w:trPr>
        <w:tc>
          <w:tcPr>
            <w:tcW w:w="3167" w:type="dxa"/>
            <w:shd w:val="clear" w:color="auto" w:fill="auto"/>
          </w:tcPr>
          <w:p w14:paraId="567684F0" w14:textId="77777777" w:rsidR="002D62E0" w:rsidRPr="008C35F1" w:rsidRDefault="002D62E0" w:rsidP="006C3725">
            <w:pPr>
              <w:rPr>
                <w:b/>
              </w:rPr>
            </w:pPr>
            <w:r w:rsidRPr="008C35F1">
              <w:rPr>
                <w:b/>
              </w:rPr>
              <w:t>Hib3 (as pentavalent)</w:t>
            </w:r>
          </w:p>
        </w:tc>
        <w:tc>
          <w:tcPr>
            <w:tcW w:w="786" w:type="dxa"/>
            <w:shd w:val="clear" w:color="auto" w:fill="auto"/>
            <w:vAlign w:val="bottom"/>
          </w:tcPr>
          <w:p w14:paraId="1BD6D956" w14:textId="77777777" w:rsidR="002D62E0" w:rsidRDefault="002D62E0" w:rsidP="006C3725">
            <w:pPr>
              <w:jc w:val="center"/>
            </w:pPr>
            <w:r w:rsidRPr="005D0E74">
              <w:t>92</w:t>
            </w:r>
          </w:p>
        </w:tc>
        <w:tc>
          <w:tcPr>
            <w:tcW w:w="787" w:type="dxa"/>
            <w:shd w:val="clear" w:color="auto" w:fill="auto"/>
            <w:vAlign w:val="bottom"/>
          </w:tcPr>
          <w:p w14:paraId="1C5C6C2C" w14:textId="77777777" w:rsidR="002D62E0" w:rsidRDefault="002D62E0" w:rsidP="006C3725">
            <w:pPr>
              <w:jc w:val="center"/>
            </w:pPr>
            <w:r w:rsidRPr="005D0E74">
              <w:t>95</w:t>
            </w:r>
          </w:p>
        </w:tc>
        <w:tc>
          <w:tcPr>
            <w:tcW w:w="786" w:type="dxa"/>
            <w:shd w:val="clear" w:color="auto" w:fill="auto"/>
            <w:vAlign w:val="bottom"/>
          </w:tcPr>
          <w:p w14:paraId="20AE82BE" w14:textId="77777777" w:rsidR="002D62E0" w:rsidRDefault="002D62E0" w:rsidP="006C3725">
            <w:pPr>
              <w:jc w:val="center"/>
            </w:pPr>
            <w:r w:rsidRPr="005D0E74">
              <w:t>94</w:t>
            </w:r>
          </w:p>
        </w:tc>
        <w:tc>
          <w:tcPr>
            <w:tcW w:w="787" w:type="dxa"/>
            <w:shd w:val="clear" w:color="auto" w:fill="auto"/>
            <w:vAlign w:val="bottom"/>
          </w:tcPr>
          <w:p w14:paraId="61DA73AF" w14:textId="77777777" w:rsidR="002D62E0" w:rsidRDefault="002D62E0" w:rsidP="006C3725">
            <w:pPr>
              <w:jc w:val="center"/>
            </w:pPr>
            <w:r w:rsidRPr="005D0E74">
              <w:t>92</w:t>
            </w:r>
          </w:p>
        </w:tc>
        <w:tc>
          <w:tcPr>
            <w:tcW w:w="787" w:type="dxa"/>
            <w:shd w:val="clear" w:color="auto" w:fill="auto"/>
            <w:vAlign w:val="bottom"/>
          </w:tcPr>
          <w:p w14:paraId="1494F76A" w14:textId="77777777" w:rsidR="002D62E0" w:rsidRDefault="002D62E0" w:rsidP="006C3725">
            <w:pPr>
              <w:jc w:val="center"/>
            </w:pPr>
          </w:p>
        </w:tc>
        <w:tc>
          <w:tcPr>
            <w:tcW w:w="786" w:type="dxa"/>
            <w:shd w:val="clear" w:color="auto" w:fill="auto"/>
            <w:vAlign w:val="bottom"/>
          </w:tcPr>
          <w:p w14:paraId="31E45422" w14:textId="77777777" w:rsidR="002D62E0" w:rsidRPr="005D0E74" w:rsidRDefault="002D62E0" w:rsidP="006C3725">
            <w:pPr>
              <w:jc w:val="center"/>
            </w:pPr>
          </w:p>
        </w:tc>
        <w:tc>
          <w:tcPr>
            <w:tcW w:w="787" w:type="dxa"/>
            <w:shd w:val="clear" w:color="auto" w:fill="auto"/>
            <w:vAlign w:val="bottom"/>
          </w:tcPr>
          <w:p w14:paraId="1F7C5FCA" w14:textId="77777777" w:rsidR="002D62E0" w:rsidRPr="005D0E74" w:rsidRDefault="002D62E0" w:rsidP="006C3725">
            <w:pPr>
              <w:jc w:val="center"/>
            </w:pPr>
          </w:p>
        </w:tc>
        <w:tc>
          <w:tcPr>
            <w:tcW w:w="787" w:type="dxa"/>
            <w:shd w:val="clear" w:color="auto" w:fill="auto"/>
            <w:vAlign w:val="bottom"/>
          </w:tcPr>
          <w:p w14:paraId="01738E25" w14:textId="77777777" w:rsidR="002D62E0" w:rsidRPr="005D0E74" w:rsidRDefault="002D62E0" w:rsidP="006C3725">
            <w:pPr>
              <w:jc w:val="center"/>
            </w:pPr>
          </w:p>
        </w:tc>
      </w:tr>
      <w:tr w:rsidR="002D62E0" w14:paraId="768FB53C" w14:textId="77777777" w:rsidTr="00417F67">
        <w:trPr>
          <w:trHeight w:val="270"/>
        </w:trPr>
        <w:tc>
          <w:tcPr>
            <w:tcW w:w="3167" w:type="dxa"/>
            <w:shd w:val="clear" w:color="auto" w:fill="auto"/>
          </w:tcPr>
          <w:p w14:paraId="0C3325EF" w14:textId="77777777" w:rsidR="002D62E0" w:rsidRPr="008C35F1" w:rsidRDefault="002D62E0" w:rsidP="006C3725">
            <w:pPr>
              <w:rPr>
                <w:b/>
              </w:rPr>
            </w:pPr>
            <w:r w:rsidRPr="008C35F1">
              <w:rPr>
                <w:b/>
              </w:rPr>
              <w:t>MCV2</w:t>
            </w:r>
          </w:p>
        </w:tc>
        <w:tc>
          <w:tcPr>
            <w:tcW w:w="786" w:type="dxa"/>
            <w:shd w:val="clear" w:color="auto" w:fill="auto"/>
            <w:vAlign w:val="bottom"/>
          </w:tcPr>
          <w:p w14:paraId="214303D7" w14:textId="77777777" w:rsidR="002D62E0" w:rsidRDefault="002D62E0" w:rsidP="006C3725">
            <w:pPr>
              <w:jc w:val="center"/>
            </w:pPr>
            <w:r w:rsidRPr="005D0E74">
              <w:t>63</w:t>
            </w:r>
          </w:p>
        </w:tc>
        <w:tc>
          <w:tcPr>
            <w:tcW w:w="787" w:type="dxa"/>
            <w:shd w:val="clear" w:color="auto" w:fill="auto"/>
            <w:vAlign w:val="bottom"/>
          </w:tcPr>
          <w:p w14:paraId="22F7038F" w14:textId="77777777" w:rsidR="002D62E0" w:rsidRDefault="002D62E0" w:rsidP="006C3725">
            <w:pPr>
              <w:jc w:val="center"/>
            </w:pPr>
            <w:r w:rsidRPr="005D0E74">
              <w:t>41</w:t>
            </w:r>
          </w:p>
        </w:tc>
        <w:tc>
          <w:tcPr>
            <w:tcW w:w="786" w:type="dxa"/>
            <w:shd w:val="clear" w:color="auto" w:fill="auto"/>
            <w:vAlign w:val="bottom"/>
          </w:tcPr>
          <w:p w14:paraId="79503E1E" w14:textId="77777777" w:rsidR="002D62E0" w:rsidRDefault="002D62E0" w:rsidP="006C3725">
            <w:pPr>
              <w:jc w:val="center"/>
            </w:pPr>
          </w:p>
        </w:tc>
        <w:tc>
          <w:tcPr>
            <w:tcW w:w="787" w:type="dxa"/>
            <w:shd w:val="clear" w:color="auto" w:fill="auto"/>
            <w:vAlign w:val="bottom"/>
          </w:tcPr>
          <w:p w14:paraId="166BF572" w14:textId="77777777" w:rsidR="002D62E0" w:rsidRDefault="002D62E0" w:rsidP="006C3725">
            <w:pPr>
              <w:jc w:val="center"/>
            </w:pPr>
          </w:p>
        </w:tc>
        <w:tc>
          <w:tcPr>
            <w:tcW w:w="787" w:type="dxa"/>
            <w:shd w:val="clear" w:color="auto" w:fill="auto"/>
            <w:vAlign w:val="bottom"/>
          </w:tcPr>
          <w:p w14:paraId="46B3C34C" w14:textId="77777777" w:rsidR="002D62E0" w:rsidRDefault="002D62E0" w:rsidP="006C3725">
            <w:pPr>
              <w:jc w:val="center"/>
            </w:pPr>
          </w:p>
        </w:tc>
        <w:tc>
          <w:tcPr>
            <w:tcW w:w="786" w:type="dxa"/>
            <w:shd w:val="clear" w:color="auto" w:fill="auto"/>
          </w:tcPr>
          <w:p w14:paraId="79580CE1" w14:textId="77777777" w:rsidR="002D62E0" w:rsidRPr="005D0E74" w:rsidRDefault="002D62E0" w:rsidP="006C3725">
            <w:pPr>
              <w:jc w:val="center"/>
            </w:pPr>
          </w:p>
        </w:tc>
        <w:tc>
          <w:tcPr>
            <w:tcW w:w="787" w:type="dxa"/>
            <w:shd w:val="clear" w:color="auto" w:fill="auto"/>
          </w:tcPr>
          <w:p w14:paraId="41F2FE83" w14:textId="77777777" w:rsidR="002D62E0" w:rsidRPr="005D0E74" w:rsidRDefault="002D62E0" w:rsidP="006C3725">
            <w:pPr>
              <w:jc w:val="center"/>
            </w:pPr>
          </w:p>
        </w:tc>
        <w:tc>
          <w:tcPr>
            <w:tcW w:w="787" w:type="dxa"/>
            <w:shd w:val="clear" w:color="auto" w:fill="auto"/>
          </w:tcPr>
          <w:p w14:paraId="221ABB49" w14:textId="77777777" w:rsidR="002D62E0" w:rsidRPr="005D0E74" w:rsidRDefault="002D62E0" w:rsidP="006C3725">
            <w:pPr>
              <w:jc w:val="center"/>
            </w:pPr>
          </w:p>
        </w:tc>
      </w:tr>
    </w:tbl>
    <w:p w14:paraId="0228B736" w14:textId="77777777" w:rsidR="00AC54E7" w:rsidRDefault="00AC54E7" w:rsidP="002D62E0">
      <w:pPr>
        <w:rPr>
          <w:sz w:val="18"/>
        </w:rPr>
      </w:pPr>
      <w:r>
        <w:rPr>
          <w:sz w:val="18"/>
        </w:rPr>
        <w:t>*</w:t>
      </w:r>
      <w:r w:rsidR="008F4034">
        <w:rPr>
          <w:sz w:val="18"/>
        </w:rPr>
        <w:t>*</w:t>
      </w:r>
      <w:r>
        <w:rPr>
          <w:sz w:val="18"/>
        </w:rPr>
        <w:t xml:space="preserve"> Low coverage is due to a national OPV stock out in 2013. </w:t>
      </w:r>
    </w:p>
    <w:p w14:paraId="6F094232" w14:textId="77777777" w:rsidR="002D62E0" w:rsidRPr="001C737E" w:rsidRDefault="002D62E0" w:rsidP="002D62E0">
      <w:pPr>
        <w:rPr>
          <w:sz w:val="18"/>
        </w:rPr>
      </w:pPr>
      <w:r w:rsidRPr="001C737E">
        <w:rPr>
          <w:sz w:val="18"/>
        </w:rPr>
        <w:t>Source: WHO vaccine-preventable diseases: monitoring system 2014 global summary</w:t>
      </w:r>
      <w:r>
        <w:rPr>
          <w:sz w:val="18"/>
        </w:rPr>
        <w:t xml:space="preserve">. Available at: </w:t>
      </w:r>
      <w:r w:rsidRPr="005D0E74">
        <w:rPr>
          <w:sz w:val="18"/>
        </w:rPr>
        <w:t>http://apps.who.int/immunization_monitoring/globalsummary/timeseries/tswucoveragedtp1.html</w:t>
      </w:r>
    </w:p>
    <w:p w14:paraId="513D5F1E" w14:textId="77777777" w:rsidR="002D62E0" w:rsidRDefault="002D62E0" w:rsidP="002D62E0"/>
    <w:p w14:paraId="3A76E27B" w14:textId="77777777" w:rsidR="002D62E0" w:rsidRPr="00317803" w:rsidRDefault="002D62E0" w:rsidP="002D62E0"/>
    <w:p w14:paraId="7DDB67B0" w14:textId="77777777" w:rsidR="002D62E0" w:rsidRDefault="002D62E0" w:rsidP="0046037C">
      <w:pPr>
        <w:pStyle w:val="Heading2"/>
      </w:pPr>
      <w:bookmarkStart w:id="8" w:name="_Toc270048945"/>
      <w:r w:rsidRPr="001F0D70">
        <w:t xml:space="preserve">Findings from </w:t>
      </w:r>
      <w:r>
        <w:t>EPI Review (2010)</w:t>
      </w:r>
      <w:r w:rsidR="0046037C">
        <w:t xml:space="preserve"> including g</w:t>
      </w:r>
      <w:r w:rsidR="0046037C" w:rsidRPr="001F0D70">
        <w:t>eographical, economic, policy, cultural, gender and social barriers to immunization</w:t>
      </w:r>
      <w:bookmarkEnd w:id="8"/>
    </w:p>
    <w:p w14:paraId="6525D76D" w14:textId="77777777" w:rsidR="002D62E0" w:rsidRDefault="002D62E0" w:rsidP="002D62E0"/>
    <w:p w14:paraId="77C6609D" w14:textId="77777777" w:rsidR="002D62E0" w:rsidRDefault="009F7E5F" w:rsidP="002D62E0">
      <w:r>
        <w:t xml:space="preserve">In 2010, a review of the Expanded Program on Immunization (EPI) in Cambodia was conducted. </w:t>
      </w:r>
      <w:r w:rsidR="002D62E0">
        <w:t xml:space="preserve">The following are the conclusions </w:t>
      </w:r>
      <w:r>
        <w:t xml:space="preserve">and actions to be taken </w:t>
      </w:r>
      <w:r w:rsidR="002D62E0">
        <w:t>from</w:t>
      </w:r>
      <w:r>
        <w:t xml:space="preserve"> this review</w:t>
      </w:r>
      <w:r w:rsidR="002D62E0">
        <w:t xml:space="preserve">: </w:t>
      </w:r>
    </w:p>
    <w:p w14:paraId="10755615" w14:textId="77777777" w:rsidR="002D62E0" w:rsidRDefault="002D62E0" w:rsidP="002D62E0"/>
    <w:p w14:paraId="00741E9A" w14:textId="77777777" w:rsidR="002D62E0" w:rsidRPr="006A0CD5" w:rsidRDefault="006A0CD5" w:rsidP="002D62E0">
      <w:pPr>
        <w:rPr>
          <w:b/>
        </w:rPr>
      </w:pPr>
      <w:r>
        <w:rPr>
          <w:b/>
        </w:rPr>
        <w:t>Communities still not receiving vaccination</w:t>
      </w:r>
      <w:r w:rsidR="002D62E0">
        <w:rPr>
          <w:b/>
        </w:rPr>
        <w:t xml:space="preserve">: </w:t>
      </w:r>
      <w:r w:rsidR="002D62E0">
        <w:t xml:space="preserve">Communities can still be found throughout Cambodia where infants and women are still not accessing any immunization services. The </w:t>
      </w:r>
      <w:r w:rsidR="00AC54E7">
        <w:t xml:space="preserve">EPI </w:t>
      </w:r>
      <w:r w:rsidR="002D62E0">
        <w:t xml:space="preserve">review </w:t>
      </w:r>
      <w:r w:rsidR="00AC54E7">
        <w:t>(201</w:t>
      </w:r>
      <w:r w:rsidR="00D07CDD">
        <w:t>0</w:t>
      </w:r>
      <w:r w:rsidR="00AC54E7">
        <w:t xml:space="preserve">) </w:t>
      </w:r>
      <w:r w:rsidR="002D62E0">
        <w:t xml:space="preserve">found they could be </w:t>
      </w:r>
      <w:r w:rsidR="002D62E0" w:rsidRPr="006A0CD5">
        <w:t>described under the following categories, which are not mutually exclusive:</w:t>
      </w:r>
    </w:p>
    <w:p w14:paraId="01C6AB8D" w14:textId="77777777" w:rsidR="002D62E0" w:rsidRPr="006A0CD5" w:rsidRDefault="002D62E0" w:rsidP="00456414">
      <w:pPr>
        <w:pStyle w:val="ListParagraph"/>
        <w:numPr>
          <w:ilvl w:val="0"/>
          <w:numId w:val="5"/>
        </w:numPr>
      </w:pPr>
      <w:r w:rsidRPr="006A0CD5">
        <w:t>Mobile populations moving to find the best opportunities for employment, including garment factory workers, rice farmers, construction workers, fishing families.</w:t>
      </w:r>
    </w:p>
    <w:p w14:paraId="3DAFFD24" w14:textId="77777777" w:rsidR="002D62E0" w:rsidRPr="006A0CD5" w:rsidRDefault="002D62E0" w:rsidP="00456414">
      <w:pPr>
        <w:pStyle w:val="ListParagraph"/>
        <w:numPr>
          <w:ilvl w:val="0"/>
          <w:numId w:val="5"/>
        </w:numPr>
      </w:pPr>
      <w:r w:rsidRPr="006A0CD5">
        <w:t>Ethnic Vietnamese and other minorities with different language and culture and who may not be included in the local population data.</w:t>
      </w:r>
    </w:p>
    <w:p w14:paraId="238F26E8" w14:textId="77777777" w:rsidR="002D62E0" w:rsidRPr="006A0CD5" w:rsidRDefault="002D62E0" w:rsidP="00456414">
      <w:pPr>
        <w:pStyle w:val="ListParagraph"/>
        <w:numPr>
          <w:ilvl w:val="0"/>
          <w:numId w:val="5"/>
        </w:numPr>
      </w:pPr>
      <w:r w:rsidRPr="006A0CD5">
        <w:t>Urban poor and the poorest within communities who struggle to survive and for whom there are high opportunity costs to take children for vaccination, and for whom there is weak volunteer support.</w:t>
      </w:r>
    </w:p>
    <w:p w14:paraId="45D44ED3" w14:textId="77777777" w:rsidR="002D62E0" w:rsidRPr="006A0CD5" w:rsidRDefault="002D62E0" w:rsidP="00456414">
      <w:pPr>
        <w:pStyle w:val="ListParagraph"/>
        <w:numPr>
          <w:ilvl w:val="0"/>
          <w:numId w:val="5"/>
        </w:numPr>
      </w:pPr>
      <w:r w:rsidRPr="006A0CD5">
        <w:t>Geographically remote areas where the cost of regular outreach may be too high, and unofficial or new settlements which are not included in the HC or OD plans.</w:t>
      </w:r>
    </w:p>
    <w:p w14:paraId="7CE0C57F" w14:textId="77777777" w:rsidR="002D62E0" w:rsidRPr="006A0CD5" w:rsidRDefault="002D62E0" w:rsidP="00456414">
      <w:pPr>
        <w:pStyle w:val="ListParagraph"/>
        <w:numPr>
          <w:ilvl w:val="0"/>
          <w:numId w:val="5"/>
        </w:numPr>
      </w:pPr>
      <w:r w:rsidRPr="006A0CD5">
        <w:t>Those that fear vaccination, usually because of the perception of associated pain or fever.</w:t>
      </w:r>
    </w:p>
    <w:p w14:paraId="560598F7" w14:textId="77777777" w:rsidR="002D62E0" w:rsidRPr="006A0CD5" w:rsidRDefault="002D62E0" w:rsidP="002D62E0"/>
    <w:p w14:paraId="2FCA1113" w14:textId="77777777" w:rsidR="002D62E0" w:rsidRPr="00AC54E7" w:rsidRDefault="002D62E0" w:rsidP="002D62E0">
      <w:pPr>
        <w:rPr>
          <w:b/>
        </w:rPr>
      </w:pPr>
      <w:r w:rsidRPr="00DF04C1">
        <w:rPr>
          <w:b/>
        </w:rPr>
        <w:lastRenderedPageBreak/>
        <w:t>W</w:t>
      </w:r>
      <w:r w:rsidR="00AC54E7">
        <w:rPr>
          <w:b/>
        </w:rPr>
        <w:t xml:space="preserve">hy Children and mothers in these communities continue not to be immunized: </w:t>
      </w:r>
      <w:r w:rsidR="008F4034" w:rsidRPr="008F4034">
        <w:t>During the 2010 EPI review, o</w:t>
      </w:r>
      <w:r w:rsidRPr="008F4034">
        <w:t>ver half of the mothers interviewed stated that the main reason why they or their children remained under-immunized was because they were ‘’too busy’’ or ‘’mobile’’. Since almost</w:t>
      </w:r>
      <w:r>
        <w:t xml:space="preserve"> all the respondents can be described as ‘poor’ these reasons express their perception that immunization is not a priority over the need to earn a living from day to day. Fear of vaccination was a significant reason of around 20%, but lack of knowledge was much less of a factor at around 12%. These findings and the fact that 83% of mothers held cards reflect a widespread knowledge of immunization, though some misunderstandings of the benefits still need to be corrected. It was note</w:t>
      </w:r>
      <w:r w:rsidR="0087045F">
        <w:t>d</w:t>
      </w:r>
      <w:r>
        <w:t xml:space="preserve"> that distance, lack of outreach visits</w:t>
      </w:r>
      <w:r w:rsidR="0087045F">
        <w:t>,</w:t>
      </w:r>
      <w:r>
        <w:t xml:space="preserve"> and cost together amounted to 15% of reasons. While the review teams did not have time to visit very remote areas</w:t>
      </w:r>
      <w:r w:rsidR="0087045F">
        <w:t>,</w:t>
      </w:r>
      <w:r>
        <w:t xml:space="preserve"> this finding may reflect the great improvements that have been made in road construction.</w:t>
      </w:r>
    </w:p>
    <w:p w14:paraId="75FDDB78" w14:textId="77777777" w:rsidR="002D62E0" w:rsidRDefault="002D62E0" w:rsidP="002D62E0"/>
    <w:p w14:paraId="26D97512" w14:textId="70F9BC12" w:rsidR="002D62E0" w:rsidRPr="00797A75" w:rsidRDefault="00AC54E7" w:rsidP="002D62E0">
      <w:pPr>
        <w:rPr>
          <w:b/>
        </w:rPr>
      </w:pPr>
      <w:r>
        <w:rPr>
          <w:b/>
        </w:rPr>
        <w:t>What should be done?</w:t>
      </w:r>
      <w:r w:rsidR="002D62E0">
        <w:rPr>
          <w:b/>
        </w:rPr>
        <w:t xml:space="preserve">  </w:t>
      </w:r>
      <w:r w:rsidR="002D62E0">
        <w:t xml:space="preserve">Although </w:t>
      </w:r>
      <w:r w:rsidR="001A3B99">
        <w:t xml:space="preserve">the EPI </w:t>
      </w:r>
      <w:r w:rsidR="002D62E0">
        <w:t xml:space="preserve">review found that </w:t>
      </w:r>
      <w:r w:rsidR="001A3B99">
        <w:t>beyond the</w:t>
      </w:r>
      <w:r w:rsidR="002D62E0">
        <w:t xml:space="preserve"> fine tuning improvements </w:t>
      </w:r>
      <w:r w:rsidR="001A3B99">
        <w:t>to the</w:t>
      </w:r>
      <w:r w:rsidR="002D62E0">
        <w:t xml:space="preserve"> immunization system (</w:t>
      </w:r>
      <w:r w:rsidR="001A3B99">
        <w:t>such as</w:t>
      </w:r>
      <w:r w:rsidR="002D62E0">
        <w:t xml:space="preserve"> ensuring improved quality of vaccine management, cold chain systems, surveillance, reporting quality </w:t>
      </w:r>
      <w:r w:rsidR="003941C1">
        <w:t>etc.</w:t>
      </w:r>
      <w:r w:rsidR="002D62E0">
        <w:t xml:space="preserve">) there are some “critical elements” that are required for scaling up access and utilization </w:t>
      </w:r>
      <w:r w:rsidR="001A3B99">
        <w:t>of services for the</w:t>
      </w:r>
      <w:r w:rsidR="002D62E0">
        <w:t xml:space="preserve"> underserv</w:t>
      </w:r>
      <w:r>
        <w:t>ed</w:t>
      </w:r>
      <w:r w:rsidR="001A3B99">
        <w:t xml:space="preserve"> populations</w:t>
      </w:r>
      <w:r>
        <w:t>. These include the following:</w:t>
      </w:r>
    </w:p>
    <w:p w14:paraId="7F6CEB5B" w14:textId="77777777" w:rsidR="002D62E0" w:rsidRDefault="002D62E0" w:rsidP="00456414">
      <w:pPr>
        <w:pStyle w:val="ListParagraph"/>
        <w:numPr>
          <w:ilvl w:val="0"/>
          <w:numId w:val="6"/>
        </w:numPr>
      </w:pPr>
      <w:r>
        <w:t>Putting in a place a planning system that detects the under-served communities at the village level</w:t>
      </w:r>
    </w:p>
    <w:p w14:paraId="108E0EA1" w14:textId="77777777" w:rsidR="002D62E0" w:rsidRDefault="002D62E0" w:rsidP="00456414">
      <w:pPr>
        <w:pStyle w:val="ListParagraph"/>
        <w:numPr>
          <w:ilvl w:val="0"/>
          <w:numId w:val="6"/>
        </w:numPr>
      </w:pPr>
      <w:r>
        <w:t>Establishing a community based monitoring system that quantifies the level of service access and utilization or lack thereof, with more required accountability for the vaccination coverage within the community (e.g. village chief)</w:t>
      </w:r>
    </w:p>
    <w:p w14:paraId="34D3E0AD" w14:textId="77777777" w:rsidR="002D62E0" w:rsidRDefault="002D62E0" w:rsidP="00456414">
      <w:pPr>
        <w:pStyle w:val="ListParagraph"/>
        <w:numPr>
          <w:ilvl w:val="0"/>
          <w:numId w:val="6"/>
        </w:numPr>
      </w:pPr>
      <w:r>
        <w:t>Ensuring adequate costing and financing of the actions that will be required to improve service access and utilization for the under-served</w:t>
      </w:r>
    </w:p>
    <w:p w14:paraId="3F5F0A70" w14:textId="77777777" w:rsidR="002D62E0" w:rsidRDefault="002D62E0" w:rsidP="00456414">
      <w:pPr>
        <w:pStyle w:val="ListParagraph"/>
        <w:numPr>
          <w:ilvl w:val="0"/>
          <w:numId w:val="6"/>
        </w:numPr>
      </w:pPr>
      <w:r>
        <w:t>Elaboration of communication strategy that enables providers to adjust service delivery according to the special needs of special population groups</w:t>
      </w:r>
    </w:p>
    <w:p w14:paraId="3C20505E" w14:textId="77777777" w:rsidR="002D62E0" w:rsidRDefault="002D62E0" w:rsidP="002D62E0"/>
    <w:p w14:paraId="3EB7EC48" w14:textId="77777777" w:rsidR="002D62E0" w:rsidRPr="00DF04C1" w:rsidRDefault="00AC54E7" w:rsidP="002D62E0">
      <w:pPr>
        <w:rPr>
          <w:b/>
        </w:rPr>
      </w:pPr>
      <w:r>
        <w:rPr>
          <w:b/>
        </w:rPr>
        <w:t>Action points from the EPI review</w:t>
      </w:r>
      <w:r w:rsidR="002D62E0">
        <w:rPr>
          <w:b/>
        </w:rPr>
        <w:t xml:space="preserve"> (2010)</w:t>
      </w:r>
      <w:r w:rsidR="002D62E0" w:rsidRPr="00DF04C1">
        <w:rPr>
          <w:b/>
        </w:rPr>
        <w:t xml:space="preserve">: </w:t>
      </w:r>
    </w:p>
    <w:p w14:paraId="30F06099" w14:textId="77777777" w:rsidR="002D62E0" w:rsidRDefault="002D62E0" w:rsidP="00456414">
      <w:pPr>
        <w:pStyle w:val="ListParagraph"/>
        <w:numPr>
          <w:ilvl w:val="0"/>
          <w:numId w:val="7"/>
        </w:numPr>
      </w:pPr>
      <w:r>
        <w:t>All levels of the MOH should commit to reaching the under-served as a means to achieve national goals and improve equity in immunization. This implies political commitment to recognize the problems of access and provide the required additional funding.</w:t>
      </w:r>
    </w:p>
    <w:p w14:paraId="10B68A47" w14:textId="77777777" w:rsidR="002D62E0" w:rsidRDefault="002D62E0" w:rsidP="00456414">
      <w:pPr>
        <w:pStyle w:val="ListParagraph"/>
        <w:numPr>
          <w:ilvl w:val="0"/>
          <w:numId w:val="7"/>
        </w:numPr>
      </w:pPr>
      <w:r>
        <w:t>The community support system, including VHSG, village chief and commune council should be revitalized by HC and OD levels to recognize those within their communities who are unimmunized and who need support to improve their access to immunization sessions.</w:t>
      </w:r>
    </w:p>
    <w:p w14:paraId="45E37E37" w14:textId="77777777" w:rsidR="002D62E0" w:rsidRDefault="002D62E0" w:rsidP="00456414">
      <w:pPr>
        <w:pStyle w:val="ListParagraph"/>
        <w:numPr>
          <w:ilvl w:val="0"/>
          <w:numId w:val="7"/>
        </w:numPr>
      </w:pPr>
      <w:r>
        <w:t xml:space="preserve">Health </w:t>
      </w:r>
      <w:r w:rsidR="00417F67">
        <w:t>Center</w:t>
      </w:r>
      <w:r>
        <w:t>s should identify underserved communities in direct collaboration with the communities, provide appropriate immunization services and monitor immunization status in each community regularly.</w:t>
      </w:r>
    </w:p>
    <w:p w14:paraId="436DD534" w14:textId="77777777" w:rsidR="002D62E0" w:rsidRDefault="002D62E0" w:rsidP="00456414">
      <w:pPr>
        <w:pStyle w:val="ListParagraph"/>
        <w:numPr>
          <w:ilvl w:val="0"/>
          <w:numId w:val="7"/>
        </w:numPr>
      </w:pPr>
      <w:r>
        <w:t xml:space="preserve">The OD and PHD should incorporate new strategies </w:t>
      </w:r>
      <w:r w:rsidR="00821AB1">
        <w:t>according to the outreach guideline in order</w:t>
      </w:r>
      <w:r>
        <w:t xml:space="preserve"> meet the needs of under-served communities.</w:t>
      </w:r>
    </w:p>
    <w:p w14:paraId="679901D5" w14:textId="77777777" w:rsidR="002D62E0" w:rsidRDefault="002D62E0" w:rsidP="00456414">
      <w:pPr>
        <w:pStyle w:val="ListParagraph"/>
        <w:numPr>
          <w:ilvl w:val="0"/>
          <w:numId w:val="7"/>
        </w:numPr>
      </w:pPr>
      <w:r>
        <w:t>The NIP should collaborate with partners to develop a new strategy for reaching every community which will build upon the existing strengths of the immunization system. Such a strategy can build upon the successful use of the Reaching Every District strategy (see below).</w:t>
      </w:r>
    </w:p>
    <w:p w14:paraId="73E82F54" w14:textId="374A0CCF" w:rsidR="002D62E0" w:rsidRDefault="002D62E0" w:rsidP="00456414">
      <w:pPr>
        <w:pStyle w:val="ListParagraph"/>
        <w:numPr>
          <w:ilvl w:val="0"/>
          <w:numId w:val="7"/>
        </w:numPr>
      </w:pPr>
      <w:r>
        <w:t>Every occasion to reach the children, such as special immunization activities (for example national measles campaign) or integrated outreach activity (jointly with anten</w:t>
      </w:r>
      <w:r w:rsidR="00517F58">
        <w:t>atal care, vitamin</w:t>
      </w:r>
      <w:r w:rsidR="001B3902">
        <w:t xml:space="preserve"> A, deworming</w:t>
      </w:r>
      <w:r>
        <w:t>, malaria etc.) should be an opportunity to pay attention in finding under</w:t>
      </w:r>
      <w:r w:rsidR="009723E0">
        <w:t>-</w:t>
      </w:r>
      <w:r>
        <w:t xml:space="preserve">immunized children and providing them with missed-vaccination, through adequate </w:t>
      </w:r>
      <w:r w:rsidR="003941C1">
        <w:t>micro planning</w:t>
      </w:r>
    </w:p>
    <w:p w14:paraId="2D6C9963" w14:textId="77777777" w:rsidR="002D62E0" w:rsidRDefault="002D62E0" w:rsidP="002D62E0"/>
    <w:p w14:paraId="3A4525C9" w14:textId="77777777" w:rsidR="00CF342A" w:rsidRDefault="00CF342A" w:rsidP="00CF342A">
      <w:pPr>
        <w:pStyle w:val="Heading2"/>
      </w:pPr>
      <w:bookmarkStart w:id="9" w:name="_Toc270048946"/>
      <w:r>
        <w:lastRenderedPageBreak/>
        <w:t>Update on EPI activities 2011-2013</w:t>
      </w:r>
      <w:bookmarkEnd w:id="9"/>
    </w:p>
    <w:p w14:paraId="09C75A0D" w14:textId="77777777" w:rsidR="00CF342A" w:rsidRDefault="00CF342A" w:rsidP="002D62E0"/>
    <w:p w14:paraId="1FA8CFAE" w14:textId="187F4049" w:rsidR="009E06AD" w:rsidRDefault="000C4BFF" w:rsidP="000C4BFF">
      <w:r>
        <w:rPr>
          <w:b/>
        </w:rPr>
        <w:t>Measles SIA</w:t>
      </w:r>
      <w:r w:rsidR="0043232E">
        <w:rPr>
          <w:b/>
        </w:rPr>
        <w:t xml:space="preserve"> (2011)</w:t>
      </w:r>
      <w:r>
        <w:rPr>
          <w:b/>
        </w:rPr>
        <w:t xml:space="preserve"> and </w:t>
      </w:r>
      <w:r w:rsidR="0043232E">
        <w:rPr>
          <w:b/>
        </w:rPr>
        <w:t xml:space="preserve">identification of </w:t>
      </w:r>
      <w:r>
        <w:rPr>
          <w:b/>
        </w:rPr>
        <w:t xml:space="preserve">high-risk community strategy: </w:t>
      </w:r>
      <w:r w:rsidRPr="000C4BFF">
        <w:t xml:space="preserve">In 2011, </w:t>
      </w:r>
      <w:r>
        <w:t>a nationwide measles campaign was conducted</w:t>
      </w:r>
      <w:r w:rsidR="001A7C42">
        <w:t xml:space="preserve"> in two rounds</w:t>
      </w:r>
      <w:r>
        <w:t xml:space="preserve">. </w:t>
      </w:r>
      <w:r w:rsidR="004A3C3B">
        <w:t xml:space="preserve">During the first </w:t>
      </w:r>
      <w:r w:rsidR="001A7C42">
        <w:t>round</w:t>
      </w:r>
      <w:r w:rsidR="00EE6854">
        <w:t xml:space="preserve"> </w:t>
      </w:r>
      <w:r w:rsidR="001A7C42">
        <w:t>in February</w:t>
      </w:r>
      <w:r w:rsidR="004A3C3B">
        <w:t xml:space="preserve">, measles vaccine was provided to infants and children 9 to 59 months. Additionally, other vaccines and health services were </w:t>
      </w:r>
      <w:r w:rsidR="001A7C42">
        <w:t>given to children during the campaign</w:t>
      </w:r>
      <w:r w:rsidR="004A3C3B">
        <w:t xml:space="preserve"> including OPV in select high risk community groups, vitamin A to children 6-59 months, and mebendazole to children from 12 to 59 months.</w:t>
      </w:r>
      <w:r w:rsidR="009E06AD">
        <w:t xml:space="preserve"> During this phase, high-risk communities were identified based on socio-economic data.</w:t>
      </w:r>
    </w:p>
    <w:p w14:paraId="2A34121D" w14:textId="77777777" w:rsidR="000C4BFF" w:rsidRPr="000C4BFF" w:rsidRDefault="001A7C42" w:rsidP="00595C6A">
      <w:pPr>
        <w:ind w:firstLine="720"/>
      </w:pPr>
      <w:r>
        <w:t>In</w:t>
      </w:r>
      <w:r w:rsidR="00EE6854">
        <w:t xml:space="preserve"> November 2011, </w:t>
      </w:r>
      <w:r>
        <w:t>the</w:t>
      </w:r>
      <w:r w:rsidR="00EE6854">
        <w:t xml:space="preserve"> second round of </w:t>
      </w:r>
      <w:r>
        <w:t xml:space="preserve">the </w:t>
      </w:r>
      <w:r w:rsidR="00EE6854">
        <w:t xml:space="preserve">measles SIA was conducted. During this phase, measles was provided to </w:t>
      </w:r>
      <w:r w:rsidR="009E06AD">
        <w:t xml:space="preserve">older </w:t>
      </w:r>
      <w:r w:rsidR="00EE6854">
        <w:t xml:space="preserve">children </w:t>
      </w:r>
      <w:r w:rsidR="009E06AD">
        <w:t>(</w:t>
      </w:r>
      <w:r w:rsidR="00EE6854">
        <w:t>5-9 years</w:t>
      </w:r>
      <w:r w:rsidR="009E06AD">
        <w:t>)</w:t>
      </w:r>
      <w:r w:rsidR="00EE6854">
        <w:t>. Additionally</w:t>
      </w:r>
      <w:r w:rsidR="009E06AD">
        <w:t xml:space="preserve">, during this round, a new approach was taken in order to identify high-risk communities for future activities. </w:t>
      </w:r>
      <w:r w:rsidR="00F0162F">
        <w:t>During</w:t>
      </w:r>
      <w:r w:rsidR="009E06AD">
        <w:t xml:space="preserve"> this round, all children 0 to 23 months had</w:t>
      </w:r>
      <w:r w:rsidR="00F0162F">
        <w:t xml:space="preserve"> </w:t>
      </w:r>
      <w:r w:rsidR="009E06AD">
        <w:t xml:space="preserve">their immunization cards checked. Children were categorized as “fully immunized”, “partially immunized”, or “no yellow card”. </w:t>
      </w:r>
      <w:r w:rsidR="0043232E">
        <w:t xml:space="preserve">Based on these results, communities with a high proportion </w:t>
      </w:r>
      <w:r w:rsidR="0099435D">
        <w:t>of</w:t>
      </w:r>
      <w:r w:rsidR="0043232E">
        <w:t xml:space="preserve"> unimmunized children were identified. </w:t>
      </w:r>
      <w:r w:rsidR="0099435D">
        <w:t xml:space="preserve">These high-risk communities were then prioritized for targeted actions in 2012. One key finding from this exercise was that a large proportion of unimmunized children were living in new villages and annex villages. </w:t>
      </w:r>
    </w:p>
    <w:p w14:paraId="2AA7BC73" w14:textId="77777777" w:rsidR="00EE6854" w:rsidRDefault="00EE6854" w:rsidP="002D62E0">
      <w:pPr>
        <w:rPr>
          <w:b/>
        </w:rPr>
      </w:pPr>
    </w:p>
    <w:p w14:paraId="7FF5606A" w14:textId="77777777" w:rsidR="001A7C42" w:rsidRDefault="000C4BFF" w:rsidP="001A7C42">
      <w:pPr>
        <w:rPr>
          <w:b/>
        </w:rPr>
      </w:pPr>
      <w:r>
        <w:rPr>
          <w:b/>
        </w:rPr>
        <w:t>Reaching every community strategy</w:t>
      </w:r>
      <w:r w:rsidR="00CB004A">
        <w:rPr>
          <w:b/>
        </w:rPr>
        <w:t xml:space="preserve"> (2012)</w:t>
      </w:r>
      <w:r w:rsidR="00082263">
        <w:rPr>
          <w:b/>
        </w:rPr>
        <w:t>:</w:t>
      </w:r>
      <w:r w:rsidR="00E86710">
        <w:rPr>
          <w:b/>
        </w:rPr>
        <w:t xml:space="preserve"> </w:t>
      </w:r>
      <w:r w:rsidR="00082263">
        <w:rPr>
          <w:b/>
        </w:rPr>
        <w:t>Pilot high-risk implementation</w:t>
      </w:r>
      <w:r w:rsidR="001A7C42">
        <w:rPr>
          <w:b/>
        </w:rPr>
        <w:t xml:space="preserve"> in 3 provinces</w:t>
      </w:r>
    </w:p>
    <w:p w14:paraId="0380BE25" w14:textId="77777777" w:rsidR="00EE6854" w:rsidRDefault="0099435D" w:rsidP="001B3902">
      <w:pPr>
        <w:ind w:firstLine="720"/>
      </w:pPr>
      <w:r w:rsidRPr="0099435D">
        <w:t>Based on the results of the high-risk identification</w:t>
      </w:r>
      <w:r w:rsidR="009723E0">
        <w:t xml:space="preserve"> in the measles SIA</w:t>
      </w:r>
      <w:r w:rsidRPr="0099435D">
        <w:t xml:space="preserve">, </w:t>
      </w:r>
      <w:r>
        <w:t>some health centers were selected for special high-risk training. These trainings used a new micro planning guideline. Prior to this, micro-planning was being done at the district level but not at the HC level. Additionally, training was c</w:t>
      </w:r>
      <w:r w:rsidR="00EE6854" w:rsidRPr="00EE6854">
        <w:t xml:space="preserve">onducted </w:t>
      </w:r>
      <w:r>
        <w:t xml:space="preserve">with VHSGs </w:t>
      </w:r>
      <w:r w:rsidR="00EE6854" w:rsidRPr="00EE6854">
        <w:t>to improve community support and utilization of immunization sessions in High Risk Communities.</w:t>
      </w:r>
      <w:r>
        <w:t xml:space="preserve"> Additionally, a budget was allocated to the HC to use mobile phones to contact the VHSG.  However, no money was given for outreach to new villages and annex villages. </w:t>
      </w:r>
    </w:p>
    <w:p w14:paraId="7D0B39D3" w14:textId="77777777" w:rsidR="0099435D" w:rsidRDefault="0099435D" w:rsidP="0099435D"/>
    <w:p w14:paraId="32B6502F" w14:textId="64D1FEAB" w:rsidR="003E2896" w:rsidRPr="006A0CD5" w:rsidRDefault="006A0CD5" w:rsidP="002D62E0">
      <w:pPr>
        <w:rPr>
          <w:b/>
        </w:rPr>
      </w:pPr>
      <w:r>
        <w:rPr>
          <w:b/>
        </w:rPr>
        <w:t>Findings from an</w:t>
      </w:r>
      <w:r w:rsidR="00CF342A" w:rsidRPr="006A0CD5">
        <w:rPr>
          <w:b/>
        </w:rPr>
        <w:t xml:space="preserve"> evaluation of 2012 </w:t>
      </w:r>
      <w:r>
        <w:rPr>
          <w:b/>
        </w:rPr>
        <w:t>High Risk Communities</w:t>
      </w:r>
      <w:r w:rsidR="00595C6A">
        <w:rPr>
          <w:b/>
        </w:rPr>
        <w:t xml:space="preserve"> (HRC)</w:t>
      </w:r>
      <w:r>
        <w:rPr>
          <w:b/>
        </w:rPr>
        <w:t xml:space="preserve"> activities</w:t>
      </w:r>
      <w:r w:rsidR="00CF342A" w:rsidRPr="006A0CD5">
        <w:rPr>
          <w:b/>
        </w:rPr>
        <w:t xml:space="preserve">: </w:t>
      </w:r>
    </w:p>
    <w:p w14:paraId="172EF0B8" w14:textId="77777777" w:rsidR="00CB004A" w:rsidRDefault="0099435D" w:rsidP="0091315A">
      <w:pPr>
        <w:ind w:firstLine="720"/>
      </w:pPr>
      <w:r>
        <w:rPr>
          <w:b/>
        </w:rPr>
        <w:t>Successes</w:t>
      </w:r>
      <w:r w:rsidR="00CF342A" w:rsidRPr="006A0CD5">
        <w:rPr>
          <w:b/>
        </w:rPr>
        <w:t xml:space="preserve">: </w:t>
      </w:r>
      <w:r>
        <w:t>There were many successes of the HRC strategy. First, the a</w:t>
      </w:r>
      <w:r w:rsidR="00CB004A">
        <w:t>ctivities h</w:t>
      </w:r>
      <w:r w:rsidR="00CF342A">
        <w:t xml:space="preserve">elped develop and strengthen links between HC and HR </w:t>
      </w:r>
      <w:r w:rsidR="00CF342A" w:rsidRPr="0099435D">
        <w:t>communities</w:t>
      </w:r>
      <w:r w:rsidRPr="0099435D">
        <w:t>. Additionally, the r</w:t>
      </w:r>
      <w:r w:rsidR="000C4BFF" w:rsidRPr="0099435D">
        <w:t xml:space="preserve">egular phone communication from HC to </w:t>
      </w:r>
      <w:r w:rsidRPr="0099435D">
        <w:t>VHSG</w:t>
      </w:r>
      <w:r w:rsidR="000C4BFF" w:rsidRPr="0099435D">
        <w:t xml:space="preserve"> helped to mobilize children and m</w:t>
      </w:r>
      <w:r w:rsidRPr="0099435D">
        <w:t xml:space="preserve">others for immunization session. Additionally, the </w:t>
      </w:r>
      <w:r w:rsidR="000C4BFF" w:rsidRPr="0099435D">
        <w:t xml:space="preserve">immunization registers </w:t>
      </w:r>
      <w:r w:rsidRPr="0099435D">
        <w:t xml:space="preserve">was updated in many </w:t>
      </w:r>
      <w:r w:rsidR="000C4BFF" w:rsidRPr="0099435D">
        <w:t xml:space="preserve">VHSG </w:t>
      </w:r>
      <w:r w:rsidRPr="0099435D">
        <w:t xml:space="preserve">with more relevant </w:t>
      </w:r>
      <w:r w:rsidR="000C4BFF" w:rsidRPr="0099435D">
        <w:t>information</w:t>
      </w:r>
      <w:r w:rsidRPr="0099435D">
        <w:t xml:space="preserve">.  Finally, </w:t>
      </w:r>
      <w:r w:rsidR="000C4BFF" w:rsidRPr="0099435D">
        <w:t xml:space="preserve">monthly meetings </w:t>
      </w:r>
      <w:r w:rsidRPr="0099435D">
        <w:t xml:space="preserve">were held </w:t>
      </w:r>
      <w:r w:rsidR="000C4BFF" w:rsidRPr="0099435D">
        <w:t xml:space="preserve">between HC and </w:t>
      </w:r>
      <w:r>
        <w:t>VHSG.</w:t>
      </w:r>
    </w:p>
    <w:p w14:paraId="7ED58DEB" w14:textId="77777777" w:rsidR="000C4BFF" w:rsidRDefault="0099435D" w:rsidP="00CD50D3">
      <w:pPr>
        <w:ind w:firstLine="720"/>
      </w:pPr>
      <w:r w:rsidRPr="00CD50D3">
        <w:rPr>
          <w:b/>
        </w:rPr>
        <w:t>Challenges</w:t>
      </w:r>
      <w:r w:rsidR="00CB004A" w:rsidRPr="00CD50D3">
        <w:t xml:space="preserve">: </w:t>
      </w:r>
      <w:r w:rsidRPr="00CD50D3">
        <w:t>Despite the many successes, there were also some challenges with the HRC strategy. Firstly, n</w:t>
      </w:r>
      <w:r w:rsidR="000C4BFF" w:rsidRPr="00CD50D3">
        <w:t xml:space="preserve">o funding support </w:t>
      </w:r>
      <w:r w:rsidRPr="00CD50D3">
        <w:t>was give</w:t>
      </w:r>
      <w:r w:rsidR="00CD50D3" w:rsidRPr="00CD50D3">
        <w:t>n</w:t>
      </w:r>
      <w:r w:rsidRPr="00CD50D3">
        <w:t xml:space="preserve"> to conduct</w:t>
      </w:r>
      <w:r w:rsidR="000C4BFF" w:rsidRPr="00CD50D3">
        <w:t xml:space="preserve"> outreach activities</w:t>
      </w:r>
      <w:r w:rsidR="00CB004A" w:rsidRPr="00CD50D3">
        <w:t xml:space="preserve"> in </w:t>
      </w:r>
      <w:r w:rsidR="000C4BFF" w:rsidRPr="00CD50D3">
        <w:t>new and annex villages</w:t>
      </w:r>
      <w:r w:rsidRPr="00CD50D3">
        <w:t xml:space="preserve"> where a high proportion of unimmunized children </w:t>
      </w:r>
      <w:r w:rsidR="00CD50D3" w:rsidRPr="00CD50D3">
        <w:t>live</w:t>
      </w:r>
      <w:r w:rsidRPr="00CD50D3">
        <w:t xml:space="preserve">. </w:t>
      </w:r>
      <w:r w:rsidR="00CD50D3" w:rsidRPr="00CD50D3">
        <w:t>Additionally, no</w:t>
      </w:r>
      <w:r w:rsidR="000C4BFF" w:rsidRPr="00CD50D3">
        <w:t xml:space="preserve"> </w:t>
      </w:r>
      <w:r w:rsidR="00CD50D3" w:rsidRPr="00CD50D3">
        <w:t>support was allocated</w:t>
      </w:r>
      <w:r w:rsidR="000C4BFF" w:rsidRPr="00CD50D3">
        <w:t xml:space="preserve"> for </w:t>
      </w:r>
      <w:r w:rsidR="00CD50D3" w:rsidRPr="00CD50D3">
        <w:t>supervision for</w:t>
      </w:r>
      <w:r w:rsidR="000C4BFF" w:rsidRPr="00CD50D3">
        <w:t xml:space="preserve"> PHD and OD visits to HC and HR villages</w:t>
      </w:r>
      <w:r w:rsidR="00CD50D3" w:rsidRPr="00CD50D3">
        <w:t xml:space="preserve">. </w:t>
      </w:r>
      <w:r w:rsidR="000C4BFF" w:rsidRPr="00CD50D3">
        <w:t xml:space="preserve">Data management at OD level is </w:t>
      </w:r>
      <w:r w:rsidR="00CD50D3">
        <w:t>weak, and s</w:t>
      </w:r>
      <w:r w:rsidR="000C4BFF" w:rsidRPr="000C4BFF">
        <w:t xml:space="preserve">ome HC </w:t>
      </w:r>
      <w:r w:rsidR="009723E0">
        <w:t>did not make</w:t>
      </w:r>
      <w:r w:rsidR="00CD50D3">
        <w:t xml:space="preserve"> </w:t>
      </w:r>
      <w:r w:rsidR="009723E0">
        <w:t xml:space="preserve">high-quality </w:t>
      </w:r>
      <w:r w:rsidR="00CD50D3">
        <w:t>m</w:t>
      </w:r>
      <w:r w:rsidR="000C4BFF" w:rsidRPr="000C4BFF">
        <w:t>icro-plan</w:t>
      </w:r>
      <w:r w:rsidR="00CD50D3">
        <w:t xml:space="preserve">s. </w:t>
      </w:r>
    </w:p>
    <w:p w14:paraId="61B270B9" w14:textId="77777777" w:rsidR="004E430D" w:rsidRDefault="004E430D" w:rsidP="004E430D"/>
    <w:p w14:paraId="159B48E5" w14:textId="77777777" w:rsidR="00B30AB7" w:rsidRDefault="004E430D" w:rsidP="004E430D">
      <w:pPr>
        <w:rPr>
          <w:b/>
        </w:rPr>
      </w:pPr>
      <w:r w:rsidRPr="00B30AB7">
        <w:rPr>
          <w:b/>
        </w:rPr>
        <w:t>Measles SIA (2013)</w:t>
      </w:r>
      <w:r w:rsidR="00B30AB7">
        <w:rPr>
          <w:b/>
        </w:rPr>
        <w:t>: Identifying communities for the high-risk list</w:t>
      </w:r>
    </w:p>
    <w:p w14:paraId="01482AF3" w14:textId="5B842E7E" w:rsidR="0091315A" w:rsidRDefault="00B30AB7" w:rsidP="001B3902">
      <w:pPr>
        <w:ind w:firstLine="720"/>
      </w:pPr>
      <w:r>
        <w:t xml:space="preserve">In 2013, another measles SIA was conducted and the opportunity was used again to </w:t>
      </w:r>
      <w:r w:rsidR="0091315A">
        <w:t xml:space="preserve">help identify high-risk villages. Yellow cards </w:t>
      </w:r>
      <w:r w:rsidR="009723E0">
        <w:t>were checked through the country, and</w:t>
      </w:r>
      <w:r w:rsidR="001B3902">
        <w:t xml:space="preserve"> communities with the highest percentage of unimmunized children were designated as</w:t>
      </w:r>
      <w:r w:rsidR="009723E0">
        <w:t xml:space="preserve"> </w:t>
      </w:r>
      <w:r w:rsidR="001B3902">
        <w:t>“</w:t>
      </w:r>
      <w:r w:rsidR="009723E0">
        <w:t>high</w:t>
      </w:r>
      <w:r w:rsidR="007A387B">
        <w:t>-</w:t>
      </w:r>
      <w:r w:rsidR="001B3902">
        <w:t xml:space="preserve">risk”.  A list of high-risk communities was made, and special activities were planned for these communities to increase coverage both during the SIA and to improve routine immunization.  </w:t>
      </w:r>
    </w:p>
    <w:p w14:paraId="48A450C4" w14:textId="77777777" w:rsidR="0091315A" w:rsidRDefault="0091315A" w:rsidP="004E430D"/>
    <w:p w14:paraId="62BB5AA6" w14:textId="1CD0166A" w:rsidR="0091315A" w:rsidRDefault="00595C6A" w:rsidP="004E430D">
      <w:r>
        <w:rPr>
          <w:b/>
        </w:rPr>
        <w:t>Key conclusion found</w:t>
      </w:r>
      <w:r w:rsidR="0091315A" w:rsidRPr="0091315A">
        <w:rPr>
          <w:b/>
        </w:rPr>
        <w:t xml:space="preserve"> </w:t>
      </w:r>
      <w:r>
        <w:rPr>
          <w:b/>
        </w:rPr>
        <w:t>scaling up the</w:t>
      </w:r>
      <w:r w:rsidR="0091315A" w:rsidRPr="0091315A">
        <w:rPr>
          <w:b/>
        </w:rPr>
        <w:t xml:space="preserve"> High-risk strategy</w:t>
      </w:r>
      <w:r w:rsidR="000859AC">
        <w:rPr>
          <w:b/>
        </w:rPr>
        <w:t xml:space="preserve"> (2012-2013)</w:t>
      </w:r>
      <w:r w:rsidR="0091315A">
        <w:t xml:space="preserve">: The </w:t>
      </w:r>
      <w:r w:rsidR="009723E0">
        <w:t>h</w:t>
      </w:r>
      <w:r w:rsidR="0091315A">
        <w:t xml:space="preserve">igh-risk strategy has worked well for SIAs. However it has been less effective in routine immunization. </w:t>
      </w:r>
    </w:p>
    <w:p w14:paraId="489189BD" w14:textId="77777777" w:rsidR="004E430D" w:rsidRDefault="004E430D" w:rsidP="004E430D"/>
    <w:p w14:paraId="125E0608" w14:textId="75F8AC08" w:rsidR="00E86710" w:rsidRPr="000C4BFF" w:rsidRDefault="000859AC" w:rsidP="004E430D">
      <w:r>
        <w:rPr>
          <w:b/>
        </w:rPr>
        <w:lastRenderedPageBreak/>
        <w:t>Strategy</w:t>
      </w:r>
      <w:r w:rsidR="00E86710" w:rsidRPr="000859AC">
        <w:rPr>
          <w:b/>
        </w:rPr>
        <w:t xml:space="preserve"> for 2014</w:t>
      </w:r>
      <w:r>
        <w:rPr>
          <w:b/>
        </w:rPr>
        <w:t>-2015</w:t>
      </w:r>
      <w:r w:rsidR="00E86710" w:rsidRPr="000859AC">
        <w:rPr>
          <w:b/>
        </w:rPr>
        <w:t>:</w:t>
      </w:r>
      <w:r w:rsidR="00E86710">
        <w:t xml:space="preserve"> In order to try and improve the use of the high-risk strategy for routine</w:t>
      </w:r>
      <w:r w:rsidR="00595C6A">
        <w:t xml:space="preserve"> immunization</w:t>
      </w:r>
      <w:r w:rsidR="00E86710">
        <w:t>, the “Implementation guideline for high risk communities” was produced in 2014. This strategy will be the focus of strengthening routine immunization in coming years.</w:t>
      </w:r>
    </w:p>
    <w:p w14:paraId="3C1A29BD" w14:textId="77777777" w:rsidR="000C4BFF" w:rsidRDefault="000C4BFF" w:rsidP="000C4BFF"/>
    <w:p w14:paraId="52C0006A" w14:textId="77777777" w:rsidR="002D62E0" w:rsidRPr="00886C63" w:rsidRDefault="00175DA6" w:rsidP="002D62E0">
      <w:pPr>
        <w:pStyle w:val="Heading2"/>
      </w:pPr>
      <w:bookmarkStart w:id="10" w:name="_Toc270048947"/>
      <w:r>
        <w:t>Progress report on EVM Improvement Plan</w:t>
      </w:r>
      <w:r w:rsidR="00517F58">
        <w:t xml:space="preserve"> (2014)</w:t>
      </w:r>
      <w:bookmarkEnd w:id="10"/>
    </w:p>
    <w:p w14:paraId="2ADCCAA9" w14:textId="77777777" w:rsidR="002D62E0" w:rsidRDefault="002D62E0" w:rsidP="002D62E0"/>
    <w:p w14:paraId="73577B4D" w14:textId="62E91653" w:rsidR="006C3725" w:rsidRPr="00F21331" w:rsidRDefault="002D62E0" w:rsidP="0055269C">
      <w:r>
        <w:t xml:space="preserve">In 2012, an </w:t>
      </w:r>
      <w:r w:rsidR="0055269C">
        <w:t xml:space="preserve">assessment </w:t>
      </w:r>
      <w:r>
        <w:t xml:space="preserve">of the </w:t>
      </w:r>
      <w:r w:rsidRPr="00886C63">
        <w:t xml:space="preserve">Effective Vaccine Management </w:t>
      </w:r>
      <w:r w:rsidR="00082263">
        <w:t xml:space="preserve">(EVM) </w:t>
      </w:r>
      <w:r>
        <w:t xml:space="preserve">was conducted in Cambodia. In </w:t>
      </w:r>
      <w:r w:rsidR="00175DA6">
        <w:t>early</w:t>
      </w:r>
      <w:r>
        <w:t xml:space="preserve"> 2014, a progress report was made on the status of the recommendations. </w:t>
      </w:r>
      <w:r w:rsidR="0042229F">
        <w:t xml:space="preserve">The following is a summary of the current status of </w:t>
      </w:r>
      <w:r w:rsidR="00573206">
        <w:t>the</w:t>
      </w:r>
      <w:r w:rsidR="00B2626A">
        <w:t xml:space="preserve"> implementation of the</w:t>
      </w:r>
      <w:r w:rsidR="00573206">
        <w:t xml:space="preserve"> recommendations </w:t>
      </w:r>
      <w:r w:rsidR="00B2626A">
        <w:t>included in</w:t>
      </w:r>
      <w:r w:rsidR="00573206">
        <w:t xml:space="preserve"> </w:t>
      </w:r>
      <w:r w:rsidR="0042229F">
        <w:t xml:space="preserve">the cold chain improvement plan. </w:t>
      </w:r>
    </w:p>
    <w:p w14:paraId="7E2224DE" w14:textId="77777777" w:rsidR="00843119" w:rsidRDefault="00843119" w:rsidP="006C3725">
      <w:pPr>
        <w:rPr>
          <w:b/>
          <w:bCs/>
          <w:lang w:val="en-IN"/>
        </w:rPr>
      </w:pPr>
      <w:bookmarkStart w:id="11" w:name="_GoBack"/>
    </w:p>
    <w:p w14:paraId="7EED4810" w14:textId="379D59B2" w:rsidR="002D62E0" w:rsidRPr="008059C7" w:rsidRDefault="002D62E0" w:rsidP="004009B6">
      <w:pPr>
        <w:rPr>
          <w:b/>
        </w:rPr>
      </w:pPr>
      <w:r w:rsidRPr="008059C7">
        <w:rPr>
          <w:b/>
          <w:bCs/>
          <w:lang w:val="en-IN"/>
        </w:rPr>
        <w:t>Recommendation #1</w:t>
      </w:r>
      <w:r w:rsidR="006C3725">
        <w:rPr>
          <w:b/>
          <w:bCs/>
          <w:lang w:val="en-IN"/>
        </w:rPr>
        <w:t xml:space="preserve"> </w:t>
      </w:r>
      <w:r w:rsidR="004009B6">
        <w:rPr>
          <w:b/>
          <w:bCs/>
          <w:lang w:val="en-IN"/>
        </w:rPr>
        <w:t>(E5</w:t>
      </w:r>
      <w:r w:rsidR="006C3725">
        <w:rPr>
          <w:b/>
          <w:bCs/>
          <w:lang w:val="en-IN"/>
        </w:rPr>
        <w:t>)</w:t>
      </w:r>
      <w:r w:rsidRPr="008059C7">
        <w:rPr>
          <w:b/>
          <w:bCs/>
          <w:lang w:val="en-IN"/>
        </w:rPr>
        <w:t>: Include EVM maintenance items (buildings, equipment and transport) on annual Government expenditure budget at all levels</w:t>
      </w:r>
    </w:p>
    <w:p w14:paraId="6FF291E9" w14:textId="574DCAF4" w:rsidR="002D62E0" w:rsidRPr="00595C6A" w:rsidRDefault="002D62E0" w:rsidP="009C1F60">
      <w:r w:rsidRPr="00595C6A">
        <w:t xml:space="preserve">Status of Implementation: </w:t>
      </w:r>
      <w:r w:rsidR="00175DA6" w:rsidRPr="00595C6A">
        <w:t>In progress</w:t>
      </w:r>
      <w:r w:rsidRPr="00595C6A">
        <w:t xml:space="preserve">. </w:t>
      </w:r>
      <w:r w:rsidR="00175DA6" w:rsidRPr="00595C6A">
        <w:t>There is no information about the access to the National budget for this activity because the budget is decentralized to the sub-national level.  Recommendation has been made to all Provincial EPI focal points through regular national and sub national immunization meetings</w:t>
      </w:r>
      <w:r w:rsidR="004009B6">
        <w:t>/workshops</w:t>
      </w:r>
      <w:r w:rsidR="00175DA6" w:rsidRPr="00595C6A">
        <w:t>. The g</w:t>
      </w:r>
      <w:r w:rsidRPr="00595C6A">
        <w:t xml:space="preserve">overnment </w:t>
      </w:r>
      <w:r w:rsidR="00082263" w:rsidRPr="00595C6A">
        <w:t xml:space="preserve">is </w:t>
      </w:r>
      <w:r w:rsidRPr="00595C6A">
        <w:t xml:space="preserve">deciding on </w:t>
      </w:r>
      <w:r w:rsidR="00082263" w:rsidRPr="00595C6A">
        <w:t xml:space="preserve">whether or not to add </w:t>
      </w:r>
      <w:r w:rsidR="00175DA6" w:rsidRPr="00595C6A">
        <w:t>a</w:t>
      </w:r>
      <w:r w:rsidRPr="00595C6A">
        <w:t xml:space="preserve"> network of </w:t>
      </w:r>
      <w:r w:rsidR="00175DA6" w:rsidRPr="00595C6A">
        <w:t xml:space="preserve">a </w:t>
      </w:r>
      <w:r w:rsidRPr="00595C6A">
        <w:t xml:space="preserve">technician (one technician per province or number of refrigerators per technician) and outsourcing. Additionally, there is a need to develop a national policy on cold chain performance indicators such as acceptable downtime of equipment, routine reporting on functional status. This activity requires securing budget for maintenance and other logistic requirements in </w:t>
      </w:r>
      <w:r w:rsidR="00012E9B" w:rsidRPr="00595C6A">
        <w:t>Annual Operational Plan (</w:t>
      </w:r>
      <w:r w:rsidRPr="00595C6A">
        <w:t>AOP</w:t>
      </w:r>
      <w:r w:rsidR="00012E9B" w:rsidRPr="00595C6A">
        <w:t>)</w:t>
      </w:r>
      <w:r w:rsidRPr="00595C6A">
        <w:t xml:space="preserve">. </w:t>
      </w:r>
    </w:p>
    <w:p w14:paraId="6C9D13EE" w14:textId="77777777" w:rsidR="00551444" w:rsidRDefault="00551444" w:rsidP="00551444">
      <w:pPr>
        <w:rPr>
          <w:b/>
          <w:bCs/>
        </w:rPr>
      </w:pPr>
    </w:p>
    <w:p w14:paraId="556CC0DD" w14:textId="4566EC4E" w:rsidR="00551444" w:rsidRPr="00551444" w:rsidRDefault="00551444" w:rsidP="00551444">
      <w:pPr>
        <w:rPr>
          <w:b/>
          <w:bCs/>
        </w:rPr>
      </w:pPr>
      <w:r>
        <w:rPr>
          <w:b/>
          <w:bCs/>
        </w:rPr>
        <w:t>Recommendation #2 (E2</w:t>
      </w:r>
      <w:r w:rsidRPr="00551444">
        <w:rPr>
          <w:b/>
          <w:bCs/>
        </w:rPr>
        <w:t xml:space="preserve">): Conduct a Temperature Monitoring Study of the cold chain distribution system in Cambodia, including a pilot of "cold" water packs in two additional provinces. </w:t>
      </w:r>
    </w:p>
    <w:p w14:paraId="3D6B6446" w14:textId="482FCB75" w:rsidR="006C3725" w:rsidRPr="00551444" w:rsidRDefault="00551444" w:rsidP="00551444">
      <w:r w:rsidRPr="00551444">
        <w:t>Status of implementation: Study is in the planning phase. Four provinces will be selected for study and 2 additional provinces for the chilled water pack portion. The timeline is expected to be 6 months.</w:t>
      </w:r>
    </w:p>
    <w:p w14:paraId="3E15D889" w14:textId="77777777" w:rsidR="00551444" w:rsidRDefault="00551444" w:rsidP="009C1F60">
      <w:pPr>
        <w:rPr>
          <w:b/>
          <w:bCs/>
        </w:rPr>
      </w:pPr>
    </w:p>
    <w:p w14:paraId="5BF2B5FB" w14:textId="67D6C261" w:rsidR="002D62E0" w:rsidRPr="008059C7" w:rsidRDefault="002D62E0" w:rsidP="00551444">
      <w:pPr>
        <w:rPr>
          <w:b/>
        </w:rPr>
      </w:pPr>
      <w:r w:rsidRPr="008059C7">
        <w:rPr>
          <w:b/>
          <w:bCs/>
        </w:rPr>
        <w:t>Recommendation #</w:t>
      </w:r>
      <w:r w:rsidR="00551444">
        <w:rPr>
          <w:b/>
          <w:bCs/>
        </w:rPr>
        <w:t>3</w:t>
      </w:r>
      <w:r w:rsidR="006C3725">
        <w:rPr>
          <w:b/>
          <w:bCs/>
        </w:rPr>
        <w:t xml:space="preserve"> (</w:t>
      </w:r>
      <w:r w:rsidR="00551444">
        <w:rPr>
          <w:b/>
          <w:bCs/>
        </w:rPr>
        <w:t>E7</w:t>
      </w:r>
      <w:r w:rsidR="006C3725">
        <w:rPr>
          <w:b/>
          <w:bCs/>
        </w:rPr>
        <w:t>)</w:t>
      </w:r>
      <w:r w:rsidRPr="008059C7">
        <w:rPr>
          <w:b/>
          <w:bCs/>
        </w:rPr>
        <w:t>: Make decision on change from “conditioned ice-packs” to “cold water packs” for transportation.</w:t>
      </w:r>
    </w:p>
    <w:p w14:paraId="093C5540" w14:textId="77777777" w:rsidR="002D62E0" w:rsidRPr="0042229F" w:rsidRDefault="002D62E0" w:rsidP="009C1F60">
      <w:r w:rsidRPr="0042229F">
        <w:t>Status of Implementation</w:t>
      </w:r>
      <w:r w:rsidRPr="0042229F">
        <w:rPr>
          <w:bCs/>
        </w:rPr>
        <w:t xml:space="preserve">: This decision is pending the </w:t>
      </w:r>
      <w:r w:rsidRPr="0042229F">
        <w:t xml:space="preserve">results from temperature monitoring study. There is high level of interest in testing and adopting the chilled water pack policy based on findings from study. </w:t>
      </w:r>
    </w:p>
    <w:p w14:paraId="6A9F1D6A" w14:textId="77777777" w:rsidR="006C3725" w:rsidRDefault="006C3725" w:rsidP="009C1F60"/>
    <w:p w14:paraId="753848F1" w14:textId="77777777" w:rsidR="002D62E0" w:rsidRPr="008059C7" w:rsidRDefault="002D62E0" w:rsidP="009C1F60">
      <w:pPr>
        <w:rPr>
          <w:b/>
        </w:rPr>
      </w:pPr>
      <w:r w:rsidRPr="008059C7">
        <w:rPr>
          <w:b/>
          <w:bCs/>
        </w:rPr>
        <w:t>Recommendation #3</w:t>
      </w:r>
      <w:r w:rsidR="006C3725">
        <w:rPr>
          <w:b/>
          <w:bCs/>
        </w:rPr>
        <w:t xml:space="preserve"> (Policy):</w:t>
      </w:r>
      <w:r w:rsidRPr="008059C7">
        <w:rPr>
          <w:b/>
        </w:rPr>
        <w:t xml:space="preserve"> Modification of stock management policy and vaccine distribution frequencies.</w:t>
      </w:r>
    </w:p>
    <w:p w14:paraId="0B5332CD" w14:textId="77777777" w:rsidR="002D62E0" w:rsidRPr="0042229F" w:rsidRDefault="002D62E0" w:rsidP="009C1F60">
      <w:r w:rsidRPr="0042229F">
        <w:t>Status of Implementation:</w:t>
      </w:r>
      <w:r w:rsidR="006C3725" w:rsidRPr="0042229F">
        <w:t xml:space="preserve"> Discussion ongoing. </w:t>
      </w:r>
    </w:p>
    <w:p w14:paraId="11D08FA8" w14:textId="77777777" w:rsidR="006C3725" w:rsidRDefault="006C3725" w:rsidP="009C1F60"/>
    <w:p w14:paraId="0923E7D1" w14:textId="508E6B4B" w:rsidR="00BA7BD5" w:rsidRPr="00BA7BD5" w:rsidRDefault="002D62E0" w:rsidP="00551444">
      <w:pPr>
        <w:rPr>
          <w:b/>
        </w:rPr>
      </w:pPr>
      <w:r w:rsidRPr="00BA7BD5">
        <w:rPr>
          <w:b/>
        </w:rPr>
        <w:t>Recommendation</w:t>
      </w:r>
      <w:r w:rsidR="00BA7BD5" w:rsidRPr="00BA7BD5">
        <w:rPr>
          <w:b/>
        </w:rPr>
        <w:t xml:space="preserve"> #4</w:t>
      </w:r>
      <w:r w:rsidR="006C3725">
        <w:rPr>
          <w:b/>
        </w:rPr>
        <w:t xml:space="preserve"> (</w:t>
      </w:r>
      <w:r w:rsidR="00551444">
        <w:rPr>
          <w:b/>
        </w:rPr>
        <w:t>E3)</w:t>
      </w:r>
      <w:r w:rsidRPr="00BA7BD5">
        <w:rPr>
          <w:b/>
        </w:rPr>
        <w:t>: Review available cold chain storage space at all levels for future needs to introduce new vaccines, and review options includin</w:t>
      </w:r>
      <w:r w:rsidR="00BA7BD5" w:rsidRPr="00BA7BD5">
        <w:rPr>
          <w:b/>
        </w:rPr>
        <w:t>g procurement of new equipment.</w:t>
      </w:r>
    </w:p>
    <w:p w14:paraId="4180F0DA" w14:textId="58D6A14A" w:rsidR="002D62E0" w:rsidRPr="0028005B" w:rsidRDefault="002D62E0" w:rsidP="009C1F60">
      <w:r w:rsidRPr="0028005B">
        <w:t xml:space="preserve">Status of implementation: </w:t>
      </w:r>
      <w:r w:rsidR="00175DA6" w:rsidRPr="0028005B">
        <w:t xml:space="preserve">The National Immunization Program undertook an update of the cold chain inventory throughout Cambodia in the last quarter of 2013, and this report and the inventory listing was finalized in April 2013.  Storage space was then reviewed for both PCV13 and IPV vaccine introduction and will be further developed as part of the cMYP update in 2014. </w:t>
      </w:r>
      <w:r w:rsidR="009C1F60" w:rsidRPr="0028005B">
        <w:t>Funds</w:t>
      </w:r>
      <w:r w:rsidRPr="0028005B">
        <w:t xml:space="preserve"> for the additional requirements for both</w:t>
      </w:r>
      <w:r w:rsidR="00175DA6" w:rsidRPr="0028005B">
        <w:t xml:space="preserve"> IPV and PCV</w:t>
      </w:r>
      <w:r w:rsidRPr="0028005B">
        <w:t xml:space="preserve"> vaccines </w:t>
      </w:r>
      <w:r w:rsidR="009C1F60" w:rsidRPr="0028005B">
        <w:t>have been included in</w:t>
      </w:r>
      <w:r w:rsidRPr="0028005B">
        <w:t xml:space="preserve"> the Vaccine Introduction </w:t>
      </w:r>
      <w:r w:rsidR="009C1F60" w:rsidRPr="0028005B">
        <w:t>Grants (VIG) costs. This include</w:t>
      </w:r>
      <w:r w:rsidR="00175DA6" w:rsidRPr="0028005B">
        <w:t>s</w:t>
      </w:r>
      <w:r w:rsidR="009C1F60" w:rsidRPr="0028005B">
        <w:t xml:space="preserve"> $</w:t>
      </w:r>
      <w:r w:rsidR="00175DA6" w:rsidRPr="0028005B">
        <w:t>130,000</w:t>
      </w:r>
      <w:r w:rsidR="009C1F60" w:rsidRPr="0028005B">
        <w:t xml:space="preserve"> for PCV</w:t>
      </w:r>
      <w:r w:rsidR="00555DC7">
        <w:t xml:space="preserve"> introduction</w:t>
      </w:r>
      <w:r w:rsidR="009C1F60" w:rsidRPr="0028005B">
        <w:t xml:space="preserve"> and $</w:t>
      </w:r>
      <w:r w:rsidR="00555DC7">
        <w:t>50</w:t>
      </w:r>
      <w:r w:rsidR="00175DA6" w:rsidRPr="0028005B">
        <w:t>,000</w:t>
      </w:r>
      <w:r w:rsidR="00555DC7">
        <w:t xml:space="preserve"> for IPV introduction.</w:t>
      </w:r>
    </w:p>
    <w:p w14:paraId="0AA4B051" w14:textId="77777777" w:rsidR="006C3725" w:rsidRDefault="006C3725" w:rsidP="009C1F60"/>
    <w:p w14:paraId="0B771028" w14:textId="77777777" w:rsidR="006C3725" w:rsidRDefault="006C3725" w:rsidP="009C1F60"/>
    <w:p w14:paraId="71B3798A" w14:textId="6CCEA3C5" w:rsidR="002D62E0" w:rsidRPr="006C3725" w:rsidRDefault="006C3725" w:rsidP="00551444">
      <w:pPr>
        <w:rPr>
          <w:b/>
        </w:rPr>
      </w:pPr>
      <w:r w:rsidRPr="006C3725">
        <w:rPr>
          <w:b/>
        </w:rPr>
        <w:lastRenderedPageBreak/>
        <w:t>Recommendation #</w:t>
      </w:r>
      <w:r w:rsidR="00551444">
        <w:rPr>
          <w:b/>
        </w:rPr>
        <w:t>5</w:t>
      </w:r>
      <w:r w:rsidRPr="006C3725">
        <w:rPr>
          <w:b/>
        </w:rPr>
        <w:t xml:space="preserve"> (</w:t>
      </w:r>
      <w:r w:rsidR="00551444">
        <w:rPr>
          <w:b/>
        </w:rPr>
        <w:t>E9</w:t>
      </w:r>
      <w:r w:rsidRPr="006C3725">
        <w:rPr>
          <w:b/>
        </w:rPr>
        <w:t xml:space="preserve">): </w:t>
      </w:r>
      <w:r w:rsidR="002D62E0" w:rsidRPr="006C3725">
        <w:rPr>
          <w:b/>
        </w:rPr>
        <w:t>Establish a National Cold Chain Manual that includes SOP and guidance documents</w:t>
      </w:r>
    </w:p>
    <w:p w14:paraId="0D4A8704" w14:textId="406C252A" w:rsidR="009C1F60" w:rsidRPr="0028005B" w:rsidRDefault="006C3725" w:rsidP="00BA33A2">
      <w:pPr>
        <w:pStyle w:val="Default"/>
      </w:pPr>
      <w:r w:rsidRPr="0028005B">
        <w:t xml:space="preserve">Status of implementation: </w:t>
      </w:r>
      <w:r w:rsidR="002D62E0" w:rsidRPr="0028005B">
        <w:t xml:space="preserve">The SOP or national quality plan was revised for national level and translation is ongoing. The SOP for other levels needs to be developed. This should include policy of using </w:t>
      </w:r>
      <w:r w:rsidR="00BA33A2" w:rsidRPr="00BA33A2">
        <w:t>30-Day Temperature Recorders (</w:t>
      </w:r>
      <w:r w:rsidR="002D62E0" w:rsidRPr="00BA33A2">
        <w:t>30DTR</w:t>
      </w:r>
      <w:r w:rsidR="00BA33A2" w:rsidRPr="00BA33A2">
        <w:t>)</w:t>
      </w:r>
      <w:r w:rsidR="002D62E0" w:rsidRPr="0028005B">
        <w:t xml:space="preserve"> for temperature monitoring and vaccine distribution practices</w:t>
      </w:r>
    </w:p>
    <w:p w14:paraId="7F2A5CDF" w14:textId="77777777" w:rsidR="009C1F60" w:rsidRDefault="009C1F60" w:rsidP="009C1F60">
      <w:pPr>
        <w:rPr>
          <w:i/>
        </w:rPr>
      </w:pPr>
    </w:p>
    <w:p w14:paraId="1739CE9A" w14:textId="2790267C" w:rsidR="009C1F60" w:rsidRPr="009C1F60" w:rsidRDefault="009C1F60" w:rsidP="00551444">
      <w:pPr>
        <w:rPr>
          <w:b/>
        </w:rPr>
      </w:pPr>
      <w:r w:rsidRPr="009C1F60">
        <w:rPr>
          <w:b/>
        </w:rPr>
        <w:t>Recommendation #</w:t>
      </w:r>
      <w:r w:rsidR="00551444">
        <w:rPr>
          <w:b/>
        </w:rPr>
        <w:t xml:space="preserve">6 </w:t>
      </w:r>
      <w:r w:rsidRPr="009C1F60">
        <w:rPr>
          <w:b/>
        </w:rPr>
        <w:t>(</w:t>
      </w:r>
      <w:r w:rsidR="00551444">
        <w:rPr>
          <w:b/>
        </w:rPr>
        <w:t>E2</w:t>
      </w:r>
      <w:r w:rsidRPr="009C1F60">
        <w:rPr>
          <w:b/>
        </w:rPr>
        <w:t>): Conduct training at all levels on priority items in temperature management identified by EVM Assessment</w:t>
      </w:r>
    </w:p>
    <w:p w14:paraId="1FB79987" w14:textId="3475CA9B" w:rsidR="002D62E0" w:rsidRPr="0028005B" w:rsidRDefault="009C1F60" w:rsidP="00EF6C0C">
      <w:r w:rsidRPr="0028005B">
        <w:t xml:space="preserve">Status of implementation: </w:t>
      </w:r>
      <w:r w:rsidR="00555DC7">
        <w:t>The c</w:t>
      </w:r>
      <w:r w:rsidR="002D62E0" w:rsidRPr="0028005B">
        <w:t xml:space="preserve">urrent training programs for HC staff include specific sections on vaccine diluents, </w:t>
      </w:r>
      <w:r w:rsidR="00555DC7">
        <w:t xml:space="preserve">vaccine vial monitors </w:t>
      </w:r>
      <w:r w:rsidR="002D62E0" w:rsidRPr="0028005B">
        <w:t xml:space="preserve">and </w:t>
      </w:r>
      <w:r w:rsidR="00BA33A2">
        <w:t xml:space="preserve">multi-dose vial </w:t>
      </w:r>
      <w:r w:rsidR="00BA33A2" w:rsidRPr="00BA33A2">
        <w:t>policy (</w:t>
      </w:r>
      <w:r w:rsidR="002D62E0" w:rsidRPr="00BA33A2">
        <w:t>MDVP</w:t>
      </w:r>
      <w:r w:rsidR="00BA33A2" w:rsidRPr="00BA33A2">
        <w:t>)</w:t>
      </w:r>
      <w:r w:rsidRPr="00BA33A2">
        <w:t>.</w:t>
      </w:r>
      <w:r w:rsidRPr="0028005B">
        <w:t xml:space="preserve"> </w:t>
      </w:r>
      <w:r w:rsidR="002D62E0" w:rsidRPr="0028005B">
        <w:t xml:space="preserve">These topics will be included in training package of </w:t>
      </w:r>
      <w:r w:rsidR="002D62E0" w:rsidRPr="00BA33A2">
        <w:t>implementing 30DTR at</w:t>
      </w:r>
      <w:r w:rsidR="002D62E0" w:rsidRPr="0028005B">
        <w:t xml:space="preserve"> all levels.</w:t>
      </w:r>
      <w:r w:rsidR="00EF6C0C" w:rsidRPr="0028005B">
        <w:t xml:space="preserve"> </w:t>
      </w:r>
      <w:r w:rsidR="002D62E0" w:rsidRPr="0028005B">
        <w:t xml:space="preserve">Fridge-tag-2 </w:t>
      </w:r>
      <w:r w:rsidR="00EF6C0C" w:rsidRPr="0028005B">
        <w:t>training will</w:t>
      </w:r>
      <w:r w:rsidR="002D62E0" w:rsidRPr="0028005B">
        <w:t xml:space="preserve"> be implemented in phased manner. </w:t>
      </w:r>
      <w:r w:rsidR="002D62E0" w:rsidRPr="0028005B">
        <w:rPr>
          <w:bCs/>
        </w:rPr>
        <w:t xml:space="preserve">First phase </w:t>
      </w:r>
      <w:r w:rsidR="002D62E0" w:rsidRPr="0028005B">
        <w:t xml:space="preserve">will include two provinces of Phnom Penh and </w:t>
      </w:r>
      <w:proofErr w:type="spellStart"/>
      <w:r w:rsidR="002D62E0" w:rsidRPr="0028005B">
        <w:t>Kratie</w:t>
      </w:r>
      <w:proofErr w:type="spellEnd"/>
      <w:r w:rsidR="002D62E0" w:rsidRPr="0028005B">
        <w:t>; and all the sites within these two provinces. An extensive one to one training of health workers to be conducted using the fridge tag. T</w:t>
      </w:r>
      <w:r w:rsidR="00555DC7">
        <w:t>his will be done though one Training of Trainers (ToT)</w:t>
      </w:r>
      <w:r w:rsidR="002D62E0" w:rsidRPr="0028005B">
        <w:t>, followed by 12 health worker level training programs</w:t>
      </w:r>
      <w:r w:rsidR="00EF6C0C" w:rsidRPr="0028005B">
        <w:t xml:space="preserve">. </w:t>
      </w:r>
      <w:r w:rsidR="002D62E0" w:rsidRPr="0028005B">
        <w:t xml:space="preserve">Pilot implementation </w:t>
      </w:r>
      <w:r w:rsidR="00EF6C0C" w:rsidRPr="0028005B">
        <w:t>will</w:t>
      </w:r>
      <w:r w:rsidR="002D62E0" w:rsidRPr="0028005B">
        <w:t xml:space="preserve"> require procurement of 200 fri</w:t>
      </w:r>
      <w:r w:rsidR="00DB0585">
        <w:t xml:space="preserve">dge-tag-2 (PQS code: E006/020) </w:t>
      </w:r>
      <w:r w:rsidR="002D62E0" w:rsidRPr="0028005B">
        <w:t>devices and training support</w:t>
      </w:r>
      <w:r w:rsidR="00EF6C0C" w:rsidRPr="0028005B">
        <w:t xml:space="preserve"> to fund 13 training programs. </w:t>
      </w:r>
      <w:r w:rsidR="002D62E0" w:rsidRPr="0028005B">
        <w:t xml:space="preserve">The </w:t>
      </w:r>
      <w:r w:rsidR="002D62E0" w:rsidRPr="0028005B">
        <w:rPr>
          <w:bCs/>
        </w:rPr>
        <w:t xml:space="preserve">second phase </w:t>
      </w:r>
      <w:r w:rsidR="002D62E0" w:rsidRPr="0028005B">
        <w:t xml:space="preserve">of </w:t>
      </w:r>
      <w:r w:rsidR="00EF6C0C" w:rsidRPr="0028005B">
        <w:t>training and implementation</w:t>
      </w:r>
      <w:r w:rsidR="002D62E0" w:rsidRPr="0028005B">
        <w:t xml:space="preserve"> shall be from </w:t>
      </w:r>
      <w:r w:rsidR="002D62E0" w:rsidRPr="0028005B">
        <w:rPr>
          <w:bCs/>
        </w:rPr>
        <w:t>2015</w:t>
      </w:r>
      <w:r w:rsidR="002D62E0" w:rsidRPr="0028005B">
        <w:t xml:space="preserve">, preferably along with </w:t>
      </w:r>
      <w:r w:rsidR="002D62E0" w:rsidRPr="0028005B">
        <w:rPr>
          <w:bCs/>
        </w:rPr>
        <w:t>introduction of PCV</w:t>
      </w:r>
      <w:r w:rsidR="00EF6C0C" w:rsidRPr="0028005B">
        <w:rPr>
          <w:bCs/>
        </w:rPr>
        <w:t xml:space="preserve"> and IPV</w:t>
      </w:r>
      <w:r w:rsidR="002D62E0" w:rsidRPr="0028005B">
        <w:rPr>
          <w:bCs/>
        </w:rPr>
        <w:t xml:space="preserve"> </w:t>
      </w:r>
      <w:r w:rsidR="002D62E0" w:rsidRPr="0028005B">
        <w:t xml:space="preserve">(requirements to be computed). </w:t>
      </w:r>
      <w:r w:rsidR="00EF6C0C" w:rsidRPr="0028005B">
        <w:t xml:space="preserve">Additionally, </w:t>
      </w:r>
      <w:r w:rsidR="002D62E0" w:rsidRPr="0028005B">
        <w:t xml:space="preserve">the national policy of temperature monitoring </w:t>
      </w:r>
      <w:proofErr w:type="gramStart"/>
      <w:r w:rsidR="002D62E0" w:rsidRPr="0028005B">
        <w:t xml:space="preserve">using </w:t>
      </w:r>
      <w:r w:rsidR="00BA33A2">
        <w:t xml:space="preserve"> WHO</w:t>
      </w:r>
      <w:proofErr w:type="gramEnd"/>
      <w:r w:rsidR="00BA33A2">
        <w:t xml:space="preserve"> Performance Quality Service </w:t>
      </w:r>
      <w:r w:rsidR="00BA33A2" w:rsidRPr="00BA33A2">
        <w:t>(</w:t>
      </w:r>
      <w:r w:rsidR="002D62E0" w:rsidRPr="00BA33A2">
        <w:t>PQS</w:t>
      </w:r>
      <w:r w:rsidR="00BA33A2" w:rsidRPr="00BA33A2">
        <w:t>)</w:t>
      </w:r>
      <w:r w:rsidR="002D62E0" w:rsidRPr="00BA33A2">
        <w:t xml:space="preserve"> approved 30DTR </w:t>
      </w:r>
      <w:r w:rsidR="00EF6C0C" w:rsidRPr="00BA33A2">
        <w:t>will</w:t>
      </w:r>
      <w:r w:rsidR="00EF6C0C" w:rsidRPr="0028005B">
        <w:t xml:space="preserve"> be adopted </w:t>
      </w:r>
      <w:r w:rsidR="002D62E0" w:rsidRPr="0028005B">
        <w:t>at all the levels</w:t>
      </w:r>
      <w:r w:rsidR="00070168">
        <w:t xml:space="preserve">. </w:t>
      </w:r>
      <w:r w:rsidR="002D62E0" w:rsidRPr="0028005B">
        <w:t xml:space="preserve"> </w:t>
      </w:r>
    </w:p>
    <w:p w14:paraId="5628B193" w14:textId="77777777" w:rsidR="00551444" w:rsidRDefault="00551444" w:rsidP="009C1F60">
      <w:pPr>
        <w:rPr>
          <w:b/>
        </w:rPr>
      </w:pPr>
    </w:p>
    <w:p w14:paraId="618990A1" w14:textId="04B2B078" w:rsidR="002D62E0" w:rsidRDefault="00551444" w:rsidP="009C1F60">
      <w:pPr>
        <w:rPr>
          <w:b/>
        </w:rPr>
      </w:pPr>
      <w:r>
        <w:rPr>
          <w:b/>
        </w:rPr>
        <w:t xml:space="preserve">Recommendation #7 </w:t>
      </w:r>
      <w:proofErr w:type="gramStart"/>
      <w:r>
        <w:rPr>
          <w:b/>
        </w:rPr>
        <w:t>( E2</w:t>
      </w:r>
      <w:proofErr w:type="gramEnd"/>
      <w:r>
        <w:rPr>
          <w:b/>
        </w:rPr>
        <w:t xml:space="preserve">) </w:t>
      </w:r>
      <w:r w:rsidRPr="00551444">
        <w:rPr>
          <w:b/>
        </w:rPr>
        <w:t>Move the old compound cold room and freezer room to the new compound and integrate the vaccine store on one site</w:t>
      </w:r>
    </w:p>
    <w:p w14:paraId="106688AF" w14:textId="7E9EC11B" w:rsidR="009C1F60" w:rsidRDefault="00551444" w:rsidP="00183FED">
      <w:r>
        <w:t xml:space="preserve">Status of implementation: </w:t>
      </w:r>
      <w:r w:rsidR="00183FED">
        <w:t>Completed</w:t>
      </w:r>
    </w:p>
    <w:p w14:paraId="7424482B" w14:textId="77777777" w:rsidR="00551444" w:rsidRDefault="00551444" w:rsidP="009C1F60"/>
    <w:p w14:paraId="48966ADB" w14:textId="4FEE3689" w:rsidR="002D62E0" w:rsidRPr="00DB0585" w:rsidRDefault="009C1F60" w:rsidP="00551444">
      <w:pPr>
        <w:rPr>
          <w:b/>
        </w:rPr>
      </w:pPr>
      <w:r w:rsidRPr="00DB0585">
        <w:rPr>
          <w:b/>
        </w:rPr>
        <w:t>Recommendation #</w:t>
      </w:r>
      <w:r w:rsidR="00551444">
        <w:rPr>
          <w:b/>
        </w:rPr>
        <w:t>8</w:t>
      </w:r>
      <w:r w:rsidRPr="00DB0585">
        <w:rPr>
          <w:b/>
        </w:rPr>
        <w:t xml:space="preserve"> (</w:t>
      </w:r>
      <w:r w:rsidR="00551444">
        <w:rPr>
          <w:b/>
        </w:rPr>
        <w:t>E2</w:t>
      </w:r>
      <w:r w:rsidRPr="00DB0585">
        <w:rPr>
          <w:b/>
        </w:rPr>
        <w:t xml:space="preserve">): </w:t>
      </w:r>
      <w:r w:rsidR="002D62E0" w:rsidRPr="00DB0585">
        <w:rPr>
          <w:b/>
        </w:rPr>
        <w:t>Conduct temperature mapping study of all cold rooms and freezer rooms at the CMS</w:t>
      </w:r>
      <w:r w:rsidR="00555DC7">
        <w:rPr>
          <w:b/>
        </w:rPr>
        <w:t>.</w:t>
      </w:r>
    </w:p>
    <w:p w14:paraId="4D8E1FC3" w14:textId="300832DD" w:rsidR="002D62E0" w:rsidRDefault="009C1F60" w:rsidP="009C1F60">
      <w:r w:rsidRPr="00DB0585">
        <w:t xml:space="preserve">Status of Implementation: Completed. </w:t>
      </w:r>
      <w:r w:rsidR="002D62E0" w:rsidRPr="00DB0585">
        <w:t xml:space="preserve">Report </w:t>
      </w:r>
      <w:r w:rsidR="00BA33A2">
        <w:t xml:space="preserve">is </w:t>
      </w:r>
      <w:r w:rsidR="002D62E0" w:rsidRPr="00DB0585">
        <w:t xml:space="preserve">available. Study was conducted by NIP and UNICEF in 2013 using 20 </w:t>
      </w:r>
      <w:proofErr w:type="spellStart"/>
      <w:r w:rsidR="002D62E0" w:rsidRPr="00DB0585">
        <w:t>Logtag</w:t>
      </w:r>
      <w:proofErr w:type="spellEnd"/>
      <w:r w:rsidR="002D62E0" w:rsidRPr="00DB0585">
        <w:t xml:space="preserve"> trix-8 loggers. The cold rooms at national level do not have continuous temperature monitoring system. This could be improved by installing computerized (wireless) temperature monitoring system. This system is highly recommended by </w:t>
      </w:r>
      <w:proofErr w:type="gramStart"/>
      <w:r w:rsidR="002D62E0" w:rsidRPr="00DB0585">
        <w:t>WHO</w:t>
      </w:r>
      <w:proofErr w:type="gramEnd"/>
      <w:r w:rsidR="002D62E0" w:rsidRPr="00DB0585">
        <w:t xml:space="preserve"> for monitoring of cold chain at national level. </w:t>
      </w:r>
    </w:p>
    <w:p w14:paraId="4B7B9FE4" w14:textId="77777777" w:rsidR="00551444" w:rsidRDefault="00551444" w:rsidP="009C1F60"/>
    <w:p w14:paraId="1E76C61B" w14:textId="7B82BBDA" w:rsidR="00551444" w:rsidRPr="00551444" w:rsidRDefault="00551444" w:rsidP="00551444">
      <w:pPr>
        <w:rPr>
          <w:bCs/>
        </w:rPr>
      </w:pPr>
      <w:r w:rsidRPr="004009B6">
        <w:rPr>
          <w:b/>
          <w:color w:val="FF0000"/>
        </w:rPr>
        <w:t>Recommendation #</w:t>
      </w:r>
      <w:r>
        <w:rPr>
          <w:b/>
          <w:color w:val="FF0000"/>
        </w:rPr>
        <w:t>9</w:t>
      </w:r>
      <w:r w:rsidRPr="004009B6">
        <w:rPr>
          <w:b/>
          <w:color w:val="FF0000"/>
        </w:rPr>
        <w:t xml:space="preserve"> (</w:t>
      </w:r>
      <w:r>
        <w:rPr>
          <w:b/>
          <w:color w:val="FF0000"/>
        </w:rPr>
        <w:t>E3</w:t>
      </w:r>
      <w:r w:rsidRPr="004009B6">
        <w:rPr>
          <w:b/>
          <w:color w:val="FF0000"/>
        </w:rPr>
        <w:t>):</w:t>
      </w:r>
      <w:r w:rsidRPr="00551444">
        <w:t xml:space="preserve"> </w:t>
      </w:r>
      <w:r w:rsidRPr="00551444">
        <w:rPr>
          <w:bCs/>
        </w:rPr>
        <w:t>Review available and needed storage space at PHD level for current vaccines, redeploy excessive cold chain equipment to cover current shortfalls, and integrate additional needs into NIP cold chain equipment replacement plan.</w:t>
      </w:r>
      <w:r w:rsidRPr="00551444">
        <w:rPr>
          <w:bCs/>
        </w:rPr>
        <w:t xml:space="preserve"> </w:t>
      </w:r>
    </w:p>
    <w:p w14:paraId="4D9AC902" w14:textId="60FE2562" w:rsidR="00551444" w:rsidRDefault="00551444" w:rsidP="00551444">
      <w:pPr>
        <w:rPr>
          <w:color w:val="FF0000"/>
        </w:rPr>
      </w:pPr>
      <w:r w:rsidRPr="004009B6">
        <w:rPr>
          <w:color w:val="FF0000"/>
        </w:rPr>
        <w:t xml:space="preserve">Status of implementation:  Discussions to purchase of walk-in cold room (WIC) has been going on for further expansion of cold chain capacity </w:t>
      </w:r>
      <w:r>
        <w:rPr>
          <w:color w:val="FF0000"/>
        </w:rPr>
        <w:t>at the national level.</w:t>
      </w:r>
    </w:p>
    <w:p w14:paraId="1460EDEC" w14:textId="77777777" w:rsidR="00183FED" w:rsidRDefault="00551444" w:rsidP="00183FED">
      <w:pPr>
        <w:rPr>
          <w:color w:val="FF0000"/>
        </w:rPr>
      </w:pPr>
      <w:r>
        <w:rPr>
          <w:color w:val="FF0000"/>
        </w:rPr>
        <w:t>Cold chain assessment conducted along with the PCV and IPV GAVI proposals and procurement order for refrigerators for P</w:t>
      </w:r>
      <w:r w:rsidR="00183FED">
        <w:rPr>
          <w:color w:val="FF0000"/>
        </w:rPr>
        <w:t xml:space="preserve">rovinces and </w:t>
      </w:r>
      <w:r>
        <w:rPr>
          <w:color w:val="FF0000"/>
        </w:rPr>
        <w:t>ODs</w:t>
      </w:r>
      <w:r w:rsidR="00183FED">
        <w:rPr>
          <w:color w:val="FF0000"/>
        </w:rPr>
        <w:t xml:space="preserve"> already given to UNICEF.  Discussions for </w:t>
      </w:r>
      <w:proofErr w:type="gramStart"/>
      <w:r w:rsidR="00183FED">
        <w:rPr>
          <w:color w:val="FF0000"/>
        </w:rPr>
        <w:t>purchasing  more</w:t>
      </w:r>
      <w:proofErr w:type="gramEnd"/>
      <w:r w:rsidR="00183FED">
        <w:rPr>
          <w:color w:val="FF0000"/>
        </w:rPr>
        <w:t xml:space="preserve"> equipment from HSS grant is going on.</w:t>
      </w:r>
    </w:p>
    <w:p w14:paraId="04209D62" w14:textId="77777777" w:rsidR="00183FED" w:rsidRDefault="00183FED" w:rsidP="00183FED">
      <w:pPr>
        <w:rPr>
          <w:color w:val="FF0000"/>
        </w:rPr>
      </w:pPr>
    </w:p>
    <w:p w14:paraId="786176A2" w14:textId="3B9F84A8" w:rsidR="00183FED" w:rsidRDefault="00183FED" w:rsidP="00183FED">
      <w:pPr>
        <w:rPr>
          <w:color w:val="FF0000"/>
        </w:rPr>
      </w:pPr>
      <w:r>
        <w:rPr>
          <w:color w:val="FF0000"/>
        </w:rPr>
        <w:t>Recommendations#10 (E7)</w:t>
      </w:r>
      <w:r w:rsidRPr="00183FED">
        <w:t xml:space="preserve"> </w:t>
      </w:r>
      <w:r w:rsidRPr="00183FED">
        <w:rPr>
          <w:color w:val="FF0000"/>
        </w:rPr>
        <w:t>Current training programs for HC staff include specific sections on vaccine diluents, VVM and MDVP</w:t>
      </w:r>
    </w:p>
    <w:p w14:paraId="71B0F7A5" w14:textId="77777777" w:rsidR="00183FED" w:rsidRDefault="00183FED" w:rsidP="00183FED">
      <w:pPr>
        <w:rPr>
          <w:color w:val="FF0000"/>
        </w:rPr>
      </w:pPr>
    </w:p>
    <w:p w14:paraId="37054A3F" w14:textId="0C6A33CE" w:rsidR="00551444" w:rsidRPr="004009B6" w:rsidRDefault="00183FED" w:rsidP="00183FED">
      <w:pPr>
        <w:rPr>
          <w:color w:val="FF0000"/>
        </w:rPr>
      </w:pPr>
      <w:r>
        <w:rPr>
          <w:color w:val="FF0000"/>
        </w:rPr>
        <w:t xml:space="preserve"> </w:t>
      </w:r>
      <w:r w:rsidRPr="004009B6">
        <w:rPr>
          <w:color w:val="FF0000"/>
        </w:rPr>
        <w:t xml:space="preserve">Status of implementation:  </w:t>
      </w:r>
      <w:r>
        <w:rPr>
          <w:color w:val="FF0000"/>
        </w:rPr>
        <w:t>Completed</w:t>
      </w:r>
    </w:p>
    <w:bookmarkEnd w:id="11"/>
    <w:p w14:paraId="60B1C245" w14:textId="77777777" w:rsidR="00551444" w:rsidRPr="00DB0585" w:rsidRDefault="00551444" w:rsidP="009C1F60"/>
    <w:p w14:paraId="60654B43" w14:textId="77777777" w:rsidR="009C1F60" w:rsidRDefault="009C1F60" w:rsidP="009C1F60">
      <w:pPr>
        <w:rPr>
          <w:b/>
        </w:rPr>
      </w:pPr>
    </w:p>
    <w:p w14:paraId="290537DC" w14:textId="77777777" w:rsidR="002D62E0" w:rsidRPr="007D1BC8" w:rsidRDefault="002D62E0" w:rsidP="009C1F60">
      <w:pPr>
        <w:rPr>
          <w:b/>
        </w:rPr>
      </w:pPr>
      <w:r w:rsidRPr="007D1BC8">
        <w:rPr>
          <w:b/>
        </w:rPr>
        <w:lastRenderedPageBreak/>
        <w:t>Next Steps</w:t>
      </w:r>
      <w:r>
        <w:rPr>
          <w:b/>
        </w:rPr>
        <w:t xml:space="preserve"> for the improvement of the cold chain</w:t>
      </w:r>
      <w:r w:rsidR="009C1F60">
        <w:rPr>
          <w:b/>
        </w:rPr>
        <w:t xml:space="preserve"> in 2014-2015:</w:t>
      </w:r>
    </w:p>
    <w:p w14:paraId="483CC9B0" w14:textId="77777777" w:rsidR="002D62E0" w:rsidRPr="001A61F3" w:rsidRDefault="002D62E0" w:rsidP="00456414">
      <w:pPr>
        <w:numPr>
          <w:ilvl w:val="0"/>
          <w:numId w:val="8"/>
        </w:numPr>
      </w:pPr>
      <w:r w:rsidRPr="001A61F3">
        <w:t>Fridge tag pilot in 2 provinces</w:t>
      </w:r>
    </w:p>
    <w:p w14:paraId="5F124BD0" w14:textId="77777777" w:rsidR="002D62E0" w:rsidRPr="001A61F3" w:rsidRDefault="002D62E0" w:rsidP="00456414">
      <w:pPr>
        <w:numPr>
          <w:ilvl w:val="0"/>
          <w:numId w:val="8"/>
        </w:numPr>
      </w:pPr>
      <w:r w:rsidRPr="001A61F3">
        <w:t xml:space="preserve">Training of HW including </w:t>
      </w:r>
      <w:r w:rsidR="00F10BB8">
        <w:t xml:space="preserve">cold chain and </w:t>
      </w:r>
      <w:r w:rsidRPr="001A61F3">
        <w:t>vaccine management topics</w:t>
      </w:r>
    </w:p>
    <w:p w14:paraId="5BF35376" w14:textId="77777777" w:rsidR="002D62E0" w:rsidRPr="001A61F3" w:rsidRDefault="002D62E0" w:rsidP="00456414">
      <w:pPr>
        <w:numPr>
          <w:ilvl w:val="0"/>
          <w:numId w:val="8"/>
        </w:numPr>
      </w:pPr>
      <w:r w:rsidRPr="001A61F3">
        <w:t xml:space="preserve">Temperature monitoring study </w:t>
      </w:r>
    </w:p>
    <w:p w14:paraId="20D5BB19" w14:textId="77777777" w:rsidR="002D62E0" w:rsidRPr="001A61F3" w:rsidRDefault="002D62E0" w:rsidP="00456414">
      <w:pPr>
        <w:numPr>
          <w:ilvl w:val="0"/>
          <w:numId w:val="8"/>
        </w:numPr>
      </w:pPr>
      <w:r w:rsidRPr="001A61F3">
        <w:t xml:space="preserve">Decision on using chilled water pack or conditioned ice pack </w:t>
      </w:r>
      <w:r w:rsidRPr="001A61F3">
        <w:rPr>
          <w:i/>
          <w:iCs/>
        </w:rPr>
        <w:t xml:space="preserve">(policy decision) </w:t>
      </w:r>
    </w:p>
    <w:p w14:paraId="427770C5" w14:textId="08930172" w:rsidR="002D62E0" w:rsidRPr="001A61F3" w:rsidRDefault="002D62E0" w:rsidP="00456414">
      <w:pPr>
        <w:numPr>
          <w:ilvl w:val="0"/>
          <w:numId w:val="8"/>
        </w:numPr>
      </w:pPr>
      <w:r w:rsidRPr="001A61F3">
        <w:t xml:space="preserve">Decision on scaling up use of Fridge-Tag country wide </w:t>
      </w:r>
      <w:r w:rsidR="00456414">
        <w:rPr>
          <w:i/>
          <w:iCs/>
        </w:rPr>
        <w:t>(p</w:t>
      </w:r>
      <w:r w:rsidRPr="001A61F3">
        <w:rPr>
          <w:i/>
          <w:iCs/>
        </w:rPr>
        <w:t xml:space="preserve">olicy decision) </w:t>
      </w:r>
    </w:p>
    <w:p w14:paraId="7B2E025D" w14:textId="77777777" w:rsidR="002D62E0" w:rsidRPr="001A61F3" w:rsidRDefault="002D62E0" w:rsidP="00456414">
      <w:pPr>
        <w:numPr>
          <w:ilvl w:val="0"/>
          <w:numId w:val="8"/>
        </w:numPr>
      </w:pPr>
      <w:r w:rsidRPr="001A61F3">
        <w:t xml:space="preserve">Decision on improving capacity or increasing distribution frequency </w:t>
      </w:r>
      <w:r w:rsidRPr="001A61F3">
        <w:rPr>
          <w:i/>
          <w:iCs/>
        </w:rPr>
        <w:t xml:space="preserve">(policy decision) </w:t>
      </w:r>
    </w:p>
    <w:p w14:paraId="2F1DB0F5" w14:textId="77777777" w:rsidR="002D62E0" w:rsidRPr="001A61F3" w:rsidRDefault="002D62E0" w:rsidP="00456414">
      <w:pPr>
        <w:numPr>
          <w:ilvl w:val="0"/>
          <w:numId w:val="8"/>
        </w:numPr>
      </w:pPr>
      <w:r w:rsidRPr="001A61F3">
        <w:t xml:space="preserve">Procurement of equipment </w:t>
      </w:r>
      <w:r w:rsidRPr="001A61F3">
        <w:rPr>
          <w:i/>
          <w:iCs/>
        </w:rPr>
        <w:t xml:space="preserve">(policy decision) </w:t>
      </w:r>
    </w:p>
    <w:p w14:paraId="211A748F" w14:textId="77777777" w:rsidR="002D62E0" w:rsidRPr="001A61F3" w:rsidRDefault="002D62E0" w:rsidP="00456414">
      <w:pPr>
        <w:numPr>
          <w:ilvl w:val="0"/>
          <w:numId w:val="8"/>
        </w:numPr>
      </w:pPr>
      <w:r w:rsidRPr="001A61F3">
        <w:t xml:space="preserve">Decision on maintenance </w:t>
      </w:r>
      <w:r w:rsidRPr="001A61F3">
        <w:rPr>
          <w:i/>
          <w:iCs/>
        </w:rPr>
        <w:t xml:space="preserve">(policy decision) </w:t>
      </w:r>
    </w:p>
    <w:p w14:paraId="0EF6455A" w14:textId="77777777" w:rsidR="002D62E0" w:rsidRDefault="002D62E0" w:rsidP="00456414">
      <w:pPr>
        <w:numPr>
          <w:ilvl w:val="0"/>
          <w:numId w:val="8"/>
        </w:numPr>
      </w:pPr>
      <w:r w:rsidRPr="001A61F3">
        <w:t>Stren</w:t>
      </w:r>
      <w:r>
        <w:t>gthening supportive supervision</w:t>
      </w:r>
    </w:p>
    <w:p w14:paraId="18CF5867" w14:textId="77777777" w:rsidR="002D62E0" w:rsidRPr="00317803" w:rsidRDefault="002D62E0" w:rsidP="009C1F60"/>
    <w:p w14:paraId="657F1E90" w14:textId="77777777" w:rsidR="002D62E0" w:rsidRDefault="002D62E0" w:rsidP="002D62E0">
      <w:pPr>
        <w:pStyle w:val="Heading2"/>
      </w:pPr>
      <w:bookmarkStart w:id="12" w:name="_Toc270048948"/>
      <w:r>
        <w:t>Vaccine</w:t>
      </w:r>
      <w:r w:rsidRPr="001F0D70">
        <w:t xml:space="preserve"> management</w:t>
      </w:r>
      <w:bookmarkEnd w:id="12"/>
    </w:p>
    <w:p w14:paraId="58C46E86" w14:textId="77777777" w:rsidR="002D62E0" w:rsidRDefault="002D62E0" w:rsidP="002D62E0"/>
    <w:p w14:paraId="02D10052" w14:textId="77777777" w:rsidR="00175DA6" w:rsidRDefault="002D62E0" w:rsidP="00175DA6">
      <w:r w:rsidRPr="002B25FA">
        <w:t>In the current routine immunization system, vaccines are distributed from the central level to the provincial level every three months, and from there supplied to the operational district level every month.</w:t>
      </w:r>
    </w:p>
    <w:p w14:paraId="27060403" w14:textId="77777777" w:rsidR="00175DA6" w:rsidRDefault="00175DA6" w:rsidP="00175DA6"/>
    <w:p w14:paraId="2CD49FBD" w14:textId="77777777" w:rsidR="00175DA6" w:rsidRPr="002B25FA" w:rsidRDefault="00175DA6" w:rsidP="00175DA6">
      <w:r w:rsidRPr="00175DA6">
        <w:rPr>
          <w:b/>
        </w:rPr>
        <w:t>IPV Storage conditions:</w:t>
      </w:r>
      <w:r>
        <w:t xml:space="preserve"> </w:t>
      </w:r>
      <w:r w:rsidRPr="002B25FA">
        <w:t xml:space="preserve">IPV is sensitive to heat and freezing and must be kept and transported at the correct temperature range at all points along the way from manufacture to administration. Proper storage of IPV at every stage of the cold chain is essential for avoiding loss of potency. Once vaccine potency is lost, it cannot be regained. Any damaged vaccines must be destroyed. This could result in a stock out.  </w:t>
      </w:r>
    </w:p>
    <w:p w14:paraId="7400EC6D" w14:textId="77777777" w:rsidR="00175DA6" w:rsidRPr="002B25FA" w:rsidRDefault="00175DA6" w:rsidP="00175DA6"/>
    <w:p w14:paraId="627AF879" w14:textId="77777777" w:rsidR="00175DA6" w:rsidRPr="002B25FA" w:rsidRDefault="00175DA6" w:rsidP="00175DA6">
      <w:r w:rsidRPr="002B25FA">
        <w:rPr>
          <w:b/>
        </w:rPr>
        <w:t>IPV is FREEZE SENSITIVE</w:t>
      </w:r>
      <w:r w:rsidRPr="002B25FA">
        <w:t>: Liquid vaccines, including IPV, must not be frozen or placed on a frozen icepack. If frozen, liquid vaccines lose their potency and provide no protection against the disease. Because stand-alone IPV is not an adsorbed vaccine (i.e., no aluminum adjuvant)</w:t>
      </w:r>
      <w:r w:rsidRPr="00532B6B">
        <w:t xml:space="preserve">, </w:t>
      </w:r>
      <w:r w:rsidRPr="00532B6B">
        <w:rPr>
          <w:u w:val="single"/>
        </w:rPr>
        <w:t>the "shake test" is ineffective in determining whether IPV has been frozen</w:t>
      </w:r>
      <w:r w:rsidRPr="002B25FA">
        <w:t xml:space="preserve">. If there is doubt or suspicion that vaccine was frozen, the vial must be discarded. </w:t>
      </w:r>
    </w:p>
    <w:p w14:paraId="229B22EF" w14:textId="77777777" w:rsidR="00175DA6" w:rsidRPr="002B25FA" w:rsidRDefault="00175DA6" w:rsidP="00175DA6"/>
    <w:p w14:paraId="3497F0A9" w14:textId="77777777" w:rsidR="002D62E0" w:rsidRDefault="00175DA6" w:rsidP="002D62E0">
      <w:r w:rsidRPr="002B25FA">
        <w:rPr>
          <w:b/>
        </w:rPr>
        <w:t>IPV is HEAT SENSITIVE:</w:t>
      </w:r>
      <w:r w:rsidRPr="002B25FA">
        <w:t xml:space="preserve"> IPV loses potency when exposed to high temperatures. Heat impact on vaccines is cumulative. The Vaccine Vial Monitor (VVM) on IPV indicates whether the vaccine has been exposed to a combination of excessive temperature over time and whether it is likely to have been damaged. It clearly indicates to health workers whether a vaccine can be used.</w:t>
      </w:r>
    </w:p>
    <w:p w14:paraId="45941C5B" w14:textId="77777777" w:rsidR="00BA33A2" w:rsidRDefault="00BA33A2" w:rsidP="002D62E0"/>
    <w:p w14:paraId="5E10A141" w14:textId="09FF2B6C" w:rsidR="00BA33A2" w:rsidRPr="002B25FA" w:rsidRDefault="00BA33A2" w:rsidP="00BA33A2">
      <w:r>
        <w:t xml:space="preserve">In respect to above, vaccine management training will be conducted before the introduction of IPV at all levels. </w:t>
      </w:r>
    </w:p>
    <w:p w14:paraId="43F841F6" w14:textId="77777777" w:rsidR="002D62E0" w:rsidRDefault="002D62E0" w:rsidP="002D62E0">
      <w:r>
        <w:t xml:space="preserve"> </w:t>
      </w:r>
    </w:p>
    <w:p w14:paraId="2607478C" w14:textId="77777777" w:rsidR="00317803" w:rsidRDefault="00317803"/>
    <w:p w14:paraId="00507CC9" w14:textId="77777777" w:rsidR="001F0D70" w:rsidRDefault="001F0D70" w:rsidP="001F0D70">
      <w:pPr>
        <w:pStyle w:val="Heading1"/>
      </w:pPr>
      <w:bookmarkStart w:id="13" w:name="_Toc270048949"/>
      <w:r>
        <w:t>Overview of IPV</w:t>
      </w:r>
      <w:r w:rsidR="00725ABE">
        <w:t>: Vial size, licensure, dose requirements</w:t>
      </w:r>
      <w:r w:rsidR="00E254EE">
        <w:t>, and safety</w:t>
      </w:r>
      <w:bookmarkEnd w:id="13"/>
    </w:p>
    <w:p w14:paraId="2ACFE3F7" w14:textId="77777777" w:rsidR="001F0D70" w:rsidRDefault="001F0D70" w:rsidP="001F0D70"/>
    <w:p w14:paraId="04695660" w14:textId="77777777" w:rsidR="001F0D70" w:rsidRPr="00E02D24" w:rsidRDefault="001F0D70" w:rsidP="001F0D70">
      <w:pPr>
        <w:pStyle w:val="Heading2"/>
      </w:pPr>
      <w:bookmarkStart w:id="14" w:name="_Toc270048950"/>
      <w:r w:rsidRPr="00E02D24">
        <w:t>Vaccine preference</w:t>
      </w:r>
      <w:bookmarkEnd w:id="14"/>
    </w:p>
    <w:p w14:paraId="582341FE" w14:textId="77777777" w:rsidR="00C274DB" w:rsidRDefault="00C274DB" w:rsidP="001F0D70"/>
    <w:p w14:paraId="469AE253" w14:textId="0742E877" w:rsidR="00C274DB" w:rsidRDefault="00F10BB8" w:rsidP="00C274DB">
      <w:r>
        <w:t>Ideally, t</w:t>
      </w:r>
      <w:r w:rsidR="00C274DB">
        <w:t xml:space="preserve">he preferred presentation for IPV </w:t>
      </w:r>
      <w:r>
        <w:t xml:space="preserve">in Cambodia would be </w:t>
      </w:r>
      <w:r w:rsidR="00C274DB">
        <w:t>the single dose vial.</w:t>
      </w:r>
      <w:r>
        <w:t xml:space="preserve"> The single dose vial would be the best way to limit </w:t>
      </w:r>
      <w:r w:rsidR="00985E31">
        <w:t xml:space="preserve">the </w:t>
      </w:r>
      <w:r>
        <w:t>high wastage</w:t>
      </w:r>
      <w:r w:rsidR="00985E31">
        <w:t xml:space="preserve"> associated with </w:t>
      </w:r>
      <w:r w:rsidR="00012E9B">
        <w:t>multi</w:t>
      </w:r>
      <w:r w:rsidR="00974411">
        <w:t>-</w:t>
      </w:r>
      <w:r w:rsidR="00012E9B">
        <w:t>dose</w:t>
      </w:r>
      <w:r w:rsidR="00985E31">
        <w:t xml:space="preserve"> vials</w:t>
      </w:r>
      <w:r>
        <w:t>.</w:t>
      </w:r>
      <w:r w:rsidR="00C274DB">
        <w:t xml:space="preserve"> </w:t>
      </w:r>
      <w:r>
        <w:t xml:space="preserve">However, it is recognized that the supply for single dose vials of IPV will be very limited in 2015. For this reason, </w:t>
      </w:r>
      <w:r w:rsidR="00985E31">
        <w:t xml:space="preserve">Cambodia </w:t>
      </w:r>
      <w:r w:rsidR="00012E9B">
        <w:t>will</w:t>
      </w:r>
      <w:r w:rsidR="00985E31">
        <w:t xml:space="preserve"> preference five dose </w:t>
      </w:r>
      <w:r w:rsidR="00012E9B">
        <w:t>presentation</w:t>
      </w:r>
      <w:r w:rsidR="00985E31">
        <w:t xml:space="preserve"> and </w:t>
      </w:r>
      <w:r>
        <w:t xml:space="preserve">all calculations in this application (dose requirement, cold chain, etc.) were performed using the </w:t>
      </w:r>
      <w:r w:rsidR="00985E31">
        <w:t>five-dose</w:t>
      </w:r>
      <w:r>
        <w:t xml:space="preserve"> presentation. The </w:t>
      </w:r>
      <w:r w:rsidR="00012E9B">
        <w:t>single</w:t>
      </w:r>
      <w:r w:rsidR="00985E31">
        <w:t>-dose</w:t>
      </w:r>
      <w:r>
        <w:t xml:space="preserve"> vial </w:t>
      </w:r>
      <w:r>
        <w:lastRenderedPageBreak/>
        <w:t xml:space="preserve">would </w:t>
      </w:r>
      <w:r w:rsidR="00012E9B">
        <w:t xml:space="preserve">therefore </w:t>
      </w:r>
      <w:r>
        <w:t xml:space="preserve">be the second most preferred preference.  </w:t>
      </w:r>
      <w:r w:rsidR="00C274DB">
        <w:t xml:space="preserve">The </w:t>
      </w:r>
      <w:r w:rsidR="00985E31">
        <w:t>ten-dose</w:t>
      </w:r>
      <w:r w:rsidR="00012E9B">
        <w:t xml:space="preserve"> vial is strongly not </w:t>
      </w:r>
      <w:r>
        <w:t>preferred</w:t>
      </w:r>
      <w:r w:rsidR="00C274DB">
        <w:t xml:space="preserve"> due to the very high</w:t>
      </w:r>
      <w:r w:rsidR="00012E9B">
        <w:t xml:space="preserve"> </w:t>
      </w:r>
      <w:r w:rsidR="00C274DB">
        <w:t xml:space="preserve">expected wastage. </w:t>
      </w:r>
    </w:p>
    <w:p w14:paraId="1C6E44C6" w14:textId="77777777" w:rsidR="00A64D12" w:rsidRDefault="00A64D12" w:rsidP="001F0D70"/>
    <w:tbl>
      <w:tblPr>
        <w:tblStyle w:val="TableGrid"/>
        <w:tblW w:w="0" w:type="auto"/>
        <w:tblLook w:val="04A0" w:firstRow="1" w:lastRow="0" w:firstColumn="1" w:lastColumn="0" w:noHBand="0" w:noVBand="1"/>
      </w:tblPr>
      <w:tblGrid>
        <w:gridCol w:w="2214"/>
        <w:gridCol w:w="2214"/>
        <w:gridCol w:w="2214"/>
        <w:gridCol w:w="2214"/>
      </w:tblGrid>
      <w:tr w:rsidR="00443F34" w14:paraId="4D774425" w14:textId="77777777" w:rsidTr="004D5DCE">
        <w:tc>
          <w:tcPr>
            <w:tcW w:w="2214" w:type="dxa"/>
            <w:shd w:val="clear" w:color="auto" w:fill="943634" w:themeFill="accent2" w:themeFillShade="BF"/>
          </w:tcPr>
          <w:p w14:paraId="4D511C3F" w14:textId="77777777" w:rsidR="00443F34" w:rsidRPr="004D5DCE" w:rsidRDefault="00443F34" w:rsidP="00443F34">
            <w:pPr>
              <w:ind w:right="115"/>
              <w:jc w:val="center"/>
              <w:rPr>
                <w:rFonts w:cs="Arial"/>
                <w:color w:val="FFFFFF" w:themeColor="background1"/>
                <w:sz w:val="20"/>
                <w:szCs w:val="20"/>
              </w:rPr>
            </w:pPr>
            <w:r w:rsidRPr="004D5DCE">
              <w:rPr>
                <w:rFonts w:cs="Arial"/>
                <w:color w:val="FFFFFF" w:themeColor="background1"/>
                <w:sz w:val="20"/>
                <w:szCs w:val="20"/>
              </w:rPr>
              <w:t>Preferred IPV vaccine</w:t>
            </w:r>
          </w:p>
        </w:tc>
        <w:tc>
          <w:tcPr>
            <w:tcW w:w="2214" w:type="dxa"/>
            <w:shd w:val="clear" w:color="auto" w:fill="943634" w:themeFill="accent2" w:themeFillShade="BF"/>
          </w:tcPr>
          <w:p w14:paraId="3BB57F31" w14:textId="77777777" w:rsidR="00443F34" w:rsidRPr="004D5DCE" w:rsidRDefault="00443F34" w:rsidP="00443F34">
            <w:pPr>
              <w:spacing w:after="120"/>
              <w:ind w:right="120"/>
              <w:jc w:val="center"/>
              <w:rPr>
                <w:rFonts w:cs="Arial"/>
                <w:color w:val="FFFFFF" w:themeColor="background1"/>
                <w:sz w:val="20"/>
                <w:szCs w:val="20"/>
              </w:rPr>
            </w:pPr>
            <w:r w:rsidRPr="004D5DCE">
              <w:rPr>
                <w:rFonts w:cs="Arial"/>
                <w:color w:val="FFFFFF" w:themeColor="background1"/>
                <w:sz w:val="20"/>
                <w:szCs w:val="20"/>
              </w:rPr>
              <w:t>Month and year of first vaccination</w:t>
            </w:r>
          </w:p>
        </w:tc>
        <w:tc>
          <w:tcPr>
            <w:tcW w:w="2214" w:type="dxa"/>
            <w:shd w:val="clear" w:color="auto" w:fill="943634" w:themeFill="accent2" w:themeFillShade="BF"/>
          </w:tcPr>
          <w:p w14:paraId="3CDD60A1" w14:textId="77777777" w:rsidR="00443F34" w:rsidRPr="004D5DCE" w:rsidRDefault="00443F34" w:rsidP="00443F34">
            <w:pPr>
              <w:spacing w:after="120"/>
              <w:ind w:right="120"/>
              <w:jc w:val="center"/>
              <w:rPr>
                <w:rFonts w:cs="Arial"/>
                <w:color w:val="FFFFFF" w:themeColor="background1"/>
                <w:sz w:val="20"/>
                <w:szCs w:val="20"/>
              </w:rPr>
            </w:pPr>
            <w:r w:rsidRPr="004D5DCE">
              <w:rPr>
                <w:rFonts w:cs="Arial"/>
                <w:color w:val="FFFFFF" w:themeColor="background1"/>
                <w:sz w:val="20"/>
                <w:szCs w:val="20"/>
              </w:rPr>
              <w:t>Preferred second presentation</w:t>
            </w:r>
          </w:p>
        </w:tc>
        <w:tc>
          <w:tcPr>
            <w:tcW w:w="2214" w:type="dxa"/>
            <w:shd w:val="clear" w:color="auto" w:fill="943634" w:themeFill="accent2" w:themeFillShade="BF"/>
          </w:tcPr>
          <w:p w14:paraId="13D0D490" w14:textId="77777777" w:rsidR="00443F34" w:rsidRPr="004D5DCE" w:rsidRDefault="00443F34" w:rsidP="00443F34">
            <w:pPr>
              <w:spacing w:after="120"/>
              <w:ind w:right="120"/>
              <w:jc w:val="center"/>
              <w:rPr>
                <w:rFonts w:cs="Arial"/>
                <w:color w:val="FFFFFF" w:themeColor="background1"/>
                <w:sz w:val="20"/>
                <w:szCs w:val="20"/>
              </w:rPr>
            </w:pPr>
            <w:r w:rsidRPr="004D5DCE">
              <w:rPr>
                <w:rFonts w:cs="Arial"/>
                <w:color w:val="FFFFFF" w:themeColor="background1"/>
                <w:sz w:val="20"/>
                <w:szCs w:val="20"/>
              </w:rPr>
              <w:t>Preferred third presentation</w:t>
            </w:r>
          </w:p>
        </w:tc>
      </w:tr>
      <w:tr w:rsidR="00443F34" w14:paraId="13493873" w14:textId="77777777" w:rsidTr="00443F34">
        <w:tc>
          <w:tcPr>
            <w:tcW w:w="2214" w:type="dxa"/>
          </w:tcPr>
          <w:p w14:paraId="737E233E" w14:textId="77777777" w:rsidR="002B6789" w:rsidRDefault="00F10BB8" w:rsidP="001F0D70">
            <w:r>
              <w:t>5</w:t>
            </w:r>
            <w:r w:rsidR="00320912">
              <w:t xml:space="preserve"> dose vial</w:t>
            </w:r>
          </w:p>
        </w:tc>
        <w:tc>
          <w:tcPr>
            <w:tcW w:w="2214" w:type="dxa"/>
          </w:tcPr>
          <w:p w14:paraId="491AFFA1" w14:textId="77777777" w:rsidR="00443F34" w:rsidRDefault="00560536" w:rsidP="001F0D70">
            <w:r>
              <w:t>October</w:t>
            </w:r>
            <w:r w:rsidR="00443F34">
              <w:t xml:space="preserve"> 2015</w:t>
            </w:r>
          </w:p>
        </w:tc>
        <w:tc>
          <w:tcPr>
            <w:tcW w:w="2214" w:type="dxa"/>
          </w:tcPr>
          <w:p w14:paraId="2BCD91F1" w14:textId="77777777" w:rsidR="00443F34" w:rsidRDefault="00F10BB8" w:rsidP="001F0D70">
            <w:r>
              <w:t>1</w:t>
            </w:r>
            <w:r w:rsidR="00E02D24">
              <w:t xml:space="preserve"> d</w:t>
            </w:r>
            <w:r w:rsidR="00320912">
              <w:t>ose Vial</w:t>
            </w:r>
          </w:p>
        </w:tc>
        <w:tc>
          <w:tcPr>
            <w:tcW w:w="2214" w:type="dxa"/>
          </w:tcPr>
          <w:p w14:paraId="086484D9" w14:textId="77777777" w:rsidR="00443F34" w:rsidRDefault="00443F34" w:rsidP="001F0D70">
            <w:r>
              <w:t>10 dose vial</w:t>
            </w:r>
          </w:p>
        </w:tc>
      </w:tr>
    </w:tbl>
    <w:p w14:paraId="26CC50C2" w14:textId="77777777" w:rsidR="00555DC7" w:rsidRDefault="00555DC7" w:rsidP="00555DC7"/>
    <w:p w14:paraId="4FE1DC46" w14:textId="77777777" w:rsidR="00555DC7" w:rsidRDefault="00555DC7" w:rsidP="00555DC7">
      <w:r w:rsidRPr="00CB16ED">
        <w:t xml:space="preserve">It is noted that the five and ten dose IPV are preserved </w:t>
      </w:r>
      <w:proofErr w:type="gramStart"/>
      <w:r w:rsidRPr="00CB16ED">
        <w:t xml:space="preserve">with 2 </w:t>
      </w:r>
      <w:proofErr w:type="spellStart"/>
      <w:r w:rsidRPr="00CB16ED">
        <w:t>phenoxy</w:t>
      </w:r>
      <w:proofErr w:type="spellEnd"/>
      <w:r w:rsidRPr="00CB16ED">
        <w:t>-ethanol, which does not meet WHO</w:t>
      </w:r>
      <w:proofErr w:type="gramEnd"/>
      <w:r w:rsidRPr="00CB16ED">
        <w:t xml:space="preserve"> requirements for an effective preservative. Thus, IPV needs to be treated as if it does not contain a preservative, which means that any open vials of this vaccine must be discarded at the end of the immunization session or six hours after opening, whichever comes first. </w:t>
      </w:r>
    </w:p>
    <w:p w14:paraId="7B074F6B" w14:textId="77777777" w:rsidR="00317803" w:rsidRDefault="00317803" w:rsidP="001F0D70"/>
    <w:p w14:paraId="627EAC30" w14:textId="77777777" w:rsidR="00985E31" w:rsidRDefault="00985E31" w:rsidP="001F0D70"/>
    <w:p w14:paraId="30A09211" w14:textId="77777777" w:rsidR="001F0D70" w:rsidRDefault="001F0D70" w:rsidP="001F0D70">
      <w:pPr>
        <w:pStyle w:val="Heading2"/>
      </w:pPr>
      <w:bookmarkStart w:id="15" w:name="_Toc270048951"/>
      <w:r w:rsidRPr="001F0D70">
        <w:t>Country licensure status</w:t>
      </w:r>
      <w:bookmarkEnd w:id="15"/>
    </w:p>
    <w:p w14:paraId="1B106DD8" w14:textId="77777777" w:rsidR="001F0D70" w:rsidRDefault="001F0D70"/>
    <w:p w14:paraId="6052BEE0" w14:textId="11D39791" w:rsidR="00443F34" w:rsidRDefault="00443F34" w:rsidP="00BA33A2">
      <w:r w:rsidRPr="00443F34">
        <w:rPr>
          <w:b/>
        </w:rPr>
        <w:t>Licensure and pre-qualification</w:t>
      </w:r>
      <w:r>
        <w:t>: V</w:t>
      </w:r>
      <w:r w:rsidRPr="00443F34">
        <w:t xml:space="preserve">accines </w:t>
      </w:r>
      <w:r>
        <w:t>used in the National Immunization Program</w:t>
      </w:r>
      <w:r w:rsidRPr="00443F34">
        <w:t xml:space="preserve"> </w:t>
      </w:r>
      <w:r>
        <w:t xml:space="preserve">are </w:t>
      </w:r>
      <w:r w:rsidR="00985E31">
        <w:t>only to be vaccines that have been</w:t>
      </w:r>
      <w:r w:rsidRPr="00443F34">
        <w:t xml:space="preserve"> </w:t>
      </w:r>
      <w:r w:rsidR="00BA33A2">
        <w:t>pre-qualified</w:t>
      </w:r>
      <w:r w:rsidRPr="00443F34">
        <w:t xml:space="preserve"> by the World Health Organization as “Prequalified vaccin</w:t>
      </w:r>
      <w:r>
        <w:t xml:space="preserve">es for United Nations Supply”. IPV is pre-qualified and </w:t>
      </w:r>
      <w:r w:rsidR="00985E31">
        <w:t>will be procured through UNICEF, and as a result the registration process is simplified. To register the vaccine, the necessary documents will be sent to the Department of Drugs and Food (DDF)</w:t>
      </w:r>
      <w:r>
        <w:t xml:space="preserve">.  </w:t>
      </w:r>
    </w:p>
    <w:p w14:paraId="6171752F" w14:textId="77777777" w:rsidR="00443F34" w:rsidRDefault="00443F34">
      <w:pPr>
        <w:rPr>
          <w:b/>
        </w:rPr>
      </w:pPr>
    </w:p>
    <w:p w14:paraId="58A975CC" w14:textId="26E94830" w:rsidR="00443F34" w:rsidRDefault="00443F34" w:rsidP="00533677">
      <w:r w:rsidRPr="00443F34">
        <w:rPr>
          <w:b/>
        </w:rPr>
        <w:t>Local customs regulations, requirements for pre-delivery inspection</w:t>
      </w:r>
      <w:r>
        <w:t xml:space="preserve">: </w:t>
      </w:r>
      <w:r w:rsidRPr="00443F34">
        <w:t xml:space="preserve">The NIP </w:t>
      </w:r>
      <w:r>
        <w:t xml:space="preserve">will </w:t>
      </w:r>
      <w:r w:rsidRPr="00443F34">
        <w:t>ensure</w:t>
      </w:r>
      <w:r w:rsidR="00533677">
        <w:t xml:space="preserve"> necessary steps for customs clearance and other related matters for IPV arrival in country</w:t>
      </w:r>
      <w:r w:rsidRPr="00443F34">
        <w:t>.</w:t>
      </w:r>
    </w:p>
    <w:p w14:paraId="7818F842" w14:textId="77777777" w:rsidR="00443F34" w:rsidRDefault="00443F34"/>
    <w:p w14:paraId="70F9046B" w14:textId="77777777" w:rsidR="001F0D70" w:rsidRDefault="001F0D70" w:rsidP="001F0D70">
      <w:pPr>
        <w:pStyle w:val="Heading2"/>
      </w:pPr>
      <w:bookmarkStart w:id="16" w:name="_Toc270048952"/>
      <w:r w:rsidRPr="001F0D70">
        <w:t xml:space="preserve">Target population and </w:t>
      </w:r>
      <w:r w:rsidR="00725ABE">
        <w:t xml:space="preserve">dose requirements for </w:t>
      </w:r>
      <w:r w:rsidRPr="001F0D70">
        <w:t>vaccine supply</w:t>
      </w:r>
      <w:bookmarkEnd w:id="16"/>
    </w:p>
    <w:p w14:paraId="1C2B743C" w14:textId="77777777" w:rsidR="001F0D70" w:rsidRDefault="001F0D70"/>
    <w:p w14:paraId="4A16E2E9" w14:textId="16EA57C2" w:rsidR="00755699" w:rsidRDefault="00755699" w:rsidP="00755699">
      <w:pPr>
        <w:rPr>
          <w:rFonts w:eastAsia="SimSun"/>
        </w:rPr>
      </w:pPr>
      <w:r w:rsidRPr="00317803">
        <w:rPr>
          <w:rFonts w:eastAsia="SimSun"/>
          <w:b/>
        </w:rPr>
        <w:t>The vaccine requirement wa</w:t>
      </w:r>
      <w:r w:rsidR="00F07F09">
        <w:rPr>
          <w:rFonts w:eastAsia="SimSun"/>
          <w:b/>
        </w:rPr>
        <w:t>s calculated using the formula:</w:t>
      </w:r>
      <w:r w:rsidR="00C274DB">
        <w:rPr>
          <w:rFonts w:eastAsia="SimSun"/>
          <w:b/>
        </w:rPr>
        <w:br/>
      </w:r>
      <w:r w:rsidRPr="00C13FA4">
        <w:rPr>
          <w:rFonts w:eastAsia="SimSun"/>
        </w:rPr>
        <w:t xml:space="preserve">Yearly total vaccine requirement= </w:t>
      </w:r>
      <w:r w:rsidR="00467955">
        <w:rPr>
          <w:rFonts w:eastAsia="SimSun"/>
        </w:rPr>
        <w:t>(birth cohort as given by UN population estimate</w:t>
      </w:r>
      <w:r w:rsidR="007540A6">
        <w:rPr>
          <w:rFonts w:eastAsia="SimSun"/>
        </w:rPr>
        <w:t xml:space="preserve"> with a 2.36% increase every year</w:t>
      </w:r>
      <w:r w:rsidR="00467955">
        <w:rPr>
          <w:rFonts w:eastAsia="SimSun"/>
        </w:rPr>
        <w:t>)*</w:t>
      </w:r>
      <w:r w:rsidRPr="00C13FA4">
        <w:rPr>
          <w:rFonts w:eastAsia="SimSun"/>
        </w:rPr>
        <w:t>(</w:t>
      </w:r>
      <w:r w:rsidR="001834DF">
        <w:rPr>
          <w:rFonts w:eastAsia="SimSun"/>
        </w:rPr>
        <w:t>92</w:t>
      </w:r>
      <w:r w:rsidRPr="00C13FA4">
        <w:rPr>
          <w:rFonts w:eastAsia="SimSun"/>
        </w:rPr>
        <w:t xml:space="preserve">% </w:t>
      </w:r>
      <w:r w:rsidR="00A64D12">
        <w:rPr>
          <w:rFonts w:eastAsia="SimSun"/>
        </w:rPr>
        <w:t xml:space="preserve">DTP3 </w:t>
      </w:r>
      <w:r w:rsidRPr="00C13FA4">
        <w:rPr>
          <w:rFonts w:eastAsia="SimSun"/>
        </w:rPr>
        <w:t>coverage</w:t>
      </w:r>
      <w:r w:rsidR="007540A6">
        <w:rPr>
          <w:rFonts w:eastAsia="SimSun"/>
        </w:rPr>
        <w:t xml:space="preserve"> in 2013</w:t>
      </w:r>
      <w:r w:rsidR="00F07F09">
        <w:rPr>
          <w:rFonts w:eastAsia="SimSun"/>
        </w:rPr>
        <w:t xml:space="preserve">) + Wastage </w:t>
      </w:r>
      <w:r w:rsidRPr="00C13FA4">
        <w:rPr>
          <w:rFonts w:eastAsia="SimSun"/>
        </w:rPr>
        <w:t xml:space="preserve">+ </w:t>
      </w:r>
      <w:r w:rsidR="00C274DB">
        <w:rPr>
          <w:rFonts w:eastAsia="SimSun"/>
        </w:rPr>
        <w:t>reserve</w:t>
      </w:r>
      <w:r w:rsidRPr="00C13FA4">
        <w:rPr>
          <w:rFonts w:eastAsia="SimSun"/>
        </w:rPr>
        <w:t xml:space="preserve"> stock (25% of total dose requirement for first year from </w:t>
      </w:r>
      <w:r w:rsidR="00C274DB">
        <w:t>Oct</w:t>
      </w:r>
      <w:r w:rsidR="007D5264">
        <w:t xml:space="preserve"> </w:t>
      </w:r>
      <w:r w:rsidRPr="00C13FA4">
        <w:rPr>
          <w:rFonts w:eastAsia="SimSun"/>
        </w:rPr>
        <w:t xml:space="preserve">2015 to </w:t>
      </w:r>
      <w:r w:rsidR="00C274DB">
        <w:t>Sept</w:t>
      </w:r>
      <w:r w:rsidR="007D5264">
        <w:t xml:space="preserve"> </w:t>
      </w:r>
      <w:r w:rsidRPr="00C13FA4">
        <w:rPr>
          <w:rFonts w:eastAsia="SimSun"/>
        </w:rPr>
        <w:t xml:space="preserve">2016). For the year 2015 the calculation is for only 3 months (total surviving infants divided by 4), as IPV will be introduced in </w:t>
      </w:r>
      <w:r w:rsidR="00C274DB">
        <w:t>Oct</w:t>
      </w:r>
      <w:r w:rsidR="007D5264">
        <w:t xml:space="preserve"> </w:t>
      </w:r>
      <w:r w:rsidRPr="00C13FA4">
        <w:rPr>
          <w:rFonts w:eastAsia="SimSun"/>
        </w:rPr>
        <w:t>2015.</w:t>
      </w:r>
    </w:p>
    <w:p w14:paraId="6B0BD890" w14:textId="77777777" w:rsidR="00F07F09" w:rsidRDefault="00F07F09" w:rsidP="00755699">
      <w:pPr>
        <w:rPr>
          <w:rFonts w:eastAsia="SimSun"/>
        </w:rPr>
      </w:pPr>
    </w:p>
    <w:p w14:paraId="407FF6F0" w14:textId="77777777" w:rsidR="00F07F09" w:rsidRPr="00F10BB8" w:rsidRDefault="00725ABE" w:rsidP="00755699">
      <w:pPr>
        <w:rPr>
          <w:rFonts w:eastAsia="SimSun"/>
          <w:b/>
        </w:rPr>
      </w:pPr>
      <w:r w:rsidRPr="00F10BB8">
        <w:rPr>
          <w:rFonts w:eastAsia="SimSun"/>
          <w:b/>
        </w:rPr>
        <w:t xml:space="preserve">Annual </w:t>
      </w:r>
      <w:r w:rsidR="00F10BB8">
        <w:rPr>
          <w:rFonts w:eastAsia="SimSun"/>
          <w:b/>
        </w:rPr>
        <w:t xml:space="preserve">doses of IPV required </w:t>
      </w:r>
      <w:r w:rsidRPr="00F10BB8">
        <w:rPr>
          <w:rFonts w:eastAsia="SimSun"/>
          <w:b/>
        </w:rPr>
        <w:t xml:space="preserve">total assuming five dose vial: </w:t>
      </w:r>
    </w:p>
    <w:tbl>
      <w:tblPr>
        <w:tblStyle w:val="TableGrid"/>
        <w:tblW w:w="9378" w:type="dxa"/>
        <w:tblLook w:val="04A0" w:firstRow="1" w:lastRow="0" w:firstColumn="1" w:lastColumn="0" w:noHBand="0" w:noVBand="1"/>
      </w:tblPr>
      <w:tblGrid>
        <w:gridCol w:w="1146"/>
        <w:gridCol w:w="1482"/>
        <w:gridCol w:w="2160"/>
        <w:gridCol w:w="1596"/>
        <w:gridCol w:w="1554"/>
        <w:gridCol w:w="1440"/>
      </w:tblGrid>
      <w:tr w:rsidR="00C65C03" w:rsidRPr="00C274DB" w14:paraId="17C0268A" w14:textId="77777777" w:rsidTr="00456414">
        <w:tc>
          <w:tcPr>
            <w:tcW w:w="1146" w:type="dxa"/>
            <w:shd w:val="clear" w:color="auto" w:fill="C0504D" w:themeFill="accent2"/>
          </w:tcPr>
          <w:p w14:paraId="08311AF3" w14:textId="77777777" w:rsidR="00755699" w:rsidRPr="00456414" w:rsidRDefault="00755699" w:rsidP="00C65C03">
            <w:pPr>
              <w:jc w:val="center"/>
              <w:rPr>
                <w:b/>
                <w:color w:val="FFFFFF" w:themeColor="background1"/>
                <w:szCs w:val="22"/>
              </w:rPr>
            </w:pPr>
            <w:r w:rsidRPr="00456414">
              <w:rPr>
                <w:b/>
                <w:color w:val="FFFFFF" w:themeColor="background1"/>
                <w:szCs w:val="22"/>
              </w:rPr>
              <w:t>Year</w:t>
            </w:r>
          </w:p>
        </w:tc>
        <w:tc>
          <w:tcPr>
            <w:tcW w:w="1482" w:type="dxa"/>
            <w:shd w:val="clear" w:color="auto" w:fill="C0504D" w:themeFill="accent2"/>
          </w:tcPr>
          <w:p w14:paraId="5EE393DF" w14:textId="77777777" w:rsidR="00755699" w:rsidRPr="00456414" w:rsidRDefault="00755699" w:rsidP="00C65C03">
            <w:pPr>
              <w:jc w:val="center"/>
              <w:rPr>
                <w:b/>
                <w:color w:val="FFFFFF" w:themeColor="background1"/>
                <w:szCs w:val="22"/>
              </w:rPr>
            </w:pPr>
            <w:r w:rsidRPr="00456414">
              <w:rPr>
                <w:b/>
                <w:color w:val="FFFFFF" w:themeColor="background1"/>
                <w:szCs w:val="22"/>
              </w:rPr>
              <w:t>Number in Birth Cohort</w:t>
            </w:r>
          </w:p>
        </w:tc>
        <w:tc>
          <w:tcPr>
            <w:tcW w:w="2160" w:type="dxa"/>
            <w:shd w:val="clear" w:color="auto" w:fill="C0504D" w:themeFill="accent2"/>
          </w:tcPr>
          <w:p w14:paraId="5BACC9AC" w14:textId="77777777" w:rsidR="00755699" w:rsidRPr="00456414" w:rsidRDefault="001834DF" w:rsidP="00C65C03">
            <w:pPr>
              <w:jc w:val="center"/>
              <w:rPr>
                <w:b/>
                <w:color w:val="FFFFFF" w:themeColor="background1"/>
                <w:szCs w:val="22"/>
              </w:rPr>
            </w:pPr>
            <w:r w:rsidRPr="00456414">
              <w:rPr>
                <w:b/>
                <w:color w:val="FFFFFF" w:themeColor="background1"/>
                <w:szCs w:val="22"/>
              </w:rPr>
              <w:t>Doses needed (92</w:t>
            </w:r>
            <w:r w:rsidR="00755699" w:rsidRPr="00456414">
              <w:rPr>
                <w:b/>
                <w:color w:val="FFFFFF" w:themeColor="background1"/>
                <w:szCs w:val="22"/>
              </w:rPr>
              <w:t>%</w:t>
            </w:r>
            <w:r w:rsidR="000B4946" w:rsidRPr="00456414">
              <w:rPr>
                <w:b/>
                <w:color w:val="FFFFFF" w:themeColor="background1"/>
                <w:szCs w:val="22"/>
              </w:rPr>
              <w:t xml:space="preserve"> DTP3</w:t>
            </w:r>
            <w:r w:rsidR="00755699" w:rsidRPr="00456414">
              <w:rPr>
                <w:b/>
                <w:color w:val="FFFFFF" w:themeColor="background1"/>
                <w:szCs w:val="22"/>
              </w:rPr>
              <w:t xml:space="preserve"> coverage)</w:t>
            </w:r>
          </w:p>
        </w:tc>
        <w:tc>
          <w:tcPr>
            <w:tcW w:w="1596" w:type="dxa"/>
            <w:shd w:val="clear" w:color="auto" w:fill="C0504D" w:themeFill="accent2"/>
          </w:tcPr>
          <w:p w14:paraId="0EC1A866" w14:textId="77777777" w:rsidR="00755699" w:rsidRPr="00456414" w:rsidRDefault="00755699" w:rsidP="00C65C03">
            <w:pPr>
              <w:jc w:val="center"/>
              <w:rPr>
                <w:b/>
                <w:color w:val="FFFFFF" w:themeColor="background1"/>
                <w:szCs w:val="22"/>
              </w:rPr>
            </w:pPr>
            <w:r w:rsidRPr="00456414">
              <w:rPr>
                <w:b/>
                <w:color w:val="FFFFFF" w:themeColor="background1"/>
                <w:szCs w:val="22"/>
              </w:rPr>
              <w:t>With wastage (plus 30%)</w:t>
            </w:r>
          </w:p>
        </w:tc>
        <w:tc>
          <w:tcPr>
            <w:tcW w:w="1554" w:type="dxa"/>
            <w:shd w:val="clear" w:color="auto" w:fill="C0504D" w:themeFill="accent2"/>
          </w:tcPr>
          <w:p w14:paraId="36660D86" w14:textId="77777777" w:rsidR="00755699" w:rsidRPr="00456414" w:rsidRDefault="00C65C03" w:rsidP="00C65C03">
            <w:pPr>
              <w:jc w:val="center"/>
              <w:rPr>
                <w:b/>
                <w:color w:val="FFFFFF" w:themeColor="background1"/>
                <w:szCs w:val="22"/>
              </w:rPr>
            </w:pPr>
            <w:r w:rsidRPr="00456414">
              <w:rPr>
                <w:b/>
                <w:color w:val="FFFFFF" w:themeColor="background1"/>
                <w:szCs w:val="22"/>
              </w:rPr>
              <w:t xml:space="preserve">Reserve </w:t>
            </w:r>
            <w:r w:rsidR="00755699" w:rsidRPr="00456414">
              <w:rPr>
                <w:b/>
                <w:color w:val="FFFFFF" w:themeColor="background1"/>
                <w:szCs w:val="22"/>
              </w:rPr>
              <w:t>(25% for 1 year)</w:t>
            </w:r>
          </w:p>
        </w:tc>
        <w:tc>
          <w:tcPr>
            <w:tcW w:w="1440" w:type="dxa"/>
            <w:shd w:val="clear" w:color="auto" w:fill="C0504D" w:themeFill="accent2"/>
          </w:tcPr>
          <w:p w14:paraId="04219790" w14:textId="77777777" w:rsidR="00755699" w:rsidRPr="00456414" w:rsidRDefault="00755699" w:rsidP="00C65C03">
            <w:pPr>
              <w:jc w:val="center"/>
              <w:rPr>
                <w:b/>
                <w:color w:val="FFFFFF" w:themeColor="background1"/>
                <w:szCs w:val="22"/>
              </w:rPr>
            </w:pPr>
            <w:r w:rsidRPr="00456414">
              <w:rPr>
                <w:b/>
                <w:color w:val="FFFFFF" w:themeColor="background1"/>
                <w:szCs w:val="22"/>
              </w:rPr>
              <w:t>Annual Total</w:t>
            </w:r>
          </w:p>
        </w:tc>
      </w:tr>
      <w:tr w:rsidR="00C65C03" w:rsidRPr="00C274DB" w14:paraId="7F7F2421" w14:textId="77777777" w:rsidTr="00725ABE">
        <w:tc>
          <w:tcPr>
            <w:tcW w:w="1146" w:type="dxa"/>
          </w:tcPr>
          <w:p w14:paraId="41932A97" w14:textId="77777777" w:rsidR="00C65C03" w:rsidRPr="00C274DB" w:rsidRDefault="00C65C03" w:rsidP="00C65C03">
            <w:pPr>
              <w:jc w:val="center"/>
              <w:rPr>
                <w:szCs w:val="22"/>
              </w:rPr>
            </w:pPr>
            <w:r w:rsidRPr="00C274DB">
              <w:rPr>
                <w:szCs w:val="22"/>
              </w:rPr>
              <w:t>2015</w:t>
            </w:r>
          </w:p>
        </w:tc>
        <w:tc>
          <w:tcPr>
            <w:tcW w:w="1482" w:type="dxa"/>
            <w:vAlign w:val="bottom"/>
          </w:tcPr>
          <w:p w14:paraId="45D5AE02" w14:textId="77777777" w:rsidR="00C65C03" w:rsidRPr="00C274DB" w:rsidRDefault="00C65C03" w:rsidP="00C65C03">
            <w:pPr>
              <w:jc w:val="center"/>
              <w:rPr>
                <w:szCs w:val="22"/>
                <w:highlight w:val="yellow"/>
              </w:rPr>
            </w:pPr>
            <w:r w:rsidRPr="00C274DB">
              <w:rPr>
                <w:rFonts w:eastAsia="Times New Roman" w:cs="Times New Roman"/>
                <w:color w:val="000000"/>
                <w:szCs w:val="22"/>
              </w:rPr>
              <w:t>97,487</w:t>
            </w:r>
          </w:p>
        </w:tc>
        <w:tc>
          <w:tcPr>
            <w:tcW w:w="2160" w:type="dxa"/>
            <w:vAlign w:val="bottom"/>
          </w:tcPr>
          <w:p w14:paraId="318163AF" w14:textId="77777777" w:rsidR="00C65C03" w:rsidRPr="00C274DB" w:rsidRDefault="00C65C03" w:rsidP="00C65C03">
            <w:pPr>
              <w:jc w:val="center"/>
              <w:rPr>
                <w:szCs w:val="22"/>
              </w:rPr>
            </w:pPr>
            <w:r w:rsidRPr="00C274DB">
              <w:rPr>
                <w:rFonts w:eastAsia="Times New Roman" w:cs="Times New Roman"/>
                <w:color w:val="000000"/>
                <w:szCs w:val="22"/>
              </w:rPr>
              <w:t>89,688</w:t>
            </w:r>
          </w:p>
        </w:tc>
        <w:tc>
          <w:tcPr>
            <w:tcW w:w="1596" w:type="dxa"/>
            <w:vAlign w:val="bottom"/>
          </w:tcPr>
          <w:p w14:paraId="4BDA0C10" w14:textId="77777777" w:rsidR="00C65C03" w:rsidRPr="00C274DB" w:rsidRDefault="00C65C03" w:rsidP="00C65C03">
            <w:pPr>
              <w:jc w:val="center"/>
              <w:rPr>
                <w:szCs w:val="22"/>
              </w:rPr>
            </w:pPr>
            <w:r w:rsidRPr="00C274DB">
              <w:rPr>
                <w:rFonts w:eastAsia="Times New Roman" w:cs="Times New Roman"/>
                <w:color w:val="000000"/>
                <w:szCs w:val="22"/>
              </w:rPr>
              <w:t>128,254</w:t>
            </w:r>
          </w:p>
        </w:tc>
        <w:tc>
          <w:tcPr>
            <w:tcW w:w="1554" w:type="dxa"/>
            <w:vAlign w:val="bottom"/>
          </w:tcPr>
          <w:p w14:paraId="070D9357" w14:textId="77777777" w:rsidR="00C65C03" w:rsidRPr="00C274DB" w:rsidRDefault="00C65C03" w:rsidP="00C65C03">
            <w:pPr>
              <w:jc w:val="center"/>
              <w:rPr>
                <w:szCs w:val="22"/>
              </w:rPr>
            </w:pPr>
            <w:r w:rsidRPr="00C274DB">
              <w:rPr>
                <w:rFonts w:eastAsia="Times New Roman" w:cs="Times New Roman"/>
                <w:color w:val="000000"/>
                <w:szCs w:val="22"/>
              </w:rPr>
              <w:t>32,063</w:t>
            </w:r>
          </w:p>
        </w:tc>
        <w:tc>
          <w:tcPr>
            <w:tcW w:w="1440" w:type="dxa"/>
            <w:vAlign w:val="bottom"/>
          </w:tcPr>
          <w:p w14:paraId="2EDA15B2" w14:textId="77777777" w:rsidR="00C65C03" w:rsidRPr="00725ABE" w:rsidRDefault="00C65C03" w:rsidP="00C65C03">
            <w:pPr>
              <w:jc w:val="center"/>
              <w:rPr>
                <w:b/>
                <w:szCs w:val="22"/>
              </w:rPr>
            </w:pPr>
            <w:r w:rsidRPr="00725ABE">
              <w:rPr>
                <w:rFonts w:eastAsia="Times New Roman" w:cs="Times New Roman"/>
                <w:b/>
                <w:color w:val="000000"/>
                <w:szCs w:val="22"/>
              </w:rPr>
              <w:t>160,317</w:t>
            </w:r>
          </w:p>
        </w:tc>
      </w:tr>
      <w:tr w:rsidR="00C65C03" w:rsidRPr="00C274DB" w14:paraId="0CB9D719" w14:textId="77777777" w:rsidTr="00725ABE">
        <w:tc>
          <w:tcPr>
            <w:tcW w:w="1146" w:type="dxa"/>
          </w:tcPr>
          <w:p w14:paraId="4B99F75B" w14:textId="77777777" w:rsidR="00C65C03" w:rsidRPr="00C274DB" w:rsidRDefault="00C65C03" w:rsidP="00C65C03">
            <w:pPr>
              <w:jc w:val="center"/>
              <w:rPr>
                <w:szCs w:val="22"/>
              </w:rPr>
            </w:pPr>
            <w:r w:rsidRPr="00C274DB">
              <w:rPr>
                <w:szCs w:val="22"/>
              </w:rPr>
              <w:t>2016</w:t>
            </w:r>
          </w:p>
        </w:tc>
        <w:tc>
          <w:tcPr>
            <w:tcW w:w="1482" w:type="dxa"/>
            <w:vAlign w:val="bottom"/>
          </w:tcPr>
          <w:p w14:paraId="6CB33127" w14:textId="77777777" w:rsidR="00C65C03" w:rsidRPr="00C274DB" w:rsidRDefault="00C65C03" w:rsidP="00C65C03">
            <w:pPr>
              <w:jc w:val="center"/>
              <w:rPr>
                <w:szCs w:val="22"/>
                <w:highlight w:val="yellow"/>
              </w:rPr>
            </w:pPr>
            <w:r w:rsidRPr="00C274DB">
              <w:rPr>
                <w:rFonts w:eastAsia="Times New Roman" w:cs="Times New Roman"/>
                <w:color w:val="000000"/>
                <w:szCs w:val="22"/>
              </w:rPr>
              <w:t>399,151</w:t>
            </w:r>
          </w:p>
        </w:tc>
        <w:tc>
          <w:tcPr>
            <w:tcW w:w="2160" w:type="dxa"/>
            <w:vAlign w:val="bottom"/>
          </w:tcPr>
          <w:p w14:paraId="31718FDE" w14:textId="77777777" w:rsidR="00C65C03" w:rsidRPr="00C274DB" w:rsidRDefault="00C65C03" w:rsidP="00C65C03">
            <w:pPr>
              <w:jc w:val="center"/>
              <w:rPr>
                <w:szCs w:val="22"/>
              </w:rPr>
            </w:pPr>
            <w:r w:rsidRPr="00C274DB">
              <w:rPr>
                <w:rFonts w:eastAsia="Times New Roman" w:cs="Times New Roman"/>
                <w:color w:val="000000"/>
                <w:szCs w:val="22"/>
              </w:rPr>
              <w:t>367,219</w:t>
            </w:r>
          </w:p>
        </w:tc>
        <w:tc>
          <w:tcPr>
            <w:tcW w:w="1596" w:type="dxa"/>
            <w:vAlign w:val="bottom"/>
          </w:tcPr>
          <w:p w14:paraId="6CA9044C" w14:textId="77777777" w:rsidR="00C65C03" w:rsidRPr="00C274DB" w:rsidRDefault="00C65C03" w:rsidP="00C65C03">
            <w:pPr>
              <w:jc w:val="center"/>
              <w:rPr>
                <w:szCs w:val="22"/>
              </w:rPr>
            </w:pPr>
            <w:r w:rsidRPr="00C274DB">
              <w:rPr>
                <w:rFonts w:eastAsia="Times New Roman" w:cs="Times New Roman"/>
                <w:color w:val="000000"/>
                <w:szCs w:val="22"/>
              </w:rPr>
              <w:t>524,598</w:t>
            </w:r>
          </w:p>
        </w:tc>
        <w:tc>
          <w:tcPr>
            <w:tcW w:w="1554" w:type="dxa"/>
            <w:vAlign w:val="bottom"/>
          </w:tcPr>
          <w:p w14:paraId="2B16D0D8" w14:textId="77777777" w:rsidR="00C65C03" w:rsidRPr="00C274DB" w:rsidRDefault="00C65C03" w:rsidP="00C65C03">
            <w:pPr>
              <w:jc w:val="center"/>
              <w:rPr>
                <w:szCs w:val="22"/>
              </w:rPr>
            </w:pPr>
            <w:r w:rsidRPr="00C274DB">
              <w:rPr>
                <w:rFonts w:eastAsia="Times New Roman" w:cs="Times New Roman"/>
                <w:color w:val="000000"/>
                <w:szCs w:val="22"/>
              </w:rPr>
              <w:t>98,362</w:t>
            </w:r>
          </w:p>
        </w:tc>
        <w:tc>
          <w:tcPr>
            <w:tcW w:w="1440" w:type="dxa"/>
            <w:vAlign w:val="bottom"/>
          </w:tcPr>
          <w:p w14:paraId="2556C46A" w14:textId="77777777" w:rsidR="00C65C03" w:rsidRPr="00725ABE" w:rsidRDefault="00C65C03" w:rsidP="00C65C03">
            <w:pPr>
              <w:jc w:val="center"/>
              <w:rPr>
                <w:b/>
                <w:szCs w:val="22"/>
              </w:rPr>
            </w:pPr>
            <w:r w:rsidRPr="00725ABE">
              <w:rPr>
                <w:rFonts w:eastAsia="Times New Roman" w:cs="Times New Roman"/>
                <w:b/>
                <w:color w:val="000000"/>
                <w:szCs w:val="22"/>
              </w:rPr>
              <w:t>622,960</w:t>
            </w:r>
          </w:p>
        </w:tc>
      </w:tr>
      <w:tr w:rsidR="00C65C03" w:rsidRPr="00C274DB" w14:paraId="678608D2" w14:textId="77777777" w:rsidTr="00725ABE">
        <w:tc>
          <w:tcPr>
            <w:tcW w:w="1146" w:type="dxa"/>
          </w:tcPr>
          <w:p w14:paraId="507DA396" w14:textId="77777777" w:rsidR="00C65C03" w:rsidRPr="00C274DB" w:rsidRDefault="00C65C03" w:rsidP="00C65C03">
            <w:pPr>
              <w:jc w:val="center"/>
              <w:rPr>
                <w:szCs w:val="22"/>
              </w:rPr>
            </w:pPr>
            <w:r w:rsidRPr="00C274DB">
              <w:rPr>
                <w:szCs w:val="22"/>
              </w:rPr>
              <w:t>2017</w:t>
            </w:r>
          </w:p>
        </w:tc>
        <w:tc>
          <w:tcPr>
            <w:tcW w:w="1482" w:type="dxa"/>
            <w:vAlign w:val="bottom"/>
          </w:tcPr>
          <w:p w14:paraId="7EF99299" w14:textId="77777777" w:rsidR="00C65C03" w:rsidRPr="00C274DB" w:rsidRDefault="00C65C03" w:rsidP="00C65C03">
            <w:pPr>
              <w:jc w:val="center"/>
              <w:rPr>
                <w:szCs w:val="22"/>
                <w:highlight w:val="yellow"/>
              </w:rPr>
            </w:pPr>
            <w:r w:rsidRPr="00C274DB">
              <w:rPr>
                <w:rFonts w:eastAsia="Times New Roman" w:cs="Times New Roman"/>
                <w:color w:val="000000"/>
                <w:szCs w:val="22"/>
              </w:rPr>
              <w:t>408,571</w:t>
            </w:r>
          </w:p>
        </w:tc>
        <w:tc>
          <w:tcPr>
            <w:tcW w:w="2160" w:type="dxa"/>
            <w:vAlign w:val="bottom"/>
          </w:tcPr>
          <w:p w14:paraId="4779E102" w14:textId="77777777" w:rsidR="00C65C03" w:rsidRPr="00C274DB" w:rsidRDefault="00C65C03" w:rsidP="00C65C03">
            <w:pPr>
              <w:jc w:val="center"/>
              <w:rPr>
                <w:szCs w:val="22"/>
              </w:rPr>
            </w:pPr>
            <w:r w:rsidRPr="00C274DB">
              <w:rPr>
                <w:rFonts w:eastAsia="Times New Roman" w:cs="Times New Roman"/>
                <w:color w:val="000000"/>
                <w:szCs w:val="22"/>
              </w:rPr>
              <w:t>375,885</w:t>
            </w:r>
          </w:p>
        </w:tc>
        <w:tc>
          <w:tcPr>
            <w:tcW w:w="1596" w:type="dxa"/>
            <w:vAlign w:val="bottom"/>
          </w:tcPr>
          <w:p w14:paraId="29B9D315" w14:textId="77777777" w:rsidR="00C65C03" w:rsidRPr="00C274DB" w:rsidRDefault="00C65C03" w:rsidP="00C65C03">
            <w:pPr>
              <w:jc w:val="center"/>
              <w:rPr>
                <w:szCs w:val="22"/>
              </w:rPr>
            </w:pPr>
            <w:r w:rsidRPr="00C274DB">
              <w:rPr>
                <w:rFonts w:eastAsia="Times New Roman" w:cs="Times New Roman"/>
                <w:color w:val="000000"/>
                <w:szCs w:val="22"/>
              </w:rPr>
              <w:t>536,979</w:t>
            </w:r>
          </w:p>
        </w:tc>
        <w:tc>
          <w:tcPr>
            <w:tcW w:w="1554" w:type="dxa"/>
            <w:vAlign w:val="bottom"/>
          </w:tcPr>
          <w:p w14:paraId="58E39FCC" w14:textId="77777777" w:rsidR="00C65C03" w:rsidRPr="00C274DB" w:rsidRDefault="00C65C03" w:rsidP="00C65C03">
            <w:pPr>
              <w:jc w:val="center"/>
              <w:rPr>
                <w:szCs w:val="22"/>
              </w:rPr>
            </w:pPr>
            <w:r w:rsidRPr="00C274DB">
              <w:rPr>
                <w:rFonts w:eastAsia="Times New Roman" w:cs="Times New Roman"/>
                <w:color w:val="000000"/>
                <w:szCs w:val="22"/>
              </w:rPr>
              <w:t>-</w:t>
            </w:r>
          </w:p>
        </w:tc>
        <w:tc>
          <w:tcPr>
            <w:tcW w:w="1440" w:type="dxa"/>
            <w:vAlign w:val="bottom"/>
          </w:tcPr>
          <w:p w14:paraId="2F7646C7" w14:textId="77777777" w:rsidR="00C65C03" w:rsidRPr="00725ABE" w:rsidRDefault="00C65C03" w:rsidP="00C65C03">
            <w:pPr>
              <w:jc w:val="center"/>
              <w:rPr>
                <w:b/>
                <w:szCs w:val="22"/>
              </w:rPr>
            </w:pPr>
            <w:r w:rsidRPr="00725ABE">
              <w:rPr>
                <w:rFonts w:eastAsia="Times New Roman" w:cs="Times New Roman"/>
                <w:b/>
                <w:color w:val="000000"/>
                <w:szCs w:val="22"/>
              </w:rPr>
              <w:t>536,979</w:t>
            </w:r>
          </w:p>
        </w:tc>
      </w:tr>
      <w:tr w:rsidR="00C65C03" w:rsidRPr="00C274DB" w14:paraId="01DBC6F6" w14:textId="77777777" w:rsidTr="00725ABE">
        <w:tc>
          <w:tcPr>
            <w:tcW w:w="1146" w:type="dxa"/>
          </w:tcPr>
          <w:p w14:paraId="1C0D59E6" w14:textId="77777777" w:rsidR="00C65C03" w:rsidRPr="00C274DB" w:rsidRDefault="00C65C03" w:rsidP="00C65C03">
            <w:pPr>
              <w:jc w:val="center"/>
              <w:rPr>
                <w:szCs w:val="22"/>
              </w:rPr>
            </w:pPr>
            <w:r w:rsidRPr="00C274DB">
              <w:rPr>
                <w:szCs w:val="22"/>
              </w:rPr>
              <w:t>2018</w:t>
            </w:r>
          </w:p>
        </w:tc>
        <w:tc>
          <w:tcPr>
            <w:tcW w:w="1482" w:type="dxa"/>
            <w:vAlign w:val="bottom"/>
          </w:tcPr>
          <w:p w14:paraId="473E9ED3" w14:textId="77777777" w:rsidR="00C65C03" w:rsidRPr="00C274DB" w:rsidRDefault="00C65C03" w:rsidP="00C65C03">
            <w:pPr>
              <w:ind w:left="-66" w:firstLine="66"/>
              <w:jc w:val="center"/>
              <w:rPr>
                <w:szCs w:val="22"/>
                <w:highlight w:val="yellow"/>
              </w:rPr>
            </w:pPr>
            <w:r w:rsidRPr="00C274DB">
              <w:rPr>
                <w:rFonts w:eastAsia="Times New Roman" w:cs="Times New Roman"/>
                <w:color w:val="000000"/>
                <w:szCs w:val="22"/>
              </w:rPr>
              <w:t>418,213</w:t>
            </w:r>
          </w:p>
        </w:tc>
        <w:tc>
          <w:tcPr>
            <w:tcW w:w="2160" w:type="dxa"/>
            <w:vAlign w:val="bottom"/>
          </w:tcPr>
          <w:p w14:paraId="485FEF6D" w14:textId="77777777" w:rsidR="00C65C03" w:rsidRPr="00C274DB" w:rsidRDefault="00C65C03" w:rsidP="00C65C03">
            <w:pPr>
              <w:jc w:val="center"/>
              <w:rPr>
                <w:szCs w:val="22"/>
              </w:rPr>
            </w:pPr>
            <w:r w:rsidRPr="00C274DB">
              <w:rPr>
                <w:rFonts w:eastAsia="Times New Roman" w:cs="Times New Roman"/>
                <w:color w:val="000000"/>
                <w:szCs w:val="22"/>
              </w:rPr>
              <w:t>384,756</w:t>
            </w:r>
          </w:p>
        </w:tc>
        <w:tc>
          <w:tcPr>
            <w:tcW w:w="1596" w:type="dxa"/>
            <w:vAlign w:val="bottom"/>
          </w:tcPr>
          <w:p w14:paraId="2370FC38" w14:textId="77777777" w:rsidR="00C65C03" w:rsidRPr="00C274DB" w:rsidRDefault="00C65C03" w:rsidP="00C65C03">
            <w:pPr>
              <w:jc w:val="center"/>
              <w:rPr>
                <w:szCs w:val="22"/>
              </w:rPr>
            </w:pPr>
            <w:r w:rsidRPr="00C274DB">
              <w:rPr>
                <w:rFonts w:eastAsia="Times New Roman" w:cs="Times New Roman"/>
                <w:color w:val="000000"/>
                <w:szCs w:val="22"/>
              </w:rPr>
              <w:t>549,651</w:t>
            </w:r>
          </w:p>
        </w:tc>
        <w:tc>
          <w:tcPr>
            <w:tcW w:w="1554" w:type="dxa"/>
            <w:vAlign w:val="bottom"/>
          </w:tcPr>
          <w:p w14:paraId="4088BF18" w14:textId="77777777" w:rsidR="00C65C03" w:rsidRPr="00C274DB" w:rsidRDefault="00725ABE" w:rsidP="00C65C03">
            <w:pPr>
              <w:jc w:val="center"/>
              <w:rPr>
                <w:szCs w:val="22"/>
              </w:rPr>
            </w:pPr>
            <w:r>
              <w:rPr>
                <w:szCs w:val="22"/>
              </w:rPr>
              <w:t>-</w:t>
            </w:r>
          </w:p>
        </w:tc>
        <w:tc>
          <w:tcPr>
            <w:tcW w:w="1440" w:type="dxa"/>
            <w:vAlign w:val="bottom"/>
          </w:tcPr>
          <w:p w14:paraId="5917D1E3" w14:textId="77777777" w:rsidR="00C65C03" w:rsidRPr="00725ABE" w:rsidRDefault="00C65C03" w:rsidP="00C65C03">
            <w:pPr>
              <w:jc w:val="center"/>
              <w:rPr>
                <w:b/>
                <w:szCs w:val="22"/>
              </w:rPr>
            </w:pPr>
            <w:r w:rsidRPr="00725ABE">
              <w:rPr>
                <w:rFonts w:eastAsia="Times New Roman" w:cs="Times New Roman"/>
                <w:b/>
                <w:color w:val="000000"/>
                <w:szCs w:val="22"/>
              </w:rPr>
              <w:t>549,651</w:t>
            </w:r>
          </w:p>
        </w:tc>
      </w:tr>
    </w:tbl>
    <w:p w14:paraId="676C8882" w14:textId="77777777" w:rsidR="001F0D70" w:rsidRDefault="001F0D70" w:rsidP="00E92333"/>
    <w:p w14:paraId="49BDC576" w14:textId="77777777" w:rsidR="008926F8" w:rsidRDefault="008926F8" w:rsidP="008926F8">
      <w:r w:rsidRPr="008926F8">
        <w:rPr>
          <w:b/>
        </w:rPr>
        <w:t>Note on wastage</w:t>
      </w:r>
      <w:r>
        <w:t>:</w:t>
      </w:r>
      <w:r w:rsidR="00725ABE">
        <w:t xml:space="preserve"> For the single dose vial, data from Cambodia has shown that wastage in routine immunization is approximately 3%.</w:t>
      </w:r>
      <w:r>
        <w:t xml:space="preserve"> </w:t>
      </w:r>
      <w:r w:rsidR="009E1F31">
        <w:t>For the five-dose via</w:t>
      </w:r>
      <w:r w:rsidR="00421D52">
        <w:t xml:space="preserve">l, GAVI has </w:t>
      </w:r>
      <w:r w:rsidR="008A6795">
        <w:t xml:space="preserve">instructed to use a maximum of 30% wastage. </w:t>
      </w:r>
      <w:r w:rsidR="00725ABE">
        <w:t xml:space="preserve">However, data from the use of ten dose measles vaccine vials in routine immunization in Cambodia has shown that the wastage is approximately 62%. This raises a concern that the wastage for the five dose vial might be above the 30% maximum. Following IPV introduction, Cambodia will collect data on wastage in order to determine the true wastage. </w:t>
      </w:r>
    </w:p>
    <w:p w14:paraId="104D0F5F" w14:textId="77777777" w:rsidR="008926F8" w:rsidRDefault="008926F8" w:rsidP="00E92333">
      <w:pPr>
        <w:rPr>
          <w:b/>
        </w:rPr>
      </w:pPr>
    </w:p>
    <w:p w14:paraId="77535845" w14:textId="32ED2A78" w:rsidR="00725ABE" w:rsidRDefault="00215134" w:rsidP="00E92333">
      <w:r w:rsidRPr="00477347">
        <w:rPr>
          <w:b/>
        </w:rPr>
        <w:lastRenderedPageBreak/>
        <w:t>Note on r</w:t>
      </w:r>
      <w:r w:rsidR="00735EF4" w:rsidRPr="00477347">
        <w:rPr>
          <w:b/>
        </w:rPr>
        <w:t>eserve stock</w:t>
      </w:r>
      <w:r w:rsidR="00735EF4" w:rsidRPr="00477347">
        <w:t xml:space="preserve">: </w:t>
      </w:r>
      <w:r w:rsidR="005322EF" w:rsidRPr="00477347">
        <w:t xml:space="preserve">Each level of the supply chain will maintain a reserve stock, to safeguard against stock out if new supplies are delayed or if there is a sudden increase in demand. </w:t>
      </w:r>
      <w:r w:rsidR="00666CA6" w:rsidRPr="00477347">
        <w:t xml:space="preserve">In accordance with the national policy, there should be 4 months of reserve stock available (25%). This </w:t>
      </w:r>
      <w:r w:rsidR="00725ABE" w:rsidRPr="00477347">
        <w:t>is equivalent</w:t>
      </w:r>
      <w:r w:rsidR="00666CA6" w:rsidRPr="00477347">
        <w:t xml:space="preserve"> to 2 months at the </w:t>
      </w:r>
      <w:r w:rsidR="00725ABE" w:rsidRPr="00477347">
        <w:t>central</w:t>
      </w:r>
      <w:r w:rsidR="00666CA6" w:rsidRPr="00477347">
        <w:t xml:space="preserve"> level, 1 month at the provincial level, 2 weeks at the Operational District, and 2 weeks at the health center. </w:t>
      </w:r>
      <w:r w:rsidR="00842DA5" w:rsidRPr="00477347">
        <w:t>An amount of reserve stock (25%) was added to the calculated doses required for the first year of IPV introduction from October 2014 to September 2015 (3 months in 2014 and 9 months in 2015).</w:t>
      </w:r>
      <w:r w:rsidR="00842DA5">
        <w:t xml:space="preserve"> </w:t>
      </w:r>
    </w:p>
    <w:p w14:paraId="6177F9CA" w14:textId="77777777" w:rsidR="00CB56F9" w:rsidRDefault="00CB56F9" w:rsidP="00E92333"/>
    <w:p w14:paraId="52B6ABC0" w14:textId="3AAA151F" w:rsidR="00CB56F9" w:rsidRDefault="00CB56F9" w:rsidP="00E92333">
      <w:r w:rsidRPr="00C44A4D">
        <w:rPr>
          <w:b/>
        </w:rPr>
        <w:t>Not</w:t>
      </w:r>
      <w:r w:rsidR="00C44A4D" w:rsidRPr="00C44A4D">
        <w:rPr>
          <w:b/>
        </w:rPr>
        <w:t>e</w:t>
      </w:r>
      <w:r w:rsidRPr="00C44A4D">
        <w:rPr>
          <w:b/>
        </w:rPr>
        <w:t xml:space="preserve"> on target population</w:t>
      </w:r>
      <w:r>
        <w:t xml:space="preserve">: As specified in the “Additional information on GAVI support for IPV”, the UN population data was used for calculation of IPV dose requirements. However, it should be noted that when calculating coverage in the future, in order to be </w:t>
      </w:r>
      <w:r w:rsidRPr="00E04198">
        <w:t xml:space="preserve">consistent with the way that coverage estimates are calculated in Cambodia for all routine vaccines, the target population estimation from the </w:t>
      </w:r>
      <w:r w:rsidR="00E04198">
        <w:t>Government</w:t>
      </w:r>
      <w:r w:rsidRPr="00E04198">
        <w:t xml:space="preserve"> will be used.</w:t>
      </w:r>
      <w:r>
        <w:t xml:space="preserve"> </w:t>
      </w:r>
    </w:p>
    <w:p w14:paraId="536E4813" w14:textId="77777777" w:rsidR="00E254EE" w:rsidRDefault="00E254EE" w:rsidP="00E92333"/>
    <w:p w14:paraId="48CFE83A" w14:textId="77777777" w:rsidR="00E254EE" w:rsidRDefault="00E254EE" w:rsidP="00E254EE">
      <w:pPr>
        <w:pStyle w:val="Heading2"/>
      </w:pPr>
      <w:bookmarkStart w:id="17" w:name="_Toc270048953"/>
      <w:r>
        <w:t>IPV safety information and contraindications</w:t>
      </w:r>
      <w:bookmarkEnd w:id="17"/>
      <w:r>
        <w:t xml:space="preserve"> </w:t>
      </w:r>
    </w:p>
    <w:p w14:paraId="6B0CE56A" w14:textId="77777777" w:rsidR="00E254EE" w:rsidRDefault="00E254EE" w:rsidP="00E92333"/>
    <w:p w14:paraId="68CA065F" w14:textId="77777777" w:rsidR="00E254EE" w:rsidRPr="00CA1B8C" w:rsidRDefault="00E254EE" w:rsidP="00E254EE">
      <w:r w:rsidRPr="00CA1B8C">
        <w:rPr>
          <w:b/>
        </w:rPr>
        <w:t xml:space="preserve">Safety information on IPV: </w:t>
      </w:r>
      <w:r w:rsidRPr="00CA1B8C">
        <w:t xml:space="preserve">IPV is safe and very well-tolerated. Severe adverse reactions are extremely rare. Redness at the injection site is reported in 0.5% to 1.5%, swelling in 3% to 11%, and soreness in 14% to 29% of infants. Other, mild side effects such as transient fever have also been reported but fever &gt;40°C has only been reported in &lt;0.1% of infants. </w:t>
      </w:r>
    </w:p>
    <w:p w14:paraId="296355E3" w14:textId="77777777" w:rsidR="00E254EE" w:rsidRPr="00CA1B8C" w:rsidRDefault="00E254EE" w:rsidP="00E254EE"/>
    <w:p w14:paraId="62E2A41A" w14:textId="77777777" w:rsidR="00E254EE" w:rsidRPr="00CA1B8C" w:rsidRDefault="00E254EE" w:rsidP="00E254EE">
      <w:r w:rsidRPr="00CA1B8C">
        <w:rPr>
          <w:b/>
        </w:rPr>
        <w:t xml:space="preserve">Use in children with </w:t>
      </w:r>
      <w:proofErr w:type="spellStart"/>
      <w:r w:rsidRPr="00CA1B8C">
        <w:rPr>
          <w:b/>
        </w:rPr>
        <w:t>Immunodeficiencies</w:t>
      </w:r>
      <w:proofErr w:type="spellEnd"/>
      <w:r w:rsidRPr="00CA1B8C">
        <w:t xml:space="preserve">: IPV can be safely administered to children with </w:t>
      </w:r>
      <w:proofErr w:type="spellStart"/>
      <w:r w:rsidRPr="00CA1B8C">
        <w:t>immunodeficiencies</w:t>
      </w:r>
      <w:proofErr w:type="spellEnd"/>
      <w:r w:rsidRPr="00CA1B8C">
        <w:t xml:space="preserve"> (e.g., HIV, congenital or acquired immunodeficiency, sickle cell disease). Furthermore, because of the elevated risk of vaccine-associated paralytic polio after the use of OPV in patients with </w:t>
      </w:r>
      <w:proofErr w:type="spellStart"/>
      <w:r w:rsidRPr="00CA1B8C">
        <w:t>immunodeficiencies</w:t>
      </w:r>
      <w:proofErr w:type="spellEnd"/>
      <w:r w:rsidRPr="00CA1B8C">
        <w:t>, IPV is universally recommended in these children.</w:t>
      </w:r>
    </w:p>
    <w:p w14:paraId="2BBE73F4" w14:textId="77777777" w:rsidR="00E254EE" w:rsidRPr="00CA1B8C" w:rsidRDefault="00E254EE" w:rsidP="00E254EE"/>
    <w:p w14:paraId="447330CE" w14:textId="77777777" w:rsidR="00E254EE" w:rsidRPr="00CA1B8C" w:rsidRDefault="00E254EE" w:rsidP="00E254EE">
      <w:r w:rsidRPr="00CA1B8C">
        <w:rPr>
          <w:b/>
        </w:rPr>
        <w:t>Contraindications</w:t>
      </w:r>
      <w:r w:rsidRPr="00CA1B8C">
        <w:t xml:space="preserve">: IPV should not be administered to infants with known or documented allergy to streptomycin, neomycin, or </w:t>
      </w:r>
      <w:proofErr w:type="spellStart"/>
      <w:r w:rsidRPr="00CA1B8C">
        <w:t>polymyxin</w:t>
      </w:r>
      <w:proofErr w:type="spellEnd"/>
      <w:r w:rsidRPr="00CA1B8C">
        <w:t xml:space="preserve"> B, which are inactive components of the vaccine, or a history of an allergic reaction following a previous injection of IPV. </w:t>
      </w:r>
    </w:p>
    <w:p w14:paraId="12242E86" w14:textId="77777777" w:rsidR="00E254EE" w:rsidRDefault="00E254EE" w:rsidP="00E92333"/>
    <w:p w14:paraId="11197C6F" w14:textId="77777777" w:rsidR="009225B8" w:rsidRDefault="001F0D70" w:rsidP="009225B8">
      <w:pPr>
        <w:pStyle w:val="Heading1"/>
      </w:pPr>
      <w:bookmarkStart w:id="18" w:name="_Toc270048954"/>
      <w:r>
        <w:t>Introduction and implementation considerations</w:t>
      </w:r>
      <w:bookmarkEnd w:id="18"/>
    </w:p>
    <w:p w14:paraId="19C7792E" w14:textId="77777777" w:rsidR="00416A48" w:rsidRDefault="00416A48" w:rsidP="00416A48"/>
    <w:p w14:paraId="14809ECC" w14:textId="77777777" w:rsidR="0022143C" w:rsidRDefault="0022143C" w:rsidP="00416A48">
      <w:pPr>
        <w:pStyle w:val="Heading2"/>
      </w:pPr>
      <w:bookmarkStart w:id="19" w:name="_Toc270048955"/>
      <w:r>
        <w:t>IPV Introduction date</w:t>
      </w:r>
      <w:bookmarkEnd w:id="19"/>
    </w:p>
    <w:p w14:paraId="2558BDB8" w14:textId="77777777" w:rsidR="0022143C" w:rsidRDefault="0022143C" w:rsidP="0022143C"/>
    <w:p w14:paraId="58730BDE" w14:textId="77777777" w:rsidR="0022143C" w:rsidRDefault="0022143C" w:rsidP="0022143C">
      <w:r>
        <w:t xml:space="preserve">IPV will be introduced nationally in </w:t>
      </w:r>
      <w:r w:rsidR="00725ABE">
        <w:t>October</w:t>
      </w:r>
      <w:r>
        <w:t xml:space="preserve"> 2015. </w:t>
      </w:r>
    </w:p>
    <w:p w14:paraId="509B1D30" w14:textId="77777777" w:rsidR="0022143C" w:rsidRPr="0022143C" w:rsidRDefault="0022143C" w:rsidP="0022143C"/>
    <w:p w14:paraId="69BB9699" w14:textId="77777777" w:rsidR="00416A48" w:rsidRPr="00416A48" w:rsidRDefault="00416A48" w:rsidP="00416A48">
      <w:pPr>
        <w:pStyle w:val="Heading2"/>
      </w:pPr>
      <w:bookmarkStart w:id="20" w:name="_Toc270048956"/>
      <w:r>
        <w:t xml:space="preserve">IPV Schedule, Route of administration, </w:t>
      </w:r>
      <w:r w:rsidR="00636F13">
        <w:t>injection site, and order of immunization</w:t>
      </w:r>
      <w:r w:rsidR="009225B8">
        <w:t>s</w:t>
      </w:r>
      <w:bookmarkEnd w:id="20"/>
    </w:p>
    <w:p w14:paraId="5C8D5574" w14:textId="77777777" w:rsidR="001F0D70" w:rsidRDefault="001F0D70" w:rsidP="001F0D70"/>
    <w:p w14:paraId="3514363B" w14:textId="77777777" w:rsidR="00AE478E" w:rsidRDefault="00416A48" w:rsidP="007A29B6">
      <w:r w:rsidRPr="00416A48">
        <w:rPr>
          <w:b/>
        </w:rPr>
        <w:t>IPV Schedule:</w:t>
      </w:r>
      <w:r>
        <w:t xml:space="preserve"> </w:t>
      </w:r>
      <w:r w:rsidR="00234243">
        <w:t xml:space="preserve">IPV will be introduced into the routine immunization schedule at the first immunization contact </w:t>
      </w:r>
      <w:r w:rsidR="001834DF">
        <w:t>≥</w:t>
      </w:r>
      <w:r w:rsidR="00234243">
        <w:t xml:space="preserve"> 14 weeks as recommended by the Strategic Advisory Group of Experts on Immunization (SAGE). </w:t>
      </w:r>
      <w:r w:rsidR="00552061">
        <w:t xml:space="preserve">The policy and rationale for selected age is give below: </w:t>
      </w:r>
    </w:p>
    <w:p w14:paraId="63714F45" w14:textId="77777777" w:rsidR="00AE478E" w:rsidRDefault="00AE478E" w:rsidP="007A29B6"/>
    <w:p w14:paraId="0CFB021B" w14:textId="77777777" w:rsidR="00AE478E" w:rsidRDefault="00AE478E" w:rsidP="007A29B6">
      <w:r w:rsidRPr="00DE0378">
        <w:rPr>
          <w:noProof/>
          <w:color w:val="BFBFBF" w:themeColor="background1" w:themeShade="BF"/>
          <w:lang w:eastAsia="zh-CN"/>
        </w:rPr>
        <w:lastRenderedPageBreak/>
        <mc:AlternateContent>
          <mc:Choice Requires="wps">
            <w:drawing>
              <wp:inline distT="0" distB="0" distL="0" distR="0" wp14:anchorId="638CBDC9" wp14:editId="05628E50">
                <wp:extent cx="5943600" cy="1382486"/>
                <wp:effectExtent l="0" t="0" r="0" b="0"/>
                <wp:docPr id="4" name="Text Box 4"/>
                <wp:cNvGraphicFramePr/>
                <a:graphic xmlns:a="http://schemas.openxmlformats.org/drawingml/2006/main">
                  <a:graphicData uri="http://schemas.microsoft.com/office/word/2010/wordprocessingShape">
                    <wps:wsp>
                      <wps:cNvSpPr txBox="1"/>
                      <wps:spPr>
                        <a:xfrm>
                          <a:off x="0" y="0"/>
                          <a:ext cx="5943600" cy="1382486"/>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19DDF2" w14:textId="77777777" w:rsidR="004009B6" w:rsidRPr="00AE478E" w:rsidRDefault="004009B6" w:rsidP="00AE478E">
                            <w:pPr>
                              <w:jc w:val="center"/>
                              <w:rPr>
                                <w:b/>
                                <w:sz w:val="32"/>
                                <w:szCs w:val="32"/>
                              </w:rPr>
                            </w:pPr>
                            <w:r w:rsidRPr="00AE478E">
                              <w:rPr>
                                <w:b/>
                                <w:sz w:val="32"/>
                                <w:szCs w:val="32"/>
                              </w:rPr>
                              <w:t>Administer one dose of IPV 14 weeks of age or later</w:t>
                            </w:r>
                          </w:p>
                          <w:p w14:paraId="2D647DE8" w14:textId="77777777" w:rsidR="004009B6" w:rsidRDefault="004009B6" w:rsidP="00AE478E"/>
                          <w:p w14:paraId="033F03D4" w14:textId="77777777" w:rsidR="004009B6" w:rsidRDefault="004009B6">
                            <w:r>
                              <w:t>The immune response to IPV is lower if the dose of IPV is given when the child is &lt;3 months. For this reason, SAGE recommended that the dose of IPV be administered at or after 14 weeks of age to get the best immunogenicity possible at an early age. This might be at Penta1, Penta2, or Penta3 depending on whether or not the child has received his/her other immunizations according to the routine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8pt;height:1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" fillcolor="#bfbfbf [2412]" stroked="f">
                <v:textbox>
                  <w:txbxContent>
                    <w:p w14:paraId="5A19DDF2" w14:textId="77777777" w:rsidR="004009B6" w:rsidRPr="00AE478E" w:rsidRDefault="004009B6" w:rsidP="00AE478E">
                      <w:pPr>
                        <w:jc w:val="center"/>
                        <w:rPr>
                          <w:b/>
                          <w:sz w:val="32"/>
                          <w:szCs w:val="32"/>
                        </w:rPr>
                      </w:pPr>
                      <w:r w:rsidRPr="00AE478E">
                        <w:rPr>
                          <w:b/>
                          <w:sz w:val="32"/>
                          <w:szCs w:val="32"/>
                        </w:rPr>
                        <w:t>Administer one dose of IPV 14 weeks of age or later</w:t>
                      </w:r>
                    </w:p>
                    <w:p w14:paraId="2D647DE8" w14:textId="77777777" w:rsidR="004009B6" w:rsidRDefault="004009B6" w:rsidP="00AE478E"/>
                    <w:p w14:paraId="033F03D4" w14:textId="77777777" w:rsidR="004009B6" w:rsidRDefault="004009B6">
                      <w:r>
                        <w:t>The immune response to IPV is lower if the dose of IPV is given when the child is &lt;3 months. For this reason, SAGE recommended that the dose of IPV be administered at or after 14 weeks of age to get the best immunogenicity possible at an early age. This might be at Penta1, Penta2, or Penta3 depending on whether or not the child has received his/her other immunizations according to the routine schedule.</w:t>
                      </w:r>
                    </w:p>
                  </w:txbxContent>
                </v:textbox>
                <w10:anchorlock/>
              </v:shape>
            </w:pict>
          </mc:Fallback>
        </mc:AlternateContent>
      </w:r>
    </w:p>
    <w:p w14:paraId="148C78D6" w14:textId="77777777" w:rsidR="00AE478E" w:rsidRDefault="00AE478E" w:rsidP="007A29B6"/>
    <w:p w14:paraId="1D945D0B" w14:textId="77777777" w:rsidR="00442B41" w:rsidRDefault="007A29B6" w:rsidP="001F0D70">
      <w:r>
        <w:t xml:space="preserve">It is important to highlight that </w:t>
      </w:r>
      <w:r w:rsidRPr="007A29B6">
        <w:t xml:space="preserve">OPV will be given </w:t>
      </w:r>
      <w:r w:rsidRPr="007A29B6">
        <w:rPr>
          <w:u w:val="single"/>
        </w:rPr>
        <w:t>in addition</w:t>
      </w:r>
      <w:r w:rsidRPr="007A29B6">
        <w:t xml:space="preserve"> to IPV.</w:t>
      </w:r>
      <w:r>
        <w:t xml:space="preserve"> Until polio is eradicated globally, the three doses of OPV will be critical to ensuring children have immunity against wild poliovirus. Thus, IPV is recommended in addition to OPV and does not replace OPV. </w:t>
      </w:r>
    </w:p>
    <w:p w14:paraId="392985AB" w14:textId="77777777" w:rsidR="00442B41" w:rsidRDefault="00442B41" w:rsidP="001F0D70"/>
    <w:p w14:paraId="6C0477F7" w14:textId="5FC239A0" w:rsidR="00234243" w:rsidRDefault="001834DF" w:rsidP="001F0D70">
      <w:r>
        <w:t>The new routine infant immunization</w:t>
      </w:r>
      <w:r w:rsidR="00CE2956">
        <w:t xml:space="preserve"> schedule</w:t>
      </w:r>
      <w:r>
        <w:t xml:space="preserve"> including other new vaccine introduction</w:t>
      </w:r>
      <w:r w:rsidR="00552061">
        <w:t>s</w:t>
      </w:r>
      <w:r>
        <w:t xml:space="preserve"> in the upcoming year</w:t>
      </w:r>
      <w:r w:rsidR="00552061">
        <w:t>s</w:t>
      </w:r>
      <w:r>
        <w:t xml:space="preserve"> (PCV and JE) schedule will be as follows:</w:t>
      </w:r>
    </w:p>
    <w:tbl>
      <w:tblPr>
        <w:tblW w:w="894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0"/>
        <w:gridCol w:w="1020"/>
        <w:gridCol w:w="1021"/>
        <w:gridCol w:w="1020"/>
        <w:gridCol w:w="1021"/>
        <w:gridCol w:w="1020"/>
        <w:gridCol w:w="1108"/>
      </w:tblGrid>
      <w:tr w:rsidR="00D2401A" w:rsidRPr="00F65762" w14:paraId="69AD85F4" w14:textId="77777777" w:rsidTr="00456414">
        <w:trPr>
          <w:trHeight w:val="282"/>
        </w:trPr>
        <w:tc>
          <w:tcPr>
            <w:tcW w:w="2730" w:type="dxa"/>
            <w:vMerge w:val="restart"/>
            <w:shd w:val="clear" w:color="auto" w:fill="C0504D" w:themeFill="accent2"/>
            <w:vAlign w:val="center"/>
          </w:tcPr>
          <w:p w14:paraId="027B30DA" w14:textId="77777777" w:rsidR="00D2401A" w:rsidRPr="006A6176" w:rsidRDefault="00D2401A" w:rsidP="00636F13">
            <w:pPr>
              <w:pStyle w:val="TableTitle"/>
              <w:spacing w:before="0" w:after="0"/>
              <w:ind w:hanging="120"/>
              <w:rPr>
                <w:rFonts w:ascii="Calibri" w:hAnsi="Calibri" w:cs="Calibri"/>
                <w:b w:val="0"/>
                <w:color w:val="FFFFFF" w:themeColor="background1"/>
                <w:sz w:val="22"/>
                <w:szCs w:val="22"/>
              </w:rPr>
            </w:pPr>
            <w:r w:rsidRPr="006A6176">
              <w:rPr>
                <w:rFonts w:ascii="Calibri" w:hAnsi="Calibri" w:cs="Calibri"/>
                <w:b w:val="0"/>
                <w:color w:val="FFFFFF" w:themeColor="background1"/>
                <w:sz w:val="24"/>
                <w:szCs w:val="24"/>
              </w:rPr>
              <w:t>Vaccine</w:t>
            </w:r>
          </w:p>
        </w:tc>
        <w:tc>
          <w:tcPr>
            <w:tcW w:w="6210" w:type="dxa"/>
            <w:gridSpan w:val="6"/>
            <w:shd w:val="clear" w:color="auto" w:fill="C0504D" w:themeFill="accent2"/>
            <w:vAlign w:val="center"/>
          </w:tcPr>
          <w:p w14:paraId="4B0DC0E2" w14:textId="77777777" w:rsidR="00D2401A" w:rsidRPr="006A6176" w:rsidRDefault="00D2401A" w:rsidP="00636F13">
            <w:pPr>
              <w:pStyle w:val="TableTitle"/>
              <w:spacing w:before="0" w:after="0"/>
              <w:ind w:hanging="120"/>
              <w:rPr>
                <w:rFonts w:ascii="Calibri" w:hAnsi="Calibri" w:cs="Calibri"/>
                <w:b w:val="0"/>
                <w:color w:val="FFFFFF" w:themeColor="background1"/>
                <w:sz w:val="24"/>
                <w:szCs w:val="24"/>
              </w:rPr>
            </w:pPr>
            <w:r w:rsidRPr="006A6176">
              <w:rPr>
                <w:rFonts w:ascii="Calibri" w:hAnsi="Calibri" w:cs="Calibri"/>
                <w:b w:val="0"/>
                <w:color w:val="FFFFFF" w:themeColor="background1"/>
                <w:sz w:val="24"/>
                <w:szCs w:val="24"/>
              </w:rPr>
              <w:t>Age</w:t>
            </w:r>
          </w:p>
        </w:tc>
      </w:tr>
      <w:tr w:rsidR="00D2401A" w:rsidRPr="00F65762" w14:paraId="72C7C693" w14:textId="77777777" w:rsidTr="00456414">
        <w:trPr>
          <w:trHeight w:val="267"/>
        </w:trPr>
        <w:tc>
          <w:tcPr>
            <w:tcW w:w="2730" w:type="dxa"/>
            <w:vMerge/>
            <w:shd w:val="clear" w:color="auto" w:fill="C0504D" w:themeFill="accent2"/>
            <w:vAlign w:val="center"/>
          </w:tcPr>
          <w:p w14:paraId="40F8C90B"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p>
        </w:tc>
        <w:tc>
          <w:tcPr>
            <w:tcW w:w="1020" w:type="dxa"/>
            <w:shd w:val="clear" w:color="auto" w:fill="C0504D" w:themeFill="accent2"/>
            <w:vAlign w:val="center"/>
          </w:tcPr>
          <w:p w14:paraId="234577F3"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At birth</w:t>
            </w:r>
          </w:p>
        </w:tc>
        <w:tc>
          <w:tcPr>
            <w:tcW w:w="1021" w:type="dxa"/>
            <w:shd w:val="clear" w:color="auto" w:fill="C0504D" w:themeFill="accent2"/>
            <w:vAlign w:val="center"/>
          </w:tcPr>
          <w:p w14:paraId="3B176DA9"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6 weeks</w:t>
            </w:r>
          </w:p>
        </w:tc>
        <w:tc>
          <w:tcPr>
            <w:tcW w:w="1020" w:type="dxa"/>
            <w:shd w:val="clear" w:color="auto" w:fill="C0504D" w:themeFill="accent2"/>
            <w:vAlign w:val="center"/>
          </w:tcPr>
          <w:p w14:paraId="0CD6B1B5"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10 weeks</w:t>
            </w:r>
          </w:p>
        </w:tc>
        <w:tc>
          <w:tcPr>
            <w:tcW w:w="1021" w:type="dxa"/>
            <w:shd w:val="clear" w:color="auto" w:fill="C0504D" w:themeFill="accent2"/>
            <w:vAlign w:val="center"/>
          </w:tcPr>
          <w:p w14:paraId="236C20E8"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14 weeks</w:t>
            </w:r>
          </w:p>
        </w:tc>
        <w:tc>
          <w:tcPr>
            <w:tcW w:w="1020" w:type="dxa"/>
            <w:shd w:val="clear" w:color="auto" w:fill="C0504D" w:themeFill="accent2"/>
            <w:vAlign w:val="center"/>
          </w:tcPr>
          <w:p w14:paraId="063727F2"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9 Months</w:t>
            </w:r>
          </w:p>
        </w:tc>
        <w:tc>
          <w:tcPr>
            <w:tcW w:w="1108" w:type="dxa"/>
            <w:shd w:val="clear" w:color="auto" w:fill="C0504D" w:themeFill="accent2"/>
            <w:vAlign w:val="center"/>
          </w:tcPr>
          <w:p w14:paraId="0D042338" w14:textId="77777777" w:rsidR="00D2401A" w:rsidRPr="006A6176" w:rsidRDefault="00D2401A" w:rsidP="00636F13">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18 Months</w:t>
            </w:r>
          </w:p>
        </w:tc>
      </w:tr>
      <w:tr w:rsidR="00D2401A" w:rsidRPr="00F65762" w14:paraId="60536302" w14:textId="77777777" w:rsidTr="00C131ED">
        <w:trPr>
          <w:trHeight w:val="273"/>
        </w:trPr>
        <w:tc>
          <w:tcPr>
            <w:tcW w:w="2730" w:type="dxa"/>
            <w:vAlign w:val="center"/>
          </w:tcPr>
          <w:p w14:paraId="7519EE2F" w14:textId="77777777" w:rsidR="00D2401A" w:rsidRPr="00F65762" w:rsidRDefault="00D2401A" w:rsidP="00636F13">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BCG</w:t>
            </w:r>
          </w:p>
        </w:tc>
        <w:tc>
          <w:tcPr>
            <w:tcW w:w="1020" w:type="dxa"/>
            <w:vAlign w:val="center"/>
          </w:tcPr>
          <w:p w14:paraId="7ED379C8"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1" w:type="dxa"/>
            <w:vAlign w:val="center"/>
          </w:tcPr>
          <w:p w14:paraId="11F3DF7A"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53D0FB80"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134D2F79"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132303DC"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108" w:type="dxa"/>
            <w:vAlign w:val="center"/>
          </w:tcPr>
          <w:p w14:paraId="4157CCAA" w14:textId="77777777" w:rsidR="00D2401A" w:rsidRPr="00F65762" w:rsidRDefault="00D2401A" w:rsidP="00636F13">
            <w:pPr>
              <w:pStyle w:val="TableText"/>
              <w:spacing w:before="0" w:after="0"/>
              <w:jc w:val="center"/>
              <w:rPr>
                <w:rFonts w:ascii="Calibri" w:hAnsi="Calibri" w:cs="Calibri"/>
                <w:sz w:val="22"/>
                <w:szCs w:val="22"/>
                <w:lang w:val="en-GB"/>
              </w:rPr>
            </w:pPr>
          </w:p>
        </w:tc>
      </w:tr>
      <w:tr w:rsidR="00D2401A" w:rsidRPr="00F65762" w14:paraId="0DF137D6" w14:textId="77777777" w:rsidTr="00C131ED">
        <w:trPr>
          <w:trHeight w:val="234"/>
        </w:trPr>
        <w:tc>
          <w:tcPr>
            <w:tcW w:w="2730" w:type="dxa"/>
            <w:vAlign w:val="center"/>
          </w:tcPr>
          <w:p w14:paraId="7A0A27FA" w14:textId="68AA34BB" w:rsidR="00D2401A" w:rsidRPr="00F65762" w:rsidRDefault="00EA0442" w:rsidP="00011EDA">
            <w:pPr>
              <w:pStyle w:val="TableText"/>
              <w:spacing w:before="0" w:after="0"/>
              <w:jc w:val="center"/>
              <w:rPr>
                <w:rFonts w:ascii="Calibri" w:hAnsi="Calibri" w:cs="Khmer UI"/>
                <w:bCs/>
                <w:sz w:val="22"/>
                <w:szCs w:val="36"/>
                <w:lang w:bidi="km-KH"/>
              </w:rPr>
            </w:pPr>
            <w:r w:rsidRPr="00F65762">
              <w:rPr>
                <w:rFonts w:ascii="Calibri" w:hAnsi="Calibri" w:cs="Calibri"/>
                <w:bCs/>
                <w:sz w:val="22"/>
                <w:szCs w:val="22"/>
                <w:lang w:val="en-GB"/>
              </w:rPr>
              <w:t>Hep</w:t>
            </w:r>
            <w:r>
              <w:rPr>
                <w:rFonts w:ascii="Calibri" w:hAnsi="Calibri" w:cs="Calibri"/>
                <w:bCs/>
                <w:sz w:val="22"/>
                <w:szCs w:val="22"/>
                <w:lang w:val="en-GB"/>
              </w:rPr>
              <w:t>-</w:t>
            </w:r>
            <w:r w:rsidRPr="00F65762">
              <w:rPr>
                <w:rFonts w:ascii="Calibri" w:hAnsi="Calibri" w:cs="Calibri"/>
                <w:bCs/>
                <w:sz w:val="22"/>
                <w:szCs w:val="22"/>
                <w:lang w:val="en-GB"/>
              </w:rPr>
              <w:t>B</w:t>
            </w:r>
            <w:r>
              <w:rPr>
                <w:rFonts w:ascii="Calibri" w:hAnsi="Calibri" w:cs="Calibri"/>
                <w:bCs/>
                <w:sz w:val="22"/>
                <w:szCs w:val="22"/>
                <w:lang w:val="en-GB"/>
              </w:rPr>
              <w:t xml:space="preserve"> </w:t>
            </w:r>
            <w:r w:rsidR="00011EDA">
              <w:rPr>
                <w:rFonts w:ascii="Calibri" w:hAnsi="Calibri" w:cs="Calibri"/>
                <w:bCs/>
                <w:sz w:val="22"/>
                <w:szCs w:val="22"/>
                <w:lang w:val="en-GB"/>
              </w:rPr>
              <w:t>b</w:t>
            </w:r>
            <w:r>
              <w:rPr>
                <w:rFonts w:ascii="Calibri" w:hAnsi="Calibri" w:cs="Calibri"/>
                <w:bCs/>
                <w:sz w:val="22"/>
                <w:szCs w:val="22"/>
                <w:lang w:val="en-GB"/>
              </w:rPr>
              <w:t>irth dose</w:t>
            </w:r>
          </w:p>
        </w:tc>
        <w:tc>
          <w:tcPr>
            <w:tcW w:w="1020" w:type="dxa"/>
            <w:vAlign w:val="center"/>
          </w:tcPr>
          <w:p w14:paraId="72ACA35E"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1" w:type="dxa"/>
            <w:vAlign w:val="center"/>
          </w:tcPr>
          <w:p w14:paraId="64044F99"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146E8391"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6EBA0320"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7116DE54"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108" w:type="dxa"/>
            <w:vAlign w:val="center"/>
          </w:tcPr>
          <w:p w14:paraId="155C3886" w14:textId="77777777" w:rsidR="00D2401A" w:rsidRPr="00F65762" w:rsidRDefault="00D2401A" w:rsidP="00636F13">
            <w:pPr>
              <w:pStyle w:val="TableText"/>
              <w:spacing w:before="0" w:after="0"/>
              <w:jc w:val="center"/>
              <w:rPr>
                <w:rFonts w:ascii="Calibri" w:hAnsi="Calibri" w:cs="Calibri"/>
                <w:sz w:val="22"/>
                <w:szCs w:val="22"/>
                <w:lang w:val="en-GB"/>
              </w:rPr>
            </w:pPr>
          </w:p>
        </w:tc>
      </w:tr>
      <w:tr w:rsidR="00D2401A" w:rsidRPr="00F65762" w14:paraId="06CBA8AE" w14:textId="77777777" w:rsidTr="00C131ED">
        <w:trPr>
          <w:trHeight w:val="234"/>
        </w:trPr>
        <w:tc>
          <w:tcPr>
            <w:tcW w:w="2730" w:type="dxa"/>
            <w:vAlign w:val="center"/>
          </w:tcPr>
          <w:p w14:paraId="79F7C755" w14:textId="77777777" w:rsidR="00D2401A" w:rsidRPr="00F65762" w:rsidRDefault="00D2401A" w:rsidP="00636F13">
            <w:pPr>
              <w:pStyle w:val="TableText"/>
              <w:spacing w:before="0" w:after="0"/>
              <w:jc w:val="center"/>
              <w:rPr>
                <w:rFonts w:ascii="Calibri" w:hAnsi="Calibri" w:cs="Calibri"/>
                <w:bCs/>
                <w:sz w:val="22"/>
                <w:szCs w:val="22"/>
                <w:lang w:val="en-GB"/>
              </w:rPr>
            </w:pPr>
            <w:r>
              <w:rPr>
                <w:rFonts w:ascii="Calibri" w:hAnsi="Calibri" w:cs="Calibri"/>
                <w:bCs/>
                <w:sz w:val="22"/>
                <w:szCs w:val="22"/>
                <w:lang w:val="en-GB"/>
              </w:rPr>
              <w:t>OPV (</w:t>
            </w:r>
            <w:r w:rsidRPr="00F65762">
              <w:rPr>
                <w:rFonts w:ascii="Calibri" w:hAnsi="Calibri" w:cs="Calibri"/>
                <w:bCs/>
                <w:sz w:val="22"/>
                <w:szCs w:val="22"/>
                <w:lang w:val="en-GB"/>
              </w:rPr>
              <w:t>Oral polio</w:t>
            </w:r>
            <w:r>
              <w:rPr>
                <w:rFonts w:ascii="Calibri" w:hAnsi="Calibri" w:cs="Calibri"/>
                <w:bCs/>
                <w:sz w:val="22"/>
                <w:szCs w:val="22"/>
                <w:lang w:val="en-GB"/>
              </w:rPr>
              <w:t>)</w:t>
            </w:r>
          </w:p>
        </w:tc>
        <w:tc>
          <w:tcPr>
            <w:tcW w:w="1020" w:type="dxa"/>
            <w:vAlign w:val="center"/>
          </w:tcPr>
          <w:p w14:paraId="31A709BB"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702D1C87"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0" w:type="dxa"/>
            <w:vAlign w:val="center"/>
          </w:tcPr>
          <w:p w14:paraId="0DAC5FD5"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1" w:type="dxa"/>
            <w:vAlign w:val="center"/>
          </w:tcPr>
          <w:p w14:paraId="28E51A5D"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0" w:type="dxa"/>
            <w:vAlign w:val="center"/>
          </w:tcPr>
          <w:p w14:paraId="78312D29"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108" w:type="dxa"/>
            <w:vAlign w:val="center"/>
          </w:tcPr>
          <w:p w14:paraId="119E73C3" w14:textId="77777777" w:rsidR="00D2401A" w:rsidRPr="00F65762" w:rsidRDefault="00D2401A" w:rsidP="00636F13">
            <w:pPr>
              <w:pStyle w:val="TableText"/>
              <w:spacing w:before="0" w:after="0"/>
              <w:jc w:val="center"/>
              <w:rPr>
                <w:rFonts w:ascii="Calibri" w:hAnsi="Calibri" w:cs="Calibri"/>
                <w:sz w:val="22"/>
                <w:szCs w:val="22"/>
                <w:lang w:val="en-GB"/>
              </w:rPr>
            </w:pPr>
          </w:p>
        </w:tc>
      </w:tr>
      <w:tr w:rsidR="00D2401A" w:rsidRPr="00F65762" w14:paraId="36146B13" w14:textId="77777777" w:rsidTr="00C131ED">
        <w:trPr>
          <w:cantSplit/>
          <w:trHeight w:val="247"/>
        </w:trPr>
        <w:tc>
          <w:tcPr>
            <w:tcW w:w="2730" w:type="dxa"/>
            <w:vAlign w:val="center"/>
          </w:tcPr>
          <w:p w14:paraId="4E12CE76" w14:textId="77777777" w:rsidR="00D2401A" w:rsidRPr="00F65762" w:rsidRDefault="00D2401A" w:rsidP="00636F13">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DTP-HepB-Hib</w:t>
            </w:r>
            <w:r>
              <w:rPr>
                <w:rFonts w:ascii="Calibri" w:hAnsi="Calibri" w:cs="Calibri"/>
                <w:bCs/>
                <w:sz w:val="22"/>
                <w:szCs w:val="22"/>
                <w:lang w:val="en-GB"/>
              </w:rPr>
              <w:t xml:space="preserve"> (Penta)</w:t>
            </w:r>
          </w:p>
        </w:tc>
        <w:tc>
          <w:tcPr>
            <w:tcW w:w="1020" w:type="dxa"/>
            <w:vAlign w:val="center"/>
          </w:tcPr>
          <w:p w14:paraId="428767FF"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5FAD8763"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0" w:type="dxa"/>
            <w:vAlign w:val="center"/>
          </w:tcPr>
          <w:p w14:paraId="1F2FD46F"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1" w:type="dxa"/>
            <w:vAlign w:val="center"/>
          </w:tcPr>
          <w:p w14:paraId="08F55648"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0" w:type="dxa"/>
            <w:vAlign w:val="center"/>
          </w:tcPr>
          <w:p w14:paraId="46FBC539"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108" w:type="dxa"/>
            <w:vAlign w:val="center"/>
          </w:tcPr>
          <w:p w14:paraId="43C9F6F8" w14:textId="77777777" w:rsidR="00D2401A" w:rsidRPr="00F65762" w:rsidRDefault="00D2401A" w:rsidP="00636F13">
            <w:pPr>
              <w:pStyle w:val="TableText"/>
              <w:spacing w:before="0" w:after="0"/>
              <w:jc w:val="center"/>
              <w:rPr>
                <w:rFonts w:ascii="Calibri" w:hAnsi="Calibri" w:cs="Calibri"/>
                <w:sz w:val="22"/>
                <w:szCs w:val="22"/>
                <w:lang w:val="en-GB"/>
              </w:rPr>
            </w:pPr>
          </w:p>
        </w:tc>
      </w:tr>
      <w:tr w:rsidR="00D2401A" w:rsidRPr="00F65762" w14:paraId="3CDA8712" w14:textId="77777777" w:rsidTr="00C131ED">
        <w:trPr>
          <w:cantSplit/>
          <w:trHeight w:val="247"/>
        </w:trPr>
        <w:tc>
          <w:tcPr>
            <w:tcW w:w="2730" w:type="dxa"/>
            <w:vAlign w:val="center"/>
          </w:tcPr>
          <w:p w14:paraId="485C8FB8" w14:textId="77777777" w:rsidR="00D2401A" w:rsidRPr="00F65762" w:rsidRDefault="00D2401A" w:rsidP="00636F13">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PCV</w:t>
            </w:r>
            <w:r>
              <w:rPr>
                <w:rFonts w:ascii="Calibri" w:hAnsi="Calibri" w:cs="Calibri"/>
                <w:bCs/>
                <w:sz w:val="22"/>
                <w:szCs w:val="22"/>
                <w:lang w:val="en-GB"/>
              </w:rPr>
              <w:t xml:space="preserve"> 13 (pneumococcal)</w:t>
            </w:r>
          </w:p>
        </w:tc>
        <w:tc>
          <w:tcPr>
            <w:tcW w:w="1020" w:type="dxa"/>
            <w:vAlign w:val="center"/>
          </w:tcPr>
          <w:p w14:paraId="22025B30"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4F711601"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0" w:type="dxa"/>
            <w:vAlign w:val="center"/>
          </w:tcPr>
          <w:p w14:paraId="40660ED6"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1" w:type="dxa"/>
            <w:vAlign w:val="center"/>
          </w:tcPr>
          <w:p w14:paraId="265405DB"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020" w:type="dxa"/>
            <w:vAlign w:val="center"/>
          </w:tcPr>
          <w:p w14:paraId="00715B6F"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108" w:type="dxa"/>
            <w:vAlign w:val="center"/>
          </w:tcPr>
          <w:p w14:paraId="17CD5FA2" w14:textId="77777777" w:rsidR="00D2401A" w:rsidRPr="00F65762" w:rsidRDefault="00D2401A" w:rsidP="00636F13">
            <w:pPr>
              <w:pStyle w:val="TableText"/>
              <w:spacing w:before="0" w:after="0"/>
              <w:jc w:val="center"/>
              <w:rPr>
                <w:rFonts w:ascii="Calibri" w:hAnsi="Calibri" w:cs="Calibri"/>
                <w:sz w:val="22"/>
                <w:szCs w:val="22"/>
                <w:lang w:val="en-GB"/>
              </w:rPr>
            </w:pPr>
          </w:p>
        </w:tc>
      </w:tr>
      <w:tr w:rsidR="00D2401A" w:rsidRPr="00F65762" w14:paraId="2EEEF797" w14:textId="77777777" w:rsidTr="00456414">
        <w:trPr>
          <w:cantSplit/>
          <w:trHeight w:val="247"/>
        </w:trPr>
        <w:tc>
          <w:tcPr>
            <w:tcW w:w="2730" w:type="dxa"/>
            <w:shd w:val="clear" w:color="auto" w:fill="E5B8B7" w:themeFill="accent2" w:themeFillTint="66"/>
            <w:vAlign w:val="center"/>
          </w:tcPr>
          <w:p w14:paraId="267C8BE1" w14:textId="77777777" w:rsidR="00D2401A" w:rsidRPr="006A6176" w:rsidRDefault="00D2401A" w:rsidP="00636F13">
            <w:pPr>
              <w:pStyle w:val="TableText"/>
              <w:spacing w:before="0" w:after="0"/>
              <w:jc w:val="center"/>
              <w:rPr>
                <w:rFonts w:ascii="Calibri" w:hAnsi="Calibri" w:cs="Calibri"/>
                <w:bCs/>
                <w:sz w:val="22"/>
                <w:szCs w:val="22"/>
                <w:lang w:val="en-GB"/>
              </w:rPr>
            </w:pPr>
            <w:r w:rsidRPr="006A6176">
              <w:rPr>
                <w:rFonts w:ascii="Calibri" w:hAnsi="Calibri" w:cs="Calibri"/>
                <w:bCs/>
                <w:sz w:val="22"/>
                <w:szCs w:val="22"/>
                <w:lang w:val="en-GB"/>
              </w:rPr>
              <w:t>IPV (Inactivated polio)</w:t>
            </w:r>
          </w:p>
        </w:tc>
        <w:tc>
          <w:tcPr>
            <w:tcW w:w="1020" w:type="dxa"/>
            <w:shd w:val="clear" w:color="auto" w:fill="E5B8B7" w:themeFill="accent2" w:themeFillTint="66"/>
            <w:vAlign w:val="center"/>
          </w:tcPr>
          <w:p w14:paraId="130EF9BA" w14:textId="77777777" w:rsidR="00D2401A" w:rsidRPr="006A6176" w:rsidRDefault="00D2401A" w:rsidP="00636F13">
            <w:pPr>
              <w:pStyle w:val="TableText"/>
              <w:spacing w:before="0" w:after="0"/>
              <w:jc w:val="center"/>
              <w:rPr>
                <w:rFonts w:ascii="Calibri" w:hAnsi="Calibri" w:cs="Calibri"/>
                <w:sz w:val="22"/>
                <w:szCs w:val="22"/>
                <w:lang w:val="en-GB"/>
              </w:rPr>
            </w:pPr>
          </w:p>
        </w:tc>
        <w:tc>
          <w:tcPr>
            <w:tcW w:w="1021" w:type="dxa"/>
            <w:shd w:val="clear" w:color="auto" w:fill="E5B8B7" w:themeFill="accent2" w:themeFillTint="66"/>
            <w:vAlign w:val="center"/>
          </w:tcPr>
          <w:p w14:paraId="408F16E2" w14:textId="77777777" w:rsidR="00D2401A" w:rsidRPr="006A6176" w:rsidRDefault="00D2401A" w:rsidP="00636F13">
            <w:pPr>
              <w:pStyle w:val="TableText"/>
              <w:spacing w:before="0" w:after="0"/>
              <w:jc w:val="center"/>
              <w:rPr>
                <w:rFonts w:ascii="Calibri" w:hAnsi="Calibri" w:cs="Calibri"/>
                <w:sz w:val="22"/>
                <w:szCs w:val="22"/>
                <w:lang w:val="en-GB"/>
              </w:rPr>
            </w:pPr>
          </w:p>
        </w:tc>
        <w:tc>
          <w:tcPr>
            <w:tcW w:w="1020" w:type="dxa"/>
            <w:shd w:val="clear" w:color="auto" w:fill="E5B8B7" w:themeFill="accent2" w:themeFillTint="66"/>
            <w:vAlign w:val="center"/>
          </w:tcPr>
          <w:p w14:paraId="4C6DAC6D" w14:textId="77777777" w:rsidR="00D2401A" w:rsidRPr="006A6176" w:rsidRDefault="00D2401A" w:rsidP="00636F13">
            <w:pPr>
              <w:pStyle w:val="TableText"/>
              <w:spacing w:before="0" w:after="0"/>
              <w:jc w:val="center"/>
              <w:rPr>
                <w:rFonts w:ascii="Calibri" w:hAnsi="Calibri" w:cs="Calibri"/>
                <w:sz w:val="22"/>
                <w:szCs w:val="22"/>
                <w:lang w:val="en-GB"/>
              </w:rPr>
            </w:pPr>
          </w:p>
        </w:tc>
        <w:tc>
          <w:tcPr>
            <w:tcW w:w="1021" w:type="dxa"/>
            <w:shd w:val="clear" w:color="auto" w:fill="E5B8B7" w:themeFill="accent2" w:themeFillTint="66"/>
            <w:vAlign w:val="center"/>
          </w:tcPr>
          <w:p w14:paraId="267CA0A6" w14:textId="77777777" w:rsidR="00D2401A" w:rsidRPr="006A6176" w:rsidRDefault="00D2401A" w:rsidP="00636F13">
            <w:pPr>
              <w:pStyle w:val="TableText"/>
              <w:spacing w:before="0" w:after="0"/>
              <w:jc w:val="center"/>
              <w:rPr>
                <w:rFonts w:ascii="Calibri" w:hAnsi="Calibri" w:cs="Calibri"/>
                <w:sz w:val="22"/>
                <w:szCs w:val="22"/>
                <w:lang w:val="en-GB"/>
              </w:rPr>
            </w:pPr>
            <w:r w:rsidRPr="006A6176">
              <w:rPr>
                <w:rFonts w:ascii="Calibri" w:hAnsi="Calibri" w:cs="Calibri"/>
                <w:sz w:val="22"/>
                <w:szCs w:val="22"/>
                <w:lang w:val="en-GB"/>
              </w:rPr>
              <w:t>√</w:t>
            </w:r>
          </w:p>
        </w:tc>
        <w:tc>
          <w:tcPr>
            <w:tcW w:w="1020" w:type="dxa"/>
            <w:shd w:val="clear" w:color="auto" w:fill="E5B8B7" w:themeFill="accent2" w:themeFillTint="66"/>
            <w:vAlign w:val="center"/>
          </w:tcPr>
          <w:p w14:paraId="162BCBFC" w14:textId="77777777" w:rsidR="00D2401A" w:rsidRPr="006A6176" w:rsidRDefault="00D2401A" w:rsidP="00636F13">
            <w:pPr>
              <w:pStyle w:val="TableText"/>
              <w:spacing w:before="0" w:after="0"/>
              <w:jc w:val="center"/>
              <w:rPr>
                <w:rFonts w:ascii="Calibri" w:hAnsi="Calibri" w:cs="Calibri"/>
                <w:sz w:val="22"/>
                <w:szCs w:val="22"/>
                <w:lang w:val="en-GB"/>
              </w:rPr>
            </w:pPr>
          </w:p>
        </w:tc>
        <w:tc>
          <w:tcPr>
            <w:tcW w:w="1108" w:type="dxa"/>
            <w:shd w:val="clear" w:color="auto" w:fill="E5B8B7" w:themeFill="accent2" w:themeFillTint="66"/>
            <w:vAlign w:val="center"/>
          </w:tcPr>
          <w:p w14:paraId="293D478F" w14:textId="77777777" w:rsidR="00D2401A" w:rsidRPr="006A6176" w:rsidRDefault="00D2401A" w:rsidP="00636F13">
            <w:pPr>
              <w:pStyle w:val="TableText"/>
              <w:spacing w:before="0" w:after="0"/>
              <w:jc w:val="center"/>
              <w:rPr>
                <w:rFonts w:ascii="Calibri" w:hAnsi="Calibri" w:cs="Calibri"/>
                <w:sz w:val="22"/>
                <w:szCs w:val="22"/>
                <w:lang w:val="en-GB"/>
              </w:rPr>
            </w:pPr>
          </w:p>
        </w:tc>
      </w:tr>
      <w:tr w:rsidR="00D2401A" w:rsidRPr="00F65762" w14:paraId="1CC02CDB" w14:textId="77777777" w:rsidTr="00C131ED">
        <w:trPr>
          <w:trHeight w:val="207"/>
        </w:trPr>
        <w:tc>
          <w:tcPr>
            <w:tcW w:w="2730" w:type="dxa"/>
            <w:vAlign w:val="center"/>
          </w:tcPr>
          <w:p w14:paraId="209D3001" w14:textId="77777777" w:rsidR="00D2401A" w:rsidRPr="00F65762" w:rsidRDefault="00D2401A" w:rsidP="00636F13">
            <w:pPr>
              <w:pStyle w:val="TableText"/>
              <w:spacing w:before="0" w:after="0"/>
              <w:jc w:val="center"/>
              <w:rPr>
                <w:rFonts w:ascii="Calibri" w:hAnsi="Calibri" w:cs="Calibri"/>
                <w:bCs/>
                <w:sz w:val="22"/>
                <w:szCs w:val="22"/>
                <w:lang w:val="en-GB"/>
              </w:rPr>
            </w:pPr>
            <w:r>
              <w:rPr>
                <w:rFonts w:ascii="Calibri" w:hAnsi="Calibri" w:cs="Calibri"/>
                <w:bCs/>
                <w:sz w:val="22"/>
                <w:szCs w:val="22"/>
                <w:lang w:val="en-GB"/>
              </w:rPr>
              <w:t>MR (</w:t>
            </w:r>
            <w:r w:rsidRPr="00F65762">
              <w:rPr>
                <w:rFonts w:ascii="Calibri" w:hAnsi="Calibri" w:cs="Calibri"/>
                <w:bCs/>
                <w:sz w:val="22"/>
                <w:szCs w:val="22"/>
                <w:lang w:val="en-GB"/>
              </w:rPr>
              <w:t>Measles</w:t>
            </w:r>
            <w:r>
              <w:rPr>
                <w:rFonts w:ascii="Calibri" w:hAnsi="Calibri" w:cs="Calibri"/>
                <w:bCs/>
                <w:sz w:val="22"/>
                <w:szCs w:val="22"/>
                <w:lang w:val="en-GB"/>
              </w:rPr>
              <w:t xml:space="preserve"> and Rubella)</w:t>
            </w:r>
          </w:p>
        </w:tc>
        <w:tc>
          <w:tcPr>
            <w:tcW w:w="1020" w:type="dxa"/>
            <w:vAlign w:val="center"/>
          </w:tcPr>
          <w:p w14:paraId="4947492A"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4ECEAFF1"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6A4088AA"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48C7D2F9"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34F585E8"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08" w:type="dxa"/>
            <w:vAlign w:val="center"/>
          </w:tcPr>
          <w:p w14:paraId="4A1EDAE4"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r>
      <w:tr w:rsidR="00D2401A" w:rsidRPr="00F65762" w14:paraId="6FF6D673" w14:textId="77777777" w:rsidTr="00C131ED">
        <w:trPr>
          <w:trHeight w:val="366"/>
        </w:trPr>
        <w:tc>
          <w:tcPr>
            <w:tcW w:w="2730" w:type="dxa"/>
            <w:vAlign w:val="center"/>
          </w:tcPr>
          <w:p w14:paraId="138580BD" w14:textId="77777777" w:rsidR="00D2401A" w:rsidRPr="00F65762" w:rsidRDefault="00D2401A" w:rsidP="00636F13">
            <w:pPr>
              <w:pStyle w:val="TableText"/>
              <w:spacing w:before="0" w:after="0"/>
              <w:jc w:val="center"/>
              <w:rPr>
                <w:rFonts w:ascii="Calibri" w:hAnsi="Calibri" w:cs="Calibri"/>
                <w:bCs/>
                <w:sz w:val="22"/>
                <w:szCs w:val="22"/>
                <w:lang w:val="en-GB"/>
              </w:rPr>
            </w:pPr>
            <w:r>
              <w:rPr>
                <w:rFonts w:ascii="Calibri" w:hAnsi="Calibri" w:cs="Calibri"/>
                <w:bCs/>
                <w:sz w:val="22"/>
                <w:szCs w:val="22"/>
                <w:lang w:val="en-GB"/>
              </w:rPr>
              <w:t>Japanese Encephalitis (JE)</w:t>
            </w:r>
          </w:p>
        </w:tc>
        <w:tc>
          <w:tcPr>
            <w:tcW w:w="1020" w:type="dxa"/>
            <w:vAlign w:val="center"/>
          </w:tcPr>
          <w:p w14:paraId="03A88876"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7387DA60"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3DD187F7"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1" w:type="dxa"/>
            <w:vAlign w:val="center"/>
          </w:tcPr>
          <w:p w14:paraId="2A59E892" w14:textId="77777777" w:rsidR="00D2401A" w:rsidRPr="00F65762" w:rsidRDefault="00D2401A" w:rsidP="00636F13">
            <w:pPr>
              <w:pStyle w:val="TableText"/>
              <w:spacing w:before="0" w:after="0"/>
              <w:jc w:val="center"/>
              <w:rPr>
                <w:rFonts w:ascii="Calibri" w:hAnsi="Calibri" w:cs="Calibri"/>
                <w:sz w:val="22"/>
                <w:szCs w:val="22"/>
                <w:lang w:val="en-GB"/>
              </w:rPr>
            </w:pPr>
          </w:p>
        </w:tc>
        <w:tc>
          <w:tcPr>
            <w:tcW w:w="1020" w:type="dxa"/>
            <w:vAlign w:val="center"/>
          </w:tcPr>
          <w:p w14:paraId="563BFAB6" w14:textId="77777777" w:rsidR="00D2401A" w:rsidRPr="00F65762" w:rsidRDefault="00D2401A" w:rsidP="00636F13">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08" w:type="dxa"/>
            <w:vAlign w:val="center"/>
          </w:tcPr>
          <w:p w14:paraId="560DF181" w14:textId="77777777" w:rsidR="00D2401A" w:rsidRPr="00F65762" w:rsidRDefault="00D2401A" w:rsidP="00636F13">
            <w:pPr>
              <w:pStyle w:val="TableText"/>
              <w:spacing w:before="0" w:after="0"/>
              <w:jc w:val="center"/>
              <w:rPr>
                <w:rFonts w:ascii="Calibri" w:hAnsi="Calibri" w:cs="Calibri"/>
                <w:sz w:val="22"/>
                <w:szCs w:val="22"/>
                <w:lang w:val="en-GB"/>
              </w:rPr>
            </w:pPr>
          </w:p>
        </w:tc>
      </w:tr>
    </w:tbl>
    <w:p w14:paraId="6B8DEBE4" w14:textId="77777777" w:rsidR="007A29B6" w:rsidRDefault="007A29B6" w:rsidP="001F0D70"/>
    <w:p w14:paraId="3E9F7C3E" w14:textId="77777777" w:rsidR="00552061" w:rsidRDefault="007A29B6" w:rsidP="007A29B6">
      <w:r w:rsidRPr="00DE0378">
        <w:rPr>
          <w:b/>
        </w:rPr>
        <w:t>Note on children coming in for immunization late</w:t>
      </w:r>
      <w:r w:rsidRPr="00DE0378">
        <w:t>: In line with the Strategic Advisory Group of Experts on Immunization (SAGE) recommendation, children starting the routine immunization schedule late (coming in for the first visit at age ≥14 weeks) should receive IPV at the first immunization</w:t>
      </w:r>
      <w:r w:rsidR="00552061">
        <w:t xml:space="preserve"> contact.</w:t>
      </w:r>
    </w:p>
    <w:p w14:paraId="076E3E74" w14:textId="77777777" w:rsidR="00552061" w:rsidRDefault="00552061" w:rsidP="007A29B6"/>
    <w:p w14:paraId="2B5E9925" w14:textId="77777777" w:rsidR="007A29B6" w:rsidRDefault="00552061" w:rsidP="007A29B6">
      <w:r>
        <w:t>E</w:t>
      </w:r>
      <w:r w:rsidR="007A29B6" w:rsidRPr="00DE0378">
        <w:t>xample schedule of a child coming in for immunization late:</w:t>
      </w:r>
    </w:p>
    <w:tbl>
      <w:tblPr>
        <w:tblW w:w="868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6"/>
        <w:gridCol w:w="1189"/>
        <w:gridCol w:w="1190"/>
        <w:gridCol w:w="1189"/>
        <w:gridCol w:w="1189"/>
        <w:gridCol w:w="1189"/>
      </w:tblGrid>
      <w:tr w:rsidR="00D67807" w:rsidRPr="006A6176" w14:paraId="56FD5EFE" w14:textId="77777777" w:rsidTr="00117B7F">
        <w:trPr>
          <w:trHeight w:val="53"/>
        </w:trPr>
        <w:tc>
          <w:tcPr>
            <w:tcW w:w="2736" w:type="dxa"/>
            <w:vMerge w:val="restart"/>
            <w:shd w:val="clear" w:color="auto" w:fill="C0504D" w:themeFill="accent2"/>
            <w:vAlign w:val="center"/>
          </w:tcPr>
          <w:p w14:paraId="6725F256" w14:textId="77777777" w:rsidR="00D67807" w:rsidRPr="006A6176" w:rsidRDefault="00D67807" w:rsidP="00AD1A16">
            <w:pPr>
              <w:pStyle w:val="TableTitle"/>
              <w:spacing w:before="0" w:after="0"/>
              <w:ind w:hanging="120"/>
              <w:rPr>
                <w:rFonts w:ascii="Calibri" w:hAnsi="Calibri" w:cs="Calibri"/>
                <w:b w:val="0"/>
                <w:color w:val="FFFFFF" w:themeColor="background1"/>
                <w:sz w:val="22"/>
                <w:szCs w:val="22"/>
              </w:rPr>
            </w:pPr>
            <w:r w:rsidRPr="006A6176">
              <w:rPr>
                <w:rFonts w:ascii="Calibri" w:hAnsi="Calibri" w:cs="Calibri"/>
                <w:b w:val="0"/>
                <w:color w:val="FFFFFF" w:themeColor="background1"/>
                <w:sz w:val="24"/>
                <w:szCs w:val="24"/>
              </w:rPr>
              <w:t>Vaccine</w:t>
            </w:r>
          </w:p>
        </w:tc>
        <w:tc>
          <w:tcPr>
            <w:tcW w:w="5946" w:type="dxa"/>
            <w:gridSpan w:val="5"/>
            <w:shd w:val="clear" w:color="auto" w:fill="C0504D" w:themeFill="accent2"/>
          </w:tcPr>
          <w:p w14:paraId="35CEBB8A" w14:textId="77777777" w:rsidR="00D67807" w:rsidRPr="006A6176" w:rsidRDefault="00D67807" w:rsidP="00AD1A16">
            <w:pPr>
              <w:pStyle w:val="TableTitle"/>
              <w:spacing w:before="0" w:after="0"/>
              <w:ind w:hanging="120"/>
              <w:rPr>
                <w:rFonts w:ascii="Calibri" w:hAnsi="Calibri" w:cs="Calibri"/>
                <w:b w:val="0"/>
                <w:color w:val="FFFFFF" w:themeColor="background1"/>
                <w:sz w:val="24"/>
                <w:szCs w:val="24"/>
              </w:rPr>
            </w:pPr>
            <w:r w:rsidRPr="006A6176">
              <w:rPr>
                <w:rFonts w:ascii="Calibri" w:hAnsi="Calibri" w:cs="Calibri"/>
                <w:b w:val="0"/>
                <w:color w:val="FFFFFF" w:themeColor="background1"/>
                <w:sz w:val="24"/>
                <w:szCs w:val="24"/>
              </w:rPr>
              <w:t>Age</w:t>
            </w:r>
          </w:p>
        </w:tc>
      </w:tr>
      <w:tr w:rsidR="00D67807" w:rsidRPr="006A6176" w14:paraId="3E599F70" w14:textId="77777777" w:rsidTr="00117B7F">
        <w:trPr>
          <w:trHeight w:val="245"/>
        </w:trPr>
        <w:tc>
          <w:tcPr>
            <w:tcW w:w="2736" w:type="dxa"/>
            <w:vMerge/>
            <w:shd w:val="clear" w:color="auto" w:fill="C0504D" w:themeFill="accent2"/>
            <w:vAlign w:val="center"/>
          </w:tcPr>
          <w:p w14:paraId="51322983" w14:textId="77777777" w:rsidR="00D67807" w:rsidRPr="006A6176" w:rsidRDefault="00D67807" w:rsidP="00AD1A16">
            <w:pPr>
              <w:pStyle w:val="TableTitle"/>
              <w:spacing w:before="0" w:after="0"/>
              <w:ind w:left="-108"/>
              <w:rPr>
                <w:rFonts w:ascii="Calibri" w:hAnsi="Calibri" w:cs="Calibri"/>
                <w:b w:val="0"/>
                <w:color w:val="FFFFFF" w:themeColor="background1"/>
                <w:sz w:val="22"/>
                <w:szCs w:val="22"/>
              </w:rPr>
            </w:pPr>
          </w:p>
        </w:tc>
        <w:tc>
          <w:tcPr>
            <w:tcW w:w="1189" w:type="dxa"/>
            <w:shd w:val="clear" w:color="auto" w:fill="C0504D" w:themeFill="accent2"/>
            <w:vAlign w:val="center"/>
          </w:tcPr>
          <w:p w14:paraId="0C6F6E5E" w14:textId="77777777" w:rsidR="00D67807" w:rsidRPr="006A6176" w:rsidRDefault="00D67807" w:rsidP="00AD1A16">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At birth</w:t>
            </w:r>
          </w:p>
        </w:tc>
        <w:tc>
          <w:tcPr>
            <w:tcW w:w="1190" w:type="dxa"/>
            <w:shd w:val="clear" w:color="auto" w:fill="C0504D" w:themeFill="accent2"/>
            <w:vAlign w:val="center"/>
          </w:tcPr>
          <w:p w14:paraId="29E9D594" w14:textId="77777777" w:rsidR="00D67807" w:rsidRPr="006A6176" w:rsidRDefault="00D67807" w:rsidP="00AD1A16">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6 weeks</w:t>
            </w:r>
          </w:p>
        </w:tc>
        <w:tc>
          <w:tcPr>
            <w:tcW w:w="1189" w:type="dxa"/>
            <w:shd w:val="clear" w:color="auto" w:fill="C0504D" w:themeFill="accent2"/>
            <w:vAlign w:val="center"/>
          </w:tcPr>
          <w:p w14:paraId="0AB368E8" w14:textId="77777777" w:rsidR="00D67807" w:rsidRPr="006A6176" w:rsidRDefault="00D67807" w:rsidP="00AD1A16">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10 weeks</w:t>
            </w:r>
          </w:p>
        </w:tc>
        <w:tc>
          <w:tcPr>
            <w:tcW w:w="1189" w:type="dxa"/>
            <w:shd w:val="clear" w:color="auto" w:fill="C0504D" w:themeFill="accent2"/>
            <w:vAlign w:val="center"/>
          </w:tcPr>
          <w:p w14:paraId="1FCC5377" w14:textId="77777777" w:rsidR="00D67807" w:rsidRPr="006A6176" w:rsidRDefault="00D67807" w:rsidP="00AD1A16">
            <w:pPr>
              <w:pStyle w:val="TableTitle"/>
              <w:spacing w:before="0" w:after="0"/>
              <w:ind w:left="-108"/>
              <w:rPr>
                <w:rFonts w:ascii="Calibri" w:hAnsi="Calibri" w:cs="Calibri"/>
                <w:b w:val="0"/>
                <w:color w:val="FFFFFF" w:themeColor="background1"/>
                <w:sz w:val="22"/>
                <w:szCs w:val="22"/>
              </w:rPr>
            </w:pPr>
            <w:r w:rsidRPr="006A6176">
              <w:rPr>
                <w:rFonts w:ascii="Calibri" w:hAnsi="Calibri" w:cs="Calibri"/>
                <w:b w:val="0"/>
                <w:color w:val="FFFFFF" w:themeColor="background1"/>
                <w:sz w:val="22"/>
                <w:szCs w:val="22"/>
              </w:rPr>
              <w:t>14 weeks</w:t>
            </w:r>
          </w:p>
        </w:tc>
        <w:tc>
          <w:tcPr>
            <w:tcW w:w="1189" w:type="dxa"/>
            <w:shd w:val="clear" w:color="auto" w:fill="C0504D" w:themeFill="accent2"/>
          </w:tcPr>
          <w:p w14:paraId="7CAAC522" w14:textId="77777777" w:rsidR="00D67807" w:rsidRPr="006A6176" w:rsidRDefault="00D67807" w:rsidP="00AD1A16">
            <w:pPr>
              <w:pStyle w:val="TableTitle"/>
              <w:spacing w:before="0" w:after="0"/>
              <w:ind w:left="-108"/>
              <w:rPr>
                <w:rFonts w:ascii="Calibri" w:hAnsi="Calibri" w:cs="Calibri"/>
                <w:b w:val="0"/>
                <w:color w:val="FFFFFF" w:themeColor="background1"/>
                <w:sz w:val="22"/>
                <w:szCs w:val="22"/>
              </w:rPr>
            </w:pPr>
            <w:r>
              <w:rPr>
                <w:rFonts w:ascii="Calibri" w:hAnsi="Calibri" w:cs="Calibri"/>
                <w:b w:val="0"/>
                <w:color w:val="FFFFFF" w:themeColor="background1"/>
                <w:sz w:val="22"/>
                <w:szCs w:val="22"/>
              </w:rPr>
              <w:t>5 months</w:t>
            </w:r>
          </w:p>
        </w:tc>
      </w:tr>
      <w:tr w:rsidR="00D67807" w:rsidRPr="00F65762" w14:paraId="1259B770" w14:textId="77777777" w:rsidTr="00D67807">
        <w:trPr>
          <w:trHeight w:val="251"/>
        </w:trPr>
        <w:tc>
          <w:tcPr>
            <w:tcW w:w="2736" w:type="dxa"/>
            <w:vAlign w:val="center"/>
          </w:tcPr>
          <w:p w14:paraId="0F466FB8" w14:textId="77777777" w:rsidR="00D67807" w:rsidRPr="00F65762" w:rsidRDefault="00D67807" w:rsidP="00AD1A16">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BCG</w:t>
            </w:r>
          </w:p>
        </w:tc>
        <w:tc>
          <w:tcPr>
            <w:tcW w:w="1189" w:type="dxa"/>
            <w:vAlign w:val="center"/>
          </w:tcPr>
          <w:p w14:paraId="1C38AC21" w14:textId="77777777" w:rsidR="00D67807" w:rsidRPr="00F65762" w:rsidRDefault="00D67807" w:rsidP="00AD1A16">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90" w:type="dxa"/>
            <w:vAlign w:val="center"/>
          </w:tcPr>
          <w:p w14:paraId="45303000"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vAlign w:val="center"/>
          </w:tcPr>
          <w:p w14:paraId="64AE4AD0"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vAlign w:val="center"/>
          </w:tcPr>
          <w:p w14:paraId="0D78ED19"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tcPr>
          <w:p w14:paraId="732CA242" w14:textId="77777777" w:rsidR="00D67807" w:rsidRPr="00F65762" w:rsidRDefault="00D67807" w:rsidP="00AD1A16">
            <w:pPr>
              <w:pStyle w:val="TableText"/>
              <w:spacing w:before="0" w:after="0"/>
              <w:jc w:val="center"/>
              <w:rPr>
                <w:rFonts w:ascii="Calibri" w:hAnsi="Calibri" w:cs="Calibri"/>
                <w:sz w:val="22"/>
                <w:szCs w:val="22"/>
                <w:lang w:val="en-GB"/>
              </w:rPr>
            </w:pPr>
          </w:p>
        </w:tc>
      </w:tr>
      <w:tr w:rsidR="00D67807" w:rsidRPr="00F65762" w14:paraId="761BC208" w14:textId="77777777" w:rsidTr="00D67807">
        <w:trPr>
          <w:trHeight w:val="215"/>
        </w:trPr>
        <w:tc>
          <w:tcPr>
            <w:tcW w:w="2736" w:type="dxa"/>
            <w:vAlign w:val="center"/>
          </w:tcPr>
          <w:p w14:paraId="16DF081A" w14:textId="302C462D" w:rsidR="00D67807" w:rsidRPr="00F65762" w:rsidRDefault="00D67807" w:rsidP="00011EDA">
            <w:pPr>
              <w:pStyle w:val="TableText"/>
              <w:spacing w:before="0" w:after="0"/>
              <w:jc w:val="center"/>
              <w:rPr>
                <w:rFonts w:ascii="Calibri" w:hAnsi="Calibri" w:cs="Khmer UI"/>
                <w:bCs/>
                <w:sz w:val="22"/>
                <w:szCs w:val="36"/>
                <w:lang w:bidi="km-KH"/>
              </w:rPr>
            </w:pPr>
            <w:r w:rsidRPr="00F65762">
              <w:rPr>
                <w:rFonts w:ascii="Calibri" w:hAnsi="Calibri" w:cs="Calibri"/>
                <w:bCs/>
                <w:sz w:val="22"/>
                <w:szCs w:val="22"/>
                <w:lang w:val="en-GB"/>
              </w:rPr>
              <w:t>Hep</w:t>
            </w:r>
            <w:r w:rsidR="004D5DCE">
              <w:rPr>
                <w:rFonts w:ascii="Calibri" w:hAnsi="Calibri" w:cs="Calibri"/>
                <w:bCs/>
                <w:sz w:val="22"/>
                <w:szCs w:val="22"/>
                <w:lang w:val="en-GB"/>
              </w:rPr>
              <w:t>-</w:t>
            </w:r>
            <w:r w:rsidRPr="00F65762">
              <w:rPr>
                <w:rFonts w:ascii="Calibri" w:hAnsi="Calibri" w:cs="Calibri"/>
                <w:bCs/>
                <w:sz w:val="22"/>
                <w:szCs w:val="22"/>
                <w:lang w:val="en-GB"/>
              </w:rPr>
              <w:t>B</w:t>
            </w:r>
            <w:r w:rsidR="004D5DCE">
              <w:rPr>
                <w:rFonts w:ascii="Calibri" w:hAnsi="Calibri" w:cs="Calibri"/>
                <w:bCs/>
                <w:sz w:val="22"/>
                <w:szCs w:val="22"/>
                <w:lang w:val="en-GB"/>
              </w:rPr>
              <w:t xml:space="preserve"> </w:t>
            </w:r>
            <w:r w:rsidR="00011EDA">
              <w:rPr>
                <w:rFonts w:ascii="Calibri" w:hAnsi="Calibri" w:cs="Calibri"/>
                <w:bCs/>
                <w:sz w:val="22"/>
                <w:szCs w:val="22"/>
                <w:lang w:val="en-GB"/>
              </w:rPr>
              <w:t>b</w:t>
            </w:r>
            <w:r w:rsidR="004D5DCE">
              <w:rPr>
                <w:rFonts w:ascii="Calibri" w:hAnsi="Calibri" w:cs="Calibri"/>
                <w:bCs/>
                <w:sz w:val="22"/>
                <w:szCs w:val="22"/>
                <w:lang w:val="en-GB"/>
              </w:rPr>
              <w:t>irth dose</w:t>
            </w:r>
          </w:p>
        </w:tc>
        <w:tc>
          <w:tcPr>
            <w:tcW w:w="1189" w:type="dxa"/>
            <w:vAlign w:val="center"/>
          </w:tcPr>
          <w:p w14:paraId="05467AB5" w14:textId="77777777" w:rsidR="00D67807" w:rsidRPr="00F65762" w:rsidRDefault="00D67807" w:rsidP="00AD1A16">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90" w:type="dxa"/>
            <w:vAlign w:val="center"/>
          </w:tcPr>
          <w:p w14:paraId="7BDE1A23"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vAlign w:val="center"/>
          </w:tcPr>
          <w:p w14:paraId="129DAD40"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vAlign w:val="center"/>
          </w:tcPr>
          <w:p w14:paraId="460C1F88"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tcPr>
          <w:p w14:paraId="5A226F7C" w14:textId="77777777" w:rsidR="00D67807" w:rsidRPr="00F65762" w:rsidRDefault="00D67807" w:rsidP="00AD1A16">
            <w:pPr>
              <w:pStyle w:val="TableText"/>
              <w:spacing w:before="0" w:after="0"/>
              <w:jc w:val="center"/>
              <w:rPr>
                <w:rFonts w:ascii="Calibri" w:hAnsi="Calibri" w:cs="Calibri"/>
                <w:sz w:val="22"/>
                <w:szCs w:val="22"/>
                <w:lang w:val="en-GB"/>
              </w:rPr>
            </w:pPr>
          </w:p>
        </w:tc>
      </w:tr>
      <w:tr w:rsidR="00D67807" w:rsidRPr="00F65762" w14:paraId="7DAB7BDF" w14:textId="77777777" w:rsidTr="00D67807">
        <w:trPr>
          <w:trHeight w:val="215"/>
        </w:trPr>
        <w:tc>
          <w:tcPr>
            <w:tcW w:w="2736" w:type="dxa"/>
            <w:vAlign w:val="center"/>
          </w:tcPr>
          <w:p w14:paraId="21EFB2E1" w14:textId="77777777" w:rsidR="00D67807" w:rsidRPr="00F65762" w:rsidRDefault="00D67807" w:rsidP="00AD1A16">
            <w:pPr>
              <w:pStyle w:val="TableText"/>
              <w:spacing w:before="0" w:after="0"/>
              <w:jc w:val="center"/>
              <w:rPr>
                <w:rFonts w:ascii="Calibri" w:hAnsi="Calibri" w:cs="Calibri"/>
                <w:bCs/>
                <w:sz w:val="22"/>
                <w:szCs w:val="22"/>
                <w:lang w:val="en-GB"/>
              </w:rPr>
            </w:pPr>
            <w:r>
              <w:rPr>
                <w:rFonts w:ascii="Calibri" w:hAnsi="Calibri" w:cs="Calibri"/>
                <w:bCs/>
                <w:sz w:val="22"/>
                <w:szCs w:val="22"/>
                <w:lang w:val="en-GB"/>
              </w:rPr>
              <w:t>OPV</w:t>
            </w:r>
          </w:p>
        </w:tc>
        <w:tc>
          <w:tcPr>
            <w:tcW w:w="1189" w:type="dxa"/>
            <w:vAlign w:val="center"/>
          </w:tcPr>
          <w:p w14:paraId="03AE32E4"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90" w:type="dxa"/>
            <w:vAlign w:val="center"/>
          </w:tcPr>
          <w:p w14:paraId="4CE2FD70" w14:textId="77777777" w:rsidR="00D67807" w:rsidRPr="00F65762" w:rsidRDefault="00D67807" w:rsidP="00AD1A16">
            <w:pPr>
              <w:pStyle w:val="TableText"/>
              <w:spacing w:before="0" w:after="0"/>
              <w:jc w:val="center"/>
              <w:rPr>
                <w:rFonts w:ascii="Calibri" w:hAnsi="Calibri" w:cs="Calibri"/>
                <w:sz w:val="22"/>
                <w:szCs w:val="22"/>
                <w:lang w:val="en-GB"/>
              </w:rPr>
            </w:pPr>
            <w:r>
              <w:rPr>
                <w:rFonts w:ascii="Calibri" w:hAnsi="Calibri" w:cs="Calibri"/>
                <w:sz w:val="22"/>
                <w:szCs w:val="22"/>
                <w:lang w:val="en-GB"/>
              </w:rPr>
              <w:t>missed</w:t>
            </w:r>
          </w:p>
        </w:tc>
        <w:tc>
          <w:tcPr>
            <w:tcW w:w="1189" w:type="dxa"/>
            <w:vAlign w:val="center"/>
          </w:tcPr>
          <w:p w14:paraId="3B219CC3"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vAlign w:val="center"/>
          </w:tcPr>
          <w:p w14:paraId="1387ADF9"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vAlign w:val="center"/>
          </w:tcPr>
          <w:p w14:paraId="5729E7B9" w14:textId="77777777" w:rsidR="00D67807" w:rsidRPr="00F65762" w:rsidRDefault="00D67807" w:rsidP="00AD1A16">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r>
      <w:tr w:rsidR="00D67807" w:rsidRPr="00F65762" w14:paraId="4E86E487" w14:textId="77777777" w:rsidTr="00D67807">
        <w:trPr>
          <w:cantSplit/>
          <w:trHeight w:val="228"/>
        </w:trPr>
        <w:tc>
          <w:tcPr>
            <w:tcW w:w="2736" w:type="dxa"/>
            <w:vAlign w:val="center"/>
          </w:tcPr>
          <w:p w14:paraId="36BC07C8" w14:textId="77777777" w:rsidR="00D67807" w:rsidRPr="00F65762" w:rsidRDefault="00D67807" w:rsidP="00AD1A16">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DTP-HepB-Hib</w:t>
            </w:r>
            <w:r>
              <w:rPr>
                <w:rFonts w:ascii="Calibri" w:hAnsi="Calibri" w:cs="Calibri"/>
                <w:bCs/>
                <w:sz w:val="22"/>
                <w:szCs w:val="22"/>
                <w:lang w:val="en-GB"/>
              </w:rPr>
              <w:t xml:space="preserve"> (Penta)</w:t>
            </w:r>
          </w:p>
        </w:tc>
        <w:tc>
          <w:tcPr>
            <w:tcW w:w="1189" w:type="dxa"/>
            <w:vAlign w:val="center"/>
          </w:tcPr>
          <w:p w14:paraId="6683618A"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90" w:type="dxa"/>
            <w:vAlign w:val="center"/>
          </w:tcPr>
          <w:p w14:paraId="5941DBD3" w14:textId="77777777" w:rsidR="00D67807" w:rsidRPr="00F65762" w:rsidRDefault="00D67807" w:rsidP="00AD1A16">
            <w:pPr>
              <w:pStyle w:val="TableText"/>
              <w:spacing w:before="0" w:after="0"/>
              <w:jc w:val="center"/>
              <w:rPr>
                <w:rFonts w:ascii="Calibri" w:hAnsi="Calibri" w:cs="Calibri"/>
                <w:sz w:val="22"/>
                <w:szCs w:val="22"/>
                <w:lang w:val="en-GB"/>
              </w:rPr>
            </w:pPr>
            <w:r>
              <w:rPr>
                <w:rFonts w:ascii="Calibri" w:hAnsi="Calibri" w:cs="Calibri"/>
                <w:sz w:val="22"/>
                <w:szCs w:val="22"/>
                <w:lang w:val="en-GB"/>
              </w:rPr>
              <w:t>missed</w:t>
            </w:r>
          </w:p>
        </w:tc>
        <w:tc>
          <w:tcPr>
            <w:tcW w:w="1189" w:type="dxa"/>
            <w:vAlign w:val="center"/>
          </w:tcPr>
          <w:p w14:paraId="4E9B0EAF"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vAlign w:val="center"/>
          </w:tcPr>
          <w:p w14:paraId="2D8F3208"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vAlign w:val="center"/>
          </w:tcPr>
          <w:p w14:paraId="697F2A4E" w14:textId="77777777" w:rsidR="00D67807" w:rsidRPr="00F65762" w:rsidRDefault="00D67807" w:rsidP="00AD1A16">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r>
      <w:tr w:rsidR="00D67807" w:rsidRPr="00F65762" w14:paraId="7A67581A" w14:textId="77777777" w:rsidTr="00D67807">
        <w:trPr>
          <w:cantSplit/>
          <w:trHeight w:val="228"/>
        </w:trPr>
        <w:tc>
          <w:tcPr>
            <w:tcW w:w="2736" w:type="dxa"/>
            <w:vAlign w:val="center"/>
          </w:tcPr>
          <w:p w14:paraId="27F9E1FE" w14:textId="77777777" w:rsidR="00D67807" w:rsidRPr="00F65762" w:rsidRDefault="00D67807" w:rsidP="00AD1A16">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PCV</w:t>
            </w:r>
            <w:r>
              <w:rPr>
                <w:rFonts w:ascii="Calibri" w:hAnsi="Calibri" w:cs="Calibri"/>
                <w:bCs/>
                <w:sz w:val="22"/>
                <w:szCs w:val="22"/>
                <w:lang w:val="en-GB"/>
              </w:rPr>
              <w:t xml:space="preserve"> 13 </w:t>
            </w:r>
          </w:p>
        </w:tc>
        <w:tc>
          <w:tcPr>
            <w:tcW w:w="1189" w:type="dxa"/>
            <w:vAlign w:val="center"/>
          </w:tcPr>
          <w:p w14:paraId="385F83AC"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90" w:type="dxa"/>
            <w:vAlign w:val="center"/>
          </w:tcPr>
          <w:p w14:paraId="434B3261" w14:textId="77777777" w:rsidR="00D67807" w:rsidRPr="00F65762" w:rsidRDefault="00D67807" w:rsidP="00AD1A16">
            <w:pPr>
              <w:pStyle w:val="TableText"/>
              <w:spacing w:before="0" w:after="0"/>
              <w:jc w:val="center"/>
              <w:rPr>
                <w:rFonts w:ascii="Calibri" w:hAnsi="Calibri" w:cs="Calibri"/>
                <w:sz w:val="22"/>
                <w:szCs w:val="22"/>
                <w:lang w:val="en-GB"/>
              </w:rPr>
            </w:pPr>
            <w:r>
              <w:rPr>
                <w:rFonts w:ascii="Calibri" w:hAnsi="Calibri" w:cs="Calibri"/>
                <w:sz w:val="22"/>
                <w:szCs w:val="22"/>
                <w:lang w:val="en-GB"/>
              </w:rPr>
              <w:t>missed</w:t>
            </w:r>
          </w:p>
        </w:tc>
        <w:tc>
          <w:tcPr>
            <w:tcW w:w="1189" w:type="dxa"/>
            <w:vAlign w:val="center"/>
          </w:tcPr>
          <w:p w14:paraId="36D8855C"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vAlign w:val="center"/>
          </w:tcPr>
          <w:p w14:paraId="2B80F742"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vAlign w:val="center"/>
          </w:tcPr>
          <w:p w14:paraId="0D9A7AD8" w14:textId="77777777" w:rsidR="00D67807" w:rsidRPr="00F65762" w:rsidRDefault="00D67807" w:rsidP="00AD1A16">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r>
      <w:tr w:rsidR="00D67807" w:rsidRPr="00F65762" w14:paraId="720750D7" w14:textId="77777777" w:rsidTr="00117B7F">
        <w:trPr>
          <w:cantSplit/>
          <w:trHeight w:val="228"/>
        </w:trPr>
        <w:tc>
          <w:tcPr>
            <w:tcW w:w="2736" w:type="dxa"/>
            <w:shd w:val="clear" w:color="auto" w:fill="E5B8B7" w:themeFill="accent2" w:themeFillTint="66"/>
            <w:vAlign w:val="center"/>
          </w:tcPr>
          <w:p w14:paraId="69ABE104" w14:textId="77777777" w:rsidR="00D67807" w:rsidRPr="00F65762" w:rsidRDefault="00D67807" w:rsidP="00AD1A16">
            <w:pPr>
              <w:pStyle w:val="TableText"/>
              <w:spacing w:before="0" w:after="0"/>
              <w:jc w:val="center"/>
              <w:rPr>
                <w:rFonts w:ascii="Calibri" w:hAnsi="Calibri" w:cs="Calibri"/>
                <w:bCs/>
                <w:sz w:val="22"/>
                <w:szCs w:val="22"/>
                <w:lang w:val="en-GB"/>
              </w:rPr>
            </w:pPr>
            <w:r w:rsidRPr="00F65762">
              <w:rPr>
                <w:rFonts w:ascii="Calibri" w:hAnsi="Calibri" w:cs="Calibri"/>
                <w:bCs/>
                <w:sz w:val="22"/>
                <w:szCs w:val="22"/>
                <w:lang w:val="en-GB"/>
              </w:rPr>
              <w:t>IPV</w:t>
            </w:r>
          </w:p>
        </w:tc>
        <w:tc>
          <w:tcPr>
            <w:tcW w:w="1189" w:type="dxa"/>
            <w:shd w:val="clear" w:color="auto" w:fill="E5B8B7" w:themeFill="accent2" w:themeFillTint="66"/>
            <w:vAlign w:val="center"/>
          </w:tcPr>
          <w:p w14:paraId="01E45529"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90" w:type="dxa"/>
            <w:shd w:val="clear" w:color="auto" w:fill="E5B8B7" w:themeFill="accent2" w:themeFillTint="66"/>
            <w:vAlign w:val="center"/>
          </w:tcPr>
          <w:p w14:paraId="2FA3BF4A" w14:textId="77777777" w:rsidR="00D67807" w:rsidRPr="00F65762" w:rsidRDefault="00D67807" w:rsidP="00AD1A16">
            <w:pPr>
              <w:pStyle w:val="TableText"/>
              <w:spacing w:before="0" w:after="0"/>
              <w:jc w:val="center"/>
              <w:rPr>
                <w:rFonts w:ascii="Calibri" w:hAnsi="Calibri" w:cs="Calibri"/>
                <w:sz w:val="22"/>
                <w:szCs w:val="22"/>
                <w:lang w:val="en-GB"/>
              </w:rPr>
            </w:pPr>
          </w:p>
        </w:tc>
        <w:tc>
          <w:tcPr>
            <w:tcW w:w="1189" w:type="dxa"/>
            <w:shd w:val="clear" w:color="auto" w:fill="E5B8B7" w:themeFill="accent2" w:themeFillTint="66"/>
            <w:vAlign w:val="center"/>
          </w:tcPr>
          <w:p w14:paraId="37EE58F8" w14:textId="77777777" w:rsidR="00D67807" w:rsidRPr="00F65762" w:rsidRDefault="00D67807" w:rsidP="00821AB1">
            <w:pPr>
              <w:pStyle w:val="TableText"/>
              <w:spacing w:before="0" w:after="0"/>
              <w:jc w:val="center"/>
              <w:rPr>
                <w:rFonts w:ascii="Calibri" w:hAnsi="Calibri" w:cs="Calibri"/>
                <w:sz w:val="22"/>
                <w:szCs w:val="22"/>
                <w:lang w:val="en-GB"/>
              </w:rPr>
            </w:pPr>
          </w:p>
        </w:tc>
        <w:tc>
          <w:tcPr>
            <w:tcW w:w="1189" w:type="dxa"/>
            <w:shd w:val="clear" w:color="auto" w:fill="E5B8B7" w:themeFill="accent2" w:themeFillTint="66"/>
            <w:vAlign w:val="center"/>
          </w:tcPr>
          <w:p w14:paraId="4DD7FFD4" w14:textId="77777777" w:rsidR="00D67807" w:rsidRPr="00F65762" w:rsidRDefault="00D67807" w:rsidP="00821AB1">
            <w:pPr>
              <w:pStyle w:val="TableText"/>
              <w:spacing w:before="0" w:after="0"/>
              <w:jc w:val="center"/>
              <w:rPr>
                <w:rFonts w:ascii="Calibri" w:hAnsi="Calibri" w:cs="Calibri"/>
                <w:sz w:val="22"/>
                <w:szCs w:val="22"/>
                <w:lang w:val="en-GB"/>
              </w:rPr>
            </w:pPr>
            <w:r w:rsidRPr="00F65762">
              <w:rPr>
                <w:rFonts w:ascii="Calibri" w:hAnsi="Calibri" w:cs="Calibri"/>
                <w:sz w:val="22"/>
                <w:szCs w:val="22"/>
                <w:lang w:val="en-GB"/>
              </w:rPr>
              <w:t>√</w:t>
            </w:r>
          </w:p>
        </w:tc>
        <w:tc>
          <w:tcPr>
            <w:tcW w:w="1189" w:type="dxa"/>
            <w:shd w:val="clear" w:color="auto" w:fill="E5B8B7" w:themeFill="accent2" w:themeFillTint="66"/>
            <w:vAlign w:val="center"/>
          </w:tcPr>
          <w:p w14:paraId="727E4AC5" w14:textId="77777777" w:rsidR="00D67807" w:rsidRPr="00F65762" w:rsidRDefault="00D67807" w:rsidP="00AD1A16">
            <w:pPr>
              <w:pStyle w:val="TableText"/>
              <w:spacing w:before="0" w:after="0"/>
              <w:jc w:val="center"/>
              <w:rPr>
                <w:rFonts w:ascii="Calibri" w:hAnsi="Calibri" w:cs="Calibri"/>
                <w:sz w:val="22"/>
                <w:szCs w:val="22"/>
                <w:lang w:val="en-GB"/>
              </w:rPr>
            </w:pPr>
          </w:p>
        </w:tc>
      </w:tr>
    </w:tbl>
    <w:p w14:paraId="1DB529E4" w14:textId="77777777" w:rsidR="007A29B6" w:rsidRPr="001F0D70" w:rsidRDefault="007A29B6" w:rsidP="007A29B6"/>
    <w:p w14:paraId="4A14C4F4" w14:textId="77777777" w:rsidR="007A29B6" w:rsidRDefault="006C2A40" w:rsidP="007A29B6">
      <w:r>
        <w:t>In</w:t>
      </w:r>
      <w:r w:rsidR="0022143C">
        <w:t xml:space="preserve"> </w:t>
      </w:r>
      <w:r w:rsidR="00694E9E">
        <w:t>alignment</w:t>
      </w:r>
      <w:r w:rsidR="0022143C">
        <w:t xml:space="preserve"> with the n</w:t>
      </w:r>
      <w:r w:rsidR="00012E9B">
        <w:t>ational Policy on immunization</w:t>
      </w:r>
      <w:r w:rsidR="007A29B6" w:rsidRPr="00DE0378">
        <w:t>, IPV should be given by the first birthday, but if a child over one year is not fully immunized, doses may be given up to the second birthday.</w:t>
      </w:r>
      <w:r w:rsidR="007A29B6">
        <w:t xml:space="preserve"> </w:t>
      </w:r>
    </w:p>
    <w:p w14:paraId="19D4962A" w14:textId="77777777" w:rsidR="006C2A40" w:rsidRDefault="006C2A40" w:rsidP="001F0D70"/>
    <w:p w14:paraId="0501CA87" w14:textId="77777777" w:rsidR="00BF325F" w:rsidRDefault="00841DA9" w:rsidP="001F0D70">
      <w:r w:rsidRPr="00DE0378">
        <w:rPr>
          <w:b/>
        </w:rPr>
        <w:t>Route of administration and i</w:t>
      </w:r>
      <w:r w:rsidR="00234243" w:rsidRPr="00DE0378">
        <w:rPr>
          <w:b/>
        </w:rPr>
        <w:t xml:space="preserve">njection </w:t>
      </w:r>
      <w:r w:rsidR="001834DF" w:rsidRPr="00DE0378">
        <w:rPr>
          <w:b/>
        </w:rPr>
        <w:t>s</w:t>
      </w:r>
      <w:r w:rsidR="00234243" w:rsidRPr="00DE0378">
        <w:rPr>
          <w:b/>
        </w:rPr>
        <w:t>ite</w:t>
      </w:r>
      <w:r w:rsidR="00234243" w:rsidRPr="00DE0378">
        <w:t>:</w:t>
      </w:r>
      <w:r w:rsidR="00A64D12" w:rsidRPr="00DE0378">
        <w:t xml:space="preserve"> IPV is licensed for use as a 0.5 ml dose administered intramuscularly.</w:t>
      </w:r>
      <w:r w:rsidR="00234243" w:rsidRPr="00DE0378">
        <w:t xml:space="preserve"> </w:t>
      </w:r>
      <w:r w:rsidR="007D5264" w:rsidRPr="00DE0378">
        <w:t xml:space="preserve">After the introduction of </w:t>
      </w:r>
      <w:r w:rsidR="00A64D12" w:rsidRPr="00DE0378">
        <w:t xml:space="preserve">PCV and </w:t>
      </w:r>
      <w:r w:rsidR="007D5264" w:rsidRPr="00DE0378">
        <w:t>IPV into the routine infant immunization schedule</w:t>
      </w:r>
      <w:r w:rsidR="00A64D12" w:rsidRPr="00DE0378">
        <w:t xml:space="preserve"> in 2015</w:t>
      </w:r>
      <w:r w:rsidR="007D5264" w:rsidRPr="00DE0378">
        <w:t>, children will receive three injections during a single visit (</w:t>
      </w:r>
      <w:r w:rsidR="00854163">
        <w:t>Penta, PCV, and IPV</w:t>
      </w:r>
      <w:r w:rsidR="007D5264" w:rsidRPr="00DE0378">
        <w:t xml:space="preserve">). The WHO </w:t>
      </w:r>
      <w:r w:rsidR="007D5264" w:rsidRPr="00DE0378">
        <w:lastRenderedPageBreak/>
        <w:t>recommends that</w:t>
      </w:r>
      <w:r w:rsidR="00854163">
        <w:t xml:space="preserve"> Penta, PCV, and IPV </w:t>
      </w:r>
      <w:r w:rsidR="007D5264" w:rsidRPr="00DE0378">
        <w:t>should be administered intramuscularly into the infant’s thigh (if t</w:t>
      </w:r>
      <w:r w:rsidR="00BF325F">
        <w:t xml:space="preserve">he child is 14 weeks of age). </w:t>
      </w:r>
    </w:p>
    <w:p w14:paraId="6B02E095" w14:textId="0FB201C6" w:rsidR="007D5264" w:rsidRDefault="00BF325F" w:rsidP="00BF325F">
      <w:pPr>
        <w:rPr>
          <w:b/>
          <w:bCs/>
        </w:rPr>
      </w:pPr>
      <w:r>
        <w:t>When</w:t>
      </w:r>
      <w:r w:rsidR="007D5264" w:rsidRPr="00DE0378">
        <w:t xml:space="preserve"> </w:t>
      </w:r>
      <w:r w:rsidR="00854163">
        <w:t xml:space="preserve">Penta, PCV, and IPV </w:t>
      </w:r>
      <w:r w:rsidR="007D5264" w:rsidRPr="00DE0378">
        <w:t xml:space="preserve">are to be given during the same visit, </w:t>
      </w:r>
      <w:r>
        <w:t>it is decided</w:t>
      </w:r>
      <w:r w:rsidR="007D5264" w:rsidRPr="00DE0378">
        <w:t xml:space="preserve"> that IPV </w:t>
      </w:r>
      <w:r>
        <w:t>will</w:t>
      </w:r>
      <w:r w:rsidR="007D5264" w:rsidRPr="00DE0378">
        <w:t xml:space="preserve"> be given with Pneumococcal vaccine in the </w:t>
      </w:r>
      <w:r>
        <w:t>left</w:t>
      </w:r>
      <w:r w:rsidR="007D5264" w:rsidRPr="00DE0378">
        <w:t xml:space="preserve"> thigh at least 2</w:t>
      </w:r>
      <w:r w:rsidR="0086383F" w:rsidRPr="00DE0378">
        <w:t>.5</w:t>
      </w:r>
      <w:r w:rsidR="007D5264" w:rsidRPr="00DE0378">
        <w:t xml:space="preserve"> cm apart; the Pentavalent vaccine should be given </w:t>
      </w:r>
      <w:r>
        <w:t xml:space="preserve">as usual </w:t>
      </w:r>
      <w:r w:rsidR="007D5264" w:rsidRPr="00DE0378">
        <w:t xml:space="preserve">in the </w:t>
      </w:r>
      <w:r>
        <w:t>right</w:t>
      </w:r>
      <w:r w:rsidR="007D5264" w:rsidRPr="00DE0378">
        <w:t xml:space="preserve"> thigh.</w:t>
      </w:r>
      <w:r>
        <w:t xml:space="preserve"> Following is the revised injection site which will</w:t>
      </w:r>
      <w:r w:rsidR="00477347">
        <w:t xml:space="preserve"> also</w:t>
      </w:r>
      <w:r>
        <w:t xml:space="preserve"> be reflected in the national immunization policy. </w:t>
      </w:r>
    </w:p>
    <w:p w14:paraId="1BC9211D" w14:textId="77777777" w:rsidR="00BF325F" w:rsidRPr="00BF325F" w:rsidRDefault="00BF325F" w:rsidP="00BF325F">
      <w:pPr>
        <w:rPr>
          <w:b/>
          <w:bCs/>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386"/>
        <w:gridCol w:w="3388"/>
      </w:tblGrid>
      <w:tr w:rsidR="00234243" w:rsidRPr="00C11D58" w14:paraId="5C888B00" w14:textId="77777777" w:rsidTr="00BF325F">
        <w:tc>
          <w:tcPr>
            <w:tcW w:w="1423" w:type="pct"/>
            <w:shd w:val="clear" w:color="auto" w:fill="C0504D" w:themeFill="accent2"/>
          </w:tcPr>
          <w:p w14:paraId="686EA57E" w14:textId="77777777" w:rsidR="00234243" w:rsidRPr="006C0E14" w:rsidRDefault="00234243" w:rsidP="00D2401A">
            <w:pPr>
              <w:jc w:val="both"/>
              <w:rPr>
                <w:b/>
                <w:color w:val="FFFFFF" w:themeColor="background1"/>
              </w:rPr>
            </w:pPr>
            <w:r w:rsidRPr="006C0E14">
              <w:rPr>
                <w:b/>
                <w:color w:val="FFFFFF" w:themeColor="background1"/>
              </w:rPr>
              <w:t>Vaccine</w:t>
            </w:r>
          </w:p>
        </w:tc>
        <w:tc>
          <w:tcPr>
            <w:tcW w:w="1788" w:type="pct"/>
            <w:shd w:val="clear" w:color="auto" w:fill="C0504D" w:themeFill="accent2"/>
          </w:tcPr>
          <w:p w14:paraId="77CFCC3B" w14:textId="77777777" w:rsidR="00234243" w:rsidRPr="006C0E14" w:rsidRDefault="00234243" w:rsidP="00D2401A">
            <w:pPr>
              <w:jc w:val="both"/>
              <w:rPr>
                <w:b/>
                <w:color w:val="FFFFFF" w:themeColor="background1"/>
              </w:rPr>
            </w:pPr>
            <w:r w:rsidRPr="006C0E14">
              <w:rPr>
                <w:b/>
                <w:color w:val="FFFFFF" w:themeColor="background1"/>
              </w:rPr>
              <w:t>Route of administration</w:t>
            </w:r>
          </w:p>
        </w:tc>
        <w:tc>
          <w:tcPr>
            <w:tcW w:w="1789" w:type="pct"/>
            <w:shd w:val="clear" w:color="auto" w:fill="C0504D" w:themeFill="accent2"/>
          </w:tcPr>
          <w:p w14:paraId="79DADE21" w14:textId="77777777" w:rsidR="00234243" w:rsidRPr="006C0E14" w:rsidRDefault="00234243" w:rsidP="00D2401A">
            <w:pPr>
              <w:jc w:val="both"/>
              <w:rPr>
                <w:b/>
                <w:color w:val="FFFFFF" w:themeColor="background1"/>
              </w:rPr>
            </w:pPr>
            <w:r w:rsidRPr="006C0E14">
              <w:rPr>
                <w:b/>
                <w:color w:val="FFFFFF" w:themeColor="background1"/>
              </w:rPr>
              <w:t>Injection site</w:t>
            </w:r>
          </w:p>
        </w:tc>
      </w:tr>
      <w:tr w:rsidR="00234243" w:rsidRPr="00C11D58" w14:paraId="4C7244B4" w14:textId="77777777" w:rsidTr="00BF325F">
        <w:tc>
          <w:tcPr>
            <w:tcW w:w="1423" w:type="pct"/>
            <w:shd w:val="clear" w:color="auto" w:fill="auto"/>
          </w:tcPr>
          <w:p w14:paraId="7D49784E" w14:textId="77777777" w:rsidR="00234243" w:rsidRPr="00C11D58" w:rsidRDefault="00234243" w:rsidP="00D2401A">
            <w:pPr>
              <w:jc w:val="both"/>
            </w:pPr>
            <w:r w:rsidRPr="00C11D58">
              <w:t>HepB</w:t>
            </w:r>
            <w:r>
              <w:t xml:space="preserve"> (Birth Dose)</w:t>
            </w:r>
          </w:p>
        </w:tc>
        <w:tc>
          <w:tcPr>
            <w:tcW w:w="1788" w:type="pct"/>
            <w:shd w:val="clear" w:color="auto" w:fill="auto"/>
          </w:tcPr>
          <w:p w14:paraId="06994B77" w14:textId="77777777" w:rsidR="00234243" w:rsidRPr="00C11D58" w:rsidRDefault="00234243" w:rsidP="00D2401A">
            <w:pPr>
              <w:jc w:val="both"/>
            </w:pPr>
            <w:r w:rsidRPr="00C11D58">
              <w:t>Intramuscular</w:t>
            </w:r>
          </w:p>
        </w:tc>
        <w:tc>
          <w:tcPr>
            <w:tcW w:w="1789" w:type="pct"/>
            <w:shd w:val="clear" w:color="auto" w:fill="auto"/>
          </w:tcPr>
          <w:p w14:paraId="41F0C2E9" w14:textId="77777777" w:rsidR="00234243" w:rsidRPr="00C11D58" w:rsidRDefault="00234243" w:rsidP="00D2401A">
            <w:pPr>
              <w:jc w:val="both"/>
            </w:pPr>
            <w:r>
              <w:t xml:space="preserve">Right </w:t>
            </w:r>
            <w:r w:rsidRPr="00C11D58">
              <w:t>mid-thigh</w:t>
            </w:r>
          </w:p>
        </w:tc>
      </w:tr>
      <w:tr w:rsidR="00234243" w:rsidRPr="00C11D58" w14:paraId="546309A2" w14:textId="77777777" w:rsidTr="00BF325F">
        <w:tc>
          <w:tcPr>
            <w:tcW w:w="1423" w:type="pct"/>
            <w:shd w:val="clear" w:color="auto" w:fill="auto"/>
          </w:tcPr>
          <w:p w14:paraId="56C281FC" w14:textId="77777777" w:rsidR="00234243" w:rsidRPr="00C11D58" w:rsidRDefault="00234243" w:rsidP="00D2401A">
            <w:pPr>
              <w:jc w:val="both"/>
            </w:pPr>
            <w:r w:rsidRPr="00C11D58">
              <w:t>BCG</w:t>
            </w:r>
          </w:p>
        </w:tc>
        <w:tc>
          <w:tcPr>
            <w:tcW w:w="1788" w:type="pct"/>
            <w:shd w:val="clear" w:color="auto" w:fill="auto"/>
          </w:tcPr>
          <w:p w14:paraId="7F017D28" w14:textId="77777777" w:rsidR="00234243" w:rsidRPr="00C11D58" w:rsidRDefault="00234243" w:rsidP="00D2401A">
            <w:pPr>
              <w:jc w:val="both"/>
            </w:pPr>
            <w:r w:rsidRPr="00C11D58">
              <w:t>Intradermal</w:t>
            </w:r>
          </w:p>
        </w:tc>
        <w:tc>
          <w:tcPr>
            <w:tcW w:w="1789" w:type="pct"/>
            <w:shd w:val="clear" w:color="auto" w:fill="auto"/>
          </w:tcPr>
          <w:p w14:paraId="772B54D9" w14:textId="77777777" w:rsidR="00234243" w:rsidRPr="00C11D58" w:rsidRDefault="00234243" w:rsidP="00D2401A">
            <w:pPr>
              <w:jc w:val="both"/>
            </w:pPr>
            <w:r w:rsidRPr="00C11D58">
              <w:t>Upper left arm</w:t>
            </w:r>
          </w:p>
        </w:tc>
      </w:tr>
      <w:tr w:rsidR="00234243" w:rsidRPr="00C11D58" w14:paraId="13CA18F2" w14:textId="77777777" w:rsidTr="00BF325F">
        <w:tc>
          <w:tcPr>
            <w:tcW w:w="1423" w:type="pct"/>
            <w:shd w:val="clear" w:color="auto" w:fill="auto"/>
          </w:tcPr>
          <w:p w14:paraId="76756EFB" w14:textId="77777777" w:rsidR="00234243" w:rsidRPr="00C11D58" w:rsidRDefault="00234243" w:rsidP="00D2401A">
            <w:pPr>
              <w:jc w:val="both"/>
            </w:pPr>
            <w:r w:rsidRPr="00C11D58">
              <w:t>DPT-HepB-Hib</w:t>
            </w:r>
          </w:p>
        </w:tc>
        <w:tc>
          <w:tcPr>
            <w:tcW w:w="1788" w:type="pct"/>
            <w:shd w:val="clear" w:color="auto" w:fill="auto"/>
          </w:tcPr>
          <w:p w14:paraId="122F78F0" w14:textId="77777777" w:rsidR="00234243" w:rsidRPr="00C11D58" w:rsidRDefault="00234243" w:rsidP="00D2401A">
            <w:pPr>
              <w:jc w:val="both"/>
            </w:pPr>
            <w:r w:rsidRPr="00C11D58">
              <w:t>Intramuscular</w:t>
            </w:r>
          </w:p>
        </w:tc>
        <w:tc>
          <w:tcPr>
            <w:tcW w:w="1789" w:type="pct"/>
            <w:shd w:val="clear" w:color="auto" w:fill="auto"/>
          </w:tcPr>
          <w:p w14:paraId="423F5C70" w14:textId="77777777" w:rsidR="00234243" w:rsidRPr="00C11D58" w:rsidRDefault="00234243" w:rsidP="00D2401A">
            <w:pPr>
              <w:jc w:val="both"/>
            </w:pPr>
            <w:r w:rsidRPr="00C11D58">
              <w:t>Right mid-thigh</w:t>
            </w:r>
          </w:p>
        </w:tc>
      </w:tr>
      <w:tr w:rsidR="00234243" w:rsidRPr="00C11D58" w14:paraId="69D76C33" w14:textId="77777777" w:rsidTr="00BF325F">
        <w:tc>
          <w:tcPr>
            <w:tcW w:w="1423" w:type="pct"/>
            <w:shd w:val="clear" w:color="auto" w:fill="auto"/>
          </w:tcPr>
          <w:p w14:paraId="4B2BB0BD" w14:textId="77777777" w:rsidR="00234243" w:rsidRPr="00C11D58" w:rsidRDefault="00234243" w:rsidP="00D2401A">
            <w:pPr>
              <w:jc w:val="both"/>
            </w:pPr>
            <w:r w:rsidRPr="00C11D58">
              <w:t>OPV</w:t>
            </w:r>
          </w:p>
        </w:tc>
        <w:tc>
          <w:tcPr>
            <w:tcW w:w="1788" w:type="pct"/>
            <w:shd w:val="clear" w:color="auto" w:fill="auto"/>
          </w:tcPr>
          <w:p w14:paraId="66281EAC" w14:textId="77777777" w:rsidR="00234243" w:rsidRPr="00C11D58" w:rsidRDefault="00234243" w:rsidP="00D2401A">
            <w:pPr>
              <w:jc w:val="both"/>
            </w:pPr>
            <w:r w:rsidRPr="00C11D58">
              <w:t>Oral</w:t>
            </w:r>
          </w:p>
        </w:tc>
        <w:tc>
          <w:tcPr>
            <w:tcW w:w="1789" w:type="pct"/>
            <w:shd w:val="clear" w:color="auto" w:fill="auto"/>
          </w:tcPr>
          <w:p w14:paraId="2C2D886C" w14:textId="77777777" w:rsidR="00234243" w:rsidRPr="00C11D58" w:rsidRDefault="00234243" w:rsidP="00D2401A">
            <w:pPr>
              <w:jc w:val="both"/>
            </w:pPr>
            <w:r w:rsidRPr="00C11D58">
              <w:t>Mouth</w:t>
            </w:r>
          </w:p>
        </w:tc>
      </w:tr>
      <w:tr w:rsidR="00234243" w:rsidRPr="00C11D58" w14:paraId="7CBF9539" w14:textId="77777777" w:rsidTr="00BF325F">
        <w:tc>
          <w:tcPr>
            <w:tcW w:w="1423" w:type="pct"/>
            <w:shd w:val="clear" w:color="auto" w:fill="auto"/>
          </w:tcPr>
          <w:p w14:paraId="085EDFFC" w14:textId="77777777" w:rsidR="00234243" w:rsidRPr="0005545C" w:rsidRDefault="00234243" w:rsidP="00D2401A">
            <w:pPr>
              <w:jc w:val="both"/>
            </w:pPr>
            <w:r w:rsidRPr="0005545C">
              <w:t>PCV</w:t>
            </w:r>
          </w:p>
        </w:tc>
        <w:tc>
          <w:tcPr>
            <w:tcW w:w="1788" w:type="pct"/>
            <w:shd w:val="clear" w:color="auto" w:fill="auto"/>
          </w:tcPr>
          <w:p w14:paraId="3AC378E6" w14:textId="77777777" w:rsidR="00234243" w:rsidRPr="0005545C" w:rsidRDefault="00234243" w:rsidP="00D2401A">
            <w:pPr>
              <w:jc w:val="both"/>
            </w:pPr>
            <w:r w:rsidRPr="0005545C">
              <w:t>Intramuscular</w:t>
            </w:r>
          </w:p>
        </w:tc>
        <w:tc>
          <w:tcPr>
            <w:tcW w:w="1789" w:type="pct"/>
            <w:shd w:val="clear" w:color="auto" w:fill="auto"/>
          </w:tcPr>
          <w:p w14:paraId="7801EBCA" w14:textId="77777777" w:rsidR="00234243" w:rsidRPr="0005545C" w:rsidRDefault="00234243" w:rsidP="00DE0378">
            <w:pPr>
              <w:jc w:val="both"/>
            </w:pPr>
            <w:r w:rsidRPr="0005545C">
              <w:t>Left mid-thigh</w:t>
            </w:r>
          </w:p>
        </w:tc>
      </w:tr>
      <w:tr w:rsidR="00234243" w:rsidRPr="00C11D58" w14:paraId="27D49AD0" w14:textId="77777777" w:rsidTr="00BF325F">
        <w:tc>
          <w:tcPr>
            <w:tcW w:w="1423" w:type="pct"/>
            <w:shd w:val="clear" w:color="auto" w:fill="E5B8B7" w:themeFill="accent2" w:themeFillTint="66"/>
          </w:tcPr>
          <w:p w14:paraId="5CCC9AD3" w14:textId="77777777" w:rsidR="00234243" w:rsidRPr="0005545C" w:rsidRDefault="00234243" w:rsidP="00D2401A">
            <w:pPr>
              <w:jc w:val="both"/>
            </w:pPr>
            <w:r w:rsidRPr="0005545C">
              <w:t>IPV</w:t>
            </w:r>
          </w:p>
        </w:tc>
        <w:tc>
          <w:tcPr>
            <w:tcW w:w="1788" w:type="pct"/>
            <w:shd w:val="clear" w:color="auto" w:fill="E5B8B7" w:themeFill="accent2" w:themeFillTint="66"/>
          </w:tcPr>
          <w:p w14:paraId="305C78E1" w14:textId="77777777" w:rsidR="00234243" w:rsidRPr="0005545C" w:rsidRDefault="00234243" w:rsidP="00D2401A">
            <w:pPr>
              <w:jc w:val="both"/>
            </w:pPr>
            <w:r w:rsidRPr="0005545C">
              <w:t>Intramuscular</w:t>
            </w:r>
          </w:p>
        </w:tc>
        <w:tc>
          <w:tcPr>
            <w:tcW w:w="1789" w:type="pct"/>
            <w:shd w:val="clear" w:color="auto" w:fill="E5B8B7" w:themeFill="accent2" w:themeFillTint="66"/>
          </w:tcPr>
          <w:p w14:paraId="66961C9D" w14:textId="77777777" w:rsidR="00234243" w:rsidRPr="0005545C" w:rsidRDefault="00234243" w:rsidP="00DE0378">
            <w:pPr>
              <w:jc w:val="both"/>
            </w:pPr>
            <w:r w:rsidRPr="0005545C">
              <w:t>Left mid-thigh</w:t>
            </w:r>
          </w:p>
        </w:tc>
      </w:tr>
      <w:tr w:rsidR="00234243" w:rsidRPr="00C11D58" w14:paraId="0665EC36" w14:textId="77777777" w:rsidTr="00BF325F">
        <w:tc>
          <w:tcPr>
            <w:tcW w:w="1423" w:type="pct"/>
            <w:shd w:val="clear" w:color="auto" w:fill="auto"/>
          </w:tcPr>
          <w:p w14:paraId="2243E6FF" w14:textId="77777777" w:rsidR="00234243" w:rsidRPr="00C11D58" w:rsidRDefault="00234243" w:rsidP="00D2401A">
            <w:pPr>
              <w:jc w:val="both"/>
            </w:pPr>
            <w:r w:rsidRPr="00C11D58">
              <w:t>MR</w:t>
            </w:r>
          </w:p>
        </w:tc>
        <w:tc>
          <w:tcPr>
            <w:tcW w:w="1788" w:type="pct"/>
            <w:shd w:val="clear" w:color="auto" w:fill="auto"/>
          </w:tcPr>
          <w:p w14:paraId="2201786A" w14:textId="77777777" w:rsidR="00234243" w:rsidRPr="00C11D58" w:rsidRDefault="00234243" w:rsidP="00D2401A">
            <w:pPr>
              <w:jc w:val="both"/>
            </w:pPr>
            <w:r w:rsidRPr="00C11D58">
              <w:t>Subcutaneous</w:t>
            </w:r>
          </w:p>
        </w:tc>
        <w:tc>
          <w:tcPr>
            <w:tcW w:w="1789" w:type="pct"/>
            <w:shd w:val="clear" w:color="auto" w:fill="auto"/>
          </w:tcPr>
          <w:p w14:paraId="2D7541B1" w14:textId="77777777" w:rsidR="00234243" w:rsidRPr="00C11D58" w:rsidRDefault="00234243" w:rsidP="00D2401A">
            <w:pPr>
              <w:jc w:val="both"/>
            </w:pPr>
            <w:r w:rsidRPr="00C11D58">
              <w:t>Upper left-arm</w:t>
            </w:r>
          </w:p>
        </w:tc>
      </w:tr>
      <w:tr w:rsidR="00234243" w:rsidRPr="00C11D58" w14:paraId="1EF353B3" w14:textId="77777777" w:rsidTr="00BF325F">
        <w:tc>
          <w:tcPr>
            <w:tcW w:w="1423" w:type="pct"/>
            <w:shd w:val="clear" w:color="auto" w:fill="auto"/>
          </w:tcPr>
          <w:p w14:paraId="0F237CFB" w14:textId="77777777" w:rsidR="00234243" w:rsidRPr="00C11D58" w:rsidRDefault="00234243" w:rsidP="00D2401A">
            <w:pPr>
              <w:jc w:val="both"/>
            </w:pPr>
            <w:r w:rsidRPr="00C11D58">
              <w:t>JE</w:t>
            </w:r>
          </w:p>
        </w:tc>
        <w:tc>
          <w:tcPr>
            <w:tcW w:w="1788" w:type="pct"/>
            <w:shd w:val="clear" w:color="auto" w:fill="auto"/>
          </w:tcPr>
          <w:p w14:paraId="5F7E66D9" w14:textId="77777777" w:rsidR="00234243" w:rsidRPr="00C11D58" w:rsidRDefault="00234243" w:rsidP="00D2401A">
            <w:pPr>
              <w:jc w:val="both"/>
            </w:pPr>
            <w:r w:rsidRPr="00C11D58">
              <w:t>Subcutaneous</w:t>
            </w:r>
          </w:p>
        </w:tc>
        <w:tc>
          <w:tcPr>
            <w:tcW w:w="1789" w:type="pct"/>
            <w:shd w:val="clear" w:color="auto" w:fill="auto"/>
          </w:tcPr>
          <w:p w14:paraId="0F3C7F7B" w14:textId="77777777" w:rsidR="00234243" w:rsidRPr="00C11D58" w:rsidRDefault="00234243" w:rsidP="00D2401A">
            <w:pPr>
              <w:jc w:val="both"/>
            </w:pPr>
            <w:r w:rsidRPr="00C11D58">
              <w:t>Upper right arm</w:t>
            </w:r>
          </w:p>
        </w:tc>
      </w:tr>
      <w:tr w:rsidR="00234243" w:rsidRPr="00C11D58" w14:paraId="5D4959A0" w14:textId="77777777" w:rsidTr="00BF325F">
        <w:tc>
          <w:tcPr>
            <w:tcW w:w="1423" w:type="pct"/>
            <w:shd w:val="clear" w:color="auto" w:fill="auto"/>
          </w:tcPr>
          <w:p w14:paraId="77DEAE79" w14:textId="77777777" w:rsidR="00234243" w:rsidRPr="00C11D58" w:rsidRDefault="00234243" w:rsidP="00D2401A">
            <w:pPr>
              <w:jc w:val="both"/>
            </w:pPr>
            <w:r w:rsidRPr="00C11D58">
              <w:t>TT</w:t>
            </w:r>
          </w:p>
        </w:tc>
        <w:tc>
          <w:tcPr>
            <w:tcW w:w="1788" w:type="pct"/>
            <w:shd w:val="clear" w:color="auto" w:fill="auto"/>
          </w:tcPr>
          <w:p w14:paraId="34D85DDB" w14:textId="77777777" w:rsidR="00234243" w:rsidRPr="00C11D58" w:rsidRDefault="00234243" w:rsidP="00D2401A">
            <w:pPr>
              <w:jc w:val="both"/>
            </w:pPr>
            <w:r w:rsidRPr="00C11D58">
              <w:t>Intramuscular</w:t>
            </w:r>
          </w:p>
        </w:tc>
        <w:tc>
          <w:tcPr>
            <w:tcW w:w="1789" w:type="pct"/>
            <w:shd w:val="clear" w:color="auto" w:fill="auto"/>
          </w:tcPr>
          <w:p w14:paraId="6B9564CF" w14:textId="77777777" w:rsidR="00234243" w:rsidRPr="00C11D58" w:rsidRDefault="00234243" w:rsidP="00D2401A">
            <w:pPr>
              <w:jc w:val="both"/>
            </w:pPr>
            <w:r w:rsidRPr="00C11D58">
              <w:t>Right, upper arm</w:t>
            </w:r>
          </w:p>
        </w:tc>
      </w:tr>
    </w:tbl>
    <w:p w14:paraId="620035DA" w14:textId="77777777" w:rsidR="000B4946" w:rsidRPr="00DE0378" w:rsidRDefault="000B4946" w:rsidP="000B4946">
      <w:pPr>
        <w:rPr>
          <w:b/>
        </w:rPr>
      </w:pPr>
    </w:p>
    <w:p w14:paraId="327535E7" w14:textId="77777777" w:rsidR="006B56EA" w:rsidRDefault="006B56EA">
      <w:pPr>
        <w:rPr>
          <w:b/>
        </w:rPr>
      </w:pPr>
      <w:r>
        <w:rPr>
          <w:b/>
        </w:rPr>
        <w:br w:type="page"/>
      </w:r>
    </w:p>
    <w:p w14:paraId="1395CE0D" w14:textId="330EC701" w:rsidR="0054671A" w:rsidRDefault="0054671A" w:rsidP="000B4946">
      <w:pPr>
        <w:rPr>
          <w:b/>
        </w:rPr>
      </w:pPr>
      <w:r>
        <w:rPr>
          <w:noProof/>
          <w:szCs w:val="22"/>
          <w:lang w:eastAsia="zh-CN"/>
        </w:rPr>
        <w:lastRenderedPageBreak/>
        <w:drawing>
          <wp:anchor distT="0" distB="0" distL="114300" distR="114300" simplePos="0" relativeHeight="251664384" behindDoc="0" locked="0" layoutInCell="1" allowOverlap="1" wp14:anchorId="6FF39776" wp14:editId="2E20C991">
            <wp:simplePos x="0" y="0"/>
            <wp:positionH relativeFrom="column">
              <wp:posOffset>913130</wp:posOffset>
            </wp:positionH>
            <wp:positionV relativeFrom="paragraph">
              <wp:posOffset>156845</wp:posOffset>
            </wp:positionV>
            <wp:extent cx="3772535" cy="3500755"/>
            <wp:effectExtent l="0" t="0" r="0" b="0"/>
            <wp:wrapNone/>
            <wp:docPr id="7" name="Picture 7" descr="Macintosh HD:Users:laurenplatt:Documents:WHO Polio Eradication:WPRO Polio:pink baby multiple inject opv sm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platt:Documents:WHO Polio Eradication:WPRO Polio:pink baby multiple inject opv smil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535" cy="350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D05">
        <w:rPr>
          <w:b/>
        </w:rPr>
        <w:t xml:space="preserve">Figure 1. </w:t>
      </w:r>
      <w:proofErr w:type="gramStart"/>
      <w:r w:rsidR="00FF7D05">
        <w:rPr>
          <w:b/>
        </w:rPr>
        <w:t>Order of injections and injection site</w:t>
      </w:r>
      <w:r w:rsidR="00C44A4D">
        <w:rPr>
          <w:b/>
        </w:rPr>
        <w:t>s for vaccines given in the routine schedule at 14 weeks.</w:t>
      </w:r>
      <w:proofErr w:type="gramEnd"/>
    </w:p>
    <w:p w14:paraId="3D1EC729" w14:textId="691A5A80" w:rsidR="000B4946" w:rsidRPr="00552061" w:rsidRDefault="000B4946" w:rsidP="000B4946">
      <w:pPr>
        <w:rPr>
          <w:b/>
        </w:rPr>
      </w:pPr>
      <w:r w:rsidRPr="00552061">
        <w:rPr>
          <w:b/>
        </w:rPr>
        <w:t xml:space="preserve"> </w:t>
      </w:r>
    </w:p>
    <w:p w14:paraId="60CB3700" w14:textId="7A04C474" w:rsidR="00DB3F5A" w:rsidRDefault="000B4946" w:rsidP="00DB3F5A">
      <w:proofErr w:type="gramStart"/>
      <w:r w:rsidRPr="00DE0378">
        <w:t>1</w:t>
      </w:r>
      <w:r w:rsidRPr="00DE0378">
        <w:rPr>
          <w:vertAlign w:val="superscript"/>
        </w:rPr>
        <w:t>st</w:t>
      </w:r>
      <w:r w:rsidRPr="00DE0378">
        <w:t xml:space="preserve">  injection</w:t>
      </w:r>
      <w:proofErr w:type="gramEnd"/>
      <w:r w:rsidRPr="00DE0378">
        <w:t xml:space="preserve">: </w:t>
      </w:r>
      <w:r w:rsidR="00DE0378">
        <w:t>Penta</w:t>
      </w:r>
    </w:p>
    <w:p w14:paraId="6F09E34C" w14:textId="77777777" w:rsidR="000B4946" w:rsidRPr="00DE0378" w:rsidRDefault="000B4946" w:rsidP="00DB3F5A">
      <w:r w:rsidRPr="00DE0378">
        <w:t>2</w:t>
      </w:r>
      <w:r w:rsidRPr="00DE0378">
        <w:rPr>
          <w:vertAlign w:val="superscript"/>
        </w:rPr>
        <w:t>nd</w:t>
      </w:r>
      <w:r w:rsidRPr="00DE0378">
        <w:t xml:space="preserve"> injection</w:t>
      </w:r>
      <w:r w:rsidR="00DE0378">
        <w:t>: PCV</w:t>
      </w:r>
    </w:p>
    <w:p w14:paraId="6961D4D1" w14:textId="46DD0CA2" w:rsidR="000B4946" w:rsidRDefault="000B4946" w:rsidP="000B4946">
      <w:r w:rsidRPr="00DE0378">
        <w:t>3</w:t>
      </w:r>
      <w:r w:rsidRPr="00DE0378">
        <w:rPr>
          <w:vertAlign w:val="superscript"/>
        </w:rPr>
        <w:t>rd</w:t>
      </w:r>
      <w:r w:rsidRPr="00DE0378">
        <w:t xml:space="preserve"> injection: </w:t>
      </w:r>
      <w:r w:rsidR="00DE0378">
        <w:t>IPV</w:t>
      </w:r>
    </w:p>
    <w:p w14:paraId="692E39A7" w14:textId="77777777" w:rsidR="004838B2" w:rsidRDefault="004838B2" w:rsidP="000B4946"/>
    <w:p w14:paraId="2D66B2CE" w14:textId="77777777" w:rsidR="000B4946" w:rsidRDefault="000B4946" w:rsidP="000B4946">
      <w:pPr>
        <w:jc w:val="center"/>
      </w:pPr>
    </w:p>
    <w:p w14:paraId="57E65B55" w14:textId="77777777" w:rsidR="00234243" w:rsidRDefault="00234243" w:rsidP="001F0D70"/>
    <w:p w14:paraId="3B4AA532" w14:textId="77777777" w:rsidR="000B4946" w:rsidRDefault="000B4946" w:rsidP="001F0D70"/>
    <w:p w14:paraId="39B0366C" w14:textId="1104DDAA" w:rsidR="00636F13" w:rsidRDefault="00636F13" w:rsidP="00636F13"/>
    <w:p w14:paraId="38249D1C" w14:textId="4661E17A" w:rsidR="00552061" w:rsidRDefault="006B56EA" w:rsidP="00636F13">
      <w:r>
        <w:rPr>
          <w:noProof/>
          <w:szCs w:val="22"/>
          <w:lang w:eastAsia="zh-CN"/>
        </w:rPr>
        <mc:AlternateContent>
          <mc:Choice Requires="wps">
            <w:drawing>
              <wp:anchor distT="0" distB="0" distL="114300" distR="114300" simplePos="0" relativeHeight="251663360" behindDoc="0" locked="0" layoutInCell="1" allowOverlap="1" wp14:anchorId="6595ECC5" wp14:editId="0D5C03FA">
                <wp:simplePos x="0" y="0"/>
                <wp:positionH relativeFrom="column">
                  <wp:posOffset>4542790</wp:posOffset>
                </wp:positionH>
                <wp:positionV relativeFrom="paragraph">
                  <wp:posOffset>123825</wp:posOffset>
                </wp:positionV>
                <wp:extent cx="14859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99D406" w14:textId="77777777" w:rsidR="004009B6" w:rsidRPr="002A6894" w:rsidRDefault="004009B6" w:rsidP="000B4946">
                            <w:pPr>
                              <w:rPr>
                                <w:color w:val="0A8AFC"/>
                                <w:sz w:val="40"/>
                              </w:rPr>
                            </w:pPr>
                            <w:r w:rsidRPr="002A6894">
                              <w:rPr>
                                <w:color w:val="0A8AFC"/>
                                <w:sz w:val="40"/>
                              </w:rPr>
                              <w:t>2</w:t>
                            </w:r>
                            <w:r w:rsidRPr="002A6894">
                              <w:rPr>
                                <w:color w:val="0A8AFC"/>
                                <w:sz w:val="40"/>
                                <w:vertAlign w:val="superscript"/>
                              </w:rPr>
                              <w:t>nd</w:t>
                            </w:r>
                            <w:r w:rsidRPr="002A6894">
                              <w:rPr>
                                <w:color w:val="0A8AFC"/>
                                <w:sz w:val="40"/>
                              </w:rPr>
                              <w:t xml:space="preserv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57.7pt;margin-top:9.75pt;width:1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" filled="f" stroked="f">
                <v:textbox>
                  <w:txbxContent>
                    <w:p w14:paraId="6199D406" w14:textId="77777777" w:rsidR="004009B6" w:rsidRPr="002A6894" w:rsidRDefault="004009B6" w:rsidP="000B4946">
                      <w:pPr>
                        <w:rPr>
                          <w:color w:val="0A8AFC"/>
                          <w:sz w:val="40"/>
                        </w:rPr>
                      </w:pPr>
                      <w:r w:rsidRPr="002A6894">
                        <w:rPr>
                          <w:color w:val="0A8AFC"/>
                          <w:sz w:val="40"/>
                        </w:rPr>
                        <w:t>2</w:t>
                      </w:r>
                      <w:r w:rsidRPr="002A6894">
                        <w:rPr>
                          <w:color w:val="0A8AFC"/>
                          <w:sz w:val="40"/>
                          <w:vertAlign w:val="superscript"/>
                        </w:rPr>
                        <w:t>nd</w:t>
                      </w:r>
                      <w:r w:rsidRPr="002A6894">
                        <w:rPr>
                          <w:color w:val="0A8AFC"/>
                          <w:sz w:val="40"/>
                        </w:rPr>
                        <w:t xml:space="preserve"> (left)</w:t>
                      </w:r>
                    </w:p>
                  </w:txbxContent>
                </v:textbox>
              </v:shape>
            </w:pict>
          </mc:Fallback>
        </mc:AlternateContent>
      </w:r>
      <w:r>
        <w:rPr>
          <w:noProof/>
          <w:szCs w:val="22"/>
          <w:lang w:eastAsia="zh-CN"/>
        </w:rPr>
        <mc:AlternateContent>
          <mc:Choice Requires="wps">
            <w:drawing>
              <wp:anchor distT="0" distB="0" distL="114300" distR="114300" simplePos="0" relativeHeight="251659264" behindDoc="0" locked="0" layoutInCell="1" allowOverlap="1" wp14:anchorId="6FF55F65" wp14:editId="3B497D63">
                <wp:simplePos x="0" y="0"/>
                <wp:positionH relativeFrom="column">
                  <wp:posOffset>4485640</wp:posOffset>
                </wp:positionH>
                <wp:positionV relativeFrom="paragraph">
                  <wp:posOffset>865505</wp:posOffset>
                </wp:positionV>
                <wp:extent cx="10287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D211B9" w14:textId="77777777" w:rsidR="004009B6" w:rsidRPr="002A6894" w:rsidRDefault="004009B6">
                            <w:pPr>
                              <w:rPr>
                                <w:color w:val="8064A2" w:themeColor="accent4"/>
                                <w:sz w:val="40"/>
                              </w:rPr>
                            </w:pPr>
                            <w:r w:rsidRPr="002A6894">
                              <w:rPr>
                                <w:color w:val="8064A2" w:themeColor="accent4"/>
                                <w:sz w:val="40"/>
                              </w:rPr>
                              <w:t>3</w:t>
                            </w:r>
                            <w:r w:rsidRPr="002A6894">
                              <w:rPr>
                                <w:color w:val="8064A2" w:themeColor="accent4"/>
                                <w:sz w:val="40"/>
                                <w:vertAlign w:val="superscript"/>
                              </w:rPr>
                              <w:t>rd</w:t>
                            </w:r>
                            <w:r w:rsidRPr="002A6894">
                              <w:rPr>
                                <w:color w:val="8064A2" w:themeColor="accent4"/>
                                <w:sz w:val="40"/>
                              </w:rPr>
                              <w:t xml:space="preserv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53.2pt;margin-top:68.1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" filled="f" stroked="f">
                <v:textbox>
                  <w:txbxContent>
                    <w:p w14:paraId="66D211B9" w14:textId="77777777" w:rsidR="004009B6" w:rsidRPr="002A6894" w:rsidRDefault="004009B6">
                      <w:pPr>
                        <w:rPr>
                          <w:color w:val="8064A2" w:themeColor="accent4"/>
                          <w:sz w:val="40"/>
                        </w:rPr>
                      </w:pPr>
                      <w:r w:rsidRPr="002A6894">
                        <w:rPr>
                          <w:color w:val="8064A2" w:themeColor="accent4"/>
                          <w:sz w:val="40"/>
                        </w:rPr>
                        <w:t>3</w:t>
                      </w:r>
                      <w:r w:rsidRPr="002A6894">
                        <w:rPr>
                          <w:color w:val="8064A2" w:themeColor="accent4"/>
                          <w:sz w:val="40"/>
                          <w:vertAlign w:val="superscript"/>
                        </w:rPr>
                        <w:t>rd</w:t>
                      </w:r>
                      <w:r w:rsidRPr="002A6894">
                        <w:rPr>
                          <w:color w:val="8064A2" w:themeColor="accent4"/>
                          <w:sz w:val="40"/>
                        </w:rPr>
                        <w:t xml:space="preserve"> (left)</w:t>
                      </w:r>
                    </w:p>
                  </w:txbxContent>
                </v:textbox>
              </v:shape>
            </w:pict>
          </mc:Fallback>
        </mc:AlternateContent>
      </w:r>
    </w:p>
    <w:p w14:paraId="6FAC06C6" w14:textId="5FBCE540" w:rsidR="00552061" w:rsidRDefault="00552061" w:rsidP="00636F13"/>
    <w:p w14:paraId="358CBE56" w14:textId="77777777" w:rsidR="00552061" w:rsidRDefault="00552061" w:rsidP="00636F13"/>
    <w:p w14:paraId="736EAC00" w14:textId="77777777" w:rsidR="00552061" w:rsidRDefault="00552061" w:rsidP="00636F13"/>
    <w:p w14:paraId="77C97621" w14:textId="77777777" w:rsidR="00552061" w:rsidRDefault="00552061" w:rsidP="00636F13"/>
    <w:p w14:paraId="06C5D331" w14:textId="5FFED352" w:rsidR="00552061" w:rsidRDefault="00DB3F5A" w:rsidP="00636F13">
      <w:r>
        <w:rPr>
          <w:noProof/>
          <w:szCs w:val="22"/>
          <w:lang w:eastAsia="zh-CN"/>
        </w:rPr>
        <mc:AlternateContent>
          <mc:Choice Requires="wps">
            <w:drawing>
              <wp:anchor distT="0" distB="0" distL="114300" distR="114300" simplePos="0" relativeHeight="251661312" behindDoc="0" locked="0" layoutInCell="1" allowOverlap="1" wp14:anchorId="4B08A562" wp14:editId="54CB39AB">
                <wp:simplePos x="0" y="0"/>
                <wp:positionH relativeFrom="column">
                  <wp:posOffset>-82867</wp:posOffset>
                </wp:positionH>
                <wp:positionV relativeFrom="paragraph">
                  <wp:posOffset>10160</wp:posOffset>
                </wp:positionV>
                <wp:extent cx="1485900" cy="5016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D40C11" w14:textId="77777777" w:rsidR="004009B6" w:rsidRPr="002A6894" w:rsidRDefault="004009B6" w:rsidP="000B4946">
                            <w:pPr>
                              <w:rPr>
                                <w:color w:val="9BBB59" w:themeColor="accent3"/>
                                <w:sz w:val="40"/>
                              </w:rPr>
                            </w:pPr>
                            <w:r w:rsidRPr="002A6894">
                              <w:rPr>
                                <w:color w:val="9BBB59" w:themeColor="accent3"/>
                                <w:sz w:val="40"/>
                              </w:rPr>
                              <w:t>(</w:t>
                            </w:r>
                            <w:proofErr w:type="gramStart"/>
                            <w:r w:rsidRPr="002A6894">
                              <w:rPr>
                                <w:color w:val="9BBB59" w:themeColor="accent3"/>
                                <w:sz w:val="40"/>
                              </w:rPr>
                              <w:t>right</w:t>
                            </w:r>
                            <w:proofErr w:type="gramEnd"/>
                            <w:r w:rsidRPr="002A6894">
                              <w:rPr>
                                <w:color w:val="9BBB59" w:themeColor="accent3"/>
                                <w:sz w:val="40"/>
                              </w:rPr>
                              <w:t>) 1</w:t>
                            </w:r>
                            <w:r w:rsidRPr="002A6894">
                              <w:rPr>
                                <w:color w:val="9BBB59" w:themeColor="accent3"/>
                                <w:sz w:val="40"/>
                                <w:vertAlign w:val="superscript"/>
                              </w:rPr>
                              <w:t>st</w:t>
                            </w:r>
                            <w:r w:rsidRPr="002A6894">
                              <w:rPr>
                                <w:color w:val="9BBB59" w:themeColor="accent3"/>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6.5pt;margin-top:.8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" filled="f" stroked="f">
                <v:textbox>
                  <w:txbxContent>
                    <w:p w14:paraId="5DD40C11" w14:textId="77777777" w:rsidR="004009B6" w:rsidRPr="002A6894" w:rsidRDefault="004009B6" w:rsidP="000B4946">
                      <w:pPr>
                        <w:rPr>
                          <w:color w:val="9BBB59" w:themeColor="accent3"/>
                          <w:sz w:val="40"/>
                        </w:rPr>
                      </w:pPr>
                      <w:r w:rsidRPr="002A6894">
                        <w:rPr>
                          <w:color w:val="9BBB59" w:themeColor="accent3"/>
                          <w:sz w:val="40"/>
                        </w:rPr>
                        <w:t>(</w:t>
                      </w:r>
                      <w:proofErr w:type="gramStart"/>
                      <w:r w:rsidRPr="002A6894">
                        <w:rPr>
                          <w:color w:val="9BBB59" w:themeColor="accent3"/>
                          <w:sz w:val="40"/>
                        </w:rPr>
                        <w:t>right</w:t>
                      </w:r>
                      <w:proofErr w:type="gramEnd"/>
                      <w:r w:rsidRPr="002A6894">
                        <w:rPr>
                          <w:color w:val="9BBB59" w:themeColor="accent3"/>
                          <w:sz w:val="40"/>
                        </w:rPr>
                        <w:t>) 1</w:t>
                      </w:r>
                      <w:r w:rsidRPr="002A6894">
                        <w:rPr>
                          <w:color w:val="9BBB59" w:themeColor="accent3"/>
                          <w:sz w:val="40"/>
                          <w:vertAlign w:val="superscript"/>
                        </w:rPr>
                        <w:t>st</w:t>
                      </w:r>
                      <w:r w:rsidRPr="002A6894">
                        <w:rPr>
                          <w:color w:val="9BBB59" w:themeColor="accent3"/>
                          <w:sz w:val="40"/>
                        </w:rPr>
                        <w:t xml:space="preserve"> </w:t>
                      </w:r>
                    </w:p>
                  </w:txbxContent>
                </v:textbox>
              </v:shape>
            </w:pict>
          </mc:Fallback>
        </mc:AlternateContent>
      </w:r>
    </w:p>
    <w:p w14:paraId="6E43B45F" w14:textId="77777777" w:rsidR="00552061" w:rsidRDefault="00552061" w:rsidP="00636F13"/>
    <w:p w14:paraId="366B9BD8" w14:textId="77777777" w:rsidR="00552061" w:rsidRDefault="00552061" w:rsidP="00636F13"/>
    <w:p w14:paraId="594686B5" w14:textId="77777777" w:rsidR="00552061" w:rsidRDefault="00552061" w:rsidP="00636F13"/>
    <w:p w14:paraId="01AAB469" w14:textId="77777777" w:rsidR="00552061" w:rsidRDefault="00552061" w:rsidP="00636F13"/>
    <w:p w14:paraId="0CD7CDC8" w14:textId="77777777" w:rsidR="006C0E14" w:rsidRDefault="006C0E14" w:rsidP="00636F13"/>
    <w:p w14:paraId="4DFE1686" w14:textId="77777777" w:rsidR="00BD46F3" w:rsidRPr="00636F13" w:rsidRDefault="00BD46F3" w:rsidP="00636F13"/>
    <w:p w14:paraId="27B2EB3D" w14:textId="77777777" w:rsidR="001F0D70" w:rsidRDefault="001F0D70" w:rsidP="001F0D70">
      <w:pPr>
        <w:pStyle w:val="Heading2"/>
      </w:pPr>
      <w:bookmarkStart w:id="21" w:name="_Toc270048957"/>
      <w:r w:rsidRPr="001F0D70">
        <w:t>National coordination mechanism to ensure the successful introduction</w:t>
      </w:r>
      <w:bookmarkEnd w:id="21"/>
    </w:p>
    <w:p w14:paraId="15F7422E" w14:textId="77777777" w:rsidR="00317803" w:rsidRDefault="00317803" w:rsidP="00317803"/>
    <w:p w14:paraId="49B288F8" w14:textId="66B8A235" w:rsidR="00DE0378" w:rsidRDefault="00DE0378" w:rsidP="00317803">
      <w:r>
        <w:t>The Technical Working Group on Health (TWG</w:t>
      </w:r>
      <w:r w:rsidR="00D07CDD">
        <w:t>-</w:t>
      </w:r>
      <w:r>
        <w:t xml:space="preserve">H) will be the primary oversee body monitoring the implementation of IPV introduction at the high level. </w:t>
      </w:r>
      <w:r w:rsidR="00D33EB5">
        <w:t xml:space="preserve">The National Immunization Program </w:t>
      </w:r>
      <w:r w:rsidR="0044247C">
        <w:t xml:space="preserve">(NIP) </w:t>
      </w:r>
      <w:r w:rsidR="00D33EB5">
        <w:t xml:space="preserve">will be responsible for coordinating, planning, and implementing IPV introduction.  </w:t>
      </w:r>
    </w:p>
    <w:p w14:paraId="613D7D04" w14:textId="77777777" w:rsidR="001834DF" w:rsidRPr="00317803" w:rsidRDefault="001834DF" w:rsidP="00317803"/>
    <w:p w14:paraId="0EF1E403" w14:textId="77777777" w:rsidR="001F0D70" w:rsidRDefault="001F0D70" w:rsidP="001F0D70">
      <w:pPr>
        <w:pStyle w:val="Heading2"/>
      </w:pPr>
      <w:bookmarkStart w:id="22" w:name="_Toc270048958"/>
      <w:r w:rsidRPr="001F0D70">
        <w:t>Affordability and financial sustainability</w:t>
      </w:r>
      <w:bookmarkEnd w:id="22"/>
    </w:p>
    <w:p w14:paraId="7E8665F2" w14:textId="77777777" w:rsidR="0005545C" w:rsidRDefault="0005545C" w:rsidP="00317803"/>
    <w:p w14:paraId="0501FBF0" w14:textId="77777777" w:rsidR="00C66F2C" w:rsidRPr="00C66F2C" w:rsidRDefault="00C66F2C" w:rsidP="00C66F2C">
      <w:r w:rsidRPr="00C66F2C">
        <w:t>From 2006-2011, Gross National Income (GNI) in Cambodia increased</w:t>
      </w:r>
      <w:r>
        <w:t xml:space="preserve"> from $520 to $830 per capita.  </w:t>
      </w:r>
      <w:r w:rsidRPr="00C66F2C">
        <w:t>The national budget allocation for health has increased from 110.9 Million US dollars in 2008 to 223.7 Million US dollars in 2013.</w:t>
      </w:r>
      <w:r>
        <w:t xml:space="preserve">  </w:t>
      </w:r>
      <w:r w:rsidRPr="00C66F2C">
        <w:t xml:space="preserve">Government expenditures on routine immunization increased from $5 per infant to $7 during the first half of 2006-2011. </w:t>
      </w:r>
    </w:p>
    <w:p w14:paraId="382AE5F4" w14:textId="77777777" w:rsidR="0005545C" w:rsidRDefault="00C66F2C" w:rsidP="00C66F2C">
      <w:r w:rsidRPr="00C66F2C">
        <w:t xml:space="preserve"> </w:t>
      </w:r>
    </w:p>
    <w:p w14:paraId="60C48B38" w14:textId="7C347A7F" w:rsidR="003672EF" w:rsidRDefault="003672EF" w:rsidP="003672EF">
      <w:r>
        <w:t xml:space="preserve">The </w:t>
      </w:r>
      <w:r w:rsidRPr="003672EF">
        <w:t>comprehensive multi-year plan for 2008-2015 for immunizati</w:t>
      </w:r>
      <w:r>
        <w:t>on programme developed by NIP also included the expected costs of the program each year.</w:t>
      </w:r>
      <w:r w:rsidRPr="003672EF">
        <w:t xml:space="preserve"> </w:t>
      </w:r>
      <w:r>
        <w:t xml:space="preserve">Each year, the </w:t>
      </w:r>
      <w:r w:rsidRPr="003672EF">
        <w:t xml:space="preserve">NIP develops </w:t>
      </w:r>
      <w:r>
        <w:t xml:space="preserve">an </w:t>
      </w:r>
      <w:r w:rsidRPr="003672EF">
        <w:t xml:space="preserve">annual operational plan with </w:t>
      </w:r>
      <w:r>
        <w:t xml:space="preserve">a </w:t>
      </w:r>
      <w:r w:rsidRPr="003672EF">
        <w:t>budget for approval of Ministry of Health.</w:t>
      </w:r>
      <w:r>
        <w:t xml:space="preserve"> The </w:t>
      </w:r>
      <w:r w:rsidRPr="003672EF">
        <w:t>Ministry of Health allocate</w:t>
      </w:r>
      <w:r>
        <w:t xml:space="preserve">s the funds. The </w:t>
      </w:r>
      <w:r w:rsidRPr="003672EF">
        <w:t xml:space="preserve">NIP also receives funds from partners. </w:t>
      </w:r>
      <w:r>
        <w:t xml:space="preserve">The </w:t>
      </w:r>
      <w:r w:rsidRPr="003672EF">
        <w:t xml:space="preserve">NIP shares financial information to partners </w:t>
      </w:r>
      <w:r w:rsidR="007D585C">
        <w:t xml:space="preserve">annually </w:t>
      </w:r>
      <w:r w:rsidRPr="003672EF">
        <w:t>through</w:t>
      </w:r>
      <w:r w:rsidR="007D585C">
        <w:t xml:space="preserve"> the joint reporting form (</w:t>
      </w:r>
      <w:r w:rsidRPr="003672EF">
        <w:t>JRF</w:t>
      </w:r>
      <w:r w:rsidR="007D585C">
        <w:t>)</w:t>
      </w:r>
      <w:r w:rsidRPr="003672EF">
        <w:t>.</w:t>
      </w:r>
    </w:p>
    <w:p w14:paraId="6F1DCB6B" w14:textId="77777777" w:rsidR="003672EF" w:rsidRDefault="003672EF" w:rsidP="003672EF"/>
    <w:p w14:paraId="6511AD2C" w14:textId="30FA4DF5" w:rsidR="003672EF" w:rsidRDefault="003672EF" w:rsidP="003672EF">
      <w:r w:rsidRPr="00FF7D05">
        <w:t xml:space="preserve">Ministry of Health, Cambodia procures the traditional vaccines and injection supplies through UNICEF procurement services. Ministry of Health provides portion of funds (co-finance part) for new vaccine. Ministry of Health also provides funds for other immunization activities. The funding support from Ministry of Health is increasing every year (figure </w:t>
      </w:r>
      <w:r w:rsidR="00FF7D05" w:rsidRPr="00FF7D05">
        <w:t>2</w:t>
      </w:r>
      <w:r w:rsidRPr="00FF7D05">
        <w:t>). The Ministry of Health is committed to strengthening the routine immunization programme and co-financing part of vaccine cost for Pentavalent and PCV.</w:t>
      </w:r>
      <w:r>
        <w:t xml:space="preserve"> </w:t>
      </w:r>
      <w:r w:rsidRPr="003672EF">
        <w:t xml:space="preserve"> </w:t>
      </w:r>
    </w:p>
    <w:p w14:paraId="722D6100" w14:textId="77777777" w:rsidR="003672EF" w:rsidRDefault="003672EF" w:rsidP="003672EF"/>
    <w:p w14:paraId="51EF2C0B" w14:textId="77777777" w:rsidR="003672EF" w:rsidRPr="003672EF" w:rsidRDefault="00FF7D05" w:rsidP="003672EF">
      <w:pPr>
        <w:rPr>
          <w:b/>
        </w:rPr>
      </w:pPr>
      <w:r>
        <w:rPr>
          <w:b/>
        </w:rPr>
        <w:lastRenderedPageBreak/>
        <w:t xml:space="preserve">Figure 2. </w:t>
      </w:r>
      <w:r w:rsidR="003672EF" w:rsidRPr="003672EF">
        <w:rPr>
          <w:b/>
        </w:rPr>
        <w:t>Government funds spent for vaccines comparing to total</w:t>
      </w:r>
      <w:r w:rsidR="003672EF">
        <w:rPr>
          <w:b/>
        </w:rPr>
        <w:t xml:space="preserve"> </w:t>
      </w:r>
      <w:r w:rsidR="003672EF" w:rsidRPr="003672EF">
        <w:rPr>
          <w:b/>
        </w:rPr>
        <w:t>cost</w:t>
      </w:r>
      <w:r>
        <w:rPr>
          <w:b/>
        </w:rPr>
        <w:t xml:space="preserve"> of vaccines</w:t>
      </w:r>
      <w:r w:rsidR="003672EF" w:rsidRPr="003672EF">
        <w:rPr>
          <w:b/>
        </w:rPr>
        <w:t>, 2010-2013</w:t>
      </w:r>
    </w:p>
    <w:p w14:paraId="5F798354" w14:textId="77777777" w:rsidR="003672EF" w:rsidRDefault="003672EF" w:rsidP="00FF7D05">
      <w:pPr>
        <w:jc w:val="center"/>
      </w:pPr>
      <w:r>
        <w:rPr>
          <w:noProof/>
          <w:lang w:eastAsia="zh-CN"/>
        </w:rPr>
        <w:drawing>
          <wp:inline distT="0" distB="0" distL="0" distR="0" wp14:anchorId="0E753404" wp14:editId="415929A9">
            <wp:extent cx="3444240" cy="2367280"/>
            <wp:effectExtent l="0" t="0" r="10160" b="0"/>
            <wp:docPr id="5" name="Picture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
                    <pic:cNvPicPr>
                      <a:picLocks noGrp="1" noChangeArrowheads="1"/>
                    </pic:cNvPicPr>
                  </pic:nvPicPr>
                  <pic:blipFill rotWithShape="1">
                    <a:blip r:embed="rId16">
                      <a:extLst>
                        <a:ext uri="{28A0092B-C50C-407E-A947-70E740481C1C}">
                          <a14:useLocalDpi xmlns:a14="http://schemas.microsoft.com/office/drawing/2010/main" val="0"/>
                        </a:ext>
                      </a:extLst>
                    </a:blip>
                    <a:srcRect l="6604" t="6654" r="7301" b="2153"/>
                    <a:stretch/>
                  </pic:blipFill>
                  <pic:spPr bwMode="auto">
                    <a:xfrm>
                      <a:off x="0" y="0"/>
                      <a:ext cx="3444806" cy="2367669"/>
                    </a:xfrm>
                    <a:prstGeom prst="rect">
                      <a:avLst/>
                    </a:prstGeom>
                    <a:noFill/>
                    <a:ln>
                      <a:noFill/>
                    </a:ln>
                    <a:extLst>
                      <a:ext uri="{53640926-AAD7-44D8-BBD7-CCE9431645EC}">
                        <a14:shadowObscured xmlns:a14="http://schemas.microsoft.com/office/drawing/2010/main"/>
                      </a:ext>
                    </a:extLst>
                  </pic:spPr>
                </pic:pic>
              </a:graphicData>
            </a:graphic>
          </wp:inline>
        </w:drawing>
      </w:r>
    </w:p>
    <w:p w14:paraId="53B0057B" w14:textId="77777777" w:rsidR="003672EF" w:rsidRPr="003672EF" w:rsidRDefault="003672EF" w:rsidP="00FF7D05">
      <w:pPr>
        <w:jc w:val="center"/>
      </w:pPr>
      <w:r>
        <w:t>Source: JRF 2010-2013</w:t>
      </w:r>
    </w:p>
    <w:p w14:paraId="22CF22F7" w14:textId="77777777" w:rsidR="001834DF" w:rsidRDefault="003672EF" w:rsidP="003672EF">
      <w:r w:rsidRPr="003672EF">
        <w:t xml:space="preserve"> </w:t>
      </w:r>
    </w:p>
    <w:p w14:paraId="0EC01392" w14:textId="77777777" w:rsidR="00111CF8" w:rsidRDefault="00111CF8" w:rsidP="00111CF8">
      <w:r>
        <w:t xml:space="preserve">Cambodia is requesting funds from the GAVI Alliance to cover the cost of the vaccine doses and additional costs associated with a new vaccine introduction through the Vaccine Introduction Grant (VIG). A detailed budget on how the funds requested for the new vaccine introduction grant will be spent is available in Annex D. When creating the budget, the funds requested for the recent PCV and JE applications were considered in order to avoid overlap of areas. </w:t>
      </w:r>
    </w:p>
    <w:p w14:paraId="2A7DF19B" w14:textId="77777777" w:rsidR="00111CF8" w:rsidRDefault="00111CF8" w:rsidP="00111CF8"/>
    <w:p w14:paraId="0E15B1CC" w14:textId="2284091A" w:rsidR="00111CF8" w:rsidRDefault="00111CF8" w:rsidP="00111CF8">
      <w:r>
        <w:t>The total estimated budget for IPV introduction is $</w:t>
      </w:r>
      <w:r w:rsidRPr="00111CF8">
        <w:t>797,577</w:t>
      </w:r>
      <w:r>
        <w:t xml:space="preserve"> USD.</w:t>
      </w:r>
      <w:r w:rsidR="00287649">
        <w:t xml:space="preserve"> The </w:t>
      </w:r>
      <w:proofErr w:type="gramStart"/>
      <w:r w:rsidR="00287649">
        <w:t>funds requested from GAVI through the vaccine introduction grant is</w:t>
      </w:r>
      <w:proofErr w:type="gramEnd"/>
      <w:r w:rsidR="00287649">
        <w:t xml:space="preserve"> $311,177. </w:t>
      </w:r>
      <w:r w:rsidR="001B48A8">
        <w:t xml:space="preserve">Additionally, there is proposed partner support from WHO and UNICEF for $105,000 USD. </w:t>
      </w:r>
      <w:r>
        <w:t>Below is a summary of the funds requested by category and proposed partner support:</w:t>
      </w:r>
    </w:p>
    <w:p w14:paraId="7F7D2B0E" w14:textId="77777777" w:rsidR="003672EF" w:rsidRDefault="003672EF" w:rsidP="00317803"/>
    <w:tbl>
      <w:tblPr>
        <w:tblStyle w:val="TableGrid"/>
        <w:tblW w:w="9648" w:type="dxa"/>
        <w:tblLook w:val="0420" w:firstRow="1" w:lastRow="0" w:firstColumn="0" w:lastColumn="0" w:noHBand="0" w:noVBand="1"/>
      </w:tblPr>
      <w:tblGrid>
        <w:gridCol w:w="4054"/>
        <w:gridCol w:w="1634"/>
        <w:gridCol w:w="1620"/>
        <w:gridCol w:w="2340"/>
      </w:tblGrid>
      <w:tr w:rsidR="001B48A8" w:rsidRPr="00111CF8" w14:paraId="50DBFE28" w14:textId="77777777" w:rsidTr="001B48A8">
        <w:trPr>
          <w:trHeight w:val="230"/>
        </w:trPr>
        <w:tc>
          <w:tcPr>
            <w:tcW w:w="4054" w:type="dxa"/>
            <w:hideMark/>
          </w:tcPr>
          <w:p w14:paraId="618AD842" w14:textId="77777777" w:rsidR="00696CF9" w:rsidRPr="00111CF8" w:rsidRDefault="00111CF8" w:rsidP="00111CF8">
            <w:pPr>
              <w:rPr>
                <w:sz w:val="20"/>
                <w:szCs w:val="20"/>
              </w:rPr>
            </w:pPr>
            <w:r w:rsidRPr="00111CF8">
              <w:rPr>
                <w:b/>
                <w:bCs/>
                <w:sz w:val="20"/>
                <w:szCs w:val="20"/>
              </w:rPr>
              <w:t>Category</w:t>
            </w:r>
          </w:p>
        </w:tc>
        <w:tc>
          <w:tcPr>
            <w:tcW w:w="1634" w:type="dxa"/>
            <w:hideMark/>
          </w:tcPr>
          <w:p w14:paraId="2697585C" w14:textId="77777777" w:rsidR="00696CF9" w:rsidRPr="00111CF8" w:rsidRDefault="00111CF8" w:rsidP="00111CF8">
            <w:pPr>
              <w:rPr>
                <w:sz w:val="20"/>
                <w:szCs w:val="20"/>
              </w:rPr>
            </w:pPr>
            <w:r w:rsidRPr="00111CF8">
              <w:rPr>
                <w:b/>
                <w:bCs/>
                <w:sz w:val="20"/>
                <w:szCs w:val="20"/>
              </w:rPr>
              <w:t>Funds requested to GAVI</w:t>
            </w:r>
          </w:p>
        </w:tc>
        <w:tc>
          <w:tcPr>
            <w:tcW w:w="1620" w:type="dxa"/>
            <w:hideMark/>
          </w:tcPr>
          <w:p w14:paraId="172588FB" w14:textId="77777777" w:rsidR="00696CF9" w:rsidRPr="00111CF8" w:rsidRDefault="00111CF8" w:rsidP="00111CF8">
            <w:pPr>
              <w:rPr>
                <w:sz w:val="20"/>
                <w:szCs w:val="20"/>
              </w:rPr>
            </w:pPr>
            <w:r w:rsidRPr="00111CF8">
              <w:rPr>
                <w:b/>
                <w:bCs/>
                <w:sz w:val="20"/>
                <w:szCs w:val="20"/>
              </w:rPr>
              <w:t>Potential partner support</w:t>
            </w:r>
          </w:p>
        </w:tc>
        <w:tc>
          <w:tcPr>
            <w:tcW w:w="2340" w:type="dxa"/>
            <w:hideMark/>
          </w:tcPr>
          <w:p w14:paraId="1604CA92" w14:textId="0545FA85" w:rsidR="00696CF9" w:rsidRPr="001B48A8" w:rsidRDefault="00111CF8" w:rsidP="00111CF8">
            <w:pPr>
              <w:ind w:right="393"/>
              <w:rPr>
                <w:sz w:val="20"/>
                <w:szCs w:val="20"/>
              </w:rPr>
            </w:pPr>
            <w:r w:rsidRPr="001B48A8">
              <w:rPr>
                <w:b/>
                <w:bCs/>
                <w:sz w:val="20"/>
                <w:szCs w:val="20"/>
              </w:rPr>
              <w:t xml:space="preserve">HSSP funds </w:t>
            </w:r>
            <w:r w:rsidR="001B48A8" w:rsidRPr="001B48A8">
              <w:rPr>
                <w:b/>
                <w:bCs/>
                <w:sz w:val="20"/>
                <w:szCs w:val="20"/>
              </w:rPr>
              <w:t xml:space="preserve">and </w:t>
            </w:r>
            <w:r w:rsidRPr="001B48A8">
              <w:rPr>
                <w:b/>
                <w:bCs/>
                <w:sz w:val="20"/>
                <w:szCs w:val="20"/>
              </w:rPr>
              <w:t>government contribution</w:t>
            </w:r>
          </w:p>
        </w:tc>
      </w:tr>
      <w:tr w:rsidR="001B48A8" w:rsidRPr="00111CF8" w14:paraId="2C7EC5BE" w14:textId="77777777" w:rsidTr="001B48A8">
        <w:trPr>
          <w:trHeight w:val="19"/>
        </w:trPr>
        <w:tc>
          <w:tcPr>
            <w:tcW w:w="4054" w:type="dxa"/>
            <w:hideMark/>
          </w:tcPr>
          <w:p w14:paraId="22B22A70" w14:textId="77777777" w:rsidR="00696CF9" w:rsidRPr="00111CF8" w:rsidRDefault="00111CF8" w:rsidP="00111CF8">
            <w:pPr>
              <w:rPr>
                <w:sz w:val="20"/>
                <w:szCs w:val="20"/>
              </w:rPr>
            </w:pPr>
            <w:r w:rsidRPr="00111CF8">
              <w:rPr>
                <w:sz w:val="20"/>
                <w:szCs w:val="20"/>
              </w:rPr>
              <w:t>Planning and Preparations</w:t>
            </w:r>
          </w:p>
        </w:tc>
        <w:tc>
          <w:tcPr>
            <w:tcW w:w="1634" w:type="dxa"/>
            <w:hideMark/>
          </w:tcPr>
          <w:p w14:paraId="2812BF5D" w14:textId="77777777" w:rsidR="00696CF9" w:rsidRPr="001B48A8" w:rsidRDefault="00111CF8" w:rsidP="00111CF8">
            <w:pPr>
              <w:rPr>
                <w:szCs w:val="20"/>
              </w:rPr>
            </w:pPr>
            <w:r w:rsidRPr="001B48A8">
              <w:rPr>
                <w:szCs w:val="20"/>
              </w:rPr>
              <w:t>4,500</w:t>
            </w:r>
          </w:p>
        </w:tc>
        <w:tc>
          <w:tcPr>
            <w:tcW w:w="1620" w:type="dxa"/>
            <w:hideMark/>
          </w:tcPr>
          <w:p w14:paraId="724420DC" w14:textId="7549070E" w:rsidR="00696CF9" w:rsidRPr="001B48A8" w:rsidRDefault="00111CF8" w:rsidP="00111CF8">
            <w:pPr>
              <w:rPr>
                <w:szCs w:val="20"/>
              </w:rPr>
            </w:pPr>
            <w:r w:rsidRPr="001B48A8">
              <w:rPr>
                <w:szCs w:val="20"/>
              </w:rPr>
              <w:t>5,000</w:t>
            </w:r>
            <w:r w:rsidR="001B48A8" w:rsidRPr="001B48A8">
              <w:rPr>
                <w:szCs w:val="20"/>
              </w:rPr>
              <w:t xml:space="preserve"> WHO</w:t>
            </w:r>
          </w:p>
        </w:tc>
        <w:tc>
          <w:tcPr>
            <w:tcW w:w="2340" w:type="dxa"/>
            <w:hideMark/>
          </w:tcPr>
          <w:p w14:paraId="3AAD7C1A" w14:textId="77777777" w:rsidR="00111CF8" w:rsidRPr="001B48A8" w:rsidRDefault="00111CF8" w:rsidP="00111CF8">
            <w:pPr>
              <w:rPr>
                <w:szCs w:val="20"/>
              </w:rPr>
            </w:pPr>
          </w:p>
        </w:tc>
      </w:tr>
      <w:tr w:rsidR="001B48A8" w:rsidRPr="00111CF8" w14:paraId="73166C82" w14:textId="77777777" w:rsidTr="001B48A8">
        <w:tc>
          <w:tcPr>
            <w:tcW w:w="4054" w:type="dxa"/>
            <w:hideMark/>
          </w:tcPr>
          <w:p w14:paraId="1674CAC4" w14:textId="77777777" w:rsidR="00696CF9" w:rsidRPr="00111CF8" w:rsidRDefault="00111CF8" w:rsidP="00111CF8">
            <w:pPr>
              <w:rPr>
                <w:sz w:val="20"/>
                <w:szCs w:val="20"/>
              </w:rPr>
            </w:pPr>
            <w:r w:rsidRPr="00111CF8">
              <w:rPr>
                <w:sz w:val="20"/>
                <w:szCs w:val="20"/>
              </w:rPr>
              <w:t>Communication, social mobilization, advocacy</w:t>
            </w:r>
          </w:p>
        </w:tc>
        <w:tc>
          <w:tcPr>
            <w:tcW w:w="1634" w:type="dxa"/>
            <w:hideMark/>
          </w:tcPr>
          <w:p w14:paraId="19937249" w14:textId="77777777" w:rsidR="00696CF9" w:rsidRPr="001B48A8" w:rsidRDefault="00111CF8" w:rsidP="00111CF8">
            <w:pPr>
              <w:rPr>
                <w:szCs w:val="20"/>
              </w:rPr>
            </w:pPr>
            <w:r w:rsidRPr="001B48A8">
              <w:rPr>
                <w:szCs w:val="20"/>
              </w:rPr>
              <w:t>51,000</w:t>
            </w:r>
          </w:p>
        </w:tc>
        <w:tc>
          <w:tcPr>
            <w:tcW w:w="1620" w:type="dxa"/>
            <w:hideMark/>
          </w:tcPr>
          <w:p w14:paraId="48940D05" w14:textId="412259FF" w:rsidR="00696CF9" w:rsidRPr="001B48A8" w:rsidRDefault="00111CF8" w:rsidP="00111CF8">
            <w:pPr>
              <w:rPr>
                <w:szCs w:val="20"/>
              </w:rPr>
            </w:pPr>
            <w:r w:rsidRPr="001B48A8">
              <w:rPr>
                <w:szCs w:val="20"/>
              </w:rPr>
              <w:t>30,000</w:t>
            </w:r>
            <w:r w:rsidR="001B48A8" w:rsidRPr="001B48A8">
              <w:rPr>
                <w:szCs w:val="20"/>
              </w:rPr>
              <w:t xml:space="preserve"> UNICEF</w:t>
            </w:r>
          </w:p>
        </w:tc>
        <w:tc>
          <w:tcPr>
            <w:tcW w:w="2340" w:type="dxa"/>
            <w:hideMark/>
          </w:tcPr>
          <w:p w14:paraId="72C462FD" w14:textId="77777777" w:rsidR="00696CF9" w:rsidRPr="001B48A8" w:rsidRDefault="00111CF8" w:rsidP="00111CF8">
            <w:pPr>
              <w:rPr>
                <w:szCs w:val="20"/>
              </w:rPr>
            </w:pPr>
            <w:r w:rsidRPr="001B48A8">
              <w:rPr>
                <w:szCs w:val="20"/>
              </w:rPr>
              <w:t>1,000</w:t>
            </w:r>
          </w:p>
        </w:tc>
      </w:tr>
      <w:tr w:rsidR="001B48A8" w:rsidRPr="00111CF8" w14:paraId="08678C88" w14:textId="77777777" w:rsidTr="001B48A8">
        <w:trPr>
          <w:trHeight w:val="19"/>
        </w:trPr>
        <w:tc>
          <w:tcPr>
            <w:tcW w:w="4054" w:type="dxa"/>
            <w:hideMark/>
          </w:tcPr>
          <w:p w14:paraId="3E4DA6F2" w14:textId="77777777" w:rsidR="00696CF9" w:rsidRPr="00111CF8" w:rsidRDefault="00111CF8" w:rsidP="00111CF8">
            <w:pPr>
              <w:rPr>
                <w:sz w:val="20"/>
                <w:szCs w:val="20"/>
              </w:rPr>
            </w:pPr>
            <w:r w:rsidRPr="00111CF8">
              <w:rPr>
                <w:sz w:val="20"/>
                <w:szCs w:val="20"/>
              </w:rPr>
              <w:t>Other trainings</w:t>
            </w:r>
          </w:p>
        </w:tc>
        <w:tc>
          <w:tcPr>
            <w:tcW w:w="1634" w:type="dxa"/>
            <w:hideMark/>
          </w:tcPr>
          <w:p w14:paraId="440A6529" w14:textId="77777777" w:rsidR="00696CF9" w:rsidRPr="001B48A8" w:rsidRDefault="00111CF8" w:rsidP="00111CF8">
            <w:pPr>
              <w:rPr>
                <w:szCs w:val="20"/>
              </w:rPr>
            </w:pPr>
            <w:r w:rsidRPr="001B48A8">
              <w:rPr>
                <w:szCs w:val="20"/>
              </w:rPr>
              <w:t>147,268</w:t>
            </w:r>
          </w:p>
        </w:tc>
        <w:tc>
          <w:tcPr>
            <w:tcW w:w="1620" w:type="dxa"/>
            <w:hideMark/>
          </w:tcPr>
          <w:p w14:paraId="5DD7A82A" w14:textId="5DE35537" w:rsidR="00696CF9" w:rsidRPr="001B48A8" w:rsidRDefault="00111CF8" w:rsidP="00111CF8">
            <w:pPr>
              <w:rPr>
                <w:szCs w:val="20"/>
              </w:rPr>
            </w:pPr>
            <w:r w:rsidRPr="001B48A8">
              <w:rPr>
                <w:szCs w:val="20"/>
              </w:rPr>
              <w:t>10,000</w:t>
            </w:r>
            <w:r w:rsidR="001B48A8" w:rsidRPr="001B48A8">
              <w:rPr>
                <w:szCs w:val="20"/>
              </w:rPr>
              <w:t xml:space="preserve"> WHO</w:t>
            </w:r>
          </w:p>
        </w:tc>
        <w:tc>
          <w:tcPr>
            <w:tcW w:w="2340" w:type="dxa"/>
            <w:hideMark/>
          </w:tcPr>
          <w:p w14:paraId="355B3E08" w14:textId="77777777" w:rsidR="00696CF9" w:rsidRPr="001B48A8" w:rsidRDefault="00111CF8" w:rsidP="00111CF8">
            <w:pPr>
              <w:rPr>
                <w:szCs w:val="20"/>
              </w:rPr>
            </w:pPr>
            <w:r w:rsidRPr="001B48A8">
              <w:rPr>
                <w:szCs w:val="20"/>
              </w:rPr>
              <w:t>55,000</w:t>
            </w:r>
          </w:p>
        </w:tc>
      </w:tr>
      <w:tr w:rsidR="001B48A8" w:rsidRPr="00111CF8" w14:paraId="78AD6297" w14:textId="77777777" w:rsidTr="001B48A8">
        <w:trPr>
          <w:trHeight w:val="19"/>
        </w:trPr>
        <w:tc>
          <w:tcPr>
            <w:tcW w:w="4054" w:type="dxa"/>
            <w:hideMark/>
          </w:tcPr>
          <w:p w14:paraId="0786E5CC" w14:textId="77777777" w:rsidR="00696CF9" w:rsidRPr="00111CF8" w:rsidRDefault="00111CF8" w:rsidP="00111CF8">
            <w:pPr>
              <w:rPr>
                <w:sz w:val="20"/>
                <w:szCs w:val="20"/>
              </w:rPr>
            </w:pPr>
            <w:r w:rsidRPr="00111CF8">
              <w:rPr>
                <w:sz w:val="20"/>
                <w:szCs w:val="20"/>
              </w:rPr>
              <w:t>Document Production</w:t>
            </w:r>
          </w:p>
        </w:tc>
        <w:tc>
          <w:tcPr>
            <w:tcW w:w="1634" w:type="dxa"/>
            <w:hideMark/>
          </w:tcPr>
          <w:p w14:paraId="5D2A72EA" w14:textId="77777777" w:rsidR="00696CF9" w:rsidRPr="001B48A8" w:rsidRDefault="00111CF8" w:rsidP="00111CF8">
            <w:pPr>
              <w:rPr>
                <w:szCs w:val="20"/>
              </w:rPr>
            </w:pPr>
            <w:r w:rsidRPr="001B48A8">
              <w:rPr>
                <w:szCs w:val="20"/>
              </w:rPr>
              <w:t xml:space="preserve"> 29,162</w:t>
            </w:r>
          </w:p>
        </w:tc>
        <w:tc>
          <w:tcPr>
            <w:tcW w:w="1620" w:type="dxa"/>
            <w:hideMark/>
          </w:tcPr>
          <w:p w14:paraId="40875080" w14:textId="77777777" w:rsidR="00696CF9" w:rsidRPr="001B48A8" w:rsidRDefault="00111CF8" w:rsidP="00111CF8">
            <w:pPr>
              <w:rPr>
                <w:szCs w:val="20"/>
              </w:rPr>
            </w:pPr>
            <w:r w:rsidRPr="001B48A8">
              <w:rPr>
                <w:szCs w:val="20"/>
              </w:rPr>
              <w:t xml:space="preserve">   </w:t>
            </w:r>
          </w:p>
        </w:tc>
        <w:tc>
          <w:tcPr>
            <w:tcW w:w="2340" w:type="dxa"/>
            <w:hideMark/>
          </w:tcPr>
          <w:p w14:paraId="22282202" w14:textId="77777777" w:rsidR="00696CF9" w:rsidRPr="001B48A8" w:rsidRDefault="00111CF8" w:rsidP="00111CF8">
            <w:pPr>
              <w:rPr>
                <w:szCs w:val="20"/>
              </w:rPr>
            </w:pPr>
            <w:r w:rsidRPr="001B48A8">
              <w:rPr>
                <w:szCs w:val="20"/>
              </w:rPr>
              <w:t>315,400</w:t>
            </w:r>
          </w:p>
        </w:tc>
      </w:tr>
      <w:tr w:rsidR="001B48A8" w:rsidRPr="00111CF8" w14:paraId="1AC48D13" w14:textId="77777777" w:rsidTr="001B48A8">
        <w:tc>
          <w:tcPr>
            <w:tcW w:w="4054" w:type="dxa"/>
            <w:hideMark/>
          </w:tcPr>
          <w:p w14:paraId="2EAC4014" w14:textId="77777777" w:rsidR="00696CF9" w:rsidRPr="00111CF8" w:rsidRDefault="00111CF8" w:rsidP="00111CF8">
            <w:pPr>
              <w:rPr>
                <w:sz w:val="20"/>
                <w:szCs w:val="20"/>
              </w:rPr>
            </w:pPr>
            <w:r w:rsidRPr="00111CF8">
              <w:rPr>
                <w:sz w:val="20"/>
                <w:szCs w:val="20"/>
              </w:rPr>
              <w:t>Human resources and supervisory visits</w:t>
            </w:r>
          </w:p>
        </w:tc>
        <w:tc>
          <w:tcPr>
            <w:tcW w:w="1634" w:type="dxa"/>
            <w:hideMark/>
          </w:tcPr>
          <w:p w14:paraId="2123179C" w14:textId="77777777" w:rsidR="00696CF9" w:rsidRPr="001B48A8" w:rsidRDefault="00111CF8" w:rsidP="00111CF8">
            <w:pPr>
              <w:rPr>
                <w:szCs w:val="20"/>
              </w:rPr>
            </w:pPr>
            <w:r w:rsidRPr="001B48A8">
              <w:rPr>
                <w:szCs w:val="20"/>
              </w:rPr>
              <w:t>18,000</w:t>
            </w:r>
          </w:p>
        </w:tc>
        <w:tc>
          <w:tcPr>
            <w:tcW w:w="1620" w:type="dxa"/>
            <w:hideMark/>
          </w:tcPr>
          <w:p w14:paraId="5A4D7511" w14:textId="77777777" w:rsidR="00111CF8" w:rsidRPr="001B48A8" w:rsidRDefault="00111CF8" w:rsidP="00111CF8">
            <w:pPr>
              <w:rPr>
                <w:szCs w:val="20"/>
              </w:rPr>
            </w:pPr>
          </w:p>
        </w:tc>
        <w:tc>
          <w:tcPr>
            <w:tcW w:w="2340" w:type="dxa"/>
            <w:hideMark/>
          </w:tcPr>
          <w:p w14:paraId="6890EC42" w14:textId="77777777" w:rsidR="00111CF8" w:rsidRPr="001B48A8" w:rsidRDefault="00111CF8" w:rsidP="00111CF8">
            <w:pPr>
              <w:rPr>
                <w:szCs w:val="20"/>
              </w:rPr>
            </w:pPr>
          </w:p>
        </w:tc>
      </w:tr>
      <w:tr w:rsidR="001B48A8" w:rsidRPr="00111CF8" w14:paraId="7C269E8E" w14:textId="77777777" w:rsidTr="001B48A8">
        <w:tc>
          <w:tcPr>
            <w:tcW w:w="4054" w:type="dxa"/>
            <w:hideMark/>
          </w:tcPr>
          <w:p w14:paraId="0164D75D" w14:textId="77777777" w:rsidR="00696CF9" w:rsidRPr="00111CF8" w:rsidRDefault="00111CF8" w:rsidP="00111CF8">
            <w:pPr>
              <w:rPr>
                <w:sz w:val="20"/>
                <w:szCs w:val="20"/>
              </w:rPr>
            </w:pPr>
            <w:r w:rsidRPr="00111CF8">
              <w:rPr>
                <w:sz w:val="20"/>
                <w:szCs w:val="20"/>
              </w:rPr>
              <w:t>Cold Chain equipment</w:t>
            </w:r>
          </w:p>
        </w:tc>
        <w:tc>
          <w:tcPr>
            <w:tcW w:w="1634" w:type="dxa"/>
            <w:hideMark/>
          </w:tcPr>
          <w:p w14:paraId="14A6CCE0" w14:textId="77777777" w:rsidR="00696CF9" w:rsidRPr="001B48A8" w:rsidRDefault="00111CF8" w:rsidP="00111CF8">
            <w:pPr>
              <w:rPr>
                <w:szCs w:val="20"/>
              </w:rPr>
            </w:pPr>
            <w:r w:rsidRPr="001B48A8">
              <w:rPr>
                <w:szCs w:val="20"/>
              </w:rPr>
              <w:t>49,455</w:t>
            </w:r>
          </w:p>
        </w:tc>
        <w:tc>
          <w:tcPr>
            <w:tcW w:w="1620" w:type="dxa"/>
            <w:hideMark/>
          </w:tcPr>
          <w:p w14:paraId="5E0E68CB" w14:textId="56D70078" w:rsidR="00696CF9" w:rsidRPr="001B48A8" w:rsidRDefault="00111CF8" w:rsidP="00111CF8">
            <w:pPr>
              <w:rPr>
                <w:szCs w:val="20"/>
              </w:rPr>
            </w:pPr>
            <w:r w:rsidRPr="001B48A8">
              <w:rPr>
                <w:szCs w:val="20"/>
              </w:rPr>
              <w:t>20,000</w:t>
            </w:r>
            <w:r w:rsidR="001B48A8" w:rsidRPr="001B48A8">
              <w:rPr>
                <w:szCs w:val="20"/>
              </w:rPr>
              <w:t xml:space="preserve"> UNICEF</w:t>
            </w:r>
          </w:p>
        </w:tc>
        <w:tc>
          <w:tcPr>
            <w:tcW w:w="2340" w:type="dxa"/>
            <w:hideMark/>
          </w:tcPr>
          <w:p w14:paraId="69D71AA8" w14:textId="77777777" w:rsidR="00111CF8" w:rsidRPr="001B48A8" w:rsidRDefault="00111CF8" w:rsidP="00111CF8">
            <w:pPr>
              <w:rPr>
                <w:szCs w:val="20"/>
              </w:rPr>
            </w:pPr>
          </w:p>
        </w:tc>
      </w:tr>
      <w:tr w:rsidR="001B48A8" w:rsidRPr="00111CF8" w14:paraId="06D2AF5D" w14:textId="77777777" w:rsidTr="001B48A8">
        <w:tc>
          <w:tcPr>
            <w:tcW w:w="4054" w:type="dxa"/>
            <w:hideMark/>
          </w:tcPr>
          <w:p w14:paraId="709DB3A1" w14:textId="77777777" w:rsidR="00696CF9" w:rsidRPr="00111CF8" w:rsidRDefault="00111CF8" w:rsidP="00111CF8">
            <w:pPr>
              <w:rPr>
                <w:sz w:val="20"/>
                <w:szCs w:val="20"/>
              </w:rPr>
            </w:pPr>
            <w:r w:rsidRPr="00111CF8">
              <w:rPr>
                <w:sz w:val="20"/>
                <w:szCs w:val="20"/>
              </w:rPr>
              <w:t>Distribution of vaccine (one-time introduction)</w:t>
            </w:r>
          </w:p>
        </w:tc>
        <w:tc>
          <w:tcPr>
            <w:tcW w:w="1634" w:type="dxa"/>
            <w:hideMark/>
          </w:tcPr>
          <w:p w14:paraId="6D01260A" w14:textId="77777777" w:rsidR="00696CF9" w:rsidRPr="001B48A8" w:rsidRDefault="00111CF8" w:rsidP="00111CF8">
            <w:pPr>
              <w:rPr>
                <w:szCs w:val="20"/>
              </w:rPr>
            </w:pPr>
            <w:r w:rsidRPr="001B48A8">
              <w:rPr>
                <w:szCs w:val="20"/>
              </w:rPr>
              <w:t>10,000</w:t>
            </w:r>
          </w:p>
        </w:tc>
        <w:tc>
          <w:tcPr>
            <w:tcW w:w="1620" w:type="dxa"/>
            <w:hideMark/>
          </w:tcPr>
          <w:p w14:paraId="601D45E4" w14:textId="77777777" w:rsidR="00111CF8" w:rsidRPr="001B48A8" w:rsidRDefault="00111CF8" w:rsidP="00111CF8">
            <w:pPr>
              <w:rPr>
                <w:szCs w:val="20"/>
              </w:rPr>
            </w:pPr>
          </w:p>
        </w:tc>
        <w:tc>
          <w:tcPr>
            <w:tcW w:w="2340" w:type="dxa"/>
            <w:hideMark/>
          </w:tcPr>
          <w:p w14:paraId="5E0F2A32" w14:textId="77777777" w:rsidR="00696CF9" w:rsidRPr="001B48A8" w:rsidRDefault="00111CF8" w:rsidP="00111CF8">
            <w:pPr>
              <w:rPr>
                <w:szCs w:val="20"/>
              </w:rPr>
            </w:pPr>
            <w:r w:rsidRPr="001B48A8">
              <w:rPr>
                <w:szCs w:val="20"/>
              </w:rPr>
              <w:t>10,000</w:t>
            </w:r>
          </w:p>
        </w:tc>
      </w:tr>
      <w:tr w:rsidR="001B48A8" w:rsidRPr="00111CF8" w14:paraId="5EF3C044" w14:textId="77777777" w:rsidTr="001B48A8">
        <w:tc>
          <w:tcPr>
            <w:tcW w:w="4054" w:type="dxa"/>
            <w:hideMark/>
          </w:tcPr>
          <w:p w14:paraId="5B9E252D" w14:textId="77777777" w:rsidR="00696CF9" w:rsidRPr="00111CF8" w:rsidRDefault="00111CF8" w:rsidP="00111CF8">
            <w:pPr>
              <w:rPr>
                <w:sz w:val="20"/>
                <w:szCs w:val="20"/>
              </w:rPr>
            </w:pPr>
            <w:r w:rsidRPr="00111CF8">
              <w:rPr>
                <w:sz w:val="20"/>
                <w:szCs w:val="20"/>
              </w:rPr>
              <w:t>Waste management</w:t>
            </w:r>
          </w:p>
        </w:tc>
        <w:tc>
          <w:tcPr>
            <w:tcW w:w="1634" w:type="dxa"/>
            <w:hideMark/>
          </w:tcPr>
          <w:p w14:paraId="5D05177F" w14:textId="77777777" w:rsidR="00696CF9" w:rsidRPr="001B48A8" w:rsidRDefault="00111CF8" w:rsidP="00111CF8">
            <w:pPr>
              <w:rPr>
                <w:szCs w:val="20"/>
              </w:rPr>
            </w:pPr>
            <w:r w:rsidRPr="001B48A8">
              <w:rPr>
                <w:szCs w:val="20"/>
              </w:rPr>
              <w:t>1,793</w:t>
            </w:r>
          </w:p>
        </w:tc>
        <w:tc>
          <w:tcPr>
            <w:tcW w:w="1620" w:type="dxa"/>
            <w:hideMark/>
          </w:tcPr>
          <w:p w14:paraId="27634F69" w14:textId="77777777" w:rsidR="00111CF8" w:rsidRPr="001B48A8" w:rsidRDefault="00111CF8" w:rsidP="00111CF8">
            <w:pPr>
              <w:rPr>
                <w:szCs w:val="20"/>
              </w:rPr>
            </w:pPr>
          </w:p>
        </w:tc>
        <w:tc>
          <w:tcPr>
            <w:tcW w:w="2340" w:type="dxa"/>
            <w:hideMark/>
          </w:tcPr>
          <w:p w14:paraId="27EA34AE" w14:textId="77777777" w:rsidR="00111CF8" w:rsidRPr="001B48A8" w:rsidRDefault="00111CF8" w:rsidP="00111CF8">
            <w:pPr>
              <w:rPr>
                <w:szCs w:val="20"/>
              </w:rPr>
            </w:pPr>
          </w:p>
        </w:tc>
      </w:tr>
      <w:tr w:rsidR="001B48A8" w:rsidRPr="00111CF8" w14:paraId="5CF57EFF" w14:textId="77777777" w:rsidTr="001B48A8">
        <w:tc>
          <w:tcPr>
            <w:tcW w:w="4054" w:type="dxa"/>
            <w:hideMark/>
          </w:tcPr>
          <w:p w14:paraId="4823CE5D" w14:textId="77777777" w:rsidR="00696CF9" w:rsidRPr="00111CF8" w:rsidRDefault="00111CF8" w:rsidP="00111CF8">
            <w:pPr>
              <w:rPr>
                <w:sz w:val="20"/>
                <w:szCs w:val="20"/>
              </w:rPr>
            </w:pPr>
            <w:r w:rsidRPr="00111CF8">
              <w:rPr>
                <w:sz w:val="20"/>
                <w:szCs w:val="20"/>
              </w:rPr>
              <w:t>Surveillance and monitoring</w:t>
            </w:r>
          </w:p>
        </w:tc>
        <w:tc>
          <w:tcPr>
            <w:tcW w:w="1634" w:type="dxa"/>
            <w:hideMark/>
          </w:tcPr>
          <w:p w14:paraId="20B0A193" w14:textId="77777777" w:rsidR="00111CF8" w:rsidRPr="001B48A8" w:rsidRDefault="00111CF8" w:rsidP="00111CF8">
            <w:pPr>
              <w:rPr>
                <w:szCs w:val="20"/>
              </w:rPr>
            </w:pPr>
          </w:p>
        </w:tc>
        <w:tc>
          <w:tcPr>
            <w:tcW w:w="1620" w:type="dxa"/>
            <w:hideMark/>
          </w:tcPr>
          <w:p w14:paraId="33334B6F" w14:textId="50F4B52B" w:rsidR="00696CF9" w:rsidRPr="001B48A8" w:rsidRDefault="00111CF8" w:rsidP="00111CF8">
            <w:pPr>
              <w:rPr>
                <w:szCs w:val="20"/>
              </w:rPr>
            </w:pPr>
            <w:r w:rsidRPr="001B48A8">
              <w:rPr>
                <w:szCs w:val="20"/>
              </w:rPr>
              <w:t>10,000</w:t>
            </w:r>
            <w:r w:rsidR="001B48A8" w:rsidRPr="001B48A8">
              <w:rPr>
                <w:szCs w:val="20"/>
              </w:rPr>
              <w:t xml:space="preserve"> WHO</w:t>
            </w:r>
          </w:p>
        </w:tc>
        <w:tc>
          <w:tcPr>
            <w:tcW w:w="2340" w:type="dxa"/>
            <w:hideMark/>
          </w:tcPr>
          <w:p w14:paraId="51E1C2A8" w14:textId="77777777" w:rsidR="00111CF8" w:rsidRPr="001B48A8" w:rsidRDefault="00111CF8" w:rsidP="00111CF8">
            <w:pPr>
              <w:rPr>
                <w:szCs w:val="20"/>
              </w:rPr>
            </w:pPr>
          </w:p>
        </w:tc>
      </w:tr>
      <w:tr w:rsidR="001B48A8" w:rsidRPr="00111CF8" w14:paraId="5BDD7ECB" w14:textId="77777777" w:rsidTr="001B48A8">
        <w:tc>
          <w:tcPr>
            <w:tcW w:w="4054" w:type="dxa"/>
            <w:hideMark/>
          </w:tcPr>
          <w:p w14:paraId="5115DFEA" w14:textId="77777777" w:rsidR="00696CF9" w:rsidRPr="00111CF8" w:rsidRDefault="00111CF8" w:rsidP="00111CF8">
            <w:pPr>
              <w:rPr>
                <w:sz w:val="20"/>
                <w:szCs w:val="20"/>
              </w:rPr>
            </w:pPr>
            <w:r w:rsidRPr="00111CF8">
              <w:rPr>
                <w:sz w:val="20"/>
                <w:szCs w:val="20"/>
              </w:rPr>
              <w:t>Evaluation</w:t>
            </w:r>
          </w:p>
        </w:tc>
        <w:tc>
          <w:tcPr>
            <w:tcW w:w="1634" w:type="dxa"/>
            <w:hideMark/>
          </w:tcPr>
          <w:p w14:paraId="4F3C07B2" w14:textId="77777777" w:rsidR="00111CF8" w:rsidRPr="001B48A8" w:rsidRDefault="00111CF8" w:rsidP="00111CF8">
            <w:pPr>
              <w:rPr>
                <w:szCs w:val="20"/>
              </w:rPr>
            </w:pPr>
          </w:p>
        </w:tc>
        <w:tc>
          <w:tcPr>
            <w:tcW w:w="1620" w:type="dxa"/>
            <w:hideMark/>
          </w:tcPr>
          <w:p w14:paraId="4D0022E3" w14:textId="02A1C75A" w:rsidR="00696CF9" w:rsidRPr="001B48A8" w:rsidRDefault="00111CF8" w:rsidP="00111CF8">
            <w:pPr>
              <w:rPr>
                <w:szCs w:val="20"/>
              </w:rPr>
            </w:pPr>
            <w:r w:rsidRPr="001B48A8">
              <w:rPr>
                <w:szCs w:val="20"/>
              </w:rPr>
              <w:t>15,000</w:t>
            </w:r>
            <w:r w:rsidR="001B48A8" w:rsidRPr="001B48A8">
              <w:rPr>
                <w:szCs w:val="20"/>
              </w:rPr>
              <w:t xml:space="preserve"> WHO</w:t>
            </w:r>
          </w:p>
        </w:tc>
        <w:tc>
          <w:tcPr>
            <w:tcW w:w="2340" w:type="dxa"/>
            <w:hideMark/>
          </w:tcPr>
          <w:p w14:paraId="19473589" w14:textId="77777777" w:rsidR="00111CF8" w:rsidRPr="001B48A8" w:rsidRDefault="00111CF8" w:rsidP="00111CF8">
            <w:pPr>
              <w:rPr>
                <w:szCs w:val="20"/>
              </w:rPr>
            </w:pPr>
          </w:p>
        </w:tc>
      </w:tr>
      <w:tr w:rsidR="001B48A8" w:rsidRPr="00111CF8" w14:paraId="200D223A" w14:textId="77777777" w:rsidTr="001B48A8">
        <w:tc>
          <w:tcPr>
            <w:tcW w:w="4054" w:type="dxa"/>
            <w:hideMark/>
          </w:tcPr>
          <w:p w14:paraId="5B560A29" w14:textId="77777777" w:rsidR="00696CF9" w:rsidRPr="00111CF8" w:rsidRDefault="00111CF8" w:rsidP="00111CF8">
            <w:pPr>
              <w:rPr>
                <w:sz w:val="20"/>
                <w:szCs w:val="20"/>
              </w:rPr>
            </w:pPr>
            <w:r w:rsidRPr="00111CF8">
              <w:rPr>
                <w:sz w:val="20"/>
                <w:szCs w:val="20"/>
              </w:rPr>
              <w:t>Technical Assistance</w:t>
            </w:r>
          </w:p>
        </w:tc>
        <w:tc>
          <w:tcPr>
            <w:tcW w:w="1634" w:type="dxa"/>
            <w:hideMark/>
          </w:tcPr>
          <w:p w14:paraId="0ED0ADA0" w14:textId="77777777" w:rsidR="00111CF8" w:rsidRPr="001B48A8" w:rsidRDefault="00111CF8" w:rsidP="00111CF8">
            <w:pPr>
              <w:rPr>
                <w:szCs w:val="20"/>
              </w:rPr>
            </w:pPr>
          </w:p>
        </w:tc>
        <w:tc>
          <w:tcPr>
            <w:tcW w:w="1620" w:type="dxa"/>
            <w:hideMark/>
          </w:tcPr>
          <w:p w14:paraId="76A187B9" w14:textId="3E5DFD64" w:rsidR="00696CF9" w:rsidRPr="001B48A8" w:rsidRDefault="00111CF8" w:rsidP="00111CF8">
            <w:pPr>
              <w:rPr>
                <w:szCs w:val="20"/>
              </w:rPr>
            </w:pPr>
            <w:r w:rsidRPr="001B48A8">
              <w:rPr>
                <w:szCs w:val="20"/>
              </w:rPr>
              <w:t>15,000</w:t>
            </w:r>
            <w:r w:rsidR="001B48A8" w:rsidRPr="001B48A8">
              <w:rPr>
                <w:szCs w:val="20"/>
              </w:rPr>
              <w:t xml:space="preserve"> WHO</w:t>
            </w:r>
          </w:p>
        </w:tc>
        <w:tc>
          <w:tcPr>
            <w:tcW w:w="2340" w:type="dxa"/>
            <w:hideMark/>
          </w:tcPr>
          <w:p w14:paraId="2DE0B1AE" w14:textId="77777777" w:rsidR="00111CF8" w:rsidRPr="001B48A8" w:rsidRDefault="00111CF8" w:rsidP="00111CF8">
            <w:pPr>
              <w:rPr>
                <w:szCs w:val="20"/>
              </w:rPr>
            </w:pPr>
          </w:p>
        </w:tc>
      </w:tr>
      <w:tr w:rsidR="001B48A8" w:rsidRPr="00111CF8" w14:paraId="130B22CB" w14:textId="77777777" w:rsidTr="001B48A8">
        <w:tc>
          <w:tcPr>
            <w:tcW w:w="4054" w:type="dxa"/>
            <w:hideMark/>
          </w:tcPr>
          <w:p w14:paraId="32E6BF85" w14:textId="77777777" w:rsidR="00696CF9" w:rsidRPr="00111CF8" w:rsidRDefault="00111CF8" w:rsidP="00111CF8">
            <w:pPr>
              <w:rPr>
                <w:sz w:val="20"/>
                <w:szCs w:val="20"/>
              </w:rPr>
            </w:pPr>
            <w:r w:rsidRPr="00111CF8">
              <w:rPr>
                <w:b/>
                <w:bCs/>
                <w:sz w:val="20"/>
                <w:szCs w:val="20"/>
              </w:rPr>
              <w:t>Total</w:t>
            </w:r>
          </w:p>
        </w:tc>
        <w:tc>
          <w:tcPr>
            <w:tcW w:w="1634" w:type="dxa"/>
            <w:hideMark/>
          </w:tcPr>
          <w:p w14:paraId="594E30D9" w14:textId="77777777" w:rsidR="00696CF9" w:rsidRPr="001B48A8" w:rsidRDefault="00111CF8" w:rsidP="00111CF8">
            <w:pPr>
              <w:rPr>
                <w:szCs w:val="20"/>
              </w:rPr>
            </w:pPr>
            <w:r w:rsidRPr="001B48A8">
              <w:rPr>
                <w:b/>
                <w:bCs/>
                <w:szCs w:val="20"/>
              </w:rPr>
              <w:t>311,177</w:t>
            </w:r>
          </w:p>
        </w:tc>
        <w:tc>
          <w:tcPr>
            <w:tcW w:w="1620" w:type="dxa"/>
            <w:hideMark/>
          </w:tcPr>
          <w:p w14:paraId="27B4E560" w14:textId="77777777" w:rsidR="00696CF9" w:rsidRPr="001B48A8" w:rsidRDefault="00111CF8" w:rsidP="00111CF8">
            <w:pPr>
              <w:rPr>
                <w:szCs w:val="20"/>
              </w:rPr>
            </w:pPr>
            <w:r w:rsidRPr="001B48A8">
              <w:rPr>
                <w:b/>
                <w:bCs/>
                <w:szCs w:val="20"/>
              </w:rPr>
              <w:t>105,000</w:t>
            </w:r>
          </w:p>
        </w:tc>
        <w:tc>
          <w:tcPr>
            <w:tcW w:w="2340" w:type="dxa"/>
            <w:hideMark/>
          </w:tcPr>
          <w:p w14:paraId="61D066F8" w14:textId="77777777" w:rsidR="00696CF9" w:rsidRPr="001B48A8" w:rsidRDefault="00111CF8" w:rsidP="00111CF8">
            <w:pPr>
              <w:rPr>
                <w:szCs w:val="20"/>
              </w:rPr>
            </w:pPr>
            <w:r w:rsidRPr="001B48A8">
              <w:rPr>
                <w:b/>
                <w:bCs/>
                <w:szCs w:val="20"/>
              </w:rPr>
              <w:t>381,400</w:t>
            </w:r>
          </w:p>
        </w:tc>
      </w:tr>
    </w:tbl>
    <w:p w14:paraId="715290EF" w14:textId="77777777" w:rsidR="00111CF8" w:rsidRDefault="00111CF8" w:rsidP="00317803"/>
    <w:p w14:paraId="736F40CB" w14:textId="77777777" w:rsidR="00111CF8" w:rsidRPr="00317803" w:rsidRDefault="00111CF8" w:rsidP="00317803"/>
    <w:p w14:paraId="7FE9A34E" w14:textId="77777777" w:rsidR="001F0D70" w:rsidRDefault="001F0D70" w:rsidP="001F0D70">
      <w:pPr>
        <w:pStyle w:val="Heading2"/>
      </w:pPr>
      <w:bookmarkStart w:id="23" w:name="_Toc270048959"/>
      <w:r w:rsidRPr="001F0D70">
        <w:t>Overview of cold chain capacity at central levels</w:t>
      </w:r>
      <w:r w:rsidR="000B3592">
        <w:t xml:space="preserve">, provincial, and operational </w:t>
      </w:r>
      <w:r w:rsidR="000B3592" w:rsidRPr="001F0D70">
        <w:t>district</w:t>
      </w:r>
      <w:r w:rsidR="000B3592">
        <w:t xml:space="preserve"> levels</w:t>
      </w:r>
      <w:bookmarkEnd w:id="23"/>
    </w:p>
    <w:p w14:paraId="42AB46A3" w14:textId="77777777" w:rsidR="007D585C" w:rsidRDefault="007D585C" w:rsidP="00DE0378"/>
    <w:p w14:paraId="7FA5FFF6" w14:textId="064FCF61" w:rsidR="00432DFE" w:rsidRDefault="007D585C" w:rsidP="008533CF">
      <w:r>
        <w:lastRenderedPageBreak/>
        <w:t xml:space="preserve">An assessment </w:t>
      </w:r>
      <w:r w:rsidR="00432DFE">
        <w:t xml:space="preserve">of </w:t>
      </w:r>
      <w:r w:rsidR="008533CF">
        <w:t xml:space="preserve">the </w:t>
      </w:r>
      <w:r w:rsidR="00432DFE">
        <w:t xml:space="preserve">additional </w:t>
      </w:r>
      <w:r w:rsidR="006340E6" w:rsidRPr="00F0312C">
        <w:t xml:space="preserve">cold chain </w:t>
      </w:r>
      <w:r w:rsidR="00432DFE">
        <w:t>requirements for both PCV and</w:t>
      </w:r>
      <w:r w:rsidR="006340E6">
        <w:t xml:space="preserve"> </w:t>
      </w:r>
      <w:r w:rsidR="008533CF">
        <w:t xml:space="preserve">IPV </w:t>
      </w:r>
      <w:r w:rsidR="00432DFE">
        <w:t xml:space="preserve">introduction </w:t>
      </w:r>
      <w:r w:rsidR="008533CF">
        <w:t xml:space="preserve">was conducted in March 2013. </w:t>
      </w:r>
      <w:r w:rsidR="007C5196">
        <w:t>The findings showed that a</w:t>
      </w:r>
      <w:r w:rsidR="00432DFE">
        <w:t xml:space="preserve">t the central level, the net storage volume of the Central Medical Store (CMS) at +2 to +8C is sufficient to handle both vaccine introductions. At the </w:t>
      </w:r>
      <w:r w:rsidR="007C5196">
        <w:t xml:space="preserve">provincial (PHD) </w:t>
      </w:r>
      <w:r w:rsidR="00432DFE">
        <w:t xml:space="preserve">level, it was determined that 65 new refrigerators would need to be bought to meet the requirements. At the OD level, an additional 32 new refrigerators would be required. At the health center level, an additional 250 cold boxes and 500 vaccine carriers would be needed. </w:t>
      </w:r>
      <w:r w:rsidR="00B42986">
        <w:t xml:space="preserve">Additionally, there are several </w:t>
      </w:r>
      <w:r w:rsidR="004C35EF">
        <w:t>refrigerators</w:t>
      </w:r>
      <w:r w:rsidR="00B42986">
        <w:t xml:space="preserve"> </w:t>
      </w:r>
      <w:r w:rsidR="004C35EF">
        <w:t>that</w:t>
      </w:r>
      <w:r w:rsidR="00B42986">
        <w:t xml:space="preserve"> </w:t>
      </w:r>
      <w:r w:rsidR="004C35EF">
        <w:t xml:space="preserve">need to be repaired. </w:t>
      </w:r>
    </w:p>
    <w:p w14:paraId="6C0D999F" w14:textId="77777777" w:rsidR="00432DFE" w:rsidRDefault="00432DFE" w:rsidP="008533CF"/>
    <w:p w14:paraId="18214DC0" w14:textId="46B5440F" w:rsidR="00432DFE" w:rsidRDefault="00432DFE" w:rsidP="008533CF">
      <w:r>
        <w:t>As part of the</w:t>
      </w:r>
      <w:r w:rsidR="004C35EF">
        <w:t xml:space="preserve"> vaccine introduction grant requested to GAVI for the introduction of</w:t>
      </w:r>
      <w:r>
        <w:t xml:space="preserve"> </w:t>
      </w:r>
      <w:r w:rsidR="004C35EF">
        <w:t xml:space="preserve">PCV, funds were requested to cover the costs of the </w:t>
      </w:r>
      <w:r w:rsidR="00E35CDE">
        <w:t xml:space="preserve">65 refrigerators needed at the PHD and 32 refrigerators needed at the OD level. </w:t>
      </w:r>
      <w:r w:rsidR="00E23714">
        <w:t xml:space="preserve">The application also requested funds to cover the additional 250 cold boxes and 500 vaccine carriers for the Health center level. </w:t>
      </w:r>
    </w:p>
    <w:p w14:paraId="63A9AF4D" w14:textId="77777777" w:rsidR="00432DFE" w:rsidRDefault="00432DFE" w:rsidP="00432DFE"/>
    <w:p w14:paraId="2099E919" w14:textId="3FAE7AD4" w:rsidR="00704CD4" w:rsidRPr="00704CD4" w:rsidRDefault="00E23714" w:rsidP="00704CD4">
      <w:pPr>
        <w:tabs>
          <w:tab w:val="left" w:pos="7110"/>
        </w:tabs>
      </w:pPr>
      <w:r>
        <w:t xml:space="preserve">Recognizing these funds, </w:t>
      </w:r>
      <w:r w:rsidR="00696CF9">
        <w:t>as part of the GAVI application for IPV, Cambodia will be requesting an additiona</w:t>
      </w:r>
      <w:r w:rsidR="00704CD4">
        <w:t xml:space="preserve">l $49,455 to ensure the cold chain is functioning and able to handle these new vaccines. These funds will specifically cover: </w:t>
      </w:r>
    </w:p>
    <w:p w14:paraId="3C1F4FCF" w14:textId="1B0A3AD9" w:rsidR="00704CD4" w:rsidRDefault="007D585C" w:rsidP="007D585C">
      <w:pPr>
        <w:pStyle w:val="ListParagraph"/>
        <w:numPr>
          <w:ilvl w:val="0"/>
          <w:numId w:val="11"/>
        </w:numPr>
        <w:rPr>
          <w:b/>
        </w:rPr>
      </w:pPr>
      <w:r w:rsidRPr="00704CD4">
        <w:rPr>
          <w:b/>
        </w:rPr>
        <w:t xml:space="preserve">Spare parts for all levels of the cold chain: </w:t>
      </w:r>
      <w:r w:rsidRPr="00507C0F">
        <w:t>Spare parts will be ordered in order to replace non-functional parts</w:t>
      </w:r>
      <w:r w:rsidR="00704CD4">
        <w:t xml:space="preserve"> in broken refrigerators at all levels. A detailed description of all the parts that will be procured can be found as an additional sheet in detailed budget (Annex D). </w:t>
      </w:r>
    </w:p>
    <w:p w14:paraId="0C4886A2" w14:textId="74C17F47" w:rsidR="007D585C" w:rsidRPr="00704CD4" w:rsidRDefault="007D585C" w:rsidP="007D585C">
      <w:pPr>
        <w:pStyle w:val="ListParagraph"/>
        <w:numPr>
          <w:ilvl w:val="0"/>
          <w:numId w:val="11"/>
        </w:numPr>
        <w:rPr>
          <w:b/>
        </w:rPr>
      </w:pPr>
      <w:r w:rsidRPr="00704CD4">
        <w:rPr>
          <w:b/>
        </w:rPr>
        <w:t>Cold boxes</w:t>
      </w:r>
      <w:r>
        <w:t xml:space="preserve">: Cold boxes are being ordered for transportation from OD to HC. </w:t>
      </w:r>
      <w:r w:rsidR="00704CD4">
        <w:t xml:space="preserve">This has been recognized as an important need for the program because currently some HC are using vaccine carriers to transport vaccine. The capacity of these carriers is not large enough to accommodate all vaccines, especially after PCV and IPV are introduced.  </w:t>
      </w:r>
    </w:p>
    <w:p w14:paraId="3BC930CD" w14:textId="77777777" w:rsidR="00EB335A" w:rsidRDefault="00EB335A" w:rsidP="00981A47"/>
    <w:p w14:paraId="3061EE28" w14:textId="79DF4B93" w:rsidR="00CE58CC" w:rsidRPr="00D35378" w:rsidRDefault="00CE58CC" w:rsidP="00981A47">
      <w:pPr>
        <w:rPr>
          <w:b/>
        </w:rPr>
      </w:pPr>
      <w:r w:rsidRPr="00D35378">
        <w:rPr>
          <w:b/>
        </w:rPr>
        <w:t>IPV cold chain calculation of costs</w:t>
      </w:r>
      <w:r w:rsidR="006C6E06">
        <w:rPr>
          <w:b/>
        </w:rPr>
        <w:t xml:space="preserve"> ($</w:t>
      </w:r>
      <w:r w:rsidR="00704CD4">
        <w:rPr>
          <w:b/>
        </w:rPr>
        <w:t>49,455</w:t>
      </w:r>
      <w:r w:rsidR="006C6E06">
        <w:rPr>
          <w:b/>
        </w:rPr>
        <w:t>)</w:t>
      </w:r>
      <w:r w:rsidRPr="00D35378">
        <w:rPr>
          <w:b/>
        </w:rPr>
        <w:t>:</w:t>
      </w:r>
    </w:p>
    <w:tbl>
      <w:tblPr>
        <w:tblStyle w:val="TableGrid"/>
        <w:tblW w:w="0" w:type="auto"/>
        <w:tblLook w:val="04A0" w:firstRow="1" w:lastRow="0" w:firstColumn="1" w:lastColumn="0" w:noHBand="0" w:noVBand="1"/>
      </w:tblPr>
      <w:tblGrid>
        <w:gridCol w:w="3996"/>
        <w:gridCol w:w="1040"/>
        <w:gridCol w:w="2251"/>
        <w:gridCol w:w="1646"/>
      </w:tblGrid>
      <w:tr w:rsidR="00F0312C" w14:paraId="70B68B3B" w14:textId="77777777" w:rsidTr="00690133">
        <w:trPr>
          <w:trHeight w:val="252"/>
        </w:trPr>
        <w:tc>
          <w:tcPr>
            <w:tcW w:w="3996" w:type="dxa"/>
            <w:shd w:val="clear" w:color="auto" w:fill="C0504D" w:themeFill="accent2"/>
            <w:vAlign w:val="bottom"/>
          </w:tcPr>
          <w:p w14:paraId="37FA4B86" w14:textId="77777777" w:rsidR="00F0312C" w:rsidRPr="00690133" w:rsidRDefault="00F0312C" w:rsidP="00981A47">
            <w:pPr>
              <w:rPr>
                <w:b/>
                <w:color w:val="FFFFFF" w:themeColor="background1"/>
              </w:rPr>
            </w:pPr>
            <w:r w:rsidRPr="00690133">
              <w:rPr>
                <w:rFonts w:eastAsia="Times New Roman" w:cs="Times New Roman"/>
                <w:b/>
                <w:color w:val="FFFFFF" w:themeColor="background1"/>
                <w:szCs w:val="22"/>
              </w:rPr>
              <w:t>Need</w:t>
            </w:r>
          </w:p>
        </w:tc>
        <w:tc>
          <w:tcPr>
            <w:tcW w:w="1040" w:type="dxa"/>
            <w:shd w:val="clear" w:color="auto" w:fill="C0504D" w:themeFill="accent2"/>
            <w:vAlign w:val="bottom"/>
          </w:tcPr>
          <w:p w14:paraId="1830291A" w14:textId="77777777" w:rsidR="00F0312C" w:rsidRPr="00690133" w:rsidRDefault="00F0312C" w:rsidP="00CE58CC">
            <w:pPr>
              <w:jc w:val="center"/>
              <w:rPr>
                <w:b/>
                <w:color w:val="FFFFFF" w:themeColor="background1"/>
              </w:rPr>
            </w:pPr>
            <w:r w:rsidRPr="00690133">
              <w:rPr>
                <w:rFonts w:eastAsia="Times New Roman" w:cs="Times New Roman"/>
                <w:b/>
                <w:color w:val="FFFFFF" w:themeColor="background1"/>
                <w:szCs w:val="22"/>
              </w:rPr>
              <w:t>Units</w:t>
            </w:r>
          </w:p>
        </w:tc>
        <w:tc>
          <w:tcPr>
            <w:tcW w:w="2251" w:type="dxa"/>
            <w:shd w:val="clear" w:color="auto" w:fill="C0504D" w:themeFill="accent2"/>
            <w:vAlign w:val="bottom"/>
          </w:tcPr>
          <w:p w14:paraId="0AA5809F" w14:textId="77777777" w:rsidR="00F0312C" w:rsidRPr="00690133" w:rsidRDefault="00F0312C" w:rsidP="00CE58CC">
            <w:pPr>
              <w:jc w:val="center"/>
              <w:rPr>
                <w:b/>
                <w:color w:val="FFFFFF" w:themeColor="background1"/>
              </w:rPr>
            </w:pPr>
            <w:r w:rsidRPr="00690133">
              <w:rPr>
                <w:rFonts w:eastAsia="Times New Roman" w:cs="Times New Roman"/>
                <w:b/>
                <w:color w:val="FFFFFF" w:themeColor="background1"/>
                <w:szCs w:val="22"/>
              </w:rPr>
              <w:t>Cost per unit</w:t>
            </w:r>
          </w:p>
        </w:tc>
        <w:tc>
          <w:tcPr>
            <w:tcW w:w="1646" w:type="dxa"/>
            <w:shd w:val="clear" w:color="auto" w:fill="C0504D" w:themeFill="accent2"/>
            <w:vAlign w:val="bottom"/>
          </w:tcPr>
          <w:p w14:paraId="0A4413C1" w14:textId="77777777" w:rsidR="00F0312C" w:rsidRPr="00690133" w:rsidRDefault="00F0312C" w:rsidP="00CE58CC">
            <w:pPr>
              <w:jc w:val="center"/>
              <w:rPr>
                <w:b/>
                <w:color w:val="FFFFFF" w:themeColor="background1"/>
              </w:rPr>
            </w:pPr>
            <w:r w:rsidRPr="00690133">
              <w:rPr>
                <w:rFonts w:eastAsia="Times New Roman" w:cs="Times New Roman"/>
                <w:b/>
                <w:color w:val="FFFFFF" w:themeColor="background1"/>
                <w:szCs w:val="22"/>
              </w:rPr>
              <w:t>Total</w:t>
            </w:r>
          </w:p>
        </w:tc>
      </w:tr>
      <w:tr w:rsidR="00F0312C" w14:paraId="1B93A713" w14:textId="77777777" w:rsidTr="00F0312C">
        <w:trPr>
          <w:trHeight w:val="267"/>
        </w:trPr>
        <w:tc>
          <w:tcPr>
            <w:tcW w:w="3996" w:type="dxa"/>
            <w:vAlign w:val="bottom"/>
          </w:tcPr>
          <w:p w14:paraId="26085883" w14:textId="77777777" w:rsidR="00F0312C" w:rsidRPr="00EB335A" w:rsidRDefault="00F0312C" w:rsidP="000B37AB">
            <w:pPr>
              <w:rPr>
                <w:rFonts w:eastAsia="Times New Roman" w:cs="Times New Roman"/>
                <w:color w:val="000000"/>
                <w:szCs w:val="22"/>
              </w:rPr>
            </w:pPr>
            <w:r w:rsidRPr="00EB335A">
              <w:rPr>
                <w:rFonts w:eastAsia="Times New Roman" w:cs="Times New Roman"/>
                <w:color w:val="000000"/>
                <w:szCs w:val="22"/>
              </w:rPr>
              <w:t xml:space="preserve">Spare parts for </w:t>
            </w:r>
            <w:r w:rsidR="000B37AB">
              <w:rPr>
                <w:rFonts w:eastAsia="Times New Roman" w:cs="Times New Roman"/>
                <w:color w:val="000000"/>
                <w:szCs w:val="22"/>
              </w:rPr>
              <w:t>r</w:t>
            </w:r>
            <w:r w:rsidRPr="00EB335A">
              <w:rPr>
                <w:rFonts w:eastAsia="Times New Roman" w:cs="Times New Roman"/>
                <w:color w:val="000000"/>
                <w:szCs w:val="22"/>
              </w:rPr>
              <w:t>efrigerator</w:t>
            </w:r>
          </w:p>
        </w:tc>
        <w:tc>
          <w:tcPr>
            <w:tcW w:w="1040" w:type="dxa"/>
            <w:vAlign w:val="bottom"/>
          </w:tcPr>
          <w:p w14:paraId="293859A8" w14:textId="77777777" w:rsidR="00F0312C" w:rsidRDefault="00F0312C" w:rsidP="00CE58CC">
            <w:pPr>
              <w:jc w:val="center"/>
            </w:pPr>
            <w:r>
              <w:rPr>
                <w:rFonts w:eastAsia="Times New Roman" w:cs="Times New Roman"/>
                <w:color w:val="000000"/>
                <w:szCs w:val="22"/>
              </w:rPr>
              <w:t>1</w:t>
            </w:r>
          </w:p>
        </w:tc>
        <w:tc>
          <w:tcPr>
            <w:tcW w:w="2251" w:type="dxa"/>
            <w:vAlign w:val="bottom"/>
          </w:tcPr>
          <w:p w14:paraId="71D4411E" w14:textId="77777777" w:rsidR="00F0312C" w:rsidRDefault="00F0312C" w:rsidP="00CE58CC">
            <w:pPr>
              <w:jc w:val="center"/>
            </w:pPr>
            <w:r>
              <w:rPr>
                <w:rFonts w:eastAsia="Times New Roman" w:cs="Times New Roman"/>
                <w:color w:val="000000"/>
                <w:szCs w:val="22"/>
              </w:rPr>
              <w:t xml:space="preserve"> $ </w:t>
            </w:r>
            <w:r w:rsidR="000B37AB">
              <w:rPr>
                <w:rFonts w:eastAsia="Times New Roman" w:cs="Times New Roman"/>
                <w:color w:val="000000"/>
                <w:szCs w:val="22"/>
              </w:rPr>
              <w:t>45,555</w:t>
            </w:r>
          </w:p>
        </w:tc>
        <w:tc>
          <w:tcPr>
            <w:tcW w:w="1646" w:type="dxa"/>
            <w:vAlign w:val="bottom"/>
          </w:tcPr>
          <w:p w14:paraId="76D319DA" w14:textId="77777777" w:rsidR="00F0312C" w:rsidRDefault="00F0312C" w:rsidP="00507C0F">
            <w:pPr>
              <w:jc w:val="center"/>
            </w:pPr>
            <w:r>
              <w:rPr>
                <w:rFonts w:eastAsia="Times New Roman" w:cs="Times New Roman"/>
                <w:color w:val="000000"/>
                <w:szCs w:val="22"/>
              </w:rPr>
              <w:t xml:space="preserve"> $</w:t>
            </w:r>
            <w:r w:rsidR="00507C0F">
              <w:rPr>
                <w:rFonts w:eastAsia="Times New Roman" w:cs="Times New Roman"/>
                <w:color w:val="000000"/>
                <w:szCs w:val="22"/>
              </w:rPr>
              <w:t>45</w:t>
            </w:r>
            <w:r>
              <w:rPr>
                <w:rFonts w:eastAsia="Times New Roman" w:cs="Times New Roman"/>
                <w:color w:val="000000"/>
                <w:szCs w:val="22"/>
              </w:rPr>
              <w:t>,</w:t>
            </w:r>
            <w:r w:rsidR="00507C0F">
              <w:rPr>
                <w:rFonts w:eastAsia="Times New Roman" w:cs="Times New Roman"/>
                <w:color w:val="000000"/>
                <w:szCs w:val="22"/>
              </w:rPr>
              <w:t>555</w:t>
            </w:r>
            <w:r>
              <w:rPr>
                <w:rFonts w:eastAsia="Times New Roman" w:cs="Times New Roman"/>
                <w:color w:val="000000"/>
                <w:szCs w:val="22"/>
              </w:rPr>
              <w:t xml:space="preserve"> </w:t>
            </w:r>
          </w:p>
        </w:tc>
      </w:tr>
      <w:tr w:rsidR="00F0312C" w14:paraId="0160936F" w14:textId="77777777" w:rsidTr="00F0312C">
        <w:trPr>
          <w:trHeight w:val="252"/>
        </w:trPr>
        <w:tc>
          <w:tcPr>
            <w:tcW w:w="3996" w:type="dxa"/>
            <w:vAlign w:val="bottom"/>
          </w:tcPr>
          <w:p w14:paraId="0A7D4684" w14:textId="15624EAE" w:rsidR="00F0312C" w:rsidRDefault="00F0312C" w:rsidP="000B37AB">
            <w:r>
              <w:rPr>
                <w:rFonts w:eastAsia="Times New Roman" w:cs="Times New Roman"/>
                <w:color w:val="000000"/>
                <w:szCs w:val="22"/>
              </w:rPr>
              <w:t xml:space="preserve">Cold Box </w:t>
            </w:r>
            <w:r w:rsidR="00704CD4">
              <w:rPr>
                <w:rFonts w:eastAsia="Times New Roman" w:cs="Times New Roman"/>
                <w:color w:val="000000"/>
                <w:szCs w:val="22"/>
              </w:rPr>
              <w:t>(</w:t>
            </w:r>
            <w:r>
              <w:rPr>
                <w:rFonts w:eastAsia="Times New Roman" w:cs="Times New Roman"/>
                <w:color w:val="000000"/>
                <w:szCs w:val="22"/>
              </w:rPr>
              <w:t>7L</w:t>
            </w:r>
            <w:r w:rsidR="00704CD4">
              <w:rPr>
                <w:rFonts w:eastAsia="Times New Roman" w:cs="Times New Roman"/>
                <w:color w:val="000000"/>
                <w:szCs w:val="22"/>
              </w:rPr>
              <w:t>)</w:t>
            </w:r>
            <w:r w:rsidR="00ED1917">
              <w:rPr>
                <w:rFonts w:eastAsia="Times New Roman" w:cs="Times New Roman"/>
                <w:color w:val="000000"/>
                <w:szCs w:val="22"/>
              </w:rPr>
              <w:t xml:space="preserve"> for</w:t>
            </w:r>
            <w:r w:rsidR="00704CD4">
              <w:rPr>
                <w:rFonts w:eastAsia="Times New Roman" w:cs="Times New Roman"/>
                <w:color w:val="000000"/>
                <w:szCs w:val="22"/>
              </w:rPr>
              <w:t xml:space="preserve"> t</w:t>
            </w:r>
            <w:r w:rsidR="000B37AB">
              <w:rPr>
                <w:rFonts w:eastAsia="Times New Roman" w:cs="Times New Roman"/>
                <w:color w:val="000000"/>
                <w:szCs w:val="22"/>
              </w:rPr>
              <w:t>ransportation</w:t>
            </w:r>
            <w:r w:rsidR="00ED1917">
              <w:rPr>
                <w:rFonts w:eastAsia="Times New Roman" w:cs="Times New Roman"/>
                <w:color w:val="000000"/>
                <w:szCs w:val="22"/>
              </w:rPr>
              <w:t xml:space="preserve"> </w:t>
            </w:r>
          </w:p>
        </w:tc>
        <w:tc>
          <w:tcPr>
            <w:tcW w:w="1040" w:type="dxa"/>
            <w:vAlign w:val="bottom"/>
          </w:tcPr>
          <w:p w14:paraId="0306FBCA" w14:textId="77777777" w:rsidR="00F0312C" w:rsidRDefault="00F0312C" w:rsidP="00CE58CC">
            <w:pPr>
              <w:jc w:val="center"/>
            </w:pPr>
            <w:r>
              <w:rPr>
                <w:rFonts w:eastAsia="Times New Roman" w:cs="Times New Roman"/>
                <w:color w:val="000000"/>
                <w:szCs w:val="22"/>
              </w:rPr>
              <w:t>200</w:t>
            </w:r>
          </w:p>
        </w:tc>
        <w:tc>
          <w:tcPr>
            <w:tcW w:w="2251" w:type="dxa"/>
            <w:vAlign w:val="bottom"/>
          </w:tcPr>
          <w:p w14:paraId="3DF632F3" w14:textId="77777777" w:rsidR="00F0312C" w:rsidRDefault="00F0312C" w:rsidP="00CE58CC">
            <w:pPr>
              <w:jc w:val="center"/>
            </w:pPr>
            <w:r>
              <w:rPr>
                <w:rFonts w:eastAsia="Times New Roman" w:cs="Times New Roman"/>
                <w:color w:val="000000"/>
                <w:szCs w:val="22"/>
              </w:rPr>
              <w:t xml:space="preserve"> $ 20 </w:t>
            </w:r>
          </w:p>
        </w:tc>
        <w:tc>
          <w:tcPr>
            <w:tcW w:w="1646" w:type="dxa"/>
            <w:vAlign w:val="bottom"/>
          </w:tcPr>
          <w:p w14:paraId="290D6175" w14:textId="77777777" w:rsidR="00F0312C" w:rsidRDefault="00F0312C" w:rsidP="00CE58CC">
            <w:pPr>
              <w:jc w:val="center"/>
            </w:pPr>
            <w:r>
              <w:rPr>
                <w:rFonts w:eastAsia="Times New Roman" w:cs="Times New Roman"/>
                <w:color w:val="000000"/>
                <w:szCs w:val="22"/>
              </w:rPr>
              <w:t xml:space="preserve"> $4,000 </w:t>
            </w:r>
          </w:p>
        </w:tc>
      </w:tr>
      <w:tr w:rsidR="00F0312C" w14:paraId="1D7C3E84" w14:textId="77777777" w:rsidTr="00F0312C">
        <w:trPr>
          <w:trHeight w:val="78"/>
        </w:trPr>
        <w:tc>
          <w:tcPr>
            <w:tcW w:w="3996" w:type="dxa"/>
            <w:vAlign w:val="bottom"/>
          </w:tcPr>
          <w:p w14:paraId="7104B933" w14:textId="77777777" w:rsidR="00F0312C" w:rsidRPr="00704CD4" w:rsidRDefault="00F0312C" w:rsidP="00981A47">
            <w:pPr>
              <w:rPr>
                <w:b/>
              </w:rPr>
            </w:pPr>
            <w:r w:rsidRPr="00704CD4">
              <w:rPr>
                <w:rFonts w:eastAsia="Times New Roman" w:cs="Times New Roman"/>
                <w:b/>
                <w:color w:val="000000"/>
                <w:szCs w:val="22"/>
              </w:rPr>
              <w:t>Total Cold chain equipment costs IPV</w:t>
            </w:r>
          </w:p>
        </w:tc>
        <w:tc>
          <w:tcPr>
            <w:tcW w:w="1040" w:type="dxa"/>
            <w:vAlign w:val="bottom"/>
          </w:tcPr>
          <w:p w14:paraId="5D41DC5A" w14:textId="77777777" w:rsidR="00F0312C" w:rsidRDefault="00F0312C" w:rsidP="00CE58CC">
            <w:pPr>
              <w:jc w:val="center"/>
            </w:pPr>
          </w:p>
        </w:tc>
        <w:tc>
          <w:tcPr>
            <w:tcW w:w="2251" w:type="dxa"/>
            <w:vAlign w:val="bottom"/>
          </w:tcPr>
          <w:p w14:paraId="42AF539E" w14:textId="77777777" w:rsidR="00F0312C" w:rsidRDefault="00F0312C" w:rsidP="00CE58CC">
            <w:pPr>
              <w:jc w:val="center"/>
            </w:pPr>
          </w:p>
        </w:tc>
        <w:tc>
          <w:tcPr>
            <w:tcW w:w="1646" w:type="dxa"/>
            <w:vAlign w:val="bottom"/>
          </w:tcPr>
          <w:p w14:paraId="5B27B5F4" w14:textId="77777777" w:rsidR="00F0312C" w:rsidRPr="00ED1917" w:rsidRDefault="00F0312C" w:rsidP="000B37AB">
            <w:pPr>
              <w:jc w:val="center"/>
              <w:rPr>
                <w:b/>
              </w:rPr>
            </w:pPr>
            <w:r w:rsidRPr="00ED1917">
              <w:rPr>
                <w:rFonts w:eastAsia="Times New Roman" w:cs="Times New Roman"/>
                <w:b/>
                <w:color w:val="000000"/>
                <w:szCs w:val="22"/>
              </w:rPr>
              <w:t xml:space="preserve"> $</w:t>
            </w:r>
            <w:r w:rsidR="000B37AB">
              <w:rPr>
                <w:rFonts w:eastAsia="Times New Roman" w:cs="Times New Roman"/>
                <w:b/>
                <w:color w:val="000000"/>
                <w:szCs w:val="22"/>
              </w:rPr>
              <w:t>4</w:t>
            </w:r>
            <w:r w:rsidR="00507C0F">
              <w:rPr>
                <w:rFonts w:eastAsia="Times New Roman" w:cs="Times New Roman"/>
                <w:b/>
                <w:color w:val="000000"/>
                <w:szCs w:val="22"/>
              </w:rPr>
              <w:t>9,455</w:t>
            </w:r>
            <w:r w:rsidRPr="00ED1917">
              <w:rPr>
                <w:rFonts w:eastAsia="Times New Roman" w:cs="Times New Roman"/>
                <w:b/>
                <w:color w:val="000000"/>
                <w:szCs w:val="22"/>
              </w:rPr>
              <w:t xml:space="preserve"> </w:t>
            </w:r>
          </w:p>
        </w:tc>
      </w:tr>
    </w:tbl>
    <w:p w14:paraId="751609FD" w14:textId="77777777" w:rsidR="00480D9A" w:rsidRDefault="00480D9A" w:rsidP="00DE0378"/>
    <w:p w14:paraId="774EEC1C" w14:textId="77777777" w:rsidR="007D5264" w:rsidRDefault="007D5264" w:rsidP="00317803"/>
    <w:p w14:paraId="29C4DE7E" w14:textId="77777777" w:rsidR="009E20A5" w:rsidRPr="00317803" w:rsidRDefault="009E20A5" w:rsidP="00317803"/>
    <w:p w14:paraId="0098460B" w14:textId="77777777" w:rsidR="001F0D70" w:rsidRDefault="001F0D70" w:rsidP="001F0D70">
      <w:pPr>
        <w:pStyle w:val="Heading2"/>
      </w:pPr>
      <w:bookmarkStart w:id="24" w:name="_Toc270048960"/>
      <w:r w:rsidRPr="001F0D70">
        <w:t>Waste management and injection safety</w:t>
      </w:r>
      <w:bookmarkEnd w:id="24"/>
    </w:p>
    <w:p w14:paraId="6CC3C54C" w14:textId="77777777" w:rsidR="007D5264" w:rsidRDefault="007D5264" w:rsidP="00317803"/>
    <w:p w14:paraId="2D74E262" w14:textId="77777777" w:rsidR="00236E9D" w:rsidRPr="00CE58CC" w:rsidRDefault="00236E9D" w:rsidP="00236E9D">
      <w:r w:rsidRPr="00CE58CC">
        <w:t>The National Immunization Policy developed in 2012 includes information on waste management and safe injection practices.</w:t>
      </w:r>
      <w:r w:rsidR="009E1F31" w:rsidRPr="00CE58CC">
        <w:t xml:space="preserve"> </w:t>
      </w:r>
    </w:p>
    <w:p w14:paraId="781D8CA9" w14:textId="77777777" w:rsidR="00236E9D" w:rsidRPr="00CE58CC" w:rsidRDefault="00236E9D" w:rsidP="00236E9D"/>
    <w:p w14:paraId="20AA1F0A" w14:textId="77777777" w:rsidR="009E1F31" w:rsidRPr="00CE58CC" w:rsidRDefault="00236E9D" w:rsidP="00236E9D">
      <w:r w:rsidRPr="00CE58CC">
        <w:rPr>
          <w:b/>
        </w:rPr>
        <w:t>Waste management</w:t>
      </w:r>
      <w:r w:rsidRPr="00CE58CC">
        <w:t xml:space="preserve">: </w:t>
      </w:r>
      <w:r w:rsidR="009E1F31" w:rsidRPr="00CE58CC">
        <w:t xml:space="preserve">Sharps waste can cause serious health and environmental problems. Unsafe disposal can spread some of the very same diseases that we are trying to prevent. Leaving used syringes and needles in the open puts the community at risk. Most frequently, the unfortunate victims of needle-stick injuries from haphazard disposal of needles are children and health workers. </w:t>
      </w:r>
    </w:p>
    <w:p w14:paraId="6DFB36E8" w14:textId="2546C1F0" w:rsidR="00236E9D" w:rsidRPr="00CE58CC" w:rsidRDefault="00236E9D" w:rsidP="00BB3E74">
      <w:pPr>
        <w:ind w:firstLine="720"/>
      </w:pPr>
      <w:r w:rsidRPr="00CE58CC">
        <w:t xml:space="preserve">An incineration waste management system was introduced </w:t>
      </w:r>
      <w:r w:rsidR="00CD730E">
        <w:t xml:space="preserve">in </w:t>
      </w:r>
      <w:r w:rsidR="00BB3E74">
        <w:t>most</w:t>
      </w:r>
      <w:r w:rsidR="00CD730E">
        <w:t xml:space="preserve"> provinces</w:t>
      </w:r>
      <w:r w:rsidRPr="00CE58CC">
        <w:t xml:space="preserve">. Additionally, waste management facilities have been established in </w:t>
      </w:r>
      <w:r w:rsidR="00CD730E">
        <w:t>some</w:t>
      </w:r>
      <w:r w:rsidRPr="00CE58CC">
        <w:t xml:space="preserve"> operational districts. The </w:t>
      </w:r>
      <w:r w:rsidR="00CD730E">
        <w:t xml:space="preserve">national </w:t>
      </w:r>
      <w:r w:rsidRPr="00CE58CC">
        <w:t xml:space="preserve">policy states that all used injection equipment must be incinerated in safety boxes.  Immediately after an injection, the used syringe, with its needle still attached is placed directly into the safety box, without replacing the cap of the needle. At HC level the filled safety boxes are taken to the OD together with the monthly report and vaccine order. If the OD has an incinerator the waste is incinerated there. If there is </w:t>
      </w:r>
      <w:r w:rsidRPr="00CE58CC">
        <w:lastRenderedPageBreak/>
        <w:t>no incinerator at the OD, the filled safety boxes should be transported to the nearest incinerator at OD or PHD level. High temperature incinerators used are to be approved by the Ministry of Health</w:t>
      </w:r>
    </w:p>
    <w:p w14:paraId="5976488F" w14:textId="77777777" w:rsidR="00236E9D" w:rsidRPr="00CE58CC" w:rsidRDefault="00236E9D" w:rsidP="00317803"/>
    <w:p w14:paraId="29CA6D8B" w14:textId="77777777" w:rsidR="00636F13" w:rsidRPr="00CE58CC" w:rsidRDefault="0067293A" w:rsidP="00317803">
      <w:r w:rsidRPr="00CE58CC">
        <w:rPr>
          <w:b/>
        </w:rPr>
        <w:t>Injection Safety</w:t>
      </w:r>
      <w:r w:rsidR="00636F13" w:rsidRPr="00CE58CC">
        <w:rPr>
          <w:b/>
        </w:rPr>
        <w:t xml:space="preserve">: </w:t>
      </w:r>
      <w:r w:rsidR="00FA27E2" w:rsidRPr="00CE58CC">
        <w:t xml:space="preserve">In 2001, a safe injection policy and strategy was introduced. </w:t>
      </w:r>
      <w:r w:rsidRPr="00CE58CC">
        <w:t xml:space="preserve">Auto disposable syringes and safety boxes are now used for all vaccinations. </w:t>
      </w:r>
      <w:r w:rsidR="00636F13" w:rsidRPr="00CE58CC">
        <w:t xml:space="preserve">The National Policy states that intramuscular injections (IM) should be given with the needle at a 90° angle to the skin and the skin should be stretched, not bunched. It is not necessary to aspirate the syringe after the needle is introduced into the muscle. </w:t>
      </w:r>
    </w:p>
    <w:p w14:paraId="55D92DEF" w14:textId="77777777" w:rsidR="007D5264" w:rsidRPr="00BD46F3" w:rsidRDefault="00636F13" w:rsidP="00317803">
      <w:pPr>
        <w:rPr>
          <w:highlight w:val="green"/>
        </w:rPr>
      </w:pPr>
      <w:r>
        <w:rPr>
          <w:highlight w:val="green"/>
        </w:rPr>
        <w:t xml:space="preserve"> </w:t>
      </w:r>
    </w:p>
    <w:p w14:paraId="0D6CFC91" w14:textId="77777777" w:rsidR="00E96048" w:rsidRDefault="00E96048" w:rsidP="00E96048">
      <w:pPr>
        <w:pStyle w:val="Heading2"/>
      </w:pPr>
      <w:bookmarkStart w:id="25" w:name="_Toc270048961"/>
      <w:r w:rsidRPr="001F0D70">
        <w:t>Risks and challenges</w:t>
      </w:r>
      <w:bookmarkEnd w:id="25"/>
    </w:p>
    <w:p w14:paraId="292206BE" w14:textId="77777777" w:rsidR="00E96048" w:rsidRDefault="00E96048" w:rsidP="00E96048">
      <w:r>
        <w:t xml:space="preserve"> </w:t>
      </w:r>
    </w:p>
    <w:p w14:paraId="1969661E" w14:textId="77777777" w:rsidR="00E96048" w:rsidRDefault="00E96048" w:rsidP="00E96048">
      <w:r>
        <w:rPr>
          <w:b/>
        </w:rPr>
        <w:t>Caregiver fear</w:t>
      </w:r>
      <w:r w:rsidRPr="00EC1487">
        <w:rPr>
          <w:b/>
        </w:rPr>
        <w:t xml:space="preserve"> of multiple injections</w:t>
      </w:r>
      <w:r>
        <w:t xml:space="preserve">: After the introduction of PCV and IPV, children will be receiving three injections at the 14 week visit. There is concern that healthcare workers and caregivers might not be accepting of multiple injections. Strong messages about the benefits of multiple injections need to be included </w:t>
      </w:r>
      <w:proofErr w:type="gramStart"/>
      <w:r>
        <w:t>in each training</w:t>
      </w:r>
      <w:proofErr w:type="gramEnd"/>
      <w:r>
        <w:t xml:space="preserve">. Healthcare workers need to be able to explain to caregivers that the benefits of being protected by multiple vaccines in one visit outweigh their fear of multiple injections.  </w:t>
      </w:r>
    </w:p>
    <w:p w14:paraId="7B7F3E1F" w14:textId="77777777" w:rsidR="00E96048" w:rsidRDefault="00E96048" w:rsidP="00E96048"/>
    <w:p w14:paraId="5B7F386D" w14:textId="77777777" w:rsidR="00E96048" w:rsidRDefault="00E96048" w:rsidP="00E96048">
      <w:r>
        <w:rPr>
          <w:b/>
        </w:rPr>
        <w:t>High wastage</w:t>
      </w:r>
      <w:r>
        <w:t xml:space="preserve">: If five or ten dose vials are the only available presentation, there is concern that the wastage rate will be high and exceed the maximums of 30 and 50% for five and ten dose vials respectively. </w:t>
      </w:r>
    </w:p>
    <w:p w14:paraId="3AA48F88" w14:textId="77777777" w:rsidR="00E96048" w:rsidRDefault="00E96048" w:rsidP="00E96048"/>
    <w:p w14:paraId="56231764" w14:textId="77777777" w:rsidR="00E96048" w:rsidRDefault="00E96048" w:rsidP="00E96048">
      <w:r>
        <w:rPr>
          <w:b/>
        </w:rPr>
        <w:t>Difficulty in communicating need for IPV</w:t>
      </w:r>
      <w:r>
        <w:t xml:space="preserve">: Since polio eradication began, OPV has been the main vaccine used for polio. Caregivers and Healthcare workers might wonder why a new vaccine for polio is needed.  Key messages will be </w:t>
      </w:r>
      <w:proofErr w:type="spellStart"/>
      <w:r>
        <w:t>be</w:t>
      </w:r>
      <w:proofErr w:type="spellEnd"/>
      <w:r>
        <w:t xml:space="preserve"> developed for all levels </w:t>
      </w:r>
    </w:p>
    <w:p w14:paraId="1B454001" w14:textId="77777777" w:rsidR="00E96048" w:rsidRDefault="00E96048" w:rsidP="00E96048"/>
    <w:p w14:paraId="4AB536B0" w14:textId="77777777" w:rsidR="00E96048" w:rsidRDefault="00E96048" w:rsidP="00E96048">
      <w:r w:rsidRPr="003C2EEC">
        <w:rPr>
          <w:b/>
        </w:rPr>
        <w:t>Updating the Health Information System (HIS):</w:t>
      </w:r>
      <w:r>
        <w:t xml:space="preserve"> The HIS needs to be updated to include the new vaccines to be added in routine immunization. The HIS is under the responsibility of another department at the Ministry of Health (not NIP). The system is updated every 3-5 years, and the last update was in 2014. Therefore, it might be difficult to update it in 2015 for PCV and IPV introduction. </w:t>
      </w:r>
    </w:p>
    <w:p w14:paraId="24FFCCFD" w14:textId="77777777" w:rsidR="00E96048" w:rsidRDefault="00E96048" w:rsidP="00E96048">
      <w:pPr>
        <w:rPr>
          <w:b/>
        </w:rPr>
      </w:pPr>
    </w:p>
    <w:p w14:paraId="0467D197" w14:textId="77777777" w:rsidR="00E96048" w:rsidRDefault="00E96048" w:rsidP="00E96048">
      <w:r>
        <w:rPr>
          <w:b/>
        </w:rPr>
        <w:t>Ensuring adequate funding</w:t>
      </w:r>
      <w:r>
        <w:t xml:space="preserve">: In order to introduce IPV successfully, the government and partners need to support IPV both technically and financially. There is always concern that the estimated budget will not cover all costs associated with the new vaccine introduction. </w:t>
      </w:r>
    </w:p>
    <w:p w14:paraId="54C25CBD" w14:textId="7FF5A2A1" w:rsidR="00E96048" w:rsidRDefault="00E96048" w:rsidP="00E96048">
      <w:pPr>
        <w:pStyle w:val="Heading2"/>
        <w:numPr>
          <w:ilvl w:val="0"/>
          <w:numId w:val="0"/>
        </w:numPr>
        <w:ind w:left="576" w:hanging="576"/>
      </w:pPr>
    </w:p>
    <w:p w14:paraId="07C40BC2" w14:textId="3F6C9BCC" w:rsidR="001F0D70" w:rsidRDefault="001F0D70" w:rsidP="001F0D70">
      <w:pPr>
        <w:pStyle w:val="Heading2"/>
      </w:pPr>
      <w:bookmarkStart w:id="26" w:name="_Toc270048962"/>
      <w:r w:rsidRPr="001F0D70">
        <w:t>Health worker training and supervision</w:t>
      </w:r>
      <w:bookmarkEnd w:id="26"/>
    </w:p>
    <w:p w14:paraId="0703D477" w14:textId="77777777" w:rsidR="00317803" w:rsidRDefault="00317803" w:rsidP="00317803"/>
    <w:p w14:paraId="38FA9B8B" w14:textId="77777777" w:rsidR="0093062C" w:rsidRDefault="0093062C" w:rsidP="00317803">
      <w:r>
        <w:t xml:space="preserve">For the introduction of IPV, </w:t>
      </w:r>
      <w:r w:rsidR="00425494">
        <w:t xml:space="preserve">the </w:t>
      </w:r>
      <w:r>
        <w:t xml:space="preserve">training of staff will take place over the course of four months </w:t>
      </w:r>
      <w:r w:rsidR="00425494">
        <w:t>prior to IPV introduction (June-September 2015)</w:t>
      </w:r>
      <w:r>
        <w:t xml:space="preserve">. </w:t>
      </w:r>
      <w:r w:rsidR="00425494">
        <w:t>The</w:t>
      </w:r>
      <w:r>
        <w:t xml:space="preserve"> training plan</w:t>
      </w:r>
      <w:r w:rsidR="00425494">
        <w:t xml:space="preserve"> proposed</w:t>
      </w:r>
      <w:r>
        <w:t xml:space="preserve"> takes into account the key lessons learned from the trainings conducted prior to the introduction of the second dose of measles vaccine in 2012. One of the key </w:t>
      </w:r>
      <w:r w:rsidR="00425494">
        <w:t>findings</w:t>
      </w:r>
      <w:r>
        <w:t xml:space="preserve"> from </w:t>
      </w:r>
      <w:r w:rsidR="00425494">
        <w:t>the implementation of these</w:t>
      </w:r>
      <w:r>
        <w:t xml:space="preserve"> training </w:t>
      </w:r>
      <w:r w:rsidR="00425494">
        <w:t>activities</w:t>
      </w:r>
      <w:r>
        <w:t xml:space="preserve"> was </w:t>
      </w:r>
      <w:r w:rsidR="00425494">
        <w:t xml:space="preserve">that supervision from the NIP was critical to ensuring both that (1) all trainings were conducted as planned and (2) trainings were </w:t>
      </w:r>
      <w:r>
        <w:t xml:space="preserve">high-quality. For this reason, </w:t>
      </w:r>
      <w:r w:rsidR="00425494">
        <w:t>in the training plan for IPV, the</w:t>
      </w:r>
      <w:r>
        <w:t xml:space="preserve"> trainings will </w:t>
      </w:r>
      <w:r w:rsidR="00425494">
        <w:t xml:space="preserve">take place in a staggered manner across </w:t>
      </w:r>
      <w:r>
        <w:t xml:space="preserve">four months. </w:t>
      </w:r>
      <w:r w:rsidR="00425494">
        <w:t>This approach is also being</w:t>
      </w:r>
      <w:r w:rsidR="00003E06">
        <w:t xml:space="preserve"> used for the trainings being conducted prior to </w:t>
      </w:r>
      <w:r w:rsidR="00425494">
        <w:t>PCV introduction</w:t>
      </w:r>
      <w:r>
        <w:t xml:space="preserve">. </w:t>
      </w:r>
    </w:p>
    <w:p w14:paraId="012DF3D3" w14:textId="77777777" w:rsidR="0093062C" w:rsidRDefault="0093062C" w:rsidP="00317803"/>
    <w:p w14:paraId="5AEF8E56" w14:textId="77777777" w:rsidR="00754755" w:rsidRPr="0093062C" w:rsidRDefault="00754755" w:rsidP="00317803">
      <w:pPr>
        <w:rPr>
          <w:b/>
        </w:rPr>
      </w:pPr>
      <w:r w:rsidRPr="0093062C">
        <w:rPr>
          <w:b/>
        </w:rPr>
        <w:t>Training of Trainers (ToT)</w:t>
      </w:r>
      <w:r w:rsidR="00CD730E">
        <w:rPr>
          <w:b/>
        </w:rPr>
        <w:br/>
      </w:r>
    </w:p>
    <w:p w14:paraId="33346B49" w14:textId="77777777" w:rsidR="00CD730E" w:rsidRDefault="009E20A5" w:rsidP="00456414">
      <w:pPr>
        <w:pStyle w:val="ListParagraph"/>
        <w:numPr>
          <w:ilvl w:val="0"/>
          <w:numId w:val="9"/>
        </w:numPr>
      </w:pPr>
      <w:r w:rsidRPr="00CD730E">
        <w:rPr>
          <w:b/>
        </w:rPr>
        <w:lastRenderedPageBreak/>
        <w:t>Training of NIP</w:t>
      </w:r>
      <w:r w:rsidR="00353A5D" w:rsidRPr="00CD730E">
        <w:rPr>
          <w:b/>
        </w:rPr>
        <w:t xml:space="preserve"> </w:t>
      </w:r>
      <w:r w:rsidRPr="00CD730E">
        <w:rPr>
          <w:b/>
        </w:rPr>
        <w:t>staff</w:t>
      </w:r>
      <w:r w:rsidR="00754755" w:rsidRPr="00CD730E">
        <w:rPr>
          <w:b/>
        </w:rPr>
        <w:t xml:space="preserve"> </w:t>
      </w:r>
      <w:r w:rsidR="00425494" w:rsidRPr="00CD730E">
        <w:rPr>
          <w:b/>
        </w:rPr>
        <w:t xml:space="preserve">(at </w:t>
      </w:r>
      <w:r w:rsidR="00754755" w:rsidRPr="00CD730E">
        <w:rPr>
          <w:b/>
        </w:rPr>
        <w:t>national level</w:t>
      </w:r>
      <w:r w:rsidR="00425494" w:rsidRPr="00CD730E">
        <w:rPr>
          <w:b/>
        </w:rPr>
        <w:t>)</w:t>
      </w:r>
      <w:r w:rsidR="00341CE4">
        <w:t xml:space="preserve">: </w:t>
      </w:r>
      <w:r w:rsidR="0009556F">
        <w:t xml:space="preserve">Training will begin </w:t>
      </w:r>
      <w:r w:rsidR="00F24A0D">
        <w:t>with a one-day</w:t>
      </w:r>
      <w:r w:rsidR="0009556F">
        <w:t xml:space="preserve"> </w:t>
      </w:r>
      <w:r w:rsidR="00F24A0D">
        <w:t>training with the NIP staff at the national level.</w:t>
      </w:r>
      <w:r w:rsidR="0009556F">
        <w:t xml:space="preserve"> </w:t>
      </w:r>
      <w:r w:rsidR="00F24A0D">
        <w:t xml:space="preserve">NIP staff will be prepared to train PHD and OD staff. </w:t>
      </w:r>
      <w:r w:rsidR="00CD730E">
        <w:br/>
      </w:r>
    </w:p>
    <w:p w14:paraId="7D049FFD" w14:textId="77777777" w:rsidR="0093062C" w:rsidRDefault="00740B71" w:rsidP="00456414">
      <w:pPr>
        <w:pStyle w:val="ListParagraph"/>
        <w:numPr>
          <w:ilvl w:val="0"/>
          <w:numId w:val="9"/>
        </w:numPr>
      </w:pPr>
      <w:r w:rsidRPr="00CD730E">
        <w:rPr>
          <w:b/>
        </w:rPr>
        <w:t xml:space="preserve">Training </w:t>
      </w:r>
      <w:r w:rsidR="00425494" w:rsidRPr="00CD730E">
        <w:rPr>
          <w:b/>
        </w:rPr>
        <w:t>of</w:t>
      </w:r>
      <w:r w:rsidRPr="00CD730E">
        <w:rPr>
          <w:b/>
        </w:rPr>
        <w:t xml:space="preserve"> </w:t>
      </w:r>
      <w:r w:rsidR="009E20A5" w:rsidRPr="00CD730E">
        <w:rPr>
          <w:b/>
        </w:rPr>
        <w:t xml:space="preserve">PHD and OD staff </w:t>
      </w:r>
      <w:r w:rsidRPr="00CD730E">
        <w:rPr>
          <w:b/>
        </w:rPr>
        <w:t>(at four different provinces)</w:t>
      </w:r>
      <w:r w:rsidR="003B488F" w:rsidRPr="00CD730E">
        <w:rPr>
          <w:b/>
        </w:rPr>
        <w:t xml:space="preserve">: </w:t>
      </w:r>
      <w:r w:rsidR="003B488F">
        <w:t>O</w:t>
      </w:r>
      <w:r w:rsidR="009E20A5">
        <w:t xml:space="preserve">nce NIP </w:t>
      </w:r>
      <w:proofErr w:type="gramStart"/>
      <w:r w:rsidR="009E20A5">
        <w:t>staff have</w:t>
      </w:r>
      <w:proofErr w:type="gramEnd"/>
      <w:r w:rsidR="009E20A5">
        <w:t xml:space="preserve"> been trained, they will be responsible for training </w:t>
      </w:r>
      <w:r w:rsidR="003B488F">
        <w:t xml:space="preserve">the staff at the PHDs and ODs. </w:t>
      </w:r>
      <w:r w:rsidR="0093062C">
        <w:t>This will consist of four separate</w:t>
      </w:r>
      <w:r w:rsidR="00754755">
        <w:t xml:space="preserve"> trainings</w:t>
      </w:r>
      <w:r w:rsidR="003B488F">
        <w:t xml:space="preserve"> </w:t>
      </w:r>
      <w:r w:rsidR="0093062C">
        <w:t xml:space="preserve">conducted in four provinces. The trainings will be </w:t>
      </w:r>
      <w:r w:rsidR="00B61184">
        <w:t>step-by-step</w:t>
      </w:r>
      <w:r w:rsidR="0093062C">
        <w:t xml:space="preserve"> (not simultaneous) so that </w:t>
      </w:r>
      <w:r w:rsidR="00425494">
        <w:t>supervisors</w:t>
      </w:r>
      <w:r w:rsidR="0093062C">
        <w:t xml:space="preserve"> from NIP can be present at </w:t>
      </w:r>
      <w:r w:rsidR="00425494">
        <w:t>as many trainings a</w:t>
      </w:r>
      <w:r w:rsidR="004242AF">
        <w:t>s</w:t>
      </w:r>
      <w:r w:rsidR="00425494">
        <w:t xml:space="preserve"> possible. </w:t>
      </w:r>
    </w:p>
    <w:p w14:paraId="357AB043" w14:textId="77777777" w:rsidR="0093062C" w:rsidRDefault="0093062C" w:rsidP="0093062C"/>
    <w:p w14:paraId="3EC8BDDA" w14:textId="77777777" w:rsidR="0093062C" w:rsidRDefault="0093062C" w:rsidP="0093062C">
      <w:pPr>
        <w:rPr>
          <w:b/>
        </w:rPr>
      </w:pPr>
      <w:r w:rsidRPr="0093062C">
        <w:rPr>
          <w:b/>
        </w:rPr>
        <w:t>Cascade trainings</w:t>
      </w:r>
    </w:p>
    <w:p w14:paraId="362820EC" w14:textId="77777777" w:rsidR="00FF7D05" w:rsidRPr="0093062C" w:rsidRDefault="00FF7D05" w:rsidP="0093062C">
      <w:pPr>
        <w:rPr>
          <w:b/>
        </w:rPr>
      </w:pPr>
    </w:p>
    <w:p w14:paraId="3C83D793" w14:textId="77777777" w:rsidR="00CD730E" w:rsidRDefault="00353A5D" w:rsidP="00456414">
      <w:pPr>
        <w:pStyle w:val="ListParagraph"/>
        <w:numPr>
          <w:ilvl w:val="0"/>
          <w:numId w:val="9"/>
        </w:numPr>
      </w:pPr>
      <w:r w:rsidRPr="00CD730E">
        <w:rPr>
          <w:b/>
        </w:rPr>
        <w:t xml:space="preserve">Cascade training </w:t>
      </w:r>
      <w:r w:rsidR="00425494" w:rsidRPr="00CD730E">
        <w:rPr>
          <w:b/>
        </w:rPr>
        <w:t>of</w:t>
      </w:r>
      <w:r w:rsidRPr="00CD730E">
        <w:rPr>
          <w:b/>
        </w:rPr>
        <w:t xml:space="preserve"> HC</w:t>
      </w:r>
      <w:r w:rsidR="0093062C" w:rsidRPr="00CD730E">
        <w:rPr>
          <w:b/>
        </w:rPr>
        <w:t xml:space="preserve"> and HP</w:t>
      </w:r>
      <w:r w:rsidR="00740B71" w:rsidRPr="00CD730E">
        <w:rPr>
          <w:b/>
        </w:rPr>
        <w:t xml:space="preserve"> </w:t>
      </w:r>
      <w:r w:rsidR="00425494" w:rsidRPr="00CD730E">
        <w:rPr>
          <w:b/>
        </w:rPr>
        <w:t xml:space="preserve">staff </w:t>
      </w:r>
      <w:r w:rsidR="00740B71" w:rsidRPr="00CD730E">
        <w:rPr>
          <w:b/>
        </w:rPr>
        <w:t>(at OD)</w:t>
      </w:r>
      <w:r>
        <w:t xml:space="preserve">:  </w:t>
      </w:r>
      <w:r w:rsidR="0009556F">
        <w:t xml:space="preserve">Following the completion </w:t>
      </w:r>
      <w:r>
        <w:t xml:space="preserve">of the training of trainers (TOT), cascade trainings will take place </w:t>
      </w:r>
      <w:r w:rsidR="007425E8">
        <w:t xml:space="preserve">at the </w:t>
      </w:r>
      <w:r w:rsidR="00BB2FAA">
        <w:t>OD for the HC</w:t>
      </w:r>
      <w:r>
        <w:t>.</w:t>
      </w:r>
      <w:r w:rsidR="00BB2FAA">
        <w:t xml:space="preserve"> HC staff will travel to the OD to learn about IPV introduction.</w:t>
      </w:r>
      <w:r>
        <w:t xml:space="preserve"> The main purpose of the HC trainings will be to emphasis the importance of receiving IPV. This will help to address potential concerns healthcare workers and caregivers might have about multiple injections. Convincing healthcare workers and the community of the importance of multiple injections will be critical to achieving high coverage. These training sessions will also be designed to clearly communicate the policy of giving IPV to any child ≥ 14weeks, regardless of his/her previous immunizations. </w:t>
      </w:r>
      <w:r w:rsidR="0057626A">
        <w:t xml:space="preserve">Different examples for children coming in for immunization at ages not in line with the routine schedule will be presented to help illustrate how this policy will be operationalized. </w:t>
      </w:r>
      <w:r w:rsidR="00CD730E">
        <w:br/>
      </w:r>
    </w:p>
    <w:p w14:paraId="28F1F413" w14:textId="77777777" w:rsidR="0009556F" w:rsidRDefault="0093062C" w:rsidP="00456414">
      <w:pPr>
        <w:pStyle w:val="ListParagraph"/>
        <w:numPr>
          <w:ilvl w:val="0"/>
          <w:numId w:val="9"/>
        </w:numPr>
      </w:pPr>
      <w:r w:rsidRPr="00CD730E">
        <w:rPr>
          <w:b/>
        </w:rPr>
        <w:t>Cascade training with the VHSG</w:t>
      </w:r>
      <w:r>
        <w:t xml:space="preserve">:  </w:t>
      </w:r>
      <w:r w:rsidR="007425E8">
        <w:t>C</w:t>
      </w:r>
      <w:r>
        <w:t xml:space="preserve">ascade trainings will </w:t>
      </w:r>
      <w:r w:rsidR="007425E8">
        <w:t xml:space="preserve">also </w:t>
      </w:r>
      <w:r>
        <w:t xml:space="preserve">take place </w:t>
      </w:r>
      <w:r w:rsidR="007425E8">
        <w:t xml:space="preserve">with the </w:t>
      </w:r>
      <w:r>
        <w:t>VHSG levels. The main purpose of t</w:t>
      </w:r>
      <w:r w:rsidR="00003E06">
        <w:t>he</w:t>
      </w:r>
      <w:r>
        <w:t xml:space="preserve"> VHSG trainings will be</w:t>
      </w:r>
      <w:r w:rsidR="00003E06">
        <w:t xml:space="preserve"> </w:t>
      </w:r>
      <w:proofErr w:type="gramStart"/>
      <w:r w:rsidR="00003E06">
        <w:t>inform</w:t>
      </w:r>
      <w:proofErr w:type="gramEnd"/>
      <w:r w:rsidR="00003E06">
        <w:t xml:space="preserve"> the community that IPV will be introduced. During these sessions, immunization staff can address questions </w:t>
      </w:r>
      <w:r w:rsidR="009D739B">
        <w:t>from</w:t>
      </w:r>
      <w:r w:rsidR="00003E06">
        <w:t xml:space="preserve"> community </w:t>
      </w:r>
      <w:r w:rsidR="009D739B">
        <w:t>about IPV issues such as</w:t>
      </w:r>
      <w:r w:rsidR="00003E06">
        <w:t xml:space="preserve"> why two vaccines for polio are needed, </w:t>
      </w:r>
      <w:r w:rsidR="009D739B">
        <w:t xml:space="preserve">are multiple injections safe, </w:t>
      </w:r>
      <w:r w:rsidR="00003E06">
        <w:t xml:space="preserve">etc.  </w:t>
      </w:r>
    </w:p>
    <w:p w14:paraId="652D564A" w14:textId="77777777" w:rsidR="0093062C" w:rsidRDefault="0093062C" w:rsidP="00317803"/>
    <w:p w14:paraId="6F461F5F" w14:textId="1DE052DE" w:rsidR="00A648A0" w:rsidRDefault="0009556F" w:rsidP="00E96048">
      <w:r w:rsidRPr="00341CE4">
        <w:rPr>
          <w:b/>
        </w:rPr>
        <w:t>Supervision</w:t>
      </w:r>
      <w:r>
        <w:t xml:space="preserve">: </w:t>
      </w:r>
      <w:r w:rsidR="00840FE5">
        <w:t xml:space="preserve">Following introduction, supervisory visits will be conducted to monitor the status of IPV introduction. These visits will be conducted </w:t>
      </w:r>
      <w:r w:rsidR="009D739B">
        <w:t>by NIP to</w:t>
      </w:r>
      <w:r w:rsidR="00840FE5">
        <w:t xml:space="preserve"> the PHD, OD, and HC level. </w:t>
      </w:r>
    </w:p>
    <w:p w14:paraId="41D7CD4A" w14:textId="77777777" w:rsidR="00E96048" w:rsidRDefault="00E96048" w:rsidP="00E96048"/>
    <w:p w14:paraId="702E80AF" w14:textId="77777777" w:rsidR="003E12F2" w:rsidRDefault="003E12F2" w:rsidP="001F0D70"/>
    <w:p w14:paraId="430BBF79" w14:textId="77777777" w:rsidR="001F0D70" w:rsidRDefault="001F0D70" w:rsidP="001F0D70">
      <w:pPr>
        <w:pStyle w:val="Heading1"/>
      </w:pPr>
      <w:bookmarkStart w:id="27" w:name="_Toc270048963"/>
      <w:r>
        <w:t>Monitoring and evaluation</w:t>
      </w:r>
      <w:bookmarkEnd w:id="27"/>
    </w:p>
    <w:p w14:paraId="34BD4F36" w14:textId="77777777" w:rsidR="00317803" w:rsidRPr="00317803" w:rsidRDefault="00317803" w:rsidP="00317803"/>
    <w:p w14:paraId="5D94A4AE" w14:textId="77777777" w:rsidR="001F0D70" w:rsidRDefault="001F0D70" w:rsidP="001F0D70">
      <w:pPr>
        <w:pStyle w:val="Heading2"/>
      </w:pPr>
      <w:bookmarkStart w:id="28" w:name="_Toc270048964"/>
      <w:r>
        <w:t>Updating of monitoring tools</w:t>
      </w:r>
      <w:bookmarkEnd w:id="28"/>
    </w:p>
    <w:p w14:paraId="2A7E8DCA" w14:textId="77777777" w:rsidR="00F67383" w:rsidRDefault="00F67383" w:rsidP="00F67383"/>
    <w:p w14:paraId="54124B68" w14:textId="5FA2B492" w:rsidR="009C4E6B" w:rsidRDefault="00F67383" w:rsidP="00E96048">
      <w:r>
        <w:t xml:space="preserve">In the next few years, several </w:t>
      </w:r>
      <w:r w:rsidR="004242AF">
        <w:t xml:space="preserve">new vaccines (PCV, IPV, </w:t>
      </w:r>
      <w:r>
        <w:t xml:space="preserve">and JE) will be introduced into </w:t>
      </w:r>
      <w:r w:rsidR="00517B72">
        <w:t xml:space="preserve">the </w:t>
      </w:r>
      <w:r>
        <w:t>routine immunization</w:t>
      </w:r>
      <w:r w:rsidR="00517B72">
        <w:t xml:space="preserve"> system</w:t>
      </w:r>
      <w:r>
        <w:t xml:space="preserve">. As a result, the recording and reporting forms </w:t>
      </w:r>
      <w:r w:rsidR="00E96048">
        <w:t>will</w:t>
      </w:r>
      <w:r>
        <w:t xml:space="preserve"> be revised to include these new vaccines. The immunization card will also be revised to add these new vaccines. These revisions will be done in </w:t>
      </w:r>
      <w:r w:rsidR="00E96048">
        <w:t>third and fourth quarter of</w:t>
      </w:r>
      <w:r w:rsidR="004242AF">
        <w:t xml:space="preserve"> 2014</w:t>
      </w:r>
      <w:r>
        <w:t>.</w:t>
      </w:r>
      <w:r w:rsidR="004242AF">
        <w:t xml:space="preserve"> </w:t>
      </w:r>
      <w:r w:rsidR="00A40CF3">
        <w:t>Additionally</w:t>
      </w:r>
      <w:r w:rsidR="00A648A0">
        <w:t>, as previously discussed, t</w:t>
      </w:r>
      <w:r>
        <w:t xml:space="preserve">he Health Information System (HIS) </w:t>
      </w:r>
      <w:r w:rsidR="00E96048">
        <w:t xml:space="preserve">will </w:t>
      </w:r>
      <w:r>
        <w:t xml:space="preserve">also be </w:t>
      </w:r>
      <w:r w:rsidR="00A648A0">
        <w:t>updated</w:t>
      </w:r>
      <w:r>
        <w:t xml:space="preserve"> </w:t>
      </w:r>
      <w:r w:rsidR="00A648A0">
        <w:t>to include</w:t>
      </w:r>
      <w:r>
        <w:t xml:space="preserve"> new vaccines.</w:t>
      </w:r>
      <w:r w:rsidR="004242AF">
        <w:t xml:space="preserve"> </w:t>
      </w:r>
    </w:p>
    <w:p w14:paraId="5CE3CA7E" w14:textId="77777777" w:rsidR="009C4E6B" w:rsidRPr="00317803" w:rsidRDefault="009C4E6B" w:rsidP="00317803"/>
    <w:p w14:paraId="29DC2B53" w14:textId="77777777" w:rsidR="00840FE5" w:rsidRDefault="00840FE5" w:rsidP="001F0D70">
      <w:pPr>
        <w:pStyle w:val="Heading2"/>
      </w:pPr>
      <w:bookmarkStart w:id="29" w:name="_Toc270048965"/>
      <w:r>
        <w:t>Post Introduction Evaluation</w:t>
      </w:r>
      <w:bookmarkEnd w:id="29"/>
    </w:p>
    <w:p w14:paraId="7E76EA09" w14:textId="77777777" w:rsidR="00840FE5" w:rsidRDefault="00840FE5" w:rsidP="00840FE5"/>
    <w:p w14:paraId="32FD6823" w14:textId="77777777" w:rsidR="00840FE5" w:rsidRDefault="00840FE5" w:rsidP="00840FE5">
      <w:r>
        <w:t xml:space="preserve">A </w:t>
      </w:r>
      <w:r w:rsidR="004242AF">
        <w:t xml:space="preserve">small-scale </w:t>
      </w:r>
      <w:r w:rsidR="00E254EE">
        <w:t xml:space="preserve">post-introduction evaluation will be conducted following the introduction of IPV. </w:t>
      </w:r>
    </w:p>
    <w:p w14:paraId="3E90CCC6" w14:textId="77777777" w:rsidR="00840FE5" w:rsidRPr="00840FE5" w:rsidRDefault="00840FE5" w:rsidP="00840FE5"/>
    <w:p w14:paraId="540C9B66" w14:textId="77777777" w:rsidR="001F0D70" w:rsidRDefault="001F0D70" w:rsidP="001F0D70">
      <w:pPr>
        <w:pStyle w:val="Heading2"/>
      </w:pPr>
      <w:bookmarkStart w:id="30" w:name="_Toc270048966"/>
      <w:r w:rsidRPr="001F0D70">
        <w:t xml:space="preserve">Adverse Event Following </w:t>
      </w:r>
      <w:r w:rsidR="005E1C7E">
        <w:t>Immunization</w:t>
      </w:r>
      <w:r w:rsidRPr="001F0D70">
        <w:t xml:space="preserve"> (AEFI) monitoring and reporting</w:t>
      </w:r>
      <w:bookmarkEnd w:id="30"/>
    </w:p>
    <w:p w14:paraId="02B27F3C" w14:textId="77777777" w:rsidR="009C4E6B" w:rsidRPr="00CA1B8C" w:rsidRDefault="009C4E6B"/>
    <w:p w14:paraId="14C7D8D9" w14:textId="77777777" w:rsidR="001F0D70" w:rsidRPr="00CA1B8C" w:rsidRDefault="00841DA9">
      <w:r w:rsidRPr="00CA1B8C">
        <w:rPr>
          <w:b/>
        </w:rPr>
        <w:lastRenderedPageBreak/>
        <w:t>Adverse event following immunization (AEFI):</w:t>
      </w:r>
      <w:r w:rsidRPr="00CA1B8C">
        <w:t xml:space="preserve"> </w:t>
      </w:r>
      <w:r w:rsidR="00747666" w:rsidRPr="00CA1B8C">
        <w:t>In 2010, a national guideline of adverse event following immunization (AEFI) for national immunization officers of NIP at central level and provincial level was developed. This guideline provides information on the AEFI surveillance system in Mi</w:t>
      </w:r>
      <w:r w:rsidR="004242AF">
        <w:t xml:space="preserve">nistry of Health (MoH) Cambodia. </w:t>
      </w:r>
      <w:r w:rsidR="004242AF" w:rsidRPr="00CA1B8C">
        <w:t xml:space="preserve">The guideline will be </w:t>
      </w:r>
      <w:r w:rsidR="004242AF">
        <w:t>updated</w:t>
      </w:r>
      <w:r w:rsidR="004242AF" w:rsidRPr="00CA1B8C">
        <w:t xml:space="preserve"> to include information on AEFI</w:t>
      </w:r>
      <w:r w:rsidR="004242AF">
        <w:t xml:space="preserve"> for PCV, </w:t>
      </w:r>
      <w:r w:rsidR="004242AF" w:rsidRPr="00CA1B8C">
        <w:t>IPV</w:t>
      </w:r>
      <w:r w:rsidR="004242AF">
        <w:t>, and JE</w:t>
      </w:r>
      <w:r w:rsidR="004242AF" w:rsidRPr="00CA1B8C">
        <w:t xml:space="preserve">. </w:t>
      </w:r>
      <w:r w:rsidR="004242AF">
        <w:t>Following the development of the guideline,</w:t>
      </w:r>
      <w:r w:rsidR="00747666" w:rsidRPr="00CA1B8C">
        <w:t xml:space="preserve"> the National Immunization S</w:t>
      </w:r>
      <w:r w:rsidR="004242AF">
        <w:t xml:space="preserve">afety Committees for AEFI was established. </w:t>
      </w:r>
    </w:p>
    <w:p w14:paraId="51D6AB37" w14:textId="77777777" w:rsidR="009C4E6B" w:rsidRPr="00CA1B8C" w:rsidRDefault="009C4E6B"/>
    <w:p w14:paraId="3373382B" w14:textId="54126A87" w:rsidR="009C4E6B" w:rsidRPr="00CA1B8C" w:rsidRDefault="009C4E6B" w:rsidP="009C4E6B">
      <w:r w:rsidRPr="00CA1B8C">
        <w:t xml:space="preserve">NIP is in the process of </w:t>
      </w:r>
      <w:r w:rsidR="004242AF">
        <w:t>strengthening the AEFI system</w:t>
      </w:r>
      <w:r w:rsidRPr="00CA1B8C">
        <w:t xml:space="preserve">. </w:t>
      </w:r>
      <w:r w:rsidR="00A40CF3">
        <w:t>NIP will</w:t>
      </w:r>
      <w:r w:rsidR="004242AF">
        <w:t xml:space="preserve"> focus</w:t>
      </w:r>
      <w:r w:rsidR="00A40CF3">
        <w:t xml:space="preserve"> on the following AEFI related activities</w:t>
      </w:r>
      <w:r w:rsidR="004242AF">
        <w:t xml:space="preserve"> in upcoming years</w:t>
      </w:r>
      <w:r w:rsidRPr="00CA1B8C">
        <w:t>:</w:t>
      </w:r>
    </w:p>
    <w:p w14:paraId="663EA5A2" w14:textId="77777777" w:rsidR="009C4E6B" w:rsidRPr="00CA1B8C" w:rsidRDefault="009C4E6B" w:rsidP="00456414">
      <w:pPr>
        <w:pStyle w:val="ListParagraph"/>
        <w:numPr>
          <w:ilvl w:val="0"/>
          <w:numId w:val="2"/>
        </w:numPr>
      </w:pPr>
      <w:r w:rsidRPr="00CA1B8C">
        <w:t>Operationalize the national AEFI Committee</w:t>
      </w:r>
    </w:p>
    <w:p w14:paraId="0C6513CB" w14:textId="40CE2E7E" w:rsidR="009C4E6B" w:rsidRPr="00CA1B8C" w:rsidRDefault="004F7DF4" w:rsidP="00456414">
      <w:pPr>
        <w:pStyle w:val="ListParagraph"/>
        <w:numPr>
          <w:ilvl w:val="0"/>
          <w:numId w:val="2"/>
        </w:numPr>
      </w:pPr>
      <w:r>
        <w:t>Update the</w:t>
      </w:r>
      <w:r w:rsidR="009C4E6B" w:rsidRPr="00CA1B8C">
        <w:t xml:space="preserve"> national guideline for AEFI surveillance and response</w:t>
      </w:r>
    </w:p>
    <w:p w14:paraId="1CB5015B" w14:textId="77777777" w:rsidR="009C4E6B" w:rsidRPr="00CA1B8C" w:rsidRDefault="009C4E6B" w:rsidP="00456414">
      <w:pPr>
        <w:pStyle w:val="ListParagraph"/>
        <w:numPr>
          <w:ilvl w:val="0"/>
          <w:numId w:val="2"/>
        </w:numPr>
      </w:pPr>
      <w:r w:rsidRPr="00CA1B8C">
        <w:t>Build management capacity for AEFI through improving skill of managers through supervision and training</w:t>
      </w:r>
    </w:p>
    <w:p w14:paraId="6701B2C8" w14:textId="77777777" w:rsidR="009C4E6B" w:rsidRPr="00CA1B8C" w:rsidRDefault="009C4E6B" w:rsidP="00456414">
      <w:pPr>
        <w:pStyle w:val="ListParagraph"/>
        <w:numPr>
          <w:ilvl w:val="0"/>
          <w:numId w:val="2"/>
        </w:numPr>
      </w:pPr>
      <w:r w:rsidRPr="00CA1B8C">
        <w:t>Establish and operationally provincial AEFI Rapid Response Teams</w:t>
      </w:r>
    </w:p>
    <w:p w14:paraId="4734A1BC" w14:textId="77777777" w:rsidR="009C4E6B" w:rsidRPr="00CA1B8C" w:rsidRDefault="009C4E6B" w:rsidP="00456414">
      <w:pPr>
        <w:pStyle w:val="ListParagraph"/>
        <w:numPr>
          <w:ilvl w:val="0"/>
          <w:numId w:val="2"/>
        </w:numPr>
      </w:pPr>
      <w:r w:rsidRPr="00CA1B8C">
        <w:t>Develop improved communication with Drug Control Committee MOH &amp; WHO Reference laboratory in relation to issues surrounding vaccine quality</w:t>
      </w:r>
    </w:p>
    <w:p w14:paraId="492D8589" w14:textId="77777777" w:rsidR="00317803" w:rsidRDefault="00317803"/>
    <w:p w14:paraId="7268A33F" w14:textId="77777777" w:rsidR="001F0D70" w:rsidRDefault="00CE73E1" w:rsidP="001F0D70">
      <w:pPr>
        <w:pStyle w:val="Heading1"/>
      </w:pPr>
      <w:bookmarkStart w:id="31" w:name="_Toc270048967"/>
      <w:r w:rsidRPr="001F0D70">
        <w:t>Communication</w:t>
      </w:r>
      <w:r>
        <w:t xml:space="preserve">, advocacy, and sensitization of </w:t>
      </w:r>
      <w:r w:rsidR="002B25FA">
        <w:t>health staff</w:t>
      </w:r>
      <w:bookmarkEnd w:id="31"/>
    </w:p>
    <w:p w14:paraId="334B96DB" w14:textId="77777777" w:rsidR="00765C9F" w:rsidRDefault="00765C9F" w:rsidP="00CA7E4C"/>
    <w:p w14:paraId="75E729D8" w14:textId="77777777" w:rsidR="00CA1B8C" w:rsidRPr="00CA1B8C" w:rsidRDefault="004401B2" w:rsidP="004401B2">
      <w:pPr>
        <w:pStyle w:val="Heading2"/>
      </w:pPr>
      <w:bookmarkStart w:id="32" w:name="_Toc270048968"/>
      <w:r>
        <w:t>I</w:t>
      </w:r>
      <w:r w:rsidR="00CA1B8C" w:rsidRPr="00CA1B8C">
        <w:t xml:space="preserve">mportance of </w:t>
      </w:r>
      <w:r w:rsidR="00CA1B8C">
        <w:t xml:space="preserve">emphasizing </w:t>
      </w:r>
      <w:r w:rsidR="00CA1B8C" w:rsidRPr="00CA1B8C">
        <w:t>communication</w:t>
      </w:r>
      <w:r w:rsidR="00CA1B8C">
        <w:t xml:space="preserve"> during</w:t>
      </w:r>
      <w:r w:rsidR="00CA1B8C" w:rsidRPr="00CA1B8C">
        <w:t xml:space="preserve"> IPV</w:t>
      </w:r>
      <w:r w:rsidR="00CA1B8C">
        <w:t xml:space="preserve"> introduction</w:t>
      </w:r>
      <w:bookmarkEnd w:id="32"/>
    </w:p>
    <w:p w14:paraId="403D3EF3" w14:textId="77777777" w:rsidR="00C675EB" w:rsidRDefault="00C675EB" w:rsidP="004242AF"/>
    <w:p w14:paraId="08A4D74F" w14:textId="77777777" w:rsidR="004242AF" w:rsidRDefault="00C675EB" w:rsidP="004242AF">
      <w:r>
        <w:t>Communication during a new vaccine introduction consists of more than just social mobilization at the community. Communication also should include plans to sensitize</w:t>
      </w:r>
      <w:r w:rsidRPr="0021604B">
        <w:t xml:space="preserve"> </w:t>
      </w:r>
      <w:r>
        <w:t>health</w:t>
      </w:r>
      <w:r w:rsidRPr="0021604B">
        <w:t xml:space="preserve"> staff </w:t>
      </w:r>
      <w:r>
        <w:t xml:space="preserve">and partners </w:t>
      </w:r>
      <w:r w:rsidRPr="0021604B">
        <w:t xml:space="preserve">at all levels </w:t>
      </w:r>
      <w:r>
        <w:t xml:space="preserve">to make sure all stakeholders are aware of IPV introduction. </w:t>
      </w:r>
    </w:p>
    <w:p w14:paraId="36E49BCF" w14:textId="77777777" w:rsidR="00C675EB" w:rsidRDefault="00C675EB" w:rsidP="004242AF"/>
    <w:p w14:paraId="7B3A312F" w14:textId="18ACB58B" w:rsidR="00765C9F" w:rsidRPr="00765C9F" w:rsidRDefault="00765C9F" w:rsidP="004F7DF4">
      <w:r w:rsidRPr="0021604B">
        <w:t>A strong communication strategy is important to the success of any vaccine introduction</w:t>
      </w:r>
      <w:r w:rsidR="004242AF">
        <w:t>—but communication for IPV will be even more important</w:t>
      </w:r>
      <w:r w:rsidRPr="0021604B">
        <w:t>.</w:t>
      </w:r>
      <w:r w:rsidR="00017D41" w:rsidRPr="0021604B">
        <w:t xml:space="preserve"> </w:t>
      </w:r>
      <w:r w:rsidRPr="0021604B">
        <w:t xml:space="preserve">While many of the operational aspects of introducing IPV will be similar to those for other injectable vaccines, there are </w:t>
      </w:r>
      <w:r w:rsidR="00C675EB">
        <w:t xml:space="preserve">some unique </w:t>
      </w:r>
      <w:r w:rsidRPr="0021604B">
        <w:t>aspects of IPV which differentiate it from other vaccine introductions. These include:</w:t>
      </w:r>
      <w:r w:rsidRPr="00765C9F">
        <w:t xml:space="preserve"> </w:t>
      </w:r>
    </w:p>
    <w:p w14:paraId="027DC1E1" w14:textId="77777777" w:rsidR="00AD4129" w:rsidRPr="00AD4129" w:rsidRDefault="00AD4129" w:rsidP="00AD4129">
      <w:pPr>
        <w:ind w:left="720"/>
      </w:pPr>
    </w:p>
    <w:p w14:paraId="2D837422" w14:textId="77777777" w:rsidR="00765C9F" w:rsidRDefault="00765C9F" w:rsidP="00456414">
      <w:pPr>
        <w:numPr>
          <w:ilvl w:val="0"/>
          <w:numId w:val="4"/>
        </w:numPr>
      </w:pPr>
      <w:r w:rsidRPr="00765C9F">
        <w:rPr>
          <w:b/>
        </w:rPr>
        <w:t xml:space="preserve">IPV </w:t>
      </w:r>
      <w:r>
        <w:rPr>
          <w:b/>
        </w:rPr>
        <w:t xml:space="preserve">introduction </w:t>
      </w:r>
      <w:r w:rsidRPr="00765C9F">
        <w:rPr>
          <w:b/>
        </w:rPr>
        <w:t xml:space="preserve">is </w:t>
      </w:r>
      <w:r>
        <w:rPr>
          <w:b/>
        </w:rPr>
        <w:t>part</w:t>
      </w:r>
      <w:r w:rsidRPr="00765C9F">
        <w:rPr>
          <w:b/>
        </w:rPr>
        <w:t xml:space="preserve"> of the global commitment to polio eradication</w:t>
      </w:r>
      <w:r w:rsidRPr="00765C9F">
        <w:t xml:space="preserve">: </w:t>
      </w:r>
      <w:r>
        <w:t>Unlike other new vaccine introductions, t</w:t>
      </w:r>
      <w:r w:rsidRPr="00765C9F">
        <w:t xml:space="preserve">he purpose of IPV introduction is </w:t>
      </w:r>
      <w:r>
        <w:t>NOT</w:t>
      </w:r>
      <w:r w:rsidRPr="00765C9F">
        <w:t xml:space="preserve"> to decrease the mortality and </w:t>
      </w:r>
      <w:r>
        <w:t>morbidity</w:t>
      </w:r>
      <w:r w:rsidRPr="00765C9F">
        <w:t xml:space="preserve"> of childhood deaths </w:t>
      </w:r>
      <w:r>
        <w:t xml:space="preserve">associated with polio </w:t>
      </w:r>
      <w:r w:rsidRPr="00765C9F">
        <w:t xml:space="preserve">in Cambodia. </w:t>
      </w:r>
      <w:r>
        <w:t>Polio was eradicated in 2000 and there is no longer a disease burden associated with polio in Cambodia. However, IPV introduction is part of a larger global commitment towards polio eradication. In 1988, a</w:t>
      </w:r>
      <w:r w:rsidRPr="00765C9F">
        <w:t>ll WHO member states committed to the global eradication of polio.  The introduction of IPV is an essential element of this overall vision for a polio-free world</w:t>
      </w:r>
      <w:r w:rsidR="00C03F0D">
        <w:t>. It is the first step towards eradicating ALL polioviruses—wild and vaccine-related</w:t>
      </w:r>
      <w:r w:rsidRPr="00765C9F">
        <w:t xml:space="preserve">. </w:t>
      </w:r>
      <w:r w:rsidR="00C03F0D">
        <w:t xml:space="preserve">This unique purpose of IPV introduction must be clearly communicated to all audiences to address individuals who might be skeptical about the purpose of IPV introduction. </w:t>
      </w:r>
    </w:p>
    <w:p w14:paraId="270B1A51" w14:textId="77777777" w:rsidR="00AD4129" w:rsidRDefault="00AD4129" w:rsidP="00AD4129">
      <w:pPr>
        <w:ind w:left="720"/>
      </w:pPr>
    </w:p>
    <w:p w14:paraId="6FFD575C" w14:textId="77777777" w:rsidR="00765C9F" w:rsidRDefault="00765C9F" w:rsidP="00456414">
      <w:pPr>
        <w:numPr>
          <w:ilvl w:val="0"/>
          <w:numId w:val="4"/>
        </w:numPr>
      </w:pPr>
      <w:r w:rsidRPr="00765C9F">
        <w:rPr>
          <w:b/>
        </w:rPr>
        <w:t>IPV is not a new vaccine and it has been used effectively in many countries</w:t>
      </w:r>
      <w:r w:rsidRPr="00765C9F">
        <w:t xml:space="preserve">: IPV has been used safely and effectively since the 1950s. IPV is known to be very effective in preventing paralysis due to poliovirus. </w:t>
      </w:r>
      <w:r>
        <w:t>U</w:t>
      </w:r>
      <w:r w:rsidRPr="00765C9F">
        <w:t xml:space="preserve">nlike other vaccine introductions, it is not a new vaccine. It is important that the long history of positive experience with IPV is communicated. </w:t>
      </w:r>
    </w:p>
    <w:p w14:paraId="650D5EA1" w14:textId="77777777" w:rsidR="00AD4129" w:rsidRPr="00765C9F" w:rsidRDefault="00AD4129" w:rsidP="00AD4129"/>
    <w:p w14:paraId="4CF42A38" w14:textId="77777777" w:rsidR="00765C9F" w:rsidRDefault="00765C9F" w:rsidP="00456414">
      <w:pPr>
        <w:numPr>
          <w:ilvl w:val="0"/>
          <w:numId w:val="4"/>
        </w:numPr>
      </w:pPr>
      <w:r w:rsidRPr="00765C9F">
        <w:rPr>
          <w:b/>
        </w:rPr>
        <w:lastRenderedPageBreak/>
        <w:t>Two vaccines for the same disease will be given one visit</w:t>
      </w:r>
      <w:r w:rsidRPr="00765C9F">
        <w:t xml:space="preserve">:  First the first time, two vaccines against the same disease (polio) will be given at one immunization visit. Healthcare workers should clearly understand that IPV will not replace OPV, but it will be given as an additional dose. This has the potential to cause confusions and therefore should be clearly communicated at all levels. </w:t>
      </w:r>
    </w:p>
    <w:p w14:paraId="4E04771E" w14:textId="77777777" w:rsidR="00AD4129" w:rsidRPr="00765C9F" w:rsidRDefault="00AD4129" w:rsidP="00AD4129"/>
    <w:p w14:paraId="1C5A8C66" w14:textId="77777777" w:rsidR="00765C9F" w:rsidRDefault="00765C9F" w:rsidP="00456414">
      <w:pPr>
        <w:numPr>
          <w:ilvl w:val="0"/>
          <w:numId w:val="4"/>
        </w:numPr>
      </w:pPr>
      <w:r w:rsidRPr="00765C9F">
        <w:rPr>
          <w:b/>
        </w:rPr>
        <w:t>Single dose, age specific (not contact specific) recommendation</w:t>
      </w:r>
      <w:r w:rsidRPr="00765C9F">
        <w:t>: IPV is recommended for a specific age regardless of immunization contact (i.e. a single dose of IPV should be given to all children at 14 weeks of age regardless of whether or not it is the first, second, or third immunization contact)</w:t>
      </w:r>
    </w:p>
    <w:p w14:paraId="58C8D801" w14:textId="77777777" w:rsidR="00AD4129" w:rsidRPr="00765C9F" w:rsidRDefault="00AD4129" w:rsidP="00AD4129"/>
    <w:p w14:paraId="2C138BFC" w14:textId="77777777" w:rsidR="00765C9F" w:rsidRPr="00765C9F" w:rsidRDefault="00765C9F" w:rsidP="00456414">
      <w:pPr>
        <w:numPr>
          <w:ilvl w:val="0"/>
          <w:numId w:val="3"/>
        </w:numPr>
      </w:pPr>
      <w:r w:rsidRPr="00765C9F">
        <w:rPr>
          <w:b/>
        </w:rPr>
        <w:t>Three injections on one visit, and two into same thigh</w:t>
      </w:r>
      <w:r w:rsidRPr="00765C9F">
        <w:t xml:space="preserve">: For the first time in </w:t>
      </w:r>
      <w:r w:rsidR="0076118A">
        <w:t>Cambodia</w:t>
      </w:r>
      <w:r w:rsidRPr="00765C9F">
        <w:t xml:space="preserve">, a child will receive three injections during a single visit.  Furthermore, two vaccines will be injected into the same injection site (thigh) on the child. Clear messages targeted towards both healthcare workers and mothers explaining the need for multiple injections will be needed. </w:t>
      </w:r>
    </w:p>
    <w:p w14:paraId="04EE126D" w14:textId="77777777" w:rsidR="00765C9F" w:rsidRDefault="00765C9F" w:rsidP="00CA7E4C"/>
    <w:p w14:paraId="5929F48B" w14:textId="78390B7B" w:rsidR="00F81AA5" w:rsidRPr="00682C9A" w:rsidRDefault="00E3286E" w:rsidP="00CA7E4C">
      <w:pPr>
        <w:rPr>
          <w:b/>
        </w:rPr>
      </w:pPr>
      <w:r>
        <w:rPr>
          <w:b/>
        </w:rPr>
        <w:t>Some k</w:t>
      </w:r>
      <w:r w:rsidR="00F81AA5" w:rsidRPr="00682C9A">
        <w:rPr>
          <w:b/>
        </w:rPr>
        <w:t xml:space="preserve">ey messages for IPV introduction: </w:t>
      </w:r>
    </w:p>
    <w:p w14:paraId="07E7383E" w14:textId="2FB147C0" w:rsidR="00F81AA5" w:rsidRDefault="00F81AA5" w:rsidP="00F81AA5">
      <w:pPr>
        <w:pStyle w:val="ListParagraph"/>
        <w:numPr>
          <w:ilvl w:val="0"/>
          <w:numId w:val="3"/>
        </w:numPr>
      </w:pPr>
      <w:r>
        <w:t>A</w:t>
      </w:r>
      <w:r w:rsidRPr="00F81AA5">
        <w:t xml:space="preserve">s per WHO SAGE recommendation in </w:t>
      </w:r>
      <w:r>
        <w:t>November</w:t>
      </w:r>
      <w:r w:rsidRPr="00F81AA5">
        <w:t xml:space="preserve"> 2012 and the polio end-game strategy</w:t>
      </w:r>
      <w:r>
        <w:t>,</w:t>
      </w:r>
      <w:r w:rsidRPr="00F81AA5">
        <w:t xml:space="preserve"> all OPV-only using countries should introduce in their routine immunization schedule at least one dose of IPV by Oct 2015</w:t>
      </w:r>
      <w:r>
        <w:t>. The dose of IPV should be</w:t>
      </w:r>
      <w:r w:rsidRPr="00F81AA5">
        <w:t xml:space="preserve"> given at the age of 14 weeks together with </w:t>
      </w:r>
      <w:r>
        <w:t xml:space="preserve">Penta, OPV3, and PCV3 </w:t>
      </w:r>
      <w:r w:rsidRPr="00F81AA5">
        <w:t xml:space="preserve">(again SAGE </w:t>
      </w:r>
      <w:r w:rsidR="00682C9A">
        <w:t>r</w:t>
      </w:r>
      <w:r w:rsidRPr="00F81AA5">
        <w:t>ecom</w:t>
      </w:r>
      <w:r w:rsidR="00682C9A">
        <w:t>mendation</w:t>
      </w:r>
      <w:r w:rsidRPr="00F81AA5">
        <w:t xml:space="preserve"> in Nov 2013)</w:t>
      </w:r>
      <w:r w:rsidR="00682C9A">
        <w:t xml:space="preserve">. </w:t>
      </w:r>
    </w:p>
    <w:p w14:paraId="4AEAC3F5" w14:textId="77777777" w:rsidR="00682C9A" w:rsidRDefault="00682C9A" w:rsidP="00682C9A">
      <w:pPr>
        <w:pStyle w:val="ListParagraph"/>
      </w:pPr>
    </w:p>
    <w:p w14:paraId="2CA700A7" w14:textId="79EF6E98" w:rsidR="00F81AA5" w:rsidRDefault="00F81AA5" w:rsidP="00F81AA5">
      <w:pPr>
        <w:pStyle w:val="ListParagraph"/>
        <w:numPr>
          <w:ilvl w:val="0"/>
          <w:numId w:val="3"/>
        </w:numPr>
      </w:pPr>
      <w:r>
        <w:t>The use of specific OPV serotypes will be phased out globally from all immunization activities and programmes, beginning with the withdrawal of OPV2 and the replacement of all tOPV with bOPV (types 1 and 3) in global routine immunization programmes by mid-2016</w:t>
      </w:r>
      <w:r w:rsidR="00682C9A">
        <w:t>.</w:t>
      </w:r>
    </w:p>
    <w:p w14:paraId="2B6C6F1D" w14:textId="77777777" w:rsidR="00682C9A" w:rsidRDefault="00682C9A" w:rsidP="00682C9A"/>
    <w:p w14:paraId="1A9A71CD" w14:textId="152A07BF" w:rsidR="00F81AA5" w:rsidRDefault="00F81AA5" w:rsidP="00F81AA5">
      <w:pPr>
        <w:pStyle w:val="ListParagraph"/>
        <w:numPr>
          <w:ilvl w:val="0"/>
          <w:numId w:val="3"/>
        </w:numPr>
      </w:pPr>
      <w:r>
        <w:t>The WHO SAGE recommended that at least one dose of IPV be introduced into all routine immunization programmes prior to the switch from tOPV to bOPV (i.e. in 2015)</w:t>
      </w:r>
      <w:r w:rsidR="00682C9A">
        <w:t xml:space="preserve">. </w:t>
      </w:r>
    </w:p>
    <w:p w14:paraId="22CE628A" w14:textId="77777777" w:rsidR="00F81AA5" w:rsidRDefault="00F81AA5" w:rsidP="00F81AA5"/>
    <w:p w14:paraId="608A8F7E" w14:textId="77777777" w:rsidR="00F81AA5" w:rsidRDefault="00F81AA5" w:rsidP="00F81AA5"/>
    <w:p w14:paraId="3C4584D6" w14:textId="77777777" w:rsidR="00AD4129" w:rsidRDefault="00AD4129" w:rsidP="00CA7E4C"/>
    <w:p w14:paraId="5205EA25" w14:textId="48403C8A" w:rsidR="004401B2" w:rsidRDefault="00106DAC" w:rsidP="004401B2">
      <w:pPr>
        <w:pStyle w:val="Heading2"/>
      </w:pPr>
      <w:bookmarkStart w:id="33" w:name="_Toc270048969"/>
      <w:r w:rsidRPr="00797A75">
        <w:t>Strategies for co</w:t>
      </w:r>
      <w:r w:rsidR="00C672D3">
        <w:t>mmunication for IPV</w:t>
      </w:r>
      <w:bookmarkEnd w:id="33"/>
    </w:p>
    <w:p w14:paraId="47F47691" w14:textId="77777777" w:rsidR="004401B2" w:rsidRDefault="004401B2"/>
    <w:p w14:paraId="3B2115EB" w14:textId="77777777" w:rsidR="00AE5E05" w:rsidRDefault="00AD4129">
      <w:r w:rsidRPr="00C672D3">
        <w:rPr>
          <w:b/>
        </w:rPr>
        <w:t>Communication plan:</w:t>
      </w:r>
      <w:r>
        <w:t xml:space="preserve"> A communication plan explaining how the need for IPV will be communicated at all levels will be developed. This will incl</w:t>
      </w:r>
      <w:r w:rsidR="00B55D90">
        <w:t xml:space="preserve">ude explaining the need </w:t>
      </w:r>
      <w:r w:rsidR="00F81AA5">
        <w:t xml:space="preserve">for IPV </w:t>
      </w:r>
      <w:r w:rsidR="00B55D90">
        <w:t>to high-</w:t>
      </w:r>
      <w:r>
        <w:t xml:space="preserve">level decision makers and also for health care workers and mothers. </w:t>
      </w:r>
      <w:r w:rsidR="00B55D90">
        <w:t>Furthermore, c</w:t>
      </w:r>
      <w:r w:rsidR="00464B24">
        <w:t xml:space="preserve">ommunication will be a key focus of </w:t>
      </w:r>
      <w:r w:rsidR="00797A75">
        <w:t xml:space="preserve">training of trainers and the case </w:t>
      </w:r>
      <w:r w:rsidR="00464B24">
        <w:t>trainings for IPV</w:t>
      </w:r>
      <w:r w:rsidR="00797A75">
        <w:t xml:space="preserve"> introduction </w:t>
      </w:r>
      <w:r w:rsidR="00464B24">
        <w:t xml:space="preserve">at all levels. </w:t>
      </w:r>
    </w:p>
    <w:p w14:paraId="0656B72B" w14:textId="77777777" w:rsidR="00574694" w:rsidRDefault="00574694"/>
    <w:p w14:paraId="08756C73" w14:textId="5A931907" w:rsidR="0076118A" w:rsidRDefault="000426A1">
      <w:r>
        <w:t xml:space="preserve">There are </w:t>
      </w:r>
      <w:r w:rsidR="00574694">
        <w:t xml:space="preserve">many </w:t>
      </w:r>
      <w:r>
        <w:t>existing</w:t>
      </w:r>
      <w:r w:rsidR="00574694">
        <w:t xml:space="preserve"> </w:t>
      </w:r>
      <w:r w:rsidR="00B81A5F">
        <w:t xml:space="preserve">regular </w:t>
      </w:r>
      <w:r w:rsidR="00574694">
        <w:t>meetings</w:t>
      </w:r>
      <w:r w:rsidR="00B81A5F">
        <w:t xml:space="preserve"> </w:t>
      </w:r>
      <w:r w:rsidR="0064245E">
        <w:t>that</w:t>
      </w:r>
      <w:r w:rsidR="00C00E50">
        <w:t xml:space="preserve"> can be</w:t>
      </w:r>
      <w:r>
        <w:t xml:space="preserve"> used to disseminate information</w:t>
      </w:r>
      <w:r w:rsidR="00C6294D">
        <w:t xml:space="preserve"> about IPV</w:t>
      </w:r>
      <w:r w:rsidR="00A279CE">
        <w:t xml:space="preserve"> and other new vaccine introductions</w:t>
      </w:r>
      <w:r w:rsidR="00574694">
        <w:t xml:space="preserve">. These meetings can be categorized into two classifications: </w:t>
      </w:r>
      <w:r>
        <w:t xml:space="preserve">administrative </w:t>
      </w:r>
      <w:r w:rsidR="00574694">
        <w:t xml:space="preserve">and </w:t>
      </w:r>
      <w:r>
        <w:t>health</w:t>
      </w:r>
      <w:r w:rsidR="00F70FDB">
        <w:t xml:space="preserve"> and their structure is detailed in Figure 3</w:t>
      </w:r>
      <w:r>
        <w:t xml:space="preserve">. </w:t>
      </w:r>
      <w:r w:rsidR="00574694">
        <w:t>I</w:t>
      </w:r>
      <w:r>
        <w:t>n the administrative sector,</w:t>
      </w:r>
      <w:r w:rsidR="00AE5E05">
        <w:t xml:space="preserve"> </w:t>
      </w:r>
      <w:r>
        <w:t xml:space="preserve">there are three regular monthly meetings: Provincial Governor Board Meeting, District Meeting, </w:t>
      </w:r>
      <w:r w:rsidR="00510371">
        <w:t>and Commune Meeting. I</w:t>
      </w:r>
      <w:r>
        <w:t xml:space="preserve">n the health sector, </w:t>
      </w:r>
      <w:r w:rsidR="00510371">
        <w:t xml:space="preserve">there are four regularly held meetings: provincial TWG-H (monthly), district TWG-H (monthly), Health Centre Management Committee (quarterly), and Village Health Support Group (VHSG).  </w:t>
      </w:r>
      <w:r w:rsidR="00574694">
        <w:t xml:space="preserve">Each of these meetings should be seen as an opportunity that can be used to increase awareness about IPV and </w:t>
      </w:r>
      <w:r w:rsidR="006C4816">
        <w:t>new vaccine introduction</w:t>
      </w:r>
      <w:r w:rsidR="00574694">
        <w:t xml:space="preserve"> more broadly. </w:t>
      </w:r>
      <w:r w:rsidR="006C4816">
        <w:t xml:space="preserve">To capitalize on this opportunity, </w:t>
      </w:r>
      <w:r w:rsidR="00574694">
        <w:t xml:space="preserve">NIP </w:t>
      </w:r>
      <w:r w:rsidR="006C4816">
        <w:t>will</w:t>
      </w:r>
      <w:r w:rsidR="00574694">
        <w:t xml:space="preserve"> </w:t>
      </w:r>
      <w:r w:rsidR="00AE5E05">
        <w:t xml:space="preserve">create </w:t>
      </w:r>
      <w:r w:rsidR="00574694">
        <w:t>a</w:t>
      </w:r>
      <w:r w:rsidR="00AE5E05">
        <w:t xml:space="preserve"> small booklet containing key messages </w:t>
      </w:r>
      <w:r w:rsidR="00574694">
        <w:t>about IPV introduction</w:t>
      </w:r>
      <w:r w:rsidR="006C4816">
        <w:t xml:space="preserve"> and other </w:t>
      </w:r>
      <w:r w:rsidR="00574694">
        <w:lastRenderedPageBreak/>
        <w:t>new vaccines (PCV and JE)</w:t>
      </w:r>
      <w:r w:rsidR="00426892">
        <w:t xml:space="preserve">. </w:t>
      </w:r>
      <w:r w:rsidR="00574694">
        <w:t xml:space="preserve">These booklets can be distributed at </w:t>
      </w:r>
      <w:r w:rsidR="005013F0">
        <w:t>the different</w:t>
      </w:r>
      <w:r w:rsidR="00574694">
        <w:t xml:space="preserve"> meetings. </w:t>
      </w:r>
      <w:r w:rsidR="005013F0">
        <w:t xml:space="preserve">Due to differences in audience, it is likely NIP will create two booklets, one for PHD and OD and one for the HC and VHSG. </w:t>
      </w:r>
      <w:r w:rsidR="004C58D1">
        <w:t>It should be noted that t</w:t>
      </w:r>
      <w:r w:rsidR="005013F0">
        <w:t xml:space="preserve">he idea to create a booklet </w:t>
      </w:r>
      <w:r w:rsidR="004C58D1">
        <w:t>originate</w:t>
      </w:r>
      <w:r w:rsidR="005013F0">
        <w:t xml:space="preserve"> from </w:t>
      </w:r>
      <w:r w:rsidR="004C58D1">
        <w:t>the feedback NIP received following</w:t>
      </w:r>
      <w:r w:rsidR="005013F0">
        <w:t xml:space="preserve"> </w:t>
      </w:r>
      <w:r w:rsidR="004C58D1">
        <w:t xml:space="preserve">the introduction of the second dose of </w:t>
      </w:r>
      <w:r w:rsidR="005013F0">
        <w:t xml:space="preserve">measles. </w:t>
      </w:r>
      <w:r w:rsidR="004C58D1">
        <w:t>During the evaluation, many health care workers said that the booklet was one of the most useful and effective aspects of the introduction.</w:t>
      </w:r>
    </w:p>
    <w:p w14:paraId="52BF5204" w14:textId="77777777" w:rsidR="002104EB" w:rsidRDefault="002104EB"/>
    <w:p w14:paraId="400220CD" w14:textId="591D859E" w:rsidR="00F81AA5" w:rsidRDefault="002104EB">
      <w:pPr>
        <w:rPr>
          <w:b/>
        </w:rPr>
      </w:pPr>
      <w:r w:rsidRPr="008A2E55">
        <w:rPr>
          <w:b/>
        </w:rPr>
        <w:t xml:space="preserve">Figure </w:t>
      </w:r>
      <w:r w:rsidR="00F70FDB" w:rsidRPr="008A2E55">
        <w:rPr>
          <w:b/>
        </w:rPr>
        <w:t>3</w:t>
      </w:r>
      <w:r w:rsidRPr="008A2E55">
        <w:rPr>
          <w:b/>
        </w:rPr>
        <w:t>. Regular meetings conducted within the admini</w:t>
      </w:r>
      <w:r w:rsidR="008A2E55">
        <w:rPr>
          <w:b/>
        </w:rPr>
        <w:t>strative and health structures</w:t>
      </w:r>
    </w:p>
    <w:p w14:paraId="3ED6FFBB" w14:textId="77777777" w:rsidR="008A2E55" w:rsidRPr="008A2E55" w:rsidRDefault="008A2E55">
      <w:pPr>
        <w:rPr>
          <w:b/>
        </w:rPr>
      </w:pPr>
    </w:p>
    <w:p w14:paraId="2CB1310A" w14:textId="0A5AD1A9" w:rsidR="00F81AA5" w:rsidRPr="00B55D90" w:rsidRDefault="00F81AA5">
      <w:r>
        <w:rPr>
          <w:noProof/>
          <w:lang w:eastAsia="zh-CN"/>
        </w:rPr>
        <w:drawing>
          <wp:inline distT="0" distB="0" distL="0" distR="0" wp14:anchorId="061D158D" wp14:editId="47048BD7">
            <wp:extent cx="6172200" cy="4240157"/>
            <wp:effectExtent l="0" t="0" r="0" b="1905"/>
            <wp:docPr id="6" name="Picture 6" descr="Macintosh HD:Users:laurenplatt:Desktop:Screen Shot 2014-07-27 at 4.35.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platt:Desktop:Screen Shot 2014-07-27 at 4.35.41 A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8907"/>
                    <a:stretch/>
                  </pic:blipFill>
                  <pic:spPr bwMode="auto">
                    <a:xfrm>
                      <a:off x="0" y="0"/>
                      <a:ext cx="6172849" cy="4240603"/>
                    </a:xfrm>
                    <a:prstGeom prst="rect">
                      <a:avLst/>
                    </a:prstGeom>
                    <a:noFill/>
                    <a:ln>
                      <a:noFill/>
                    </a:ln>
                    <a:extLst>
                      <a:ext uri="{53640926-AAD7-44D8-BBD7-CCE9431645EC}">
                        <a14:shadowObscured xmlns:a14="http://schemas.microsoft.com/office/drawing/2010/main"/>
                      </a:ext>
                    </a:extLst>
                  </pic:spPr>
                </pic:pic>
              </a:graphicData>
            </a:graphic>
          </wp:inline>
        </w:drawing>
      </w:r>
    </w:p>
    <w:sectPr w:rsidR="00F81AA5" w:rsidRPr="00B55D90" w:rsidSect="005E1C7E">
      <w:headerReference w:type="even" r:id="rId18"/>
      <w:headerReference w:type="default" r:id="rId19"/>
      <w:footerReference w:type="even" r:id="rId20"/>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52C82" w14:textId="77777777" w:rsidR="003B4430" w:rsidRDefault="003B4430" w:rsidP="000B7C1A">
      <w:r>
        <w:separator/>
      </w:r>
    </w:p>
  </w:endnote>
  <w:endnote w:type="continuationSeparator" w:id="0">
    <w:p w14:paraId="532F26FC" w14:textId="77777777" w:rsidR="003B4430" w:rsidRDefault="003B4430" w:rsidP="000B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DaunPenh">
    <w:panose1 w:val="01010101010101010101"/>
    <w:charset w:val="00"/>
    <w:family w:val="auto"/>
    <w:pitch w:val="variable"/>
    <w:sig w:usb0="A00000EF" w:usb1="5000204A" w:usb2="00010000" w:usb3="00000000" w:csb0="0000011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Khmer UI">
    <w:panose1 w:val="020B0502040204020203"/>
    <w:charset w:val="00"/>
    <w:family w:val="swiss"/>
    <w:pitch w:val="variable"/>
    <w:sig w:usb0="8000002F" w:usb1="0000204A" w:usb2="0001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bottom w:val="none" w:sz="0" w:space="0" w:color="auto"/>
      </w:tblBorders>
      <w:shd w:val="clear" w:color="auto" w:fill="92CDDC" w:themeFill="accent5" w:themeFillTint="99"/>
      <w:tblLook w:val="0600" w:firstRow="0" w:lastRow="0" w:firstColumn="0" w:lastColumn="0" w:noHBand="1" w:noVBand="1"/>
    </w:tblPr>
    <w:tblGrid>
      <w:gridCol w:w="540"/>
      <w:gridCol w:w="8928"/>
    </w:tblGrid>
    <w:tr w:rsidR="004009B6" w:rsidRPr="00485651" w14:paraId="22242059" w14:textId="77777777" w:rsidTr="004C6C4C">
      <w:tc>
        <w:tcPr>
          <w:tcW w:w="540" w:type="dxa"/>
          <w:shd w:val="clear" w:color="auto" w:fill="948A54" w:themeFill="background2" w:themeFillShade="80"/>
        </w:tcPr>
        <w:p w14:paraId="67E980EC" w14:textId="77777777" w:rsidR="004009B6" w:rsidRPr="00485651" w:rsidRDefault="004009B6" w:rsidP="004C6C4C">
          <w:pPr>
            <w:jc w:val="center"/>
            <w:rPr>
              <w:color w:val="FFFFFF" w:themeColor="background1"/>
              <w:szCs w:val="24"/>
            </w:rPr>
          </w:pPr>
          <w:r w:rsidRPr="00485651">
            <w:rPr>
              <w:b/>
              <w:color w:val="FFFFFF" w:themeColor="background1"/>
              <w:sz w:val="24"/>
            </w:rPr>
            <w:fldChar w:fldCharType="begin"/>
          </w:r>
          <w:r w:rsidRPr="00485651">
            <w:rPr>
              <w:b/>
              <w:color w:val="FFFFFF" w:themeColor="background1"/>
              <w:sz w:val="24"/>
              <w:szCs w:val="24"/>
            </w:rPr>
            <w:instrText xml:space="preserve"> PAGE   \* MERGEFORMAT </w:instrText>
          </w:r>
          <w:r w:rsidRPr="00485651">
            <w:rPr>
              <w:b/>
              <w:color w:val="FFFFFF" w:themeColor="background1"/>
              <w:sz w:val="24"/>
            </w:rPr>
            <w:fldChar w:fldCharType="separate"/>
          </w:r>
          <w:r w:rsidR="00183FED" w:rsidRPr="00183FED">
            <w:rPr>
              <w:b/>
              <w:noProof/>
              <w:color w:val="FFFFFF" w:themeColor="background1"/>
              <w:sz w:val="24"/>
            </w:rPr>
            <w:t>10</w:t>
          </w:r>
          <w:r w:rsidRPr="00485651">
            <w:rPr>
              <w:b/>
              <w:color w:val="FFFFFF" w:themeColor="background1"/>
              <w:sz w:val="24"/>
            </w:rPr>
            <w:fldChar w:fldCharType="end"/>
          </w:r>
        </w:p>
      </w:tc>
      <w:tc>
        <w:tcPr>
          <w:tcW w:w="8928" w:type="dxa"/>
          <w:shd w:val="clear" w:color="auto" w:fill="auto"/>
        </w:tcPr>
        <w:p w14:paraId="0403D58C" w14:textId="77777777" w:rsidR="004009B6" w:rsidRPr="00485651" w:rsidRDefault="004009B6" w:rsidP="005E1C7E">
          <w:pPr>
            <w:rPr>
              <w:color w:val="FFFFFF" w:themeColor="background1"/>
            </w:rPr>
          </w:pPr>
          <w:sdt>
            <w:sdtPr>
              <w:rPr>
                <w:rFonts w:ascii="Arial Narrow" w:hAnsi="Arial Narrow"/>
                <w:bCs/>
                <w:caps/>
              </w:rPr>
              <w:alias w:val="Title"/>
              <w:id w:val="179907874"/>
              <w:dataBinding w:prefixMappings="xmlns:ns0='http://schemas.openxmlformats.org/package/2006/metadata/core-properties' xmlns:ns1='http://purl.org/dc/elements/1.1/'" w:xpath="/ns0:coreProperties[1]/ns1:title[1]" w:storeItemID="{6C3C8BC8-F283-45AE-878A-BAB7291924A1}"/>
              <w:text/>
            </w:sdtPr>
            <w:sdtContent>
              <w:r w:rsidRPr="004C6C4C">
                <w:rPr>
                  <w:rFonts w:ascii="Arial Narrow" w:hAnsi="Arial Narrow"/>
                  <w:bCs/>
                  <w:caps/>
                  <w:color w:val="auto"/>
                </w:rPr>
                <w:t>Annex A IPV introduction plaN</w:t>
              </w:r>
            </w:sdtContent>
          </w:sdt>
        </w:p>
      </w:tc>
    </w:tr>
  </w:tbl>
  <w:p w14:paraId="5EF9AA8E" w14:textId="77777777" w:rsidR="004009B6" w:rsidRDefault="004009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bottom w:val="none" w:sz="0" w:space="0" w:color="auto"/>
      </w:tblBorders>
      <w:shd w:val="clear" w:color="auto" w:fill="D6E3BC" w:themeFill="accent3" w:themeFillTint="66"/>
      <w:tblLook w:val="0600" w:firstRow="0" w:lastRow="0" w:firstColumn="0" w:lastColumn="0" w:noHBand="1" w:noVBand="1"/>
    </w:tblPr>
    <w:tblGrid>
      <w:gridCol w:w="8730"/>
      <w:gridCol w:w="540"/>
    </w:tblGrid>
    <w:tr w:rsidR="004009B6" w:rsidRPr="0051003F" w14:paraId="6922A362" w14:textId="77777777" w:rsidTr="004C6C4C">
      <w:tc>
        <w:tcPr>
          <w:tcW w:w="8730" w:type="dxa"/>
          <w:shd w:val="clear" w:color="auto" w:fill="auto"/>
        </w:tcPr>
        <w:p w14:paraId="4569D64F" w14:textId="77777777" w:rsidR="004009B6" w:rsidRPr="004C6C4C" w:rsidRDefault="004009B6" w:rsidP="005E1C7E">
          <w:pPr>
            <w:tabs>
              <w:tab w:val="left" w:pos="1340"/>
              <w:tab w:val="right" w:pos="8514"/>
            </w:tabs>
            <w:rPr>
              <w:rFonts w:ascii="Arial Narrow" w:hAnsi="Arial Narrow"/>
              <w:color w:val="auto"/>
            </w:rPr>
          </w:pPr>
          <w:r w:rsidRPr="004C6C4C">
            <w:rPr>
              <w:rFonts w:ascii="Arial Narrow" w:hAnsi="Arial Narrow"/>
              <w:bCs/>
              <w:caps/>
              <w:color w:val="auto"/>
            </w:rPr>
            <w:tab/>
          </w:r>
          <w:r w:rsidRPr="004C6C4C">
            <w:rPr>
              <w:rFonts w:ascii="Arial Narrow" w:hAnsi="Arial Narrow"/>
              <w:bCs/>
              <w:caps/>
              <w:color w:val="auto"/>
            </w:rPr>
            <w:tab/>
          </w:r>
          <w:sdt>
            <w:sdtPr>
              <w:rPr>
                <w:rFonts w:ascii="Arial Narrow" w:hAnsi="Arial Narrow"/>
                <w:bCs/>
                <w:caps/>
              </w:rPr>
              <w:alias w:val="Title"/>
              <w:id w:val="180836845"/>
              <w:dataBinding w:prefixMappings="xmlns:ns0='http://schemas.openxmlformats.org/package/2006/metadata/core-properties' xmlns:ns1='http://purl.org/dc/elements/1.1/'" w:xpath="/ns0:coreProperties[1]/ns1:title[1]" w:storeItemID="{6C3C8BC8-F283-45AE-878A-BAB7291924A1}"/>
              <w:text/>
            </w:sdtPr>
            <w:sdtContent>
              <w:r w:rsidRPr="004C6C4C">
                <w:rPr>
                  <w:rFonts w:ascii="Arial Narrow" w:hAnsi="Arial Narrow"/>
                  <w:bCs/>
                  <w:caps/>
                  <w:color w:val="auto"/>
                </w:rPr>
                <w:t>Annex A IPV introduction plaN</w:t>
              </w:r>
            </w:sdtContent>
          </w:sdt>
        </w:p>
      </w:tc>
      <w:tc>
        <w:tcPr>
          <w:tcW w:w="540" w:type="dxa"/>
          <w:shd w:val="clear" w:color="auto" w:fill="948A54" w:themeFill="background2" w:themeFillShade="80"/>
        </w:tcPr>
        <w:p w14:paraId="084F66AD" w14:textId="77777777" w:rsidR="004009B6" w:rsidRPr="0051003F" w:rsidRDefault="004009B6" w:rsidP="004C6C4C">
          <w:pPr>
            <w:jc w:val="center"/>
            <w:rPr>
              <w:color w:val="FFFFFF" w:themeColor="background1"/>
              <w:szCs w:val="24"/>
            </w:rPr>
          </w:pPr>
          <w:r w:rsidRPr="0051003F">
            <w:rPr>
              <w:b/>
              <w:color w:val="FFFFFF" w:themeColor="background1"/>
              <w:sz w:val="24"/>
            </w:rPr>
            <w:fldChar w:fldCharType="begin"/>
          </w:r>
          <w:r w:rsidRPr="0051003F">
            <w:rPr>
              <w:b/>
              <w:color w:val="FFFFFF" w:themeColor="background1"/>
              <w:sz w:val="24"/>
              <w:szCs w:val="24"/>
            </w:rPr>
            <w:instrText xml:space="preserve"> PAGE   \* MERGEFORMAT </w:instrText>
          </w:r>
          <w:r w:rsidRPr="0051003F">
            <w:rPr>
              <w:b/>
              <w:color w:val="FFFFFF" w:themeColor="background1"/>
              <w:sz w:val="24"/>
            </w:rPr>
            <w:fldChar w:fldCharType="separate"/>
          </w:r>
          <w:r w:rsidR="00183FED" w:rsidRPr="00183FED">
            <w:rPr>
              <w:b/>
              <w:noProof/>
              <w:color w:val="FFFFFF" w:themeColor="background1"/>
              <w:sz w:val="24"/>
            </w:rPr>
            <w:t>11</w:t>
          </w:r>
          <w:r w:rsidRPr="0051003F">
            <w:rPr>
              <w:b/>
              <w:color w:val="FFFFFF" w:themeColor="background1"/>
              <w:sz w:val="24"/>
            </w:rPr>
            <w:fldChar w:fldCharType="end"/>
          </w:r>
        </w:p>
      </w:tc>
    </w:tr>
  </w:tbl>
  <w:p w14:paraId="70E2CAB4" w14:textId="77777777" w:rsidR="004009B6" w:rsidRPr="00552061" w:rsidRDefault="004009B6" w:rsidP="0029070A">
    <w:pPr>
      <w:pStyle w:val="Footer"/>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82339" w14:textId="77777777" w:rsidR="003B4430" w:rsidRDefault="003B4430" w:rsidP="000B7C1A">
      <w:r>
        <w:separator/>
      </w:r>
    </w:p>
  </w:footnote>
  <w:footnote w:type="continuationSeparator" w:id="0">
    <w:p w14:paraId="117B7E65" w14:textId="77777777" w:rsidR="003B4430" w:rsidRDefault="003B4430" w:rsidP="000B7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F02E" w14:textId="400BCA61" w:rsidR="004009B6" w:rsidRDefault="004009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E1901" w14:textId="1F5FCAD7" w:rsidR="004009B6" w:rsidRDefault="004009B6" w:rsidP="0029070A">
    <w:pPr>
      <w:pStyle w:val="Header"/>
      <w:jc w:val="righ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EBDB2" w14:textId="061A751F" w:rsidR="004009B6" w:rsidRDefault="004009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1D81"/>
    <w:multiLevelType w:val="hybridMultilevel"/>
    <w:tmpl w:val="08BA0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3A63AF"/>
    <w:multiLevelType w:val="hybridMultilevel"/>
    <w:tmpl w:val="F580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A122B7"/>
    <w:multiLevelType w:val="hybridMultilevel"/>
    <w:tmpl w:val="6B8EC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732892"/>
    <w:multiLevelType w:val="hybridMultilevel"/>
    <w:tmpl w:val="3080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EE2E3F"/>
    <w:multiLevelType w:val="multilevel"/>
    <w:tmpl w:val="56C2C3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506F79A9"/>
    <w:multiLevelType w:val="hybridMultilevel"/>
    <w:tmpl w:val="5A54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11178A"/>
    <w:multiLevelType w:val="hybridMultilevel"/>
    <w:tmpl w:val="886C2D9C"/>
    <w:lvl w:ilvl="0" w:tplc="46F6A4D8">
      <w:start w:val="1"/>
      <w:numFmt w:val="bullet"/>
      <w:lvlText w:val="•"/>
      <w:lvlJc w:val="left"/>
      <w:pPr>
        <w:tabs>
          <w:tab w:val="num" w:pos="720"/>
        </w:tabs>
        <w:ind w:left="720" w:hanging="360"/>
      </w:pPr>
      <w:rPr>
        <w:rFonts w:ascii="Arial" w:hAnsi="Arial" w:hint="default"/>
      </w:rPr>
    </w:lvl>
    <w:lvl w:ilvl="1" w:tplc="A21A6E26" w:tentative="1">
      <w:start w:val="1"/>
      <w:numFmt w:val="bullet"/>
      <w:lvlText w:val="•"/>
      <w:lvlJc w:val="left"/>
      <w:pPr>
        <w:tabs>
          <w:tab w:val="num" w:pos="1440"/>
        </w:tabs>
        <w:ind w:left="1440" w:hanging="360"/>
      </w:pPr>
      <w:rPr>
        <w:rFonts w:ascii="Arial" w:hAnsi="Arial" w:hint="default"/>
      </w:rPr>
    </w:lvl>
    <w:lvl w:ilvl="2" w:tplc="2626DFF0" w:tentative="1">
      <w:start w:val="1"/>
      <w:numFmt w:val="bullet"/>
      <w:lvlText w:val="•"/>
      <w:lvlJc w:val="left"/>
      <w:pPr>
        <w:tabs>
          <w:tab w:val="num" w:pos="2160"/>
        </w:tabs>
        <w:ind w:left="2160" w:hanging="360"/>
      </w:pPr>
      <w:rPr>
        <w:rFonts w:ascii="Arial" w:hAnsi="Arial" w:hint="default"/>
      </w:rPr>
    </w:lvl>
    <w:lvl w:ilvl="3" w:tplc="B7943C0C" w:tentative="1">
      <w:start w:val="1"/>
      <w:numFmt w:val="bullet"/>
      <w:lvlText w:val="•"/>
      <w:lvlJc w:val="left"/>
      <w:pPr>
        <w:tabs>
          <w:tab w:val="num" w:pos="2880"/>
        </w:tabs>
        <w:ind w:left="2880" w:hanging="360"/>
      </w:pPr>
      <w:rPr>
        <w:rFonts w:ascii="Arial" w:hAnsi="Arial" w:hint="default"/>
      </w:rPr>
    </w:lvl>
    <w:lvl w:ilvl="4" w:tplc="FB0EFDCC" w:tentative="1">
      <w:start w:val="1"/>
      <w:numFmt w:val="bullet"/>
      <w:lvlText w:val="•"/>
      <w:lvlJc w:val="left"/>
      <w:pPr>
        <w:tabs>
          <w:tab w:val="num" w:pos="3600"/>
        </w:tabs>
        <w:ind w:left="3600" w:hanging="360"/>
      </w:pPr>
      <w:rPr>
        <w:rFonts w:ascii="Arial" w:hAnsi="Arial" w:hint="default"/>
      </w:rPr>
    </w:lvl>
    <w:lvl w:ilvl="5" w:tplc="1B8891C4" w:tentative="1">
      <w:start w:val="1"/>
      <w:numFmt w:val="bullet"/>
      <w:lvlText w:val="•"/>
      <w:lvlJc w:val="left"/>
      <w:pPr>
        <w:tabs>
          <w:tab w:val="num" w:pos="4320"/>
        </w:tabs>
        <w:ind w:left="4320" w:hanging="360"/>
      </w:pPr>
      <w:rPr>
        <w:rFonts w:ascii="Arial" w:hAnsi="Arial" w:hint="default"/>
      </w:rPr>
    </w:lvl>
    <w:lvl w:ilvl="6" w:tplc="813099DA" w:tentative="1">
      <w:start w:val="1"/>
      <w:numFmt w:val="bullet"/>
      <w:lvlText w:val="•"/>
      <w:lvlJc w:val="left"/>
      <w:pPr>
        <w:tabs>
          <w:tab w:val="num" w:pos="5040"/>
        </w:tabs>
        <w:ind w:left="5040" w:hanging="360"/>
      </w:pPr>
      <w:rPr>
        <w:rFonts w:ascii="Arial" w:hAnsi="Arial" w:hint="default"/>
      </w:rPr>
    </w:lvl>
    <w:lvl w:ilvl="7" w:tplc="EBD86E4A" w:tentative="1">
      <w:start w:val="1"/>
      <w:numFmt w:val="bullet"/>
      <w:lvlText w:val="•"/>
      <w:lvlJc w:val="left"/>
      <w:pPr>
        <w:tabs>
          <w:tab w:val="num" w:pos="5760"/>
        </w:tabs>
        <w:ind w:left="5760" w:hanging="360"/>
      </w:pPr>
      <w:rPr>
        <w:rFonts w:ascii="Arial" w:hAnsi="Arial" w:hint="default"/>
      </w:rPr>
    </w:lvl>
    <w:lvl w:ilvl="8" w:tplc="74FA0E9C" w:tentative="1">
      <w:start w:val="1"/>
      <w:numFmt w:val="bullet"/>
      <w:lvlText w:val="•"/>
      <w:lvlJc w:val="left"/>
      <w:pPr>
        <w:tabs>
          <w:tab w:val="num" w:pos="6480"/>
        </w:tabs>
        <w:ind w:left="6480" w:hanging="360"/>
      </w:pPr>
      <w:rPr>
        <w:rFonts w:ascii="Arial" w:hAnsi="Arial" w:hint="default"/>
      </w:rPr>
    </w:lvl>
  </w:abstractNum>
  <w:abstractNum w:abstractNumId="7">
    <w:nsid w:val="66F100FA"/>
    <w:multiLevelType w:val="hybridMultilevel"/>
    <w:tmpl w:val="F45E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A258AE"/>
    <w:multiLevelType w:val="hybridMultilevel"/>
    <w:tmpl w:val="BF38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227D3B"/>
    <w:multiLevelType w:val="hybridMultilevel"/>
    <w:tmpl w:val="7C507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22147F"/>
    <w:multiLevelType w:val="hybridMultilevel"/>
    <w:tmpl w:val="0AF0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5"/>
  </w:num>
  <w:num w:numId="5">
    <w:abstractNumId w:val="3"/>
  </w:num>
  <w:num w:numId="6">
    <w:abstractNumId w:val="8"/>
  </w:num>
  <w:num w:numId="7">
    <w:abstractNumId w:val="0"/>
  </w:num>
  <w:num w:numId="8">
    <w:abstractNumId w:val="6"/>
  </w:num>
  <w:num w:numId="9">
    <w:abstractNumId w:val="2"/>
  </w:num>
  <w:num w:numId="10">
    <w:abstractNumId w:val="7"/>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D70"/>
    <w:rsid w:val="00003E06"/>
    <w:rsid w:val="000105A8"/>
    <w:rsid w:val="00011EDA"/>
    <w:rsid w:val="00012E9B"/>
    <w:rsid w:val="00015183"/>
    <w:rsid w:val="00017D41"/>
    <w:rsid w:val="00033E31"/>
    <w:rsid w:val="00037F83"/>
    <w:rsid w:val="000426A1"/>
    <w:rsid w:val="00047125"/>
    <w:rsid w:val="0004762A"/>
    <w:rsid w:val="00047B99"/>
    <w:rsid w:val="0005545C"/>
    <w:rsid w:val="00067C32"/>
    <w:rsid w:val="00070168"/>
    <w:rsid w:val="00080B0C"/>
    <w:rsid w:val="00082263"/>
    <w:rsid w:val="000859AC"/>
    <w:rsid w:val="0009556F"/>
    <w:rsid w:val="000A458F"/>
    <w:rsid w:val="000B3592"/>
    <w:rsid w:val="000B37AB"/>
    <w:rsid w:val="000B4946"/>
    <w:rsid w:val="000B7C1A"/>
    <w:rsid w:val="000C1BBB"/>
    <w:rsid w:val="000C392D"/>
    <w:rsid w:val="000C4294"/>
    <w:rsid w:val="000C4BFF"/>
    <w:rsid w:val="000D0DB8"/>
    <w:rsid w:val="000D3877"/>
    <w:rsid w:val="000E0AED"/>
    <w:rsid w:val="000E384D"/>
    <w:rsid w:val="00106DAC"/>
    <w:rsid w:val="00111CF8"/>
    <w:rsid w:val="00117B7F"/>
    <w:rsid w:val="001277DB"/>
    <w:rsid w:val="00137376"/>
    <w:rsid w:val="00143B0E"/>
    <w:rsid w:val="001515C4"/>
    <w:rsid w:val="00163432"/>
    <w:rsid w:val="00175DA6"/>
    <w:rsid w:val="00182345"/>
    <w:rsid w:val="001834DF"/>
    <w:rsid w:val="00183FED"/>
    <w:rsid w:val="001A257B"/>
    <w:rsid w:val="001A3B99"/>
    <w:rsid w:val="001A61F3"/>
    <w:rsid w:val="001A7C42"/>
    <w:rsid w:val="001B3902"/>
    <w:rsid w:val="001B48A8"/>
    <w:rsid w:val="001C4AE4"/>
    <w:rsid w:val="001C737E"/>
    <w:rsid w:val="001D129F"/>
    <w:rsid w:val="001D15F2"/>
    <w:rsid w:val="001D56B8"/>
    <w:rsid w:val="001F0D70"/>
    <w:rsid w:val="002104EB"/>
    <w:rsid w:val="00215134"/>
    <w:rsid w:val="0021604B"/>
    <w:rsid w:val="0022143C"/>
    <w:rsid w:val="002220C4"/>
    <w:rsid w:val="00234243"/>
    <w:rsid w:val="00236E9D"/>
    <w:rsid w:val="00264A61"/>
    <w:rsid w:val="00267E80"/>
    <w:rsid w:val="002741D9"/>
    <w:rsid w:val="0028005B"/>
    <w:rsid w:val="00287649"/>
    <w:rsid w:val="0029070A"/>
    <w:rsid w:val="00292695"/>
    <w:rsid w:val="00293B0C"/>
    <w:rsid w:val="0029509B"/>
    <w:rsid w:val="00295D7B"/>
    <w:rsid w:val="002A2C46"/>
    <w:rsid w:val="002A6894"/>
    <w:rsid w:val="002B1070"/>
    <w:rsid w:val="002B25FA"/>
    <w:rsid w:val="002B3980"/>
    <w:rsid w:val="002B6789"/>
    <w:rsid w:val="002D3C2F"/>
    <w:rsid w:val="002D3E61"/>
    <w:rsid w:val="002D62E0"/>
    <w:rsid w:val="002E14E4"/>
    <w:rsid w:val="00300372"/>
    <w:rsid w:val="00311DE5"/>
    <w:rsid w:val="00317803"/>
    <w:rsid w:val="00320912"/>
    <w:rsid w:val="003337C6"/>
    <w:rsid w:val="00340E8E"/>
    <w:rsid w:val="00341CE4"/>
    <w:rsid w:val="00345FA3"/>
    <w:rsid w:val="00353A5D"/>
    <w:rsid w:val="00356E72"/>
    <w:rsid w:val="00363AE7"/>
    <w:rsid w:val="003672EF"/>
    <w:rsid w:val="00375E79"/>
    <w:rsid w:val="00381188"/>
    <w:rsid w:val="00382C14"/>
    <w:rsid w:val="00384A95"/>
    <w:rsid w:val="00384F12"/>
    <w:rsid w:val="00391CC6"/>
    <w:rsid w:val="003941C1"/>
    <w:rsid w:val="003969F5"/>
    <w:rsid w:val="003B155D"/>
    <w:rsid w:val="003B4430"/>
    <w:rsid w:val="003B488F"/>
    <w:rsid w:val="003C2EEC"/>
    <w:rsid w:val="003C42BE"/>
    <w:rsid w:val="003C6398"/>
    <w:rsid w:val="003D1111"/>
    <w:rsid w:val="003E12F2"/>
    <w:rsid w:val="003E2896"/>
    <w:rsid w:val="003E31B1"/>
    <w:rsid w:val="003E7EF1"/>
    <w:rsid w:val="004009B6"/>
    <w:rsid w:val="00403758"/>
    <w:rsid w:val="00405BEE"/>
    <w:rsid w:val="004113B4"/>
    <w:rsid w:val="00416A48"/>
    <w:rsid w:val="00417F67"/>
    <w:rsid w:val="00421D52"/>
    <w:rsid w:val="0042229F"/>
    <w:rsid w:val="004238E4"/>
    <w:rsid w:val="004242AF"/>
    <w:rsid w:val="00425494"/>
    <w:rsid w:val="00426892"/>
    <w:rsid w:val="004270D0"/>
    <w:rsid w:val="0043232E"/>
    <w:rsid w:val="00432DFE"/>
    <w:rsid w:val="00434FEF"/>
    <w:rsid w:val="004401B2"/>
    <w:rsid w:val="0044247C"/>
    <w:rsid w:val="00442B41"/>
    <w:rsid w:val="00443F34"/>
    <w:rsid w:val="00456414"/>
    <w:rsid w:val="0046037C"/>
    <w:rsid w:val="00464B24"/>
    <w:rsid w:val="00467955"/>
    <w:rsid w:val="00467A46"/>
    <w:rsid w:val="00474BA9"/>
    <w:rsid w:val="004750C6"/>
    <w:rsid w:val="00477347"/>
    <w:rsid w:val="00480D9A"/>
    <w:rsid w:val="004838B2"/>
    <w:rsid w:val="0048670C"/>
    <w:rsid w:val="00494CC0"/>
    <w:rsid w:val="00496006"/>
    <w:rsid w:val="004A3C3B"/>
    <w:rsid w:val="004A433D"/>
    <w:rsid w:val="004A68B5"/>
    <w:rsid w:val="004B7003"/>
    <w:rsid w:val="004C35EF"/>
    <w:rsid w:val="004C58D1"/>
    <w:rsid w:val="004C6C4C"/>
    <w:rsid w:val="004D5C30"/>
    <w:rsid w:val="004D5DCE"/>
    <w:rsid w:val="004E430D"/>
    <w:rsid w:val="004F1E7A"/>
    <w:rsid w:val="004F7DF4"/>
    <w:rsid w:val="005013F0"/>
    <w:rsid w:val="00507C0F"/>
    <w:rsid w:val="00510371"/>
    <w:rsid w:val="00517B72"/>
    <w:rsid w:val="00517F58"/>
    <w:rsid w:val="005322EF"/>
    <w:rsid w:val="00532B6B"/>
    <w:rsid w:val="00532EFB"/>
    <w:rsid w:val="00533677"/>
    <w:rsid w:val="00534D24"/>
    <w:rsid w:val="0054032C"/>
    <w:rsid w:val="0054671A"/>
    <w:rsid w:val="00551444"/>
    <w:rsid w:val="00552061"/>
    <w:rsid w:val="0055269C"/>
    <w:rsid w:val="00554F96"/>
    <w:rsid w:val="00555DC7"/>
    <w:rsid w:val="00560536"/>
    <w:rsid w:val="00567243"/>
    <w:rsid w:val="00573206"/>
    <w:rsid w:val="00574694"/>
    <w:rsid w:val="0057626A"/>
    <w:rsid w:val="00587A44"/>
    <w:rsid w:val="00595C6A"/>
    <w:rsid w:val="005A53DA"/>
    <w:rsid w:val="005B78A7"/>
    <w:rsid w:val="005C09FD"/>
    <w:rsid w:val="005D0E74"/>
    <w:rsid w:val="005D6C78"/>
    <w:rsid w:val="005E1C7E"/>
    <w:rsid w:val="005E4820"/>
    <w:rsid w:val="005E70F3"/>
    <w:rsid w:val="006011DE"/>
    <w:rsid w:val="00606F76"/>
    <w:rsid w:val="0061158E"/>
    <w:rsid w:val="00615578"/>
    <w:rsid w:val="006340E6"/>
    <w:rsid w:val="00636F13"/>
    <w:rsid w:val="0064245E"/>
    <w:rsid w:val="00644308"/>
    <w:rsid w:val="00645C04"/>
    <w:rsid w:val="00654D82"/>
    <w:rsid w:val="00662925"/>
    <w:rsid w:val="00664B2B"/>
    <w:rsid w:val="00666CA6"/>
    <w:rsid w:val="0067293A"/>
    <w:rsid w:val="00672D08"/>
    <w:rsid w:val="00682C9A"/>
    <w:rsid w:val="00684B11"/>
    <w:rsid w:val="0068682A"/>
    <w:rsid w:val="00690133"/>
    <w:rsid w:val="0069056E"/>
    <w:rsid w:val="00694E9E"/>
    <w:rsid w:val="0069699B"/>
    <w:rsid w:val="00696CF9"/>
    <w:rsid w:val="006A0CD5"/>
    <w:rsid w:val="006A6176"/>
    <w:rsid w:val="006B56EA"/>
    <w:rsid w:val="006C0E14"/>
    <w:rsid w:val="006C2A40"/>
    <w:rsid w:val="006C3725"/>
    <w:rsid w:val="006C4816"/>
    <w:rsid w:val="006C6E06"/>
    <w:rsid w:val="006D5FF3"/>
    <w:rsid w:val="006F461B"/>
    <w:rsid w:val="006F5896"/>
    <w:rsid w:val="00703F18"/>
    <w:rsid w:val="00704CD4"/>
    <w:rsid w:val="00715C5E"/>
    <w:rsid w:val="00724188"/>
    <w:rsid w:val="00725ABE"/>
    <w:rsid w:val="007334A5"/>
    <w:rsid w:val="00735EF4"/>
    <w:rsid w:val="00740B71"/>
    <w:rsid w:val="007425E8"/>
    <w:rsid w:val="00747666"/>
    <w:rsid w:val="007501C9"/>
    <w:rsid w:val="007540A6"/>
    <w:rsid w:val="00754755"/>
    <w:rsid w:val="00755699"/>
    <w:rsid w:val="0076118A"/>
    <w:rsid w:val="007636B7"/>
    <w:rsid w:val="00764BB1"/>
    <w:rsid w:val="00765C9F"/>
    <w:rsid w:val="007726CF"/>
    <w:rsid w:val="00785461"/>
    <w:rsid w:val="00792A40"/>
    <w:rsid w:val="00796D08"/>
    <w:rsid w:val="007972A0"/>
    <w:rsid w:val="007972F9"/>
    <w:rsid w:val="00797A75"/>
    <w:rsid w:val="007A29B6"/>
    <w:rsid w:val="007A387B"/>
    <w:rsid w:val="007A3A6E"/>
    <w:rsid w:val="007A5EAD"/>
    <w:rsid w:val="007A66A6"/>
    <w:rsid w:val="007B76A2"/>
    <w:rsid w:val="007C5196"/>
    <w:rsid w:val="007D1BC8"/>
    <w:rsid w:val="007D5264"/>
    <w:rsid w:val="007D585C"/>
    <w:rsid w:val="007F49BF"/>
    <w:rsid w:val="007F6E39"/>
    <w:rsid w:val="008059C7"/>
    <w:rsid w:val="00820799"/>
    <w:rsid w:val="00821AB1"/>
    <w:rsid w:val="00840FE5"/>
    <w:rsid w:val="00841DA9"/>
    <w:rsid w:val="0084203E"/>
    <w:rsid w:val="00842DA5"/>
    <w:rsid w:val="00843119"/>
    <w:rsid w:val="00846A43"/>
    <w:rsid w:val="008475E0"/>
    <w:rsid w:val="008533CF"/>
    <w:rsid w:val="00854163"/>
    <w:rsid w:val="008610A0"/>
    <w:rsid w:val="0086383F"/>
    <w:rsid w:val="0087045F"/>
    <w:rsid w:val="00874464"/>
    <w:rsid w:val="008767FF"/>
    <w:rsid w:val="00886C63"/>
    <w:rsid w:val="008926F8"/>
    <w:rsid w:val="008A2E55"/>
    <w:rsid w:val="008A321A"/>
    <w:rsid w:val="008A6795"/>
    <w:rsid w:val="008B0917"/>
    <w:rsid w:val="008B0CD6"/>
    <w:rsid w:val="008B3C68"/>
    <w:rsid w:val="008C35F1"/>
    <w:rsid w:val="008C4AE4"/>
    <w:rsid w:val="008D39EE"/>
    <w:rsid w:val="008D5316"/>
    <w:rsid w:val="008F17C2"/>
    <w:rsid w:val="008F4034"/>
    <w:rsid w:val="00900423"/>
    <w:rsid w:val="0091315A"/>
    <w:rsid w:val="009225B8"/>
    <w:rsid w:val="0093062C"/>
    <w:rsid w:val="009333C1"/>
    <w:rsid w:val="00933DF5"/>
    <w:rsid w:val="00934E64"/>
    <w:rsid w:val="00942406"/>
    <w:rsid w:val="00953C6C"/>
    <w:rsid w:val="00954E89"/>
    <w:rsid w:val="00965721"/>
    <w:rsid w:val="009723E0"/>
    <w:rsid w:val="00974379"/>
    <w:rsid w:val="00974411"/>
    <w:rsid w:val="00981A47"/>
    <w:rsid w:val="00985E31"/>
    <w:rsid w:val="0099435D"/>
    <w:rsid w:val="009B62FE"/>
    <w:rsid w:val="009C1F60"/>
    <w:rsid w:val="009C4E6B"/>
    <w:rsid w:val="009D739B"/>
    <w:rsid w:val="009E06AD"/>
    <w:rsid w:val="009E0F24"/>
    <w:rsid w:val="009E1F31"/>
    <w:rsid w:val="009E20A5"/>
    <w:rsid w:val="009E6426"/>
    <w:rsid w:val="009F2576"/>
    <w:rsid w:val="009F60BF"/>
    <w:rsid w:val="009F7E5F"/>
    <w:rsid w:val="00A279CE"/>
    <w:rsid w:val="00A40CF3"/>
    <w:rsid w:val="00A438F0"/>
    <w:rsid w:val="00A507EC"/>
    <w:rsid w:val="00A61D4E"/>
    <w:rsid w:val="00A648A0"/>
    <w:rsid w:val="00A64D12"/>
    <w:rsid w:val="00A66D53"/>
    <w:rsid w:val="00A849B0"/>
    <w:rsid w:val="00A95357"/>
    <w:rsid w:val="00AA089D"/>
    <w:rsid w:val="00AB0A04"/>
    <w:rsid w:val="00AB2BF4"/>
    <w:rsid w:val="00AC25E6"/>
    <w:rsid w:val="00AC32DA"/>
    <w:rsid w:val="00AC54E7"/>
    <w:rsid w:val="00AD1A16"/>
    <w:rsid w:val="00AD4129"/>
    <w:rsid w:val="00AE162E"/>
    <w:rsid w:val="00AE478E"/>
    <w:rsid w:val="00AE5E05"/>
    <w:rsid w:val="00B15B8C"/>
    <w:rsid w:val="00B2626A"/>
    <w:rsid w:val="00B30AB7"/>
    <w:rsid w:val="00B31BD8"/>
    <w:rsid w:val="00B378DE"/>
    <w:rsid w:val="00B42986"/>
    <w:rsid w:val="00B55D90"/>
    <w:rsid w:val="00B61184"/>
    <w:rsid w:val="00B75B7A"/>
    <w:rsid w:val="00B81A5F"/>
    <w:rsid w:val="00B93D22"/>
    <w:rsid w:val="00BA33A2"/>
    <w:rsid w:val="00BA7BD5"/>
    <w:rsid w:val="00BB0DCE"/>
    <w:rsid w:val="00BB2FAA"/>
    <w:rsid w:val="00BB3E74"/>
    <w:rsid w:val="00BD11E9"/>
    <w:rsid w:val="00BD46F3"/>
    <w:rsid w:val="00BD4FD7"/>
    <w:rsid w:val="00BD50D1"/>
    <w:rsid w:val="00BE0B71"/>
    <w:rsid w:val="00BE214D"/>
    <w:rsid w:val="00BE6658"/>
    <w:rsid w:val="00BE68CF"/>
    <w:rsid w:val="00BF325F"/>
    <w:rsid w:val="00BF7F0E"/>
    <w:rsid w:val="00C00E50"/>
    <w:rsid w:val="00C03F0D"/>
    <w:rsid w:val="00C04C9D"/>
    <w:rsid w:val="00C131ED"/>
    <w:rsid w:val="00C14C9B"/>
    <w:rsid w:val="00C274DB"/>
    <w:rsid w:val="00C30C34"/>
    <w:rsid w:val="00C428CC"/>
    <w:rsid w:val="00C44A4D"/>
    <w:rsid w:val="00C45DF7"/>
    <w:rsid w:val="00C62777"/>
    <w:rsid w:val="00C6294D"/>
    <w:rsid w:val="00C65C03"/>
    <w:rsid w:val="00C66F2C"/>
    <w:rsid w:val="00C672D3"/>
    <w:rsid w:val="00C675EB"/>
    <w:rsid w:val="00C856BC"/>
    <w:rsid w:val="00C857C7"/>
    <w:rsid w:val="00C86431"/>
    <w:rsid w:val="00C94213"/>
    <w:rsid w:val="00CA1B8C"/>
    <w:rsid w:val="00CA7E4C"/>
    <w:rsid w:val="00CB004A"/>
    <w:rsid w:val="00CB16ED"/>
    <w:rsid w:val="00CB56F9"/>
    <w:rsid w:val="00CD2B4C"/>
    <w:rsid w:val="00CD50D3"/>
    <w:rsid w:val="00CD730E"/>
    <w:rsid w:val="00CE2956"/>
    <w:rsid w:val="00CE58CC"/>
    <w:rsid w:val="00CE73E1"/>
    <w:rsid w:val="00CF204A"/>
    <w:rsid w:val="00CF342A"/>
    <w:rsid w:val="00CF3580"/>
    <w:rsid w:val="00D00D14"/>
    <w:rsid w:val="00D07CDD"/>
    <w:rsid w:val="00D16F90"/>
    <w:rsid w:val="00D2401A"/>
    <w:rsid w:val="00D27349"/>
    <w:rsid w:val="00D33EB5"/>
    <w:rsid w:val="00D35378"/>
    <w:rsid w:val="00D51764"/>
    <w:rsid w:val="00D66D70"/>
    <w:rsid w:val="00D67807"/>
    <w:rsid w:val="00D91F6B"/>
    <w:rsid w:val="00DA22DF"/>
    <w:rsid w:val="00DB0585"/>
    <w:rsid w:val="00DB3F5A"/>
    <w:rsid w:val="00DC2C3F"/>
    <w:rsid w:val="00DE0378"/>
    <w:rsid w:val="00DE578D"/>
    <w:rsid w:val="00DF04C1"/>
    <w:rsid w:val="00DF6CA0"/>
    <w:rsid w:val="00E02D24"/>
    <w:rsid w:val="00E04198"/>
    <w:rsid w:val="00E23714"/>
    <w:rsid w:val="00E254EE"/>
    <w:rsid w:val="00E320BD"/>
    <w:rsid w:val="00E3286E"/>
    <w:rsid w:val="00E35CDE"/>
    <w:rsid w:val="00E473F7"/>
    <w:rsid w:val="00E70FB4"/>
    <w:rsid w:val="00E726CF"/>
    <w:rsid w:val="00E74CA8"/>
    <w:rsid w:val="00E80ABF"/>
    <w:rsid w:val="00E86710"/>
    <w:rsid w:val="00E92333"/>
    <w:rsid w:val="00E96048"/>
    <w:rsid w:val="00EA0442"/>
    <w:rsid w:val="00EA1A89"/>
    <w:rsid w:val="00EA2C4E"/>
    <w:rsid w:val="00EA76B7"/>
    <w:rsid w:val="00EB2418"/>
    <w:rsid w:val="00EB335A"/>
    <w:rsid w:val="00EB4423"/>
    <w:rsid w:val="00EC1487"/>
    <w:rsid w:val="00EC15A9"/>
    <w:rsid w:val="00EC4B22"/>
    <w:rsid w:val="00EC6C37"/>
    <w:rsid w:val="00ED1917"/>
    <w:rsid w:val="00ED3DB8"/>
    <w:rsid w:val="00EE6854"/>
    <w:rsid w:val="00EF6B29"/>
    <w:rsid w:val="00EF6C0C"/>
    <w:rsid w:val="00F0162F"/>
    <w:rsid w:val="00F0312C"/>
    <w:rsid w:val="00F07F09"/>
    <w:rsid w:val="00F10BB8"/>
    <w:rsid w:val="00F1673E"/>
    <w:rsid w:val="00F17549"/>
    <w:rsid w:val="00F21331"/>
    <w:rsid w:val="00F248BD"/>
    <w:rsid w:val="00F24A0D"/>
    <w:rsid w:val="00F26682"/>
    <w:rsid w:val="00F32288"/>
    <w:rsid w:val="00F33DB9"/>
    <w:rsid w:val="00F527A0"/>
    <w:rsid w:val="00F60880"/>
    <w:rsid w:val="00F651FA"/>
    <w:rsid w:val="00F67383"/>
    <w:rsid w:val="00F70A08"/>
    <w:rsid w:val="00F70FDB"/>
    <w:rsid w:val="00F81AA5"/>
    <w:rsid w:val="00F83E71"/>
    <w:rsid w:val="00FA27E2"/>
    <w:rsid w:val="00FA3FD5"/>
    <w:rsid w:val="00FA3FD6"/>
    <w:rsid w:val="00FA719C"/>
    <w:rsid w:val="00FB494B"/>
    <w:rsid w:val="00FD2E2C"/>
    <w:rsid w:val="00FD2FF6"/>
    <w:rsid w:val="00FE2D10"/>
    <w:rsid w:val="00FE432B"/>
    <w:rsid w:val="00FF1758"/>
    <w:rsid w:val="00FF7D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489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333"/>
    <w:rPr>
      <w:rFonts w:ascii="Calibri" w:hAnsi="Calibri"/>
      <w:sz w:val="22"/>
    </w:rPr>
  </w:style>
  <w:style w:type="paragraph" w:styleId="Heading1">
    <w:name w:val="heading 1"/>
    <w:basedOn w:val="Normal"/>
    <w:next w:val="Normal"/>
    <w:link w:val="Heading1Char"/>
    <w:uiPriority w:val="9"/>
    <w:qFormat/>
    <w:rsid w:val="0064245E"/>
    <w:pPr>
      <w:keepNext/>
      <w:keepLines/>
      <w:numPr>
        <w:numId w:val="1"/>
      </w:numPr>
      <w:outlineLvl w:val="0"/>
    </w:pPr>
    <w:rPr>
      <w:rFonts w:asciiTheme="majorHAnsi" w:eastAsiaTheme="majorEastAsia" w:hAnsiTheme="majorHAnsi" w:cstheme="majorBidi"/>
      <w:b/>
      <w:bCs/>
      <w:color w:val="8064A2" w:themeColor="accent4"/>
      <w:sz w:val="28"/>
      <w:szCs w:val="32"/>
    </w:rPr>
  </w:style>
  <w:style w:type="paragraph" w:styleId="Heading2">
    <w:name w:val="heading 2"/>
    <w:basedOn w:val="Normal"/>
    <w:next w:val="Normal"/>
    <w:link w:val="Heading2Char"/>
    <w:uiPriority w:val="9"/>
    <w:unhideWhenUsed/>
    <w:qFormat/>
    <w:rsid w:val="005E1C7E"/>
    <w:pPr>
      <w:keepNext/>
      <w:keepLines/>
      <w:numPr>
        <w:ilvl w:val="1"/>
        <w:numId w:val="1"/>
      </w:numPr>
      <w:outlineLvl w:val="1"/>
    </w:pPr>
    <w:rPr>
      <w:rFonts w:asciiTheme="majorHAnsi" w:eastAsiaTheme="majorEastAsia" w:hAnsiTheme="majorHAnsi" w:cstheme="majorBidi"/>
      <w:b/>
      <w:bCs/>
      <w:color w:val="8E886F"/>
      <w:szCs w:val="26"/>
    </w:rPr>
  </w:style>
  <w:style w:type="paragraph" w:styleId="Heading3">
    <w:name w:val="heading 3"/>
    <w:basedOn w:val="Normal"/>
    <w:next w:val="Normal"/>
    <w:link w:val="Heading3Char"/>
    <w:uiPriority w:val="9"/>
    <w:unhideWhenUsed/>
    <w:qFormat/>
    <w:rsid w:val="001F0D7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0D7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0D7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0D7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0D7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0D7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0D7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45E"/>
    <w:rPr>
      <w:rFonts w:asciiTheme="majorHAnsi" w:eastAsiaTheme="majorEastAsia" w:hAnsiTheme="majorHAnsi" w:cstheme="majorBidi"/>
      <w:b/>
      <w:bCs/>
      <w:color w:val="8064A2" w:themeColor="accent4"/>
      <w:sz w:val="28"/>
      <w:szCs w:val="32"/>
    </w:rPr>
  </w:style>
  <w:style w:type="character" w:customStyle="1" w:styleId="Heading2Char">
    <w:name w:val="Heading 2 Char"/>
    <w:basedOn w:val="DefaultParagraphFont"/>
    <w:link w:val="Heading2"/>
    <w:uiPriority w:val="9"/>
    <w:rsid w:val="005E1C7E"/>
    <w:rPr>
      <w:rFonts w:asciiTheme="majorHAnsi" w:eastAsiaTheme="majorEastAsia" w:hAnsiTheme="majorHAnsi" w:cstheme="majorBidi"/>
      <w:b/>
      <w:bCs/>
      <w:color w:val="8E886F"/>
      <w:sz w:val="22"/>
      <w:szCs w:val="26"/>
    </w:rPr>
  </w:style>
  <w:style w:type="table" w:styleId="TableGrid">
    <w:name w:val="Table Grid"/>
    <w:basedOn w:val="TableNormal"/>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F0D7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F0D70"/>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F0D7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1F0D70"/>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1F0D7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F0D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0D70"/>
    <w:rPr>
      <w:rFonts w:asciiTheme="majorHAnsi" w:eastAsiaTheme="majorEastAsia" w:hAnsiTheme="majorHAnsi" w:cstheme="majorBidi"/>
      <w:i/>
      <w:iCs/>
      <w:color w:val="404040" w:themeColor="text1" w:themeTint="BF"/>
      <w:sz w:val="20"/>
      <w:szCs w:val="20"/>
    </w:rPr>
  </w:style>
  <w:style w:type="paragraph" w:customStyle="1" w:styleId="TableText">
    <w:name w:val="TableText"/>
    <w:basedOn w:val="Normal"/>
    <w:uiPriority w:val="99"/>
    <w:rsid w:val="00234243"/>
    <w:pPr>
      <w:tabs>
        <w:tab w:val="left" w:pos="-1440"/>
        <w:tab w:val="left" w:pos="-720"/>
      </w:tabs>
      <w:suppressAutoHyphens/>
      <w:spacing w:before="60" w:after="60"/>
    </w:pPr>
    <w:rPr>
      <w:rFonts w:ascii="Arial" w:eastAsia="Times New Roman" w:hAnsi="Arial" w:cs="Times New Roman"/>
      <w:sz w:val="18"/>
      <w:szCs w:val="20"/>
      <w:lang w:eastAsia="zh-CN"/>
    </w:rPr>
  </w:style>
  <w:style w:type="paragraph" w:customStyle="1" w:styleId="TableTitle">
    <w:name w:val="TableTitle"/>
    <w:basedOn w:val="Normal"/>
    <w:uiPriority w:val="99"/>
    <w:rsid w:val="00234243"/>
    <w:pPr>
      <w:keepNext/>
      <w:widowControl w:val="0"/>
      <w:spacing w:before="120" w:after="120"/>
      <w:jc w:val="center"/>
    </w:pPr>
    <w:rPr>
      <w:rFonts w:ascii="Arial" w:eastAsia="Times New Roman" w:hAnsi="Arial" w:cs="Times New Roman"/>
      <w:b/>
      <w:sz w:val="18"/>
      <w:szCs w:val="20"/>
      <w:lang w:val="en-GB" w:eastAsia="zh-CN"/>
    </w:rPr>
  </w:style>
  <w:style w:type="table" w:styleId="MediumShading1-Accent3">
    <w:name w:val="Medium Shading 1 Accent 3"/>
    <w:basedOn w:val="TableNormal"/>
    <w:uiPriority w:val="63"/>
    <w:rsid w:val="0075569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0B49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6"/>
    <w:rPr>
      <w:rFonts w:ascii="Lucida Grande" w:hAnsi="Lucida Grande" w:cs="Lucida Grande"/>
      <w:sz w:val="18"/>
      <w:szCs w:val="18"/>
    </w:rPr>
  </w:style>
  <w:style w:type="paragraph" w:styleId="ListParagraph">
    <w:name w:val="List Paragraph"/>
    <w:basedOn w:val="Normal"/>
    <w:uiPriority w:val="34"/>
    <w:qFormat/>
    <w:rsid w:val="00295D7B"/>
    <w:pPr>
      <w:ind w:left="720"/>
      <w:contextualSpacing/>
    </w:pPr>
  </w:style>
  <w:style w:type="character" w:styleId="CommentReference">
    <w:name w:val="annotation reference"/>
    <w:basedOn w:val="DefaultParagraphFont"/>
    <w:uiPriority w:val="99"/>
    <w:semiHidden/>
    <w:unhideWhenUsed/>
    <w:rsid w:val="00CE2956"/>
    <w:rPr>
      <w:sz w:val="18"/>
      <w:szCs w:val="18"/>
    </w:rPr>
  </w:style>
  <w:style w:type="paragraph" w:styleId="CommentText">
    <w:name w:val="annotation text"/>
    <w:basedOn w:val="Normal"/>
    <w:link w:val="CommentTextChar"/>
    <w:uiPriority w:val="99"/>
    <w:semiHidden/>
    <w:unhideWhenUsed/>
    <w:rsid w:val="00CE2956"/>
    <w:rPr>
      <w:sz w:val="24"/>
    </w:rPr>
  </w:style>
  <w:style w:type="character" w:customStyle="1" w:styleId="CommentTextChar">
    <w:name w:val="Comment Text Char"/>
    <w:basedOn w:val="DefaultParagraphFont"/>
    <w:link w:val="CommentText"/>
    <w:uiPriority w:val="99"/>
    <w:semiHidden/>
    <w:rsid w:val="00CE2956"/>
    <w:rPr>
      <w:rFonts w:ascii="Calibri" w:hAnsi="Calibri"/>
    </w:rPr>
  </w:style>
  <w:style w:type="paragraph" w:styleId="CommentSubject">
    <w:name w:val="annotation subject"/>
    <w:basedOn w:val="CommentText"/>
    <w:next w:val="CommentText"/>
    <w:link w:val="CommentSubjectChar"/>
    <w:uiPriority w:val="99"/>
    <w:semiHidden/>
    <w:unhideWhenUsed/>
    <w:rsid w:val="00CE2956"/>
    <w:rPr>
      <w:b/>
      <w:bCs/>
      <w:sz w:val="20"/>
      <w:szCs w:val="20"/>
    </w:rPr>
  </w:style>
  <w:style w:type="character" w:customStyle="1" w:styleId="CommentSubjectChar">
    <w:name w:val="Comment Subject Char"/>
    <w:basedOn w:val="CommentTextChar"/>
    <w:link w:val="CommentSubject"/>
    <w:uiPriority w:val="99"/>
    <w:semiHidden/>
    <w:rsid w:val="00CE2956"/>
    <w:rPr>
      <w:rFonts w:ascii="Calibri" w:hAnsi="Calibri"/>
      <w:b/>
      <w:bCs/>
      <w:sz w:val="20"/>
      <w:szCs w:val="20"/>
    </w:rPr>
  </w:style>
  <w:style w:type="paragraph" w:styleId="TOCHeading">
    <w:name w:val="TOC Heading"/>
    <w:basedOn w:val="Heading1"/>
    <w:next w:val="Normal"/>
    <w:uiPriority w:val="39"/>
    <w:unhideWhenUsed/>
    <w:qFormat/>
    <w:rsid w:val="00416A48"/>
    <w:pPr>
      <w:numPr>
        <w:numId w:val="0"/>
      </w:numPr>
      <w:spacing w:before="480" w:line="276" w:lineRule="auto"/>
      <w:outlineLvl w:val="9"/>
    </w:pPr>
    <w:rPr>
      <w:color w:val="365F91" w:themeColor="accent1" w:themeShade="BF"/>
      <w:szCs w:val="28"/>
    </w:rPr>
  </w:style>
  <w:style w:type="paragraph" w:styleId="TOC1">
    <w:name w:val="toc 1"/>
    <w:basedOn w:val="Normal"/>
    <w:next w:val="Normal"/>
    <w:autoRedefine/>
    <w:uiPriority w:val="39"/>
    <w:unhideWhenUsed/>
    <w:rsid w:val="0064245E"/>
    <w:pPr>
      <w:tabs>
        <w:tab w:val="left" w:pos="362"/>
        <w:tab w:val="right" w:leader="dot" w:pos="9350"/>
      </w:tabs>
      <w:spacing w:before="120"/>
    </w:pPr>
    <w:rPr>
      <w:b/>
      <w:noProof/>
      <w:color w:val="8064A2" w:themeColor="accent4"/>
      <w:sz w:val="24"/>
    </w:rPr>
  </w:style>
  <w:style w:type="paragraph" w:styleId="TOC2">
    <w:name w:val="toc 2"/>
    <w:basedOn w:val="Normal"/>
    <w:next w:val="Normal"/>
    <w:autoRedefine/>
    <w:uiPriority w:val="39"/>
    <w:unhideWhenUsed/>
    <w:rsid w:val="00416A48"/>
    <w:rPr>
      <w:rFonts w:asciiTheme="minorHAnsi" w:hAnsiTheme="minorHAnsi"/>
      <w:szCs w:val="22"/>
    </w:rPr>
  </w:style>
  <w:style w:type="paragraph" w:styleId="TOC3">
    <w:name w:val="toc 3"/>
    <w:basedOn w:val="Normal"/>
    <w:next w:val="Normal"/>
    <w:autoRedefine/>
    <w:uiPriority w:val="39"/>
    <w:semiHidden/>
    <w:unhideWhenUsed/>
    <w:rsid w:val="00416A48"/>
    <w:pPr>
      <w:ind w:left="220"/>
    </w:pPr>
    <w:rPr>
      <w:rFonts w:asciiTheme="minorHAnsi" w:hAnsiTheme="minorHAnsi"/>
      <w:i/>
      <w:szCs w:val="22"/>
    </w:rPr>
  </w:style>
  <w:style w:type="paragraph" w:styleId="TOC4">
    <w:name w:val="toc 4"/>
    <w:basedOn w:val="Normal"/>
    <w:next w:val="Normal"/>
    <w:autoRedefine/>
    <w:uiPriority w:val="39"/>
    <w:semiHidden/>
    <w:unhideWhenUsed/>
    <w:rsid w:val="00416A48"/>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416A48"/>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416A48"/>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416A48"/>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416A48"/>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416A48"/>
    <w:pPr>
      <w:pBdr>
        <w:between w:val="double" w:sz="6" w:space="0" w:color="auto"/>
      </w:pBdr>
      <w:ind w:left="1540"/>
    </w:pPr>
    <w:rPr>
      <w:rFonts w:asciiTheme="minorHAnsi" w:hAnsiTheme="minorHAnsi"/>
      <w:sz w:val="20"/>
      <w:szCs w:val="20"/>
    </w:rPr>
  </w:style>
  <w:style w:type="paragraph" w:styleId="Header">
    <w:name w:val="header"/>
    <w:basedOn w:val="Normal"/>
    <w:link w:val="HeaderChar"/>
    <w:uiPriority w:val="99"/>
    <w:unhideWhenUsed/>
    <w:rsid w:val="00636F13"/>
    <w:pPr>
      <w:tabs>
        <w:tab w:val="center" w:pos="4320"/>
        <w:tab w:val="right" w:pos="8640"/>
      </w:tabs>
    </w:pPr>
  </w:style>
  <w:style w:type="character" w:customStyle="1" w:styleId="HeaderChar">
    <w:name w:val="Header Char"/>
    <w:basedOn w:val="DefaultParagraphFont"/>
    <w:link w:val="Header"/>
    <w:uiPriority w:val="99"/>
    <w:rsid w:val="00636F13"/>
    <w:rPr>
      <w:rFonts w:ascii="Calibri" w:hAnsi="Calibri"/>
      <w:sz w:val="22"/>
    </w:rPr>
  </w:style>
  <w:style w:type="paragraph" w:styleId="Footer">
    <w:name w:val="footer"/>
    <w:basedOn w:val="Normal"/>
    <w:link w:val="FooterChar"/>
    <w:uiPriority w:val="99"/>
    <w:unhideWhenUsed/>
    <w:rsid w:val="00636F13"/>
    <w:pPr>
      <w:tabs>
        <w:tab w:val="center" w:pos="4320"/>
        <w:tab w:val="right" w:pos="8640"/>
      </w:tabs>
    </w:pPr>
  </w:style>
  <w:style w:type="character" w:customStyle="1" w:styleId="FooterChar">
    <w:name w:val="Footer Char"/>
    <w:basedOn w:val="DefaultParagraphFont"/>
    <w:link w:val="Footer"/>
    <w:uiPriority w:val="99"/>
    <w:rsid w:val="00636F13"/>
    <w:rPr>
      <w:rFonts w:ascii="Calibri" w:hAnsi="Calibri"/>
      <w:sz w:val="22"/>
    </w:rPr>
  </w:style>
  <w:style w:type="paragraph" w:styleId="BodyText3">
    <w:name w:val="Body Text 3"/>
    <w:basedOn w:val="Normal"/>
    <w:link w:val="BodyText3Char"/>
    <w:uiPriority w:val="99"/>
    <w:semiHidden/>
    <w:rsid w:val="002D3C2F"/>
    <w:pPr>
      <w:spacing w:after="120" w:line="276" w:lineRule="auto"/>
    </w:pPr>
    <w:rPr>
      <w:rFonts w:eastAsia="Calibri" w:cs="DaunPenh"/>
      <w:sz w:val="16"/>
      <w:szCs w:val="26"/>
      <w:lang w:bidi="km-KH"/>
    </w:rPr>
  </w:style>
  <w:style w:type="character" w:customStyle="1" w:styleId="BodyText3Char">
    <w:name w:val="Body Text 3 Char"/>
    <w:basedOn w:val="DefaultParagraphFont"/>
    <w:link w:val="BodyText3"/>
    <w:uiPriority w:val="99"/>
    <w:semiHidden/>
    <w:rsid w:val="002D3C2F"/>
    <w:rPr>
      <w:rFonts w:ascii="Calibri" w:eastAsia="Calibri" w:hAnsi="Calibri" w:cs="DaunPenh"/>
      <w:sz w:val="16"/>
      <w:szCs w:val="26"/>
      <w:lang w:bidi="km-KH"/>
    </w:rPr>
  </w:style>
  <w:style w:type="character" w:styleId="PageNumber">
    <w:name w:val="page number"/>
    <w:basedOn w:val="DefaultParagraphFont"/>
    <w:uiPriority w:val="99"/>
    <w:semiHidden/>
    <w:unhideWhenUsed/>
    <w:rsid w:val="0029070A"/>
  </w:style>
  <w:style w:type="table" w:styleId="LightShading-Accent1">
    <w:name w:val="Light Shading Accent 1"/>
    <w:basedOn w:val="TableNormal"/>
    <w:uiPriority w:val="60"/>
    <w:rsid w:val="005E1C7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21331"/>
    <w:rPr>
      <w:rFonts w:ascii="Calibri" w:hAnsi="Calibri"/>
      <w:sz w:val="22"/>
    </w:rPr>
  </w:style>
  <w:style w:type="character" w:customStyle="1" w:styleId="ColorfulList-Accent1Char">
    <w:name w:val="Colorful List - Accent 1 Char"/>
    <w:link w:val="ColorfulList-Accent1"/>
    <w:uiPriority w:val="34"/>
    <w:rsid w:val="0005545C"/>
    <w:rPr>
      <w:rFonts w:ascii="Calibri" w:eastAsia="Calibri" w:hAnsi="Calibri" w:cs="Arial"/>
      <w:sz w:val="22"/>
      <w:szCs w:val="22"/>
      <w:lang w:eastAsia="en-US"/>
    </w:rPr>
  </w:style>
  <w:style w:type="table" w:styleId="ColorfulList-Accent1">
    <w:name w:val="Colorful List Accent 1"/>
    <w:basedOn w:val="TableNormal"/>
    <w:link w:val="ColorfulList-Accent1Char"/>
    <w:uiPriority w:val="34"/>
    <w:rsid w:val="0005545C"/>
    <w:rPr>
      <w:rFonts w:ascii="Calibri" w:eastAsia="Calibri" w:hAnsi="Calibri" w:cs="Arial"/>
      <w:sz w:val="22"/>
      <w:szCs w:val="22"/>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Default">
    <w:name w:val="Default"/>
    <w:rsid w:val="00BA33A2"/>
    <w:pPr>
      <w:autoSpaceDE w:val="0"/>
      <w:autoSpaceDN w:val="0"/>
      <w:adjustRightInd w:val="0"/>
    </w:pPr>
    <w:rPr>
      <w:rFonts w:ascii="Gill Sans MT" w:hAnsi="Gill Sans MT" w:cs="Gill Sans M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333"/>
    <w:rPr>
      <w:rFonts w:ascii="Calibri" w:hAnsi="Calibri"/>
      <w:sz w:val="22"/>
    </w:rPr>
  </w:style>
  <w:style w:type="paragraph" w:styleId="Heading1">
    <w:name w:val="heading 1"/>
    <w:basedOn w:val="Normal"/>
    <w:next w:val="Normal"/>
    <w:link w:val="Heading1Char"/>
    <w:uiPriority w:val="9"/>
    <w:qFormat/>
    <w:rsid w:val="0064245E"/>
    <w:pPr>
      <w:keepNext/>
      <w:keepLines/>
      <w:numPr>
        <w:numId w:val="1"/>
      </w:numPr>
      <w:outlineLvl w:val="0"/>
    </w:pPr>
    <w:rPr>
      <w:rFonts w:asciiTheme="majorHAnsi" w:eastAsiaTheme="majorEastAsia" w:hAnsiTheme="majorHAnsi" w:cstheme="majorBidi"/>
      <w:b/>
      <w:bCs/>
      <w:color w:val="8064A2" w:themeColor="accent4"/>
      <w:sz w:val="28"/>
      <w:szCs w:val="32"/>
    </w:rPr>
  </w:style>
  <w:style w:type="paragraph" w:styleId="Heading2">
    <w:name w:val="heading 2"/>
    <w:basedOn w:val="Normal"/>
    <w:next w:val="Normal"/>
    <w:link w:val="Heading2Char"/>
    <w:uiPriority w:val="9"/>
    <w:unhideWhenUsed/>
    <w:qFormat/>
    <w:rsid w:val="005E1C7E"/>
    <w:pPr>
      <w:keepNext/>
      <w:keepLines/>
      <w:numPr>
        <w:ilvl w:val="1"/>
        <w:numId w:val="1"/>
      </w:numPr>
      <w:outlineLvl w:val="1"/>
    </w:pPr>
    <w:rPr>
      <w:rFonts w:asciiTheme="majorHAnsi" w:eastAsiaTheme="majorEastAsia" w:hAnsiTheme="majorHAnsi" w:cstheme="majorBidi"/>
      <w:b/>
      <w:bCs/>
      <w:color w:val="8E886F"/>
      <w:szCs w:val="26"/>
    </w:rPr>
  </w:style>
  <w:style w:type="paragraph" w:styleId="Heading3">
    <w:name w:val="heading 3"/>
    <w:basedOn w:val="Normal"/>
    <w:next w:val="Normal"/>
    <w:link w:val="Heading3Char"/>
    <w:uiPriority w:val="9"/>
    <w:unhideWhenUsed/>
    <w:qFormat/>
    <w:rsid w:val="001F0D7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0D7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0D7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0D7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0D7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0D7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0D7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45E"/>
    <w:rPr>
      <w:rFonts w:asciiTheme="majorHAnsi" w:eastAsiaTheme="majorEastAsia" w:hAnsiTheme="majorHAnsi" w:cstheme="majorBidi"/>
      <w:b/>
      <w:bCs/>
      <w:color w:val="8064A2" w:themeColor="accent4"/>
      <w:sz w:val="28"/>
      <w:szCs w:val="32"/>
    </w:rPr>
  </w:style>
  <w:style w:type="character" w:customStyle="1" w:styleId="Heading2Char">
    <w:name w:val="Heading 2 Char"/>
    <w:basedOn w:val="DefaultParagraphFont"/>
    <w:link w:val="Heading2"/>
    <w:uiPriority w:val="9"/>
    <w:rsid w:val="005E1C7E"/>
    <w:rPr>
      <w:rFonts w:asciiTheme="majorHAnsi" w:eastAsiaTheme="majorEastAsia" w:hAnsiTheme="majorHAnsi" w:cstheme="majorBidi"/>
      <w:b/>
      <w:bCs/>
      <w:color w:val="8E886F"/>
      <w:sz w:val="22"/>
      <w:szCs w:val="26"/>
    </w:rPr>
  </w:style>
  <w:style w:type="table" w:styleId="TableGrid">
    <w:name w:val="Table Grid"/>
    <w:basedOn w:val="TableNormal"/>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F0D7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F0D70"/>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F0D7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1F0D70"/>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1F0D7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F0D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0D70"/>
    <w:rPr>
      <w:rFonts w:asciiTheme="majorHAnsi" w:eastAsiaTheme="majorEastAsia" w:hAnsiTheme="majorHAnsi" w:cstheme="majorBidi"/>
      <w:i/>
      <w:iCs/>
      <w:color w:val="404040" w:themeColor="text1" w:themeTint="BF"/>
      <w:sz w:val="20"/>
      <w:szCs w:val="20"/>
    </w:rPr>
  </w:style>
  <w:style w:type="paragraph" w:customStyle="1" w:styleId="TableText">
    <w:name w:val="TableText"/>
    <w:basedOn w:val="Normal"/>
    <w:uiPriority w:val="99"/>
    <w:rsid w:val="00234243"/>
    <w:pPr>
      <w:tabs>
        <w:tab w:val="left" w:pos="-1440"/>
        <w:tab w:val="left" w:pos="-720"/>
      </w:tabs>
      <w:suppressAutoHyphens/>
      <w:spacing w:before="60" w:after="60"/>
    </w:pPr>
    <w:rPr>
      <w:rFonts w:ascii="Arial" w:eastAsia="Times New Roman" w:hAnsi="Arial" w:cs="Times New Roman"/>
      <w:sz w:val="18"/>
      <w:szCs w:val="20"/>
      <w:lang w:eastAsia="zh-CN"/>
    </w:rPr>
  </w:style>
  <w:style w:type="paragraph" w:customStyle="1" w:styleId="TableTitle">
    <w:name w:val="TableTitle"/>
    <w:basedOn w:val="Normal"/>
    <w:uiPriority w:val="99"/>
    <w:rsid w:val="00234243"/>
    <w:pPr>
      <w:keepNext/>
      <w:widowControl w:val="0"/>
      <w:spacing w:before="120" w:after="120"/>
      <w:jc w:val="center"/>
    </w:pPr>
    <w:rPr>
      <w:rFonts w:ascii="Arial" w:eastAsia="Times New Roman" w:hAnsi="Arial" w:cs="Times New Roman"/>
      <w:b/>
      <w:sz w:val="18"/>
      <w:szCs w:val="20"/>
      <w:lang w:val="en-GB" w:eastAsia="zh-CN"/>
    </w:rPr>
  </w:style>
  <w:style w:type="table" w:styleId="MediumShading1-Accent3">
    <w:name w:val="Medium Shading 1 Accent 3"/>
    <w:basedOn w:val="TableNormal"/>
    <w:uiPriority w:val="63"/>
    <w:rsid w:val="0075569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0B49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6"/>
    <w:rPr>
      <w:rFonts w:ascii="Lucida Grande" w:hAnsi="Lucida Grande" w:cs="Lucida Grande"/>
      <w:sz w:val="18"/>
      <w:szCs w:val="18"/>
    </w:rPr>
  </w:style>
  <w:style w:type="paragraph" w:styleId="ListParagraph">
    <w:name w:val="List Paragraph"/>
    <w:basedOn w:val="Normal"/>
    <w:uiPriority w:val="34"/>
    <w:qFormat/>
    <w:rsid w:val="00295D7B"/>
    <w:pPr>
      <w:ind w:left="720"/>
      <w:contextualSpacing/>
    </w:pPr>
  </w:style>
  <w:style w:type="character" w:styleId="CommentReference">
    <w:name w:val="annotation reference"/>
    <w:basedOn w:val="DefaultParagraphFont"/>
    <w:uiPriority w:val="99"/>
    <w:semiHidden/>
    <w:unhideWhenUsed/>
    <w:rsid w:val="00CE2956"/>
    <w:rPr>
      <w:sz w:val="18"/>
      <w:szCs w:val="18"/>
    </w:rPr>
  </w:style>
  <w:style w:type="paragraph" w:styleId="CommentText">
    <w:name w:val="annotation text"/>
    <w:basedOn w:val="Normal"/>
    <w:link w:val="CommentTextChar"/>
    <w:uiPriority w:val="99"/>
    <w:semiHidden/>
    <w:unhideWhenUsed/>
    <w:rsid w:val="00CE2956"/>
    <w:rPr>
      <w:sz w:val="24"/>
    </w:rPr>
  </w:style>
  <w:style w:type="character" w:customStyle="1" w:styleId="CommentTextChar">
    <w:name w:val="Comment Text Char"/>
    <w:basedOn w:val="DefaultParagraphFont"/>
    <w:link w:val="CommentText"/>
    <w:uiPriority w:val="99"/>
    <w:semiHidden/>
    <w:rsid w:val="00CE2956"/>
    <w:rPr>
      <w:rFonts w:ascii="Calibri" w:hAnsi="Calibri"/>
    </w:rPr>
  </w:style>
  <w:style w:type="paragraph" w:styleId="CommentSubject">
    <w:name w:val="annotation subject"/>
    <w:basedOn w:val="CommentText"/>
    <w:next w:val="CommentText"/>
    <w:link w:val="CommentSubjectChar"/>
    <w:uiPriority w:val="99"/>
    <w:semiHidden/>
    <w:unhideWhenUsed/>
    <w:rsid w:val="00CE2956"/>
    <w:rPr>
      <w:b/>
      <w:bCs/>
      <w:sz w:val="20"/>
      <w:szCs w:val="20"/>
    </w:rPr>
  </w:style>
  <w:style w:type="character" w:customStyle="1" w:styleId="CommentSubjectChar">
    <w:name w:val="Comment Subject Char"/>
    <w:basedOn w:val="CommentTextChar"/>
    <w:link w:val="CommentSubject"/>
    <w:uiPriority w:val="99"/>
    <w:semiHidden/>
    <w:rsid w:val="00CE2956"/>
    <w:rPr>
      <w:rFonts w:ascii="Calibri" w:hAnsi="Calibri"/>
      <w:b/>
      <w:bCs/>
      <w:sz w:val="20"/>
      <w:szCs w:val="20"/>
    </w:rPr>
  </w:style>
  <w:style w:type="paragraph" w:styleId="TOCHeading">
    <w:name w:val="TOC Heading"/>
    <w:basedOn w:val="Heading1"/>
    <w:next w:val="Normal"/>
    <w:uiPriority w:val="39"/>
    <w:unhideWhenUsed/>
    <w:qFormat/>
    <w:rsid w:val="00416A48"/>
    <w:pPr>
      <w:numPr>
        <w:numId w:val="0"/>
      </w:numPr>
      <w:spacing w:before="480" w:line="276" w:lineRule="auto"/>
      <w:outlineLvl w:val="9"/>
    </w:pPr>
    <w:rPr>
      <w:color w:val="365F91" w:themeColor="accent1" w:themeShade="BF"/>
      <w:szCs w:val="28"/>
    </w:rPr>
  </w:style>
  <w:style w:type="paragraph" w:styleId="TOC1">
    <w:name w:val="toc 1"/>
    <w:basedOn w:val="Normal"/>
    <w:next w:val="Normal"/>
    <w:autoRedefine/>
    <w:uiPriority w:val="39"/>
    <w:unhideWhenUsed/>
    <w:rsid w:val="0064245E"/>
    <w:pPr>
      <w:tabs>
        <w:tab w:val="left" w:pos="362"/>
        <w:tab w:val="right" w:leader="dot" w:pos="9350"/>
      </w:tabs>
      <w:spacing w:before="120"/>
    </w:pPr>
    <w:rPr>
      <w:b/>
      <w:noProof/>
      <w:color w:val="8064A2" w:themeColor="accent4"/>
      <w:sz w:val="24"/>
    </w:rPr>
  </w:style>
  <w:style w:type="paragraph" w:styleId="TOC2">
    <w:name w:val="toc 2"/>
    <w:basedOn w:val="Normal"/>
    <w:next w:val="Normal"/>
    <w:autoRedefine/>
    <w:uiPriority w:val="39"/>
    <w:unhideWhenUsed/>
    <w:rsid w:val="00416A48"/>
    <w:rPr>
      <w:rFonts w:asciiTheme="minorHAnsi" w:hAnsiTheme="minorHAnsi"/>
      <w:szCs w:val="22"/>
    </w:rPr>
  </w:style>
  <w:style w:type="paragraph" w:styleId="TOC3">
    <w:name w:val="toc 3"/>
    <w:basedOn w:val="Normal"/>
    <w:next w:val="Normal"/>
    <w:autoRedefine/>
    <w:uiPriority w:val="39"/>
    <w:semiHidden/>
    <w:unhideWhenUsed/>
    <w:rsid w:val="00416A48"/>
    <w:pPr>
      <w:ind w:left="220"/>
    </w:pPr>
    <w:rPr>
      <w:rFonts w:asciiTheme="minorHAnsi" w:hAnsiTheme="minorHAnsi"/>
      <w:i/>
      <w:szCs w:val="22"/>
    </w:rPr>
  </w:style>
  <w:style w:type="paragraph" w:styleId="TOC4">
    <w:name w:val="toc 4"/>
    <w:basedOn w:val="Normal"/>
    <w:next w:val="Normal"/>
    <w:autoRedefine/>
    <w:uiPriority w:val="39"/>
    <w:semiHidden/>
    <w:unhideWhenUsed/>
    <w:rsid w:val="00416A48"/>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416A48"/>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416A48"/>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416A48"/>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416A48"/>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416A48"/>
    <w:pPr>
      <w:pBdr>
        <w:between w:val="double" w:sz="6" w:space="0" w:color="auto"/>
      </w:pBdr>
      <w:ind w:left="1540"/>
    </w:pPr>
    <w:rPr>
      <w:rFonts w:asciiTheme="minorHAnsi" w:hAnsiTheme="minorHAnsi"/>
      <w:sz w:val="20"/>
      <w:szCs w:val="20"/>
    </w:rPr>
  </w:style>
  <w:style w:type="paragraph" w:styleId="Header">
    <w:name w:val="header"/>
    <w:basedOn w:val="Normal"/>
    <w:link w:val="HeaderChar"/>
    <w:uiPriority w:val="99"/>
    <w:unhideWhenUsed/>
    <w:rsid w:val="00636F13"/>
    <w:pPr>
      <w:tabs>
        <w:tab w:val="center" w:pos="4320"/>
        <w:tab w:val="right" w:pos="8640"/>
      </w:tabs>
    </w:pPr>
  </w:style>
  <w:style w:type="character" w:customStyle="1" w:styleId="HeaderChar">
    <w:name w:val="Header Char"/>
    <w:basedOn w:val="DefaultParagraphFont"/>
    <w:link w:val="Header"/>
    <w:uiPriority w:val="99"/>
    <w:rsid w:val="00636F13"/>
    <w:rPr>
      <w:rFonts w:ascii="Calibri" w:hAnsi="Calibri"/>
      <w:sz w:val="22"/>
    </w:rPr>
  </w:style>
  <w:style w:type="paragraph" w:styleId="Footer">
    <w:name w:val="footer"/>
    <w:basedOn w:val="Normal"/>
    <w:link w:val="FooterChar"/>
    <w:uiPriority w:val="99"/>
    <w:unhideWhenUsed/>
    <w:rsid w:val="00636F13"/>
    <w:pPr>
      <w:tabs>
        <w:tab w:val="center" w:pos="4320"/>
        <w:tab w:val="right" w:pos="8640"/>
      </w:tabs>
    </w:pPr>
  </w:style>
  <w:style w:type="character" w:customStyle="1" w:styleId="FooterChar">
    <w:name w:val="Footer Char"/>
    <w:basedOn w:val="DefaultParagraphFont"/>
    <w:link w:val="Footer"/>
    <w:uiPriority w:val="99"/>
    <w:rsid w:val="00636F13"/>
    <w:rPr>
      <w:rFonts w:ascii="Calibri" w:hAnsi="Calibri"/>
      <w:sz w:val="22"/>
    </w:rPr>
  </w:style>
  <w:style w:type="paragraph" w:styleId="BodyText3">
    <w:name w:val="Body Text 3"/>
    <w:basedOn w:val="Normal"/>
    <w:link w:val="BodyText3Char"/>
    <w:uiPriority w:val="99"/>
    <w:semiHidden/>
    <w:rsid w:val="002D3C2F"/>
    <w:pPr>
      <w:spacing w:after="120" w:line="276" w:lineRule="auto"/>
    </w:pPr>
    <w:rPr>
      <w:rFonts w:eastAsia="Calibri" w:cs="DaunPenh"/>
      <w:sz w:val="16"/>
      <w:szCs w:val="26"/>
      <w:lang w:bidi="km-KH"/>
    </w:rPr>
  </w:style>
  <w:style w:type="character" w:customStyle="1" w:styleId="BodyText3Char">
    <w:name w:val="Body Text 3 Char"/>
    <w:basedOn w:val="DefaultParagraphFont"/>
    <w:link w:val="BodyText3"/>
    <w:uiPriority w:val="99"/>
    <w:semiHidden/>
    <w:rsid w:val="002D3C2F"/>
    <w:rPr>
      <w:rFonts w:ascii="Calibri" w:eastAsia="Calibri" w:hAnsi="Calibri" w:cs="DaunPenh"/>
      <w:sz w:val="16"/>
      <w:szCs w:val="26"/>
      <w:lang w:bidi="km-KH"/>
    </w:rPr>
  </w:style>
  <w:style w:type="character" w:styleId="PageNumber">
    <w:name w:val="page number"/>
    <w:basedOn w:val="DefaultParagraphFont"/>
    <w:uiPriority w:val="99"/>
    <w:semiHidden/>
    <w:unhideWhenUsed/>
    <w:rsid w:val="0029070A"/>
  </w:style>
  <w:style w:type="table" w:styleId="LightShading-Accent1">
    <w:name w:val="Light Shading Accent 1"/>
    <w:basedOn w:val="TableNormal"/>
    <w:uiPriority w:val="60"/>
    <w:rsid w:val="005E1C7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21331"/>
    <w:rPr>
      <w:rFonts w:ascii="Calibri" w:hAnsi="Calibri"/>
      <w:sz w:val="22"/>
    </w:rPr>
  </w:style>
  <w:style w:type="character" w:customStyle="1" w:styleId="ColorfulList-Accent1Char">
    <w:name w:val="Colorful List - Accent 1 Char"/>
    <w:link w:val="ColorfulList-Accent1"/>
    <w:uiPriority w:val="34"/>
    <w:rsid w:val="0005545C"/>
    <w:rPr>
      <w:rFonts w:ascii="Calibri" w:eastAsia="Calibri" w:hAnsi="Calibri" w:cs="Arial"/>
      <w:sz w:val="22"/>
      <w:szCs w:val="22"/>
      <w:lang w:eastAsia="en-US"/>
    </w:rPr>
  </w:style>
  <w:style w:type="table" w:styleId="ColorfulList-Accent1">
    <w:name w:val="Colorful List Accent 1"/>
    <w:basedOn w:val="TableNormal"/>
    <w:link w:val="ColorfulList-Accent1Char"/>
    <w:uiPriority w:val="34"/>
    <w:rsid w:val="0005545C"/>
    <w:rPr>
      <w:rFonts w:ascii="Calibri" w:eastAsia="Calibri" w:hAnsi="Calibri" w:cs="Arial"/>
      <w:sz w:val="22"/>
      <w:szCs w:val="22"/>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Default">
    <w:name w:val="Default"/>
    <w:rsid w:val="00BA33A2"/>
    <w:pPr>
      <w:autoSpaceDE w:val="0"/>
      <w:autoSpaceDN w:val="0"/>
      <w:adjustRightInd w:val="0"/>
    </w:pPr>
    <w:rPr>
      <w:rFonts w:ascii="Gill Sans MT" w:hAnsi="Gill Sans MT" w:cs="Gill Sans M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7395">
      <w:bodyDiv w:val="1"/>
      <w:marLeft w:val="0"/>
      <w:marRight w:val="0"/>
      <w:marTop w:val="0"/>
      <w:marBottom w:val="0"/>
      <w:divBdr>
        <w:top w:val="none" w:sz="0" w:space="0" w:color="auto"/>
        <w:left w:val="none" w:sz="0" w:space="0" w:color="auto"/>
        <w:bottom w:val="none" w:sz="0" w:space="0" w:color="auto"/>
        <w:right w:val="none" w:sz="0" w:space="0" w:color="auto"/>
      </w:divBdr>
    </w:div>
    <w:div w:id="72943660">
      <w:bodyDiv w:val="1"/>
      <w:marLeft w:val="0"/>
      <w:marRight w:val="0"/>
      <w:marTop w:val="0"/>
      <w:marBottom w:val="0"/>
      <w:divBdr>
        <w:top w:val="none" w:sz="0" w:space="0" w:color="auto"/>
        <w:left w:val="none" w:sz="0" w:space="0" w:color="auto"/>
        <w:bottom w:val="none" w:sz="0" w:space="0" w:color="auto"/>
        <w:right w:val="none" w:sz="0" w:space="0" w:color="auto"/>
      </w:divBdr>
    </w:div>
    <w:div w:id="92669536">
      <w:bodyDiv w:val="1"/>
      <w:marLeft w:val="0"/>
      <w:marRight w:val="0"/>
      <w:marTop w:val="0"/>
      <w:marBottom w:val="0"/>
      <w:divBdr>
        <w:top w:val="none" w:sz="0" w:space="0" w:color="auto"/>
        <w:left w:val="none" w:sz="0" w:space="0" w:color="auto"/>
        <w:bottom w:val="none" w:sz="0" w:space="0" w:color="auto"/>
        <w:right w:val="none" w:sz="0" w:space="0" w:color="auto"/>
      </w:divBdr>
      <w:divsChild>
        <w:div w:id="359933777">
          <w:marLeft w:val="547"/>
          <w:marRight w:val="0"/>
          <w:marTop w:val="134"/>
          <w:marBottom w:val="0"/>
          <w:divBdr>
            <w:top w:val="none" w:sz="0" w:space="0" w:color="auto"/>
            <w:left w:val="none" w:sz="0" w:space="0" w:color="auto"/>
            <w:bottom w:val="none" w:sz="0" w:space="0" w:color="auto"/>
            <w:right w:val="none" w:sz="0" w:space="0" w:color="auto"/>
          </w:divBdr>
        </w:div>
        <w:div w:id="39593265">
          <w:marLeft w:val="547"/>
          <w:marRight w:val="0"/>
          <w:marTop w:val="134"/>
          <w:marBottom w:val="0"/>
          <w:divBdr>
            <w:top w:val="none" w:sz="0" w:space="0" w:color="auto"/>
            <w:left w:val="none" w:sz="0" w:space="0" w:color="auto"/>
            <w:bottom w:val="none" w:sz="0" w:space="0" w:color="auto"/>
            <w:right w:val="none" w:sz="0" w:space="0" w:color="auto"/>
          </w:divBdr>
        </w:div>
        <w:div w:id="654381033">
          <w:marLeft w:val="547"/>
          <w:marRight w:val="0"/>
          <w:marTop w:val="134"/>
          <w:marBottom w:val="0"/>
          <w:divBdr>
            <w:top w:val="none" w:sz="0" w:space="0" w:color="auto"/>
            <w:left w:val="none" w:sz="0" w:space="0" w:color="auto"/>
            <w:bottom w:val="none" w:sz="0" w:space="0" w:color="auto"/>
            <w:right w:val="none" w:sz="0" w:space="0" w:color="auto"/>
          </w:divBdr>
        </w:div>
        <w:div w:id="1298072099">
          <w:marLeft w:val="547"/>
          <w:marRight w:val="0"/>
          <w:marTop w:val="134"/>
          <w:marBottom w:val="0"/>
          <w:divBdr>
            <w:top w:val="none" w:sz="0" w:space="0" w:color="auto"/>
            <w:left w:val="none" w:sz="0" w:space="0" w:color="auto"/>
            <w:bottom w:val="none" w:sz="0" w:space="0" w:color="auto"/>
            <w:right w:val="none" w:sz="0" w:space="0" w:color="auto"/>
          </w:divBdr>
        </w:div>
      </w:divsChild>
    </w:div>
    <w:div w:id="149686255">
      <w:bodyDiv w:val="1"/>
      <w:marLeft w:val="0"/>
      <w:marRight w:val="0"/>
      <w:marTop w:val="0"/>
      <w:marBottom w:val="0"/>
      <w:divBdr>
        <w:top w:val="none" w:sz="0" w:space="0" w:color="auto"/>
        <w:left w:val="none" w:sz="0" w:space="0" w:color="auto"/>
        <w:bottom w:val="none" w:sz="0" w:space="0" w:color="auto"/>
        <w:right w:val="none" w:sz="0" w:space="0" w:color="auto"/>
      </w:divBdr>
      <w:divsChild>
        <w:div w:id="2130198248">
          <w:marLeft w:val="547"/>
          <w:marRight w:val="0"/>
          <w:marTop w:val="134"/>
          <w:marBottom w:val="0"/>
          <w:divBdr>
            <w:top w:val="none" w:sz="0" w:space="0" w:color="auto"/>
            <w:left w:val="none" w:sz="0" w:space="0" w:color="auto"/>
            <w:bottom w:val="none" w:sz="0" w:space="0" w:color="auto"/>
            <w:right w:val="none" w:sz="0" w:space="0" w:color="auto"/>
          </w:divBdr>
        </w:div>
        <w:div w:id="14118952">
          <w:marLeft w:val="1166"/>
          <w:marRight w:val="0"/>
          <w:marTop w:val="115"/>
          <w:marBottom w:val="0"/>
          <w:divBdr>
            <w:top w:val="none" w:sz="0" w:space="0" w:color="auto"/>
            <w:left w:val="none" w:sz="0" w:space="0" w:color="auto"/>
            <w:bottom w:val="none" w:sz="0" w:space="0" w:color="auto"/>
            <w:right w:val="none" w:sz="0" w:space="0" w:color="auto"/>
          </w:divBdr>
        </w:div>
        <w:div w:id="627590933">
          <w:marLeft w:val="1166"/>
          <w:marRight w:val="0"/>
          <w:marTop w:val="115"/>
          <w:marBottom w:val="0"/>
          <w:divBdr>
            <w:top w:val="none" w:sz="0" w:space="0" w:color="auto"/>
            <w:left w:val="none" w:sz="0" w:space="0" w:color="auto"/>
            <w:bottom w:val="none" w:sz="0" w:space="0" w:color="auto"/>
            <w:right w:val="none" w:sz="0" w:space="0" w:color="auto"/>
          </w:divBdr>
        </w:div>
      </w:divsChild>
    </w:div>
    <w:div w:id="167524693">
      <w:bodyDiv w:val="1"/>
      <w:marLeft w:val="0"/>
      <w:marRight w:val="0"/>
      <w:marTop w:val="0"/>
      <w:marBottom w:val="0"/>
      <w:divBdr>
        <w:top w:val="none" w:sz="0" w:space="0" w:color="auto"/>
        <w:left w:val="none" w:sz="0" w:space="0" w:color="auto"/>
        <w:bottom w:val="none" w:sz="0" w:space="0" w:color="auto"/>
        <w:right w:val="none" w:sz="0" w:space="0" w:color="auto"/>
      </w:divBdr>
    </w:div>
    <w:div w:id="216285563">
      <w:bodyDiv w:val="1"/>
      <w:marLeft w:val="0"/>
      <w:marRight w:val="0"/>
      <w:marTop w:val="0"/>
      <w:marBottom w:val="0"/>
      <w:divBdr>
        <w:top w:val="none" w:sz="0" w:space="0" w:color="auto"/>
        <w:left w:val="none" w:sz="0" w:space="0" w:color="auto"/>
        <w:bottom w:val="none" w:sz="0" w:space="0" w:color="auto"/>
        <w:right w:val="none" w:sz="0" w:space="0" w:color="auto"/>
      </w:divBdr>
      <w:divsChild>
        <w:div w:id="1410074317">
          <w:marLeft w:val="547"/>
          <w:marRight w:val="0"/>
          <w:marTop w:val="144"/>
          <w:marBottom w:val="0"/>
          <w:divBdr>
            <w:top w:val="none" w:sz="0" w:space="0" w:color="auto"/>
            <w:left w:val="none" w:sz="0" w:space="0" w:color="auto"/>
            <w:bottom w:val="none" w:sz="0" w:space="0" w:color="auto"/>
            <w:right w:val="none" w:sz="0" w:space="0" w:color="auto"/>
          </w:divBdr>
        </w:div>
        <w:div w:id="1474910376">
          <w:marLeft w:val="1166"/>
          <w:marRight w:val="0"/>
          <w:marTop w:val="125"/>
          <w:marBottom w:val="0"/>
          <w:divBdr>
            <w:top w:val="none" w:sz="0" w:space="0" w:color="auto"/>
            <w:left w:val="none" w:sz="0" w:space="0" w:color="auto"/>
            <w:bottom w:val="none" w:sz="0" w:space="0" w:color="auto"/>
            <w:right w:val="none" w:sz="0" w:space="0" w:color="auto"/>
          </w:divBdr>
        </w:div>
        <w:div w:id="1895123269">
          <w:marLeft w:val="1166"/>
          <w:marRight w:val="0"/>
          <w:marTop w:val="125"/>
          <w:marBottom w:val="0"/>
          <w:divBdr>
            <w:top w:val="none" w:sz="0" w:space="0" w:color="auto"/>
            <w:left w:val="none" w:sz="0" w:space="0" w:color="auto"/>
            <w:bottom w:val="none" w:sz="0" w:space="0" w:color="auto"/>
            <w:right w:val="none" w:sz="0" w:space="0" w:color="auto"/>
          </w:divBdr>
        </w:div>
        <w:div w:id="193008460">
          <w:marLeft w:val="547"/>
          <w:marRight w:val="0"/>
          <w:marTop w:val="144"/>
          <w:marBottom w:val="0"/>
          <w:divBdr>
            <w:top w:val="none" w:sz="0" w:space="0" w:color="auto"/>
            <w:left w:val="none" w:sz="0" w:space="0" w:color="auto"/>
            <w:bottom w:val="none" w:sz="0" w:space="0" w:color="auto"/>
            <w:right w:val="none" w:sz="0" w:space="0" w:color="auto"/>
          </w:divBdr>
        </w:div>
        <w:div w:id="1919554355">
          <w:marLeft w:val="1166"/>
          <w:marRight w:val="0"/>
          <w:marTop w:val="125"/>
          <w:marBottom w:val="0"/>
          <w:divBdr>
            <w:top w:val="none" w:sz="0" w:space="0" w:color="auto"/>
            <w:left w:val="none" w:sz="0" w:space="0" w:color="auto"/>
            <w:bottom w:val="none" w:sz="0" w:space="0" w:color="auto"/>
            <w:right w:val="none" w:sz="0" w:space="0" w:color="auto"/>
          </w:divBdr>
        </w:div>
      </w:divsChild>
    </w:div>
    <w:div w:id="297107078">
      <w:bodyDiv w:val="1"/>
      <w:marLeft w:val="0"/>
      <w:marRight w:val="0"/>
      <w:marTop w:val="0"/>
      <w:marBottom w:val="0"/>
      <w:divBdr>
        <w:top w:val="none" w:sz="0" w:space="0" w:color="auto"/>
        <w:left w:val="none" w:sz="0" w:space="0" w:color="auto"/>
        <w:bottom w:val="none" w:sz="0" w:space="0" w:color="auto"/>
        <w:right w:val="none" w:sz="0" w:space="0" w:color="auto"/>
      </w:divBdr>
    </w:div>
    <w:div w:id="332537557">
      <w:bodyDiv w:val="1"/>
      <w:marLeft w:val="0"/>
      <w:marRight w:val="0"/>
      <w:marTop w:val="0"/>
      <w:marBottom w:val="0"/>
      <w:divBdr>
        <w:top w:val="none" w:sz="0" w:space="0" w:color="auto"/>
        <w:left w:val="none" w:sz="0" w:space="0" w:color="auto"/>
        <w:bottom w:val="none" w:sz="0" w:space="0" w:color="auto"/>
        <w:right w:val="none" w:sz="0" w:space="0" w:color="auto"/>
      </w:divBdr>
      <w:divsChild>
        <w:div w:id="887961684">
          <w:marLeft w:val="547"/>
          <w:marRight w:val="0"/>
          <w:marTop w:val="96"/>
          <w:marBottom w:val="0"/>
          <w:divBdr>
            <w:top w:val="none" w:sz="0" w:space="0" w:color="auto"/>
            <w:left w:val="none" w:sz="0" w:space="0" w:color="auto"/>
            <w:bottom w:val="none" w:sz="0" w:space="0" w:color="auto"/>
            <w:right w:val="none" w:sz="0" w:space="0" w:color="auto"/>
          </w:divBdr>
        </w:div>
      </w:divsChild>
    </w:div>
    <w:div w:id="376272742">
      <w:bodyDiv w:val="1"/>
      <w:marLeft w:val="0"/>
      <w:marRight w:val="0"/>
      <w:marTop w:val="0"/>
      <w:marBottom w:val="0"/>
      <w:divBdr>
        <w:top w:val="none" w:sz="0" w:space="0" w:color="auto"/>
        <w:left w:val="none" w:sz="0" w:space="0" w:color="auto"/>
        <w:bottom w:val="none" w:sz="0" w:space="0" w:color="auto"/>
        <w:right w:val="none" w:sz="0" w:space="0" w:color="auto"/>
      </w:divBdr>
      <w:divsChild>
        <w:div w:id="700203967">
          <w:marLeft w:val="547"/>
          <w:marRight w:val="0"/>
          <w:marTop w:val="134"/>
          <w:marBottom w:val="0"/>
          <w:divBdr>
            <w:top w:val="none" w:sz="0" w:space="0" w:color="auto"/>
            <w:left w:val="none" w:sz="0" w:space="0" w:color="auto"/>
            <w:bottom w:val="none" w:sz="0" w:space="0" w:color="auto"/>
            <w:right w:val="none" w:sz="0" w:space="0" w:color="auto"/>
          </w:divBdr>
        </w:div>
        <w:div w:id="2052261041">
          <w:marLeft w:val="547"/>
          <w:marRight w:val="0"/>
          <w:marTop w:val="134"/>
          <w:marBottom w:val="0"/>
          <w:divBdr>
            <w:top w:val="none" w:sz="0" w:space="0" w:color="auto"/>
            <w:left w:val="none" w:sz="0" w:space="0" w:color="auto"/>
            <w:bottom w:val="none" w:sz="0" w:space="0" w:color="auto"/>
            <w:right w:val="none" w:sz="0" w:space="0" w:color="auto"/>
          </w:divBdr>
        </w:div>
      </w:divsChild>
    </w:div>
    <w:div w:id="383409546">
      <w:bodyDiv w:val="1"/>
      <w:marLeft w:val="0"/>
      <w:marRight w:val="0"/>
      <w:marTop w:val="0"/>
      <w:marBottom w:val="0"/>
      <w:divBdr>
        <w:top w:val="none" w:sz="0" w:space="0" w:color="auto"/>
        <w:left w:val="none" w:sz="0" w:space="0" w:color="auto"/>
        <w:bottom w:val="none" w:sz="0" w:space="0" w:color="auto"/>
        <w:right w:val="none" w:sz="0" w:space="0" w:color="auto"/>
      </w:divBdr>
      <w:divsChild>
        <w:div w:id="5912777">
          <w:marLeft w:val="547"/>
          <w:marRight w:val="0"/>
          <w:marTop w:val="120"/>
          <w:marBottom w:val="0"/>
          <w:divBdr>
            <w:top w:val="none" w:sz="0" w:space="0" w:color="auto"/>
            <w:left w:val="none" w:sz="0" w:space="0" w:color="auto"/>
            <w:bottom w:val="none" w:sz="0" w:space="0" w:color="auto"/>
            <w:right w:val="none" w:sz="0" w:space="0" w:color="auto"/>
          </w:divBdr>
        </w:div>
        <w:div w:id="1405910344">
          <w:marLeft w:val="547"/>
          <w:marRight w:val="0"/>
          <w:marTop w:val="120"/>
          <w:marBottom w:val="0"/>
          <w:divBdr>
            <w:top w:val="none" w:sz="0" w:space="0" w:color="auto"/>
            <w:left w:val="none" w:sz="0" w:space="0" w:color="auto"/>
            <w:bottom w:val="none" w:sz="0" w:space="0" w:color="auto"/>
            <w:right w:val="none" w:sz="0" w:space="0" w:color="auto"/>
          </w:divBdr>
        </w:div>
        <w:div w:id="570579281">
          <w:marLeft w:val="547"/>
          <w:marRight w:val="0"/>
          <w:marTop w:val="120"/>
          <w:marBottom w:val="0"/>
          <w:divBdr>
            <w:top w:val="none" w:sz="0" w:space="0" w:color="auto"/>
            <w:left w:val="none" w:sz="0" w:space="0" w:color="auto"/>
            <w:bottom w:val="none" w:sz="0" w:space="0" w:color="auto"/>
            <w:right w:val="none" w:sz="0" w:space="0" w:color="auto"/>
          </w:divBdr>
        </w:div>
        <w:div w:id="1459570835">
          <w:marLeft w:val="547"/>
          <w:marRight w:val="0"/>
          <w:marTop w:val="120"/>
          <w:marBottom w:val="0"/>
          <w:divBdr>
            <w:top w:val="none" w:sz="0" w:space="0" w:color="auto"/>
            <w:left w:val="none" w:sz="0" w:space="0" w:color="auto"/>
            <w:bottom w:val="none" w:sz="0" w:space="0" w:color="auto"/>
            <w:right w:val="none" w:sz="0" w:space="0" w:color="auto"/>
          </w:divBdr>
        </w:div>
        <w:div w:id="1767575914">
          <w:marLeft w:val="547"/>
          <w:marRight w:val="0"/>
          <w:marTop w:val="120"/>
          <w:marBottom w:val="0"/>
          <w:divBdr>
            <w:top w:val="none" w:sz="0" w:space="0" w:color="auto"/>
            <w:left w:val="none" w:sz="0" w:space="0" w:color="auto"/>
            <w:bottom w:val="none" w:sz="0" w:space="0" w:color="auto"/>
            <w:right w:val="none" w:sz="0" w:space="0" w:color="auto"/>
          </w:divBdr>
        </w:div>
        <w:div w:id="1309479527">
          <w:marLeft w:val="547"/>
          <w:marRight w:val="0"/>
          <w:marTop w:val="120"/>
          <w:marBottom w:val="0"/>
          <w:divBdr>
            <w:top w:val="none" w:sz="0" w:space="0" w:color="auto"/>
            <w:left w:val="none" w:sz="0" w:space="0" w:color="auto"/>
            <w:bottom w:val="none" w:sz="0" w:space="0" w:color="auto"/>
            <w:right w:val="none" w:sz="0" w:space="0" w:color="auto"/>
          </w:divBdr>
        </w:div>
        <w:div w:id="1722825557">
          <w:marLeft w:val="547"/>
          <w:marRight w:val="0"/>
          <w:marTop w:val="120"/>
          <w:marBottom w:val="0"/>
          <w:divBdr>
            <w:top w:val="none" w:sz="0" w:space="0" w:color="auto"/>
            <w:left w:val="none" w:sz="0" w:space="0" w:color="auto"/>
            <w:bottom w:val="none" w:sz="0" w:space="0" w:color="auto"/>
            <w:right w:val="none" w:sz="0" w:space="0" w:color="auto"/>
          </w:divBdr>
        </w:div>
        <w:div w:id="566914603">
          <w:marLeft w:val="547"/>
          <w:marRight w:val="0"/>
          <w:marTop w:val="120"/>
          <w:marBottom w:val="0"/>
          <w:divBdr>
            <w:top w:val="none" w:sz="0" w:space="0" w:color="auto"/>
            <w:left w:val="none" w:sz="0" w:space="0" w:color="auto"/>
            <w:bottom w:val="none" w:sz="0" w:space="0" w:color="auto"/>
            <w:right w:val="none" w:sz="0" w:space="0" w:color="auto"/>
          </w:divBdr>
        </w:div>
        <w:div w:id="1823883526">
          <w:marLeft w:val="547"/>
          <w:marRight w:val="0"/>
          <w:marTop w:val="120"/>
          <w:marBottom w:val="0"/>
          <w:divBdr>
            <w:top w:val="none" w:sz="0" w:space="0" w:color="auto"/>
            <w:left w:val="none" w:sz="0" w:space="0" w:color="auto"/>
            <w:bottom w:val="none" w:sz="0" w:space="0" w:color="auto"/>
            <w:right w:val="none" w:sz="0" w:space="0" w:color="auto"/>
          </w:divBdr>
        </w:div>
      </w:divsChild>
    </w:div>
    <w:div w:id="414208789">
      <w:bodyDiv w:val="1"/>
      <w:marLeft w:val="0"/>
      <w:marRight w:val="0"/>
      <w:marTop w:val="0"/>
      <w:marBottom w:val="0"/>
      <w:divBdr>
        <w:top w:val="none" w:sz="0" w:space="0" w:color="auto"/>
        <w:left w:val="none" w:sz="0" w:space="0" w:color="auto"/>
        <w:bottom w:val="none" w:sz="0" w:space="0" w:color="auto"/>
        <w:right w:val="none" w:sz="0" w:space="0" w:color="auto"/>
      </w:divBdr>
    </w:div>
    <w:div w:id="466513152">
      <w:bodyDiv w:val="1"/>
      <w:marLeft w:val="0"/>
      <w:marRight w:val="0"/>
      <w:marTop w:val="0"/>
      <w:marBottom w:val="0"/>
      <w:divBdr>
        <w:top w:val="none" w:sz="0" w:space="0" w:color="auto"/>
        <w:left w:val="none" w:sz="0" w:space="0" w:color="auto"/>
        <w:bottom w:val="none" w:sz="0" w:space="0" w:color="auto"/>
        <w:right w:val="none" w:sz="0" w:space="0" w:color="auto"/>
      </w:divBdr>
      <w:divsChild>
        <w:div w:id="801116452">
          <w:marLeft w:val="547"/>
          <w:marRight w:val="0"/>
          <w:marTop w:val="154"/>
          <w:marBottom w:val="0"/>
          <w:divBdr>
            <w:top w:val="none" w:sz="0" w:space="0" w:color="auto"/>
            <w:left w:val="none" w:sz="0" w:space="0" w:color="auto"/>
            <w:bottom w:val="none" w:sz="0" w:space="0" w:color="auto"/>
            <w:right w:val="none" w:sz="0" w:space="0" w:color="auto"/>
          </w:divBdr>
        </w:div>
      </w:divsChild>
    </w:div>
    <w:div w:id="500972426">
      <w:bodyDiv w:val="1"/>
      <w:marLeft w:val="0"/>
      <w:marRight w:val="0"/>
      <w:marTop w:val="0"/>
      <w:marBottom w:val="0"/>
      <w:divBdr>
        <w:top w:val="none" w:sz="0" w:space="0" w:color="auto"/>
        <w:left w:val="none" w:sz="0" w:space="0" w:color="auto"/>
        <w:bottom w:val="none" w:sz="0" w:space="0" w:color="auto"/>
        <w:right w:val="none" w:sz="0" w:space="0" w:color="auto"/>
      </w:divBdr>
      <w:divsChild>
        <w:div w:id="427313184">
          <w:marLeft w:val="547"/>
          <w:marRight w:val="0"/>
          <w:marTop w:val="134"/>
          <w:marBottom w:val="0"/>
          <w:divBdr>
            <w:top w:val="none" w:sz="0" w:space="0" w:color="auto"/>
            <w:left w:val="none" w:sz="0" w:space="0" w:color="auto"/>
            <w:bottom w:val="none" w:sz="0" w:space="0" w:color="auto"/>
            <w:right w:val="none" w:sz="0" w:space="0" w:color="auto"/>
          </w:divBdr>
        </w:div>
      </w:divsChild>
    </w:div>
    <w:div w:id="656037352">
      <w:bodyDiv w:val="1"/>
      <w:marLeft w:val="0"/>
      <w:marRight w:val="0"/>
      <w:marTop w:val="0"/>
      <w:marBottom w:val="0"/>
      <w:divBdr>
        <w:top w:val="none" w:sz="0" w:space="0" w:color="auto"/>
        <w:left w:val="none" w:sz="0" w:space="0" w:color="auto"/>
        <w:bottom w:val="none" w:sz="0" w:space="0" w:color="auto"/>
        <w:right w:val="none" w:sz="0" w:space="0" w:color="auto"/>
      </w:divBdr>
    </w:div>
    <w:div w:id="664092613">
      <w:bodyDiv w:val="1"/>
      <w:marLeft w:val="0"/>
      <w:marRight w:val="0"/>
      <w:marTop w:val="0"/>
      <w:marBottom w:val="0"/>
      <w:divBdr>
        <w:top w:val="none" w:sz="0" w:space="0" w:color="auto"/>
        <w:left w:val="none" w:sz="0" w:space="0" w:color="auto"/>
        <w:bottom w:val="none" w:sz="0" w:space="0" w:color="auto"/>
        <w:right w:val="none" w:sz="0" w:space="0" w:color="auto"/>
      </w:divBdr>
    </w:div>
    <w:div w:id="776680267">
      <w:bodyDiv w:val="1"/>
      <w:marLeft w:val="0"/>
      <w:marRight w:val="0"/>
      <w:marTop w:val="0"/>
      <w:marBottom w:val="0"/>
      <w:divBdr>
        <w:top w:val="none" w:sz="0" w:space="0" w:color="auto"/>
        <w:left w:val="none" w:sz="0" w:space="0" w:color="auto"/>
        <w:bottom w:val="none" w:sz="0" w:space="0" w:color="auto"/>
        <w:right w:val="none" w:sz="0" w:space="0" w:color="auto"/>
      </w:divBdr>
      <w:divsChild>
        <w:div w:id="388696450">
          <w:marLeft w:val="547"/>
          <w:marRight w:val="0"/>
          <w:marTop w:val="96"/>
          <w:marBottom w:val="0"/>
          <w:divBdr>
            <w:top w:val="none" w:sz="0" w:space="0" w:color="auto"/>
            <w:left w:val="none" w:sz="0" w:space="0" w:color="auto"/>
            <w:bottom w:val="none" w:sz="0" w:space="0" w:color="auto"/>
            <w:right w:val="none" w:sz="0" w:space="0" w:color="auto"/>
          </w:divBdr>
        </w:div>
        <w:div w:id="1897430356">
          <w:marLeft w:val="1166"/>
          <w:marRight w:val="0"/>
          <w:marTop w:val="96"/>
          <w:marBottom w:val="0"/>
          <w:divBdr>
            <w:top w:val="none" w:sz="0" w:space="0" w:color="auto"/>
            <w:left w:val="none" w:sz="0" w:space="0" w:color="auto"/>
            <w:bottom w:val="none" w:sz="0" w:space="0" w:color="auto"/>
            <w:right w:val="none" w:sz="0" w:space="0" w:color="auto"/>
          </w:divBdr>
        </w:div>
        <w:div w:id="57286649">
          <w:marLeft w:val="1166"/>
          <w:marRight w:val="0"/>
          <w:marTop w:val="96"/>
          <w:marBottom w:val="0"/>
          <w:divBdr>
            <w:top w:val="none" w:sz="0" w:space="0" w:color="auto"/>
            <w:left w:val="none" w:sz="0" w:space="0" w:color="auto"/>
            <w:bottom w:val="none" w:sz="0" w:space="0" w:color="auto"/>
            <w:right w:val="none" w:sz="0" w:space="0" w:color="auto"/>
          </w:divBdr>
        </w:div>
        <w:div w:id="1993556712">
          <w:marLeft w:val="1166"/>
          <w:marRight w:val="0"/>
          <w:marTop w:val="96"/>
          <w:marBottom w:val="0"/>
          <w:divBdr>
            <w:top w:val="none" w:sz="0" w:space="0" w:color="auto"/>
            <w:left w:val="none" w:sz="0" w:space="0" w:color="auto"/>
            <w:bottom w:val="none" w:sz="0" w:space="0" w:color="auto"/>
            <w:right w:val="none" w:sz="0" w:space="0" w:color="auto"/>
          </w:divBdr>
        </w:div>
        <w:div w:id="1406681329">
          <w:marLeft w:val="1166"/>
          <w:marRight w:val="0"/>
          <w:marTop w:val="96"/>
          <w:marBottom w:val="0"/>
          <w:divBdr>
            <w:top w:val="none" w:sz="0" w:space="0" w:color="auto"/>
            <w:left w:val="none" w:sz="0" w:space="0" w:color="auto"/>
            <w:bottom w:val="none" w:sz="0" w:space="0" w:color="auto"/>
            <w:right w:val="none" w:sz="0" w:space="0" w:color="auto"/>
          </w:divBdr>
        </w:div>
        <w:div w:id="1436905438">
          <w:marLeft w:val="1166"/>
          <w:marRight w:val="0"/>
          <w:marTop w:val="96"/>
          <w:marBottom w:val="0"/>
          <w:divBdr>
            <w:top w:val="none" w:sz="0" w:space="0" w:color="auto"/>
            <w:left w:val="none" w:sz="0" w:space="0" w:color="auto"/>
            <w:bottom w:val="none" w:sz="0" w:space="0" w:color="auto"/>
            <w:right w:val="none" w:sz="0" w:space="0" w:color="auto"/>
          </w:divBdr>
        </w:div>
      </w:divsChild>
    </w:div>
    <w:div w:id="780799961">
      <w:bodyDiv w:val="1"/>
      <w:marLeft w:val="0"/>
      <w:marRight w:val="0"/>
      <w:marTop w:val="0"/>
      <w:marBottom w:val="0"/>
      <w:divBdr>
        <w:top w:val="none" w:sz="0" w:space="0" w:color="auto"/>
        <w:left w:val="none" w:sz="0" w:space="0" w:color="auto"/>
        <w:bottom w:val="none" w:sz="0" w:space="0" w:color="auto"/>
        <w:right w:val="none" w:sz="0" w:space="0" w:color="auto"/>
      </w:divBdr>
      <w:divsChild>
        <w:div w:id="1447310614">
          <w:marLeft w:val="547"/>
          <w:marRight w:val="0"/>
          <w:marTop w:val="120"/>
          <w:marBottom w:val="120"/>
          <w:divBdr>
            <w:top w:val="none" w:sz="0" w:space="0" w:color="auto"/>
            <w:left w:val="none" w:sz="0" w:space="0" w:color="auto"/>
            <w:bottom w:val="none" w:sz="0" w:space="0" w:color="auto"/>
            <w:right w:val="none" w:sz="0" w:space="0" w:color="auto"/>
          </w:divBdr>
        </w:div>
        <w:div w:id="1074278744">
          <w:marLeft w:val="547"/>
          <w:marRight w:val="0"/>
          <w:marTop w:val="120"/>
          <w:marBottom w:val="120"/>
          <w:divBdr>
            <w:top w:val="none" w:sz="0" w:space="0" w:color="auto"/>
            <w:left w:val="none" w:sz="0" w:space="0" w:color="auto"/>
            <w:bottom w:val="none" w:sz="0" w:space="0" w:color="auto"/>
            <w:right w:val="none" w:sz="0" w:space="0" w:color="auto"/>
          </w:divBdr>
        </w:div>
        <w:div w:id="904951543">
          <w:marLeft w:val="547"/>
          <w:marRight w:val="0"/>
          <w:marTop w:val="120"/>
          <w:marBottom w:val="120"/>
          <w:divBdr>
            <w:top w:val="none" w:sz="0" w:space="0" w:color="auto"/>
            <w:left w:val="none" w:sz="0" w:space="0" w:color="auto"/>
            <w:bottom w:val="none" w:sz="0" w:space="0" w:color="auto"/>
            <w:right w:val="none" w:sz="0" w:space="0" w:color="auto"/>
          </w:divBdr>
        </w:div>
        <w:div w:id="1735083270">
          <w:marLeft w:val="547"/>
          <w:marRight w:val="0"/>
          <w:marTop w:val="120"/>
          <w:marBottom w:val="120"/>
          <w:divBdr>
            <w:top w:val="none" w:sz="0" w:space="0" w:color="auto"/>
            <w:left w:val="none" w:sz="0" w:space="0" w:color="auto"/>
            <w:bottom w:val="none" w:sz="0" w:space="0" w:color="auto"/>
            <w:right w:val="none" w:sz="0" w:space="0" w:color="auto"/>
          </w:divBdr>
        </w:div>
        <w:div w:id="2100517095">
          <w:marLeft w:val="547"/>
          <w:marRight w:val="0"/>
          <w:marTop w:val="120"/>
          <w:marBottom w:val="120"/>
          <w:divBdr>
            <w:top w:val="none" w:sz="0" w:space="0" w:color="auto"/>
            <w:left w:val="none" w:sz="0" w:space="0" w:color="auto"/>
            <w:bottom w:val="none" w:sz="0" w:space="0" w:color="auto"/>
            <w:right w:val="none" w:sz="0" w:space="0" w:color="auto"/>
          </w:divBdr>
        </w:div>
      </w:divsChild>
    </w:div>
    <w:div w:id="813255410">
      <w:bodyDiv w:val="1"/>
      <w:marLeft w:val="0"/>
      <w:marRight w:val="0"/>
      <w:marTop w:val="0"/>
      <w:marBottom w:val="0"/>
      <w:divBdr>
        <w:top w:val="none" w:sz="0" w:space="0" w:color="auto"/>
        <w:left w:val="none" w:sz="0" w:space="0" w:color="auto"/>
        <w:bottom w:val="none" w:sz="0" w:space="0" w:color="auto"/>
        <w:right w:val="none" w:sz="0" w:space="0" w:color="auto"/>
      </w:divBdr>
    </w:div>
    <w:div w:id="925263791">
      <w:bodyDiv w:val="1"/>
      <w:marLeft w:val="0"/>
      <w:marRight w:val="0"/>
      <w:marTop w:val="0"/>
      <w:marBottom w:val="0"/>
      <w:divBdr>
        <w:top w:val="none" w:sz="0" w:space="0" w:color="auto"/>
        <w:left w:val="none" w:sz="0" w:space="0" w:color="auto"/>
        <w:bottom w:val="none" w:sz="0" w:space="0" w:color="auto"/>
        <w:right w:val="none" w:sz="0" w:space="0" w:color="auto"/>
      </w:divBdr>
      <w:divsChild>
        <w:div w:id="1937710763">
          <w:marLeft w:val="547"/>
          <w:marRight w:val="0"/>
          <w:marTop w:val="120"/>
          <w:marBottom w:val="120"/>
          <w:divBdr>
            <w:top w:val="none" w:sz="0" w:space="0" w:color="auto"/>
            <w:left w:val="none" w:sz="0" w:space="0" w:color="auto"/>
            <w:bottom w:val="none" w:sz="0" w:space="0" w:color="auto"/>
            <w:right w:val="none" w:sz="0" w:space="0" w:color="auto"/>
          </w:divBdr>
        </w:div>
        <w:div w:id="18512894">
          <w:marLeft w:val="547"/>
          <w:marRight w:val="0"/>
          <w:marTop w:val="120"/>
          <w:marBottom w:val="120"/>
          <w:divBdr>
            <w:top w:val="none" w:sz="0" w:space="0" w:color="auto"/>
            <w:left w:val="none" w:sz="0" w:space="0" w:color="auto"/>
            <w:bottom w:val="none" w:sz="0" w:space="0" w:color="auto"/>
            <w:right w:val="none" w:sz="0" w:space="0" w:color="auto"/>
          </w:divBdr>
        </w:div>
        <w:div w:id="669215029">
          <w:marLeft w:val="547"/>
          <w:marRight w:val="0"/>
          <w:marTop w:val="120"/>
          <w:marBottom w:val="120"/>
          <w:divBdr>
            <w:top w:val="none" w:sz="0" w:space="0" w:color="auto"/>
            <w:left w:val="none" w:sz="0" w:space="0" w:color="auto"/>
            <w:bottom w:val="none" w:sz="0" w:space="0" w:color="auto"/>
            <w:right w:val="none" w:sz="0" w:space="0" w:color="auto"/>
          </w:divBdr>
        </w:div>
      </w:divsChild>
    </w:div>
    <w:div w:id="1094090380">
      <w:bodyDiv w:val="1"/>
      <w:marLeft w:val="0"/>
      <w:marRight w:val="0"/>
      <w:marTop w:val="0"/>
      <w:marBottom w:val="0"/>
      <w:divBdr>
        <w:top w:val="none" w:sz="0" w:space="0" w:color="auto"/>
        <w:left w:val="none" w:sz="0" w:space="0" w:color="auto"/>
        <w:bottom w:val="none" w:sz="0" w:space="0" w:color="auto"/>
        <w:right w:val="none" w:sz="0" w:space="0" w:color="auto"/>
      </w:divBdr>
      <w:divsChild>
        <w:div w:id="1100100757">
          <w:marLeft w:val="547"/>
          <w:marRight w:val="0"/>
          <w:marTop w:val="144"/>
          <w:marBottom w:val="0"/>
          <w:divBdr>
            <w:top w:val="none" w:sz="0" w:space="0" w:color="auto"/>
            <w:left w:val="none" w:sz="0" w:space="0" w:color="auto"/>
            <w:bottom w:val="none" w:sz="0" w:space="0" w:color="auto"/>
            <w:right w:val="none" w:sz="0" w:space="0" w:color="auto"/>
          </w:divBdr>
        </w:div>
        <w:div w:id="1930192351">
          <w:marLeft w:val="1166"/>
          <w:marRight w:val="0"/>
          <w:marTop w:val="125"/>
          <w:marBottom w:val="0"/>
          <w:divBdr>
            <w:top w:val="none" w:sz="0" w:space="0" w:color="auto"/>
            <w:left w:val="none" w:sz="0" w:space="0" w:color="auto"/>
            <w:bottom w:val="none" w:sz="0" w:space="0" w:color="auto"/>
            <w:right w:val="none" w:sz="0" w:space="0" w:color="auto"/>
          </w:divBdr>
        </w:div>
        <w:div w:id="1657103875">
          <w:marLeft w:val="1166"/>
          <w:marRight w:val="0"/>
          <w:marTop w:val="125"/>
          <w:marBottom w:val="0"/>
          <w:divBdr>
            <w:top w:val="none" w:sz="0" w:space="0" w:color="auto"/>
            <w:left w:val="none" w:sz="0" w:space="0" w:color="auto"/>
            <w:bottom w:val="none" w:sz="0" w:space="0" w:color="auto"/>
            <w:right w:val="none" w:sz="0" w:space="0" w:color="auto"/>
          </w:divBdr>
        </w:div>
        <w:div w:id="1402948675">
          <w:marLeft w:val="1166"/>
          <w:marRight w:val="0"/>
          <w:marTop w:val="125"/>
          <w:marBottom w:val="0"/>
          <w:divBdr>
            <w:top w:val="none" w:sz="0" w:space="0" w:color="auto"/>
            <w:left w:val="none" w:sz="0" w:space="0" w:color="auto"/>
            <w:bottom w:val="none" w:sz="0" w:space="0" w:color="auto"/>
            <w:right w:val="none" w:sz="0" w:space="0" w:color="auto"/>
          </w:divBdr>
        </w:div>
      </w:divsChild>
    </w:div>
    <w:div w:id="1233348331">
      <w:bodyDiv w:val="1"/>
      <w:marLeft w:val="0"/>
      <w:marRight w:val="0"/>
      <w:marTop w:val="0"/>
      <w:marBottom w:val="0"/>
      <w:divBdr>
        <w:top w:val="none" w:sz="0" w:space="0" w:color="auto"/>
        <w:left w:val="none" w:sz="0" w:space="0" w:color="auto"/>
        <w:bottom w:val="none" w:sz="0" w:space="0" w:color="auto"/>
        <w:right w:val="none" w:sz="0" w:space="0" w:color="auto"/>
      </w:divBdr>
      <w:divsChild>
        <w:div w:id="2067795070">
          <w:marLeft w:val="547"/>
          <w:marRight w:val="0"/>
          <w:marTop w:val="154"/>
          <w:marBottom w:val="0"/>
          <w:divBdr>
            <w:top w:val="none" w:sz="0" w:space="0" w:color="auto"/>
            <w:left w:val="none" w:sz="0" w:space="0" w:color="auto"/>
            <w:bottom w:val="none" w:sz="0" w:space="0" w:color="auto"/>
            <w:right w:val="none" w:sz="0" w:space="0" w:color="auto"/>
          </w:divBdr>
        </w:div>
      </w:divsChild>
    </w:div>
    <w:div w:id="1370909197">
      <w:bodyDiv w:val="1"/>
      <w:marLeft w:val="0"/>
      <w:marRight w:val="0"/>
      <w:marTop w:val="0"/>
      <w:marBottom w:val="0"/>
      <w:divBdr>
        <w:top w:val="none" w:sz="0" w:space="0" w:color="auto"/>
        <w:left w:val="none" w:sz="0" w:space="0" w:color="auto"/>
        <w:bottom w:val="none" w:sz="0" w:space="0" w:color="auto"/>
        <w:right w:val="none" w:sz="0" w:space="0" w:color="auto"/>
      </w:divBdr>
    </w:div>
    <w:div w:id="1597327765">
      <w:bodyDiv w:val="1"/>
      <w:marLeft w:val="0"/>
      <w:marRight w:val="0"/>
      <w:marTop w:val="0"/>
      <w:marBottom w:val="0"/>
      <w:divBdr>
        <w:top w:val="none" w:sz="0" w:space="0" w:color="auto"/>
        <w:left w:val="none" w:sz="0" w:space="0" w:color="auto"/>
        <w:bottom w:val="none" w:sz="0" w:space="0" w:color="auto"/>
        <w:right w:val="none" w:sz="0" w:space="0" w:color="auto"/>
      </w:divBdr>
      <w:divsChild>
        <w:div w:id="1264144125">
          <w:marLeft w:val="547"/>
          <w:marRight w:val="0"/>
          <w:marTop w:val="134"/>
          <w:marBottom w:val="0"/>
          <w:divBdr>
            <w:top w:val="none" w:sz="0" w:space="0" w:color="auto"/>
            <w:left w:val="none" w:sz="0" w:space="0" w:color="auto"/>
            <w:bottom w:val="none" w:sz="0" w:space="0" w:color="auto"/>
            <w:right w:val="none" w:sz="0" w:space="0" w:color="auto"/>
          </w:divBdr>
        </w:div>
        <w:div w:id="339937091">
          <w:marLeft w:val="547"/>
          <w:marRight w:val="0"/>
          <w:marTop w:val="134"/>
          <w:marBottom w:val="0"/>
          <w:divBdr>
            <w:top w:val="none" w:sz="0" w:space="0" w:color="auto"/>
            <w:left w:val="none" w:sz="0" w:space="0" w:color="auto"/>
            <w:bottom w:val="none" w:sz="0" w:space="0" w:color="auto"/>
            <w:right w:val="none" w:sz="0" w:space="0" w:color="auto"/>
          </w:divBdr>
        </w:div>
        <w:div w:id="367486458">
          <w:marLeft w:val="547"/>
          <w:marRight w:val="0"/>
          <w:marTop w:val="134"/>
          <w:marBottom w:val="0"/>
          <w:divBdr>
            <w:top w:val="none" w:sz="0" w:space="0" w:color="auto"/>
            <w:left w:val="none" w:sz="0" w:space="0" w:color="auto"/>
            <w:bottom w:val="none" w:sz="0" w:space="0" w:color="auto"/>
            <w:right w:val="none" w:sz="0" w:space="0" w:color="auto"/>
          </w:divBdr>
        </w:div>
        <w:div w:id="1558936292">
          <w:marLeft w:val="547"/>
          <w:marRight w:val="0"/>
          <w:marTop w:val="134"/>
          <w:marBottom w:val="0"/>
          <w:divBdr>
            <w:top w:val="none" w:sz="0" w:space="0" w:color="auto"/>
            <w:left w:val="none" w:sz="0" w:space="0" w:color="auto"/>
            <w:bottom w:val="none" w:sz="0" w:space="0" w:color="auto"/>
            <w:right w:val="none" w:sz="0" w:space="0" w:color="auto"/>
          </w:divBdr>
        </w:div>
        <w:div w:id="1288002602">
          <w:marLeft w:val="547"/>
          <w:marRight w:val="0"/>
          <w:marTop w:val="134"/>
          <w:marBottom w:val="0"/>
          <w:divBdr>
            <w:top w:val="none" w:sz="0" w:space="0" w:color="auto"/>
            <w:left w:val="none" w:sz="0" w:space="0" w:color="auto"/>
            <w:bottom w:val="none" w:sz="0" w:space="0" w:color="auto"/>
            <w:right w:val="none" w:sz="0" w:space="0" w:color="auto"/>
          </w:divBdr>
        </w:div>
      </w:divsChild>
    </w:div>
    <w:div w:id="1756241157">
      <w:bodyDiv w:val="1"/>
      <w:marLeft w:val="0"/>
      <w:marRight w:val="0"/>
      <w:marTop w:val="0"/>
      <w:marBottom w:val="0"/>
      <w:divBdr>
        <w:top w:val="none" w:sz="0" w:space="0" w:color="auto"/>
        <w:left w:val="none" w:sz="0" w:space="0" w:color="auto"/>
        <w:bottom w:val="none" w:sz="0" w:space="0" w:color="auto"/>
        <w:right w:val="none" w:sz="0" w:space="0" w:color="auto"/>
      </w:divBdr>
      <w:divsChild>
        <w:div w:id="1143892625">
          <w:marLeft w:val="547"/>
          <w:marRight w:val="0"/>
          <w:marTop w:val="134"/>
          <w:marBottom w:val="0"/>
          <w:divBdr>
            <w:top w:val="none" w:sz="0" w:space="0" w:color="auto"/>
            <w:left w:val="none" w:sz="0" w:space="0" w:color="auto"/>
            <w:bottom w:val="none" w:sz="0" w:space="0" w:color="auto"/>
            <w:right w:val="none" w:sz="0" w:space="0" w:color="auto"/>
          </w:divBdr>
        </w:div>
        <w:div w:id="726533893">
          <w:marLeft w:val="547"/>
          <w:marRight w:val="0"/>
          <w:marTop w:val="134"/>
          <w:marBottom w:val="0"/>
          <w:divBdr>
            <w:top w:val="none" w:sz="0" w:space="0" w:color="auto"/>
            <w:left w:val="none" w:sz="0" w:space="0" w:color="auto"/>
            <w:bottom w:val="none" w:sz="0" w:space="0" w:color="auto"/>
            <w:right w:val="none" w:sz="0" w:space="0" w:color="auto"/>
          </w:divBdr>
        </w:div>
        <w:div w:id="1279068737">
          <w:marLeft w:val="547"/>
          <w:marRight w:val="0"/>
          <w:marTop w:val="134"/>
          <w:marBottom w:val="0"/>
          <w:divBdr>
            <w:top w:val="none" w:sz="0" w:space="0" w:color="auto"/>
            <w:left w:val="none" w:sz="0" w:space="0" w:color="auto"/>
            <w:bottom w:val="none" w:sz="0" w:space="0" w:color="auto"/>
            <w:right w:val="none" w:sz="0" w:space="0" w:color="auto"/>
          </w:divBdr>
        </w:div>
      </w:divsChild>
    </w:div>
    <w:div w:id="1971352452">
      <w:bodyDiv w:val="1"/>
      <w:marLeft w:val="0"/>
      <w:marRight w:val="0"/>
      <w:marTop w:val="0"/>
      <w:marBottom w:val="0"/>
      <w:divBdr>
        <w:top w:val="none" w:sz="0" w:space="0" w:color="auto"/>
        <w:left w:val="none" w:sz="0" w:space="0" w:color="auto"/>
        <w:bottom w:val="none" w:sz="0" w:space="0" w:color="auto"/>
        <w:right w:val="none" w:sz="0" w:space="0" w:color="auto"/>
      </w:divBdr>
      <w:divsChild>
        <w:div w:id="1532453401">
          <w:marLeft w:val="547"/>
          <w:marRight w:val="0"/>
          <w:marTop w:val="15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2D3B9B-786F-A149-A503-935AC2E31147}" type="doc">
      <dgm:prSet loTypeId="urn:microsoft.com/office/officeart/2005/8/layout/chevron1" loCatId="" qsTypeId="urn:microsoft.com/office/officeart/2005/8/quickstyle/simple1" qsCatId="simple" csTypeId="urn:microsoft.com/office/officeart/2005/8/colors/accent1_2" csCatId="accent1" phldr="1"/>
      <dgm:spPr/>
    </dgm:pt>
    <dgm:pt modelId="{B018C9E9-B5D1-DC4A-835B-FF82BDE8D5A1}">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b="1" dirty="0" smtClean="0">
              <a:latin typeface="Calibri"/>
              <a:cs typeface="Calibri"/>
            </a:rPr>
            <a:t>Central Level</a:t>
          </a:r>
          <a:endParaRPr lang="en-US" b="1" dirty="0">
            <a:latin typeface="Calibri"/>
            <a:cs typeface="Calibri"/>
          </a:endParaRPr>
        </a:p>
      </dgm:t>
    </dgm:pt>
    <dgm:pt modelId="{B230E9D2-0AB8-7C46-A16C-F0D5F1EE9192}" type="parTrans" cxnId="{1201BEE6-44A3-7240-B90B-611831F5948F}">
      <dgm:prSet/>
      <dgm:spPr/>
      <dgm:t>
        <a:bodyPr/>
        <a:lstStyle/>
        <a:p>
          <a:endParaRPr lang="en-US" b="1">
            <a:latin typeface="Calibri"/>
            <a:cs typeface="Calibri"/>
          </a:endParaRPr>
        </a:p>
      </dgm:t>
    </dgm:pt>
    <dgm:pt modelId="{E431236D-FBC7-7D47-A977-F4F76A1C7C48}" type="sibTrans" cxnId="{1201BEE6-44A3-7240-B90B-611831F5948F}">
      <dgm:prSet/>
      <dgm:spPr/>
      <dgm:t>
        <a:bodyPr/>
        <a:lstStyle/>
        <a:p>
          <a:endParaRPr lang="en-US" b="1">
            <a:latin typeface="Calibri"/>
            <a:cs typeface="Calibri"/>
          </a:endParaRPr>
        </a:p>
      </dgm:t>
    </dgm:pt>
    <dgm:pt modelId="{880FE0AE-7D6B-4C46-AC90-B694377F71F5}">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b="1" dirty="0" smtClean="0">
              <a:latin typeface="Calibri"/>
              <a:cs typeface="Calibri"/>
            </a:rPr>
            <a:t>Provincial (PHD) 25</a:t>
          </a:r>
          <a:endParaRPr lang="en-US" b="1" dirty="0">
            <a:latin typeface="Calibri"/>
            <a:cs typeface="Calibri"/>
          </a:endParaRPr>
        </a:p>
      </dgm:t>
    </dgm:pt>
    <dgm:pt modelId="{98C5A558-A518-8B44-BF01-44A8F63888A5}" type="parTrans" cxnId="{1F60B7AF-2236-8345-9879-4CEEB0064CA3}">
      <dgm:prSet/>
      <dgm:spPr/>
      <dgm:t>
        <a:bodyPr/>
        <a:lstStyle/>
        <a:p>
          <a:endParaRPr lang="en-US" b="1">
            <a:latin typeface="Calibri"/>
            <a:cs typeface="Calibri"/>
          </a:endParaRPr>
        </a:p>
      </dgm:t>
    </dgm:pt>
    <dgm:pt modelId="{341B5571-3E09-A146-B9E0-075E34D3EA4D}" type="sibTrans" cxnId="{1F60B7AF-2236-8345-9879-4CEEB0064CA3}">
      <dgm:prSet/>
      <dgm:spPr/>
      <dgm:t>
        <a:bodyPr/>
        <a:lstStyle/>
        <a:p>
          <a:endParaRPr lang="en-US" b="1">
            <a:latin typeface="Calibri"/>
            <a:cs typeface="Calibri"/>
          </a:endParaRPr>
        </a:p>
      </dgm:t>
    </dgm:pt>
    <dgm:pt modelId="{DAEA371C-9DE9-D94B-B68E-24E16AB36782}">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b="1" dirty="0" smtClean="0">
              <a:latin typeface="Calibri"/>
              <a:cs typeface="Calibri"/>
            </a:rPr>
            <a:t>Village (VHSG) 14,340</a:t>
          </a:r>
          <a:endParaRPr lang="en-US" b="1" dirty="0">
            <a:latin typeface="Calibri"/>
            <a:cs typeface="Calibri"/>
          </a:endParaRPr>
        </a:p>
      </dgm:t>
    </dgm:pt>
    <dgm:pt modelId="{305A4A1D-FC73-014C-9125-DD903C941D83}" type="parTrans" cxnId="{98B13895-2018-3A4E-8657-E6D08C81817E}">
      <dgm:prSet/>
      <dgm:spPr/>
      <dgm:t>
        <a:bodyPr/>
        <a:lstStyle/>
        <a:p>
          <a:endParaRPr lang="en-US" b="1">
            <a:latin typeface="Calibri"/>
            <a:cs typeface="Calibri"/>
          </a:endParaRPr>
        </a:p>
      </dgm:t>
    </dgm:pt>
    <dgm:pt modelId="{B494F884-C4A8-9A44-809D-DDD617AA02B6}" type="sibTrans" cxnId="{98B13895-2018-3A4E-8657-E6D08C81817E}">
      <dgm:prSet/>
      <dgm:spPr/>
      <dgm:t>
        <a:bodyPr/>
        <a:lstStyle/>
        <a:p>
          <a:endParaRPr lang="en-US" b="1">
            <a:latin typeface="Calibri"/>
            <a:cs typeface="Calibri"/>
          </a:endParaRPr>
        </a:p>
      </dgm:t>
    </dgm:pt>
    <dgm:pt modelId="{2E53A0AA-0607-D149-BA23-35F09499CD0C}">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b="1" dirty="0" smtClean="0">
              <a:latin typeface="Calibri"/>
              <a:cs typeface="Calibri"/>
            </a:rPr>
            <a:t>Operational District (OD) 81</a:t>
          </a:r>
        </a:p>
        <a:p>
          <a:r>
            <a:rPr lang="en-US" b="1" dirty="0" smtClean="0">
              <a:latin typeface="Calibri"/>
              <a:cs typeface="Calibri"/>
            </a:rPr>
            <a:t>Referral hopstials 86</a:t>
          </a:r>
          <a:endParaRPr lang="en-US" b="1" dirty="0">
            <a:latin typeface="Calibri"/>
            <a:cs typeface="Calibri"/>
          </a:endParaRPr>
        </a:p>
      </dgm:t>
    </dgm:pt>
    <dgm:pt modelId="{BDDC7857-6CB6-074B-968F-9DF3C32042FA}" type="parTrans" cxnId="{1F6A4292-092F-594A-81A5-0837C76B3276}">
      <dgm:prSet/>
      <dgm:spPr/>
      <dgm:t>
        <a:bodyPr/>
        <a:lstStyle/>
        <a:p>
          <a:endParaRPr lang="en-US" b="1">
            <a:latin typeface="Calibri"/>
            <a:cs typeface="Calibri"/>
          </a:endParaRPr>
        </a:p>
      </dgm:t>
    </dgm:pt>
    <dgm:pt modelId="{2A29DC0C-4EC3-8A4E-9553-D11F622AE381}" type="sibTrans" cxnId="{1F6A4292-092F-594A-81A5-0837C76B3276}">
      <dgm:prSet/>
      <dgm:spPr/>
      <dgm:t>
        <a:bodyPr/>
        <a:lstStyle/>
        <a:p>
          <a:endParaRPr lang="en-US" b="1">
            <a:latin typeface="Calibri"/>
            <a:cs typeface="Calibri"/>
          </a:endParaRPr>
        </a:p>
      </dgm:t>
    </dgm:pt>
    <dgm:pt modelId="{BB78ECB3-23F5-E343-973C-528AEF15BDC3}">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b="1" dirty="0" smtClean="0">
              <a:latin typeface="Calibri"/>
              <a:cs typeface="Calibri"/>
            </a:rPr>
            <a:t>Health Center/Post (HC/HP) 1,093/87</a:t>
          </a:r>
          <a:endParaRPr lang="en-US" b="1" dirty="0">
            <a:latin typeface="Calibri"/>
            <a:cs typeface="Calibri"/>
          </a:endParaRPr>
        </a:p>
      </dgm:t>
    </dgm:pt>
    <dgm:pt modelId="{59A69CE2-CA91-4B46-A7AE-2717A609B7CE}" type="parTrans" cxnId="{F8A18F44-E325-E94D-B355-6D9861F65C24}">
      <dgm:prSet/>
      <dgm:spPr/>
      <dgm:t>
        <a:bodyPr/>
        <a:lstStyle/>
        <a:p>
          <a:endParaRPr lang="en-US" b="1">
            <a:latin typeface="Calibri"/>
            <a:cs typeface="Calibri"/>
          </a:endParaRPr>
        </a:p>
      </dgm:t>
    </dgm:pt>
    <dgm:pt modelId="{F4A71B3A-4020-FE4F-A82B-F5BB2F5BE55C}" type="sibTrans" cxnId="{F8A18F44-E325-E94D-B355-6D9861F65C24}">
      <dgm:prSet/>
      <dgm:spPr/>
      <dgm:t>
        <a:bodyPr/>
        <a:lstStyle/>
        <a:p>
          <a:endParaRPr lang="en-US" b="1">
            <a:latin typeface="Calibri"/>
            <a:cs typeface="Calibri"/>
          </a:endParaRPr>
        </a:p>
      </dgm:t>
    </dgm:pt>
    <dgm:pt modelId="{DB890A27-7BDA-BE44-A1C5-366F3ADCFA79}" type="pres">
      <dgm:prSet presAssocID="{422D3B9B-786F-A149-A503-935AC2E31147}" presName="Name0" presStyleCnt="0">
        <dgm:presLayoutVars>
          <dgm:dir/>
          <dgm:animLvl val="lvl"/>
          <dgm:resizeHandles val="exact"/>
        </dgm:presLayoutVars>
      </dgm:prSet>
      <dgm:spPr/>
    </dgm:pt>
    <dgm:pt modelId="{0E2A06BC-F399-CA4F-BB61-3423246280A9}" type="pres">
      <dgm:prSet presAssocID="{B018C9E9-B5D1-DC4A-835B-FF82BDE8D5A1}" presName="parTxOnly" presStyleLbl="node1" presStyleIdx="0" presStyleCnt="5">
        <dgm:presLayoutVars>
          <dgm:chMax val="0"/>
          <dgm:chPref val="0"/>
          <dgm:bulletEnabled val="1"/>
        </dgm:presLayoutVars>
      </dgm:prSet>
      <dgm:spPr/>
      <dgm:t>
        <a:bodyPr/>
        <a:lstStyle/>
        <a:p>
          <a:endParaRPr lang="en-US"/>
        </a:p>
      </dgm:t>
    </dgm:pt>
    <dgm:pt modelId="{F160CF84-F196-5649-90BE-80ABF99D6418}" type="pres">
      <dgm:prSet presAssocID="{E431236D-FBC7-7D47-A977-F4F76A1C7C48}" presName="parTxOnlySpace" presStyleCnt="0"/>
      <dgm:spPr/>
    </dgm:pt>
    <dgm:pt modelId="{A7EEEC5B-3F9C-A54D-BB77-DC261D313C83}" type="pres">
      <dgm:prSet presAssocID="{880FE0AE-7D6B-4C46-AC90-B694377F71F5}" presName="parTxOnly" presStyleLbl="node1" presStyleIdx="1" presStyleCnt="5">
        <dgm:presLayoutVars>
          <dgm:chMax val="0"/>
          <dgm:chPref val="0"/>
          <dgm:bulletEnabled val="1"/>
        </dgm:presLayoutVars>
      </dgm:prSet>
      <dgm:spPr/>
      <dgm:t>
        <a:bodyPr/>
        <a:lstStyle/>
        <a:p>
          <a:endParaRPr lang="en-US"/>
        </a:p>
      </dgm:t>
    </dgm:pt>
    <dgm:pt modelId="{F78C7C8C-2448-794B-8B6E-81692F02A947}" type="pres">
      <dgm:prSet presAssocID="{341B5571-3E09-A146-B9E0-075E34D3EA4D}" presName="parTxOnlySpace" presStyleCnt="0"/>
      <dgm:spPr/>
    </dgm:pt>
    <dgm:pt modelId="{B3516A0A-B428-3B44-8B29-2C0786E89EB9}" type="pres">
      <dgm:prSet presAssocID="{2E53A0AA-0607-D149-BA23-35F09499CD0C}" presName="parTxOnly" presStyleLbl="node1" presStyleIdx="2" presStyleCnt="5">
        <dgm:presLayoutVars>
          <dgm:chMax val="0"/>
          <dgm:chPref val="0"/>
          <dgm:bulletEnabled val="1"/>
        </dgm:presLayoutVars>
      </dgm:prSet>
      <dgm:spPr/>
      <dgm:t>
        <a:bodyPr/>
        <a:lstStyle/>
        <a:p>
          <a:endParaRPr lang="en-US"/>
        </a:p>
      </dgm:t>
    </dgm:pt>
    <dgm:pt modelId="{0231ADBD-2187-3147-8E1B-994613E4C063}" type="pres">
      <dgm:prSet presAssocID="{2A29DC0C-4EC3-8A4E-9553-D11F622AE381}" presName="parTxOnlySpace" presStyleCnt="0"/>
      <dgm:spPr/>
    </dgm:pt>
    <dgm:pt modelId="{ECB66E71-A584-3048-9F12-2C82C64F499B}" type="pres">
      <dgm:prSet presAssocID="{BB78ECB3-23F5-E343-973C-528AEF15BDC3}" presName="parTxOnly" presStyleLbl="node1" presStyleIdx="3" presStyleCnt="5">
        <dgm:presLayoutVars>
          <dgm:chMax val="0"/>
          <dgm:chPref val="0"/>
          <dgm:bulletEnabled val="1"/>
        </dgm:presLayoutVars>
      </dgm:prSet>
      <dgm:spPr/>
      <dgm:t>
        <a:bodyPr/>
        <a:lstStyle/>
        <a:p>
          <a:endParaRPr lang="en-US"/>
        </a:p>
      </dgm:t>
    </dgm:pt>
    <dgm:pt modelId="{0463F6F9-62A6-F348-B985-19EA2F03871E}" type="pres">
      <dgm:prSet presAssocID="{F4A71B3A-4020-FE4F-A82B-F5BB2F5BE55C}" presName="parTxOnlySpace" presStyleCnt="0"/>
      <dgm:spPr/>
    </dgm:pt>
    <dgm:pt modelId="{1944B3CB-F38C-7F4A-9AFD-12B7025615AE}" type="pres">
      <dgm:prSet presAssocID="{DAEA371C-9DE9-D94B-B68E-24E16AB36782}" presName="parTxOnly" presStyleLbl="node1" presStyleIdx="4" presStyleCnt="5">
        <dgm:presLayoutVars>
          <dgm:chMax val="0"/>
          <dgm:chPref val="0"/>
          <dgm:bulletEnabled val="1"/>
        </dgm:presLayoutVars>
      </dgm:prSet>
      <dgm:spPr/>
      <dgm:t>
        <a:bodyPr/>
        <a:lstStyle/>
        <a:p>
          <a:endParaRPr lang="en-US"/>
        </a:p>
      </dgm:t>
    </dgm:pt>
  </dgm:ptLst>
  <dgm:cxnLst>
    <dgm:cxn modelId="{51E516F9-4800-4EA7-B03E-46D4E1B366EF}" type="presOf" srcId="{DAEA371C-9DE9-D94B-B68E-24E16AB36782}" destId="{1944B3CB-F38C-7F4A-9AFD-12B7025615AE}" srcOrd="0" destOrd="0" presId="urn:microsoft.com/office/officeart/2005/8/layout/chevron1"/>
    <dgm:cxn modelId="{7D8FCE6E-5537-4138-916A-9AA24EA98F55}" type="presOf" srcId="{422D3B9B-786F-A149-A503-935AC2E31147}" destId="{DB890A27-7BDA-BE44-A1C5-366F3ADCFA79}" srcOrd="0" destOrd="0" presId="urn:microsoft.com/office/officeart/2005/8/layout/chevron1"/>
    <dgm:cxn modelId="{98B13895-2018-3A4E-8657-E6D08C81817E}" srcId="{422D3B9B-786F-A149-A503-935AC2E31147}" destId="{DAEA371C-9DE9-D94B-B68E-24E16AB36782}" srcOrd="4" destOrd="0" parTransId="{305A4A1D-FC73-014C-9125-DD903C941D83}" sibTransId="{B494F884-C4A8-9A44-809D-DDD617AA02B6}"/>
    <dgm:cxn modelId="{45F073A8-6FB6-4CB5-A55F-E3657825EE30}" type="presOf" srcId="{2E53A0AA-0607-D149-BA23-35F09499CD0C}" destId="{B3516A0A-B428-3B44-8B29-2C0786E89EB9}" srcOrd="0" destOrd="0" presId="urn:microsoft.com/office/officeart/2005/8/layout/chevron1"/>
    <dgm:cxn modelId="{1126D21C-C480-442A-9EB3-C95566A5C134}" type="presOf" srcId="{B018C9E9-B5D1-DC4A-835B-FF82BDE8D5A1}" destId="{0E2A06BC-F399-CA4F-BB61-3423246280A9}" srcOrd="0" destOrd="0" presId="urn:microsoft.com/office/officeart/2005/8/layout/chevron1"/>
    <dgm:cxn modelId="{1201BEE6-44A3-7240-B90B-611831F5948F}" srcId="{422D3B9B-786F-A149-A503-935AC2E31147}" destId="{B018C9E9-B5D1-DC4A-835B-FF82BDE8D5A1}" srcOrd="0" destOrd="0" parTransId="{B230E9D2-0AB8-7C46-A16C-F0D5F1EE9192}" sibTransId="{E431236D-FBC7-7D47-A977-F4F76A1C7C48}"/>
    <dgm:cxn modelId="{F0C79897-E4D3-4744-AF18-F123AAA465EA}" type="presOf" srcId="{BB78ECB3-23F5-E343-973C-528AEF15BDC3}" destId="{ECB66E71-A584-3048-9F12-2C82C64F499B}" srcOrd="0" destOrd="0" presId="urn:microsoft.com/office/officeart/2005/8/layout/chevron1"/>
    <dgm:cxn modelId="{1F6A4292-092F-594A-81A5-0837C76B3276}" srcId="{422D3B9B-786F-A149-A503-935AC2E31147}" destId="{2E53A0AA-0607-D149-BA23-35F09499CD0C}" srcOrd="2" destOrd="0" parTransId="{BDDC7857-6CB6-074B-968F-9DF3C32042FA}" sibTransId="{2A29DC0C-4EC3-8A4E-9553-D11F622AE381}"/>
    <dgm:cxn modelId="{6DAA06E5-75BA-4982-B035-4F4257CC188B}" type="presOf" srcId="{880FE0AE-7D6B-4C46-AC90-B694377F71F5}" destId="{A7EEEC5B-3F9C-A54D-BB77-DC261D313C83}" srcOrd="0" destOrd="0" presId="urn:microsoft.com/office/officeart/2005/8/layout/chevron1"/>
    <dgm:cxn modelId="{1F60B7AF-2236-8345-9879-4CEEB0064CA3}" srcId="{422D3B9B-786F-A149-A503-935AC2E31147}" destId="{880FE0AE-7D6B-4C46-AC90-B694377F71F5}" srcOrd="1" destOrd="0" parTransId="{98C5A558-A518-8B44-BF01-44A8F63888A5}" sibTransId="{341B5571-3E09-A146-B9E0-075E34D3EA4D}"/>
    <dgm:cxn modelId="{F8A18F44-E325-E94D-B355-6D9861F65C24}" srcId="{422D3B9B-786F-A149-A503-935AC2E31147}" destId="{BB78ECB3-23F5-E343-973C-528AEF15BDC3}" srcOrd="3" destOrd="0" parTransId="{59A69CE2-CA91-4B46-A7AE-2717A609B7CE}" sibTransId="{F4A71B3A-4020-FE4F-A82B-F5BB2F5BE55C}"/>
    <dgm:cxn modelId="{1E2F9F2A-F533-4EE4-9EC2-EC946B46EA3B}" type="presParOf" srcId="{DB890A27-7BDA-BE44-A1C5-366F3ADCFA79}" destId="{0E2A06BC-F399-CA4F-BB61-3423246280A9}" srcOrd="0" destOrd="0" presId="urn:microsoft.com/office/officeart/2005/8/layout/chevron1"/>
    <dgm:cxn modelId="{61C7114F-FF9F-49B6-914C-B72C3FEA6B4B}" type="presParOf" srcId="{DB890A27-7BDA-BE44-A1C5-366F3ADCFA79}" destId="{F160CF84-F196-5649-90BE-80ABF99D6418}" srcOrd="1" destOrd="0" presId="urn:microsoft.com/office/officeart/2005/8/layout/chevron1"/>
    <dgm:cxn modelId="{B181909C-B621-4F0F-AE34-27423F16952B}" type="presParOf" srcId="{DB890A27-7BDA-BE44-A1C5-366F3ADCFA79}" destId="{A7EEEC5B-3F9C-A54D-BB77-DC261D313C83}" srcOrd="2" destOrd="0" presId="urn:microsoft.com/office/officeart/2005/8/layout/chevron1"/>
    <dgm:cxn modelId="{E7C0730E-0735-4C02-A5D1-75DD6059DDC5}" type="presParOf" srcId="{DB890A27-7BDA-BE44-A1C5-366F3ADCFA79}" destId="{F78C7C8C-2448-794B-8B6E-81692F02A947}" srcOrd="3" destOrd="0" presId="urn:microsoft.com/office/officeart/2005/8/layout/chevron1"/>
    <dgm:cxn modelId="{8120A824-A500-468A-8558-C24E9C2CC96E}" type="presParOf" srcId="{DB890A27-7BDA-BE44-A1C5-366F3ADCFA79}" destId="{B3516A0A-B428-3B44-8B29-2C0786E89EB9}" srcOrd="4" destOrd="0" presId="urn:microsoft.com/office/officeart/2005/8/layout/chevron1"/>
    <dgm:cxn modelId="{009A2A4C-B7D9-43A9-B84F-949F32F6D6A6}" type="presParOf" srcId="{DB890A27-7BDA-BE44-A1C5-366F3ADCFA79}" destId="{0231ADBD-2187-3147-8E1B-994613E4C063}" srcOrd="5" destOrd="0" presId="urn:microsoft.com/office/officeart/2005/8/layout/chevron1"/>
    <dgm:cxn modelId="{51B7435D-33A2-4DAE-B272-9A1D6532249B}" type="presParOf" srcId="{DB890A27-7BDA-BE44-A1C5-366F3ADCFA79}" destId="{ECB66E71-A584-3048-9F12-2C82C64F499B}" srcOrd="6" destOrd="0" presId="urn:microsoft.com/office/officeart/2005/8/layout/chevron1"/>
    <dgm:cxn modelId="{D710A18B-1201-470D-9F46-EF436AE132BC}" type="presParOf" srcId="{DB890A27-7BDA-BE44-A1C5-366F3ADCFA79}" destId="{0463F6F9-62A6-F348-B985-19EA2F03871E}" srcOrd="7" destOrd="0" presId="urn:microsoft.com/office/officeart/2005/8/layout/chevron1"/>
    <dgm:cxn modelId="{93AA32F8-201C-4BE1-86E7-0C8B9D1F6F3E}" type="presParOf" srcId="{DB890A27-7BDA-BE44-A1C5-366F3ADCFA79}" destId="{1944B3CB-F38C-7F4A-9AFD-12B7025615AE}" srcOrd="8" destOrd="0" presId="urn:microsoft.com/office/officeart/2005/8/layout/chevron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A06BC-F399-CA4F-BB61-3423246280A9}">
      <dsp:nvSpPr>
        <dsp:cNvPr id="0" name=""/>
        <dsp:cNvSpPr/>
      </dsp:nvSpPr>
      <dsp:spPr>
        <a:xfrm>
          <a:off x="1555" y="180309"/>
          <a:ext cx="1384451" cy="553780"/>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1" kern="1200" dirty="0" smtClean="0">
              <a:latin typeface="Calibri"/>
              <a:cs typeface="Calibri"/>
            </a:rPr>
            <a:t>Central Level</a:t>
          </a:r>
          <a:endParaRPr lang="en-US" sz="800" b="1" kern="1200" dirty="0">
            <a:latin typeface="Calibri"/>
            <a:cs typeface="Calibri"/>
          </a:endParaRPr>
        </a:p>
      </dsp:txBody>
      <dsp:txXfrm>
        <a:off x="278445" y="180309"/>
        <a:ext cx="830671" cy="553780"/>
      </dsp:txXfrm>
    </dsp:sp>
    <dsp:sp modelId="{A7EEEC5B-3F9C-A54D-BB77-DC261D313C83}">
      <dsp:nvSpPr>
        <dsp:cNvPr id="0" name=""/>
        <dsp:cNvSpPr/>
      </dsp:nvSpPr>
      <dsp:spPr>
        <a:xfrm>
          <a:off x="1247562" y="180309"/>
          <a:ext cx="1384451" cy="553780"/>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1" kern="1200" dirty="0" smtClean="0">
              <a:latin typeface="Calibri"/>
              <a:cs typeface="Calibri"/>
            </a:rPr>
            <a:t>Provincial (PHD) 25</a:t>
          </a:r>
          <a:endParaRPr lang="en-US" sz="800" b="1" kern="1200" dirty="0">
            <a:latin typeface="Calibri"/>
            <a:cs typeface="Calibri"/>
          </a:endParaRPr>
        </a:p>
      </dsp:txBody>
      <dsp:txXfrm>
        <a:off x="1524452" y="180309"/>
        <a:ext cx="830671" cy="553780"/>
      </dsp:txXfrm>
    </dsp:sp>
    <dsp:sp modelId="{B3516A0A-B428-3B44-8B29-2C0786E89EB9}">
      <dsp:nvSpPr>
        <dsp:cNvPr id="0" name=""/>
        <dsp:cNvSpPr/>
      </dsp:nvSpPr>
      <dsp:spPr>
        <a:xfrm>
          <a:off x="2493569" y="180309"/>
          <a:ext cx="1384451" cy="553780"/>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1" kern="1200" dirty="0" smtClean="0">
              <a:latin typeface="Calibri"/>
              <a:cs typeface="Calibri"/>
            </a:rPr>
            <a:t>Operational District (OD) 81</a:t>
          </a:r>
        </a:p>
        <a:p>
          <a:pPr lvl="0" algn="ctr" defTabSz="355600">
            <a:lnSpc>
              <a:spcPct val="90000"/>
            </a:lnSpc>
            <a:spcBef>
              <a:spcPct val="0"/>
            </a:spcBef>
            <a:spcAft>
              <a:spcPct val="35000"/>
            </a:spcAft>
          </a:pPr>
          <a:r>
            <a:rPr lang="en-US" sz="800" b="1" kern="1200" dirty="0" smtClean="0">
              <a:latin typeface="Calibri"/>
              <a:cs typeface="Calibri"/>
            </a:rPr>
            <a:t>Referral hopstials 86</a:t>
          </a:r>
          <a:endParaRPr lang="en-US" sz="800" b="1" kern="1200" dirty="0">
            <a:latin typeface="Calibri"/>
            <a:cs typeface="Calibri"/>
          </a:endParaRPr>
        </a:p>
      </dsp:txBody>
      <dsp:txXfrm>
        <a:off x="2770459" y="180309"/>
        <a:ext cx="830671" cy="553780"/>
      </dsp:txXfrm>
    </dsp:sp>
    <dsp:sp modelId="{ECB66E71-A584-3048-9F12-2C82C64F499B}">
      <dsp:nvSpPr>
        <dsp:cNvPr id="0" name=""/>
        <dsp:cNvSpPr/>
      </dsp:nvSpPr>
      <dsp:spPr>
        <a:xfrm>
          <a:off x="3739575" y="180309"/>
          <a:ext cx="1384451" cy="553780"/>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1" kern="1200" dirty="0" smtClean="0">
              <a:latin typeface="Calibri"/>
              <a:cs typeface="Calibri"/>
            </a:rPr>
            <a:t>Health Center/Post (HC/HP) 1,093/87</a:t>
          </a:r>
          <a:endParaRPr lang="en-US" sz="800" b="1" kern="1200" dirty="0">
            <a:latin typeface="Calibri"/>
            <a:cs typeface="Calibri"/>
          </a:endParaRPr>
        </a:p>
      </dsp:txBody>
      <dsp:txXfrm>
        <a:off x="4016465" y="180309"/>
        <a:ext cx="830671" cy="553780"/>
      </dsp:txXfrm>
    </dsp:sp>
    <dsp:sp modelId="{1944B3CB-F38C-7F4A-9AFD-12B7025615AE}">
      <dsp:nvSpPr>
        <dsp:cNvPr id="0" name=""/>
        <dsp:cNvSpPr/>
      </dsp:nvSpPr>
      <dsp:spPr>
        <a:xfrm>
          <a:off x="4985582" y="180309"/>
          <a:ext cx="1384451" cy="553780"/>
        </a:xfrm>
        <a:prstGeom prst="chevron">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1" kern="1200" dirty="0" smtClean="0">
              <a:latin typeface="Calibri"/>
              <a:cs typeface="Calibri"/>
            </a:rPr>
            <a:t>Village (VHSG) 14,340</a:t>
          </a:r>
          <a:endParaRPr lang="en-US" sz="800" b="1" kern="1200" dirty="0">
            <a:latin typeface="Calibri"/>
            <a:cs typeface="Calibri"/>
          </a:endParaRPr>
        </a:p>
      </dsp:txBody>
      <dsp:txXfrm>
        <a:off x="5262472" y="180309"/>
        <a:ext cx="830671" cy="5537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7554C-8C5D-4F1A-A2A8-E7725AAE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9778</Words>
  <Characters>55735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Annex A IPV introduction plaN</vt:lpstr>
    </vt:vector>
  </TitlesOfParts>
  <Company/>
  <LinksUpToDate>false</LinksUpToDate>
  <CharactersWithSpaces>65383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A IPV introduction plaN</dc:title>
  <dc:subject/>
  <dc:creator>Lauren Platt</dc:creator>
  <cp:keywords/>
  <dc:description/>
  <cp:lastModifiedBy>wprouser</cp:lastModifiedBy>
  <cp:revision>8</cp:revision>
  <dcterms:created xsi:type="dcterms:W3CDTF">2014-08-19T13:27:00Z</dcterms:created>
  <dcterms:modified xsi:type="dcterms:W3CDTF">2014-09-11T07:41:00Z</dcterms:modified>
</cp:coreProperties>
</file>