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DD2A6" w14:textId="77777777" w:rsidR="001D4D05" w:rsidRDefault="001D4D05" w:rsidP="0017505A">
      <w:pPr>
        <w:pStyle w:val="Style3"/>
        <w:numPr>
          <w:ilvl w:val="0"/>
          <w:numId w:val="0"/>
        </w:numPr>
        <w:jc w:val="center"/>
        <w:divId w:val="410156154"/>
        <w:rPr>
          <w:rFonts w:ascii="Calibri" w:hAnsi="Calibri"/>
          <w:snapToGrid w:val="0"/>
          <w:color w:val="365F91"/>
          <w:sz w:val="28"/>
          <w:szCs w:val="28"/>
          <w:u w:val="single"/>
        </w:rPr>
      </w:pPr>
      <w:bookmarkStart w:id="0" w:name="_Toc370126821"/>
      <w:bookmarkStart w:id="1" w:name="_Toc325114432"/>
    </w:p>
    <w:p w14:paraId="17C6D8C3" w14:textId="77777777" w:rsidR="00E10165" w:rsidRPr="0017505A" w:rsidRDefault="00E10165" w:rsidP="0017505A">
      <w:pPr>
        <w:pStyle w:val="Style3"/>
        <w:numPr>
          <w:ilvl w:val="0"/>
          <w:numId w:val="0"/>
        </w:numPr>
        <w:jc w:val="center"/>
        <w:divId w:val="410156154"/>
        <w:rPr>
          <w:rFonts w:ascii="Calibri" w:hAnsi="Calibri"/>
          <w:snapToGrid w:val="0"/>
          <w:color w:val="365F91"/>
          <w:sz w:val="28"/>
          <w:szCs w:val="28"/>
          <w:u w:val="single"/>
        </w:rPr>
      </w:pPr>
      <w:r w:rsidRPr="0017505A">
        <w:rPr>
          <w:rFonts w:ascii="Calibri" w:hAnsi="Calibri"/>
          <w:snapToGrid w:val="0"/>
          <w:color w:val="365F91"/>
          <w:sz w:val="28"/>
          <w:szCs w:val="28"/>
          <w:u w:val="single"/>
        </w:rPr>
        <w:t xml:space="preserve">Annex </w:t>
      </w:r>
      <w:r w:rsidR="00835105" w:rsidRPr="0017505A">
        <w:rPr>
          <w:rFonts w:ascii="Calibri" w:hAnsi="Calibri"/>
          <w:snapToGrid w:val="0"/>
          <w:color w:val="365F91"/>
          <w:sz w:val="28"/>
          <w:szCs w:val="28"/>
          <w:u w:val="single"/>
        </w:rPr>
        <w:t>A</w:t>
      </w:r>
      <w:r w:rsidRPr="0017505A">
        <w:rPr>
          <w:rFonts w:ascii="Calibri" w:hAnsi="Calibri"/>
          <w:snapToGrid w:val="0"/>
          <w:color w:val="365F91"/>
          <w:sz w:val="28"/>
          <w:szCs w:val="28"/>
          <w:u w:val="single"/>
        </w:rPr>
        <w:t>. IPV introduction plan</w:t>
      </w:r>
      <w:bookmarkEnd w:id="0"/>
    </w:p>
    <w:p w14:paraId="42767BFE" w14:textId="77777777" w:rsidR="00E10165" w:rsidRPr="00C34F37" w:rsidRDefault="00E10165" w:rsidP="00E10165">
      <w:pPr>
        <w:divId w:val="410156154"/>
        <w:rPr>
          <w:rFonts w:ascii="Calibri" w:hAnsi="Calibri" w:cs="Calibri"/>
          <w:sz w:val="22"/>
          <w:szCs w:val="22"/>
          <w:lang w:val="en-US"/>
        </w:rPr>
      </w:pPr>
    </w:p>
    <w:p w14:paraId="567FA03B" w14:textId="77777777" w:rsidR="00835105" w:rsidRPr="00C34F37" w:rsidRDefault="00835105" w:rsidP="00835105">
      <w:pPr>
        <w:jc w:val="both"/>
        <w:divId w:val="410156154"/>
        <w:rPr>
          <w:rFonts w:ascii="Calibri" w:hAnsi="Calibri" w:cs="Calibri"/>
          <w:sz w:val="22"/>
          <w:szCs w:val="22"/>
          <w:lang w:val="en-US"/>
        </w:rPr>
      </w:pPr>
    </w:p>
    <w:p w14:paraId="7932D2EB" w14:textId="77777777" w:rsidR="00E10165" w:rsidRPr="0066180B" w:rsidRDefault="005527B4" w:rsidP="00E10165">
      <w:pPr>
        <w:spacing w:after="120"/>
        <w:divId w:val="410156154"/>
        <w:rPr>
          <w:rFonts w:ascii="Calibri" w:eastAsia="SimSun" w:hAnsi="Calibri"/>
          <w:b/>
          <w:color w:val="1F497D"/>
          <w:szCs w:val="28"/>
        </w:rPr>
      </w:pPr>
      <w:bookmarkStart w:id="2" w:name="_Toc324935280"/>
      <w:bookmarkStart w:id="3" w:name="_Toc357671659"/>
      <w:bookmarkStart w:id="4" w:name="_Toc324433275"/>
      <w:bookmarkStart w:id="5" w:name="_Toc325114433"/>
      <w:bookmarkEnd w:id="1"/>
      <w:r w:rsidRPr="004C062A">
        <w:rPr>
          <w:rFonts w:ascii="Calibri" w:eastAsia="SimSun" w:hAnsi="Calibri"/>
          <w:b/>
          <w:color w:val="1F497D"/>
          <w:szCs w:val="28"/>
        </w:rPr>
        <w:t>1</w:t>
      </w:r>
      <w:r w:rsidR="00231C36" w:rsidRPr="004C062A">
        <w:rPr>
          <w:rFonts w:ascii="Calibri" w:eastAsia="SimSun" w:hAnsi="Calibri"/>
          <w:b/>
          <w:color w:val="1F497D"/>
          <w:szCs w:val="28"/>
        </w:rPr>
        <w:t xml:space="preserve">. </w:t>
      </w:r>
      <w:r w:rsidR="00E10165" w:rsidRPr="004C062A">
        <w:rPr>
          <w:rFonts w:ascii="Calibri" w:eastAsia="SimSun" w:hAnsi="Calibri"/>
          <w:b/>
          <w:color w:val="1F497D"/>
          <w:szCs w:val="28"/>
        </w:rPr>
        <w:t>Justification for introduction of IPV and national decision-making process</w:t>
      </w:r>
    </w:p>
    <w:p w14:paraId="2DD27942" w14:textId="77777777" w:rsidR="00A542D6" w:rsidRDefault="00A542D6" w:rsidP="00A542D6">
      <w:pPr>
        <w:jc w:val="both"/>
        <w:divId w:val="410156154"/>
        <w:rPr>
          <w:rFonts w:ascii="Calibri" w:hAnsi="Calibri" w:cs="Cambria"/>
          <w:b/>
          <w:color w:val="1F497D" w:themeColor="text2"/>
          <w:sz w:val="22"/>
          <w:szCs w:val="22"/>
        </w:rPr>
      </w:pPr>
      <w:r w:rsidRPr="00EA1B24">
        <w:rPr>
          <w:rFonts w:ascii="Calibri" w:eastAsia="SimSun" w:hAnsi="Calibri" w:cs="Calibri"/>
          <w:color w:val="000000"/>
          <w:sz w:val="22"/>
          <w:szCs w:val="22"/>
        </w:rPr>
        <w:fldChar w:fldCharType="begin"/>
      </w:r>
      <w:r w:rsidRPr="00EA1B24">
        <w:rPr>
          <w:rFonts w:ascii="Calibri" w:eastAsia="SimSun" w:hAnsi="Calibri" w:cs="Calibri"/>
          <w:color w:val="000000"/>
          <w:sz w:val="22"/>
          <w:szCs w:val="22"/>
        </w:rPr>
        <w:instrText xml:space="preserve"> LINK Word.Document.12 "Macintosh HD:Users:manishpant:Library:Caches:TemporaryItems:Outlook Temp:IPV intro_22 Aug_11 AM.DOCX" "OLE_LINK1" \a \r </w:instrText>
      </w:r>
      <w:r w:rsidRPr="00EA1B24">
        <w:rPr>
          <w:rFonts w:ascii="Calibri" w:eastAsia="SimSun" w:hAnsi="Calibri" w:cs="Calibri"/>
          <w:color w:val="000000"/>
          <w:sz w:val="22"/>
          <w:szCs w:val="22"/>
        </w:rPr>
        <w:fldChar w:fldCharType="separate"/>
      </w:r>
      <w:bookmarkStart w:id="6" w:name="OLE_LINK1"/>
      <w:r w:rsidRPr="005B5EE7">
        <w:rPr>
          <w:rFonts w:ascii="Calibri" w:hAnsi="Calibri" w:cs="Cambria"/>
          <w:b/>
          <w:color w:val="1F497D" w:themeColor="text2"/>
          <w:sz w:val="22"/>
          <w:szCs w:val="22"/>
        </w:rPr>
        <w:t>1.1 Introduction of IPV - Rationale</w:t>
      </w:r>
    </w:p>
    <w:p w14:paraId="7E82A46D" w14:textId="77777777" w:rsidR="005B5EE7" w:rsidRPr="005B5EE7" w:rsidRDefault="005B5EE7" w:rsidP="00A542D6">
      <w:pPr>
        <w:jc w:val="both"/>
        <w:divId w:val="410156154"/>
        <w:rPr>
          <w:rFonts w:ascii="Calibri" w:hAnsi="Calibri" w:cs="Cambria"/>
          <w:b/>
          <w:color w:val="1F497D" w:themeColor="text2"/>
          <w:sz w:val="22"/>
          <w:szCs w:val="22"/>
        </w:rPr>
      </w:pPr>
    </w:p>
    <w:p w14:paraId="74EAE66D" w14:textId="77777777" w:rsidR="00A542D6" w:rsidRDefault="00A542D6" w:rsidP="00A542D6">
      <w:pPr>
        <w:autoSpaceDE w:val="0"/>
        <w:autoSpaceDN w:val="0"/>
        <w:adjustRightInd w:val="0"/>
        <w:jc w:val="both"/>
        <w:divId w:val="410156154"/>
        <w:rPr>
          <w:rFonts w:ascii="Calibri" w:hAnsi="Calibri" w:cs="Calibri"/>
          <w:color w:val="000000"/>
          <w:sz w:val="22"/>
          <w:szCs w:val="22"/>
        </w:rPr>
      </w:pPr>
      <w:r w:rsidRPr="00EA1B24">
        <w:rPr>
          <w:rFonts w:ascii="Calibri" w:hAnsi="Calibri" w:cs="Calibri"/>
          <w:color w:val="000000"/>
          <w:sz w:val="22"/>
          <w:szCs w:val="22"/>
        </w:rPr>
        <w:t xml:space="preserve">Oral Polio Vaccine has been the sheet anchor in the battle against polio globally and in India. The vaccines safety record, ease of use and efficacy has been instrumental in eliminating the transmission of polio in India. Its role continues to be crucial, in sustaining India’s polio free status. </w:t>
      </w:r>
    </w:p>
    <w:p w14:paraId="7296D51C" w14:textId="77777777" w:rsidR="00067EF9" w:rsidRPr="00EA1B24" w:rsidRDefault="00067EF9" w:rsidP="00A542D6">
      <w:pPr>
        <w:autoSpaceDE w:val="0"/>
        <w:autoSpaceDN w:val="0"/>
        <w:adjustRightInd w:val="0"/>
        <w:jc w:val="both"/>
        <w:divId w:val="410156154"/>
        <w:rPr>
          <w:rFonts w:ascii="Calibri" w:hAnsi="Calibri" w:cs="Calibri"/>
          <w:color w:val="000000"/>
          <w:sz w:val="22"/>
          <w:szCs w:val="22"/>
        </w:rPr>
      </w:pPr>
    </w:p>
    <w:p w14:paraId="1F7A9A92" w14:textId="77777777" w:rsidR="00A542D6" w:rsidRDefault="00A542D6" w:rsidP="00A542D6">
      <w:pPr>
        <w:jc w:val="both"/>
        <w:divId w:val="410156154"/>
        <w:rPr>
          <w:rFonts w:ascii="Calibri" w:hAnsi="Calibri" w:cs="Calibri"/>
          <w:sz w:val="22"/>
          <w:szCs w:val="22"/>
        </w:rPr>
      </w:pPr>
      <w:r w:rsidRPr="00EA1B24">
        <w:rPr>
          <w:rFonts w:ascii="Calibri" w:hAnsi="Calibri" w:cs="Calibri"/>
          <w:sz w:val="22"/>
          <w:szCs w:val="22"/>
        </w:rPr>
        <w:t>India’s polio-free status has been realized with a heavy investment of manpower, material and money. The protection of this investment is of paramount importance.</w:t>
      </w:r>
    </w:p>
    <w:p w14:paraId="3D888F35" w14:textId="77777777" w:rsidR="00067EF9" w:rsidRPr="00EA1B24" w:rsidRDefault="00067EF9" w:rsidP="00A542D6">
      <w:pPr>
        <w:jc w:val="both"/>
        <w:divId w:val="410156154"/>
        <w:rPr>
          <w:rFonts w:ascii="Calibri" w:hAnsi="Calibri" w:cs="Calibri"/>
          <w:sz w:val="22"/>
          <w:szCs w:val="22"/>
        </w:rPr>
      </w:pPr>
    </w:p>
    <w:p w14:paraId="3AEAB8A0" w14:textId="77777777" w:rsidR="00A542D6" w:rsidRPr="00EA1B24" w:rsidRDefault="00A542D6" w:rsidP="00A542D6">
      <w:pPr>
        <w:pStyle w:val="Default"/>
        <w:spacing w:after="200" w:line="276" w:lineRule="auto"/>
        <w:jc w:val="both"/>
        <w:divId w:val="410156154"/>
        <w:rPr>
          <w:rFonts w:ascii="Calibri" w:hAnsi="Calibri" w:cs="Calibri"/>
          <w:sz w:val="22"/>
          <w:szCs w:val="22"/>
          <w:lang w:eastAsia="zh-CN"/>
        </w:rPr>
      </w:pPr>
      <w:r w:rsidRPr="00EA1B24">
        <w:rPr>
          <w:rFonts w:ascii="Calibri" w:hAnsi="Calibri" w:cs="Calibri"/>
          <w:sz w:val="22"/>
          <w:szCs w:val="22"/>
        </w:rPr>
        <w:t xml:space="preserve">Presently trivalent OPV is used in routine immunization and during national immunization days across the country. </w:t>
      </w:r>
      <w:r w:rsidRPr="00EA1B24">
        <w:rPr>
          <w:rFonts w:ascii="Calibri" w:hAnsi="Calibri" w:cs="Calibri"/>
          <w:sz w:val="22"/>
          <w:szCs w:val="22"/>
          <w:lang w:eastAsia="zh-CN"/>
        </w:rPr>
        <w:t xml:space="preserve">The trivalent oral polio vaccine is a live attenuated vaccine containing all three strains (Types 1, 2 and 3) of the virus and is very effective against the wild virus. In very rare cases the vaccine can lead to paralysis. There are two ways this can occur:  </w:t>
      </w:r>
    </w:p>
    <w:p w14:paraId="59B999D5" w14:textId="77777777" w:rsidR="00A542D6" w:rsidRPr="00EA1B24" w:rsidRDefault="00A542D6" w:rsidP="00A542D6">
      <w:pPr>
        <w:pStyle w:val="Default"/>
        <w:widowControl w:val="0"/>
        <w:numPr>
          <w:ilvl w:val="0"/>
          <w:numId w:val="18"/>
        </w:numPr>
        <w:spacing w:after="200" w:line="276" w:lineRule="auto"/>
        <w:ind w:left="426" w:hanging="284"/>
        <w:jc w:val="both"/>
        <w:divId w:val="410156154"/>
        <w:rPr>
          <w:rFonts w:ascii="Calibri" w:hAnsi="Calibri" w:cs="Calibri"/>
          <w:sz w:val="22"/>
          <w:szCs w:val="22"/>
          <w:lang w:eastAsia="zh-CN"/>
        </w:rPr>
      </w:pPr>
      <w:r w:rsidRPr="00EA1B24">
        <w:rPr>
          <w:rFonts w:ascii="Calibri" w:hAnsi="Calibri" w:cs="Calibri"/>
          <w:i/>
          <w:iCs/>
          <w:sz w:val="22"/>
          <w:szCs w:val="22"/>
          <w:lang w:eastAsia="zh-CN"/>
        </w:rPr>
        <w:t>Vaccine Associated Paralytic Poliomyelitis (VAPP):</w:t>
      </w:r>
      <w:r w:rsidRPr="00EA1B24">
        <w:rPr>
          <w:rFonts w:ascii="Calibri" w:hAnsi="Calibri" w:cs="Calibri"/>
          <w:sz w:val="22"/>
          <w:szCs w:val="22"/>
        </w:rPr>
        <w:t xml:space="preserve"> </w:t>
      </w:r>
      <w:r w:rsidRPr="00EA1B24">
        <w:rPr>
          <w:rFonts w:ascii="Calibri" w:hAnsi="Calibri" w:cs="Calibri"/>
          <w:sz w:val="22"/>
          <w:szCs w:val="22"/>
          <w:lang w:eastAsia="zh-CN"/>
        </w:rPr>
        <w:t>for every birth cohort of 1 million children, there are 2-4 cases of VAPP. This translates to an estimated 250–500 VAPP cases globally per year and 25–30 cases per year for India. Of these, about 40% are caused by OPV’s type 2 component.</w:t>
      </w:r>
    </w:p>
    <w:p w14:paraId="404F53B3" w14:textId="77777777" w:rsidR="00A542D6" w:rsidRPr="00EA1B24" w:rsidRDefault="00A542D6" w:rsidP="00A542D6">
      <w:pPr>
        <w:pStyle w:val="Default"/>
        <w:spacing w:after="200" w:line="276" w:lineRule="auto"/>
        <w:ind w:left="426" w:hanging="284"/>
        <w:jc w:val="both"/>
        <w:divId w:val="410156154"/>
        <w:rPr>
          <w:rFonts w:ascii="Calibri" w:hAnsi="Calibri" w:cs="Calibri"/>
          <w:sz w:val="22"/>
          <w:szCs w:val="22"/>
          <w:lang w:eastAsia="zh-CN"/>
        </w:rPr>
      </w:pPr>
      <w:r w:rsidRPr="00EA1B24">
        <w:rPr>
          <w:rFonts w:ascii="Calibri" w:hAnsi="Calibri" w:cs="Calibri"/>
          <w:sz w:val="22"/>
          <w:szCs w:val="22"/>
          <w:lang w:eastAsia="zh-CN"/>
        </w:rPr>
        <w:t xml:space="preserve">2) </w:t>
      </w:r>
      <w:r w:rsidRPr="00EA1B24">
        <w:rPr>
          <w:rFonts w:ascii="Calibri" w:hAnsi="Calibri" w:cs="Calibri"/>
          <w:sz w:val="22"/>
          <w:szCs w:val="22"/>
          <w:lang w:eastAsia="zh-CN"/>
        </w:rPr>
        <w:tab/>
      </w:r>
      <w:r w:rsidRPr="00EA1B24">
        <w:rPr>
          <w:rFonts w:ascii="Calibri" w:hAnsi="Calibri" w:cs="Calibri"/>
          <w:i/>
          <w:iCs/>
          <w:sz w:val="22"/>
          <w:szCs w:val="22"/>
          <w:lang w:eastAsia="zh-CN"/>
        </w:rPr>
        <w:t>Circulating Vaccine Derived Poliovirus (cVDPV)</w:t>
      </w:r>
      <w:r w:rsidRPr="00EA1B24">
        <w:rPr>
          <w:rFonts w:ascii="Calibri" w:hAnsi="Calibri" w:cs="Calibri"/>
          <w:sz w:val="22"/>
          <w:szCs w:val="22"/>
          <w:lang w:eastAsia="zh-CN"/>
        </w:rPr>
        <w:t xml:space="preserve">: these rare outbreaks occur when a vaccine-related virus is passed from person-to-person, mutating over time and acquiring an ability to transmit like a wild virus and have disease causing characteristics. Almost all cVDPV outbreaks in recent years have been caused by a type 2 vaccine-derived virus </w:t>
      </w:r>
    </w:p>
    <w:p w14:paraId="3E4AD344" w14:textId="77777777" w:rsidR="00A542D6" w:rsidRDefault="00A542D6" w:rsidP="00A542D6">
      <w:pPr>
        <w:tabs>
          <w:tab w:val="left" w:pos="284"/>
        </w:tabs>
        <w:autoSpaceDE w:val="0"/>
        <w:autoSpaceDN w:val="0"/>
        <w:adjustRightInd w:val="0"/>
        <w:jc w:val="both"/>
        <w:divId w:val="410156154"/>
        <w:rPr>
          <w:rFonts w:ascii="Calibri" w:hAnsi="Calibri" w:cs="Calibri"/>
          <w:sz w:val="22"/>
          <w:szCs w:val="22"/>
        </w:rPr>
      </w:pPr>
      <w:r w:rsidRPr="00EA1B24">
        <w:rPr>
          <w:rFonts w:ascii="Calibri" w:hAnsi="Calibri" w:cs="Calibri"/>
          <w:color w:val="000000"/>
          <w:sz w:val="22"/>
          <w:szCs w:val="22"/>
        </w:rPr>
        <w:t>Globally, o</w:t>
      </w:r>
      <w:r w:rsidRPr="00EA1B24">
        <w:rPr>
          <w:rFonts w:ascii="Calibri" w:hAnsi="Calibri" w:cs="Calibri"/>
          <w:sz w:val="22"/>
          <w:szCs w:val="22"/>
        </w:rPr>
        <w:t xml:space="preserve">f the 716 cases of cVDPVs reported between 2000 and 2013, 88% were due to the type 2 component.  In India, since 2009, 97% of all VDPVs have been due to the type 2 component. </w:t>
      </w:r>
    </w:p>
    <w:p w14:paraId="5797BE5B" w14:textId="77777777" w:rsidR="00067EF9" w:rsidRPr="00EA1B24" w:rsidRDefault="00067EF9" w:rsidP="00A542D6">
      <w:pPr>
        <w:tabs>
          <w:tab w:val="left" w:pos="284"/>
        </w:tabs>
        <w:autoSpaceDE w:val="0"/>
        <w:autoSpaceDN w:val="0"/>
        <w:adjustRightInd w:val="0"/>
        <w:jc w:val="both"/>
        <w:divId w:val="410156154"/>
        <w:rPr>
          <w:rFonts w:ascii="Calibri" w:hAnsi="Calibri" w:cs="Calibri"/>
          <w:color w:val="000000"/>
          <w:sz w:val="22"/>
          <w:szCs w:val="22"/>
        </w:rPr>
      </w:pPr>
    </w:p>
    <w:p w14:paraId="736E7D0D" w14:textId="77777777" w:rsidR="00A542D6" w:rsidRDefault="00A542D6" w:rsidP="00A542D6">
      <w:pPr>
        <w:jc w:val="both"/>
        <w:divId w:val="410156154"/>
        <w:rPr>
          <w:rFonts w:ascii="Calibri" w:hAnsi="Calibri" w:cs="Calibri"/>
          <w:sz w:val="22"/>
          <w:szCs w:val="22"/>
        </w:rPr>
      </w:pPr>
      <w:r w:rsidRPr="00EA1B24">
        <w:rPr>
          <w:rFonts w:ascii="Calibri" w:hAnsi="Calibri" w:cs="Calibri"/>
          <w:sz w:val="22"/>
          <w:szCs w:val="22"/>
        </w:rPr>
        <w:t>OPV type 2 now carries more risk than benefit and undermines global polio eradication efforts. Thus, tOPV will be replaced with bivalent oral polio vaccine which contains only two strains (Type 1 and 3) of the virus. This bOPV will continue to target the remaining polio types (WPV1 and WPV3). Once these two strains are also eradicated, bOPV will be withdrawn and replaced by Inactivated Polio Vaccine (IPV) in routine immunization.</w:t>
      </w:r>
    </w:p>
    <w:p w14:paraId="70C04D50" w14:textId="77777777" w:rsidR="00E95850" w:rsidRPr="00EA1B24" w:rsidRDefault="00E95850" w:rsidP="00A542D6">
      <w:pPr>
        <w:jc w:val="both"/>
        <w:divId w:val="410156154"/>
        <w:rPr>
          <w:rFonts w:ascii="Calibri" w:hAnsi="Calibri" w:cs="Calibri"/>
          <w:sz w:val="22"/>
          <w:szCs w:val="22"/>
        </w:rPr>
      </w:pPr>
    </w:p>
    <w:p w14:paraId="1C62DDFE" w14:textId="77777777" w:rsidR="00A542D6" w:rsidRPr="00EA1B24" w:rsidRDefault="00A542D6" w:rsidP="00615611">
      <w:pPr>
        <w:autoSpaceDE w:val="0"/>
        <w:autoSpaceDN w:val="0"/>
        <w:adjustRightInd w:val="0"/>
        <w:jc w:val="both"/>
        <w:divId w:val="410156154"/>
        <w:rPr>
          <w:rFonts w:ascii="Calibri" w:hAnsi="Calibri" w:cs="Calibri"/>
          <w:b/>
          <w:bCs/>
          <w:color w:val="231F20"/>
          <w:sz w:val="22"/>
          <w:szCs w:val="22"/>
        </w:rPr>
      </w:pPr>
      <w:r w:rsidRPr="00EA1B24">
        <w:rPr>
          <w:rFonts w:ascii="Calibri" w:hAnsi="Calibri" w:cs="Calibri"/>
          <w:color w:val="231F20"/>
          <w:sz w:val="22"/>
          <w:szCs w:val="22"/>
        </w:rPr>
        <w:t xml:space="preserve">The sixty–fifth World Health Assembly in May 2012, declared the </w:t>
      </w:r>
      <w:r w:rsidRPr="00EA1B24">
        <w:rPr>
          <w:rFonts w:ascii="Calibri" w:hAnsi="Calibri" w:cs="Calibri"/>
          <w:sz w:val="22"/>
          <w:szCs w:val="22"/>
        </w:rPr>
        <w:t xml:space="preserve">completion of poliovirus eradication to be a programmatic emergency for global public health. In response, </w:t>
      </w:r>
      <w:r w:rsidRPr="00EA1B24">
        <w:rPr>
          <w:rFonts w:ascii="Calibri" w:hAnsi="Calibri" w:cs="Calibri"/>
          <w:i/>
          <w:iCs/>
          <w:sz w:val="22"/>
          <w:szCs w:val="22"/>
        </w:rPr>
        <w:t xml:space="preserve">The </w:t>
      </w:r>
      <w:r w:rsidRPr="00EA1B24">
        <w:rPr>
          <w:rFonts w:ascii="Calibri" w:hAnsi="Calibri" w:cs="Calibri"/>
          <w:i/>
          <w:iCs/>
          <w:color w:val="231F20"/>
          <w:sz w:val="22"/>
          <w:szCs w:val="22"/>
        </w:rPr>
        <w:t>Eradication and Endgame Strategic Plan 2013–</w:t>
      </w:r>
      <w:r w:rsidR="00D13A21" w:rsidRPr="00EA1B24">
        <w:rPr>
          <w:rFonts w:ascii="Calibri" w:hAnsi="Calibri" w:cs="Calibri"/>
          <w:i/>
          <w:iCs/>
          <w:color w:val="231F20"/>
          <w:sz w:val="22"/>
          <w:szCs w:val="22"/>
        </w:rPr>
        <w:t>2018</w:t>
      </w:r>
      <w:r w:rsidR="00D13A21" w:rsidRPr="00EA1B24">
        <w:rPr>
          <w:rFonts w:ascii="Calibri" w:hAnsi="Calibri" w:cs="Calibri"/>
          <w:color w:val="231F20"/>
          <w:sz w:val="22"/>
          <w:szCs w:val="22"/>
        </w:rPr>
        <w:t xml:space="preserve"> was</w:t>
      </w:r>
      <w:r w:rsidRPr="00EA1B24">
        <w:rPr>
          <w:rFonts w:ascii="Calibri" w:hAnsi="Calibri" w:cs="Calibri"/>
          <w:color w:val="231F20"/>
          <w:sz w:val="22"/>
          <w:szCs w:val="22"/>
        </w:rPr>
        <w:t xml:space="preserve"> developed. This describes the comprehensive, long-term strategy that addresses what is needed to deliver a polio-free world by 2018.</w:t>
      </w:r>
      <w:r w:rsidRPr="00EA1B24">
        <w:rPr>
          <w:rFonts w:ascii="Calibri" w:hAnsi="Calibri" w:cs="Calibri"/>
          <w:b/>
          <w:bCs/>
          <w:color w:val="231F20"/>
          <w:sz w:val="22"/>
          <w:szCs w:val="22"/>
        </w:rPr>
        <w:t xml:space="preserve"> </w:t>
      </w:r>
    </w:p>
    <w:p w14:paraId="17EB0A5B" w14:textId="77777777" w:rsidR="00A542D6" w:rsidRPr="00EA1B24" w:rsidRDefault="00A542D6" w:rsidP="00A542D6">
      <w:pPr>
        <w:autoSpaceDE w:val="0"/>
        <w:autoSpaceDN w:val="0"/>
        <w:adjustRightInd w:val="0"/>
        <w:jc w:val="both"/>
        <w:divId w:val="410156154"/>
        <w:rPr>
          <w:rFonts w:ascii="Calibri" w:hAnsi="Calibri" w:cs="Calibri"/>
          <w:b/>
          <w:bCs/>
          <w:color w:val="231F20"/>
          <w:sz w:val="22"/>
          <w:szCs w:val="22"/>
        </w:rPr>
      </w:pPr>
    </w:p>
    <w:p w14:paraId="2EF8F790" w14:textId="77777777" w:rsidR="00A542D6" w:rsidRPr="00EA1B24" w:rsidRDefault="00A542D6" w:rsidP="00A542D6">
      <w:pPr>
        <w:autoSpaceDE w:val="0"/>
        <w:autoSpaceDN w:val="0"/>
        <w:adjustRightInd w:val="0"/>
        <w:jc w:val="both"/>
        <w:divId w:val="410156154"/>
        <w:rPr>
          <w:rFonts w:ascii="Calibri" w:hAnsi="Calibri" w:cs="Calibri"/>
          <w:sz w:val="22"/>
          <w:szCs w:val="22"/>
        </w:rPr>
      </w:pPr>
      <w:r w:rsidRPr="00EA1B24">
        <w:rPr>
          <w:rFonts w:ascii="Calibri" w:hAnsi="Calibri" w:cs="Calibri"/>
          <w:sz w:val="22"/>
          <w:szCs w:val="22"/>
        </w:rPr>
        <w:t xml:space="preserve">Under this endgame plan, the use of oral polio vaccine (OPV) must eventually be stopped worldwide. All oral polio vaccines containing the type 2 polio virus must be removed and replaced by the bivalent OPV </w:t>
      </w:r>
      <w:r w:rsidR="004C062A">
        <w:rPr>
          <w:rFonts w:ascii="Calibri" w:hAnsi="Calibri" w:cs="Calibri"/>
          <w:sz w:val="22"/>
          <w:szCs w:val="22"/>
        </w:rPr>
        <w:t>which contains type 1 and type 3</w:t>
      </w:r>
      <w:r w:rsidRPr="00EA1B24">
        <w:rPr>
          <w:rFonts w:ascii="Calibri" w:hAnsi="Calibri" w:cs="Calibri"/>
          <w:sz w:val="22"/>
          <w:szCs w:val="22"/>
        </w:rPr>
        <w:t xml:space="preserve"> polio viruses. This requires a switch from tOPV to bOPV in routine immunization as well as in supplementary immunization campaigns for polio.</w:t>
      </w:r>
    </w:p>
    <w:p w14:paraId="203E1320" w14:textId="77777777" w:rsidR="00194CCF" w:rsidRDefault="00194CCF" w:rsidP="00194CCF">
      <w:pPr>
        <w:jc w:val="both"/>
        <w:divId w:val="410156154"/>
        <w:rPr>
          <w:rFonts w:ascii="Calibri" w:hAnsi="Calibri" w:cs="Calibri"/>
          <w:sz w:val="22"/>
          <w:szCs w:val="22"/>
        </w:rPr>
      </w:pPr>
      <w:r w:rsidRPr="00EA1B24">
        <w:rPr>
          <w:rFonts w:ascii="Calibri" w:hAnsi="Calibri" w:cs="Calibri"/>
          <w:sz w:val="22"/>
          <w:szCs w:val="22"/>
        </w:rPr>
        <w:lastRenderedPageBreak/>
        <w:t xml:space="preserve">The switchover from trivalent OPV to bivalent OPV which does not contain type 2 vaccine virus has been timed for 2016. WHO no longer recommends an OPV-only vaccination schedule. For all countries currently using OPV only, </w:t>
      </w:r>
      <w:r>
        <w:rPr>
          <w:rFonts w:ascii="Calibri" w:hAnsi="Calibri" w:cs="Calibri"/>
          <w:sz w:val="22"/>
          <w:szCs w:val="22"/>
        </w:rPr>
        <w:t xml:space="preserve">WHO recommends the inclusion of  </w:t>
      </w:r>
      <w:r w:rsidRPr="00EA1B24">
        <w:rPr>
          <w:rFonts w:ascii="Calibri" w:hAnsi="Calibri" w:cs="Calibri"/>
          <w:sz w:val="22"/>
          <w:szCs w:val="22"/>
        </w:rPr>
        <w:t xml:space="preserve">at least 1 dose of IPV </w:t>
      </w:r>
      <w:r>
        <w:rPr>
          <w:rFonts w:ascii="Calibri" w:hAnsi="Calibri" w:cs="Calibri"/>
          <w:sz w:val="22"/>
          <w:szCs w:val="22"/>
        </w:rPr>
        <w:t xml:space="preserve">in a countries routine immunization </w:t>
      </w:r>
      <w:r w:rsidRPr="00EA1B24">
        <w:rPr>
          <w:rFonts w:ascii="Calibri" w:hAnsi="Calibri" w:cs="Calibri"/>
          <w:sz w:val="22"/>
          <w:szCs w:val="22"/>
        </w:rPr>
        <w:t xml:space="preserve"> schedule.</w:t>
      </w:r>
    </w:p>
    <w:p w14:paraId="087074DE" w14:textId="77777777" w:rsidR="00067EF9" w:rsidRPr="00EA1B24" w:rsidRDefault="00067EF9" w:rsidP="00A542D6">
      <w:pPr>
        <w:jc w:val="both"/>
        <w:divId w:val="410156154"/>
        <w:rPr>
          <w:rFonts w:ascii="Calibri" w:hAnsi="Calibri" w:cs="Calibri"/>
          <w:sz w:val="22"/>
          <w:szCs w:val="22"/>
        </w:rPr>
      </w:pPr>
    </w:p>
    <w:p w14:paraId="5D400BA3" w14:textId="77777777" w:rsidR="00A542D6" w:rsidRPr="00EA1B24" w:rsidRDefault="00A542D6" w:rsidP="00A542D6">
      <w:pPr>
        <w:jc w:val="both"/>
        <w:divId w:val="410156154"/>
        <w:rPr>
          <w:rFonts w:ascii="Calibri" w:hAnsi="Calibri" w:cs="Calibri"/>
          <w:sz w:val="22"/>
          <w:szCs w:val="22"/>
        </w:rPr>
      </w:pPr>
      <w:r w:rsidRPr="00EA1B24">
        <w:rPr>
          <w:rFonts w:ascii="Calibri" w:hAnsi="Calibri" w:cs="Calibri"/>
          <w:sz w:val="22"/>
          <w:szCs w:val="22"/>
        </w:rPr>
        <w:t>The primary purpose of the IPV dose is to maintain immunity against type 2 poliovirus during and after the planned global withdrawal of OPV2 and switch from tOPV to bOPV.</w:t>
      </w:r>
    </w:p>
    <w:p w14:paraId="7D0B65BF" w14:textId="77777777" w:rsidR="00A542D6" w:rsidRDefault="00A542D6" w:rsidP="00A542D6">
      <w:pPr>
        <w:jc w:val="both"/>
        <w:divId w:val="410156154"/>
        <w:rPr>
          <w:rFonts w:ascii="Calibri" w:hAnsi="Calibri" w:cs="Calibri"/>
          <w:sz w:val="22"/>
          <w:szCs w:val="22"/>
        </w:rPr>
      </w:pPr>
    </w:p>
    <w:p w14:paraId="394B420E" w14:textId="77777777" w:rsidR="00045D39" w:rsidRPr="00EA1B24" w:rsidRDefault="00045D39" w:rsidP="00A542D6">
      <w:pPr>
        <w:jc w:val="both"/>
        <w:divId w:val="410156154"/>
        <w:rPr>
          <w:rFonts w:ascii="Calibri" w:hAnsi="Calibri" w:cs="Calibri"/>
          <w:sz w:val="22"/>
          <w:szCs w:val="22"/>
        </w:rPr>
      </w:pPr>
    </w:p>
    <w:p w14:paraId="1731DBB2" w14:textId="77777777" w:rsidR="00A542D6" w:rsidRPr="005B5EE7" w:rsidRDefault="00A542D6" w:rsidP="00A542D6">
      <w:pPr>
        <w:jc w:val="both"/>
        <w:divId w:val="410156154"/>
        <w:rPr>
          <w:rFonts w:ascii="Calibri" w:hAnsi="Calibri" w:cs="Cambria"/>
          <w:b/>
          <w:color w:val="1F497D" w:themeColor="text2"/>
          <w:sz w:val="22"/>
          <w:szCs w:val="22"/>
        </w:rPr>
      </w:pPr>
      <w:r w:rsidRPr="005B5EE7">
        <w:rPr>
          <w:rFonts w:ascii="Calibri" w:hAnsi="Calibri" w:cs="Cambria"/>
          <w:b/>
          <w:color w:val="1F497D" w:themeColor="text2"/>
          <w:sz w:val="22"/>
          <w:szCs w:val="22"/>
        </w:rPr>
        <w:t>1.2 Decision process</w:t>
      </w:r>
    </w:p>
    <w:p w14:paraId="6EC5EF83" w14:textId="77777777" w:rsidR="00067EF9" w:rsidRPr="00EA1B24" w:rsidRDefault="00067EF9" w:rsidP="00A542D6">
      <w:pPr>
        <w:jc w:val="both"/>
        <w:divId w:val="410156154"/>
        <w:rPr>
          <w:rFonts w:ascii="Calibri" w:hAnsi="Calibri" w:cs="Cambria"/>
          <w:b/>
          <w:sz w:val="22"/>
          <w:szCs w:val="22"/>
          <w:u w:val="single"/>
        </w:rPr>
      </w:pPr>
    </w:p>
    <w:p w14:paraId="3A82691B" w14:textId="77777777" w:rsidR="00E95850" w:rsidRPr="0027679B" w:rsidRDefault="00A542D6" w:rsidP="00E95850">
      <w:pPr>
        <w:jc w:val="both"/>
        <w:divId w:val="410156154"/>
        <w:rPr>
          <w:rFonts w:ascii="Calibri" w:hAnsi="Calibri"/>
          <w:sz w:val="22"/>
          <w:szCs w:val="22"/>
          <w:lang w:eastAsia="en-US"/>
        </w:rPr>
      </w:pPr>
      <w:r w:rsidRPr="00EA1B24">
        <w:rPr>
          <w:rFonts w:ascii="Calibri" w:hAnsi="Calibri" w:cs="Cambria"/>
          <w:sz w:val="22"/>
          <w:szCs w:val="22"/>
        </w:rPr>
        <w:t xml:space="preserve">In early 2013, the India Expert Advisory Group recommended that the Indian Council of Medical Research Expert Group should study the proposal for the inclusion of IPV in India. The expert group met in April, August and October of 2013. </w:t>
      </w:r>
      <w:r w:rsidR="00E95850" w:rsidRPr="0027679B">
        <w:rPr>
          <w:rFonts w:ascii="Calibri" w:hAnsi="Calibri"/>
          <w:sz w:val="22"/>
          <w:szCs w:val="22"/>
          <w:lang w:eastAsia="en-US"/>
        </w:rPr>
        <w:t>The immunization decision-making process has been institutionalized by the establishment of an independent advisory body, the National Technical Advisory Group on Immunization (NTAGI) in 2001, comprising of independent experts from diverse fields such has immunology, community medicine and health economics; representatives from partner organizations like WHO, UNICEF, ICMR and DCGI as well as liaison officers from the government. To address the issue of resurgence of polio following India’s successful elimination of the disease, the National Technical Advisory Group on Immunization (NTAGI) in its June 12</w:t>
      </w:r>
      <w:r w:rsidR="00E95850" w:rsidRPr="0027679B">
        <w:rPr>
          <w:rFonts w:ascii="Calibri" w:hAnsi="Calibri"/>
          <w:sz w:val="22"/>
          <w:szCs w:val="22"/>
          <w:vertAlign w:val="superscript"/>
          <w:lang w:eastAsia="en-US"/>
        </w:rPr>
        <w:t>th</w:t>
      </w:r>
      <w:r w:rsidR="00E95850" w:rsidRPr="0027679B">
        <w:rPr>
          <w:rFonts w:ascii="Calibri" w:hAnsi="Calibri"/>
          <w:sz w:val="22"/>
          <w:szCs w:val="22"/>
          <w:lang w:eastAsia="en-US"/>
        </w:rPr>
        <w:t xml:space="preserve">, 2014 meeting recommended the </w:t>
      </w:r>
      <w:r w:rsidR="00E95850">
        <w:rPr>
          <w:rFonts w:ascii="Calibri" w:hAnsi="Calibri"/>
          <w:sz w:val="22"/>
          <w:szCs w:val="22"/>
          <w:lang w:eastAsia="en-US"/>
        </w:rPr>
        <w:t>following:</w:t>
      </w:r>
    </w:p>
    <w:p w14:paraId="3806F5AB" w14:textId="77777777" w:rsidR="00E95850" w:rsidRDefault="00E95850" w:rsidP="00A542D6">
      <w:pPr>
        <w:jc w:val="both"/>
        <w:divId w:val="410156154"/>
        <w:rPr>
          <w:rFonts w:ascii="Calibri" w:hAnsi="Calibri" w:cs="Cambria"/>
          <w:sz w:val="22"/>
          <w:szCs w:val="22"/>
        </w:rPr>
      </w:pPr>
    </w:p>
    <w:p w14:paraId="7E0B782F" w14:textId="77777777" w:rsidR="00A542D6" w:rsidRPr="00EA1B24" w:rsidRDefault="00A542D6" w:rsidP="00A542D6">
      <w:pPr>
        <w:pStyle w:val="ListParagraph"/>
        <w:numPr>
          <w:ilvl w:val="0"/>
          <w:numId w:val="19"/>
        </w:numPr>
        <w:ind w:left="426" w:hanging="284"/>
        <w:jc w:val="both"/>
        <w:divId w:val="410156154"/>
        <w:rPr>
          <w:rFonts w:cs="Cambria"/>
        </w:rPr>
      </w:pPr>
      <w:r w:rsidRPr="00EA1B24">
        <w:rPr>
          <w:rFonts w:cs="Cambria"/>
        </w:rPr>
        <w:t>India should work towards a withdrawal of OPV2 from the immunization programme and comply with timelines of the globally synchronized tOPV to bOPV switch;</w:t>
      </w:r>
    </w:p>
    <w:p w14:paraId="190EA5D4" w14:textId="77777777" w:rsidR="00A542D6" w:rsidRPr="00EA1B24" w:rsidRDefault="00A542D6" w:rsidP="00A542D6">
      <w:pPr>
        <w:pStyle w:val="ListParagraph"/>
        <w:numPr>
          <w:ilvl w:val="0"/>
          <w:numId w:val="19"/>
        </w:numPr>
        <w:ind w:left="426" w:hanging="284"/>
        <w:jc w:val="both"/>
        <w:divId w:val="410156154"/>
        <w:rPr>
          <w:rFonts w:cs="Cambria"/>
        </w:rPr>
      </w:pPr>
      <w:r w:rsidRPr="00EA1B24">
        <w:rPr>
          <w:rFonts w:cs="Cambria"/>
        </w:rPr>
        <w:t xml:space="preserve">India should introduce a single, full dose of IPV into the routine immunization schedule in all states, to be given at 14 weeks of age with DPT3; and </w:t>
      </w:r>
    </w:p>
    <w:p w14:paraId="61FC6824" w14:textId="77777777" w:rsidR="00A542D6" w:rsidRPr="00EA1B24" w:rsidRDefault="00A542D6" w:rsidP="00A542D6">
      <w:pPr>
        <w:pStyle w:val="ListParagraph"/>
        <w:numPr>
          <w:ilvl w:val="0"/>
          <w:numId w:val="19"/>
        </w:numPr>
        <w:ind w:left="426" w:hanging="284"/>
        <w:jc w:val="both"/>
        <w:divId w:val="410156154"/>
        <w:rPr>
          <w:rFonts w:cs="Cambria"/>
        </w:rPr>
      </w:pPr>
      <w:r w:rsidRPr="00EA1B24">
        <w:rPr>
          <w:rFonts w:cs="Cambria"/>
        </w:rPr>
        <w:t xml:space="preserve">Routine immunization needs to be strengthened to ensure high coverage with all vaccines, including IPV. </w:t>
      </w:r>
    </w:p>
    <w:p w14:paraId="2B341AC6" w14:textId="77777777" w:rsidR="00A542D6" w:rsidRPr="00EA1B24" w:rsidRDefault="00A542D6" w:rsidP="00A542D6">
      <w:pPr>
        <w:jc w:val="both"/>
        <w:divId w:val="410156154"/>
        <w:rPr>
          <w:rFonts w:ascii="Calibri" w:hAnsi="Calibri" w:cs="Cambria"/>
          <w:sz w:val="22"/>
          <w:szCs w:val="22"/>
        </w:rPr>
      </w:pPr>
      <w:r w:rsidRPr="00EA1B24">
        <w:rPr>
          <w:rFonts w:ascii="Calibri" w:hAnsi="Calibri" w:cs="Cambria"/>
          <w:sz w:val="22"/>
          <w:szCs w:val="22"/>
        </w:rPr>
        <w:t xml:space="preserve">These recommendations are far reaching in their vision as they give a new direction to India’s polio eradication program and reemphasize the importance and need to strengthen the routine immunization service delivery mechanism. </w:t>
      </w:r>
    </w:p>
    <w:bookmarkEnd w:id="6"/>
    <w:p w14:paraId="08F3F4C6" w14:textId="77777777" w:rsidR="0085176D" w:rsidRDefault="00A542D6" w:rsidP="0085176D">
      <w:pPr>
        <w:autoSpaceDE w:val="0"/>
        <w:autoSpaceDN w:val="0"/>
        <w:adjustRightInd w:val="0"/>
        <w:jc w:val="both"/>
        <w:divId w:val="410156154"/>
        <w:rPr>
          <w:rFonts w:ascii="Calibri" w:eastAsia="SimSun" w:hAnsi="Calibri" w:cs="Calibri"/>
          <w:color w:val="000000"/>
          <w:sz w:val="22"/>
          <w:szCs w:val="22"/>
        </w:rPr>
      </w:pPr>
      <w:r w:rsidRPr="00EA1B24">
        <w:rPr>
          <w:rFonts w:ascii="Calibri" w:eastAsia="SimSun" w:hAnsi="Calibri" w:cs="Calibri"/>
          <w:color w:val="000000"/>
          <w:sz w:val="22"/>
          <w:szCs w:val="22"/>
        </w:rPr>
        <w:fldChar w:fldCharType="end"/>
      </w:r>
    </w:p>
    <w:p w14:paraId="1202176A" w14:textId="77777777" w:rsidR="00045D39" w:rsidRPr="004C062A" w:rsidRDefault="00045D39" w:rsidP="0085176D">
      <w:pPr>
        <w:autoSpaceDE w:val="0"/>
        <w:autoSpaceDN w:val="0"/>
        <w:adjustRightInd w:val="0"/>
        <w:jc w:val="both"/>
        <w:divId w:val="410156154"/>
        <w:rPr>
          <w:rFonts w:ascii="Calibri" w:eastAsia="SimSun" w:hAnsi="Calibri" w:cs="Calibri"/>
          <w:color w:val="000000"/>
        </w:rPr>
      </w:pPr>
    </w:p>
    <w:p w14:paraId="7548FBEC" w14:textId="77777777" w:rsidR="00630E87" w:rsidRPr="004C062A" w:rsidRDefault="00630E87" w:rsidP="003D288E">
      <w:pPr>
        <w:spacing w:after="120"/>
        <w:divId w:val="410156154"/>
        <w:rPr>
          <w:rFonts w:ascii="Calibri" w:eastAsia="SimSun" w:hAnsi="Calibri"/>
          <w:b/>
          <w:color w:val="1F497D"/>
          <w:szCs w:val="28"/>
        </w:rPr>
      </w:pPr>
      <w:r w:rsidRPr="004C062A">
        <w:rPr>
          <w:rFonts w:ascii="Calibri" w:eastAsia="SimSun" w:hAnsi="Calibri"/>
          <w:b/>
          <w:color w:val="1F497D"/>
          <w:szCs w:val="28"/>
        </w:rPr>
        <w:t>2. Overview of IPV</w:t>
      </w:r>
    </w:p>
    <w:tbl>
      <w:tblPr>
        <w:tblW w:w="10410" w:type="dxa"/>
        <w:tblInd w:w="119" w:type="dxa"/>
        <w:tblBorders>
          <w:top w:val="single" w:sz="4" w:space="0" w:color="auto"/>
        </w:tblBorders>
        <w:tblLook w:val="0000" w:firstRow="0" w:lastRow="0" w:firstColumn="0" w:lastColumn="0" w:noHBand="0" w:noVBand="0"/>
      </w:tblPr>
      <w:tblGrid>
        <w:gridCol w:w="10410"/>
      </w:tblGrid>
      <w:tr w:rsidR="00067EF9" w14:paraId="623032C5" w14:textId="77777777" w:rsidTr="00067EF9">
        <w:trPr>
          <w:divId w:val="410156154"/>
          <w:trHeight w:val="100"/>
        </w:trPr>
        <w:tc>
          <w:tcPr>
            <w:tcW w:w="10410" w:type="dxa"/>
          </w:tcPr>
          <w:p w14:paraId="0BF57257" w14:textId="77777777" w:rsidR="00067EF9" w:rsidRDefault="00067EF9" w:rsidP="00835105">
            <w:pPr>
              <w:ind w:right="240"/>
              <w:jc w:val="both"/>
              <w:rPr>
                <w:rFonts w:ascii="Calibri" w:hAnsi="Calibri"/>
                <w:bCs/>
                <w:color w:val="1F497D"/>
              </w:rPr>
            </w:pPr>
          </w:p>
        </w:tc>
      </w:tr>
    </w:tbl>
    <w:p w14:paraId="6E188E20" w14:textId="77777777" w:rsidR="00DF275E" w:rsidRDefault="00067EF9" w:rsidP="00835105">
      <w:pPr>
        <w:ind w:right="120"/>
        <w:jc w:val="both"/>
        <w:divId w:val="410156154"/>
        <w:rPr>
          <w:rFonts w:ascii="Calibri" w:hAnsi="Calibri"/>
          <w:bCs/>
          <w:color w:val="1F497D"/>
          <w:sz w:val="22"/>
        </w:rPr>
      </w:pPr>
      <w:r w:rsidRPr="005B5EE7">
        <w:rPr>
          <w:rFonts w:ascii="Calibri" w:hAnsi="Calibri"/>
          <w:bCs/>
          <w:color w:val="1F497D"/>
          <w:sz w:val="22"/>
        </w:rPr>
        <w:t>2.1 Vaccine</w:t>
      </w:r>
      <w:r w:rsidR="00DF275E" w:rsidRPr="005B5EE7">
        <w:rPr>
          <w:rFonts w:ascii="Calibri" w:hAnsi="Calibri"/>
          <w:bCs/>
          <w:color w:val="1F497D"/>
          <w:sz w:val="22"/>
        </w:rPr>
        <w:t xml:space="preserve"> preference</w:t>
      </w:r>
    </w:p>
    <w:p w14:paraId="3F11444E" w14:textId="77777777" w:rsidR="004C062A" w:rsidRPr="005B5EE7" w:rsidRDefault="004C062A" w:rsidP="00835105">
      <w:pPr>
        <w:ind w:right="120"/>
        <w:jc w:val="both"/>
        <w:divId w:val="410156154"/>
        <w:rPr>
          <w:rFonts w:ascii="Calibri" w:hAnsi="Calibri" w:cs="Arial"/>
          <w:sz w:val="22"/>
        </w:rPr>
      </w:pPr>
    </w:p>
    <w:p w14:paraId="147646B8" w14:textId="77777777" w:rsidR="0028285C" w:rsidRPr="0028285C" w:rsidRDefault="0028285C" w:rsidP="00194CCF">
      <w:pPr>
        <w:jc w:val="both"/>
        <w:divId w:val="410156154"/>
        <w:rPr>
          <w:rFonts w:ascii="Calibri" w:hAnsi="Calibri" w:cs="Calibri"/>
          <w:sz w:val="22"/>
          <w:szCs w:val="22"/>
        </w:rPr>
      </w:pPr>
      <w:r w:rsidRPr="0028285C">
        <w:rPr>
          <w:rFonts w:ascii="Calibri" w:hAnsi="Calibri" w:cs="Calibri"/>
          <w:sz w:val="22"/>
          <w:szCs w:val="22"/>
        </w:rPr>
        <w:t xml:space="preserve">IPV is available in standalone and combination presentations. Presently, only the standalone presentations are WHO prequalified and/or licensed for use in India.  IPV is available from multiple manufacturers in presentations of single dose pre-filled syringe, </w:t>
      </w:r>
      <w:r w:rsidR="00194CCF">
        <w:rPr>
          <w:rFonts w:ascii="Calibri" w:hAnsi="Calibri" w:cs="Calibri"/>
          <w:sz w:val="22"/>
          <w:szCs w:val="22"/>
        </w:rPr>
        <w:t xml:space="preserve">single dose </w:t>
      </w:r>
      <w:r w:rsidR="00194CCF" w:rsidRPr="0028285C">
        <w:rPr>
          <w:rFonts w:ascii="Calibri" w:hAnsi="Calibri" w:cs="Calibri"/>
          <w:sz w:val="22"/>
          <w:szCs w:val="22"/>
        </w:rPr>
        <w:t>and ten dose vials.</w:t>
      </w:r>
    </w:p>
    <w:p w14:paraId="1883C747" w14:textId="77777777" w:rsidR="0028285C" w:rsidRDefault="0028285C" w:rsidP="0028285C">
      <w:pPr>
        <w:jc w:val="both"/>
        <w:divId w:val="410156154"/>
        <w:rPr>
          <w:rFonts w:ascii="Calibri" w:hAnsi="Calibri" w:cs="Calibri"/>
          <w:sz w:val="22"/>
          <w:szCs w:val="22"/>
        </w:rPr>
      </w:pPr>
    </w:p>
    <w:p w14:paraId="1280BEBF" w14:textId="77777777" w:rsidR="00CC4D52" w:rsidRDefault="0028285C" w:rsidP="00CC4D52">
      <w:pPr>
        <w:jc w:val="both"/>
        <w:divId w:val="410156154"/>
        <w:rPr>
          <w:rFonts w:ascii="Calibri" w:hAnsi="Calibri" w:cs="Calibri"/>
          <w:sz w:val="22"/>
          <w:szCs w:val="22"/>
        </w:rPr>
      </w:pPr>
      <w:r>
        <w:rPr>
          <w:rFonts w:ascii="Calibri" w:hAnsi="Calibri" w:cs="Calibri"/>
          <w:sz w:val="22"/>
          <w:szCs w:val="22"/>
        </w:rPr>
        <w:t>National Technical Advisory Group on Immunization (</w:t>
      </w:r>
      <w:r w:rsidRPr="0028285C">
        <w:rPr>
          <w:rFonts w:ascii="Calibri" w:hAnsi="Calibri" w:cs="Calibri"/>
          <w:sz w:val="22"/>
          <w:szCs w:val="22"/>
        </w:rPr>
        <w:t>NTAGI</w:t>
      </w:r>
      <w:r>
        <w:rPr>
          <w:rFonts w:ascii="Calibri" w:hAnsi="Calibri" w:cs="Calibri"/>
          <w:sz w:val="22"/>
          <w:szCs w:val="22"/>
        </w:rPr>
        <w:t>)</w:t>
      </w:r>
      <w:r w:rsidRPr="0028285C">
        <w:rPr>
          <w:rFonts w:ascii="Calibri" w:hAnsi="Calibri" w:cs="Calibri"/>
          <w:sz w:val="22"/>
          <w:szCs w:val="22"/>
        </w:rPr>
        <w:t xml:space="preserve"> has recommended a multi-dose presentation with a vial size not exceeding five doses per vial.  All vaccine manufacturers have initiated processes for the production of five dose vials and sufficient quantity is expected to be available for introduction in India. The lead time for delivery of vaccine is 9 to 12 months for all manufacturers.  </w:t>
      </w:r>
    </w:p>
    <w:p w14:paraId="70225198" w14:textId="77777777" w:rsidR="00CC4D52" w:rsidRDefault="00CC4D52" w:rsidP="00CC4D52">
      <w:pPr>
        <w:jc w:val="both"/>
        <w:divId w:val="410156154"/>
        <w:rPr>
          <w:rFonts w:ascii="Calibri" w:hAnsi="Calibri" w:cs="Calibri"/>
          <w:sz w:val="22"/>
          <w:szCs w:val="22"/>
        </w:rPr>
      </w:pPr>
    </w:p>
    <w:p w14:paraId="6FA11480" w14:textId="77777777" w:rsidR="00045D39" w:rsidRDefault="00045D39" w:rsidP="00CC4D52">
      <w:pPr>
        <w:jc w:val="both"/>
        <w:divId w:val="410156154"/>
        <w:rPr>
          <w:rFonts w:ascii="Calibri" w:hAnsi="Calibri" w:cs="Calibri"/>
          <w:sz w:val="22"/>
          <w:szCs w:val="22"/>
        </w:rPr>
      </w:pPr>
    </w:p>
    <w:p w14:paraId="119C5C14" w14:textId="77777777" w:rsidR="00045D39" w:rsidRDefault="00045D39" w:rsidP="00CC4D52">
      <w:pPr>
        <w:jc w:val="both"/>
        <w:divId w:val="410156154"/>
        <w:rPr>
          <w:rFonts w:ascii="Calibri" w:hAnsi="Calibri" w:cs="Calibri"/>
          <w:sz w:val="22"/>
          <w:szCs w:val="22"/>
        </w:rPr>
      </w:pPr>
    </w:p>
    <w:p w14:paraId="36851C32" w14:textId="77777777" w:rsidR="00045D39" w:rsidRDefault="00045D39" w:rsidP="00CC4D52">
      <w:pPr>
        <w:jc w:val="both"/>
        <w:divId w:val="410156154"/>
        <w:rPr>
          <w:rFonts w:ascii="Calibri" w:hAnsi="Calibri" w:cs="Calibri"/>
          <w:sz w:val="22"/>
          <w:szCs w:val="22"/>
        </w:rPr>
      </w:pPr>
    </w:p>
    <w:p w14:paraId="2B977518" w14:textId="77777777" w:rsidR="0028285C" w:rsidRDefault="00CC4D52" w:rsidP="00E831DE">
      <w:pPr>
        <w:jc w:val="both"/>
        <w:divId w:val="410156154"/>
        <w:rPr>
          <w:rFonts w:ascii="Calibri" w:hAnsi="Calibri" w:cs="Calibri"/>
          <w:sz w:val="22"/>
          <w:szCs w:val="22"/>
        </w:rPr>
      </w:pPr>
      <w:r>
        <w:rPr>
          <w:rFonts w:ascii="Calibri" w:hAnsi="Calibri" w:cs="Calibri"/>
          <w:sz w:val="22"/>
          <w:szCs w:val="22"/>
        </w:rPr>
        <w:t>T</w:t>
      </w:r>
      <w:r w:rsidR="0028285C" w:rsidRPr="0028285C">
        <w:rPr>
          <w:rFonts w:ascii="Calibri" w:hAnsi="Calibri" w:cs="Calibri"/>
          <w:sz w:val="22"/>
          <w:szCs w:val="22"/>
        </w:rPr>
        <w:t>he vaccine will be introduced in the third quarter of 2015 in all states across the country.  With the roll out planned for the third quarter, India is within the timeline required for initiation of procurement procedures that w</w:t>
      </w:r>
      <w:r>
        <w:rPr>
          <w:rFonts w:ascii="Calibri" w:hAnsi="Calibri" w:cs="Calibri"/>
          <w:sz w:val="22"/>
          <w:szCs w:val="22"/>
        </w:rPr>
        <w:t xml:space="preserve">ill ensure vaccine availability. </w:t>
      </w:r>
      <w:r w:rsidR="0028285C" w:rsidRPr="0028285C">
        <w:rPr>
          <w:rFonts w:ascii="Calibri" w:hAnsi="Calibri" w:cs="Calibri"/>
          <w:sz w:val="22"/>
          <w:szCs w:val="22"/>
        </w:rPr>
        <w:t xml:space="preserve">In the event of a delay in the availability of the five dose vials, the IPV introduction could begin as planned with a </w:t>
      </w:r>
      <w:r w:rsidRPr="0028285C">
        <w:rPr>
          <w:rFonts w:ascii="Calibri" w:hAnsi="Calibri" w:cs="Calibri"/>
          <w:sz w:val="22"/>
          <w:szCs w:val="22"/>
        </w:rPr>
        <w:t>10-dose</w:t>
      </w:r>
      <w:r w:rsidR="0028285C" w:rsidRPr="0028285C">
        <w:rPr>
          <w:rFonts w:ascii="Calibri" w:hAnsi="Calibri" w:cs="Calibri"/>
          <w:sz w:val="22"/>
          <w:szCs w:val="22"/>
        </w:rPr>
        <w:t xml:space="preserve"> vial and then switch to the five dose presentation. </w:t>
      </w:r>
      <w:r>
        <w:rPr>
          <w:rFonts w:ascii="Calibri" w:hAnsi="Calibri" w:cs="Calibri"/>
          <w:sz w:val="22"/>
          <w:szCs w:val="22"/>
        </w:rPr>
        <w:t>The country’s vaccine preference is as given in Table 1 below</w:t>
      </w:r>
    </w:p>
    <w:p w14:paraId="6C73E5C5" w14:textId="77777777" w:rsidR="00AD6D55" w:rsidRPr="0028285C" w:rsidRDefault="00AD6D55" w:rsidP="00CC4D52">
      <w:pPr>
        <w:jc w:val="both"/>
        <w:divId w:val="410156154"/>
        <w:rPr>
          <w:rFonts w:ascii="Calibri" w:hAnsi="Calibri" w:cs="Calibri"/>
          <w:sz w:val="22"/>
          <w:szCs w:val="22"/>
        </w:rPr>
      </w:pPr>
    </w:p>
    <w:p w14:paraId="35429E6B" w14:textId="77777777" w:rsidR="00C63E63" w:rsidRPr="00C34F37" w:rsidRDefault="00C63E63" w:rsidP="00E831DE">
      <w:pPr>
        <w:autoSpaceDE w:val="0"/>
        <w:autoSpaceDN w:val="0"/>
        <w:adjustRightInd w:val="0"/>
        <w:jc w:val="both"/>
        <w:divId w:val="410156154"/>
        <w:rPr>
          <w:rFonts w:ascii="Calibri" w:eastAsia="SimSun" w:hAnsi="Calibri" w:cs="Calibri"/>
          <w:b/>
          <w:color w:val="000000"/>
          <w:sz w:val="20"/>
          <w:szCs w:val="20"/>
        </w:rPr>
      </w:pPr>
      <w:r w:rsidRPr="00C34F37">
        <w:rPr>
          <w:rFonts w:ascii="Calibri" w:eastAsia="SimSun" w:hAnsi="Calibri" w:cs="Calibri"/>
          <w:b/>
          <w:color w:val="000000"/>
          <w:sz w:val="20"/>
          <w:szCs w:val="20"/>
        </w:rPr>
        <w:t>Table 1. IPV vaccine preferences and estimated date of 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160"/>
        <w:gridCol w:w="2340"/>
        <w:gridCol w:w="2358"/>
      </w:tblGrid>
      <w:tr w:rsidR="00630E87" w:rsidRPr="00C63E63" w14:paraId="0CAC9388" w14:textId="77777777" w:rsidTr="00630E87">
        <w:trPr>
          <w:divId w:val="410156154"/>
        </w:trPr>
        <w:tc>
          <w:tcPr>
            <w:tcW w:w="2508" w:type="dxa"/>
            <w:shd w:val="clear" w:color="auto" w:fill="auto"/>
          </w:tcPr>
          <w:p w14:paraId="57C43F6B" w14:textId="77777777" w:rsidR="00630E87" w:rsidRPr="00C34F37" w:rsidRDefault="00630E87" w:rsidP="001516A9">
            <w:pPr>
              <w:spacing w:after="120"/>
              <w:ind w:right="120"/>
              <w:jc w:val="center"/>
              <w:rPr>
                <w:rFonts w:ascii="Calibri" w:hAnsi="Calibri" w:cs="Arial"/>
                <w:b/>
                <w:sz w:val="20"/>
                <w:szCs w:val="20"/>
              </w:rPr>
            </w:pPr>
            <w:r w:rsidRPr="00C34F37">
              <w:rPr>
                <w:rFonts w:ascii="Calibri" w:hAnsi="Calibri" w:cs="Arial"/>
                <w:b/>
                <w:sz w:val="20"/>
                <w:szCs w:val="20"/>
              </w:rPr>
              <w:t>Preferred IPV vaccine</w:t>
            </w:r>
          </w:p>
        </w:tc>
        <w:tc>
          <w:tcPr>
            <w:tcW w:w="2160" w:type="dxa"/>
            <w:shd w:val="clear" w:color="auto" w:fill="auto"/>
          </w:tcPr>
          <w:p w14:paraId="1EC1CFD4" w14:textId="77777777" w:rsidR="00630E87" w:rsidRPr="00C34F37" w:rsidRDefault="00630E87" w:rsidP="001516A9">
            <w:pPr>
              <w:spacing w:after="120"/>
              <w:ind w:right="120"/>
              <w:jc w:val="center"/>
              <w:rPr>
                <w:rFonts w:ascii="Calibri" w:hAnsi="Calibri" w:cs="Arial"/>
                <w:b/>
                <w:sz w:val="20"/>
                <w:szCs w:val="20"/>
              </w:rPr>
            </w:pPr>
            <w:r w:rsidRPr="00C34F37">
              <w:rPr>
                <w:rFonts w:ascii="Calibri" w:hAnsi="Calibri" w:cs="Arial"/>
                <w:b/>
                <w:sz w:val="20"/>
                <w:szCs w:val="20"/>
              </w:rPr>
              <w:t>Month and year of first vaccination</w:t>
            </w:r>
          </w:p>
        </w:tc>
        <w:tc>
          <w:tcPr>
            <w:tcW w:w="2340" w:type="dxa"/>
            <w:shd w:val="clear" w:color="auto" w:fill="auto"/>
          </w:tcPr>
          <w:p w14:paraId="0C4EB755" w14:textId="77777777" w:rsidR="00630E87" w:rsidRPr="00C34F37" w:rsidRDefault="00630E87" w:rsidP="001516A9">
            <w:pPr>
              <w:spacing w:after="120"/>
              <w:ind w:right="120"/>
              <w:jc w:val="center"/>
              <w:rPr>
                <w:rFonts w:ascii="Calibri" w:hAnsi="Calibri" w:cs="Arial"/>
                <w:b/>
                <w:sz w:val="20"/>
                <w:szCs w:val="20"/>
              </w:rPr>
            </w:pPr>
            <w:r w:rsidRPr="00C34F37">
              <w:rPr>
                <w:rFonts w:ascii="Calibri" w:hAnsi="Calibri" w:cs="Arial"/>
                <w:b/>
                <w:sz w:val="20"/>
                <w:szCs w:val="20"/>
              </w:rPr>
              <w:t>Preferred second presentation</w:t>
            </w:r>
          </w:p>
        </w:tc>
        <w:tc>
          <w:tcPr>
            <w:tcW w:w="2358" w:type="dxa"/>
          </w:tcPr>
          <w:p w14:paraId="42DBFE03" w14:textId="77777777" w:rsidR="00630E87" w:rsidRPr="00C34F37" w:rsidRDefault="00630E87" w:rsidP="001516A9">
            <w:pPr>
              <w:spacing w:after="120"/>
              <w:ind w:right="120"/>
              <w:jc w:val="center"/>
              <w:rPr>
                <w:rFonts w:ascii="Calibri" w:hAnsi="Calibri" w:cs="Arial"/>
                <w:b/>
                <w:sz w:val="20"/>
                <w:szCs w:val="20"/>
              </w:rPr>
            </w:pPr>
            <w:r w:rsidRPr="00C34F37">
              <w:rPr>
                <w:rFonts w:ascii="Calibri" w:hAnsi="Calibri" w:cs="Arial"/>
                <w:b/>
                <w:sz w:val="20"/>
                <w:szCs w:val="20"/>
              </w:rPr>
              <w:t>Preferred third presentation</w:t>
            </w:r>
          </w:p>
        </w:tc>
      </w:tr>
      <w:tr w:rsidR="00630E87" w:rsidRPr="00C63E63" w14:paraId="2C312A7D" w14:textId="77777777" w:rsidTr="004E2C96">
        <w:trPr>
          <w:divId w:val="410156154"/>
        </w:trPr>
        <w:tc>
          <w:tcPr>
            <w:tcW w:w="2508" w:type="dxa"/>
            <w:shd w:val="clear" w:color="auto" w:fill="auto"/>
            <w:vAlign w:val="center"/>
          </w:tcPr>
          <w:p w14:paraId="53A48519" w14:textId="77777777" w:rsidR="00C63E63" w:rsidRPr="00C34F37" w:rsidRDefault="00C24B53" w:rsidP="004E2C96">
            <w:pPr>
              <w:spacing w:after="120"/>
              <w:ind w:right="120"/>
              <w:jc w:val="center"/>
              <w:rPr>
                <w:rFonts w:ascii="Calibri" w:hAnsi="Calibri" w:cs="Arial"/>
                <w:sz w:val="20"/>
                <w:szCs w:val="20"/>
              </w:rPr>
            </w:pPr>
            <w:r>
              <w:rPr>
                <w:rFonts w:ascii="Calibri" w:hAnsi="Calibri" w:cs="Arial"/>
                <w:sz w:val="20"/>
                <w:szCs w:val="20"/>
                <w:highlight w:val="lightGray"/>
              </w:rPr>
              <w:t>5-dose vial</w:t>
            </w:r>
          </w:p>
        </w:tc>
        <w:tc>
          <w:tcPr>
            <w:tcW w:w="2160" w:type="dxa"/>
            <w:shd w:val="clear" w:color="auto" w:fill="auto"/>
            <w:vAlign w:val="center"/>
          </w:tcPr>
          <w:p w14:paraId="6992EEDD" w14:textId="77777777" w:rsidR="00630E87" w:rsidRPr="00C34F37" w:rsidRDefault="00CC4D52" w:rsidP="004E2C96">
            <w:pPr>
              <w:jc w:val="center"/>
              <w:rPr>
                <w:rFonts w:ascii="Calibri" w:hAnsi="Calibri" w:cs="Arial"/>
                <w:sz w:val="20"/>
                <w:szCs w:val="20"/>
              </w:rPr>
            </w:pPr>
            <w:r>
              <w:rPr>
                <w:rFonts w:ascii="Calibri" w:hAnsi="Calibri" w:cs="Arial"/>
                <w:sz w:val="20"/>
                <w:szCs w:val="20"/>
                <w:highlight w:val="lightGray"/>
              </w:rPr>
              <w:t>September</w:t>
            </w:r>
            <w:r w:rsidR="002A6997">
              <w:rPr>
                <w:rFonts w:ascii="Calibri" w:hAnsi="Calibri" w:cs="Arial"/>
                <w:sz w:val="20"/>
                <w:szCs w:val="20"/>
                <w:highlight w:val="lightGray"/>
              </w:rPr>
              <w:t xml:space="preserve"> 2015</w:t>
            </w:r>
          </w:p>
          <w:p w14:paraId="44E28BDF" w14:textId="77777777" w:rsidR="00C63E63" w:rsidRPr="00C34F37" w:rsidRDefault="00C63E63" w:rsidP="004E2C96">
            <w:pPr>
              <w:jc w:val="center"/>
              <w:rPr>
                <w:rFonts w:ascii="Calibri" w:hAnsi="Calibri"/>
                <w:sz w:val="20"/>
                <w:szCs w:val="20"/>
              </w:rPr>
            </w:pPr>
          </w:p>
        </w:tc>
        <w:tc>
          <w:tcPr>
            <w:tcW w:w="2340" w:type="dxa"/>
            <w:shd w:val="clear" w:color="auto" w:fill="auto"/>
            <w:vAlign w:val="center"/>
          </w:tcPr>
          <w:p w14:paraId="421CBFF4" w14:textId="77777777" w:rsidR="00630E87" w:rsidRPr="00C34F37" w:rsidRDefault="00C24B53" w:rsidP="004E2C96">
            <w:pPr>
              <w:jc w:val="center"/>
              <w:rPr>
                <w:rFonts w:ascii="Calibri" w:hAnsi="Calibri" w:cs="Arial"/>
                <w:sz w:val="20"/>
                <w:szCs w:val="20"/>
              </w:rPr>
            </w:pPr>
            <w:r>
              <w:rPr>
                <w:rFonts w:ascii="Calibri" w:hAnsi="Calibri" w:cs="Arial"/>
                <w:sz w:val="20"/>
                <w:szCs w:val="20"/>
              </w:rPr>
              <w:t>10-dose vial</w:t>
            </w:r>
          </w:p>
          <w:p w14:paraId="63FCDA97" w14:textId="77777777" w:rsidR="00C63E63" w:rsidRPr="00C34F37" w:rsidRDefault="00C63E63" w:rsidP="004E2C96">
            <w:pPr>
              <w:jc w:val="center"/>
              <w:rPr>
                <w:rFonts w:ascii="Calibri" w:hAnsi="Calibri"/>
                <w:sz w:val="20"/>
                <w:szCs w:val="20"/>
              </w:rPr>
            </w:pPr>
          </w:p>
        </w:tc>
        <w:tc>
          <w:tcPr>
            <w:tcW w:w="2358" w:type="dxa"/>
            <w:vAlign w:val="center"/>
          </w:tcPr>
          <w:p w14:paraId="765AC2B8" w14:textId="77777777" w:rsidR="00630E87" w:rsidRPr="00C34F37" w:rsidRDefault="00630E87" w:rsidP="004E2C96">
            <w:pPr>
              <w:jc w:val="center"/>
              <w:rPr>
                <w:rFonts w:ascii="Calibri" w:hAnsi="Calibri" w:cs="Arial"/>
                <w:sz w:val="20"/>
                <w:szCs w:val="20"/>
              </w:rPr>
            </w:pPr>
          </w:p>
          <w:p w14:paraId="12ED1451" w14:textId="77777777" w:rsidR="00C63E63" w:rsidRPr="00C34F37" w:rsidRDefault="00C63E63" w:rsidP="004E2C96">
            <w:pPr>
              <w:jc w:val="center"/>
              <w:rPr>
                <w:rFonts w:ascii="Calibri" w:hAnsi="Calibri"/>
                <w:sz w:val="20"/>
                <w:szCs w:val="20"/>
              </w:rPr>
            </w:pPr>
          </w:p>
        </w:tc>
      </w:tr>
    </w:tbl>
    <w:p w14:paraId="7537C6B0" w14:textId="77777777" w:rsidR="0017505A" w:rsidRPr="00C34F37" w:rsidRDefault="0017505A" w:rsidP="00DF275E">
      <w:pPr>
        <w:jc w:val="both"/>
        <w:divId w:val="410156154"/>
        <w:rPr>
          <w:rFonts w:ascii="Calibri" w:hAnsi="Calibri"/>
          <w:bCs/>
          <w:sz w:val="22"/>
          <w:szCs w:val="22"/>
        </w:rPr>
      </w:pPr>
    </w:p>
    <w:p w14:paraId="77CE4080" w14:textId="77777777" w:rsidR="00DF275E" w:rsidRPr="005B5EE7" w:rsidRDefault="00AD6D55" w:rsidP="00DF275E">
      <w:pPr>
        <w:jc w:val="both"/>
        <w:divId w:val="410156154"/>
        <w:rPr>
          <w:rFonts w:ascii="Calibri" w:hAnsi="Calibri"/>
          <w:bCs/>
          <w:color w:val="1F497D"/>
          <w:sz w:val="22"/>
        </w:rPr>
      </w:pPr>
      <w:r w:rsidRPr="005B5EE7">
        <w:rPr>
          <w:rFonts w:ascii="Calibri" w:hAnsi="Calibri"/>
          <w:bCs/>
          <w:color w:val="1F497D"/>
          <w:sz w:val="22"/>
        </w:rPr>
        <w:t>2.2 Country</w:t>
      </w:r>
      <w:r w:rsidR="00DF275E" w:rsidRPr="005B5EE7">
        <w:rPr>
          <w:rFonts w:ascii="Calibri" w:hAnsi="Calibri"/>
          <w:bCs/>
          <w:color w:val="1F497D"/>
          <w:sz w:val="22"/>
        </w:rPr>
        <w:t xml:space="preserve"> licensure status</w:t>
      </w:r>
    </w:p>
    <w:p w14:paraId="3E8D645D" w14:textId="77777777" w:rsidR="00AD6D55" w:rsidRPr="00C34F37" w:rsidRDefault="00AD6D55" w:rsidP="00DF275E">
      <w:pPr>
        <w:jc w:val="both"/>
        <w:divId w:val="410156154"/>
        <w:rPr>
          <w:rFonts w:ascii="Calibri" w:hAnsi="Calibri"/>
          <w:bCs/>
          <w:color w:val="1F497D"/>
        </w:rPr>
      </w:pPr>
    </w:p>
    <w:p w14:paraId="515012FC" w14:textId="77777777" w:rsidR="002A6997" w:rsidRDefault="002A6997" w:rsidP="002A6997">
      <w:pPr>
        <w:autoSpaceDE w:val="0"/>
        <w:autoSpaceDN w:val="0"/>
        <w:adjustRightInd w:val="0"/>
        <w:jc w:val="both"/>
        <w:divId w:val="410156154"/>
        <w:rPr>
          <w:rFonts w:ascii="Calibri" w:hAnsi="Calibri" w:cs="Calibri"/>
          <w:sz w:val="22"/>
          <w:szCs w:val="22"/>
        </w:rPr>
      </w:pPr>
      <w:r w:rsidRPr="002A6997">
        <w:rPr>
          <w:rFonts w:ascii="Calibri" w:hAnsi="Calibri" w:cs="Calibri"/>
          <w:sz w:val="22"/>
          <w:szCs w:val="22"/>
        </w:rPr>
        <w:t>The Central Drugs and Standards Control Organization (CDSCO) is the National Regulatory Authority (NRA) in India. CDSCO is headed by the Drugs Controller General (India) [DCG (I)]. It approves vaccines that are introduced in the country. The Central License Approving Authority (CLAA) issues licenses for the manufacture of vaccines, while the Central Drugs Laboratory (CDL), Kasauli performs lot release for all imported vaccines as well as locally produced vaccines.</w:t>
      </w:r>
    </w:p>
    <w:p w14:paraId="07F5272A" w14:textId="77777777" w:rsidR="002A6997" w:rsidRPr="002A6997" w:rsidRDefault="002A6997" w:rsidP="002A6997">
      <w:pPr>
        <w:autoSpaceDE w:val="0"/>
        <w:autoSpaceDN w:val="0"/>
        <w:adjustRightInd w:val="0"/>
        <w:jc w:val="both"/>
        <w:divId w:val="410156154"/>
        <w:rPr>
          <w:rFonts w:ascii="Calibri" w:hAnsi="Calibri" w:cs="Calibri"/>
          <w:sz w:val="22"/>
          <w:szCs w:val="22"/>
        </w:rPr>
      </w:pPr>
    </w:p>
    <w:p w14:paraId="62EC3306" w14:textId="77777777" w:rsidR="002A6997" w:rsidRDefault="002A6997" w:rsidP="002A6997">
      <w:pPr>
        <w:autoSpaceDE w:val="0"/>
        <w:autoSpaceDN w:val="0"/>
        <w:adjustRightInd w:val="0"/>
        <w:jc w:val="both"/>
        <w:divId w:val="410156154"/>
        <w:rPr>
          <w:rFonts w:ascii="Calibri" w:hAnsi="Calibri" w:cs="Calibri"/>
          <w:sz w:val="22"/>
          <w:szCs w:val="22"/>
        </w:rPr>
      </w:pPr>
      <w:r w:rsidRPr="002A6997">
        <w:rPr>
          <w:rFonts w:ascii="Calibri" w:hAnsi="Calibri" w:cs="Calibri"/>
          <w:sz w:val="22"/>
          <w:szCs w:val="22"/>
        </w:rPr>
        <w:t>Licen</w:t>
      </w:r>
      <w:r>
        <w:rPr>
          <w:rFonts w:ascii="Calibri" w:hAnsi="Calibri" w:cs="Calibri"/>
          <w:sz w:val="22"/>
          <w:szCs w:val="22"/>
        </w:rPr>
        <w:t>sure for the one-</w:t>
      </w:r>
      <w:r w:rsidRPr="002A6997">
        <w:rPr>
          <w:rFonts w:ascii="Calibri" w:hAnsi="Calibri" w:cs="Calibri"/>
          <w:sz w:val="22"/>
          <w:szCs w:val="22"/>
        </w:rPr>
        <w:t>dose pre-</w:t>
      </w:r>
      <w:r>
        <w:rPr>
          <w:rFonts w:ascii="Calibri" w:hAnsi="Calibri" w:cs="Calibri"/>
          <w:sz w:val="22"/>
          <w:szCs w:val="22"/>
        </w:rPr>
        <w:t>filled syringe and the ten-</w:t>
      </w:r>
      <w:r w:rsidRPr="002A6997">
        <w:rPr>
          <w:rFonts w:ascii="Calibri" w:hAnsi="Calibri" w:cs="Calibri"/>
          <w:sz w:val="22"/>
          <w:szCs w:val="22"/>
        </w:rPr>
        <w:t xml:space="preserve">dose vials has been completed for all manufacturers. Manufacturers will initiate the license applications for five-dose vial </w:t>
      </w:r>
      <w:r>
        <w:rPr>
          <w:rFonts w:ascii="Calibri" w:hAnsi="Calibri" w:cs="Calibri"/>
          <w:sz w:val="22"/>
          <w:szCs w:val="22"/>
        </w:rPr>
        <w:t xml:space="preserve">during </w:t>
      </w:r>
      <w:r w:rsidRPr="002A6997">
        <w:rPr>
          <w:rFonts w:ascii="Calibri" w:hAnsi="Calibri" w:cs="Calibri"/>
          <w:sz w:val="22"/>
          <w:szCs w:val="22"/>
        </w:rPr>
        <w:t xml:space="preserve">the last quarter of 2014. The process for licensing </w:t>
      </w:r>
      <w:r>
        <w:rPr>
          <w:rFonts w:ascii="Calibri" w:hAnsi="Calibri" w:cs="Calibri"/>
          <w:sz w:val="22"/>
          <w:szCs w:val="22"/>
        </w:rPr>
        <w:t xml:space="preserve">usually </w:t>
      </w:r>
      <w:r w:rsidRPr="002A6997">
        <w:rPr>
          <w:rFonts w:ascii="Calibri" w:hAnsi="Calibri" w:cs="Calibri"/>
          <w:sz w:val="22"/>
          <w:szCs w:val="22"/>
        </w:rPr>
        <w:t>takes four to six months. The licensing process will not affect the timely delivery of the vaccine.</w:t>
      </w:r>
    </w:p>
    <w:p w14:paraId="1A6E52EF" w14:textId="77777777" w:rsidR="002A6997" w:rsidRPr="002A6997" w:rsidRDefault="002A6997" w:rsidP="002A6997">
      <w:pPr>
        <w:autoSpaceDE w:val="0"/>
        <w:autoSpaceDN w:val="0"/>
        <w:adjustRightInd w:val="0"/>
        <w:jc w:val="both"/>
        <w:divId w:val="410156154"/>
        <w:rPr>
          <w:rFonts w:ascii="Calibri" w:hAnsi="Calibri" w:cs="Calibri"/>
          <w:sz w:val="22"/>
          <w:szCs w:val="22"/>
        </w:rPr>
      </w:pPr>
    </w:p>
    <w:p w14:paraId="157067EE" w14:textId="77777777" w:rsidR="002A6997" w:rsidRPr="002A6997" w:rsidRDefault="002A6997" w:rsidP="002A6997">
      <w:pPr>
        <w:autoSpaceDE w:val="0"/>
        <w:autoSpaceDN w:val="0"/>
        <w:adjustRightInd w:val="0"/>
        <w:jc w:val="both"/>
        <w:divId w:val="410156154"/>
        <w:rPr>
          <w:rFonts w:ascii="Calibri" w:hAnsi="Calibri" w:cs="Calibri"/>
          <w:sz w:val="22"/>
          <w:szCs w:val="22"/>
        </w:rPr>
      </w:pPr>
      <w:r w:rsidRPr="002A6997">
        <w:rPr>
          <w:rFonts w:ascii="Calibri" w:hAnsi="Calibri" w:cs="Calibri"/>
          <w:sz w:val="22"/>
          <w:szCs w:val="22"/>
        </w:rPr>
        <w:t>The vaccine manufacturers</w:t>
      </w:r>
      <w:r>
        <w:rPr>
          <w:rFonts w:ascii="Calibri" w:hAnsi="Calibri" w:cs="Calibri"/>
          <w:sz w:val="22"/>
          <w:szCs w:val="22"/>
        </w:rPr>
        <w:t xml:space="preserve"> in India</w:t>
      </w:r>
      <w:r w:rsidRPr="002A6997">
        <w:rPr>
          <w:rFonts w:ascii="Calibri" w:hAnsi="Calibri" w:cs="Calibri"/>
          <w:sz w:val="22"/>
          <w:szCs w:val="22"/>
        </w:rPr>
        <w:t xml:space="preserve"> who are committed </w:t>
      </w:r>
      <w:r w:rsidR="00AD6D55">
        <w:rPr>
          <w:rFonts w:ascii="Calibri" w:hAnsi="Calibri" w:cs="Calibri"/>
          <w:sz w:val="22"/>
          <w:szCs w:val="22"/>
        </w:rPr>
        <w:t xml:space="preserve">to IPV production are: Panacea, </w:t>
      </w:r>
      <w:r w:rsidRPr="002A6997">
        <w:rPr>
          <w:rFonts w:ascii="Calibri" w:hAnsi="Calibri" w:cs="Calibri"/>
          <w:sz w:val="22"/>
          <w:szCs w:val="22"/>
        </w:rPr>
        <w:t>Sanofi Pasture, Shantha Biotechnics Ltd, Serum Institute of India and Biological E Ltd.</w:t>
      </w:r>
    </w:p>
    <w:p w14:paraId="144FC56B" w14:textId="77777777" w:rsidR="00DF275E" w:rsidRPr="00C34F37" w:rsidRDefault="00DF275E" w:rsidP="00DF275E">
      <w:pPr>
        <w:jc w:val="both"/>
        <w:divId w:val="410156154"/>
        <w:rPr>
          <w:rFonts w:ascii="Calibri" w:hAnsi="Calibri"/>
          <w:bCs/>
          <w:color w:val="1F497D"/>
          <w:sz w:val="22"/>
          <w:szCs w:val="22"/>
        </w:rPr>
      </w:pPr>
    </w:p>
    <w:p w14:paraId="535556F0" w14:textId="77777777" w:rsidR="00DF275E" w:rsidRPr="005B5EE7" w:rsidRDefault="002A6997" w:rsidP="00DF275E">
      <w:pPr>
        <w:jc w:val="both"/>
        <w:divId w:val="410156154"/>
        <w:rPr>
          <w:rFonts w:ascii="Calibri" w:hAnsi="Calibri"/>
          <w:bCs/>
          <w:color w:val="1F497D"/>
          <w:sz w:val="22"/>
        </w:rPr>
      </w:pPr>
      <w:r w:rsidRPr="005B5EE7">
        <w:rPr>
          <w:rFonts w:ascii="Calibri" w:hAnsi="Calibri"/>
          <w:bCs/>
          <w:color w:val="1F497D"/>
          <w:sz w:val="22"/>
        </w:rPr>
        <w:t>2.3 Target</w:t>
      </w:r>
      <w:r w:rsidR="00DF275E" w:rsidRPr="005B5EE7">
        <w:rPr>
          <w:rFonts w:ascii="Calibri" w:hAnsi="Calibri"/>
          <w:bCs/>
          <w:color w:val="1F497D"/>
          <w:sz w:val="22"/>
        </w:rPr>
        <w:t xml:space="preserve"> population and vaccine supply</w:t>
      </w:r>
    </w:p>
    <w:p w14:paraId="0BF51074" w14:textId="77777777" w:rsidR="00AD6D55" w:rsidRPr="00C34F37" w:rsidRDefault="00AD6D55" w:rsidP="00DF275E">
      <w:pPr>
        <w:jc w:val="both"/>
        <w:divId w:val="410156154"/>
        <w:rPr>
          <w:rFonts w:ascii="Calibri" w:hAnsi="Calibri"/>
          <w:bCs/>
          <w:color w:val="1F497D"/>
        </w:rPr>
      </w:pPr>
    </w:p>
    <w:p w14:paraId="5384EEC2" w14:textId="77777777" w:rsidR="002A6997" w:rsidRPr="00EA1B24" w:rsidRDefault="002A6997" w:rsidP="00F56E9F">
      <w:pPr>
        <w:autoSpaceDE w:val="0"/>
        <w:autoSpaceDN w:val="0"/>
        <w:adjustRightInd w:val="0"/>
        <w:jc w:val="both"/>
        <w:divId w:val="410156154"/>
        <w:rPr>
          <w:rFonts w:ascii="Calibri" w:hAnsi="Calibri" w:cs="Calibri"/>
          <w:sz w:val="22"/>
          <w:szCs w:val="22"/>
        </w:rPr>
      </w:pPr>
      <w:r w:rsidRPr="00EA1B24">
        <w:rPr>
          <w:rFonts w:ascii="Calibri" w:hAnsi="Calibri" w:cs="Calibri"/>
          <w:sz w:val="22"/>
          <w:szCs w:val="22"/>
        </w:rPr>
        <w:t xml:space="preserve">The birth cohort in India is estimated to be 27 million children per year. Vaccination with IPV ensures the development of immunity for the entire cohort and prepares for the switch from tOPV to bOPV. In addition, this dose will also play a vital role in boosting immunity against Type 1 and 3. </w:t>
      </w:r>
      <w:r w:rsidR="00CC4D52" w:rsidRPr="00EA1B24">
        <w:rPr>
          <w:rFonts w:ascii="Calibri" w:hAnsi="Calibri" w:cs="Calibri"/>
          <w:sz w:val="22"/>
          <w:szCs w:val="22"/>
        </w:rPr>
        <w:t xml:space="preserve">The target population for IPV introduction is given in Table </w:t>
      </w:r>
      <w:r w:rsidR="00F56E9F">
        <w:rPr>
          <w:rFonts w:ascii="Calibri" w:hAnsi="Calibri" w:cs="Calibri"/>
          <w:sz w:val="22"/>
          <w:szCs w:val="22"/>
        </w:rPr>
        <w:t>2</w:t>
      </w:r>
      <w:r w:rsidR="00CC4D52" w:rsidRPr="00EA1B24">
        <w:rPr>
          <w:rFonts w:ascii="Calibri" w:hAnsi="Calibri" w:cs="Calibri"/>
          <w:sz w:val="22"/>
          <w:szCs w:val="22"/>
        </w:rPr>
        <w:t xml:space="preserve"> below</w:t>
      </w:r>
    </w:p>
    <w:p w14:paraId="2DC8604B" w14:textId="77777777" w:rsidR="002A6997" w:rsidRPr="0017505A" w:rsidRDefault="00CC4D52" w:rsidP="00F56E9F">
      <w:pPr>
        <w:pStyle w:val="Heading4"/>
        <w:ind w:left="120" w:firstLine="600"/>
        <w:divId w:val="410156154"/>
        <w:rPr>
          <w:rFonts w:ascii="Calibri" w:hAnsi="Calibri" w:cs="Calibri"/>
          <w:b w:val="0"/>
          <w:i w:val="0"/>
          <w:color w:val="auto"/>
          <w:sz w:val="22"/>
          <w:szCs w:val="22"/>
        </w:rPr>
      </w:pPr>
      <w:r w:rsidRPr="00EA1B24">
        <w:rPr>
          <w:rFonts w:ascii="Calibri" w:hAnsi="Calibri" w:cs="Cambria"/>
          <w:b w:val="0"/>
          <w:bCs w:val="0"/>
          <w:sz w:val="22"/>
          <w:szCs w:val="22"/>
        </w:rPr>
        <w:t xml:space="preserve">  </w:t>
      </w:r>
      <w:r w:rsidR="002A6997" w:rsidRPr="0017505A">
        <w:rPr>
          <w:rFonts w:ascii="Calibri" w:hAnsi="Calibri" w:cs="Cambria"/>
          <w:bCs w:val="0"/>
          <w:i w:val="0"/>
          <w:color w:val="auto"/>
          <w:sz w:val="22"/>
          <w:szCs w:val="22"/>
        </w:rPr>
        <w:t xml:space="preserve">Table </w:t>
      </w:r>
      <w:r w:rsidR="00F56E9F">
        <w:rPr>
          <w:rFonts w:ascii="Calibri" w:hAnsi="Calibri" w:cs="Cambria"/>
          <w:bCs w:val="0"/>
          <w:i w:val="0"/>
          <w:color w:val="auto"/>
          <w:sz w:val="22"/>
          <w:szCs w:val="22"/>
        </w:rPr>
        <w:t>2</w:t>
      </w:r>
      <w:r w:rsidR="002A6997" w:rsidRPr="0017505A">
        <w:rPr>
          <w:rFonts w:ascii="Calibri" w:hAnsi="Calibri" w:cs="Cambria"/>
          <w:bCs w:val="0"/>
          <w:i w:val="0"/>
          <w:color w:val="auto"/>
          <w:sz w:val="22"/>
          <w:szCs w:val="22"/>
        </w:rPr>
        <w:t>:</w:t>
      </w:r>
      <w:r w:rsidR="002A6997" w:rsidRPr="0017505A">
        <w:rPr>
          <w:rFonts w:ascii="Calibri" w:hAnsi="Calibri" w:cs="Cambria"/>
          <w:b w:val="0"/>
          <w:bCs w:val="0"/>
          <w:i w:val="0"/>
          <w:color w:val="auto"/>
          <w:sz w:val="22"/>
          <w:szCs w:val="22"/>
        </w:rPr>
        <w:t xml:space="preserve">  Year-wise estimated target population for IPV introduction </w:t>
      </w:r>
    </w:p>
    <w:p w14:paraId="7B22F296" w14:textId="77777777" w:rsidR="00E10165" w:rsidRDefault="00E10165" w:rsidP="00E10165">
      <w:pPr>
        <w:divId w:val="410156154"/>
        <w:rPr>
          <w:rFonts w:ascii="Calibri" w:eastAsia="SimSun" w:hAnsi="Calibri"/>
          <w:color w:val="000000"/>
          <w:sz w:val="22"/>
          <w:szCs w:val="22"/>
        </w:rPr>
      </w:pPr>
    </w:p>
    <w:tbl>
      <w:tblPr>
        <w:tblStyle w:val="TableGrid1"/>
        <w:tblpPr w:leftFromText="180" w:rightFromText="180" w:vertAnchor="text" w:horzAnchor="page" w:tblpX="2363" w:tblpY="-46"/>
        <w:tblW w:w="0" w:type="auto"/>
        <w:tblLook w:val="05A0" w:firstRow="1" w:lastRow="0" w:firstColumn="1" w:lastColumn="1" w:noHBand="0" w:noVBand="1"/>
      </w:tblPr>
      <w:tblGrid>
        <w:gridCol w:w="1278"/>
        <w:gridCol w:w="2232"/>
        <w:gridCol w:w="2552"/>
      </w:tblGrid>
      <w:tr w:rsidR="00CB4586" w:rsidRPr="00B44D95" w14:paraId="05E43B4E" w14:textId="77777777" w:rsidTr="004F5C10">
        <w:trPr>
          <w:divId w:val="410156154"/>
        </w:trPr>
        <w:tc>
          <w:tcPr>
            <w:tcW w:w="1278" w:type="dxa"/>
            <w:shd w:val="clear" w:color="auto" w:fill="D9D9D9" w:themeFill="background1" w:themeFillShade="D9"/>
          </w:tcPr>
          <w:p w14:paraId="06C1606D" w14:textId="77777777" w:rsidR="00CB4586" w:rsidRPr="004F5C10" w:rsidRDefault="00CB4586" w:rsidP="00F56E9F">
            <w:pPr>
              <w:ind w:right="120"/>
              <w:jc w:val="center"/>
              <w:rPr>
                <w:rFonts w:asciiTheme="majorHAnsi" w:hAnsiTheme="majorHAnsi" w:cs="Calibri"/>
                <w:b/>
                <w:sz w:val="22"/>
                <w:szCs w:val="22"/>
                <w:lang w:val="en-US"/>
              </w:rPr>
            </w:pPr>
            <w:r w:rsidRPr="004F5C10">
              <w:rPr>
                <w:rFonts w:asciiTheme="majorHAnsi" w:hAnsiTheme="majorHAnsi" w:cs="Calibri"/>
                <w:b/>
                <w:sz w:val="22"/>
                <w:szCs w:val="22"/>
                <w:lang w:val="en-US"/>
              </w:rPr>
              <w:t>Year</w:t>
            </w:r>
          </w:p>
        </w:tc>
        <w:tc>
          <w:tcPr>
            <w:tcW w:w="2232" w:type="dxa"/>
            <w:shd w:val="clear" w:color="auto" w:fill="D9D9D9" w:themeFill="background1" w:themeFillShade="D9"/>
          </w:tcPr>
          <w:p w14:paraId="439CF9DC" w14:textId="77777777" w:rsidR="00CB4586" w:rsidRPr="004F5C10" w:rsidRDefault="00CB4586" w:rsidP="00F56E9F">
            <w:pPr>
              <w:ind w:right="120"/>
              <w:jc w:val="center"/>
              <w:rPr>
                <w:rFonts w:asciiTheme="majorHAnsi" w:hAnsiTheme="majorHAnsi" w:cs="Calibri"/>
                <w:b/>
                <w:sz w:val="22"/>
                <w:szCs w:val="22"/>
                <w:lang w:val="en-US"/>
              </w:rPr>
            </w:pPr>
            <w:r w:rsidRPr="004F5C10">
              <w:rPr>
                <w:rFonts w:asciiTheme="majorHAnsi" w:hAnsiTheme="majorHAnsi" w:cs="Calibri"/>
                <w:b/>
                <w:sz w:val="22"/>
                <w:szCs w:val="22"/>
                <w:lang w:val="en-US"/>
              </w:rPr>
              <w:t>Number in target population for IPV</w:t>
            </w:r>
            <w:r w:rsidR="00D3762E">
              <w:rPr>
                <w:rFonts w:asciiTheme="majorHAnsi" w:hAnsiTheme="majorHAnsi" w:cs="Calibri"/>
                <w:b/>
                <w:sz w:val="22"/>
                <w:szCs w:val="22"/>
                <w:lang w:val="en-US"/>
              </w:rPr>
              <w:t>*</w:t>
            </w:r>
          </w:p>
        </w:tc>
        <w:tc>
          <w:tcPr>
            <w:tcW w:w="2552" w:type="dxa"/>
            <w:shd w:val="clear" w:color="auto" w:fill="D9D9D9" w:themeFill="background1" w:themeFillShade="D9"/>
          </w:tcPr>
          <w:p w14:paraId="782A329A" w14:textId="77777777" w:rsidR="00CB4586" w:rsidRPr="004F5C10" w:rsidRDefault="00CB4586" w:rsidP="00F56E9F">
            <w:pPr>
              <w:ind w:right="120"/>
              <w:jc w:val="center"/>
              <w:rPr>
                <w:rFonts w:asciiTheme="majorHAnsi" w:hAnsiTheme="majorHAnsi" w:cs="Calibri"/>
                <w:b/>
                <w:sz w:val="22"/>
                <w:szCs w:val="22"/>
                <w:lang w:val="en-US"/>
              </w:rPr>
            </w:pPr>
            <w:r w:rsidRPr="004F5C10">
              <w:rPr>
                <w:rFonts w:asciiTheme="majorHAnsi" w:hAnsiTheme="majorHAnsi" w:cs="Calibri"/>
                <w:b/>
                <w:sz w:val="22"/>
                <w:szCs w:val="22"/>
                <w:lang w:val="en-US"/>
              </w:rPr>
              <w:t>Number in birth cohort</w:t>
            </w:r>
          </w:p>
        </w:tc>
      </w:tr>
      <w:tr w:rsidR="00CB4586" w:rsidRPr="00B44D95" w14:paraId="33D8ADE7" w14:textId="77777777" w:rsidTr="004F5C10">
        <w:trPr>
          <w:divId w:val="410156154"/>
        </w:trPr>
        <w:tc>
          <w:tcPr>
            <w:tcW w:w="1278" w:type="dxa"/>
          </w:tcPr>
          <w:p w14:paraId="1FC3CE78"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2015*</w:t>
            </w:r>
            <w:r w:rsidR="00D3762E">
              <w:rPr>
                <w:rFonts w:asciiTheme="majorHAnsi" w:hAnsiTheme="majorHAnsi" w:cs="Calibri"/>
                <w:sz w:val="22"/>
                <w:szCs w:val="22"/>
                <w:lang w:val="en-US"/>
              </w:rPr>
              <w:t>*</w:t>
            </w:r>
          </w:p>
        </w:tc>
        <w:tc>
          <w:tcPr>
            <w:tcW w:w="2232" w:type="dxa"/>
          </w:tcPr>
          <w:p w14:paraId="35D48EBC"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olor w:val="000000"/>
                <w:sz w:val="22"/>
                <w:szCs w:val="22"/>
              </w:rPr>
              <w:t>6,526,620</w:t>
            </w:r>
          </w:p>
        </w:tc>
        <w:tc>
          <w:tcPr>
            <w:tcW w:w="2552" w:type="dxa"/>
          </w:tcPr>
          <w:p w14:paraId="3674A487"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olor w:val="000000"/>
                <w:sz w:val="22"/>
                <w:szCs w:val="22"/>
              </w:rPr>
              <w:t>6,848,500</w:t>
            </w:r>
          </w:p>
        </w:tc>
      </w:tr>
      <w:tr w:rsidR="00CB4586" w:rsidRPr="00B44D95" w14:paraId="19817AEE" w14:textId="77777777" w:rsidTr="004F5C10">
        <w:trPr>
          <w:divId w:val="410156154"/>
        </w:trPr>
        <w:tc>
          <w:tcPr>
            <w:tcW w:w="1278" w:type="dxa"/>
          </w:tcPr>
          <w:p w14:paraId="1A944F1C"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2016</w:t>
            </w:r>
          </w:p>
        </w:tc>
        <w:tc>
          <w:tcPr>
            <w:tcW w:w="2232" w:type="dxa"/>
          </w:tcPr>
          <w:p w14:paraId="46ABB6FE"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26,106,482</w:t>
            </w:r>
          </w:p>
        </w:tc>
        <w:tc>
          <w:tcPr>
            <w:tcW w:w="2552" w:type="dxa"/>
          </w:tcPr>
          <w:p w14:paraId="44981599"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27,394,000</w:t>
            </w:r>
          </w:p>
        </w:tc>
      </w:tr>
      <w:tr w:rsidR="00CB4586" w14:paraId="4CADCF03" w14:textId="77777777" w:rsidTr="004F5C10">
        <w:trPr>
          <w:divId w:val="410156154"/>
        </w:trPr>
        <w:tc>
          <w:tcPr>
            <w:tcW w:w="1278" w:type="dxa"/>
          </w:tcPr>
          <w:p w14:paraId="1755C8F7"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2017</w:t>
            </w:r>
          </w:p>
        </w:tc>
        <w:tc>
          <w:tcPr>
            <w:tcW w:w="2232" w:type="dxa"/>
          </w:tcPr>
          <w:p w14:paraId="510B70AA"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26,106,482</w:t>
            </w:r>
          </w:p>
        </w:tc>
        <w:tc>
          <w:tcPr>
            <w:tcW w:w="2552" w:type="dxa"/>
          </w:tcPr>
          <w:p w14:paraId="3EEE07CB"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27,394,000</w:t>
            </w:r>
          </w:p>
        </w:tc>
      </w:tr>
      <w:tr w:rsidR="00CB4586" w14:paraId="0BB6486A" w14:textId="77777777" w:rsidTr="004F5C10">
        <w:trPr>
          <w:divId w:val="410156154"/>
        </w:trPr>
        <w:tc>
          <w:tcPr>
            <w:tcW w:w="1278" w:type="dxa"/>
          </w:tcPr>
          <w:p w14:paraId="42EB7EE1"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2018</w:t>
            </w:r>
          </w:p>
        </w:tc>
        <w:tc>
          <w:tcPr>
            <w:tcW w:w="2232" w:type="dxa"/>
          </w:tcPr>
          <w:p w14:paraId="5F6F60F1"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26,106,482</w:t>
            </w:r>
          </w:p>
        </w:tc>
        <w:tc>
          <w:tcPr>
            <w:tcW w:w="2552" w:type="dxa"/>
          </w:tcPr>
          <w:p w14:paraId="4EE6EA45" w14:textId="77777777" w:rsidR="00CB4586" w:rsidRPr="00CB4586" w:rsidRDefault="00CB4586" w:rsidP="00F56E9F">
            <w:pPr>
              <w:ind w:right="120"/>
              <w:jc w:val="center"/>
              <w:rPr>
                <w:rFonts w:asciiTheme="majorHAnsi" w:hAnsiTheme="majorHAnsi" w:cs="Calibri"/>
                <w:sz w:val="22"/>
                <w:szCs w:val="22"/>
                <w:lang w:val="en-US"/>
              </w:rPr>
            </w:pPr>
            <w:r w:rsidRPr="00CB4586">
              <w:rPr>
                <w:rFonts w:asciiTheme="majorHAnsi" w:hAnsiTheme="majorHAnsi" w:cs="Calibri"/>
                <w:sz w:val="22"/>
                <w:szCs w:val="22"/>
                <w:lang w:val="en-US"/>
              </w:rPr>
              <w:t>27,394,000</w:t>
            </w:r>
          </w:p>
        </w:tc>
      </w:tr>
      <w:tr w:rsidR="00CB4586" w14:paraId="7DE0A901" w14:textId="77777777" w:rsidTr="004F5C10">
        <w:trPr>
          <w:divId w:val="410156154"/>
        </w:trPr>
        <w:tc>
          <w:tcPr>
            <w:tcW w:w="1278" w:type="dxa"/>
          </w:tcPr>
          <w:p w14:paraId="6B04BAD6" w14:textId="77777777" w:rsidR="00CB4586" w:rsidRPr="00F3130D" w:rsidRDefault="00CB4586" w:rsidP="00F56E9F">
            <w:pPr>
              <w:ind w:right="120"/>
              <w:jc w:val="center"/>
              <w:rPr>
                <w:rFonts w:asciiTheme="majorHAnsi" w:hAnsiTheme="majorHAnsi" w:cs="Calibri"/>
                <w:b/>
                <w:sz w:val="22"/>
                <w:szCs w:val="22"/>
                <w:lang w:val="en-US"/>
              </w:rPr>
            </w:pPr>
            <w:r w:rsidRPr="00F3130D">
              <w:rPr>
                <w:rFonts w:asciiTheme="majorHAnsi" w:hAnsiTheme="majorHAnsi" w:cs="Calibri"/>
                <w:b/>
                <w:sz w:val="22"/>
                <w:szCs w:val="22"/>
                <w:lang w:val="en-US"/>
              </w:rPr>
              <w:t>Total</w:t>
            </w:r>
          </w:p>
        </w:tc>
        <w:tc>
          <w:tcPr>
            <w:tcW w:w="2232" w:type="dxa"/>
          </w:tcPr>
          <w:p w14:paraId="2F8083A7" w14:textId="77777777" w:rsidR="00CB4586" w:rsidRPr="00F3130D" w:rsidRDefault="00C144C3" w:rsidP="00F56E9F">
            <w:pPr>
              <w:ind w:right="120"/>
              <w:jc w:val="center"/>
              <w:rPr>
                <w:rFonts w:asciiTheme="majorHAnsi" w:hAnsiTheme="majorHAnsi" w:cs="Calibri"/>
                <w:b/>
                <w:sz w:val="22"/>
                <w:szCs w:val="22"/>
                <w:lang w:val="en-US"/>
              </w:rPr>
            </w:pPr>
            <w:r>
              <w:rPr>
                <w:rFonts w:asciiTheme="majorHAnsi" w:hAnsiTheme="majorHAnsi"/>
                <w:b/>
                <w:color w:val="000000"/>
                <w:sz w:val="22"/>
                <w:szCs w:val="22"/>
              </w:rPr>
              <w:t>78,319,</w:t>
            </w:r>
            <w:r w:rsidR="00CB4586" w:rsidRPr="00F3130D">
              <w:rPr>
                <w:rFonts w:asciiTheme="majorHAnsi" w:hAnsiTheme="majorHAnsi"/>
                <w:b/>
                <w:color w:val="000000"/>
                <w:sz w:val="22"/>
                <w:szCs w:val="22"/>
              </w:rPr>
              <w:t>446</w:t>
            </w:r>
          </w:p>
        </w:tc>
        <w:tc>
          <w:tcPr>
            <w:tcW w:w="2552" w:type="dxa"/>
          </w:tcPr>
          <w:p w14:paraId="70476453" w14:textId="77777777" w:rsidR="00CB4586" w:rsidRPr="00F3130D" w:rsidRDefault="00C144C3" w:rsidP="00F56E9F">
            <w:pPr>
              <w:ind w:right="120"/>
              <w:jc w:val="center"/>
              <w:rPr>
                <w:rFonts w:asciiTheme="majorHAnsi" w:hAnsiTheme="majorHAnsi" w:cs="Calibri"/>
                <w:b/>
                <w:i/>
                <w:sz w:val="22"/>
                <w:szCs w:val="22"/>
                <w:lang w:val="en-US"/>
              </w:rPr>
            </w:pPr>
            <w:r>
              <w:rPr>
                <w:rFonts w:asciiTheme="majorHAnsi" w:hAnsiTheme="majorHAnsi"/>
                <w:b/>
                <w:color w:val="000000"/>
                <w:sz w:val="22"/>
                <w:szCs w:val="22"/>
              </w:rPr>
              <w:t>82,182,</w:t>
            </w:r>
            <w:r w:rsidR="00CB4586" w:rsidRPr="00F3130D">
              <w:rPr>
                <w:rFonts w:asciiTheme="majorHAnsi" w:hAnsiTheme="majorHAnsi"/>
                <w:b/>
                <w:color w:val="000000"/>
                <w:sz w:val="22"/>
                <w:szCs w:val="22"/>
              </w:rPr>
              <w:t>000</w:t>
            </w:r>
          </w:p>
        </w:tc>
      </w:tr>
    </w:tbl>
    <w:p w14:paraId="2EC07816" w14:textId="77777777" w:rsidR="00CB4586" w:rsidRDefault="00CB4586" w:rsidP="00E10165">
      <w:pPr>
        <w:divId w:val="410156154"/>
        <w:rPr>
          <w:rFonts w:ascii="Calibri" w:eastAsia="SimSun" w:hAnsi="Calibri"/>
          <w:color w:val="000000"/>
          <w:sz w:val="22"/>
          <w:szCs w:val="22"/>
        </w:rPr>
      </w:pPr>
    </w:p>
    <w:p w14:paraId="28CBAD0D" w14:textId="77777777" w:rsidR="00CB4586" w:rsidRDefault="00CB4586" w:rsidP="00E10165">
      <w:pPr>
        <w:divId w:val="410156154"/>
        <w:rPr>
          <w:rFonts w:ascii="Calibri" w:eastAsia="SimSun" w:hAnsi="Calibri"/>
          <w:color w:val="000000"/>
          <w:sz w:val="22"/>
          <w:szCs w:val="22"/>
        </w:rPr>
      </w:pPr>
    </w:p>
    <w:p w14:paraId="28BA8306" w14:textId="77777777" w:rsidR="00CB4586" w:rsidRDefault="00CB4586" w:rsidP="00E10165">
      <w:pPr>
        <w:divId w:val="410156154"/>
        <w:rPr>
          <w:rFonts w:ascii="Calibri" w:eastAsia="SimSun" w:hAnsi="Calibri"/>
          <w:color w:val="000000"/>
          <w:sz w:val="22"/>
          <w:szCs w:val="22"/>
        </w:rPr>
      </w:pPr>
    </w:p>
    <w:p w14:paraId="1641329B" w14:textId="77777777" w:rsidR="00CB4586" w:rsidRDefault="00CB4586" w:rsidP="00E10165">
      <w:pPr>
        <w:divId w:val="410156154"/>
        <w:rPr>
          <w:rFonts w:ascii="Calibri" w:eastAsia="SimSun" w:hAnsi="Calibri"/>
          <w:color w:val="000000"/>
          <w:sz w:val="22"/>
          <w:szCs w:val="22"/>
        </w:rPr>
      </w:pPr>
    </w:p>
    <w:p w14:paraId="5E3F2B57" w14:textId="77777777" w:rsidR="00CB4586" w:rsidRDefault="00CB4586" w:rsidP="00E10165">
      <w:pPr>
        <w:divId w:val="410156154"/>
        <w:rPr>
          <w:rFonts w:ascii="Calibri" w:eastAsia="SimSun" w:hAnsi="Calibri"/>
          <w:color w:val="000000"/>
          <w:sz w:val="22"/>
          <w:szCs w:val="22"/>
        </w:rPr>
      </w:pPr>
    </w:p>
    <w:p w14:paraId="386E89F0" w14:textId="77777777" w:rsidR="00CB4586" w:rsidRDefault="00CB4586" w:rsidP="00E10165">
      <w:pPr>
        <w:divId w:val="410156154"/>
        <w:rPr>
          <w:rFonts w:ascii="Calibri" w:eastAsia="SimSun" w:hAnsi="Calibri"/>
          <w:color w:val="000000"/>
          <w:sz w:val="22"/>
          <w:szCs w:val="22"/>
        </w:rPr>
      </w:pPr>
    </w:p>
    <w:p w14:paraId="03AE9428" w14:textId="77777777" w:rsidR="00CB4586" w:rsidRDefault="00CB4586" w:rsidP="00E10165">
      <w:pPr>
        <w:divId w:val="410156154"/>
        <w:rPr>
          <w:rFonts w:ascii="Calibri" w:eastAsia="SimSun" w:hAnsi="Calibri"/>
          <w:color w:val="000000"/>
          <w:sz w:val="22"/>
          <w:szCs w:val="22"/>
        </w:rPr>
      </w:pPr>
    </w:p>
    <w:p w14:paraId="5B767F72" w14:textId="77777777" w:rsidR="00CB4586" w:rsidRDefault="00CB4586" w:rsidP="00E10165">
      <w:pPr>
        <w:divId w:val="410156154"/>
        <w:rPr>
          <w:rFonts w:ascii="Calibri" w:eastAsia="SimSun" w:hAnsi="Calibri"/>
          <w:color w:val="000000"/>
          <w:sz w:val="22"/>
          <w:szCs w:val="22"/>
        </w:rPr>
      </w:pPr>
    </w:p>
    <w:p w14:paraId="6C042C1A" w14:textId="77777777" w:rsidR="00D3762E" w:rsidRDefault="004F5C10" w:rsidP="004F5C10">
      <w:pPr>
        <w:divId w:val="410156154"/>
        <w:rPr>
          <w:rFonts w:ascii="Calibri" w:hAnsi="Calibri" w:cs="Calibri"/>
          <w:sz w:val="22"/>
          <w:szCs w:val="22"/>
          <w:lang w:val="en-US"/>
        </w:rPr>
      </w:pPr>
      <w:r>
        <w:rPr>
          <w:rFonts w:ascii="Calibri" w:hAnsi="Calibri" w:cs="Calibri"/>
          <w:sz w:val="22"/>
          <w:szCs w:val="22"/>
          <w:lang w:val="en-US"/>
        </w:rPr>
        <w:t xml:space="preserve">              </w:t>
      </w:r>
      <w:r w:rsidR="00CB4586">
        <w:rPr>
          <w:rFonts w:ascii="Calibri" w:hAnsi="Calibri" w:cs="Calibri"/>
          <w:sz w:val="22"/>
          <w:szCs w:val="22"/>
          <w:lang w:val="en-US"/>
        </w:rPr>
        <w:t xml:space="preserve">* </w:t>
      </w:r>
      <w:r w:rsidR="00D3762E">
        <w:rPr>
          <w:rFonts w:ascii="Calibri" w:hAnsi="Calibri" w:cs="Calibri"/>
          <w:sz w:val="22"/>
          <w:szCs w:val="22"/>
          <w:lang w:val="en-US"/>
        </w:rPr>
        <w:t>Excludes infant deaths</w:t>
      </w:r>
      <w:bookmarkStart w:id="7" w:name="_GoBack"/>
      <w:bookmarkEnd w:id="7"/>
    </w:p>
    <w:p w14:paraId="771CCCAA" w14:textId="77777777" w:rsidR="000941BA" w:rsidRPr="000941BA" w:rsidRDefault="00D3762E" w:rsidP="00D3762E">
      <w:pPr>
        <w:ind w:left="120" w:firstLine="600"/>
        <w:divId w:val="410156154"/>
        <w:rPr>
          <w:rFonts w:ascii="Calibri" w:hAnsi="Calibri" w:cs="Calibri"/>
          <w:sz w:val="22"/>
          <w:szCs w:val="22"/>
          <w:lang w:val="en-US"/>
        </w:rPr>
      </w:pPr>
      <w:r>
        <w:rPr>
          <w:rFonts w:ascii="Calibri" w:hAnsi="Calibri" w:cs="Calibri"/>
          <w:sz w:val="22"/>
          <w:szCs w:val="22"/>
          <w:lang w:val="en-US"/>
        </w:rPr>
        <w:t>**</w:t>
      </w:r>
      <w:r w:rsidR="00CB4586">
        <w:rPr>
          <w:rFonts w:ascii="Calibri" w:hAnsi="Calibri" w:cs="Calibri"/>
          <w:sz w:val="22"/>
          <w:szCs w:val="22"/>
          <w:lang w:val="en-US"/>
        </w:rPr>
        <w:t>Target population for the last quarter only</w:t>
      </w:r>
    </w:p>
    <w:p w14:paraId="26E49344" w14:textId="77777777" w:rsidR="00CB4586" w:rsidRDefault="00CB4586" w:rsidP="00E10165">
      <w:pPr>
        <w:divId w:val="410156154"/>
        <w:rPr>
          <w:rFonts w:ascii="Calibri" w:eastAsia="SimSun" w:hAnsi="Calibri"/>
          <w:color w:val="000000"/>
          <w:sz w:val="22"/>
          <w:szCs w:val="22"/>
        </w:rPr>
      </w:pPr>
    </w:p>
    <w:p w14:paraId="29F254C5" w14:textId="77777777" w:rsidR="001D4D05" w:rsidRDefault="001D4D05" w:rsidP="00E10165">
      <w:pPr>
        <w:divId w:val="410156154"/>
        <w:rPr>
          <w:rFonts w:ascii="Calibri" w:eastAsia="SimSun" w:hAnsi="Calibri"/>
          <w:color w:val="000000"/>
          <w:sz w:val="22"/>
          <w:szCs w:val="22"/>
        </w:rPr>
      </w:pPr>
    </w:p>
    <w:p w14:paraId="50AAE4D4" w14:textId="77777777" w:rsidR="00045D39" w:rsidRDefault="00045D39" w:rsidP="00E10165">
      <w:pPr>
        <w:divId w:val="410156154"/>
        <w:rPr>
          <w:rFonts w:ascii="Calibri" w:eastAsia="SimSun" w:hAnsi="Calibri"/>
          <w:color w:val="000000"/>
          <w:sz w:val="22"/>
          <w:szCs w:val="22"/>
        </w:rPr>
      </w:pPr>
    </w:p>
    <w:p w14:paraId="47197BFF" w14:textId="77777777" w:rsidR="00045D39" w:rsidRDefault="00045D39" w:rsidP="00E10165">
      <w:pPr>
        <w:divId w:val="410156154"/>
        <w:rPr>
          <w:rFonts w:ascii="Calibri" w:eastAsia="SimSun" w:hAnsi="Calibri"/>
          <w:color w:val="000000"/>
          <w:sz w:val="22"/>
          <w:szCs w:val="22"/>
        </w:rPr>
      </w:pPr>
    </w:p>
    <w:p w14:paraId="37B6BD74" w14:textId="77777777" w:rsidR="00784508" w:rsidRPr="005B5EE7" w:rsidRDefault="005B5EE7" w:rsidP="00597007">
      <w:pPr>
        <w:jc w:val="both"/>
        <w:divId w:val="410156154"/>
        <w:rPr>
          <w:rFonts w:ascii="Calibri" w:hAnsi="Calibri"/>
          <w:bCs/>
          <w:color w:val="1F497D"/>
          <w:sz w:val="22"/>
        </w:rPr>
      </w:pPr>
      <w:r w:rsidRPr="005B5EE7">
        <w:rPr>
          <w:rFonts w:ascii="Calibri" w:hAnsi="Calibri"/>
          <w:bCs/>
          <w:color w:val="1F497D"/>
          <w:sz w:val="22"/>
        </w:rPr>
        <w:t xml:space="preserve">2.4 </w:t>
      </w:r>
      <w:r w:rsidR="00597007" w:rsidRPr="005B5EE7">
        <w:rPr>
          <w:rFonts w:ascii="Calibri" w:hAnsi="Calibri"/>
          <w:bCs/>
          <w:color w:val="1F497D"/>
          <w:sz w:val="22"/>
        </w:rPr>
        <w:t>Vaccine Wastage &amp; Buffer stocks</w:t>
      </w:r>
    </w:p>
    <w:p w14:paraId="788EE07B" w14:textId="77777777" w:rsidR="00597007" w:rsidRPr="00784508" w:rsidRDefault="00597007" w:rsidP="00597007">
      <w:pPr>
        <w:jc w:val="both"/>
        <w:divId w:val="410156154"/>
        <w:rPr>
          <w:rFonts w:ascii="Calibri" w:hAnsi="Calibri"/>
          <w:bCs/>
          <w:color w:val="1F497D"/>
        </w:rPr>
      </w:pPr>
      <w:r w:rsidRPr="00784508">
        <w:rPr>
          <w:rFonts w:ascii="Calibri" w:hAnsi="Calibri"/>
          <w:bCs/>
          <w:color w:val="1F497D"/>
        </w:rPr>
        <w:t xml:space="preserve"> </w:t>
      </w:r>
    </w:p>
    <w:p w14:paraId="1C46CA9E" w14:textId="77777777" w:rsidR="00597007" w:rsidRDefault="00597007" w:rsidP="00AB4202">
      <w:pPr>
        <w:autoSpaceDE w:val="0"/>
        <w:autoSpaceDN w:val="0"/>
        <w:adjustRightInd w:val="0"/>
        <w:jc w:val="both"/>
        <w:divId w:val="410156154"/>
        <w:rPr>
          <w:rFonts w:asciiTheme="majorHAnsi" w:hAnsiTheme="majorHAnsi" w:cs="Calibri"/>
          <w:sz w:val="22"/>
          <w:szCs w:val="22"/>
        </w:rPr>
      </w:pPr>
      <w:r w:rsidRPr="00597007">
        <w:rPr>
          <w:rFonts w:asciiTheme="majorHAnsi" w:hAnsiTheme="majorHAnsi" w:cs="Calibri"/>
          <w:sz w:val="22"/>
          <w:szCs w:val="22"/>
        </w:rPr>
        <w:t>Vaccine wastage is an important feature in determining the quantity of vaccine required to be procured.</w:t>
      </w:r>
      <w:r w:rsidR="00EC1A57" w:rsidRPr="00EC1A57">
        <w:rPr>
          <w:rFonts w:asciiTheme="majorHAnsi" w:hAnsiTheme="majorHAnsi" w:cs="Calibri"/>
          <w:sz w:val="22"/>
          <w:szCs w:val="22"/>
        </w:rPr>
        <w:t xml:space="preserve"> </w:t>
      </w:r>
      <w:r w:rsidR="00AB4202" w:rsidRPr="00AB4202">
        <w:rPr>
          <w:rFonts w:asciiTheme="majorHAnsi" w:hAnsiTheme="majorHAnsi" w:cs="Calibri"/>
          <w:sz w:val="22"/>
          <w:szCs w:val="22"/>
        </w:rPr>
        <w:t>Considering national data and</w:t>
      </w:r>
      <w:r w:rsidR="00EC1A57" w:rsidRPr="00AB4202">
        <w:rPr>
          <w:rFonts w:asciiTheme="majorHAnsi" w:hAnsiTheme="majorHAnsi" w:cs="Calibri"/>
          <w:sz w:val="22"/>
          <w:szCs w:val="22"/>
        </w:rPr>
        <w:t xml:space="preserve"> as per </w:t>
      </w:r>
      <w:r w:rsidR="00AB4202" w:rsidRPr="00AB4202">
        <w:rPr>
          <w:rFonts w:asciiTheme="majorHAnsi" w:hAnsiTheme="majorHAnsi" w:cs="Calibri"/>
          <w:sz w:val="22"/>
          <w:szCs w:val="22"/>
        </w:rPr>
        <w:t>a</w:t>
      </w:r>
      <w:r w:rsidR="00EC1A57" w:rsidRPr="00AB4202">
        <w:rPr>
          <w:rFonts w:asciiTheme="majorHAnsi" w:hAnsiTheme="majorHAnsi" w:cs="Calibri"/>
          <w:sz w:val="22"/>
          <w:szCs w:val="22"/>
        </w:rPr>
        <w:t xml:space="preserve"> study conducted by I</w:t>
      </w:r>
      <w:r w:rsidR="009D0E75" w:rsidRPr="00AB4202">
        <w:rPr>
          <w:rFonts w:asciiTheme="majorHAnsi" w:hAnsiTheme="majorHAnsi" w:cs="Calibri"/>
          <w:sz w:val="22"/>
          <w:szCs w:val="22"/>
        </w:rPr>
        <w:t xml:space="preserve">mmunization </w:t>
      </w:r>
      <w:r w:rsidR="00EC1A57" w:rsidRPr="00AB4202">
        <w:rPr>
          <w:rFonts w:asciiTheme="majorHAnsi" w:hAnsiTheme="majorHAnsi" w:cs="Calibri"/>
          <w:sz w:val="22"/>
          <w:szCs w:val="22"/>
        </w:rPr>
        <w:t>T</w:t>
      </w:r>
      <w:r w:rsidR="009D0E75" w:rsidRPr="00AB4202">
        <w:rPr>
          <w:rFonts w:asciiTheme="majorHAnsi" w:hAnsiTheme="majorHAnsi" w:cs="Calibri"/>
          <w:sz w:val="22"/>
          <w:szCs w:val="22"/>
        </w:rPr>
        <w:t xml:space="preserve">echnical </w:t>
      </w:r>
      <w:r w:rsidR="00EC1A57" w:rsidRPr="00AB4202">
        <w:rPr>
          <w:rFonts w:asciiTheme="majorHAnsi" w:hAnsiTheme="majorHAnsi" w:cs="Calibri"/>
          <w:sz w:val="22"/>
          <w:szCs w:val="22"/>
        </w:rPr>
        <w:t>S</w:t>
      </w:r>
      <w:r w:rsidR="009D0E75" w:rsidRPr="00AB4202">
        <w:rPr>
          <w:rFonts w:asciiTheme="majorHAnsi" w:hAnsiTheme="majorHAnsi" w:cs="Calibri"/>
          <w:sz w:val="22"/>
          <w:szCs w:val="22"/>
        </w:rPr>
        <w:t xml:space="preserve">upport </w:t>
      </w:r>
      <w:r w:rsidR="00EC1A57" w:rsidRPr="00AB4202">
        <w:rPr>
          <w:rFonts w:asciiTheme="majorHAnsi" w:hAnsiTheme="majorHAnsi" w:cs="Calibri"/>
          <w:sz w:val="22"/>
          <w:szCs w:val="22"/>
        </w:rPr>
        <w:t>U</w:t>
      </w:r>
      <w:r w:rsidR="009D0E75" w:rsidRPr="00AB4202">
        <w:rPr>
          <w:rFonts w:asciiTheme="majorHAnsi" w:hAnsiTheme="majorHAnsi" w:cs="Calibri"/>
          <w:sz w:val="22"/>
          <w:szCs w:val="22"/>
        </w:rPr>
        <w:t>nit (ITSU)</w:t>
      </w:r>
      <w:r w:rsidRPr="00AB4202">
        <w:rPr>
          <w:rFonts w:asciiTheme="majorHAnsi" w:hAnsiTheme="majorHAnsi" w:cs="Calibri"/>
          <w:sz w:val="22"/>
          <w:szCs w:val="22"/>
        </w:rPr>
        <w:t xml:space="preserve"> </w:t>
      </w:r>
      <w:r w:rsidR="00EC1A57" w:rsidRPr="00AB4202">
        <w:rPr>
          <w:rFonts w:asciiTheme="majorHAnsi" w:hAnsiTheme="majorHAnsi" w:cs="Calibri"/>
          <w:sz w:val="22"/>
          <w:szCs w:val="22"/>
        </w:rPr>
        <w:t xml:space="preserve">10 dose vial </w:t>
      </w:r>
      <w:r w:rsidR="0066180B" w:rsidRPr="00AB4202">
        <w:rPr>
          <w:rFonts w:asciiTheme="majorHAnsi" w:hAnsiTheme="majorHAnsi" w:cs="Calibri"/>
          <w:sz w:val="22"/>
          <w:szCs w:val="22"/>
        </w:rPr>
        <w:t xml:space="preserve">will </w:t>
      </w:r>
      <w:r w:rsidR="0015797D" w:rsidRPr="00AB4202">
        <w:rPr>
          <w:rFonts w:asciiTheme="majorHAnsi" w:hAnsiTheme="majorHAnsi" w:cs="Calibri"/>
          <w:sz w:val="22"/>
          <w:szCs w:val="22"/>
        </w:rPr>
        <w:t>result</w:t>
      </w:r>
      <w:r w:rsidR="00EC1A57" w:rsidRPr="00AB4202">
        <w:rPr>
          <w:rFonts w:asciiTheme="majorHAnsi" w:hAnsiTheme="majorHAnsi" w:cs="Calibri"/>
          <w:sz w:val="22"/>
          <w:szCs w:val="22"/>
        </w:rPr>
        <w:t xml:space="preserve"> in considerable vaccine </w:t>
      </w:r>
      <w:r w:rsidR="009D0E75" w:rsidRPr="00AB4202">
        <w:rPr>
          <w:rFonts w:asciiTheme="majorHAnsi" w:hAnsiTheme="majorHAnsi" w:cs="Calibri"/>
          <w:sz w:val="22"/>
          <w:szCs w:val="22"/>
        </w:rPr>
        <w:t>wastage</w:t>
      </w:r>
      <w:r w:rsidR="00EC1A57" w:rsidRPr="00AB4202">
        <w:rPr>
          <w:rFonts w:asciiTheme="majorHAnsi" w:hAnsiTheme="majorHAnsi" w:cs="Calibri"/>
          <w:sz w:val="22"/>
          <w:szCs w:val="22"/>
        </w:rPr>
        <w:t xml:space="preserve"> of 70% </w:t>
      </w:r>
      <w:r w:rsidR="00AB4202" w:rsidRPr="00AB4202">
        <w:rPr>
          <w:rFonts w:asciiTheme="majorHAnsi" w:hAnsiTheme="majorHAnsi" w:cs="Calibri"/>
          <w:sz w:val="22"/>
          <w:szCs w:val="22"/>
        </w:rPr>
        <w:t>and 30% wastage for 5-dose vials in India</w:t>
      </w:r>
      <w:r w:rsidRPr="00597007">
        <w:rPr>
          <w:rFonts w:asciiTheme="majorHAnsi" w:hAnsiTheme="majorHAnsi" w:cs="Calibri"/>
          <w:sz w:val="22"/>
          <w:szCs w:val="22"/>
        </w:rPr>
        <w:t>. A contributory factor to wastage is the non-applicability of the Open Vial Policy for IPV, i.e. once opened, the vial must be discarded after six hours, irrespective of utilization or VVM status.</w:t>
      </w:r>
    </w:p>
    <w:p w14:paraId="62D7D3A8" w14:textId="77777777" w:rsidR="00597007" w:rsidRPr="00597007" w:rsidRDefault="00597007" w:rsidP="00597007">
      <w:pPr>
        <w:autoSpaceDE w:val="0"/>
        <w:autoSpaceDN w:val="0"/>
        <w:adjustRightInd w:val="0"/>
        <w:jc w:val="both"/>
        <w:divId w:val="410156154"/>
        <w:rPr>
          <w:rFonts w:asciiTheme="majorHAnsi" w:hAnsiTheme="majorHAnsi" w:cs="Calibri"/>
          <w:sz w:val="22"/>
          <w:szCs w:val="22"/>
        </w:rPr>
      </w:pPr>
    </w:p>
    <w:p w14:paraId="0CDFC015" w14:textId="77777777" w:rsidR="004C7A7B" w:rsidRPr="00597007" w:rsidRDefault="004C7A7B" w:rsidP="004C7A7B">
      <w:pPr>
        <w:autoSpaceDE w:val="0"/>
        <w:autoSpaceDN w:val="0"/>
        <w:adjustRightInd w:val="0"/>
        <w:jc w:val="both"/>
        <w:divId w:val="410156154"/>
        <w:rPr>
          <w:rFonts w:asciiTheme="majorHAnsi" w:hAnsiTheme="majorHAnsi" w:cs="Calibri"/>
          <w:sz w:val="22"/>
          <w:szCs w:val="22"/>
        </w:rPr>
      </w:pPr>
      <w:r w:rsidRPr="00597007">
        <w:rPr>
          <w:rFonts w:asciiTheme="majorHAnsi" w:hAnsiTheme="majorHAnsi" w:cs="Calibri"/>
          <w:sz w:val="22"/>
          <w:szCs w:val="22"/>
        </w:rPr>
        <w:t>The buffer stock recommended is 25% for the first year of vaccine introduction and in subsequent years, the data on coverage and vaccine utilization can be analyzed and appropriate buffer stocks calculated for the following years.</w:t>
      </w:r>
      <w:r>
        <w:rPr>
          <w:rFonts w:asciiTheme="majorHAnsi" w:hAnsiTheme="majorHAnsi" w:cs="Calibri"/>
          <w:sz w:val="22"/>
          <w:szCs w:val="22"/>
        </w:rPr>
        <w:t xml:space="preserve"> </w:t>
      </w:r>
      <w:r w:rsidRPr="00597007">
        <w:rPr>
          <w:rFonts w:asciiTheme="majorHAnsi" w:hAnsiTheme="majorHAnsi" w:cs="Calibri"/>
          <w:sz w:val="22"/>
          <w:szCs w:val="22"/>
        </w:rPr>
        <w:t>Reduction of vaccine wastage will be a focus</w:t>
      </w:r>
      <w:r>
        <w:rPr>
          <w:rFonts w:asciiTheme="majorHAnsi" w:hAnsiTheme="majorHAnsi" w:cs="Calibri"/>
          <w:sz w:val="22"/>
          <w:szCs w:val="22"/>
        </w:rPr>
        <w:t>;</w:t>
      </w:r>
      <w:r w:rsidRPr="00597007">
        <w:rPr>
          <w:rFonts w:asciiTheme="majorHAnsi" w:hAnsiTheme="majorHAnsi" w:cs="Calibri"/>
          <w:sz w:val="22"/>
          <w:szCs w:val="22"/>
        </w:rPr>
        <w:t xml:space="preserve"> </w:t>
      </w:r>
      <w:r>
        <w:rPr>
          <w:rFonts w:asciiTheme="majorHAnsi" w:hAnsiTheme="majorHAnsi" w:cs="Calibri"/>
          <w:sz w:val="22"/>
          <w:szCs w:val="22"/>
        </w:rPr>
        <w:t xml:space="preserve"> </w:t>
      </w:r>
      <w:r w:rsidRPr="00597007">
        <w:rPr>
          <w:rFonts w:asciiTheme="majorHAnsi" w:hAnsiTheme="majorHAnsi" w:cs="Calibri"/>
          <w:sz w:val="22"/>
          <w:szCs w:val="22"/>
        </w:rPr>
        <w:t xml:space="preserve">refresher trainings for all frontline health staff </w:t>
      </w:r>
      <w:r>
        <w:rPr>
          <w:rFonts w:asciiTheme="majorHAnsi" w:hAnsiTheme="majorHAnsi" w:cs="Calibri"/>
          <w:sz w:val="22"/>
          <w:szCs w:val="22"/>
        </w:rPr>
        <w:t xml:space="preserve">will be conducted </w:t>
      </w:r>
      <w:r w:rsidRPr="00597007">
        <w:rPr>
          <w:rFonts w:asciiTheme="majorHAnsi" w:hAnsiTheme="majorHAnsi" w:cs="Calibri"/>
          <w:sz w:val="22"/>
          <w:szCs w:val="22"/>
        </w:rPr>
        <w:t>to help them better understand the importance of careful utilization of the vaccine.</w:t>
      </w:r>
    </w:p>
    <w:p w14:paraId="7ED89641" w14:textId="77777777" w:rsidR="00597007" w:rsidRPr="005B5EE7" w:rsidRDefault="00597007" w:rsidP="00E10165">
      <w:pPr>
        <w:divId w:val="410156154"/>
        <w:rPr>
          <w:rFonts w:ascii="Calibri" w:eastAsia="SimSun" w:hAnsi="Calibri"/>
          <w:color w:val="000000"/>
          <w:sz w:val="20"/>
          <w:szCs w:val="22"/>
        </w:rPr>
      </w:pPr>
    </w:p>
    <w:p w14:paraId="56093765" w14:textId="77777777" w:rsidR="00597007" w:rsidRDefault="005B5EE7" w:rsidP="00597007">
      <w:pPr>
        <w:jc w:val="both"/>
        <w:divId w:val="410156154"/>
        <w:rPr>
          <w:rFonts w:ascii="Calibri" w:hAnsi="Calibri"/>
          <w:bCs/>
          <w:color w:val="1F497D"/>
          <w:sz w:val="22"/>
        </w:rPr>
      </w:pPr>
      <w:r w:rsidRPr="005B5EE7">
        <w:rPr>
          <w:rFonts w:ascii="Calibri" w:hAnsi="Calibri"/>
          <w:bCs/>
          <w:color w:val="1F497D"/>
          <w:sz w:val="22"/>
        </w:rPr>
        <w:t xml:space="preserve">2.5 </w:t>
      </w:r>
      <w:r w:rsidR="00597007" w:rsidRPr="005B5EE7">
        <w:rPr>
          <w:rFonts w:ascii="Calibri" w:hAnsi="Calibri"/>
          <w:bCs/>
          <w:color w:val="1F497D"/>
          <w:sz w:val="22"/>
        </w:rPr>
        <w:t xml:space="preserve">Vaccine requirement </w:t>
      </w:r>
    </w:p>
    <w:p w14:paraId="3A9EFA3A" w14:textId="77777777" w:rsidR="005B5EE7" w:rsidRPr="005B5EE7" w:rsidRDefault="005B5EE7" w:rsidP="00597007">
      <w:pPr>
        <w:jc w:val="both"/>
        <w:divId w:val="410156154"/>
        <w:rPr>
          <w:rFonts w:ascii="Calibri" w:hAnsi="Calibri"/>
          <w:bCs/>
          <w:color w:val="1F497D"/>
          <w:sz w:val="22"/>
        </w:rPr>
      </w:pPr>
    </w:p>
    <w:p w14:paraId="7FF2696B" w14:textId="77777777" w:rsidR="00597007" w:rsidRPr="00597007" w:rsidRDefault="00597007" w:rsidP="004157E0">
      <w:pPr>
        <w:autoSpaceDE w:val="0"/>
        <w:autoSpaceDN w:val="0"/>
        <w:adjustRightInd w:val="0"/>
        <w:jc w:val="both"/>
        <w:divId w:val="410156154"/>
        <w:rPr>
          <w:rFonts w:asciiTheme="majorHAnsi" w:hAnsiTheme="majorHAnsi" w:cs="Calibri"/>
          <w:sz w:val="22"/>
          <w:szCs w:val="22"/>
        </w:rPr>
      </w:pPr>
      <w:r w:rsidRPr="00597007">
        <w:rPr>
          <w:rFonts w:asciiTheme="majorHAnsi" w:hAnsiTheme="majorHAnsi" w:cs="Calibri"/>
          <w:sz w:val="22"/>
          <w:szCs w:val="22"/>
        </w:rPr>
        <w:t xml:space="preserve">India will require approximately </w:t>
      </w:r>
      <w:r w:rsidR="0043177F">
        <w:rPr>
          <w:rFonts w:asciiTheme="majorHAnsi" w:hAnsiTheme="majorHAnsi" w:cs="Calibri"/>
          <w:sz w:val="22"/>
          <w:szCs w:val="22"/>
        </w:rPr>
        <w:t>26</w:t>
      </w:r>
      <w:r w:rsidRPr="00597007">
        <w:rPr>
          <w:rFonts w:asciiTheme="majorHAnsi" w:hAnsiTheme="majorHAnsi" w:cs="Calibri"/>
          <w:sz w:val="22"/>
          <w:szCs w:val="22"/>
        </w:rPr>
        <w:t xml:space="preserve"> to </w:t>
      </w:r>
      <w:r w:rsidR="0043177F">
        <w:rPr>
          <w:rFonts w:asciiTheme="majorHAnsi" w:hAnsiTheme="majorHAnsi" w:cs="Calibri"/>
          <w:sz w:val="22"/>
          <w:szCs w:val="22"/>
        </w:rPr>
        <w:t>60</w:t>
      </w:r>
      <w:r w:rsidRPr="00597007">
        <w:rPr>
          <w:rFonts w:asciiTheme="majorHAnsi" w:hAnsiTheme="majorHAnsi" w:cs="Calibri"/>
          <w:sz w:val="22"/>
          <w:szCs w:val="22"/>
        </w:rPr>
        <w:t xml:space="preserve"> million doses of IPV </w:t>
      </w:r>
      <w:r w:rsidR="00AB4202">
        <w:rPr>
          <w:rFonts w:asciiTheme="majorHAnsi" w:hAnsiTheme="majorHAnsi" w:cs="Calibri"/>
          <w:sz w:val="22"/>
          <w:szCs w:val="22"/>
        </w:rPr>
        <w:t>each year depending on the vial size</w:t>
      </w:r>
      <w:r w:rsidRPr="00597007">
        <w:rPr>
          <w:rFonts w:asciiTheme="majorHAnsi" w:hAnsiTheme="majorHAnsi" w:cs="Calibri"/>
          <w:sz w:val="22"/>
          <w:szCs w:val="22"/>
        </w:rPr>
        <w:t xml:space="preserve">. Taking into consideration the </w:t>
      </w:r>
      <w:r w:rsidR="00F11C4B">
        <w:rPr>
          <w:rFonts w:asciiTheme="majorHAnsi" w:hAnsiTheme="majorHAnsi" w:cs="Calibri"/>
          <w:sz w:val="22"/>
          <w:szCs w:val="22"/>
        </w:rPr>
        <w:t xml:space="preserve">national annual cohort of surviving infants </w:t>
      </w:r>
      <w:r w:rsidRPr="00597007">
        <w:rPr>
          <w:rFonts w:asciiTheme="majorHAnsi" w:hAnsiTheme="majorHAnsi" w:cs="Calibri"/>
          <w:sz w:val="22"/>
          <w:szCs w:val="22"/>
        </w:rPr>
        <w:t xml:space="preserve">and the vaccine wastage rates for the </w:t>
      </w:r>
      <w:r w:rsidR="00093157">
        <w:rPr>
          <w:rFonts w:asciiTheme="majorHAnsi" w:hAnsiTheme="majorHAnsi" w:cs="Calibri"/>
          <w:sz w:val="22"/>
          <w:szCs w:val="22"/>
        </w:rPr>
        <w:t>5 and 10-dose vial size</w:t>
      </w:r>
      <w:r w:rsidRPr="00597007">
        <w:rPr>
          <w:rFonts w:asciiTheme="majorHAnsi" w:hAnsiTheme="majorHAnsi" w:cs="Calibri"/>
          <w:sz w:val="22"/>
          <w:szCs w:val="22"/>
        </w:rPr>
        <w:t xml:space="preserve">, the projected requirements of vaccine </w:t>
      </w:r>
      <w:r w:rsidR="00093157">
        <w:rPr>
          <w:rFonts w:asciiTheme="majorHAnsi" w:hAnsiTheme="majorHAnsi" w:cs="Calibri"/>
          <w:sz w:val="22"/>
          <w:szCs w:val="22"/>
        </w:rPr>
        <w:t>are</w:t>
      </w:r>
      <w:r w:rsidRPr="00597007">
        <w:rPr>
          <w:rFonts w:asciiTheme="majorHAnsi" w:hAnsiTheme="majorHAnsi" w:cs="Calibri"/>
          <w:sz w:val="22"/>
          <w:szCs w:val="22"/>
        </w:rPr>
        <w:t xml:space="preserve"> given in the </w:t>
      </w:r>
      <w:r>
        <w:rPr>
          <w:rFonts w:asciiTheme="majorHAnsi" w:hAnsiTheme="majorHAnsi" w:cs="Calibri"/>
          <w:sz w:val="22"/>
          <w:szCs w:val="22"/>
        </w:rPr>
        <w:t xml:space="preserve">Table </w:t>
      </w:r>
      <w:r w:rsidR="004157E0">
        <w:rPr>
          <w:rFonts w:asciiTheme="majorHAnsi" w:hAnsiTheme="majorHAnsi" w:cs="Calibri"/>
          <w:sz w:val="22"/>
          <w:szCs w:val="22"/>
        </w:rPr>
        <w:t>3</w:t>
      </w:r>
      <w:r w:rsidRPr="00597007">
        <w:rPr>
          <w:rFonts w:asciiTheme="majorHAnsi" w:hAnsiTheme="majorHAnsi" w:cs="Calibri"/>
          <w:sz w:val="22"/>
          <w:szCs w:val="22"/>
        </w:rPr>
        <w:t xml:space="preserve"> </w:t>
      </w:r>
      <w:r w:rsidR="00093157">
        <w:rPr>
          <w:rFonts w:asciiTheme="majorHAnsi" w:hAnsiTheme="majorHAnsi" w:cs="Calibri"/>
          <w:sz w:val="22"/>
          <w:szCs w:val="22"/>
        </w:rPr>
        <w:t xml:space="preserve">and Table </w:t>
      </w:r>
      <w:r w:rsidR="004157E0">
        <w:rPr>
          <w:rFonts w:asciiTheme="majorHAnsi" w:hAnsiTheme="majorHAnsi" w:cs="Calibri"/>
          <w:sz w:val="22"/>
          <w:szCs w:val="22"/>
        </w:rPr>
        <w:t>4</w:t>
      </w:r>
      <w:r w:rsidR="00093157">
        <w:rPr>
          <w:rFonts w:asciiTheme="majorHAnsi" w:hAnsiTheme="majorHAnsi" w:cs="Calibri"/>
          <w:sz w:val="22"/>
          <w:szCs w:val="22"/>
        </w:rPr>
        <w:t xml:space="preserve"> </w:t>
      </w:r>
      <w:r w:rsidRPr="00597007">
        <w:rPr>
          <w:rFonts w:asciiTheme="majorHAnsi" w:hAnsiTheme="majorHAnsi" w:cs="Calibri"/>
          <w:sz w:val="22"/>
          <w:szCs w:val="22"/>
        </w:rPr>
        <w:t xml:space="preserve">below. </w:t>
      </w:r>
      <w:r w:rsidR="001F4509">
        <w:rPr>
          <w:rFonts w:asciiTheme="majorHAnsi" w:hAnsiTheme="majorHAnsi" w:cs="Calibri"/>
          <w:sz w:val="22"/>
          <w:szCs w:val="22"/>
        </w:rPr>
        <w:t xml:space="preserve">Till the time there is an open vial policy for IPV, the 10-dose vial will continue to incur high wastage rates in India, given that the average </w:t>
      </w:r>
      <w:r w:rsidR="001B2226">
        <w:rPr>
          <w:rFonts w:asciiTheme="majorHAnsi" w:hAnsiTheme="majorHAnsi" w:cs="Calibri"/>
          <w:sz w:val="22"/>
          <w:szCs w:val="22"/>
        </w:rPr>
        <w:t>number of children coming for DPT 3 in a session is</w:t>
      </w:r>
      <w:r w:rsidR="00ED3201">
        <w:rPr>
          <w:rFonts w:asciiTheme="majorHAnsi" w:hAnsiTheme="majorHAnsi" w:cs="Calibri"/>
          <w:sz w:val="22"/>
          <w:szCs w:val="22"/>
        </w:rPr>
        <w:t xml:space="preserve"> less than 3.</w:t>
      </w:r>
      <w:r w:rsidR="00FF68FD">
        <w:rPr>
          <w:rFonts w:asciiTheme="majorHAnsi" w:hAnsiTheme="majorHAnsi" w:cs="Calibri"/>
          <w:sz w:val="22"/>
          <w:szCs w:val="22"/>
        </w:rPr>
        <w:t xml:space="preserve"> The vaccine coverage rates are taken as 100% for the first year of introduction and the coverage figures from second year onwards is in line with the national DPT-3 coverage of 70%. This will enable the vaccine requirement to be streamlined and </w:t>
      </w:r>
      <w:r w:rsidR="008C5AF5">
        <w:rPr>
          <w:rFonts w:asciiTheme="majorHAnsi" w:hAnsiTheme="majorHAnsi" w:cs="Calibri"/>
          <w:sz w:val="22"/>
          <w:szCs w:val="22"/>
        </w:rPr>
        <w:t>fill in the gaps for the supply from year two onwards.</w:t>
      </w:r>
    </w:p>
    <w:p w14:paraId="11C332B9" w14:textId="77777777" w:rsidR="00C356AF" w:rsidRDefault="00C356AF" w:rsidP="00597007">
      <w:pPr>
        <w:ind w:left="120" w:firstLine="600"/>
        <w:divId w:val="410156154"/>
        <w:rPr>
          <w:rFonts w:asciiTheme="majorHAnsi" w:hAnsiTheme="majorHAnsi" w:cs="Cambria"/>
          <w:b/>
          <w:bCs/>
          <w:sz w:val="22"/>
          <w:szCs w:val="22"/>
        </w:rPr>
      </w:pPr>
    </w:p>
    <w:p w14:paraId="087D98A2" w14:textId="77777777" w:rsidR="00CB4586" w:rsidRPr="00597007" w:rsidRDefault="00597007" w:rsidP="004157E0">
      <w:pPr>
        <w:ind w:left="240" w:firstLine="600"/>
        <w:divId w:val="410156154"/>
        <w:rPr>
          <w:rFonts w:asciiTheme="majorHAnsi" w:hAnsiTheme="majorHAnsi" w:cs="Cambria"/>
          <w:b/>
          <w:bCs/>
          <w:sz w:val="22"/>
          <w:szCs w:val="22"/>
        </w:rPr>
      </w:pPr>
      <w:r w:rsidRPr="00597007">
        <w:rPr>
          <w:rFonts w:asciiTheme="majorHAnsi" w:hAnsiTheme="majorHAnsi" w:cs="Cambria"/>
          <w:b/>
          <w:bCs/>
          <w:sz w:val="22"/>
          <w:szCs w:val="22"/>
        </w:rPr>
        <w:t xml:space="preserve">Table </w:t>
      </w:r>
      <w:r w:rsidR="004157E0">
        <w:rPr>
          <w:rFonts w:asciiTheme="majorHAnsi" w:hAnsiTheme="majorHAnsi" w:cs="Cambria"/>
          <w:b/>
          <w:bCs/>
          <w:sz w:val="22"/>
          <w:szCs w:val="22"/>
        </w:rPr>
        <w:t>3</w:t>
      </w:r>
      <w:r w:rsidRPr="00597007">
        <w:rPr>
          <w:rFonts w:asciiTheme="majorHAnsi" w:hAnsiTheme="majorHAnsi" w:cs="Cambria"/>
          <w:b/>
          <w:bCs/>
          <w:sz w:val="22"/>
          <w:szCs w:val="22"/>
        </w:rPr>
        <w:t xml:space="preserve"> </w:t>
      </w:r>
      <w:r w:rsidRPr="00597007">
        <w:rPr>
          <w:rFonts w:asciiTheme="majorHAnsi" w:hAnsiTheme="majorHAnsi" w:cs="Cambria"/>
          <w:bCs/>
          <w:sz w:val="22"/>
          <w:szCs w:val="22"/>
        </w:rPr>
        <w:t>– IPV doses requirement based on targeted population.</w:t>
      </w:r>
      <w:r w:rsidRPr="00597007">
        <w:rPr>
          <w:rFonts w:asciiTheme="majorHAnsi" w:hAnsiTheme="majorHAnsi" w:cs="Cambria"/>
          <w:b/>
          <w:bCs/>
          <w:sz w:val="22"/>
          <w:szCs w:val="22"/>
        </w:rPr>
        <w:t xml:space="preserve">  </w:t>
      </w:r>
    </w:p>
    <w:tbl>
      <w:tblPr>
        <w:tblStyle w:val="ColorfulGrid-Accent4"/>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1278"/>
        <w:gridCol w:w="1778"/>
        <w:gridCol w:w="1956"/>
        <w:gridCol w:w="2619"/>
        <w:gridCol w:w="21"/>
      </w:tblGrid>
      <w:tr w:rsidR="00093157" w:rsidRPr="00093157" w14:paraId="4366D06F" w14:textId="77777777" w:rsidTr="00045D39">
        <w:trPr>
          <w:cnfStyle w:val="100000000000" w:firstRow="1" w:lastRow="0" w:firstColumn="0" w:lastColumn="0" w:oddVBand="0" w:evenVBand="0" w:oddHBand="0" w:evenHBand="0" w:firstRowFirstColumn="0" w:firstRowLastColumn="0" w:lastRowFirstColumn="0" w:lastRowLastColumn="0"/>
          <w:divId w:val="410156154"/>
          <w:trHeight w:val="267"/>
          <w:jc w:val="center"/>
        </w:trPr>
        <w:tc>
          <w:tcPr>
            <w:cnfStyle w:val="001000000000" w:firstRow="0" w:lastRow="0" w:firstColumn="1" w:lastColumn="0" w:oddVBand="0" w:evenVBand="0" w:oddHBand="0" w:evenHBand="0" w:firstRowFirstColumn="0" w:firstRowLastColumn="0" w:lastRowFirstColumn="0" w:lastRowLastColumn="0"/>
            <w:tcW w:w="8537" w:type="dxa"/>
            <w:gridSpan w:val="6"/>
            <w:shd w:val="clear" w:color="auto" w:fill="CCCCFF"/>
            <w:hideMark/>
          </w:tcPr>
          <w:p w14:paraId="555545E2" w14:textId="77777777" w:rsidR="00093157" w:rsidRPr="00093157" w:rsidRDefault="00093157" w:rsidP="008C5AF5">
            <w:pPr>
              <w:pStyle w:val="Heading4"/>
              <w:ind w:right="-904"/>
              <w:jc w:val="center"/>
              <w:outlineLvl w:val="3"/>
              <w:rPr>
                <w:rFonts w:asciiTheme="majorHAnsi" w:hAnsiTheme="majorHAnsi" w:cs="Cambria"/>
                <w:b/>
                <w:bCs/>
                <w:i w:val="0"/>
                <w:color w:val="auto"/>
                <w:sz w:val="22"/>
                <w:szCs w:val="22"/>
              </w:rPr>
            </w:pPr>
            <w:r w:rsidRPr="00B36597">
              <w:rPr>
                <w:rFonts w:asciiTheme="majorHAnsi" w:hAnsiTheme="majorHAnsi" w:cs="Cambria"/>
                <w:b/>
                <w:i w:val="0"/>
                <w:color w:val="auto"/>
                <w:sz w:val="22"/>
                <w:szCs w:val="22"/>
              </w:rPr>
              <w:t>For 5 dose vials (30% wastage rate)</w:t>
            </w:r>
          </w:p>
        </w:tc>
      </w:tr>
      <w:tr w:rsidR="00093157" w:rsidRPr="00597007" w14:paraId="209469F8" w14:textId="77777777" w:rsidTr="00045D39">
        <w:trPr>
          <w:gridAfter w:val="1"/>
          <w:cnfStyle w:val="000000100000" w:firstRow="0" w:lastRow="0" w:firstColumn="0" w:lastColumn="0" w:oddVBand="0" w:evenVBand="0" w:oddHBand="1" w:evenHBand="0" w:firstRowFirstColumn="0" w:firstRowLastColumn="0" w:lastRowFirstColumn="0" w:lastRowLastColumn="0"/>
          <w:divId w:val="410156154"/>
          <w:wAfter w:w="21" w:type="dxa"/>
          <w:trHeight w:val="76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D9D9D9" w:themeFill="background1" w:themeFillShade="D9"/>
            <w:hideMark/>
          </w:tcPr>
          <w:p w14:paraId="5A570A4A" w14:textId="77777777" w:rsidR="00093157" w:rsidRPr="00597007" w:rsidRDefault="00093157" w:rsidP="004157E0">
            <w:pPr>
              <w:pStyle w:val="Heading4"/>
              <w:jc w:val="center"/>
              <w:outlineLvl w:val="3"/>
              <w:rPr>
                <w:rFonts w:asciiTheme="majorHAnsi" w:hAnsiTheme="majorHAnsi" w:cs="Cambria"/>
                <w:i w:val="0"/>
                <w:color w:val="auto"/>
                <w:sz w:val="20"/>
                <w:szCs w:val="20"/>
              </w:rPr>
            </w:pPr>
            <w:r w:rsidRPr="00597007">
              <w:rPr>
                <w:rFonts w:asciiTheme="majorHAnsi" w:hAnsiTheme="majorHAnsi" w:cs="Cambria"/>
                <w:i w:val="0"/>
                <w:color w:val="auto"/>
                <w:sz w:val="20"/>
                <w:szCs w:val="20"/>
              </w:rPr>
              <w:t>Year</w:t>
            </w:r>
          </w:p>
        </w:tc>
        <w:tc>
          <w:tcPr>
            <w:tcW w:w="1278" w:type="dxa"/>
            <w:shd w:val="clear" w:color="auto" w:fill="D9D9D9" w:themeFill="background1" w:themeFillShade="D9"/>
            <w:hideMark/>
          </w:tcPr>
          <w:p w14:paraId="58329C29" w14:textId="77777777" w:rsidR="00093157" w:rsidRPr="00597007" w:rsidRDefault="00093157" w:rsidP="004157E0">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i w:val="0"/>
                <w:color w:val="auto"/>
                <w:sz w:val="20"/>
                <w:szCs w:val="20"/>
              </w:rPr>
            </w:pPr>
            <w:r w:rsidRPr="00597007">
              <w:rPr>
                <w:rFonts w:asciiTheme="majorHAnsi" w:hAnsiTheme="majorHAnsi" w:cs="Cambria"/>
                <w:i w:val="0"/>
                <w:color w:val="auto"/>
                <w:sz w:val="20"/>
                <w:szCs w:val="20"/>
              </w:rPr>
              <w:t>Target Population</w:t>
            </w:r>
          </w:p>
        </w:tc>
        <w:tc>
          <w:tcPr>
            <w:tcW w:w="1778" w:type="dxa"/>
            <w:shd w:val="clear" w:color="auto" w:fill="D9D9D9" w:themeFill="background1" w:themeFillShade="D9"/>
            <w:hideMark/>
          </w:tcPr>
          <w:p w14:paraId="289DC496" w14:textId="77777777" w:rsidR="00093157" w:rsidRPr="00597007" w:rsidRDefault="00093157" w:rsidP="004157E0">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i w:val="0"/>
                <w:color w:val="auto"/>
                <w:sz w:val="20"/>
                <w:szCs w:val="20"/>
              </w:rPr>
            </w:pPr>
            <w:r w:rsidRPr="00597007">
              <w:rPr>
                <w:rFonts w:asciiTheme="majorHAnsi" w:hAnsiTheme="majorHAnsi" w:cs="Cambria"/>
                <w:i w:val="0"/>
                <w:color w:val="auto"/>
                <w:sz w:val="20"/>
                <w:szCs w:val="20"/>
              </w:rPr>
              <w:t>Doses required</w:t>
            </w:r>
            <w:r w:rsidR="004025B6">
              <w:rPr>
                <w:rFonts w:asciiTheme="majorHAnsi" w:hAnsiTheme="majorHAnsi" w:cs="Cambria"/>
                <w:i w:val="0"/>
                <w:color w:val="auto"/>
                <w:sz w:val="20"/>
                <w:szCs w:val="20"/>
              </w:rPr>
              <w:t>*</w:t>
            </w:r>
          </w:p>
        </w:tc>
        <w:tc>
          <w:tcPr>
            <w:tcW w:w="1956" w:type="dxa"/>
            <w:shd w:val="clear" w:color="auto" w:fill="D9D9D9" w:themeFill="background1" w:themeFillShade="D9"/>
            <w:hideMark/>
          </w:tcPr>
          <w:p w14:paraId="478B735A" w14:textId="77777777" w:rsidR="00F7230C" w:rsidRDefault="00093157" w:rsidP="004157E0">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i w:val="0"/>
                <w:color w:val="auto"/>
                <w:sz w:val="20"/>
                <w:szCs w:val="20"/>
              </w:rPr>
            </w:pPr>
            <w:r w:rsidRPr="00597007">
              <w:rPr>
                <w:rFonts w:asciiTheme="majorHAnsi" w:hAnsiTheme="majorHAnsi" w:cs="Cambria"/>
                <w:i w:val="0"/>
                <w:color w:val="auto"/>
                <w:sz w:val="20"/>
                <w:szCs w:val="20"/>
              </w:rPr>
              <w:t>Dose</w:t>
            </w:r>
            <w:r>
              <w:rPr>
                <w:rFonts w:asciiTheme="majorHAnsi" w:hAnsiTheme="majorHAnsi" w:cs="Cambria"/>
                <w:i w:val="0"/>
                <w:color w:val="auto"/>
                <w:sz w:val="20"/>
                <w:szCs w:val="20"/>
              </w:rPr>
              <w:t>s including Vaccine wastage @ 30</w:t>
            </w:r>
            <w:r w:rsidRPr="00597007">
              <w:rPr>
                <w:rFonts w:asciiTheme="majorHAnsi" w:hAnsiTheme="majorHAnsi" w:cs="Cambria"/>
                <w:i w:val="0"/>
                <w:color w:val="auto"/>
                <w:sz w:val="20"/>
                <w:szCs w:val="20"/>
              </w:rPr>
              <w:t>% per year</w:t>
            </w:r>
          </w:p>
          <w:p w14:paraId="4BD51AC3" w14:textId="77777777" w:rsidR="00093157" w:rsidRPr="00597007" w:rsidRDefault="009C00A6" w:rsidP="004157E0">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i w:val="0"/>
                <w:color w:val="auto"/>
                <w:sz w:val="20"/>
                <w:szCs w:val="20"/>
              </w:rPr>
            </w:pPr>
            <w:r>
              <w:rPr>
                <w:rFonts w:asciiTheme="majorHAnsi" w:hAnsiTheme="majorHAnsi" w:cs="Cambria"/>
                <w:i w:val="0"/>
                <w:color w:val="auto"/>
                <w:sz w:val="20"/>
                <w:szCs w:val="20"/>
              </w:rPr>
              <w:t>(Dose</w:t>
            </w:r>
            <w:r w:rsidR="0016687E">
              <w:rPr>
                <w:rFonts w:asciiTheme="majorHAnsi" w:hAnsiTheme="majorHAnsi" w:cs="Cambria"/>
                <w:i w:val="0"/>
                <w:color w:val="auto"/>
                <w:sz w:val="20"/>
                <w:szCs w:val="20"/>
              </w:rPr>
              <w:t>s</w:t>
            </w:r>
            <w:r w:rsidR="00F7230C">
              <w:rPr>
                <w:rFonts w:asciiTheme="majorHAnsi" w:hAnsiTheme="majorHAnsi" w:cs="Cambria"/>
                <w:i w:val="0"/>
                <w:color w:val="auto"/>
                <w:sz w:val="20"/>
                <w:szCs w:val="20"/>
              </w:rPr>
              <w:t xml:space="preserve"> x 1.43)</w:t>
            </w:r>
          </w:p>
        </w:tc>
        <w:tc>
          <w:tcPr>
            <w:tcW w:w="2619" w:type="dxa"/>
            <w:shd w:val="clear" w:color="auto" w:fill="D9D9D9" w:themeFill="background1" w:themeFillShade="D9"/>
            <w:hideMark/>
          </w:tcPr>
          <w:p w14:paraId="4970873A" w14:textId="77777777" w:rsidR="00F7230C" w:rsidRDefault="00093157" w:rsidP="004157E0">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i w:val="0"/>
                <w:color w:val="auto"/>
                <w:sz w:val="20"/>
                <w:szCs w:val="20"/>
              </w:rPr>
            </w:pPr>
            <w:r w:rsidRPr="00597007">
              <w:rPr>
                <w:rFonts w:asciiTheme="majorHAnsi" w:hAnsiTheme="majorHAnsi" w:cs="Cambria"/>
                <w:i w:val="0"/>
                <w:color w:val="auto"/>
                <w:sz w:val="20"/>
                <w:szCs w:val="20"/>
              </w:rPr>
              <w:t>TOTAL</w:t>
            </w:r>
          </w:p>
          <w:p w14:paraId="7D00947B" w14:textId="77777777" w:rsidR="00F7230C" w:rsidRDefault="00093157" w:rsidP="004157E0">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i w:val="0"/>
                <w:color w:val="auto"/>
                <w:sz w:val="20"/>
                <w:szCs w:val="20"/>
              </w:rPr>
            </w:pPr>
            <w:r w:rsidRPr="00597007">
              <w:rPr>
                <w:rFonts w:asciiTheme="majorHAnsi" w:hAnsiTheme="majorHAnsi" w:cs="Cambria"/>
                <w:i w:val="0"/>
                <w:color w:val="auto"/>
                <w:sz w:val="20"/>
                <w:szCs w:val="20"/>
              </w:rPr>
              <w:t>(</w:t>
            </w:r>
            <w:r w:rsidR="009C00A6" w:rsidRPr="00597007">
              <w:rPr>
                <w:rFonts w:asciiTheme="majorHAnsi" w:hAnsiTheme="majorHAnsi" w:cs="Cambria"/>
                <w:i w:val="0"/>
                <w:color w:val="auto"/>
                <w:sz w:val="20"/>
                <w:szCs w:val="20"/>
              </w:rPr>
              <w:t>Including</w:t>
            </w:r>
            <w:r w:rsidRPr="00597007">
              <w:rPr>
                <w:rFonts w:asciiTheme="majorHAnsi" w:hAnsiTheme="majorHAnsi" w:cs="Cambria"/>
                <w:i w:val="0"/>
                <w:color w:val="auto"/>
                <w:sz w:val="20"/>
                <w:szCs w:val="20"/>
              </w:rPr>
              <w:t xml:space="preserve"> 25% buffer for first </w:t>
            </w:r>
            <w:r w:rsidR="009C00A6">
              <w:rPr>
                <w:rFonts w:asciiTheme="majorHAnsi" w:hAnsiTheme="majorHAnsi" w:cs="Cambria"/>
                <w:i w:val="0"/>
                <w:color w:val="auto"/>
                <w:sz w:val="20"/>
                <w:szCs w:val="20"/>
              </w:rPr>
              <w:t>year</w:t>
            </w:r>
            <w:r w:rsidRPr="00597007">
              <w:rPr>
                <w:rFonts w:asciiTheme="majorHAnsi" w:hAnsiTheme="majorHAnsi" w:cs="Cambria"/>
                <w:i w:val="0"/>
                <w:color w:val="auto"/>
                <w:sz w:val="20"/>
                <w:szCs w:val="20"/>
              </w:rPr>
              <w:t>)</w:t>
            </w:r>
          </w:p>
          <w:p w14:paraId="1A4D3FC7" w14:textId="77777777" w:rsidR="00093157" w:rsidRPr="00597007" w:rsidRDefault="00093157" w:rsidP="004157E0">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i w:val="0"/>
                <w:color w:val="auto"/>
                <w:sz w:val="20"/>
                <w:szCs w:val="20"/>
              </w:rPr>
            </w:pPr>
          </w:p>
        </w:tc>
      </w:tr>
      <w:tr w:rsidR="00974563" w:rsidRPr="00C356AF" w14:paraId="39787FFE" w14:textId="77777777" w:rsidTr="00045D39">
        <w:trPr>
          <w:gridAfter w:val="1"/>
          <w:divId w:val="410156154"/>
          <w:wAfter w:w="21" w:type="dxa"/>
          <w:trHeight w:val="486"/>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hideMark/>
          </w:tcPr>
          <w:p w14:paraId="78B21D2A" w14:textId="77777777" w:rsidR="00974563" w:rsidRPr="004025B6" w:rsidRDefault="00974563" w:rsidP="004157E0">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2015</w:t>
            </w:r>
          </w:p>
        </w:tc>
        <w:tc>
          <w:tcPr>
            <w:tcW w:w="1278" w:type="dxa"/>
            <w:shd w:val="clear" w:color="auto" w:fill="auto"/>
            <w:vAlign w:val="center"/>
            <w:hideMark/>
          </w:tcPr>
          <w:p w14:paraId="6415DECC" w14:textId="77777777" w:rsidR="00974563" w:rsidRPr="004025B6" w:rsidRDefault="00974563" w:rsidP="004157E0">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6,526,620</w:t>
            </w:r>
          </w:p>
        </w:tc>
        <w:tc>
          <w:tcPr>
            <w:tcW w:w="1778" w:type="dxa"/>
            <w:shd w:val="clear" w:color="auto" w:fill="auto"/>
            <w:vAlign w:val="center"/>
            <w:hideMark/>
          </w:tcPr>
          <w:p w14:paraId="361132C5" w14:textId="77777777" w:rsidR="00974563" w:rsidRPr="004025B6" w:rsidRDefault="00974563" w:rsidP="004157E0">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iCs w:val="0"/>
                <w:color w:val="auto"/>
                <w:sz w:val="20"/>
                <w:szCs w:val="20"/>
              </w:rPr>
            </w:pPr>
            <w:r w:rsidRPr="004025B6">
              <w:rPr>
                <w:rFonts w:asciiTheme="majorHAnsi" w:hAnsiTheme="majorHAnsi" w:cs="Cambria"/>
                <w:b w:val="0"/>
                <w:i w:val="0"/>
                <w:color w:val="auto"/>
                <w:sz w:val="20"/>
                <w:szCs w:val="20"/>
              </w:rPr>
              <w:t>6,526,620</w:t>
            </w:r>
          </w:p>
        </w:tc>
        <w:tc>
          <w:tcPr>
            <w:tcW w:w="1956" w:type="dxa"/>
            <w:shd w:val="clear" w:color="auto" w:fill="auto"/>
            <w:vAlign w:val="center"/>
            <w:hideMark/>
          </w:tcPr>
          <w:tbl>
            <w:tblPr>
              <w:tblW w:w="1740" w:type="dxa"/>
              <w:tblLook w:val="04A0" w:firstRow="1" w:lastRow="0" w:firstColumn="1" w:lastColumn="0" w:noHBand="0" w:noVBand="1"/>
            </w:tblPr>
            <w:tblGrid>
              <w:gridCol w:w="1740"/>
            </w:tblGrid>
            <w:tr w:rsidR="00974563" w:rsidRPr="004025B6" w14:paraId="334237C7" w14:textId="77777777" w:rsidTr="00F7230C">
              <w:trPr>
                <w:trHeight w:val="320"/>
              </w:trPr>
              <w:tc>
                <w:tcPr>
                  <w:tcW w:w="1740" w:type="dxa"/>
                  <w:tcBorders>
                    <w:top w:val="nil"/>
                    <w:left w:val="nil"/>
                    <w:bottom w:val="nil"/>
                    <w:right w:val="nil"/>
                  </w:tcBorders>
                  <w:shd w:val="clear" w:color="auto" w:fill="auto"/>
                  <w:noWrap/>
                  <w:vAlign w:val="bottom"/>
                  <w:hideMark/>
                </w:tcPr>
                <w:p w14:paraId="4CD5704E" w14:textId="77777777" w:rsidR="00974563" w:rsidRPr="004025B6" w:rsidRDefault="00974563" w:rsidP="004157E0">
                  <w:pPr>
                    <w:jc w:val="center"/>
                    <w:rPr>
                      <w:rFonts w:ascii="Calibri" w:hAnsi="Calibri"/>
                      <w:color w:val="000000"/>
                      <w:sz w:val="22"/>
                      <w:szCs w:val="22"/>
                      <w:lang w:val="en-IN" w:eastAsia="en-US"/>
                    </w:rPr>
                  </w:pPr>
                  <w:r w:rsidRPr="004025B6">
                    <w:rPr>
                      <w:rFonts w:ascii="Calibri" w:hAnsi="Calibri"/>
                      <w:color w:val="000000"/>
                      <w:sz w:val="22"/>
                      <w:szCs w:val="22"/>
                      <w:lang w:val="en-IN" w:eastAsia="en-US"/>
                    </w:rPr>
                    <w:t>9,333,067</w:t>
                  </w:r>
                </w:p>
              </w:tc>
            </w:tr>
          </w:tbl>
          <w:p w14:paraId="0E62A629" w14:textId="77777777" w:rsidR="00974563" w:rsidRPr="004025B6" w:rsidRDefault="00974563" w:rsidP="004157E0">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iCs w:val="0"/>
                <w:color w:val="auto"/>
                <w:sz w:val="22"/>
                <w:szCs w:val="22"/>
              </w:rPr>
            </w:pPr>
          </w:p>
        </w:tc>
        <w:tc>
          <w:tcPr>
            <w:tcW w:w="2619" w:type="dxa"/>
            <w:shd w:val="clear" w:color="auto" w:fill="auto"/>
            <w:vAlign w:val="center"/>
            <w:hideMark/>
          </w:tcPr>
          <w:p w14:paraId="798D36B4" w14:textId="77777777" w:rsidR="00974563" w:rsidRPr="004025B6" w:rsidRDefault="00306BAE" w:rsidP="004157E0">
            <w:pPr>
              <w:pStyle w:val="Heading4"/>
              <w:ind w:right="230"/>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iCs w:val="0"/>
                <w:color w:val="auto"/>
                <w:sz w:val="20"/>
                <w:szCs w:val="20"/>
              </w:rPr>
            </w:pPr>
            <w:r w:rsidRPr="004025B6">
              <w:rPr>
                <w:rFonts w:asciiTheme="majorHAnsi" w:hAnsiTheme="majorHAnsi" w:cs="Cambria"/>
                <w:b w:val="0"/>
                <w:i w:val="0"/>
                <w:iCs w:val="0"/>
                <w:color w:val="auto"/>
                <w:sz w:val="20"/>
                <w:szCs w:val="20"/>
              </w:rPr>
              <w:t>11,666,333</w:t>
            </w:r>
          </w:p>
        </w:tc>
      </w:tr>
      <w:tr w:rsidR="004025B6" w:rsidRPr="00C356AF" w14:paraId="745398B3" w14:textId="77777777" w:rsidTr="00045D39">
        <w:trPr>
          <w:gridAfter w:val="1"/>
          <w:cnfStyle w:val="000000100000" w:firstRow="0" w:lastRow="0" w:firstColumn="0" w:lastColumn="0" w:oddVBand="0" w:evenVBand="0" w:oddHBand="1" w:evenHBand="0" w:firstRowFirstColumn="0" w:firstRowLastColumn="0" w:lastRowFirstColumn="0" w:lastRowLastColumn="0"/>
          <w:divId w:val="410156154"/>
          <w:wAfter w:w="21" w:type="dxa"/>
          <w:trHeight w:val="486"/>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hideMark/>
          </w:tcPr>
          <w:p w14:paraId="5ED2FCA0" w14:textId="77777777" w:rsidR="004025B6" w:rsidRPr="004025B6" w:rsidRDefault="004025B6" w:rsidP="004157E0">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2016</w:t>
            </w:r>
          </w:p>
        </w:tc>
        <w:tc>
          <w:tcPr>
            <w:tcW w:w="1278" w:type="dxa"/>
            <w:shd w:val="clear" w:color="auto" w:fill="auto"/>
            <w:vAlign w:val="center"/>
            <w:hideMark/>
          </w:tcPr>
          <w:p w14:paraId="5F327FA8" w14:textId="77777777" w:rsidR="004025B6" w:rsidRPr="004025B6" w:rsidRDefault="004025B6" w:rsidP="004157E0">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26,106,482</w:t>
            </w:r>
          </w:p>
        </w:tc>
        <w:tc>
          <w:tcPr>
            <w:tcW w:w="1778" w:type="dxa"/>
            <w:shd w:val="clear" w:color="auto" w:fill="auto"/>
            <w:vAlign w:val="center"/>
            <w:hideMark/>
          </w:tcPr>
          <w:p w14:paraId="2F5841B3" w14:textId="77777777" w:rsidR="004025B6" w:rsidRPr="004025B6" w:rsidRDefault="004025B6" w:rsidP="004157E0">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iCs w:val="0"/>
                <w:color w:val="auto"/>
                <w:sz w:val="20"/>
                <w:szCs w:val="20"/>
              </w:rPr>
            </w:pPr>
            <w:r w:rsidRPr="004025B6">
              <w:rPr>
                <w:rFonts w:asciiTheme="majorHAnsi" w:hAnsiTheme="majorHAnsi" w:cs="Cambria"/>
                <w:b w:val="0"/>
                <w:i w:val="0"/>
                <w:iCs w:val="0"/>
                <w:color w:val="auto"/>
                <w:sz w:val="20"/>
                <w:szCs w:val="20"/>
              </w:rPr>
              <w:t>18,274, 537</w:t>
            </w:r>
          </w:p>
        </w:tc>
        <w:tc>
          <w:tcPr>
            <w:tcW w:w="1956" w:type="dxa"/>
            <w:shd w:val="clear" w:color="auto" w:fill="auto"/>
            <w:vAlign w:val="center"/>
            <w:hideMark/>
          </w:tcPr>
          <w:tbl>
            <w:tblPr>
              <w:tblW w:w="1740" w:type="dxa"/>
              <w:tblLook w:val="04A0" w:firstRow="1" w:lastRow="0" w:firstColumn="1" w:lastColumn="0" w:noHBand="0" w:noVBand="1"/>
            </w:tblPr>
            <w:tblGrid>
              <w:gridCol w:w="1740"/>
            </w:tblGrid>
            <w:tr w:rsidR="004025B6" w:rsidRPr="004025B6" w14:paraId="2CCF9932" w14:textId="77777777" w:rsidTr="00F7230C">
              <w:trPr>
                <w:trHeight w:val="320"/>
              </w:trPr>
              <w:tc>
                <w:tcPr>
                  <w:tcW w:w="1740" w:type="dxa"/>
                  <w:tcBorders>
                    <w:top w:val="nil"/>
                    <w:left w:val="nil"/>
                    <w:bottom w:val="nil"/>
                    <w:right w:val="nil"/>
                  </w:tcBorders>
                  <w:shd w:val="clear" w:color="auto" w:fill="auto"/>
                  <w:noWrap/>
                  <w:vAlign w:val="bottom"/>
                  <w:hideMark/>
                </w:tcPr>
                <w:p w14:paraId="67DD388E" w14:textId="77777777" w:rsidR="004025B6" w:rsidRPr="004025B6" w:rsidRDefault="004025B6" w:rsidP="004157E0">
                  <w:pPr>
                    <w:jc w:val="center"/>
                    <w:rPr>
                      <w:rFonts w:ascii="Calibri" w:hAnsi="Calibri"/>
                      <w:color w:val="000000"/>
                      <w:sz w:val="22"/>
                      <w:szCs w:val="22"/>
                      <w:lang w:val="en-IN" w:eastAsia="en-US"/>
                    </w:rPr>
                  </w:pPr>
                  <w:r w:rsidRPr="004025B6">
                    <w:rPr>
                      <w:rFonts w:ascii="Calibri" w:hAnsi="Calibri"/>
                      <w:color w:val="000000"/>
                      <w:sz w:val="22"/>
                      <w:szCs w:val="22"/>
                      <w:lang w:val="en-IN" w:eastAsia="en-US"/>
                    </w:rPr>
                    <w:t>26,132,588</w:t>
                  </w:r>
                </w:p>
              </w:tc>
            </w:tr>
          </w:tbl>
          <w:p w14:paraId="3334E570" w14:textId="77777777" w:rsidR="004025B6" w:rsidRPr="004025B6" w:rsidRDefault="004025B6" w:rsidP="004157E0">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iCs w:val="0"/>
                <w:color w:val="auto"/>
                <w:sz w:val="22"/>
                <w:szCs w:val="22"/>
              </w:rPr>
            </w:pPr>
          </w:p>
        </w:tc>
        <w:tc>
          <w:tcPr>
            <w:tcW w:w="2619" w:type="dxa"/>
            <w:shd w:val="clear" w:color="auto" w:fill="auto"/>
            <w:vAlign w:val="center"/>
            <w:hideMark/>
          </w:tcPr>
          <w:p w14:paraId="0F52BE1A" w14:textId="77777777" w:rsidR="004025B6" w:rsidRPr="004025B6" w:rsidRDefault="004025B6" w:rsidP="004157E0">
            <w:pPr>
              <w:jc w:val="center"/>
              <w:cnfStyle w:val="000000100000" w:firstRow="0" w:lastRow="0" w:firstColumn="0" w:lastColumn="0" w:oddVBand="0" w:evenVBand="0" w:oddHBand="1" w:evenHBand="0" w:firstRowFirstColumn="0" w:firstRowLastColumn="0" w:lastRowFirstColumn="0" w:lastRowLastColumn="0"/>
            </w:pPr>
            <w:r w:rsidRPr="004025B6">
              <w:rPr>
                <w:sz w:val="22"/>
                <w:szCs w:val="22"/>
                <w:lang w:val="en-IN" w:eastAsia="en-US"/>
              </w:rPr>
              <w:t>26,132,588</w:t>
            </w:r>
          </w:p>
        </w:tc>
      </w:tr>
      <w:tr w:rsidR="004025B6" w:rsidRPr="00C356AF" w14:paraId="389FD7D8" w14:textId="77777777" w:rsidTr="00045D39">
        <w:trPr>
          <w:gridAfter w:val="1"/>
          <w:divId w:val="410156154"/>
          <w:wAfter w:w="21" w:type="dxa"/>
          <w:trHeight w:val="486"/>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46160024" w14:textId="77777777" w:rsidR="004025B6" w:rsidRPr="004025B6" w:rsidRDefault="004025B6" w:rsidP="004157E0">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2017</w:t>
            </w:r>
          </w:p>
        </w:tc>
        <w:tc>
          <w:tcPr>
            <w:tcW w:w="1278" w:type="dxa"/>
            <w:shd w:val="clear" w:color="auto" w:fill="auto"/>
            <w:vAlign w:val="center"/>
          </w:tcPr>
          <w:p w14:paraId="55103B52" w14:textId="77777777" w:rsidR="004025B6" w:rsidRPr="004025B6" w:rsidRDefault="004025B6" w:rsidP="004157E0">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26,106,482</w:t>
            </w:r>
          </w:p>
        </w:tc>
        <w:tc>
          <w:tcPr>
            <w:tcW w:w="1778" w:type="dxa"/>
            <w:shd w:val="clear" w:color="auto" w:fill="auto"/>
            <w:vAlign w:val="center"/>
          </w:tcPr>
          <w:p w14:paraId="6AC09540" w14:textId="77777777" w:rsidR="004025B6" w:rsidRPr="004025B6" w:rsidRDefault="004025B6" w:rsidP="004157E0">
            <w:pPr>
              <w:jc w:val="center"/>
              <w:cnfStyle w:val="000000000000" w:firstRow="0" w:lastRow="0" w:firstColumn="0" w:lastColumn="0" w:oddVBand="0" w:evenVBand="0" w:oddHBand="0" w:evenHBand="0" w:firstRowFirstColumn="0" w:firstRowLastColumn="0" w:lastRowFirstColumn="0" w:lastRowLastColumn="0"/>
            </w:pPr>
            <w:r w:rsidRPr="004025B6">
              <w:rPr>
                <w:rFonts w:asciiTheme="majorHAnsi" w:hAnsiTheme="majorHAnsi" w:cs="Cambria"/>
                <w:iCs/>
                <w:color w:val="auto"/>
                <w:sz w:val="20"/>
                <w:szCs w:val="20"/>
              </w:rPr>
              <w:t>18,274, 537</w:t>
            </w:r>
          </w:p>
        </w:tc>
        <w:tc>
          <w:tcPr>
            <w:tcW w:w="1956" w:type="dxa"/>
            <w:shd w:val="clear" w:color="auto" w:fill="auto"/>
            <w:vAlign w:val="center"/>
          </w:tcPr>
          <w:p w14:paraId="792A97A1" w14:textId="77777777" w:rsidR="004025B6" w:rsidRPr="004025B6" w:rsidRDefault="004025B6" w:rsidP="004157E0">
            <w:pPr>
              <w:jc w:val="center"/>
              <w:cnfStyle w:val="000000000000" w:firstRow="0" w:lastRow="0" w:firstColumn="0" w:lastColumn="0" w:oddVBand="0" w:evenVBand="0" w:oddHBand="0" w:evenHBand="0" w:firstRowFirstColumn="0" w:firstRowLastColumn="0" w:lastRowFirstColumn="0" w:lastRowLastColumn="0"/>
            </w:pPr>
            <w:r w:rsidRPr="004025B6">
              <w:rPr>
                <w:sz w:val="22"/>
                <w:szCs w:val="22"/>
                <w:lang w:val="en-IN" w:eastAsia="en-US"/>
              </w:rPr>
              <w:t>26,132,588</w:t>
            </w:r>
          </w:p>
        </w:tc>
        <w:tc>
          <w:tcPr>
            <w:tcW w:w="2619" w:type="dxa"/>
            <w:shd w:val="clear" w:color="auto" w:fill="auto"/>
            <w:vAlign w:val="center"/>
          </w:tcPr>
          <w:p w14:paraId="72080474" w14:textId="77777777" w:rsidR="004025B6" w:rsidRPr="004025B6" w:rsidRDefault="004025B6" w:rsidP="004157E0">
            <w:pPr>
              <w:jc w:val="center"/>
              <w:cnfStyle w:val="000000000000" w:firstRow="0" w:lastRow="0" w:firstColumn="0" w:lastColumn="0" w:oddVBand="0" w:evenVBand="0" w:oddHBand="0" w:evenHBand="0" w:firstRowFirstColumn="0" w:firstRowLastColumn="0" w:lastRowFirstColumn="0" w:lastRowLastColumn="0"/>
            </w:pPr>
            <w:r w:rsidRPr="004025B6">
              <w:rPr>
                <w:sz w:val="22"/>
                <w:szCs w:val="22"/>
                <w:lang w:val="en-IN" w:eastAsia="en-US"/>
              </w:rPr>
              <w:t>26,132,588</w:t>
            </w:r>
          </w:p>
        </w:tc>
      </w:tr>
      <w:tr w:rsidR="004025B6" w:rsidRPr="00C356AF" w14:paraId="7353BCD5" w14:textId="77777777" w:rsidTr="00045D39">
        <w:trPr>
          <w:gridAfter w:val="1"/>
          <w:cnfStyle w:val="000000100000" w:firstRow="0" w:lastRow="0" w:firstColumn="0" w:lastColumn="0" w:oddVBand="0" w:evenVBand="0" w:oddHBand="1" w:evenHBand="0" w:firstRowFirstColumn="0" w:firstRowLastColumn="0" w:lastRowFirstColumn="0" w:lastRowLastColumn="0"/>
          <w:divId w:val="410156154"/>
          <w:wAfter w:w="21" w:type="dxa"/>
          <w:trHeight w:val="486"/>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67283D20" w14:textId="77777777" w:rsidR="004025B6" w:rsidRPr="004025B6" w:rsidRDefault="004025B6" w:rsidP="004157E0">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2018</w:t>
            </w:r>
          </w:p>
        </w:tc>
        <w:tc>
          <w:tcPr>
            <w:tcW w:w="1278" w:type="dxa"/>
            <w:shd w:val="clear" w:color="auto" w:fill="auto"/>
            <w:vAlign w:val="center"/>
          </w:tcPr>
          <w:p w14:paraId="0DBDF5A8" w14:textId="77777777" w:rsidR="004025B6" w:rsidRPr="004025B6" w:rsidRDefault="004025B6" w:rsidP="004157E0">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26,106,482</w:t>
            </w:r>
          </w:p>
        </w:tc>
        <w:tc>
          <w:tcPr>
            <w:tcW w:w="1778" w:type="dxa"/>
            <w:shd w:val="clear" w:color="auto" w:fill="auto"/>
            <w:vAlign w:val="center"/>
          </w:tcPr>
          <w:p w14:paraId="4B85D944" w14:textId="77777777" w:rsidR="004025B6" w:rsidRPr="004025B6" w:rsidRDefault="004025B6" w:rsidP="004157E0">
            <w:pPr>
              <w:jc w:val="center"/>
              <w:cnfStyle w:val="000000100000" w:firstRow="0" w:lastRow="0" w:firstColumn="0" w:lastColumn="0" w:oddVBand="0" w:evenVBand="0" w:oddHBand="1" w:evenHBand="0" w:firstRowFirstColumn="0" w:firstRowLastColumn="0" w:lastRowFirstColumn="0" w:lastRowLastColumn="0"/>
            </w:pPr>
            <w:r w:rsidRPr="004025B6">
              <w:rPr>
                <w:rFonts w:asciiTheme="majorHAnsi" w:hAnsiTheme="majorHAnsi" w:cs="Cambria"/>
                <w:iCs/>
                <w:color w:val="auto"/>
                <w:sz w:val="20"/>
                <w:szCs w:val="20"/>
              </w:rPr>
              <w:t>18,274, 537</w:t>
            </w:r>
          </w:p>
        </w:tc>
        <w:tc>
          <w:tcPr>
            <w:tcW w:w="1956" w:type="dxa"/>
            <w:shd w:val="clear" w:color="auto" w:fill="auto"/>
            <w:vAlign w:val="center"/>
          </w:tcPr>
          <w:p w14:paraId="68ECD81F" w14:textId="77777777" w:rsidR="004025B6" w:rsidRPr="004025B6" w:rsidRDefault="004025B6" w:rsidP="004157E0">
            <w:pPr>
              <w:jc w:val="center"/>
              <w:cnfStyle w:val="000000100000" w:firstRow="0" w:lastRow="0" w:firstColumn="0" w:lastColumn="0" w:oddVBand="0" w:evenVBand="0" w:oddHBand="1" w:evenHBand="0" w:firstRowFirstColumn="0" w:firstRowLastColumn="0" w:lastRowFirstColumn="0" w:lastRowLastColumn="0"/>
            </w:pPr>
            <w:r w:rsidRPr="004025B6">
              <w:rPr>
                <w:sz w:val="22"/>
                <w:szCs w:val="22"/>
                <w:lang w:val="en-IN" w:eastAsia="en-US"/>
              </w:rPr>
              <w:t>26,132,588</w:t>
            </w:r>
          </w:p>
        </w:tc>
        <w:tc>
          <w:tcPr>
            <w:tcW w:w="2619" w:type="dxa"/>
            <w:shd w:val="clear" w:color="auto" w:fill="auto"/>
            <w:vAlign w:val="center"/>
          </w:tcPr>
          <w:p w14:paraId="612C15F8" w14:textId="77777777" w:rsidR="004025B6" w:rsidRPr="004025B6" w:rsidRDefault="004025B6" w:rsidP="004157E0">
            <w:pPr>
              <w:jc w:val="center"/>
              <w:cnfStyle w:val="000000100000" w:firstRow="0" w:lastRow="0" w:firstColumn="0" w:lastColumn="0" w:oddVBand="0" w:evenVBand="0" w:oddHBand="1" w:evenHBand="0" w:firstRowFirstColumn="0" w:firstRowLastColumn="0" w:lastRowFirstColumn="0" w:lastRowLastColumn="0"/>
            </w:pPr>
            <w:r w:rsidRPr="004025B6">
              <w:rPr>
                <w:sz w:val="22"/>
                <w:szCs w:val="22"/>
                <w:lang w:val="en-IN" w:eastAsia="en-US"/>
              </w:rPr>
              <w:t>26,132,588</w:t>
            </w:r>
          </w:p>
        </w:tc>
      </w:tr>
    </w:tbl>
    <w:p w14:paraId="6E802D3D" w14:textId="77777777" w:rsidR="00597007" w:rsidRPr="00597007" w:rsidRDefault="004025B6" w:rsidP="00597007">
      <w:pPr>
        <w:divId w:val="410156154"/>
        <w:rPr>
          <w:rFonts w:asciiTheme="majorHAnsi" w:hAnsiTheme="majorHAnsi" w:cs="Cambria"/>
          <w:b/>
          <w:bCs/>
          <w:sz w:val="22"/>
          <w:szCs w:val="22"/>
        </w:rPr>
      </w:pPr>
      <w:r>
        <w:rPr>
          <w:rFonts w:asciiTheme="majorHAnsi" w:hAnsiTheme="majorHAnsi" w:cs="Cambria"/>
          <w:b/>
          <w:bCs/>
          <w:sz w:val="22"/>
          <w:szCs w:val="22"/>
        </w:rPr>
        <w:t>* Vaccine coverage is taken as 100% for 2015 (Year 1) and 70% from 2016 onwards</w:t>
      </w:r>
    </w:p>
    <w:p w14:paraId="465472B9" w14:textId="77777777" w:rsidR="00597007" w:rsidRPr="00597007" w:rsidRDefault="00597007" w:rsidP="00597007">
      <w:pPr>
        <w:jc w:val="both"/>
        <w:divId w:val="410156154"/>
        <w:rPr>
          <w:rFonts w:asciiTheme="majorHAnsi" w:hAnsiTheme="majorHAnsi" w:cs="Cambria"/>
          <w:b/>
          <w:sz w:val="22"/>
          <w:szCs w:val="22"/>
        </w:rPr>
      </w:pPr>
    </w:p>
    <w:p w14:paraId="30C1FCE6" w14:textId="77777777" w:rsidR="00E05FAD" w:rsidRDefault="00E05FAD" w:rsidP="0059008B">
      <w:pPr>
        <w:ind w:left="240" w:firstLine="600"/>
        <w:divId w:val="410156154"/>
        <w:rPr>
          <w:rFonts w:asciiTheme="majorHAnsi" w:hAnsiTheme="majorHAnsi" w:cs="Cambria"/>
          <w:b/>
          <w:bCs/>
          <w:sz w:val="22"/>
          <w:szCs w:val="22"/>
        </w:rPr>
      </w:pPr>
    </w:p>
    <w:p w14:paraId="1D0FC74B" w14:textId="77777777" w:rsidR="00E05FAD" w:rsidRDefault="00E05FAD" w:rsidP="0059008B">
      <w:pPr>
        <w:ind w:left="240" w:firstLine="600"/>
        <w:divId w:val="410156154"/>
        <w:rPr>
          <w:rFonts w:asciiTheme="majorHAnsi" w:hAnsiTheme="majorHAnsi" w:cs="Cambria"/>
          <w:b/>
          <w:bCs/>
          <w:sz w:val="22"/>
          <w:szCs w:val="22"/>
        </w:rPr>
      </w:pPr>
    </w:p>
    <w:p w14:paraId="015D4385" w14:textId="77777777" w:rsidR="00E05FAD" w:rsidRDefault="00E05FAD" w:rsidP="0059008B">
      <w:pPr>
        <w:ind w:left="240" w:firstLine="600"/>
        <w:divId w:val="410156154"/>
        <w:rPr>
          <w:rFonts w:asciiTheme="majorHAnsi" w:hAnsiTheme="majorHAnsi" w:cs="Cambria"/>
          <w:b/>
          <w:bCs/>
          <w:sz w:val="22"/>
          <w:szCs w:val="22"/>
        </w:rPr>
      </w:pPr>
    </w:p>
    <w:p w14:paraId="71F3EC6D" w14:textId="77777777" w:rsidR="00E05FAD" w:rsidRDefault="00E05FAD" w:rsidP="0059008B">
      <w:pPr>
        <w:ind w:left="240" w:firstLine="600"/>
        <w:divId w:val="410156154"/>
        <w:rPr>
          <w:rFonts w:asciiTheme="majorHAnsi" w:hAnsiTheme="majorHAnsi" w:cs="Cambria"/>
          <w:b/>
          <w:bCs/>
          <w:sz w:val="22"/>
          <w:szCs w:val="22"/>
        </w:rPr>
      </w:pPr>
    </w:p>
    <w:p w14:paraId="35C20AC2" w14:textId="77777777" w:rsidR="00E05FAD" w:rsidRDefault="00E05FAD" w:rsidP="0059008B">
      <w:pPr>
        <w:ind w:left="240" w:firstLine="600"/>
        <w:divId w:val="410156154"/>
        <w:rPr>
          <w:rFonts w:asciiTheme="majorHAnsi" w:hAnsiTheme="majorHAnsi" w:cs="Cambria"/>
          <w:b/>
          <w:bCs/>
          <w:sz w:val="22"/>
          <w:szCs w:val="22"/>
        </w:rPr>
      </w:pPr>
    </w:p>
    <w:p w14:paraId="70238EEA" w14:textId="77777777" w:rsidR="00E05FAD" w:rsidRDefault="00E05FAD" w:rsidP="0059008B">
      <w:pPr>
        <w:ind w:left="240" w:firstLine="600"/>
        <w:divId w:val="410156154"/>
        <w:rPr>
          <w:rFonts w:asciiTheme="majorHAnsi" w:hAnsiTheme="majorHAnsi" w:cs="Cambria"/>
          <w:b/>
          <w:bCs/>
          <w:sz w:val="22"/>
          <w:szCs w:val="22"/>
        </w:rPr>
      </w:pPr>
    </w:p>
    <w:p w14:paraId="1F2E8A11" w14:textId="77777777" w:rsidR="00E05FAD" w:rsidRDefault="00E05FAD" w:rsidP="0059008B">
      <w:pPr>
        <w:ind w:left="240" w:firstLine="600"/>
        <w:divId w:val="410156154"/>
        <w:rPr>
          <w:rFonts w:asciiTheme="majorHAnsi" w:hAnsiTheme="majorHAnsi" w:cs="Cambria"/>
          <w:b/>
          <w:bCs/>
          <w:sz w:val="22"/>
          <w:szCs w:val="22"/>
        </w:rPr>
      </w:pPr>
    </w:p>
    <w:p w14:paraId="577366BF" w14:textId="77777777" w:rsidR="00E05FAD" w:rsidRDefault="00E05FAD" w:rsidP="0059008B">
      <w:pPr>
        <w:ind w:left="240" w:firstLine="600"/>
        <w:divId w:val="410156154"/>
        <w:rPr>
          <w:rFonts w:asciiTheme="majorHAnsi" w:hAnsiTheme="majorHAnsi" w:cs="Cambria"/>
          <w:b/>
          <w:bCs/>
          <w:sz w:val="22"/>
          <w:szCs w:val="22"/>
        </w:rPr>
      </w:pPr>
    </w:p>
    <w:p w14:paraId="01398C8D" w14:textId="77777777" w:rsidR="00E05FAD" w:rsidRDefault="00E05FAD" w:rsidP="0059008B">
      <w:pPr>
        <w:ind w:left="240" w:firstLine="600"/>
        <w:divId w:val="410156154"/>
        <w:rPr>
          <w:rFonts w:asciiTheme="majorHAnsi" w:hAnsiTheme="majorHAnsi" w:cs="Cambria"/>
          <w:b/>
          <w:bCs/>
          <w:sz w:val="22"/>
          <w:szCs w:val="22"/>
        </w:rPr>
      </w:pPr>
    </w:p>
    <w:p w14:paraId="17D1A490" w14:textId="77777777" w:rsidR="0059008B" w:rsidRDefault="001D4D05" w:rsidP="002F5381">
      <w:pPr>
        <w:ind w:left="240" w:firstLine="600"/>
        <w:divId w:val="410156154"/>
        <w:rPr>
          <w:rFonts w:asciiTheme="majorHAnsi" w:hAnsiTheme="majorHAnsi" w:cs="Cambria"/>
          <w:b/>
          <w:bCs/>
          <w:sz w:val="22"/>
          <w:szCs w:val="22"/>
        </w:rPr>
      </w:pPr>
      <w:r>
        <w:rPr>
          <w:rFonts w:asciiTheme="majorHAnsi" w:hAnsiTheme="majorHAnsi" w:cs="Cambria"/>
          <w:b/>
          <w:bCs/>
          <w:sz w:val="22"/>
          <w:szCs w:val="22"/>
        </w:rPr>
        <w:t xml:space="preserve">Table </w:t>
      </w:r>
      <w:r w:rsidR="002F5381">
        <w:rPr>
          <w:rFonts w:asciiTheme="majorHAnsi" w:hAnsiTheme="majorHAnsi" w:cs="Cambria"/>
          <w:b/>
          <w:bCs/>
          <w:sz w:val="22"/>
          <w:szCs w:val="22"/>
        </w:rPr>
        <w:t>4</w:t>
      </w:r>
      <w:r w:rsidR="0059008B" w:rsidRPr="00597007">
        <w:rPr>
          <w:rFonts w:asciiTheme="majorHAnsi" w:hAnsiTheme="majorHAnsi" w:cs="Cambria"/>
          <w:b/>
          <w:bCs/>
          <w:sz w:val="22"/>
          <w:szCs w:val="22"/>
        </w:rPr>
        <w:t xml:space="preserve"> </w:t>
      </w:r>
      <w:r w:rsidR="0059008B" w:rsidRPr="00597007">
        <w:rPr>
          <w:rFonts w:asciiTheme="majorHAnsi" w:hAnsiTheme="majorHAnsi" w:cs="Cambria"/>
          <w:bCs/>
          <w:sz w:val="22"/>
          <w:szCs w:val="22"/>
        </w:rPr>
        <w:t>– IPV doses requirement based on targeted population.</w:t>
      </w:r>
      <w:r w:rsidR="0059008B" w:rsidRPr="00597007">
        <w:rPr>
          <w:rFonts w:asciiTheme="majorHAnsi" w:hAnsiTheme="majorHAnsi" w:cs="Cambria"/>
          <w:b/>
          <w:bCs/>
          <w:sz w:val="22"/>
          <w:szCs w:val="22"/>
        </w:rPr>
        <w:t xml:space="preserve">  </w:t>
      </w:r>
    </w:p>
    <w:tbl>
      <w:tblPr>
        <w:tblStyle w:val="ColorfulGrid-Accent4"/>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283"/>
        <w:gridCol w:w="1781"/>
        <w:gridCol w:w="1985"/>
        <w:gridCol w:w="2551"/>
      </w:tblGrid>
      <w:tr w:rsidR="00093157" w:rsidRPr="00093157" w14:paraId="64EA79A1" w14:textId="77777777" w:rsidTr="004025B6">
        <w:trPr>
          <w:cnfStyle w:val="100000000000" w:firstRow="1" w:lastRow="0" w:firstColumn="0" w:lastColumn="0" w:oddVBand="0" w:evenVBand="0" w:oddHBand="0" w:evenHBand="0" w:firstRowFirstColumn="0" w:firstRowLastColumn="0" w:lastRowFirstColumn="0" w:lastRowLastColumn="0"/>
          <w:divId w:val="410156154"/>
          <w:trHeight w:val="267"/>
        </w:trPr>
        <w:tc>
          <w:tcPr>
            <w:cnfStyle w:val="001000000000" w:firstRow="0" w:lastRow="0" w:firstColumn="1" w:lastColumn="0" w:oddVBand="0" w:evenVBand="0" w:oddHBand="0" w:evenHBand="0" w:firstRowFirstColumn="0" w:firstRowLastColumn="0" w:lastRowFirstColumn="0" w:lastRowLastColumn="0"/>
            <w:tcW w:w="8493" w:type="dxa"/>
            <w:gridSpan w:val="5"/>
            <w:shd w:val="clear" w:color="auto" w:fill="CCCCFF"/>
            <w:hideMark/>
          </w:tcPr>
          <w:p w14:paraId="60A2E9A6" w14:textId="77777777" w:rsidR="00093157" w:rsidRPr="00B36597" w:rsidRDefault="00093157" w:rsidP="008C5AF5">
            <w:pPr>
              <w:pStyle w:val="Heading4"/>
              <w:ind w:right="-904"/>
              <w:jc w:val="center"/>
              <w:outlineLvl w:val="3"/>
              <w:rPr>
                <w:rFonts w:asciiTheme="majorHAnsi" w:hAnsiTheme="majorHAnsi" w:cs="Cambria"/>
                <w:b/>
                <w:bCs/>
                <w:i w:val="0"/>
                <w:color w:val="auto"/>
                <w:sz w:val="22"/>
                <w:szCs w:val="22"/>
              </w:rPr>
            </w:pPr>
            <w:r w:rsidRPr="00B36597">
              <w:rPr>
                <w:rFonts w:asciiTheme="majorHAnsi" w:hAnsiTheme="majorHAnsi" w:cs="Cambria"/>
                <w:b/>
                <w:i w:val="0"/>
                <w:color w:val="auto"/>
                <w:sz w:val="22"/>
                <w:szCs w:val="22"/>
              </w:rPr>
              <w:t>For 10 dose vials (at 70% wastage rate)</w:t>
            </w:r>
          </w:p>
        </w:tc>
      </w:tr>
      <w:tr w:rsidR="00F7230C" w:rsidRPr="00597007" w14:paraId="0ADE5877" w14:textId="77777777" w:rsidTr="004025B6">
        <w:trPr>
          <w:cnfStyle w:val="000000100000" w:firstRow="0" w:lastRow="0" w:firstColumn="0" w:lastColumn="0" w:oddVBand="0" w:evenVBand="0" w:oddHBand="1" w:evenHBand="0" w:firstRowFirstColumn="0" w:firstRowLastColumn="0" w:lastRowFirstColumn="0" w:lastRowLastColumn="0"/>
          <w:divId w:val="410156154"/>
          <w:trHeight w:val="768"/>
        </w:trPr>
        <w:tc>
          <w:tcPr>
            <w:cnfStyle w:val="001000000000" w:firstRow="0" w:lastRow="0" w:firstColumn="1" w:lastColumn="0" w:oddVBand="0" w:evenVBand="0" w:oddHBand="0" w:evenHBand="0" w:firstRowFirstColumn="0" w:firstRowLastColumn="0" w:lastRowFirstColumn="0" w:lastRowLastColumn="0"/>
            <w:tcW w:w="893" w:type="dxa"/>
            <w:shd w:val="clear" w:color="auto" w:fill="D9D9D9" w:themeFill="background1" w:themeFillShade="D9"/>
            <w:vAlign w:val="center"/>
            <w:hideMark/>
          </w:tcPr>
          <w:p w14:paraId="12490270" w14:textId="77777777" w:rsidR="00F7230C" w:rsidRPr="004025B6" w:rsidRDefault="00F7230C" w:rsidP="004025B6">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Year</w:t>
            </w:r>
          </w:p>
        </w:tc>
        <w:tc>
          <w:tcPr>
            <w:tcW w:w="1283" w:type="dxa"/>
            <w:shd w:val="clear" w:color="auto" w:fill="D9D9D9" w:themeFill="background1" w:themeFillShade="D9"/>
            <w:vAlign w:val="center"/>
            <w:hideMark/>
          </w:tcPr>
          <w:p w14:paraId="15EF3A36" w14:textId="77777777" w:rsidR="00F7230C" w:rsidRPr="004025B6" w:rsidRDefault="00F7230C" w:rsidP="004025B6">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Target Population</w:t>
            </w:r>
          </w:p>
        </w:tc>
        <w:tc>
          <w:tcPr>
            <w:tcW w:w="1781" w:type="dxa"/>
            <w:shd w:val="clear" w:color="auto" w:fill="D9D9D9" w:themeFill="background1" w:themeFillShade="D9"/>
            <w:vAlign w:val="center"/>
            <w:hideMark/>
          </w:tcPr>
          <w:p w14:paraId="1598F3F3" w14:textId="77777777" w:rsidR="00F7230C" w:rsidRPr="004025B6" w:rsidRDefault="00F7230C" w:rsidP="004025B6">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Doses required</w:t>
            </w:r>
            <w:r w:rsidR="004025B6" w:rsidRPr="004025B6">
              <w:rPr>
                <w:rFonts w:asciiTheme="majorHAnsi" w:hAnsiTheme="majorHAnsi" w:cs="Cambria"/>
                <w:b w:val="0"/>
                <w:i w:val="0"/>
                <w:color w:val="auto"/>
                <w:sz w:val="20"/>
                <w:szCs w:val="20"/>
              </w:rPr>
              <w:t>*</w:t>
            </w:r>
          </w:p>
        </w:tc>
        <w:tc>
          <w:tcPr>
            <w:tcW w:w="1985" w:type="dxa"/>
            <w:shd w:val="clear" w:color="auto" w:fill="D9D9D9" w:themeFill="background1" w:themeFillShade="D9"/>
            <w:vAlign w:val="center"/>
            <w:hideMark/>
          </w:tcPr>
          <w:p w14:paraId="27D36BF3" w14:textId="77777777" w:rsidR="00F7230C" w:rsidRPr="004025B6" w:rsidRDefault="00F7230C" w:rsidP="004025B6">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 xml:space="preserve">Doses including Vaccine wastage @ </w:t>
            </w:r>
            <w:r w:rsidR="00974563" w:rsidRPr="004025B6">
              <w:rPr>
                <w:rFonts w:asciiTheme="majorHAnsi" w:hAnsiTheme="majorHAnsi" w:cs="Cambria"/>
                <w:b w:val="0"/>
                <w:i w:val="0"/>
                <w:color w:val="auto"/>
                <w:sz w:val="20"/>
                <w:szCs w:val="20"/>
              </w:rPr>
              <w:t>7</w:t>
            </w:r>
            <w:r w:rsidRPr="004025B6">
              <w:rPr>
                <w:rFonts w:asciiTheme="majorHAnsi" w:hAnsiTheme="majorHAnsi" w:cs="Cambria"/>
                <w:b w:val="0"/>
                <w:i w:val="0"/>
                <w:color w:val="auto"/>
                <w:sz w:val="20"/>
                <w:szCs w:val="20"/>
              </w:rPr>
              <w:t>0% per year</w:t>
            </w:r>
          </w:p>
          <w:p w14:paraId="74E1055E" w14:textId="77777777" w:rsidR="00F7230C" w:rsidRPr="004025B6" w:rsidRDefault="009C00A6" w:rsidP="004025B6">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(Dose</w:t>
            </w:r>
            <w:r w:rsidR="0016687E" w:rsidRPr="004025B6">
              <w:rPr>
                <w:rFonts w:asciiTheme="majorHAnsi" w:hAnsiTheme="majorHAnsi" w:cs="Cambria"/>
                <w:b w:val="0"/>
                <w:i w:val="0"/>
                <w:color w:val="auto"/>
                <w:sz w:val="20"/>
                <w:szCs w:val="20"/>
              </w:rPr>
              <w:t>s</w:t>
            </w:r>
            <w:r w:rsidR="00F7230C" w:rsidRPr="004025B6">
              <w:rPr>
                <w:rFonts w:asciiTheme="majorHAnsi" w:hAnsiTheme="majorHAnsi" w:cs="Cambria"/>
                <w:b w:val="0"/>
                <w:i w:val="0"/>
                <w:color w:val="auto"/>
                <w:sz w:val="20"/>
                <w:szCs w:val="20"/>
              </w:rPr>
              <w:t xml:space="preserve"> x </w:t>
            </w:r>
            <w:r w:rsidR="00974563" w:rsidRPr="004025B6">
              <w:rPr>
                <w:rFonts w:asciiTheme="majorHAnsi" w:hAnsiTheme="majorHAnsi" w:cs="Cambria"/>
                <w:b w:val="0"/>
                <w:i w:val="0"/>
                <w:color w:val="auto"/>
                <w:sz w:val="20"/>
                <w:szCs w:val="20"/>
              </w:rPr>
              <w:t>3.3</w:t>
            </w:r>
            <w:r w:rsidR="00F7230C" w:rsidRPr="004025B6">
              <w:rPr>
                <w:rFonts w:asciiTheme="majorHAnsi" w:hAnsiTheme="majorHAnsi" w:cs="Cambria"/>
                <w:b w:val="0"/>
                <w:i w:val="0"/>
                <w:color w:val="auto"/>
                <w:sz w:val="20"/>
                <w:szCs w:val="20"/>
              </w:rPr>
              <w:t>3)</w:t>
            </w:r>
          </w:p>
        </w:tc>
        <w:tc>
          <w:tcPr>
            <w:tcW w:w="2551" w:type="dxa"/>
            <w:shd w:val="clear" w:color="auto" w:fill="D9D9D9" w:themeFill="background1" w:themeFillShade="D9"/>
            <w:vAlign w:val="center"/>
            <w:hideMark/>
          </w:tcPr>
          <w:p w14:paraId="7797DAE9" w14:textId="77777777" w:rsidR="00F7230C" w:rsidRPr="004025B6" w:rsidRDefault="00F7230C" w:rsidP="004025B6">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TOTAL</w:t>
            </w:r>
          </w:p>
          <w:p w14:paraId="17B60EEA" w14:textId="77777777" w:rsidR="00F7230C" w:rsidRPr="004025B6" w:rsidRDefault="00F7230C" w:rsidP="004025B6">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w:t>
            </w:r>
            <w:r w:rsidR="009C00A6" w:rsidRPr="004025B6">
              <w:rPr>
                <w:rFonts w:asciiTheme="majorHAnsi" w:hAnsiTheme="majorHAnsi" w:cs="Cambria"/>
                <w:b w:val="0"/>
                <w:i w:val="0"/>
                <w:color w:val="auto"/>
                <w:sz w:val="20"/>
                <w:szCs w:val="20"/>
              </w:rPr>
              <w:t>Including</w:t>
            </w:r>
            <w:r w:rsidRPr="004025B6">
              <w:rPr>
                <w:rFonts w:asciiTheme="majorHAnsi" w:hAnsiTheme="majorHAnsi" w:cs="Cambria"/>
                <w:b w:val="0"/>
                <w:i w:val="0"/>
                <w:color w:val="auto"/>
                <w:sz w:val="20"/>
                <w:szCs w:val="20"/>
              </w:rPr>
              <w:t xml:space="preserve"> 25% buffer for first </w:t>
            </w:r>
            <w:r w:rsidR="009C00A6" w:rsidRPr="004025B6">
              <w:rPr>
                <w:rFonts w:asciiTheme="majorHAnsi" w:hAnsiTheme="majorHAnsi" w:cs="Cambria"/>
                <w:b w:val="0"/>
                <w:i w:val="0"/>
                <w:color w:val="auto"/>
                <w:sz w:val="20"/>
                <w:szCs w:val="20"/>
              </w:rPr>
              <w:t>year</w:t>
            </w:r>
            <w:r w:rsidRPr="004025B6">
              <w:rPr>
                <w:rFonts w:asciiTheme="majorHAnsi" w:hAnsiTheme="majorHAnsi" w:cs="Cambria"/>
                <w:b w:val="0"/>
                <w:i w:val="0"/>
                <w:color w:val="auto"/>
                <w:sz w:val="20"/>
                <w:szCs w:val="20"/>
              </w:rPr>
              <w:t>)</w:t>
            </w:r>
          </w:p>
          <w:p w14:paraId="3E66DAA2" w14:textId="77777777" w:rsidR="00F7230C" w:rsidRPr="004025B6" w:rsidRDefault="00F7230C" w:rsidP="004025B6">
            <w:pPr>
              <w:pStyle w:val="Heading4"/>
              <w:spacing w:before="0"/>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p>
        </w:tc>
      </w:tr>
      <w:tr w:rsidR="00974563" w:rsidRPr="00C356AF" w14:paraId="65EBB76C" w14:textId="77777777" w:rsidTr="008578B8">
        <w:trPr>
          <w:divId w:val="410156154"/>
          <w:trHeight w:val="486"/>
        </w:trPr>
        <w:tc>
          <w:tcPr>
            <w:cnfStyle w:val="001000000000" w:firstRow="0" w:lastRow="0" w:firstColumn="1" w:lastColumn="0" w:oddVBand="0" w:evenVBand="0" w:oddHBand="0" w:evenHBand="0" w:firstRowFirstColumn="0" w:firstRowLastColumn="0" w:lastRowFirstColumn="0" w:lastRowLastColumn="0"/>
            <w:tcW w:w="893" w:type="dxa"/>
            <w:shd w:val="clear" w:color="auto" w:fill="auto"/>
            <w:vAlign w:val="center"/>
            <w:hideMark/>
          </w:tcPr>
          <w:p w14:paraId="0EF47805" w14:textId="77777777" w:rsidR="00974563" w:rsidRPr="004025B6" w:rsidRDefault="00974563" w:rsidP="004025B6">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2015</w:t>
            </w:r>
          </w:p>
        </w:tc>
        <w:tc>
          <w:tcPr>
            <w:tcW w:w="1283" w:type="dxa"/>
            <w:shd w:val="clear" w:color="auto" w:fill="auto"/>
            <w:vAlign w:val="center"/>
            <w:hideMark/>
          </w:tcPr>
          <w:p w14:paraId="53AD006D" w14:textId="77777777" w:rsidR="00974563" w:rsidRPr="004025B6" w:rsidRDefault="00974563" w:rsidP="004025B6">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6,526,620</w:t>
            </w:r>
          </w:p>
        </w:tc>
        <w:tc>
          <w:tcPr>
            <w:tcW w:w="1781" w:type="dxa"/>
            <w:shd w:val="clear" w:color="auto" w:fill="auto"/>
            <w:vAlign w:val="center"/>
            <w:hideMark/>
          </w:tcPr>
          <w:p w14:paraId="2EF640AC" w14:textId="77777777" w:rsidR="00974563" w:rsidRPr="004025B6" w:rsidRDefault="00974563" w:rsidP="004025B6">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iCs w:val="0"/>
                <w:color w:val="auto"/>
                <w:sz w:val="20"/>
                <w:szCs w:val="20"/>
              </w:rPr>
            </w:pPr>
            <w:r w:rsidRPr="004025B6">
              <w:rPr>
                <w:rFonts w:asciiTheme="majorHAnsi" w:hAnsiTheme="majorHAnsi" w:cs="Cambria"/>
                <w:b w:val="0"/>
                <w:i w:val="0"/>
                <w:color w:val="auto"/>
                <w:sz w:val="20"/>
                <w:szCs w:val="20"/>
              </w:rPr>
              <w:t>6,526,620</w:t>
            </w:r>
          </w:p>
        </w:tc>
        <w:tc>
          <w:tcPr>
            <w:tcW w:w="1985" w:type="dxa"/>
            <w:shd w:val="clear" w:color="auto" w:fill="auto"/>
            <w:vAlign w:val="center"/>
            <w:hideMark/>
          </w:tcPr>
          <w:p w14:paraId="381BCF9D" w14:textId="77777777" w:rsidR="00974563" w:rsidRPr="004025B6" w:rsidRDefault="00972022" w:rsidP="004025B6">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iCs w:val="0"/>
                <w:color w:val="auto"/>
                <w:sz w:val="22"/>
                <w:szCs w:val="22"/>
              </w:rPr>
            </w:pPr>
            <w:r w:rsidRPr="008578B8">
              <w:rPr>
                <w:rFonts w:asciiTheme="majorHAnsi" w:hAnsiTheme="majorHAnsi" w:cs="Cambria"/>
                <w:b w:val="0"/>
                <w:i w:val="0"/>
                <w:iCs w:val="0"/>
                <w:color w:val="auto"/>
                <w:sz w:val="22"/>
                <w:szCs w:val="22"/>
              </w:rPr>
              <w:t>27,167,056</w:t>
            </w:r>
          </w:p>
        </w:tc>
        <w:tc>
          <w:tcPr>
            <w:tcW w:w="2551" w:type="dxa"/>
            <w:shd w:val="clear" w:color="auto" w:fill="auto"/>
            <w:vAlign w:val="center"/>
            <w:hideMark/>
          </w:tcPr>
          <w:p w14:paraId="1DF89EAB" w14:textId="77777777" w:rsidR="00974563" w:rsidRPr="004025B6" w:rsidRDefault="008578B8" w:rsidP="008578B8">
            <w:pPr>
              <w:pStyle w:val="Heading4"/>
              <w:ind w:right="230"/>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iCs w:val="0"/>
                <w:color w:val="auto"/>
                <w:sz w:val="20"/>
                <w:szCs w:val="20"/>
              </w:rPr>
            </w:pPr>
            <w:r>
              <w:rPr>
                <w:rFonts w:asciiTheme="majorHAnsi" w:hAnsiTheme="majorHAnsi" w:cs="Cambria"/>
                <w:b w:val="0"/>
                <w:i w:val="0"/>
                <w:iCs w:val="0"/>
                <w:color w:val="auto"/>
                <w:sz w:val="22"/>
                <w:szCs w:val="22"/>
              </w:rPr>
              <w:t xml:space="preserve">     </w:t>
            </w:r>
            <w:r w:rsidR="00A85CFD" w:rsidRPr="008578B8">
              <w:rPr>
                <w:rFonts w:asciiTheme="majorHAnsi" w:hAnsiTheme="majorHAnsi" w:cs="Cambria"/>
                <w:b w:val="0"/>
                <w:i w:val="0"/>
                <w:iCs w:val="0"/>
                <w:color w:val="auto"/>
                <w:sz w:val="22"/>
                <w:szCs w:val="22"/>
              </w:rPr>
              <w:t>33,958,820</w:t>
            </w:r>
          </w:p>
        </w:tc>
      </w:tr>
      <w:tr w:rsidR="004025B6" w:rsidRPr="00C356AF" w14:paraId="0DC7B3B6" w14:textId="77777777" w:rsidTr="008578B8">
        <w:trPr>
          <w:cnfStyle w:val="000000100000" w:firstRow="0" w:lastRow="0" w:firstColumn="0" w:lastColumn="0" w:oddVBand="0" w:evenVBand="0" w:oddHBand="1" w:evenHBand="0" w:firstRowFirstColumn="0" w:firstRowLastColumn="0" w:lastRowFirstColumn="0" w:lastRowLastColumn="0"/>
          <w:divId w:val="410156154"/>
          <w:trHeight w:val="486"/>
        </w:trPr>
        <w:tc>
          <w:tcPr>
            <w:cnfStyle w:val="001000000000" w:firstRow="0" w:lastRow="0" w:firstColumn="1" w:lastColumn="0" w:oddVBand="0" w:evenVBand="0" w:oddHBand="0" w:evenHBand="0" w:firstRowFirstColumn="0" w:firstRowLastColumn="0" w:lastRowFirstColumn="0" w:lastRowLastColumn="0"/>
            <w:tcW w:w="893" w:type="dxa"/>
            <w:shd w:val="clear" w:color="auto" w:fill="auto"/>
            <w:vAlign w:val="center"/>
            <w:hideMark/>
          </w:tcPr>
          <w:p w14:paraId="1EE89802" w14:textId="77777777" w:rsidR="004025B6" w:rsidRPr="004025B6" w:rsidRDefault="004025B6" w:rsidP="004025B6">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2016</w:t>
            </w:r>
          </w:p>
        </w:tc>
        <w:tc>
          <w:tcPr>
            <w:tcW w:w="1283" w:type="dxa"/>
            <w:shd w:val="clear" w:color="auto" w:fill="auto"/>
            <w:vAlign w:val="center"/>
            <w:hideMark/>
          </w:tcPr>
          <w:p w14:paraId="5C1C3C2C" w14:textId="77777777" w:rsidR="004025B6" w:rsidRPr="004025B6" w:rsidRDefault="004025B6" w:rsidP="004025B6">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26,106,482</w:t>
            </w:r>
          </w:p>
        </w:tc>
        <w:tc>
          <w:tcPr>
            <w:tcW w:w="1781" w:type="dxa"/>
            <w:shd w:val="clear" w:color="auto" w:fill="auto"/>
            <w:vAlign w:val="center"/>
            <w:hideMark/>
          </w:tcPr>
          <w:p w14:paraId="423D4DB5" w14:textId="77777777" w:rsidR="004025B6" w:rsidRPr="004025B6" w:rsidRDefault="004025B6" w:rsidP="004025B6">
            <w:pPr>
              <w:jc w:val="center"/>
              <w:cnfStyle w:val="000000100000" w:firstRow="0" w:lastRow="0" w:firstColumn="0" w:lastColumn="0" w:oddVBand="0" w:evenVBand="0" w:oddHBand="1" w:evenHBand="0" w:firstRowFirstColumn="0" w:firstRowLastColumn="0" w:lastRowFirstColumn="0" w:lastRowLastColumn="0"/>
            </w:pPr>
            <w:r w:rsidRPr="004025B6">
              <w:rPr>
                <w:rFonts w:asciiTheme="majorHAnsi" w:hAnsiTheme="majorHAnsi" w:cs="Cambria"/>
                <w:iCs/>
                <w:color w:val="auto"/>
                <w:sz w:val="20"/>
                <w:szCs w:val="20"/>
              </w:rPr>
              <w:t>18,274, 537</w:t>
            </w:r>
          </w:p>
        </w:tc>
        <w:tc>
          <w:tcPr>
            <w:tcW w:w="1985" w:type="dxa"/>
            <w:shd w:val="clear" w:color="auto" w:fill="auto"/>
            <w:vAlign w:val="center"/>
            <w:hideMark/>
          </w:tcPr>
          <w:p w14:paraId="44DAFDE8" w14:textId="77777777" w:rsidR="004025B6" w:rsidRPr="004025B6" w:rsidRDefault="004025B6" w:rsidP="004025B6">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iCs w:val="0"/>
                <w:color w:val="auto"/>
                <w:sz w:val="22"/>
                <w:szCs w:val="22"/>
              </w:rPr>
            </w:pPr>
            <w:r w:rsidRPr="004025B6">
              <w:rPr>
                <w:rFonts w:asciiTheme="majorHAnsi" w:hAnsiTheme="majorHAnsi" w:cs="Cambria"/>
                <w:b w:val="0"/>
                <w:i w:val="0"/>
                <w:iCs w:val="0"/>
                <w:color w:val="auto"/>
                <w:sz w:val="22"/>
                <w:szCs w:val="22"/>
              </w:rPr>
              <w:t>60,854,210</w:t>
            </w:r>
          </w:p>
        </w:tc>
        <w:tc>
          <w:tcPr>
            <w:tcW w:w="2551" w:type="dxa"/>
            <w:shd w:val="clear" w:color="auto" w:fill="auto"/>
            <w:vAlign w:val="center"/>
            <w:hideMark/>
          </w:tcPr>
          <w:p w14:paraId="204B8F5D" w14:textId="77777777" w:rsidR="004025B6" w:rsidRPr="004025B6" w:rsidRDefault="004025B6" w:rsidP="008578B8">
            <w:pPr>
              <w:jc w:val="center"/>
              <w:cnfStyle w:val="000000100000" w:firstRow="0" w:lastRow="0" w:firstColumn="0" w:lastColumn="0" w:oddVBand="0" w:evenVBand="0" w:oddHBand="1" w:evenHBand="0" w:firstRowFirstColumn="0" w:firstRowLastColumn="0" w:lastRowFirstColumn="0" w:lastRowLastColumn="0"/>
            </w:pPr>
            <w:r w:rsidRPr="004025B6">
              <w:rPr>
                <w:rFonts w:asciiTheme="majorHAnsi" w:hAnsiTheme="majorHAnsi" w:cs="Cambria"/>
                <w:iCs/>
                <w:color w:val="auto"/>
                <w:sz w:val="22"/>
                <w:szCs w:val="22"/>
              </w:rPr>
              <w:t>60,854,210</w:t>
            </w:r>
          </w:p>
        </w:tc>
      </w:tr>
      <w:tr w:rsidR="004025B6" w:rsidRPr="00C356AF" w14:paraId="1611217E" w14:textId="77777777" w:rsidTr="008578B8">
        <w:trPr>
          <w:divId w:val="410156154"/>
          <w:trHeight w:val="486"/>
        </w:trPr>
        <w:tc>
          <w:tcPr>
            <w:cnfStyle w:val="001000000000" w:firstRow="0" w:lastRow="0" w:firstColumn="1" w:lastColumn="0" w:oddVBand="0" w:evenVBand="0" w:oddHBand="0" w:evenHBand="0" w:firstRowFirstColumn="0" w:firstRowLastColumn="0" w:lastRowFirstColumn="0" w:lastRowLastColumn="0"/>
            <w:tcW w:w="893" w:type="dxa"/>
            <w:shd w:val="clear" w:color="auto" w:fill="auto"/>
            <w:vAlign w:val="center"/>
          </w:tcPr>
          <w:p w14:paraId="41460730" w14:textId="77777777" w:rsidR="004025B6" w:rsidRPr="004025B6" w:rsidRDefault="004025B6" w:rsidP="004025B6">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2017</w:t>
            </w:r>
          </w:p>
        </w:tc>
        <w:tc>
          <w:tcPr>
            <w:tcW w:w="1283" w:type="dxa"/>
            <w:shd w:val="clear" w:color="auto" w:fill="auto"/>
            <w:vAlign w:val="center"/>
          </w:tcPr>
          <w:p w14:paraId="368E8D83" w14:textId="77777777" w:rsidR="004025B6" w:rsidRPr="004025B6" w:rsidRDefault="004025B6" w:rsidP="004025B6">
            <w:pPr>
              <w:pStyle w:val="Heading4"/>
              <w:jc w:val="center"/>
              <w:outlineLvl w:val="3"/>
              <w:cnfStyle w:val="000000000000" w:firstRow="0" w:lastRow="0" w:firstColumn="0" w:lastColumn="0" w:oddVBand="0" w:evenVBand="0" w:oddHBand="0"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26,106,482</w:t>
            </w:r>
          </w:p>
        </w:tc>
        <w:tc>
          <w:tcPr>
            <w:tcW w:w="1781" w:type="dxa"/>
            <w:shd w:val="clear" w:color="auto" w:fill="auto"/>
            <w:vAlign w:val="center"/>
          </w:tcPr>
          <w:p w14:paraId="15D7A299" w14:textId="77777777" w:rsidR="004025B6" w:rsidRPr="004025B6" w:rsidRDefault="004025B6" w:rsidP="004025B6">
            <w:pPr>
              <w:jc w:val="center"/>
              <w:cnfStyle w:val="000000000000" w:firstRow="0" w:lastRow="0" w:firstColumn="0" w:lastColumn="0" w:oddVBand="0" w:evenVBand="0" w:oddHBand="0" w:evenHBand="0" w:firstRowFirstColumn="0" w:firstRowLastColumn="0" w:lastRowFirstColumn="0" w:lastRowLastColumn="0"/>
            </w:pPr>
            <w:r w:rsidRPr="004025B6">
              <w:rPr>
                <w:rFonts w:asciiTheme="majorHAnsi" w:hAnsiTheme="majorHAnsi" w:cs="Cambria"/>
                <w:iCs/>
                <w:color w:val="auto"/>
                <w:sz w:val="20"/>
                <w:szCs w:val="20"/>
              </w:rPr>
              <w:t>18,274, 537</w:t>
            </w:r>
          </w:p>
        </w:tc>
        <w:tc>
          <w:tcPr>
            <w:tcW w:w="1985" w:type="dxa"/>
            <w:shd w:val="clear" w:color="auto" w:fill="auto"/>
            <w:vAlign w:val="center"/>
          </w:tcPr>
          <w:p w14:paraId="0C85906A" w14:textId="77777777" w:rsidR="004025B6" w:rsidRPr="004025B6" w:rsidRDefault="004025B6" w:rsidP="004025B6">
            <w:pPr>
              <w:jc w:val="center"/>
              <w:cnfStyle w:val="000000000000" w:firstRow="0" w:lastRow="0" w:firstColumn="0" w:lastColumn="0" w:oddVBand="0" w:evenVBand="0" w:oddHBand="0" w:evenHBand="0" w:firstRowFirstColumn="0" w:firstRowLastColumn="0" w:lastRowFirstColumn="0" w:lastRowLastColumn="0"/>
            </w:pPr>
            <w:r w:rsidRPr="004025B6">
              <w:rPr>
                <w:rFonts w:asciiTheme="majorHAnsi" w:hAnsiTheme="majorHAnsi" w:cs="Cambria"/>
                <w:iCs/>
                <w:color w:val="auto"/>
                <w:sz w:val="22"/>
                <w:szCs w:val="22"/>
              </w:rPr>
              <w:t>60,854,210</w:t>
            </w:r>
          </w:p>
        </w:tc>
        <w:tc>
          <w:tcPr>
            <w:tcW w:w="2551" w:type="dxa"/>
            <w:shd w:val="clear" w:color="auto" w:fill="auto"/>
            <w:vAlign w:val="center"/>
          </w:tcPr>
          <w:p w14:paraId="7B01FB43" w14:textId="77777777" w:rsidR="004025B6" w:rsidRPr="004025B6" w:rsidRDefault="004025B6" w:rsidP="008578B8">
            <w:pPr>
              <w:jc w:val="center"/>
              <w:cnfStyle w:val="000000000000" w:firstRow="0" w:lastRow="0" w:firstColumn="0" w:lastColumn="0" w:oddVBand="0" w:evenVBand="0" w:oddHBand="0" w:evenHBand="0" w:firstRowFirstColumn="0" w:firstRowLastColumn="0" w:lastRowFirstColumn="0" w:lastRowLastColumn="0"/>
            </w:pPr>
            <w:r w:rsidRPr="004025B6">
              <w:rPr>
                <w:rFonts w:asciiTheme="majorHAnsi" w:hAnsiTheme="majorHAnsi" w:cs="Cambria"/>
                <w:iCs/>
                <w:color w:val="auto"/>
                <w:sz w:val="22"/>
                <w:szCs w:val="22"/>
              </w:rPr>
              <w:t>60,854,210</w:t>
            </w:r>
          </w:p>
        </w:tc>
      </w:tr>
      <w:tr w:rsidR="004025B6" w:rsidRPr="00C356AF" w14:paraId="37412B0E" w14:textId="77777777" w:rsidTr="008578B8">
        <w:trPr>
          <w:cnfStyle w:val="000000100000" w:firstRow="0" w:lastRow="0" w:firstColumn="0" w:lastColumn="0" w:oddVBand="0" w:evenVBand="0" w:oddHBand="1" w:evenHBand="0" w:firstRowFirstColumn="0" w:firstRowLastColumn="0" w:lastRowFirstColumn="0" w:lastRowLastColumn="0"/>
          <w:divId w:val="410156154"/>
          <w:trHeight w:val="486"/>
        </w:trPr>
        <w:tc>
          <w:tcPr>
            <w:cnfStyle w:val="001000000000" w:firstRow="0" w:lastRow="0" w:firstColumn="1" w:lastColumn="0" w:oddVBand="0" w:evenVBand="0" w:oddHBand="0" w:evenHBand="0" w:firstRowFirstColumn="0" w:firstRowLastColumn="0" w:lastRowFirstColumn="0" w:lastRowLastColumn="0"/>
            <w:tcW w:w="893" w:type="dxa"/>
            <w:shd w:val="clear" w:color="auto" w:fill="auto"/>
            <w:vAlign w:val="center"/>
          </w:tcPr>
          <w:p w14:paraId="2A3EA4D5" w14:textId="77777777" w:rsidR="004025B6" w:rsidRPr="004025B6" w:rsidRDefault="004025B6" w:rsidP="004025B6">
            <w:pPr>
              <w:pStyle w:val="Heading4"/>
              <w:jc w:val="center"/>
              <w:outlineLvl w:val="3"/>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2018</w:t>
            </w:r>
          </w:p>
        </w:tc>
        <w:tc>
          <w:tcPr>
            <w:tcW w:w="1283" w:type="dxa"/>
            <w:shd w:val="clear" w:color="auto" w:fill="auto"/>
            <w:vAlign w:val="center"/>
          </w:tcPr>
          <w:p w14:paraId="404652D9" w14:textId="77777777" w:rsidR="004025B6" w:rsidRPr="004025B6" w:rsidRDefault="004025B6" w:rsidP="004025B6">
            <w:pPr>
              <w:pStyle w:val="Heading4"/>
              <w:jc w:val="center"/>
              <w:outlineLvl w:val="3"/>
              <w:cnfStyle w:val="000000100000" w:firstRow="0" w:lastRow="0" w:firstColumn="0" w:lastColumn="0" w:oddVBand="0" w:evenVBand="0" w:oddHBand="1" w:evenHBand="0" w:firstRowFirstColumn="0" w:firstRowLastColumn="0" w:lastRowFirstColumn="0" w:lastRowLastColumn="0"/>
              <w:rPr>
                <w:rFonts w:asciiTheme="majorHAnsi" w:hAnsiTheme="majorHAnsi" w:cs="Cambria"/>
                <w:b w:val="0"/>
                <w:i w:val="0"/>
                <w:color w:val="auto"/>
                <w:sz w:val="20"/>
                <w:szCs w:val="20"/>
              </w:rPr>
            </w:pPr>
            <w:r w:rsidRPr="004025B6">
              <w:rPr>
                <w:rFonts w:asciiTheme="majorHAnsi" w:hAnsiTheme="majorHAnsi" w:cs="Cambria"/>
                <w:b w:val="0"/>
                <w:i w:val="0"/>
                <w:color w:val="auto"/>
                <w:sz w:val="20"/>
                <w:szCs w:val="20"/>
              </w:rPr>
              <w:t>26,106,482</w:t>
            </w:r>
          </w:p>
        </w:tc>
        <w:tc>
          <w:tcPr>
            <w:tcW w:w="1781" w:type="dxa"/>
            <w:shd w:val="clear" w:color="auto" w:fill="auto"/>
            <w:vAlign w:val="center"/>
          </w:tcPr>
          <w:p w14:paraId="64E53602" w14:textId="77777777" w:rsidR="004025B6" w:rsidRPr="004025B6" w:rsidRDefault="004025B6" w:rsidP="004025B6">
            <w:pPr>
              <w:jc w:val="center"/>
              <w:cnfStyle w:val="000000100000" w:firstRow="0" w:lastRow="0" w:firstColumn="0" w:lastColumn="0" w:oddVBand="0" w:evenVBand="0" w:oddHBand="1" w:evenHBand="0" w:firstRowFirstColumn="0" w:firstRowLastColumn="0" w:lastRowFirstColumn="0" w:lastRowLastColumn="0"/>
            </w:pPr>
            <w:r w:rsidRPr="004025B6">
              <w:rPr>
                <w:rFonts w:asciiTheme="majorHAnsi" w:hAnsiTheme="majorHAnsi" w:cs="Cambria"/>
                <w:iCs/>
                <w:color w:val="auto"/>
                <w:sz w:val="20"/>
                <w:szCs w:val="20"/>
              </w:rPr>
              <w:t>18,274, 537</w:t>
            </w:r>
          </w:p>
        </w:tc>
        <w:tc>
          <w:tcPr>
            <w:tcW w:w="1985" w:type="dxa"/>
            <w:shd w:val="clear" w:color="auto" w:fill="auto"/>
            <w:vAlign w:val="center"/>
          </w:tcPr>
          <w:p w14:paraId="4855C923" w14:textId="77777777" w:rsidR="004025B6" w:rsidRPr="004025B6" w:rsidRDefault="004025B6" w:rsidP="004025B6">
            <w:pPr>
              <w:jc w:val="center"/>
              <w:cnfStyle w:val="000000100000" w:firstRow="0" w:lastRow="0" w:firstColumn="0" w:lastColumn="0" w:oddVBand="0" w:evenVBand="0" w:oddHBand="1" w:evenHBand="0" w:firstRowFirstColumn="0" w:firstRowLastColumn="0" w:lastRowFirstColumn="0" w:lastRowLastColumn="0"/>
            </w:pPr>
            <w:r w:rsidRPr="004025B6">
              <w:rPr>
                <w:rFonts w:asciiTheme="majorHAnsi" w:hAnsiTheme="majorHAnsi" w:cs="Cambria"/>
                <w:iCs/>
                <w:color w:val="auto"/>
                <w:sz w:val="22"/>
                <w:szCs w:val="22"/>
              </w:rPr>
              <w:t>60,854,210</w:t>
            </w:r>
          </w:p>
        </w:tc>
        <w:tc>
          <w:tcPr>
            <w:tcW w:w="2551" w:type="dxa"/>
            <w:shd w:val="clear" w:color="auto" w:fill="auto"/>
            <w:vAlign w:val="center"/>
          </w:tcPr>
          <w:p w14:paraId="1E121876" w14:textId="77777777" w:rsidR="004025B6" w:rsidRPr="004025B6" w:rsidRDefault="004025B6" w:rsidP="008578B8">
            <w:pPr>
              <w:jc w:val="center"/>
              <w:cnfStyle w:val="000000100000" w:firstRow="0" w:lastRow="0" w:firstColumn="0" w:lastColumn="0" w:oddVBand="0" w:evenVBand="0" w:oddHBand="1" w:evenHBand="0" w:firstRowFirstColumn="0" w:firstRowLastColumn="0" w:lastRowFirstColumn="0" w:lastRowLastColumn="0"/>
            </w:pPr>
            <w:r w:rsidRPr="004025B6">
              <w:rPr>
                <w:rFonts w:asciiTheme="majorHAnsi" w:hAnsiTheme="majorHAnsi" w:cs="Cambria"/>
                <w:iCs/>
                <w:color w:val="auto"/>
                <w:sz w:val="22"/>
                <w:szCs w:val="22"/>
              </w:rPr>
              <w:t>60,854,210</w:t>
            </w:r>
          </w:p>
        </w:tc>
      </w:tr>
    </w:tbl>
    <w:p w14:paraId="5A1D76CD" w14:textId="77777777" w:rsidR="004025B6" w:rsidRPr="00597007" w:rsidRDefault="004025B6" w:rsidP="004025B6">
      <w:pPr>
        <w:divId w:val="410156154"/>
        <w:rPr>
          <w:rFonts w:asciiTheme="majorHAnsi" w:hAnsiTheme="majorHAnsi" w:cs="Cambria"/>
          <w:b/>
          <w:bCs/>
          <w:sz w:val="22"/>
          <w:szCs w:val="22"/>
        </w:rPr>
      </w:pPr>
      <w:r>
        <w:rPr>
          <w:rFonts w:asciiTheme="majorHAnsi" w:hAnsiTheme="majorHAnsi" w:cs="Cambria"/>
          <w:b/>
          <w:bCs/>
          <w:sz w:val="22"/>
          <w:szCs w:val="22"/>
        </w:rPr>
        <w:t>* Vaccine coverage is taken as 100% for 2015 (Year 1) and 70% from 2016 onwards</w:t>
      </w:r>
    </w:p>
    <w:p w14:paraId="37637196" w14:textId="77777777" w:rsidR="0066180B" w:rsidRPr="00597007" w:rsidRDefault="0066180B" w:rsidP="0059008B">
      <w:pPr>
        <w:ind w:left="240" w:firstLine="600"/>
        <w:divId w:val="410156154"/>
        <w:rPr>
          <w:rFonts w:asciiTheme="majorHAnsi" w:hAnsiTheme="majorHAnsi" w:cs="Cambria"/>
          <w:b/>
          <w:bCs/>
          <w:sz w:val="22"/>
          <w:szCs w:val="22"/>
        </w:rPr>
      </w:pPr>
    </w:p>
    <w:p w14:paraId="7D095C88" w14:textId="77777777" w:rsidR="0059008B" w:rsidRPr="00B522AF" w:rsidRDefault="00B522AF" w:rsidP="00B522AF">
      <w:pPr>
        <w:jc w:val="both"/>
        <w:divId w:val="410156154"/>
        <w:rPr>
          <w:rFonts w:asciiTheme="majorHAnsi" w:eastAsia="SimSun" w:hAnsiTheme="majorHAnsi"/>
          <w:b/>
          <w:color w:val="1F497D" w:themeColor="text2"/>
          <w:sz w:val="22"/>
          <w:szCs w:val="22"/>
        </w:rPr>
      </w:pPr>
      <w:r w:rsidRPr="00B522AF">
        <w:rPr>
          <w:rFonts w:ascii="Calibri" w:hAnsi="Calibri" w:cs="Calibri"/>
          <w:sz w:val="22"/>
          <w:szCs w:val="22"/>
          <w:lang w:val="en-US" w:eastAsia="en-US"/>
        </w:rPr>
        <w:t>The above-mentioned quantity of IPV Vaccine has to be procured through UNICEF by GAVI resources. However, onetime Introductory Grant shall be transferred to WHO &amp; UNICEF</w:t>
      </w:r>
      <w:r>
        <w:rPr>
          <w:rFonts w:ascii="Calibri" w:hAnsi="Calibri" w:cs="Calibri"/>
          <w:sz w:val="22"/>
          <w:szCs w:val="22"/>
          <w:lang w:val="en-US" w:eastAsia="en-US"/>
        </w:rPr>
        <w:t xml:space="preserve"> as per the budget.</w:t>
      </w:r>
    </w:p>
    <w:p w14:paraId="6B2FD3D3" w14:textId="77777777" w:rsidR="00B522AF" w:rsidRDefault="00B522AF" w:rsidP="0072695D">
      <w:pPr>
        <w:spacing w:after="120"/>
        <w:divId w:val="410156154"/>
        <w:rPr>
          <w:rFonts w:asciiTheme="majorHAnsi" w:eastAsia="SimSun" w:hAnsiTheme="majorHAnsi"/>
          <w:b/>
          <w:color w:val="1F497D" w:themeColor="text2"/>
          <w:szCs w:val="22"/>
        </w:rPr>
      </w:pPr>
    </w:p>
    <w:p w14:paraId="24DE40C3" w14:textId="77777777" w:rsidR="0072695D" w:rsidRPr="005B5EE7" w:rsidRDefault="0072695D" w:rsidP="0072695D">
      <w:pPr>
        <w:spacing w:after="120"/>
        <w:divId w:val="410156154"/>
        <w:rPr>
          <w:rFonts w:asciiTheme="majorHAnsi" w:eastAsia="SimSun" w:hAnsiTheme="majorHAnsi"/>
          <w:b/>
          <w:color w:val="1F497D" w:themeColor="text2"/>
          <w:szCs w:val="22"/>
        </w:rPr>
      </w:pPr>
      <w:r w:rsidRPr="005B5EE7">
        <w:rPr>
          <w:rFonts w:asciiTheme="majorHAnsi" w:eastAsia="SimSun" w:hAnsiTheme="majorHAnsi"/>
          <w:b/>
          <w:color w:val="1F497D" w:themeColor="text2"/>
          <w:szCs w:val="22"/>
        </w:rPr>
        <w:t xml:space="preserve">3. Introduction and implementation considerations </w:t>
      </w:r>
    </w:p>
    <w:p w14:paraId="7D673D19" w14:textId="77777777" w:rsidR="0066625D" w:rsidRDefault="005B5EE7" w:rsidP="0066625D">
      <w:pPr>
        <w:jc w:val="both"/>
        <w:divId w:val="410156154"/>
        <w:rPr>
          <w:rFonts w:ascii="Calibri" w:hAnsi="Calibri"/>
          <w:bCs/>
          <w:color w:val="1F497D"/>
        </w:rPr>
      </w:pPr>
      <w:r w:rsidRPr="00597007">
        <w:rPr>
          <w:rFonts w:asciiTheme="majorHAnsi" w:hAnsiTheme="majorHAnsi"/>
          <w:bCs/>
          <w:color w:val="365F91" w:themeColor="accent1" w:themeShade="BF"/>
          <w:sz w:val="22"/>
          <w:szCs w:val="22"/>
        </w:rPr>
        <w:t>3.1 Policy</w:t>
      </w:r>
      <w:r w:rsidR="0066625D" w:rsidRPr="005B5EE7">
        <w:rPr>
          <w:rFonts w:ascii="Calibri" w:hAnsi="Calibri"/>
          <w:bCs/>
          <w:color w:val="1F497D"/>
        </w:rPr>
        <w:t xml:space="preserve"> development</w:t>
      </w:r>
    </w:p>
    <w:p w14:paraId="7C9FD420" w14:textId="77777777" w:rsidR="005B5EE7" w:rsidRPr="00597007" w:rsidRDefault="005B5EE7" w:rsidP="0066625D">
      <w:pPr>
        <w:jc w:val="both"/>
        <w:divId w:val="410156154"/>
        <w:rPr>
          <w:rFonts w:asciiTheme="majorHAnsi" w:hAnsiTheme="majorHAnsi"/>
          <w:bCs/>
          <w:color w:val="365F91" w:themeColor="accent1" w:themeShade="BF"/>
          <w:sz w:val="22"/>
          <w:szCs w:val="22"/>
        </w:rPr>
      </w:pPr>
    </w:p>
    <w:p w14:paraId="1A99CD22" w14:textId="77777777" w:rsidR="0017505A" w:rsidRPr="003E5CCC" w:rsidRDefault="0017505A" w:rsidP="0066625D">
      <w:pPr>
        <w:jc w:val="both"/>
        <w:divId w:val="410156154"/>
        <w:rPr>
          <w:rFonts w:ascii="Calibri" w:hAnsi="Calibri"/>
          <w:bCs/>
          <w:sz w:val="22"/>
          <w:szCs w:val="22"/>
        </w:rPr>
      </w:pPr>
      <w:r w:rsidRPr="00597007">
        <w:rPr>
          <w:rFonts w:asciiTheme="majorHAnsi" w:hAnsiTheme="majorHAnsi"/>
          <w:bCs/>
          <w:sz w:val="22"/>
          <w:szCs w:val="22"/>
        </w:rPr>
        <w:t>The Indian Council of Medical</w:t>
      </w:r>
      <w:r w:rsidR="002F5381">
        <w:rPr>
          <w:rFonts w:asciiTheme="majorHAnsi" w:hAnsiTheme="majorHAnsi"/>
          <w:bCs/>
          <w:sz w:val="22"/>
          <w:szCs w:val="22"/>
        </w:rPr>
        <w:t xml:space="preserve"> Research (ICMR) constituted an</w:t>
      </w:r>
      <w:r w:rsidRPr="00597007">
        <w:rPr>
          <w:rFonts w:asciiTheme="majorHAnsi" w:hAnsiTheme="majorHAnsi"/>
          <w:bCs/>
          <w:sz w:val="22"/>
          <w:szCs w:val="22"/>
        </w:rPr>
        <w:t xml:space="preserve"> expert group to assess the operational and programmatic aspects of introducing IPV along with the vaccine development plans and national capacity to produce</w:t>
      </w:r>
      <w:r w:rsidRPr="003E5CCC">
        <w:rPr>
          <w:rFonts w:ascii="Calibri" w:hAnsi="Calibri"/>
          <w:bCs/>
          <w:sz w:val="22"/>
          <w:szCs w:val="22"/>
        </w:rPr>
        <w:t xml:space="preserve"> the vaccine. </w:t>
      </w:r>
      <w:r w:rsidR="005B5EE7">
        <w:rPr>
          <w:rFonts w:ascii="Calibri" w:hAnsi="Calibri"/>
          <w:bCs/>
          <w:sz w:val="22"/>
          <w:szCs w:val="22"/>
        </w:rPr>
        <w:t>T</w:t>
      </w:r>
      <w:r w:rsidR="00633A5A" w:rsidRPr="003E5CCC">
        <w:rPr>
          <w:rFonts w:ascii="Calibri" w:hAnsi="Calibri"/>
          <w:bCs/>
          <w:sz w:val="22"/>
          <w:szCs w:val="22"/>
        </w:rPr>
        <w:t>he expert group recommended the introduction of IPV in the national immunization schedule along with DPT-3/Pentavalent-3 in 2015. The expert group also recommended that an open vial policy should not be used with IPV (which will impact on the wastage rates).</w:t>
      </w:r>
    </w:p>
    <w:p w14:paraId="195F4E6C" w14:textId="77777777" w:rsidR="0066625D" w:rsidRDefault="0066625D" w:rsidP="00805982">
      <w:pPr>
        <w:pStyle w:val="MediumGrid1-Accent21"/>
        <w:spacing w:after="0" w:line="240" w:lineRule="auto"/>
        <w:jc w:val="both"/>
        <w:divId w:val="410156154"/>
      </w:pPr>
    </w:p>
    <w:p w14:paraId="78503A21" w14:textId="77777777" w:rsidR="00805982" w:rsidRDefault="00805982" w:rsidP="00805982">
      <w:pPr>
        <w:jc w:val="both"/>
        <w:divId w:val="410156154"/>
        <w:rPr>
          <w:rFonts w:asciiTheme="majorHAnsi" w:hAnsiTheme="majorHAnsi" w:cstheme="minorHAnsi"/>
          <w:b/>
          <w:color w:val="1F497D" w:themeColor="text2"/>
          <w:sz w:val="22"/>
          <w:szCs w:val="22"/>
        </w:rPr>
      </w:pPr>
      <w:r w:rsidRPr="00786D23">
        <w:rPr>
          <w:rFonts w:asciiTheme="majorHAnsi" w:hAnsiTheme="majorHAnsi" w:cstheme="minorHAnsi"/>
          <w:b/>
          <w:color w:val="1F497D" w:themeColor="text2"/>
          <w:sz w:val="22"/>
          <w:szCs w:val="22"/>
        </w:rPr>
        <w:t>Vaccination Schedule</w:t>
      </w:r>
    </w:p>
    <w:p w14:paraId="38D30D55" w14:textId="77777777" w:rsidR="00786D23" w:rsidRPr="00786D23" w:rsidRDefault="00786D23" w:rsidP="00805982">
      <w:pPr>
        <w:jc w:val="both"/>
        <w:divId w:val="410156154"/>
        <w:rPr>
          <w:rFonts w:ascii="Calibri" w:hAnsi="Calibri"/>
          <w:bCs/>
          <w:color w:val="1F497D" w:themeColor="text2"/>
        </w:rPr>
      </w:pPr>
    </w:p>
    <w:p w14:paraId="13B34DC6" w14:textId="77777777" w:rsidR="00805982" w:rsidRPr="00805982" w:rsidRDefault="00805982" w:rsidP="00805982">
      <w:pPr>
        <w:jc w:val="both"/>
        <w:divId w:val="410156154"/>
        <w:rPr>
          <w:rFonts w:asciiTheme="majorHAnsi" w:hAnsiTheme="majorHAnsi" w:cs="Calibri"/>
          <w:sz w:val="22"/>
          <w:szCs w:val="22"/>
        </w:rPr>
      </w:pPr>
      <w:r w:rsidRPr="00805982">
        <w:rPr>
          <w:rFonts w:asciiTheme="majorHAnsi" w:hAnsiTheme="majorHAnsi" w:cs="Calibri"/>
          <w:sz w:val="22"/>
          <w:szCs w:val="22"/>
        </w:rPr>
        <w:t xml:space="preserve">As per the present routine immunization schedule in India, a child receives oral polio vaccine at birth followed by three OPV doses at 6, 10 and 14 weeks. The NTAGI recommends the administration of a full dose (0.5ml) of IPV by intramuscular route at 14 weeks, along with DPT3/Penta3/OPV3. This dose is to be co-administered along with OPV. There will be no change in the current OPV schedule. </w:t>
      </w:r>
    </w:p>
    <w:p w14:paraId="60BB5AE0" w14:textId="77777777" w:rsidR="00805982" w:rsidRDefault="00805982" w:rsidP="00093157">
      <w:pPr>
        <w:autoSpaceDE w:val="0"/>
        <w:autoSpaceDN w:val="0"/>
        <w:adjustRightInd w:val="0"/>
        <w:jc w:val="both"/>
        <w:divId w:val="410156154"/>
        <w:rPr>
          <w:rFonts w:asciiTheme="majorHAnsi" w:hAnsiTheme="majorHAnsi" w:cs="Calibri"/>
          <w:sz w:val="22"/>
          <w:szCs w:val="22"/>
        </w:rPr>
      </w:pPr>
      <w:r w:rsidRPr="00805982">
        <w:rPr>
          <w:rFonts w:asciiTheme="majorHAnsi" w:hAnsiTheme="majorHAnsi" w:cs="Calibri"/>
          <w:sz w:val="22"/>
          <w:szCs w:val="22"/>
        </w:rPr>
        <w:t>The vaccine shall also be administered to all children of more than 14 weeks of age who are still eligible for DPT3/Penta3/OPV3</w:t>
      </w:r>
      <w:r w:rsidR="00093157">
        <w:rPr>
          <w:rFonts w:asciiTheme="majorHAnsi" w:hAnsiTheme="majorHAnsi" w:cs="Calibri"/>
          <w:sz w:val="22"/>
          <w:szCs w:val="22"/>
        </w:rPr>
        <w:t xml:space="preserve">. </w:t>
      </w:r>
      <w:r w:rsidRPr="00805982">
        <w:rPr>
          <w:rFonts w:asciiTheme="majorHAnsi" w:hAnsiTheme="majorHAnsi" w:cs="Calibri"/>
          <w:sz w:val="22"/>
          <w:szCs w:val="22"/>
        </w:rPr>
        <w:t xml:space="preserve">This will ensure that children who are brought late for the DPT3/Penta3/OPV3 also receive the IPV dose.  In situations of late start of schedule (age &gt;3months) IPV </w:t>
      </w:r>
      <w:r w:rsidR="00093157">
        <w:rPr>
          <w:rFonts w:asciiTheme="majorHAnsi" w:hAnsiTheme="majorHAnsi" w:cs="Calibri"/>
          <w:sz w:val="22"/>
          <w:szCs w:val="22"/>
        </w:rPr>
        <w:t>will</w:t>
      </w:r>
      <w:r w:rsidRPr="00805982">
        <w:rPr>
          <w:rFonts w:asciiTheme="majorHAnsi" w:hAnsiTheme="majorHAnsi" w:cs="Calibri"/>
          <w:sz w:val="22"/>
          <w:szCs w:val="22"/>
        </w:rPr>
        <w:t xml:space="preserve"> be administered at the first possible immunization contact. </w:t>
      </w:r>
    </w:p>
    <w:p w14:paraId="0E9A3B30" w14:textId="77777777" w:rsidR="00805982" w:rsidRPr="00805982" w:rsidRDefault="00805982" w:rsidP="00805982">
      <w:pPr>
        <w:autoSpaceDE w:val="0"/>
        <w:autoSpaceDN w:val="0"/>
        <w:adjustRightInd w:val="0"/>
        <w:jc w:val="both"/>
        <w:divId w:val="410156154"/>
        <w:rPr>
          <w:rFonts w:asciiTheme="majorHAnsi" w:hAnsiTheme="majorHAnsi" w:cs="Calibri"/>
          <w:sz w:val="22"/>
          <w:szCs w:val="22"/>
        </w:rPr>
      </w:pPr>
    </w:p>
    <w:p w14:paraId="4DDD64EC" w14:textId="77777777" w:rsidR="00805982" w:rsidRPr="00805982" w:rsidRDefault="00805982" w:rsidP="00805982">
      <w:pPr>
        <w:autoSpaceDE w:val="0"/>
        <w:autoSpaceDN w:val="0"/>
        <w:adjustRightInd w:val="0"/>
        <w:jc w:val="both"/>
        <w:divId w:val="410156154"/>
        <w:rPr>
          <w:rFonts w:ascii="Calibri" w:hAnsi="Calibri" w:cs="Calibri"/>
          <w:sz w:val="22"/>
          <w:szCs w:val="22"/>
        </w:rPr>
      </w:pPr>
      <w:r w:rsidRPr="00805982">
        <w:rPr>
          <w:rFonts w:ascii="Calibri" w:hAnsi="Calibri" w:cs="Calibri"/>
          <w:sz w:val="22"/>
          <w:szCs w:val="22"/>
        </w:rPr>
        <w:t xml:space="preserve">Many countries have already introduced inactivated polio vaccine into their immunization schedules. The experiences with the vaccine in these countries have shown that serious adverse reactions were found to occur very rarely. The administration of IPV along with DPT3 / Penta3 calls for multiple injections in one session. Evidence shows that IPV is well-tolerated and not associated with adverse events (this included not being associated with fever, convulsions or hypotonic-hypo-responsive episodes) when administered along with other vaccines. </w:t>
      </w:r>
    </w:p>
    <w:p w14:paraId="41758C53" w14:textId="77777777" w:rsidR="00805982" w:rsidRDefault="00805982" w:rsidP="00805982">
      <w:pPr>
        <w:pStyle w:val="MediumGrid1-Accent21"/>
        <w:spacing w:after="0" w:line="240" w:lineRule="auto"/>
        <w:jc w:val="both"/>
        <w:divId w:val="410156154"/>
      </w:pPr>
    </w:p>
    <w:p w14:paraId="559516C8" w14:textId="77777777" w:rsidR="002342B8" w:rsidRPr="00C34F37" w:rsidRDefault="002342B8" w:rsidP="00805982">
      <w:pPr>
        <w:pStyle w:val="MediumGrid1-Accent21"/>
        <w:spacing w:after="0" w:line="240" w:lineRule="auto"/>
        <w:jc w:val="both"/>
        <w:divId w:val="410156154"/>
      </w:pPr>
    </w:p>
    <w:p w14:paraId="5397CD33" w14:textId="77777777" w:rsidR="0066625D" w:rsidRDefault="00786D23" w:rsidP="000078F6">
      <w:pPr>
        <w:jc w:val="both"/>
        <w:divId w:val="410156154"/>
        <w:rPr>
          <w:rFonts w:ascii="Calibri" w:hAnsi="Calibri"/>
          <w:bCs/>
          <w:color w:val="1F497D"/>
        </w:rPr>
      </w:pPr>
      <w:r w:rsidRPr="00C34F37">
        <w:rPr>
          <w:rFonts w:ascii="Calibri" w:hAnsi="Calibri"/>
          <w:bCs/>
          <w:color w:val="1F497D"/>
        </w:rPr>
        <w:t>3.2 National</w:t>
      </w:r>
      <w:r w:rsidR="0066625D" w:rsidRPr="00C34F37">
        <w:rPr>
          <w:rFonts w:ascii="Calibri" w:hAnsi="Calibri"/>
          <w:bCs/>
          <w:color w:val="1F497D"/>
        </w:rPr>
        <w:t xml:space="preserve"> coordination mechanism to ensure the successful introduction</w:t>
      </w:r>
    </w:p>
    <w:p w14:paraId="01A7EF81" w14:textId="77777777" w:rsidR="00786D23" w:rsidRPr="00C34F37" w:rsidRDefault="00786D23" w:rsidP="000078F6">
      <w:pPr>
        <w:jc w:val="both"/>
        <w:divId w:val="410156154"/>
        <w:rPr>
          <w:rFonts w:ascii="Calibri" w:hAnsi="Calibri"/>
          <w:bCs/>
          <w:color w:val="1F497D"/>
        </w:rPr>
      </w:pPr>
    </w:p>
    <w:p w14:paraId="229BD067" w14:textId="77777777" w:rsidR="00E74E35" w:rsidRPr="00E74E35" w:rsidRDefault="00E74E35" w:rsidP="00E74E35">
      <w:pPr>
        <w:autoSpaceDE w:val="0"/>
        <w:autoSpaceDN w:val="0"/>
        <w:adjustRightInd w:val="0"/>
        <w:jc w:val="both"/>
        <w:divId w:val="410156154"/>
        <w:rPr>
          <w:rFonts w:ascii="Calibri" w:hAnsi="Calibri" w:cs="Calibri"/>
          <w:sz w:val="22"/>
          <w:szCs w:val="22"/>
        </w:rPr>
      </w:pPr>
      <w:r w:rsidRPr="00E74E35">
        <w:rPr>
          <w:rFonts w:ascii="Calibri" w:hAnsi="Calibri" w:cs="Calibri"/>
          <w:sz w:val="22"/>
          <w:szCs w:val="22"/>
        </w:rPr>
        <w:t>The Ministry of Health and Family Welfare (MoHFW) will coordinate the introduction of IPV across the country. The Immunization Division of MoHFW will oversee the process and regularly apprise the ministry of the state-wise progress.</w:t>
      </w:r>
      <w:r>
        <w:rPr>
          <w:rFonts w:ascii="Calibri" w:hAnsi="Calibri" w:cs="Calibri"/>
          <w:sz w:val="22"/>
          <w:szCs w:val="22"/>
        </w:rPr>
        <w:t xml:space="preserve"> </w:t>
      </w:r>
      <w:r w:rsidRPr="00E74E35">
        <w:rPr>
          <w:rFonts w:ascii="Calibri" w:hAnsi="Calibri" w:cs="Calibri"/>
          <w:sz w:val="22"/>
          <w:szCs w:val="22"/>
        </w:rPr>
        <w:t xml:space="preserve">The Immunization Division will have the responsibility of deciding the activities and timelines required to ensure a pan India introduction of IPV. It will issue relevant guidelines, conduct sensitization and training meetings/workshops at the national level towards this objective. Support for state level training of health workers will be sourced from local partner agencies and from the national level. </w:t>
      </w:r>
    </w:p>
    <w:p w14:paraId="4E96BD29" w14:textId="77777777" w:rsidR="00E74E35" w:rsidRPr="00E74E35" w:rsidRDefault="00E74E35" w:rsidP="00E74E35">
      <w:pPr>
        <w:autoSpaceDE w:val="0"/>
        <w:autoSpaceDN w:val="0"/>
        <w:adjustRightInd w:val="0"/>
        <w:jc w:val="both"/>
        <w:divId w:val="410156154"/>
        <w:rPr>
          <w:rFonts w:ascii="Calibri" w:hAnsi="Calibri" w:cs="Calibri"/>
          <w:sz w:val="22"/>
          <w:szCs w:val="22"/>
        </w:rPr>
      </w:pPr>
    </w:p>
    <w:p w14:paraId="07E3A6A7" w14:textId="77777777" w:rsidR="00E74E35" w:rsidRPr="00E74E35" w:rsidRDefault="00E74E35" w:rsidP="00E74E35">
      <w:pPr>
        <w:autoSpaceDE w:val="0"/>
        <w:autoSpaceDN w:val="0"/>
        <w:adjustRightInd w:val="0"/>
        <w:jc w:val="both"/>
        <w:divId w:val="410156154"/>
        <w:rPr>
          <w:rFonts w:ascii="Calibri" w:hAnsi="Calibri" w:cs="Calibri"/>
          <w:sz w:val="22"/>
          <w:szCs w:val="22"/>
        </w:rPr>
      </w:pPr>
      <w:r w:rsidRPr="00E74E35">
        <w:rPr>
          <w:rFonts w:ascii="Calibri" w:hAnsi="Calibri" w:cs="Calibri"/>
          <w:sz w:val="22"/>
          <w:szCs w:val="22"/>
        </w:rPr>
        <w:t>The trainings will be completed before the launch of the vaccine. The state and district level trainings will build the capacity of frontline health workers and medical officers to effectively introduce the vaccine. Cold chain capacity will be reviewed to ensure space availability for both vaccine and related logistics at state, district and block levels.</w:t>
      </w:r>
    </w:p>
    <w:p w14:paraId="437CFAE2" w14:textId="77777777" w:rsidR="00B91B5A" w:rsidRDefault="00B91B5A" w:rsidP="00E74E35">
      <w:pPr>
        <w:autoSpaceDE w:val="0"/>
        <w:autoSpaceDN w:val="0"/>
        <w:adjustRightInd w:val="0"/>
        <w:jc w:val="both"/>
        <w:divId w:val="410156154"/>
        <w:rPr>
          <w:rFonts w:ascii="Calibri" w:hAnsi="Calibri" w:cs="Calibri"/>
          <w:sz w:val="22"/>
          <w:szCs w:val="22"/>
        </w:rPr>
      </w:pPr>
    </w:p>
    <w:p w14:paraId="2CB17C01" w14:textId="77777777" w:rsidR="00E74E35" w:rsidRPr="00E74E35" w:rsidRDefault="00E74E35" w:rsidP="00B91B5A">
      <w:pPr>
        <w:autoSpaceDE w:val="0"/>
        <w:autoSpaceDN w:val="0"/>
        <w:adjustRightInd w:val="0"/>
        <w:jc w:val="both"/>
        <w:divId w:val="410156154"/>
        <w:rPr>
          <w:rFonts w:ascii="Calibri" w:hAnsi="Calibri" w:cs="Calibri"/>
          <w:sz w:val="22"/>
          <w:szCs w:val="22"/>
        </w:rPr>
      </w:pPr>
      <w:r w:rsidRPr="00E74E35">
        <w:rPr>
          <w:rFonts w:ascii="Calibri" w:hAnsi="Calibri" w:cs="Calibri"/>
          <w:sz w:val="22"/>
          <w:szCs w:val="22"/>
        </w:rPr>
        <w:t>A team of national observers will be constituted to supervise and monitor all activities in the pre-launch period across the country. Special focus will be made on states where routine immunization coverage requires to be strengthened and on the pre-identified High Priority Districts (HPDs) and polio high risk districts. These teams shall guide and evaluate the progress and share those findings with the states and immunization division for further action.</w:t>
      </w:r>
      <w:r w:rsidR="00B91B5A">
        <w:rPr>
          <w:rFonts w:ascii="Calibri" w:hAnsi="Calibri" w:cs="Calibri"/>
          <w:sz w:val="22"/>
          <w:szCs w:val="22"/>
        </w:rPr>
        <w:t xml:space="preserve"> </w:t>
      </w:r>
      <w:r w:rsidRPr="00E74E35">
        <w:rPr>
          <w:rFonts w:ascii="Calibri" w:hAnsi="Calibri" w:cs="Calibri"/>
          <w:sz w:val="22"/>
          <w:szCs w:val="22"/>
        </w:rPr>
        <w:t xml:space="preserve">Implementation of the communication plan well before the introduction will be essential to create awareness and generate demand. </w:t>
      </w:r>
    </w:p>
    <w:p w14:paraId="2FEF0C47" w14:textId="77777777" w:rsidR="0066625D" w:rsidRDefault="0066625D" w:rsidP="00E74E35">
      <w:pPr>
        <w:pStyle w:val="MediumGrid1-Accent21"/>
        <w:spacing w:after="0" w:line="240" w:lineRule="auto"/>
        <w:jc w:val="both"/>
        <w:divId w:val="410156154"/>
      </w:pPr>
    </w:p>
    <w:p w14:paraId="00B6D870" w14:textId="77777777" w:rsidR="00CE1B08" w:rsidRPr="00C34F37" w:rsidRDefault="00CE1B08" w:rsidP="00E74E35">
      <w:pPr>
        <w:pStyle w:val="MediumGrid1-Accent21"/>
        <w:spacing w:after="0" w:line="240" w:lineRule="auto"/>
        <w:jc w:val="both"/>
        <w:divId w:val="410156154"/>
      </w:pPr>
    </w:p>
    <w:p w14:paraId="0199EF99" w14:textId="77777777" w:rsidR="0066625D" w:rsidRDefault="00786D23" w:rsidP="0066625D">
      <w:pPr>
        <w:jc w:val="both"/>
        <w:divId w:val="410156154"/>
        <w:rPr>
          <w:rFonts w:ascii="Calibri" w:hAnsi="Calibri"/>
          <w:bCs/>
          <w:color w:val="1F497D"/>
        </w:rPr>
      </w:pPr>
      <w:r w:rsidRPr="00C34F37">
        <w:rPr>
          <w:rFonts w:ascii="Calibri" w:hAnsi="Calibri"/>
          <w:bCs/>
          <w:color w:val="1F497D"/>
        </w:rPr>
        <w:t>3.3 Affordability</w:t>
      </w:r>
      <w:r w:rsidR="0066625D" w:rsidRPr="00C34F37">
        <w:rPr>
          <w:rFonts w:ascii="Calibri" w:hAnsi="Calibri"/>
          <w:bCs/>
          <w:color w:val="1F497D"/>
        </w:rPr>
        <w:t xml:space="preserve"> and financi</w:t>
      </w:r>
      <w:r w:rsidR="000078F6" w:rsidRPr="00C34F37">
        <w:rPr>
          <w:rFonts w:ascii="Calibri" w:hAnsi="Calibri"/>
          <w:bCs/>
          <w:color w:val="1F497D"/>
        </w:rPr>
        <w:t>al sustainability</w:t>
      </w:r>
    </w:p>
    <w:p w14:paraId="098968D3" w14:textId="77777777" w:rsidR="00786D23" w:rsidRPr="00C34F37" w:rsidRDefault="00786D23" w:rsidP="0066625D">
      <w:pPr>
        <w:jc w:val="both"/>
        <w:divId w:val="410156154"/>
        <w:rPr>
          <w:rFonts w:ascii="Calibri" w:hAnsi="Calibri"/>
          <w:bCs/>
          <w:color w:val="1F497D"/>
        </w:rPr>
      </w:pPr>
    </w:p>
    <w:p w14:paraId="77871404" w14:textId="77777777" w:rsidR="00957E05" w:rsidRPr="00EA1B24" w:rsidRDefault="00957E05" w:rsidP="00093157">
      <w:pPr>
        <w:autoSpaceDE w:val="0"/>
        <w:autoSpaceDN w:val="0"/>
        <w:adjustRightInd w:val="0"/>
        <w:jc w:val="both"/>
        <w:divId w:val="410156154"/>
        <w:rPr>
          <w:rFonts w:ascii="Calibri" w:hAnsi="Calibri" w:cs="Calibri"/>
          <w:sz w:val="22"/>
          <w:szCs w:val="22"/>
        </w:rPr>
      </w:pPr>
      <w:r w:rsidRPr="00EA1B24">
        <w:rPr>
          <w:rFonts w:ascii="Calibri" w:hAnsi="Calibri" w:cs="Calibri"/>
          <w:sz w:val="22"/>
          <w:szCs w:val="22"/>
        </w:rPr>
        <w:t>The details for costing are mentioned in Annexe D, as part of this application. The Government of India has in its comprehensive Multi Year Plan 2013–2017 (cMYP) included the introduction of IPV into routine immunization with government financing as part of its strategic objectives on new vaccine introduction. The cMYP also has a detailed costing section with the underlying assumptions that have been considered for costing IPV introduction up until 2017.</w:t>
      </w:r>
      <w:r w:rsidR="00B91B5A">
        <w:rPr>
          <w:rFonts w:ascii="Calibri" w:hAnsi="Calibri" w:cs="Calibri"/>
          <w:sz w:val="22"/>
          <w:szCs w:val="22"/>
        </w:rPr>
        <w:t xml:space="preserve"> The cMYP document has been attached as part of this application. </w:t>
      </w:r>
      <w:r w:rsidR="00093157">
        <w:rPr>
          <w:rFonts w:ascii="Calibri" w:hAnsi="Calibri" w:cs="Calibri"/>
          <w:sz w:val="22"/>
          <w:szCs w:val="22"/>
        </w:rPr>
        <w:t>Government of India will seek financing for IPV for the duration that it is eligible for GAVI funding in the coming years.</w:t>
      </w:r>
    </w:p>
    <w:p w14:paraId="1417D936" w14:textId="77777777" w:rsidR="00B01591" w:rsidRPr="00C34F37" w:rsidRDefault="00B01591" w:rsidP="00957E05">
      <w:pPr>
        <w:pStyle w:val="MediumGrid1-Accent21"/>
        <w:spacing w:after="0" w:line="240" w:lineRule="auto"/>
        <w:ind w:right="115"/>
        <w:jc w:val="both"/>
        <w:divId w:val="410156154"/>
      </w:pPr>
    </w:p>
    <w:p w14:paraId="71F49B72" w14:textId="77777777" w:rsidR="00B52963" w:rsidRDefault="00786D23" w:rsidP="000078F6">
      <w:pPr>
        <w:jc w:val="both"/>
        <w:divId w:val="410156154"/>
        <w:rPr>
          <w:rFonts w:ascii="Calibri" w:hAnsi="Calibri"/>
          <w:bCs/>
          <w:color w:val="1F497D"/>
        </w:rPr>
      </w:pPr>
      <w:r w:rsidRPr="00C34F37">
        <w:rPr>
          <w:rFonts w:ascii="Calibri" w:hAnsi="Calibri"/>
          <w:bCs/>
          <w:color w:val="1F497D"/>
        </w:rPr>
        <w:t>3.4 Overview</w:t>
      </w:r>
      <w:r w:rsidR="00B52963" w:rsidRPr="00C34F37">
        <w:rPr>
          <w:rFonts w:ascii="Calibri" w:hAnsi="Calibri"/>
          <w:bCs/>
          <w:color w:val="1F497D"/>
        </w:rPr>
        <w:t xml:space="preserve"> of cold chain capacity at district, regional and central level</w:t>
      </w:r>
      <w:r w:rsidR="000078F6" w:rsidRPr="00C34F37">
        <w:rPr>
          <w:rFonts w:ascii="Calibri" w:hAnsi="Calibri"/>
          <w:bCs/>
          <w:color w:val="1F497D"/>
        </w:rPr>
        <w:t>s</w:t>
      </w:r>
    </w:p>
    <w:p w14:paraId="4FFC5268" w14:textId="77777777" w:rsidR="00786D23" w:rsidRDefault="00786D23" w:rsidP="000078F6">
      <w:pPr>
        <w:jc w:val="both"/>
        <w:divId w:val="410156154"/>
        <w:rPr>
          <w:rFonts w:ascii="Calibri" w:hAnsi="Calibri"/>
          <w:bCs/>
          <w:color w:val="1F497D"/>
        </w:rPr>
      </w:pPr>
    </w:p>
    <w:p w14:paraId="1DF25280" w14:textId="77777777" w:rsidR="009D2EEF" w:rsidRDefault="009D2EEF" w:rsidP="00BD3876">
      <w:pPr>
        <w:autoSpaceDE w:val="0"/>
        <w:autoSpaceDN w:val="0"/>
        <w:adjustRightInd w:val="0"/>
        <w:jc w:val="both"/>
        <w:divId w:val="410156154"/>
        <w:rPr>
          <w:rFonts w:ascii="Calibri" w:hAnsi="Calibri" w:cs="Calibri"/>
          <w:sz w:val="22"/>
          <w:szCs w:val="22"/>
        </w:rPr>
      </w:pPr>
      <w:r>
        <w:rPr>
          <w:rFonts w:ascii="Calibri" w:hAnsi="Calibri" w:cs="Calibri"/>
          <w:sz w:val="22"/>
          <w:szCs w:val="22"/>
        </w:rPr>
        <w:t xml:space="preserve">According to the National EVM conducted by UNICEF in 2013 and the data from national cold-chain MIS, India has sufficient cold chain space at district level (and levels below) and IPV introduction will not be a challenge. The EVM also </w:t>
      </w:r>
      <w:r w:rsidR="00786D23">
        <w:rPr>
          <w:rFonts w:ascii="Calibri" w:hAnsi="Calibri" w:cs="Calibri"/>
          <w:sz w:val="22"/>
          <w:szCs w:val="22"/>
        </w:rPr>
        <w:t>suggested that introduction of p</w:t>
      </w:r>
      <w:r>
        <w:rPr>
          <w:rFonts w:ascii="Calibri" w:hAnsi="Calibri" w:cs="Calibri"/>
          <w:sz w:val="22"/>
          <w:szCs w:val="22"/>
        </w:rPr>
        <w:t>entavalent vaccine and its scale up will release additional cold chain space for IPV.</w:t>
      </w:r>
    </w:p>
    <w:p w14:paraId="7453AF7F" w14:textId="77777777" w:rsidR="009D2EEF" w:rsidRDefault="009D2EEF" w:rsidP="00BD3876">
      <w:pPr>
        <w:autoSpaceDE w:val="0"/>
        <w:autoSpaceDN w:val="0"/>
        <w:adjustRightInd w:val="0"/>
        <w:jc w:val="both"/>
        <w:divId w:val="410156154"/>
        <w:rPr>
          <w:rFonts w:ascii="Calibri" w:hAnsi="Calibri" w:cs="Calibri"/>
          <w:sz w:val="22"/>
          <w:szCs w:val="22"/>
        </w:rPr>
      </w:pPr>
    </w:p>
    <w:p w14:paraId="4980816A" w14:textId="77777777" w:rsidR="00BD3876" w:rsidRDefault="00BD3876" w:rsidP="00BD3876">
      <w:pPr>
        <w:autoSpaceDE w:val="0"/>
        <w:autoSpaceDN w:val="0"/>
        <w:adjustRightInd w:val="0"/>
        <w:jc w:val="both"/>
        <w:divId w:val="410156154"/>
        <w:rPr>
          <w:rFonts w:ascii="Calibri" w:hAnsi="Calibri" w:cs="Calibri"/>
          <w:sz w:val="22"/>
          <w:szCs w:val="22"/>
        </w:rPr>
      </w:pPr>
      <w:r w:rsidRPr="00BD3876">
        <w:rPr>
          <w:rFonts w:ascii="Calibri" w:hAnsi="Calibri" w:cs="Calibri"/>
          <w:sz w:val="22"/>
          <w:szCs w:val="22"/>
        </w:rPr>
        <w:t xml:space="preserve">The cold chain infrastructure is a wide network of cold chain stores consisting of Government Medical Supply Depots (GMSD), State, Regional/Divisional Vaccine stores, District and PHC/CHC vaccine storage points. Cold chain network in the country has been the backbone to ensure that right quantity and right quality of vaccine reaches the target population. </w:t>
      </w:r>
    </w:p>
    <w:p w14:paraId="61F19719" w14:textId="77777777" w:rsidR="00045D39" w:rsidRDefault="00045D39" w:rsidP="00BD3876">
      <w:pPr>
        <w:autoSpaceDE w:val="0"/>
        <w:autoSpaceDN w:val="0"/>
        <w:adjustRightInd w:val="0"/>
        <w:jc w:val="both"/>
        <w:divId w:val="410156154"/>
        <w:rPr>
          <w:rFonts w:ascii="Calibri" w:hAnsi="Calibri" w:cs="Calibri"/>
          <w:sz w:val="22"/>
          <w:szCs w:val="22"/>
        </w:rPr>
      </w:pPr>
    </w:p>
    <w:p w14:paraId="0C3E80E3" w14:textId="77777777" w:rsidR="00045D39" w:rsidRDefault="00045D39" w:rsidP="00BD3876">
      <w:pPr>
        <w:autoSpaceDE w:val="0"/>
        <w:autoSpaceDN w:val="0"/>
        <w:adjustRightInd w:val="0"/>
        <w:jc w:val="both"/>
        <w:divId w:val="410156154"/>
        <w:rPr>
          <w:rFonts w:ascii="Calibri" w:hAnsi="Calibri" w:cs="Calibri"/>
          <w:sz w:val="22"/>
          <w:szCs w:val="22"/>
        </w:rPr>
      </w:pPr>
    </w:p>
    <w:p w14:paraId="54E34008" w14:textId="77777777" w:rsidR="00D50037" w:rsidRPr="00BD3876" w:rsidRDefault="00D50037" w:rsidP="00BD3876">
      <w:pPr>
        <w:autoSpaceDE w:val="0"/>
        <w:autoSpaceDN w:val="0"/>
        <w:adjustRightInd w:val="0"/>
        <w:jc w:val="both"/>
        <w:divId w:val="410156154"/>
        <w:rPr>
          <w:rFonts w:ascii="Calibri" w:hAnsi="Calibri" w:cs="Calibri"/>
          <w:sz w:val="22"/>
          <w:szCs w:val="22"/>
        </w:rPr>
      </w:pPr>
    </w:p>
    <w:p w14:paraId="2D1C5C42" w14:textId="77777777" w:rsidR="00BD3876" w:rsidRDefault="00597007" w:rsidP="00BD3876">
      <w:pPr>
        <w:autoSpaceDE w:val="0"/>
        <w:autoSpaceDN w:val="0"/>
        <w:adjustRightInd w:val="0"/>
        <w:jc w:val="center"/>
        <w:divId w:val="410156154"/>
        <w:rPr>
          <w:rFonts w:ascii="Arial" w:hAnsi="Arial" w:cs="Arial"/>
          <w:color w:val="000000"/>
        </w:rPr>
      </w:pPr>
      <w:r>
        <w:rPr>
          <w:rFonts w:ascii="Arial" w:hAnsi="Arial" w:cs="Arial"/>
          <w:noProof/>
          <w:color w:val="000000"/>
          <w:lang w:val="en-US" w:eastAsia="en-US"/>
        </w:rPr>
        <w:lastRenderedPageBreak/>
        <w:drawing>
          <wp:inline distT="0" distB="0" distL="0" distR="0" wp14:anchorId="4AF51500" wp14:editId="37337BD0">
            <wp:extent cx="6011545" cy="3505200"/>
            <wp:effectExtent l="0" t="0" r="825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1545" cy="3505200"/>
                    </a:xfrm>
                    <a:prstGeom prst="rect">
                      <a:avLst/>
                    </a:prstGeom>
                    <a:noFill/>
                    <a:ln>
                      <a:noFill/>
                    </a:ln>
                  </pic:spPr>
                </pic:pic>
              </a:graphicData>
            </a:graphic>
          </wp:inline>
        </w:drawing>
      </w:r>
    </w:p>
    <w:p w14:paraId="340C124A" w14:textId="77777777" w:rsidR="00BD3876" w:rsidRPr="00B94B1B" w:rsidRDefault="00BD3876" w:rsidP="00D50037">
      <w:pPr>
        <w:autoSpaceDE w:val="0"/>
        <w:autoSpaceDN w:val="0"/>
        <w:adjustRightInd w:val="0"/>
        <w:divId w:val="410156154"/>
        <w:rPr>
          <w:rFonts w:asciiTheme="majorHAnsi" w:hAnsiTheme="majorHAnsi" w:cs="Calibri"/>
          <w:b/>
          <w:bCs/>
          <w:sz w:val="16"/>
          <w:szCs w:val="18"/>
        </w:rPr>
      </w:pPr>
      <w:r w:rsidRPr="00B94B1B">
        <w:rPr>
          <w:rFonts w:asciiTheme="majorHAnsi" w:hAnsiTheme="majorHAnsi" w:cs="Calibri"/>
          <w:b/>
          <w:color w:val="231F20"/>
          <w:sz w:val="22"/>
        </w:rPr>
        <w:t>Fig. 1</w:t>
      </w:r>
      <w:r w:rsidRPr="002A41EB">
        <w:rPr>
          <w:rFonts w:cs="Calibri"/>
          <w:color w:val="231F20"/>
          <w:sz w:val="22"/>
        </w:rPr>
        <w:t xml:space="preserve">: </w:t>
      </w:r>
      <w:r w:rsidRPr="00B94B1B">
        <w:rPr>
          <w:rFonts w:asciiTheme="majorHAnsi" w:hAnsiTheme="majorHAnsi" w:cs="Calibri"/>
          <w:color w:val="231F20"/>
          <w:sz w:val="22"/>
        </w:rPr>
        <w:t>Vaccine storage network and storage timelines in India.</w:t>
      </w:r>
    </w:p>
    <w:p w14:paraId="4E267135" w14:textId="77777777" w:rsidR="00BD3876" w:rsidRPr="00B94B1B" w:rsidRDefault="00BD3876" w:rsidP="00BD3876">
      <w:pPr>
        <w:autoSpaceDE w:val="0"/>
        <w:autoSpaceDN w:val="0"/>
        <w:adjustRightInd w:val="0"/>
        <w:divId w:val="410156154"/>
        <w:rPr>
          <w:rFonts w:asciiTheme="majorHAnsi" w:hAnsiTheme="majorHAnsi" w:cs="Calibri"/>
          <w:b/>
          <w:bCs/>
          <w:sz w:val="18"/>
          <w:szCs w:val="18"/>
        </w:rPr>
      </w:pPr>
      <w:r w:rsidRPr="00B94B1B">
        <w:rPr>
          <w:rFonts w:asciiTheme="majorHAnsi" w:hAnsiTheme="majorHAnsi" w:cs="Calibri"/>
          <w:color w:val="231F20"/>
          <w:sz w:val="18"/>
          <w:szCs w:val="18"/>
        </w:rPr>
        <w:t>Source: National Cold Chain Assessment 2008</w:t>
      </w:r>
    </w:p>
    <w:p w14:paraId="33D1CD4E" w14:textId="77777777" w:rsidR="00BD3876" w:rsidRPr="00B94B1B" w:rsidRDefault="00BD3876" w:rsidP="00BD3876">
      <w:pPr>
        <w:autoSpaceDE w:val="0"/>
        <w:autoSpaceDN w:val="0"/>
        <w:adjustRightInd w:val="0"/>
        <w:jc w:val="both"/>
        <w:divId w:val="410156154"/>
        <w:rPr>
          <w:rFonts w:asciiTheme="majorHAnsi" w:hAnsiTheme="majorHAnsi" w:cs="Calibri"/>
        </w:rPr>
      </w:pPr>
    </w:p>
    <w:p w14:paraId="12BDF504" w14:textId="77777777" w:rsidR="00A66672" w:rsidRPr="00BD3876" w:rsidRDefault="00A66672" w:rsidP="00A66672">
      <w:pPr>
        <w:autoSpaceDE w:val="0"/>
        <w:autoSpaceDN w:val="0"/>
        <w:adjustRightInd w:val="0"/>
        <w:jc w:val="both"/>
        <w:divId w:val="410156154"/>
        <w:rPr>
          <w:rFonts w:ascii="Calibri" w:hAnsi="Calibri" w:cs="Calibri"/>
          <w:sz w:val="22"/>
          <w:szCs w:val="22"/>
        </w:rPr>
      </w:pPr>
      <w:r w:rsidRPr="00BD3876">
        <w:rPr>
          <w:rFonts w:ascii="Calibri" w:hAnsi="Calibri" w:cs="Calibri"/>
          <w:sz w:val="22"/>
          <w:szCs w:val="22"/>
        </w:rPr>
        <w:t xml:space="preserve">The introduction of pentavalent vaccine into the routine immunization schedule is being scaled up from two states in 2011 to the entire nation by 2015. Presently this vaccine is being administered through RI sessions in eight states, with 12 states scheduled to introduce the vaccine in October 2014. </w:t>
      </w:r>
      <w:r>
        <w:rPr>
          <w:rFonts w:ascii="Calibri" w:hAnsi="Calibri" w:cs="Calibri"/>
          <w:sz w:val="22"/>
          <w:szCs w:val="22"/>
        </w:rPr>
        <w:t>One of t</w:t>
      </w:r>
      <w:r w:rsidRPr="00BD3876">
        <w:rPr>
          <w:rFonts w:ascii="Calibri" w:hAnsi="Calibri" w:cs="Calibri"/>
          <w:sz w:val="22"/>
          <w:szCs w:val="22"/>
        </w:rPr>
        <w:t>he benefits of this introduction has been on the availability of cold chain space at all levels of the vaccine storage network. This benefit will extend to all the states by mid-2015.</w:t>
      </w:r>
    </w:p>
    <w:p w14:paraId="1C6D5F77" w14:textId="77777777" w:rsidR="00A66672" w:rsidRPr="00BD3876" w:rsidRDefault="00A66672" w:rsidP="00A66672">
      <w:pPr>
        <w:autoSpaceDE w:val="0"/>
        <w:autoSpaceDN w:val="0"/>
        <w:adjustRightInd w:val="0"/>
        <w:jc w:val="both"/>
        <w:divId w:val="410156154"/>
        <w:rPr>
          <w:rFonts w:ascii="Calibri" w:hAnsi="Calibri" w:cs="Calibri"/>
          <w:sz w:val="22"/>
          <w:szCs w:val="22"/>
        </w:rPr>
      </w:pPr>
    </w:p>
    <w:p w14:paraId="2AF416DF" w14:textId="77777777" w:rsidR="00A66672" w:rsidRPr="00BD3876" w:rsidRDefault="00A66672" w:rsidP="00A66672">
      <w:pPr>
        <w:autoSpaceDE w:val="0"/>
        <w:autoSpaceDN w:val="0"/>
        <w:adjustRightInd w:val="0"/>
        <w:jc w:val="both"/>
        <w:divId w:val="410156154"/>
        <w:rPr>
          <w:rFonts w:ascii="Calibri" w:hAnsi="Calibri" w:cs="Calibri"/>
          <w:sz w:val="22"/>
          <w:szCs w:val="22"/>
        </w:rPr>
      </w:pPr>
      <w:r w:rsidRPr="00BD3876">
        <w:rPr>
          <w:rFonts w:ascii="Calibri" w:hAnsi="Calibri" w:cs="Calibri"/>
          <w:sz w:val="22"/>
          <w:szCs w:val="22"/>
        </w:rPr>
        <w:t>In states that have introduced the pentavalent vaccine, cold chain availability has increased due to the reduced requirement of DPT and Hepatitis B vaccines. With this freed capacity, there is no constraint envisaged on the cold chain capacity for storage of IPV. This capacity will be reviewed during the administration of special vaccine introduction checklists and also during field visits. Further strengthening of the existing network has been envisaged in the cMYP 2013-2017 which will further enhance cold chain capacity.</w:t>
      </w:r>
    </w:p>
    <w:p w14:paraId="711E3D27" w14:textId="77777777" w:rsidR="00A66672" w:rsidRPr="00C34F37" w:rsidRDefault="00A66672" w:rsidP="00A66672">
      <w:pPr>
        <w:jc w:val="both"/>
        <w:divId w:val="410156154"/>
        <w:rPr>
          <w:rFonts w:ascii="Calibri" w:hAnsi="Calibri"/>
          <w:bCs/>
          <w:color w:val="1F497D"/>
        </w:rPr>
      </w:pPr>
    </w:p>
    <w:p w14:paraId="301D00B2" w14:textId="77777777" w:rsidR="00BD3876" w:rsidRPr="00C34F37" w:rsidRDefault="00BD3876" w:rsidP="000078F6">
      <w:pPr>
        <w:jc w:val="both"/>
        <w:divId w:val="410156154"/>
        <w:rPr>
          <w:rFonts w:ascii="Calibri" w:hAnsi="Calibri"/>
          <w:bCs/>
          <w:color w:val="1F497D"/>
        </w:rPr>
      </w:pPr>
    </w:p>
    <w:p w14:paraId="63B08C7F" w14:textId="77777777" w:rsidR="00B52963" w:rsidRDefault="00786D23" w:rsidP="00A04024">
      <w:pPr>
        <w:jc w:val="both"/>
        <w:divId w:val="410156154"/>
        <w:rPr>
          <w:rFonts w:ascii="Calibri" w:hAnsi="Calibri"/>
          <w:bCs/>
          <w:color w:val="1F497D"/>
        </w:rPr>
      </w:pPr>
      <w:r w:rsidRPr="00D4707A">
        <w:rPr>
          <w:rFonts w:ascii="Calibri" w:hAnsi="Calibri"/>
          <w:bCs/>
          <w:color w:val="1F497D"/>
        </w:rPr>
        <w:t>3.5 Waste</w:t>
      </w:r>
      <w:r w:rsidR="00B52963" w:rsidRPr="00D4707A">
        <w:rPr>
          <w:rFonts w:ascii="Calibri" w:hAnsi="Calibri"/>
          <w:bCs/>
          <w:color w:val="1F497D"/>
        </w:rPr>
        <w:t xml:space="preserve"> management and injection safety</w:t>
      </w:r>
      <w:r w:rsidR="00B52963" w:rsidRPr="00C34F37">
        <w:rPr>
          <w:rFonts w:ascii="Calibri" w:hAnsi="Calibri"/>
          <w:bCs/>
          <w:color w:val="1F497D"/>
        </w:rPr>
        <w:t xml:space="preserve"> </w:t>
      </w:r>
    </w:p>
    <w:p w14:paraId="070ACA31" w14:textId="77777777" w:rsidR="00786D23" w:rsidRPr="00C34F37" w:rsidRDefault="00786D23" w:rsidP="00A04024">
      <w:pPr>
        <w:jc w:val="both"/>
        <w:divId w:val="410156154"/>
        <w:rPr>
          <w:rFonts w:ascii="Calibri" w:hAnsi="Calibri"/>
          <w:bCs/>
          <w:color w:val="1F497D"/>
        </w:rPr>
      </w:pPr>
    </w:p>
    <w:p w14:paraId="43FB7C6A" w14:textId="77777777" w:rsidR="007E7821" w:rsidRDefault="007E7821" w:rsidP="007E7821">
      <w:pPr>
        <w:autoSpaceDE w:val="0"/>
        <w:autoSpaceDN w:val="0"/>
        <w:adjustRightInd w:val="0"/>
        <w:jc w:val="both"/>
        <w:divId w:val="410156154"/>
        <w:rPr>
          <w:rFonts w:ascii="Calibri" w:hAnsi="Calibri" w:cs="Calibri"/>
          <w:sz w:val="22"/>
          <w:szCs w:val="22"/>
        </w:rPr>
      </w:pPr>
      <w:r w:rsidRPr="007E7821">
        <w:rPr>
          <w:rFonts w:ascii="Calibri" w:hAnsi="Calibri" w:cs="Calibri"/>
          <w:sz w:val="22"/>
          <w:szCs w:val="22"/>
        </w:rPr>
        <w:t xml:space="preserve">Injection safety protocols are incorporated into existing routine immunization guidelines. All health staff dealing with injections including routine immunization injectable vaccines are regularly trained on these protocols. Information from monitoring of sites is shared with districts and states for appropriate response. During training for IPV introduction, injection safety and its benefits for the health worker, beneficiary and community will be reemphasized. </w:t>
      </w:r>
    </w:p>
    <w:p w14:paraId="21E0B458" w14:textId="77777777" w:rsidR="007E7821" w:rsidRPr="007E7821" w:rsidRDefault="007E7821" w:rsidP="007E7821">
      <w:pPr>
        <w:autoSpaceDE w:val="0"/>
        <w:autoSpaceDN w:val="0"/>
        <w:adjustRightInd w:val="0"/>
        <w:jc w:val="both"/>
        <w:divId w:val="410156154"/>
        <w:rPr>
          <w:rFonts w:ascii="Calibri" w:hAnsi="Calibri" w:cs="Calibri"/>
          <w:sz w:val="22"/>
          <w:szCs w:val="22"/>
        </w:rPr>
      </w:pPr>
    </w:p>
    <w:p w14:paraId="44735289" w14:textId="77777777" w:rsidR="007E7821" w:rsidRPr="007E7821" w:rsidRDefault="007E7821" w:rsidP="007E7821">
      <w:pPr>
        <w:autoSpaceDE w:val="0"/>
        <w:autoSpaceDN w:val="0"/>
        <w:adjustRightInd w:val="0"/>
        <w:jc w:val="both"/>
        <w:divId w:val="410156154"/>
        <w:rPr>
          <w:rFonts w:ascii="Calibri" w:hAnsi="Calibri" w:cs="Calibri"/>
          <w:sz w:val="22"/>
          <w:szCs w:val="22"/>
        </w:rPr>
      </w:pPr>
      <w:r w:rsidRPr="007E7821">
        <w:rPr>
          <w:rFonts w:ascii="Calibri" w:hAnsi="Calibri" w:cs="Calibri"/>
          <w:sz w:val="22"/>
          <w:szCs w:val="22"/>
        </w:rPr>
        <w:t xml:space="preserve">Waste sharps generated from immunization with IPV will be handled as per guidelines prescribed by the Biomedical Waste Management and Handling Rules. </w:t>
      </w:r>
    </w:p>
    <w:p w14:paraId="17321EF3" w14:textId="77777777" w:rsidR="00B52963" w:rsidRDefault="00B52963" w:rsidP="009470D3">
      <w:pPr>
        <w:pStyle w:val="MediumGrid1-Accent21"/>
        <w:spacing w:after="0" w:line="240" w:lineRule="auto"/>
        <w:ind w:left="360" w:right="115" w:hanging="360"/>
        <w:jc w:val="both"/>
        <w:divId w:val="410156154"/>
      </w:pPr>
    </w:p>
    <w:p w14:paraId="78DA0732" w14:textId="77777777" w:rsidR="002342B8" w:rsidRDefault="002342B8" w:rsidP="009470D3">
      <w:pPr>
        <w:pStyle w:val="MediumGrid1-Accent21"/>
        <w:spacing w:after="0" w:line="240" w:lineRule="auto"/>
        <w:ind w:left="360" w:right="115" w:hanging="360"/>
        <w:jc w:val="both"/>
        <w:divId w:val="410156154"/>
      </w:pPr>
    </w:p>
    <w:p w14:paraId="5F530ED6" w14:textId="77777777" w:rsidR="002342B8" w:rsidRDefault="002342B8" w:rsidP="009470D3">
      <w:pPr>
        <w:pStyle w:val="MediumGrid1-Accent21"/>
        <w:spacing w:after="0" w:line="240" w:lineRule="auto"/>
        <w:ind w:left="360" w:right="115" w:hanging="360"/>
        <w:jc w:val="both"/>
        <w:divId w:val="410156154"/>
      </w:pPr>
    </w:p>
    <w:p w14:paraId="106D0362" w14:textId="77777777" w:rsidR="002342B8" w:rsidRDefault="002342B8" w:rsidP="009470D3">
      <w:pPr>
        <w:pStyle w:val="MediumGrid1-Accent21"/>
        <w:spacing w:after="0" w:line="240" w:lineRule="auto"/>
        <w:ind w:left="360" w:right="115" w:hanging="360"/>
        <w:jc w:val="both"/>
        <w:divId w:val="410156154"/>
      </w:pPr>
    </w:p>
    <w:p w14:paraId="41277FB2" w14:textId="77777777" w:rsidR="002342B8" w:rsidRPr="007E7821" w:rsidRDefault="002342B8" w:rsidP="009470D3">
      <w:pPr>
        <w:pStyle w:val="MediumGrid1-Accent21"/>
        <w:spacing w:after="0" w:line="240" w:lineRule="auto"/>
        <w:ind w:left="360" w:right="115" w:hanging="360"/>
        <w:jc w:val="both"/>
        <w:divId w:val="410156154"/>
      </w:pPr>
    </w:p>
    <w:p w14:paraId="235AB93D" w14:textId="77777777" w:rsidR="00B52963" w:rsidRDefault="00B94B1B" w:rsidP="00A04024">
      <w:pPr>
        <w:jc w:val="both"/>
        <w:divId w:val="410156154"/>
        <w:rPr>
          <w:rFonts w:ascii="Calibri" w:hAnsi="Calibri"/>
          <w:bCs/>
          <w:color w:val="1F497D"/>
        </w:rPr>
      </w:pPr>
      <w:r w:rsidRPr="00C34F37">
        <w:rPr>
          <w:rFonts w:ascii="Calibri" w:hAnsi="Calibri"/>
          <w:bCs/>
          <w:color w:val="1F497D"/>
        </w:rPr>
        <w:t>3.6 Health</w:t>
      </w:r>
      <w:r w:rsidR="00A04024" w:rsidRPr="00C34F37">
        <w:rPr>
          <w:rFonts w:ascii="Calibri" w:hAnsi="Calibri"/>
          <w:bCs/>
          <w:color w:val="1F497D"/>
        </w:rPr>
        <w:t xml:space="preserve"> worker training and</w:t>
      </w:r>
      <w:r w:rsidR="00B52963" w:rsidRPr="00C34F37">
        <w:rPr>
          <w:rFonts w:ascii="Calibri" w:hAnsi="Calibri"/>
          <w:bCs/>
          <w:color w:val="1F497D"/>
        </w:rPr>
        <w:t xml:space="preserve"> supervision</w:t>
      </w:r>
    </w:p>
    <w:p w14:paraId="6A813060" w14:textId="77777777" w:rsidR="00786D23" w:rsidRPr="00C34F37" w:rsidRDefault="00786D23" w:rsidP="00A04024">
      <w:pPr>
        <w:jc w:val="both"/>
        <w:divId w:val="410156154"/>
        <w:rPr>
          <w:rFonts w:ascii="Calibri" w:hAnsi="Calibri"/>
          <w:bCs/>
          <w:color w:val="1F497D"/>
        </w:rPr>
      </w:pPr>
    </w:p>
    <w:p w14:paraId="7929BD32" w14:textId="77777777" w:rsidR="009F3F36" w:rsidRPr="00CA7AFF" w:rsidRDefault="009F3F36" w:rsidP="009F3F36">
      <w:pPr>
        <w:jc w:val="both"/>
        <w:divId w:val="410156154"/>
        <w:rPr>
          <w:rFonts w:cs="Calibri"/>
        </w:rPr>
      </w:pPr>
      <w:r w:rsidRPr="00CA7AFF">
        <w:rPr>
          <w:rFonts w:ascii="Calibri" w:hAnsi="Calibri" w:cs="Calibri"/>
          <w:sz w:val="22"/>
          <w:szCs w:val="22"/>
        </w:rPr>
        <w:t>The training component of the IPV introduction will be implemented by a cascading approach. Training material will be geared to strengthen knowledge and skills of personnel at all levels. IPV specific as well as RI strengthening teaching materials such as flip charts, handouts, information kits and other visual aids will be developed. States will be encouraged to translate training materials into local languages.  These materials will be combined into a training kit which will be the tool for training at the district and block levels. Cascaded trainings for all levels will be conducted beginning at least four months before IPV introduction.</w:t>
      </w:r>
    </w:p>
    <w:p w14:paraId="514C1DB3" w14:textId="77777777" w:rsidR="009F3F36" w:rsidRPr="00924E35" w:rsidRDefault="009F3F36" w:rsidP="009F3F36">
      <w:pPr>
        <w:spacing w:before="120"/>
        <w:ind w:right="120"/>
        <w:jc w:val="both"/>
        <w:textAlignment w:val="baseline"/>
        <w:divId w:val="410156154"/>
        <w:rPr>
          <w:rFonts w:cs="Calibri"/>
        </w:rPr>
      </w:pPr>
      <w:r w:rsidRPr="00CA7AFF">
        <w:rPr>
          <w:rFonts w:ascii="Calibri" w:hAnsi="Calibri" w:cs="Calibri"/>
          <w:sz w:val="22"/>
          <w:szCs w:val="22"/>
        </w:rPr>
        <w:t xml:space="preserve">Developing the trainer resource will commence with a one day national workshop to orient all national and state level managers including partners on the introduction of IPV. This workshop will be supported by WHO Country Office for India and will build the required resource of state level master trainers, to impart quality training in their respective states. </w:t>
      </w:r>
    </w:p>
    <w:p w14:paraId="701C43A7" w14:textId="77777777" w:rsidR="009F3F36" w:rsidRPr="00924E35" w:rsidRDefault="009F3F36" w:rsidP="009F3F36">
      <w:pPr>
        <w:spacing w:before="120"/>
        <w:ind w:right="120"/>
        <w:jc w:val="both"/>
        <w:textAlignment w:val="baseline"/>
        <w:divId w:val="410156154"/>
        <w:rPr>
          <w:rFonts w:cs="Calibri"/>
        </w:rPr>
      </w:pPr>
      <w:r w:rsidRPr="00CA7AFF">
        <w:rPr>
          <w:rFonts w:ascii="Calibri" w:hAnsi="Calibri" w:cs="Calibri"/>
          <w:sz w:val="22"/>
          <w:szCs w:val="22"/>
        </w:rPr>
        <w:t xml:space="preserve">Four training packages will be rolled out in coordination with partners at the state level targeting Medical Officers, Data Handlers, Cold Chain Handlers and IEC/ Media focal persons. </w:t>
      </w:r>
    </w:p>
    <w:p w14:paraId="075C3F87" w14:textId="77777777" w:rsidR="009F3F36" w:rsidRPr="00924E35" w:rsidRDefault="009F3F36" w:rsidP="009F3F36">
      <w:pPr>
        <w:spacing w:before="120"/>
        <w:ind w:right="120"/>
        <w:jc w:val="both"/>
        <w:textAlignment w:val="baseline"/>
        <w:divId w:val="410156154"/>
        <w:rPr>
          <w:rFonts w:cs="Calibri"/>
        </w:rPr>
      </w:pPr>
      <w:r w:rsidRPr="00CA7AFF">
        <w:rPr>
          <w:rFonts w:ascii="Calibri" w:hAnsi="Calibri" w:cs="Calibri"/>
          <w:sz w:val="22"/>
          <w:szCs w:val="22"/>
        </w:rPr>
        <w:t xml:space="preserve">Personnel trained in the state workshops will conduct a one day workshop at respective districts targeting block medical officers, data handlers, cold chain handlers and officials of other related sectors. </w:t>
      </w:r>
    </w:p>
    <w:p w14:paraId="78FDDA35" w14:textId="77777777" w:rsidR="009F3F36" w:rsidRPr="00924E35" w:rsidRDefault="009F3F36" w:rsidP="009F3F36">
      <w:pPr>
        <w:spacing w:before="120"/>
        <w:ind w:right="120"/>
        <w:jc w:val="both"/>
        <w:textAlignment w:val="baseline"/>
        <w:divId w:val="410156154"/>
        <w:rPr>
          <w:rFonts w:cs="Calibri"/>
        </w:rPr>
      </w:pPr>
      <w:r w:rsidRPr="00CA7AFF">
        <w:rPr>
          <w:rFonts w:ascii="Calibri" w:hAnsi="Calibri" w:cs="Calibri"/>
          <w:sz w:val="22"/>
          <w:szCs w:val="22"/>
        </w:rPr>
        <w:t>The next level of training will be conducted at the block level for all medical officers, ANMs, ASHAs and anganwadi workers.</w:t>
      </w:r>
    </w:p>
    <w:p w14:paraId="3DA91DFD" w14:textId="77777777" w:rsidR="009F3F36" w:rsidRPr="00924E35" w:rsidRDefault="009F3F36" w:rsidP="009F3F36">
      <w:pPr>
        <w:spacing w:before="120"/>
        <w:ind w:right="120"/>
        <w:jc w:val="both"/>
        <w:textAlignment w:val="baseline"/>
        <w:divId w:val="410156154"/>
        <w:rPr>
          <w:rFonts w:cs="Calibri"/>
        </w:rPr>
      </w:pPr>
      <w:r w:rsidRPr="00CA7AFF">
        <w:rPr>
          <w:rFonts w:ascii="Calibri" w:hAnsi="Calibri" w:cs="Calibri"/>
          <w:sz w:val="22"/>
          <w:szCs w:val="22"/>
        </w:rPr>
        <w:t>The ASHAs and AWWs will play a crucial role for the successful and smooth implementation of the introduction. The Child Development Project Officers, ICDS supervisors will also be sensitized on the need and process for the introduction of IPV. The state / district Health departments and the departments of women and child development will coordinate their efforts to ensure smooth implementation of these trainings (for ASHA and AWW), sensitization and further implementation.</w:t>
      </w:r>
    </w:p>
    <w:p w14:paraId="1BF03AC5" w14:textId="77777777" w:rsidR="009F3F36" w:rsidRDefault="009F3F36" w:rsidP="009F3F36">
      <w:pPr>
        <w:spacing w:before="120"/>
        <w:ind w:right="120"/>
        <w:jc w:val="both"/>
        <w:textAlignment w:val="baseline"/>
        <w:divId w:val="410156154"/>
        <w:rPr>
          <w:rFonts w:cs="Calibri"/>
        </w:rPr>
      </w:pPr>
      <w:r w:rsidRPr="00CA7AFF">
        <w:rPr>
          <w:rFonts w:ascii="Calibri" w:hAnsi="Calibri" w:cs="Calibri"/>
          <w:sz w:val="22"/>
          <w:szCs w:val="22"/>
        </w:rPr>
        <w:t xml:space="preserve">Sensitization of </w:t>
      </w:r>
      <w:r w:rsidR="00D13A21" w:rsidRPr="00CA7AFF">
        <w:rPr>
          <w:rFonts w:ascii="Calibri" w:hAnsi="Calibri" w:cs="Calibri"/>
          <w:sz w:val="22"/>
          <w:szCs w:val="22"/>
        </w:rPr>
        <w:t>paediatricians</w:t>
      </w:r>
      <w:r w:rsidRPr="00CA7AFF">
        <w:rPr>
          <w:rFonts w:ascii="Calibri" w:hAnsi="Calibri" w:cs="Calibri"/>
          <w:sz w:val="22"/>
          <w:szCs w:val="22"/>
        </w:rPr>
        <w:t xml:space="preserve"> / medical practitioners through involvement of Indian Medical Association (IMA); Indian Academy of </w:t>
      </w:r>
      <w:r w:rsidR="00D13A21" w:rsidRPr="00CA7AFF">
        <w:rPr>
          <w:rFonts w:ascii="Calibri" w:hAnsi="Calibri" w:cs="Calibri"/>
          <w:sz w:val="22"/>
          <w:szCs w:val="22"/>
        </w:rPr>
        <w:t>Paediatrics</w:t>
      </w:r>
      <w:r w:rsidRPr="00CA7AFF">
        <w:rPr>
          <w:rFonts w:ascii="Calibri" w:hAnsi="Calibri" w:cs="Calibri"/>
          <w:sz w:val="22"/>
          <w:szCs w:val="22"/>
        </w:rPr>
        <w:t xml:space="preserve"> (IAP) </w:t>
      </w:r>
      <w:r>
        <w:rPr>
          <w:rFonts w:ascii="Calibri" w:hAnsi="Calibri" w:cs="Calibri"/>
          <w:sz w:val="22"/>
          <w:szCs w:val="22"/>
        </w:rPr>
        <w:t>,</w:t>
      </w:r>
      <w:r w:rsidRPr="00CA7AFF">
        <w:rPr>
          <w:rFonts w:ascii="Calibri" w:hAnsi="Calibri" w:cs="Calibri"/>
          <w:sz w:val="22"/>
          <w:szCs w:val="22"/>
        </w:rPr>
        <w:t xml:space="preserve"> Indian Public Health Association (IPHA) </w:t>
      </w:r>
      <w:r>
        <w:rPr>
          <w:rFonts w:ascii="Calibri" w:hAnsi="Calibri" w:cs="Calibri"/>
          <w:sz w:val="22"/>
          <w:szCs w:val="22"/>
        </w:rPr>
        <w:t xml:space="preserve">and Rotary </w:t>
      </w:r>
      <w:r w:rsidRPr="00CA7AFF">
        <w:rPr>
          <w:rFonts w:ascii="Calibri" w:hAnsi="Calibri" w:cs="Calibri"/>
          <w:sz w:val="22"/>
          <w:szCs w:val="22"/>
        </w:rPr>
        <w:t>will also help in information dissemination as well as encouraging active participation of all sectors in the IPV introduction</w:t>
      </w:r>
      <w:r>
        <w:rPr>
          <w:rFonts w:ascii="Calibri" w:hAnsi="Calibri" w:cs="Calibri"/>
          <w:sz w:val="22"/>
          <w:szCs w:val="22"/>
        </w:rPr>
        <w:t xml:space="preserve">. </w:t>
      </w:r>
    </w:p>
    <w:p w14:paraId="6A0B5275" w14:textId="77777777" w:rsidR="009F3F36" w:rsidRPr="00924E35" w:rsidRDefault="009F3F36" w:rsidP="009F3F36">
      <w:pPr>
        <w:spacing w:before="120"/>
        <w:ind w:right="120"/>
        <w:jc w:val="both"/>
        <w:textAlignment w:val="baseline"/>
        <w:divId w:val="410156154"/>
        <w:rPr>
          <w:rFonts w:cs="Calibri"/>
        </w:rPr>
      </w:pPr>
      <w:r>
        <w:rPr>
          <w:rFonts w:ascii="Calibri" w:hAnsi="Calibri" w:cs="Calibri"/>
          <w:sz w:val="22"/>
          <w:szCs w:val="22"/>
        </w:rPr>
        <w:t xml:space="preserve">State, district and sub-district training activities will be monitored by the WCO India network who will also provide regular feedback through district and state task force meetings for immunization. </w:t>
      </w:r>
    </w:p>
    <w:p w14:paraId="4F6749DD" w14:textId="77777777" w:rsidR="00835105" w:rsidRPr="00C34F37" w:rsidRDefault="00835105" w:rsidP="009F3F36">
      <w:pPr>
        <w:jc w:val="both"/>
        <w:divId w:val="410156154"/>
        <w:rPr>
          <w:rFonts w:ascii="Calibri" w:hAnsi="Calibri"/>
          <w:bCs/>
          <w:sz w:val="22"/>
          <w:szCs w:val="22"/>
        </w:rPr>
      </w:pPr>
    </w:p>
    <w:p w14:paraId="48898AB0" w14:textId="77777777" w:rsidR="00A04024" w:rsidRDefault="000941BA" w:rsidP="009F3F36">
      <w:pPr>
        <w:jc w:val="both"/>
        <w:divId w:val="410156154"/>
        <w:rPr>
          <w:rFonts w:ascii="Calibri" w:hAnsi="Calibri"/>
          <w:bCs/>
          <w:color w:val="1F497D"/>
          <w:sz w:val="22"/>
        </w:rPr>
      </w:pPr>
      <w:r w:rsidRPr="00786D23">
        <w:rPr>
          <w:rFonts w:ascii="Calibri" w:hAnsi="Calibri"/>
          <w:bCs/>
          <w:color w:val="1F497D"/>
          <w:sz w:val="22"/>
        </w:rPr>
        <w:t>3.7 Risks</w:t>
      </w:r>
      <w:r w:rsidR="00A04024" w:rsidRPr="00786D23">
        <w:rPr>
          <w:rFonts w:ascii="Calibri" w:hAnsi="Calibri"/>
          <w:bCs/>
          <w:color w:val="1F497D"/>
          <w:sz w:val="22"/>
        </w:rPr>
        <w:t xml:space="preserve"> and challenges</w:t>
      </w:r>
    </w:p>
    <w:p w14:paraId="5F9A4EE3" w14:textId="77777777" w:rsidR="00114A12" w:rsidRPr="00EA1B24" w:rsidRDefault="00114A12" w:rsidP="009F3F36">
      <w:pPr>
        <w:jc w:val="both"/>
        <w:divId w:val="410156154"/>
        <w:rPr>
          <w:rFonts w:ascii="Calibri" w:hAnsi="Calibri"/>
          <w:sz w:val="22"/>
          <w:szCs w:val="22"/>
        </w:rPr>
      </w:pPr>
      <w:r w:rsidRPr="00830918">
        <w:rPr>
          <w:rFonts w:ascii="Calibri" w:hAnsi="Calibri"/>
          <w:sz w:val="22"/>
          <w:szCs w:val="22"/>
        </w:rPr>
        <w:t xml:space="preserve">The introduction of a new vaccine into any routine immunization schedule poses challenges at various levels. In India, the health system provides a strong infrastructure for delivering these services to all parts of the country.  </w:t>
      </w:r>
      <w:r w:rsidR="004300FB" w:rsidRPr="00830918">
        <w:rPr>
          <w:rFonts w:ascii="Calibri" w:hAnsi="Calibri"/>
          <w:sz w:val="22"/>
          <w:szCs w:val="22"/>
        </w:rPr>
        <w:t xml:space="preserve">The major risks and challenges for the UIP have been identified in the cMYP (2013-17) and the program strategies have been developed to address these risks and challenges. </w:t>
      </w:r>
      <w:r w:rsidRPr="00830918">
        <w:rPr>
          <w:rFonts w:ascii="Calibri" w:hAnsi="Calibri"/>
          <w:sz w:val="22"/>
          <w:szCs w:val="22"/>
        </w:rPr>
        <w:t>The government has demonstrated its commitment to the immunization program and to strengthening services in the cMYP 2013-2017</w:t>
      </w:r>
      <w:r w:rsidR="00830918">
        <w:rPr>
          <w:rFonts w:ascii="Calibri" w:hAnsi="Calibri"/>
          <w:sz w:val="22"/>
          <w:szCs w:val="22"/>
        </w:rPr>
        <w:t xml:space="preserve"> (See attached with the application)</w:t>
      </w:r>
      <w:r w:rsidRPr="00830918">
        <w:rPr>
          <w:rFonts w:ascii="Calibri" w:hAnsi="Calibri"/>
          <w:sz w:val="22"/>
          <w:szCs w:val="22"/>
        </w:rPr>
        <w:t>.</w:t>
      </w:r>
      <w:r w:rsidRPr="00EA1B24">
        <w:rPr>
          <w:rFonts w:ascii="Calibri" w:hAnsi="Calibri"/>
          <w:sz w:val="22"/>
          <w:szCs w:val="22"/>
        </w:rPr>
        <w:t xml:space="preserve"> </w:t>
      </w:r>
    </w:p>
    <w:p w14:paraId="3DD14936" w14:textId="77777777" w:rsidR="00114A12" w:rsidRPr="00EA1B24" w:rsidRDefault="00114A12" w:rsidP="00114A12">
      <w:pPr>
        <w:jc w:val="both"/>
        <w:divId w:val="410156154"/>
        <w:rPr>
          <w:rFonts w:ascii="Calibri" w:eastAsia="SimSun" w:hAnsi="Calibri"/>
          <w:sz w:val="22"/>
          <w:szCs w:val="22"/>
        </w:rPr>
      </w:pPr>
    </w:p>
    <w:p w14:paraId="20F261EE" w14:textId="77777777" w:rsidR="00E10165" w:rsidRPr="00786D23" w:rsidRDefault="0072695D" w:rsidP="0072695D">
      <w:pPr>
        <w:spacing w:after="120"/>
        <w:divId w:val="410156154"/>
        <w:rPr>
          <w:rFonts w:ascii="Calibri" w:eastAsia="SimSun" w:hAnsi="Calibri"/>
          <w:b/>
          <w:color w:val="1F497D"/>
          <w:szCs w:val="28"/>
        </w:rPr>
      </w:pPr>
      <w:r w:rsidRPr="00786D23">
        <w:rPr>
          <w:rFonts w:ascii="Calibri" w:eastAsia="SimSun" w:hAnsi="Calibri"/>
          <w:b/>
          <w:color w:val="1F497D"/>
          <w:szCs w:val="28"/>
        </w:rPr>
        <w:t>4</w:t>
      </w:r>
      <w:r w:rsidR="00231C36" w:rsidRPr="00786D23">
        <w:rPr>
          <w:rFonts w:ascii="Calibri" w:eastAsia="SimSun" w:hAnsi="Calibri"/>
          <w:b/>
          <w:color w:val="1F497D"/>
          <w:szCs w:val="28"/>
        </w:rPr>
        <w:t xml:space="preserve">. </w:t>
      </w:r>
      <w:r w:rsidR="00E10165" w:rsidRPr="00786D23">
        <w:rPr>
          <w:rFonts w:ascii="Calibri" w:eastAsia="SimSun" w:hAnsi="Calibri"/>
          <w:b/>
          <w:color w:val="1F497D"/>
          <w:szCs w:val="28"/>
        </w:rPr>
        <w:t>Situational analysis of the immunisation programme</w:t>
      </w:r>
    </w:p>
    <w:p w14:paraId="0DA39B9D" w14:textId="77777777" w:rsidR="00B52963" w:rsidRDefault="00615331" w:rsidP="00045D39">
      <w:pPr>
        <w:jc w:val="both"/>
        <w:divId w:val="410156154"/>
        <w:rPr>
          <w:rFonts w:ascii="Calibri" w:hAnsi="Calibri"/>
          <w:bCs/>
          <w:color w:val="1F497D"/>
          <w:sz w:val="22"/>
        </w:rPr>
      </w:pPr>
      <w:r w:rsidRPr="00786D23">
        <w:rPr>
          <w:rFonts w:ascii="Calibri" w:hAnsi="Calibri"/>
          <w:bCs/>
          <w:color w:val="1F497D"/>
          <w:sz w:val="22"/>
        </w:rPr>
        <w:t xml:space="preserve">4.1 </w:t>
      </w:r>
      <w:r w:rsidR="00045D39">
        <w:rPr>
          <w:rFonts w:ascii="Calibri" w:hAnsi="Calibri"/>
          <w:bCs/>
          <w:color w:val="1F497D"/>
          <w:sz w:val="22"/>
        </w:rPr>
        <w:t>Immunization coverage and trends</w:t>
      </w:r>
    </w:p>
    <w:p w14:paraId="589599B2" w14:textId="77777777" w:rsidR="007166C8" w:rsidRDefault="007166C8" w:rsidP="00B52963">
      <w:pPr>
        <w:jc w:val="both"/>
        <w:divId w:val="410156154"/>
        <w:rPr>
          <w:rFonts w:ascii="Calibri" w:hAnsi="Calibri"/>
          <w:bCs/>
          <w:color w:val="1F497D"/>
          <w:sz w:val="22"/>
        </w:rPr>
      </w:pPr>
    </w:p>
    <w:p w14:paraId="7E361C53" w14:textId="77777777" w:rsidR="00114A12" w:rsidRDefault="00114A12" w:rsidP="00EA5C2A">
      <w:pPr>
        <w:jc w:val="both"/>
        <w:divId w:val="410156154"/>
        <w:rPr>
          <w:rFonts w:ascii="Calibri" w:hAnsi="Calibri"/>
          <w:sz w:val="22"/>
          <w:szCs w:val="22"/>
        </w:rPr>
      </w:pPr>
      <w:r w:rsidRPr="00114A12">
        <w:rPr>
          <w:rFonts w:ascii="Calibri" w:hAnsi="Calibri"/>
          <w:sz w:val="22"/>
          <w:szCs w:val="22"/>
        </w:rPr>
        <w:t xml:space="preserve">Immunization is a critical component of the Government of India's child survival strategy. In 1997 the MoHFW launched a Reproductive and Child Health (RCH) program to reduce infant and maternal mortality, total fertility rate and to increase immunization coverage, especially in rural areas. With a view to strengthen public health system in rural areas, the Government of India launched the </w:t>
      </w:r>
      <w:r w:rsidRPr="00114A12">
        <w:rPr>
          <w:rFonts w:ascii="Calibri" w:hAnsi="Calibri"/>
          <w:sz w:val="22"/>
          <w:szCs w:val="22"/>
        </w:rPr>
        <w:lastRenderedPageBreak/>
        <w:t>National Rural Health Mission (NRHM) in 2005. The NRHM</w:t>
      </w:r>
      <w:r w:rsidR="00EA5C2A">
        <w:rPr>
          <w:rFonts w:ascii="Calibri" w:hAnsi="Calibri"/>
          <w:sz w:val="22"/>
          <w:szCs w:val="22"/>
        </w:rPr>
        <w:t xml:space="preserve"> (now called NHM – National Health Mission)</w:t>
      </w:r>
      <w:r w:rsidRPr="00114A12">
        <w:rPr>
          <w:rFonts w:ascii="Calibri" w:hAnsi="Calibri"/>
          <w:sz w:val="22"/>
          <w:szCs w:val="22"/>
        </w:rPr>
        <w:t xml:space="preserve"> was established as a single platform to bring together all of the national health efforts, including Reproductive and Child Health (RCH) which included immunization.</w:t>
      </w:r>
    </w:p>
    <w:p w14:paraId="7CE9941C" w14:textId="77777777" w:rsidR="00EA5C2A" w:rsidRPr="00114A12" w:rsidRDefault="00EA5C2A" w:rsidP="00114A12">
      <w:pPr>
        <w:jc w:val="both"/>
        <w:divId w:val="410156154"/>
        <w:rPr>
          <w:rFonts w:ascii="Calibri" w:hAnsi="Calibri"/>
          <w:sz w:val="22"/>
          <w:szCs w:val="22"/>
        </w:rPr>
      </w:pPr>
    </w:p>
    <w:p w14:paraId="27E3EF08" w14:textId="77777777" w:rsidR="00114A12" w:rsidRDefault="00114A12" w:rsidP="00EA5C2A">
      <w:pPr>
        <w:jc w:val="both"/>
        <w:divId w:val="410156154"/>
        <w:rPr>
          <w:rFonts w:ascii="Calibri" w:hAnsi="Calibri"/>
          <w:sz w:val="22"/>
          <w:szCs w:val="22"/>
        </w:rPr>
      </w:pPr>
      <w:r w:rsidRPr="00114A12">
        <w:rPr>
          <w:rFonts w:ascii="Calibri" w:hAnsi="Calibri"/>
          <w:sz w:val="22"/>
          <w:szCs w:val="22"/>
        </w:rPr>
        <w:t>At the national level, the NHM has a Mission Steering Group (MSG) headed by the Union Minister for Health &amp; Family Welfare and an Empowered Program Committee (EPC) headed by the Union Secretary for Health &amp; Family Welfare. EPC implements the Mission under the overall guidance of the MSG.</w:t>
      </w:r>
    </w:p>
    <w:p w14:paraId="6E55DF4B" w14:textId="77777777" w:rsidR="00EA5C2A" w:rsidRPr="00114A12" w:rsidRDefault="00EA5C2A" w:rsidP="00EA5C2A">
      <w:pPr>
        <w:jc w:val="both"/>
        <w:divId w:val="410156154"/>
        <w:rPr>
          <w:rFonts w:ascii="Calibri" w:hAnsi="Calibri"/>
          <w:sz w:val="22"/>
          <w:szCs w:val="22"/>
        </w:rPr>
      </w:pPr>
    </w:p>
    <w:p w14:paraId="6F6434D5" w14:textId="77777777" w:rsidR="00114A12" w:rsidRDefault="00114A12" w:rsidP="00B36C49">
      <w:pPr>
        <w:jc w:val="both"/>
        <w:divId w:val="410156154"/>
        <w:rPr>
          <w:rFonts w:ascii="Calibri" w:hAnsi="Calibri"/>
          <w:sz w:val="22"/>
          <w:szCs w:val="22"/>
        </w:rPr>
      </w:pPr>
      <w:r w:rsidRPr="00114A12">
        <w:rPr>
          <w:rFonts w:ascii="Calibri" w:hAnsi="Calibri"/>
          <w:sz w:val="22"/>
          <w:szCs w:val="22"/>
        </w:rPr>
        <w:t>In the 12th Five Year Plan, the Government of India has proposed a National Health Mission for improving healthcare in rural as well as urban areas. Routine immunization is an integral component that has been identified for strengthening.</w:t>
      </w:r>
      <w:r w:rsidR="00B36C49">
        <w:rPr>
          <w:rFonts w:ascii="Calibri" w:hAnsi="Calibri"/>
          <w:sz w:val="22"/>
          <w:szCs w:val="22"/>
        </w:rPr>
        <w:t xml:space="preserve"> </w:t>
      </w:r>
      <w:r w:rsidRPr="00114A12">
        <w:rPr>
          <w:rFonts w:ascii="Calibri" w:hAnsi="Calibri"/>
          <w:sz w:val="22"/>
          <w:szCs w:val="22"/>
        </w:rPr>
        <w:t>With IPV being introduced along with DPT3/Penta3/OPV3, it is essential to review its</w:t>
      </w:r>
      <w:r w:rsidR="00EA5C2A">
        <w:rPr>
          <w:rFonts w:ascii="Calibri" w:hAnsi="Calibri"/>
          <w:sz w:val="22"/>
          <w:szCs w:val="22"/>
        </w:rPr>
        <w:t xml:space="preserve"> coverage as given in the Figure 2</w:t>
      </w:r>
      <w:r w:rsidRPr="00114A12">
        <w:rPr>
          <w:rFonts w:ascii="Calibri" w:hAnsi="Calibri"/>
          <w:sz w:val="22"/>
          <w:szCs w:val="22"/>
        </w:rPr>
        <w:t xml:space="preserve"> below. </w:t>
      </w:r>
    </w:p>
    <w:p w14:paraId="724BC17E" w14:textId="77777777" w:rsidR="00EA5C2A" w:rsidRDefault="00EA5C2A" w:rsidP="00114A12">
      <w:pPr>
        <w:jc w:val="both"/>
        <w:divId w:val="410156154"/>
        <w:rPr>
          <w:rFonts w:ascii="Calibri" w:hAnsi="Calibri"/>
          <w:sz w:val="22"/>
          <w:szCs w:val="22"/>
        </w:rPr>
      </w:pPr>
    </w:p>
    <w:p w14:paraId="5F4AF130" w14:textId="77777777" w:rsidR="00045D39" w:rsidRPr="00114A12" w:rsidRDefault="00045D39" w:rsidP="00114A12">
      <w:pPr>
        <w:jc w:val="both"/>
        <w:divId w:val="410156154"/>
        <w:rPr>
          <w:rFonts w:ascii="Calibri" w:hAnsi="Calibri"/>
          <w:sz w:val="22"/>
          <w:szCs w:val="22"/>
        </w:rPr>
      </w:pPr>
    </w:p>
    <w:p w14:paraId="5913A65D" w14:textId="77777777" w:rsidR="00114A12" w:rsidRPr="00114A12" w:rsidRDefault="00597007" w:rsidP="00114A12">
      <w:pPr>
        <w:jc w:val="both"/>
        <w:divId w:val="410156154"/>
        <w:rPr>
          <w:rFonts w:ascii="Calibri" w:hAnsi="Calibri"/>
          <w:sz w:val="22"/>
          <w:szCs w:val="22"/>
        </w:rPr>
      </w:pPr>
      <w:r>
        <w:rPr>
          <w:rFonts w:ascii="Calibri" w:hAnsi="Calibri"/>
          <w:noProof/>
          <w:sz w:val="22"/>
          <w:szCs w:val="22"/>
          <w:lang w:val="en-US" w:eastAsia="en-US"/>
        </w:rPr>
        <w:drawing>
          <wp:inline distT="0" distB="0" distL="0" distR="0" wp14:anchorId="4D21BA18" wp14:editId="21ED1B43">
            <wp:extent cx="5020945" cy="2827655"/>
            <wp:effectExtent l="0" t="0" r="825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0945" cy="2827655"/>
                    </a:xfrm>
                    <a:prstGeom prst="rect">
                      <a:avLst/>
                    </a:prstGeom>
                    <a:noFill/>
                    <a:ln>
                      <a:noFill/>
                    </a:ln>
                  </pic:spPr>
                </pic:pic>
              </a:graphicData>
            </a:graphic>
          </wp:inline>
        </w:drawing>
      </w:r>
    </w:p>
    <w:p w14:paraId="61E21526" w14:textId="77777777" w:rsidR="00114A12" w:rsidRPr="00EA5C2A" w:rsidRDefault="00114A12" w:rsidP="00EA5C2A">
      <w:pPr>
        <w:jc w:val="both"/>
        <w:divId w:val="410156154"/>
        <w:rPr>
          <w:rFonts w:ascii="Calibri" w:hAnsi="Calibri"/>
          <w:sz w:val="20"/>
          <w:szCs w:val="20"/>
        </w:rPr>
      </w:pPr>
      <w:r w:rsidRPr="00EA5C2A">
        <w:rPr>
          <w:rFonts w:ascii="Calibri" w:hAnsi="Calibri"/>
          <w:b/>
          <w:sz w:val="20"/>
          <w:szCs w:val="20"/>
        </w:rPr>
        <w:t>Fig. 2:</w:t>
      </w:r>
      <w:r w:rsidRPr="00EA5C2A">
        <w:rPr>
          <w:rFonts w:ascii="Calibri" w:hAnsi="Calibri"/>
          <w:sz w:val="20"/>
          <w:szCs w:val="20"/>
        </w:rPr>
        <w:t xml:space="preserve">  Percentage of immunization coverage of various antigens </w:t>
      </w:r>
      <w:r w:rsidR="00EA5C2A">
        <w:rPr>
          <w:rFonts w:ascii="Calibri" w:hAnsi="Calibri"/>
          <w:sz w:val="20"/>
          <w:szCs w:val="20"/>
        </w:rPr>
        <w:t>among 12 to 23 months children</w:t>
      </w:r>
    </w:p>
    <w:p w14:paraId="39524B11" w14:textId="77777777" w:rsidR="00EA5C2A" w:rsidRPr="000941BA" w:rsidRDefault="00EA5C2A" w:rsidP="00EA5C2A">
      <w:pPr>
        <w:jc w:val="both"/>
        <w:divId w:val="410156154"/>
        <w:rPr>
          <w:rFonts w:ascii="Calibri" w:hAnsi="Calibri"/>
          <w:i/>
          <w:sz w:val="18"/>
          <w:szCs w:val="20"/>
        </w:rPr>
      </w:pPr>
      <w:r w:rsidRPr="000941BA">
        <w:rPr>
          <w:rFonts w:ascii="Calibri" w:hAnsi="Calibri"/>
          <w:i/>
          <w:sz w:val="18"/>
          <w:szCs w:val="20"/>
        </w:rPr>
        <w:t>Source: Coverage Evaluation Survey 2009</w:t>
      </w:r>
    </w:p>
    <w:p w14:paraId="2516931C" w14:textId="77777777" w:rsidR="00EA5C2A" w:rsidRDefault="00EA5C2A" w:rsidP="00114A12">
      <w:pPr>
        <w:jc w:val="both"/>
        <w:divId w:val="410156154"/>
        <w:rPr>
          <w:rFonts w:ascii="Calibri" w:hAnsi="Calibri"/>
          <w:sz w:val="22"/>
          <w:szCs w:val="22"/>
        </w:rPr>
      </w:pPr>
    </w:p>
    <w:p w14:paraId="6E165B08" w14:textId="77777777" w:rsidR="00045D39" w:rsidRDefault="00045D39" w:rsidP="00114A12">
      <w:pPr>
        <w:jc w:val="both"/>
        <w:divId w:val="410156154"/>
        <w:rPr>
          <w:rFonts w:ascii="Calibri" w:hAnsi="Calibri"/>
          <w:sz w:val="22"/>
          <w:szCs w:val="22"/>
        </w:rPr>
      </w:pPr>
    </w:p>
    <w:p w14:paraId="6AAF3525" w14:textId="77777777" w:rsidR="00114A12" w:rsidRPr="00114A12" w:rsidRDefault="00114A12" w:rsidP="00EA5C2A">
      <w:pPr>
        <w:jc w:val="both"/>
        <w:divId w:val="410156154"/>
        <w:rPr>
          <w:rFonts w:ascii="Calibri" w:hAnsi="Calibri"/>
          <w:sz w:val="22"/>
          <w:szCs w:val="22"/>
        </w:rPr>
      </w:pPr>
      <w:r w:rsidRPr="00114A12">
        <w:rPr>
          <w:rFonts w:ascii="Calibri" w:hAnsi="Calibri"/>
          <w:sz w:val="22"/>
          <w:szCs w:val="22"/>
        </w:rPr>
        <w:t xml:space="preserve">The coverage in India for DPT3 as determined by various surveys and evaluations is around 70%. While the goal for any immunization program is to vaccinate every child, the current estimated coverage of DPT3 allows for the introduction of IPV.  Variations in coverage exist between states and districts. The data gathered identifies those districts and states that require additional attention. Routine immunization strengthening is a major activity being undertaken under the cMYP 2013-17 as well as through special frontline worker </w:t>
      </w:r>
      <w:r w:rsidR="00EA5C2A" w:rsidRPr="00114A12">
        <w:rPr>
          <w:rFonts w:ascii="Calibri" w:hAnsi="Calibri"/>
          <w:sz w:val="22"/>
          <w:szCs w:val="22"/>
        </w:rPr>
        <w:t>trainings, which</w:t>
      </w:r>
      <w:r w:rsidRPr="00114A12">
        <w:rPr>
          <w:rFonts w:ascii="Calibri" w:hAnsi="Calibri"/>
          <w:sz w:val="22"/>
          <w:szCs w:val="22"/>
        </w:rPr>
        <w:t xml:space="preserve"> are focused on improving mobilization of children to sessions.</w:t>
      </w:r>
      <w:r w:rsidR="00EA5C2A">
        <w:rPr>
          <w:rFonts w:ascii="Calibri" w:hAnsi="Calibri"/>
          <w:sz w:val="22"/>
          <w:szCs w:val="22"/>
        </w:rPr>
        <w:t xml:space="preserve"> </w:t>
      </w:r>
      <w:r w:rsidRPr="00114A12">
        <w:rPr>
          <w:rFonts w:ascii="Calibri" w:hAnsi="Calibri"/>
          <w:sz w:val="22"/>
          <w:szCs w:val="22"/>
        </w:rPr>
        <w:t xml:space="preserve">These interventions will contribute to improving the coverage further and hence increase the number of children administered IPV. </w:t>
      </w:r>
    </w:p>
    <w:p w14:paraId="5E96B45E" w14:textId="77777777" w:rsidR="00873C74" w:rsidRDefault="00873C74" w:rsidP="00223023">
      <w:pPr>
        <w:autoSpaceDE w:val="0"/>
        <w:autoSpaceDN w:val="0"/>
        <w:adjustRightInd w:val="0"/>
        <w:jc w:val="both"/>
        <w:divId w:val="410156154"/>
        <w:rPr>
          <w:rFonts w:ascii="Calibri" w:eastAsia="SimSun" w:hAnsi="Calibri" w:cs="Calibri"/>
          <w:color w:val="000000"/>
          <w:sz w:val="20"/>
          <w:szCs w:val="22"/>
          <w:lang w:eastAsia="en-US"/>
        </w:rPr>
      </w:pPr>
    </w:p>
    <w:p w14:paraId="56925184"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464E06DA"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3A69A121"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015730DB"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08F9E813"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7648E250"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651F125B"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741015E1"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28245D5D"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161E7FBF" w14:textId="77777777" w:rsidR="00045D39"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2B177663" w14:textId="77777777" w:rsidR="00045D39" w:rsidRPr="00786D23" w:rsidRDefault="00045D39" w:rsidP="00223023">
      <w:pPr>
        <w:autoSpaceDE w:val="0"/>
        <w:autoSpaceDN w:val="0"/>
        <w:adjustRightInd w:val="0"/>
        <w:jc w:val="both"/>
        <w:divId w:val="410156154"/>
        <w:rPr>
          <w:rFonts w:ascii="Calibri" w:eastAsia="SimSun" w:hAnsi="Calibri" w:cs="Calibri"/>
          <w:color w:val="000000"/>
          <w:sz w:val="20"/>
          <w:szCs w:val="22"/>
          <w:lang w:eastAsia="en-US"/>
        </w:rPr>
      </w:pPr>
    </w:p>
    <w:p w14:paraId="3E25900D" w14:textId="77777777" w:rsidR="00223023" w:rsidRPr="00C34F37" w:rsidRDefault="00223023" w:rsidP="009F3F36">
      <w:pPr>
        <w:autoSpaceDE w:val="0"/>
        <w:autoSpaceDN w:val="0"/>
        <w:adjustRightInd w:val="0"/>
        <w:jc w:val="both"/>
        <w:divId w:val="410156154"/>
        <w:rPr>
          <w:rFonts w:ascii="Calibri" w:eastAsia="SimSun" w:hAnsi="Calibri" w:cs="Calibri"/>
          <w:b/>
          <w:color w:val="000000"/>
          <w:sz w:val="20"/>
          <w:szCs w:val="20"/>
        </w:rPr>
      </w:pPr>
      <w:r w:rsidRPr="00C34F37">
        <w:rPr>
          <w:rFonts w:ascii="Calibri" w:eastAsia="SimSun" w:hAnsi="Calibri" w:cs="Calibri"/>
          <w:b/>
          <w:color w:val="000000"/>
          <w:sz w:val="20"/>
          <w:szCs w:val="20"/>
        </w:rPr>
        <w:t xml:space="preserve">Table </w:t>
      </w:r>
      <w:r w:rsidR="009F3F36">
        <w:rPr>
          <w:rFonts w:ascii="Calibri" w:eastAsia="SimSun" w:hAnsi="Calibri" w:cs="Calibri"/>
          <w:b/>
          <w:color w:val="000000"/>
          <w:sz w:val="20"/>
          <w:szCs w:val="20"/>
        </w:rPr>
        <w:t>5</w:t>
      </w:r>
      <w:r w:rsidRPr="00C34F37">
        <w:rPr>
          <w:rFonts w:ascii="Calibri" w:eastAsia="SimSun" w:hAnsi="Calibri" w:cs="Calibri"/>
          <w:b/>
          <w:color w:val="000000"/>
          <w:sz w:val="20"/>
          <w:szCs w:val="20"/>
        </w:rPr>
        <w:t>. Trends in national vaccine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00"/>
        <w:gridCol w:w="2880"/>
        <w:gridCol w:w="1350"/>
        <w:gridCol w:w="1304"/>
      </w:tblGrid>
      <w:tr w:rsidR="00223023" w:rsidRPr="00C63E63" w14:paraId="19F46257" w14:textId="77777777" w:rsidTr="007310E3">
        <w:trPr>
          <w:divId w:val="410156154"/>
          <w:trHeight w:val="377"/>
        </w:trPr>
        <w:tc>
          <w:tcPr>
            <w:tcW w:w="9122" w:type="dxa"/>
            <w:gridSpan w:val="5"/>
            <w:shd w:val="clear" w:color="auto" w:fill="auto"/>
            <w:vAlign w:val="center"/>
          </w:tcPr>
          <w:p w14:paraId="421425A1" w14:textId="77777777" w:rsidR="00223023" w:rsidRPr="00A77ABC" w:rsidRDefault="00223023" w:rsidP="006951FE">
            <w:pPr>
              <w:ind w:right="120"/>
              <w:jc w:val="center"/>
              <w:rPr>
                <w:rFonts w:ascii="Calibri" w:hAnsi="Calibri" w:cs="Arial"/>
                <w:b/>
                <w:color w:val="000000"/>
                <w:sz w:val="20"/>
                <w:szCs w:val="20"/>
              </w:rPr>
            </w:pPr>
            <w:r w:rsidRPr="00A77ABC">
              <w:rPr>
                <w:rFonts w:ascii="Calibri" w:hAnsi="Calibri" w:cs="Arial"/>
                <w:b/>
                <w:color w:val="000000"/>
                <w:sz w:val="20"/>
                <w:szCs w:val="20"/>
              </w:rPr>
              <w:t>Trends of national vaccine coverage (percentage)</w:t>
            </w:r>
          </w:p>
        </w:tc>
      </w:tr>
      <w:tr w:rsidR="00223023" w:rsidRPr="00A77ABC" w14:paraId="56C2E3FD" w14:textId="77777777" w:rsidTr="007310E3">
        <w:trPr>
          <w:divId w:val="410156154"/>
          <w:trHeight w:val="404"/>
        </w:trPr>
        <w:tc>
          <w:tcPr>
            <w:tcW w:w="1788" w:type="dxa"/>
            <w:vMerge w:val="restart"/>
            <w:shd w:val="clear" w:color="auto" w:fill="auto"/>
            <w:vAlign w:val="center"/>
          </w:tcPr>
          <w:p w14:paraId="4F6D56B5"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Vaccine</w:t>
            </w:r>
          </w:p>
        </w:tc>
        <w:tc>
          <w:tcPr>
            <w:tcW w:w="1800" w:type="dxa"/>
            <w:vMerge w:val="restart"/>
            <w:shd w:val="clear" w:color="auto" w:fill="auto"/>
            <w:vAlign w:val="center"/>
          </w:tcPr>
          <w:p w14:paraId="30A432F3"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Vaccine Used</w:t>
            </w:r>
          </w:p>
        </w:tc>
        <w:tc>
          <w:tcPr>
            <w:tcW w:w="2880" w:type="dxa"/>
            <w:vMerge w:val="restart"/>
            <w:shd w:val="clear" w:color="auto" w:fill="auto"/>
            <w:vAlign w:val="center"/>
          </w:tcPr>
          <w:p w14:paraId="26435BE9"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Target population</w:t>
            </w:r>
          </w:p>
          <w:p w14:paraId="0129C600"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(number by age and sex,</w:t>
            </w:r>
          </w:p>
          <w:p w14:paraId="3A9DA4FF"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 xml:space="preserve">if </w:t>
            </w:r>
            <w:r w:rsidR="009F3F36" w:rsidRPr="00A77ABC">
              <w:rPr>
                <w:rFonts w:ascii="Calibri" w:hAnsi="Calibri" w:cs="Arial"/>
                <w:b/>
                <w:color w:val="000000"/>
                <w:sz w:val="20"/>
                <w:szCs w:val="20"/>
              </w:rPr>
              <w:t>available</w:t>
            </w:r>
            <w:r w:rsidRPr="00A77ABC">
              <w:rPr>
                <w:rFonts w:ascii="Calibri" w:hAnsi="Calibri" w:cs="Arial"/>
                <w:b/>
                <w:color w:val="000000"/>
                <w:sz w:val="20"/>
                <w:szCs w:val="20"/>
              </w:rPr>
              <w:t>)</w:t>
            </w:r>
          </w:p>
        </w:tc>
        <w:tc>
          <w:tcPr>
            <w:tcW w:w="2654" w:type="dxa"/>
            <w:gridSpan w:val="2"/>
            <w:shd w:val="clear" w:color="auto" w:fill="auto"/>
            <w:vAlign w:val="center"/>
          </w:tcPr>
          <w:p w14:paraId="4CCFB0EA"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Coverage reported (JRF)</w:t>
            </w:r>
          </w:p>
        </w:tc>
      </w:tr>
      <w:tr w:rsidR="00223023" w:rsidRPr="00A77ABC" w14:paraId="3D4B4A48" w14:textId="77777777" w:rsidTr="007310E3">
        <w:trPr>
          <w:divId w:val="410156154"/>
          <w:trHeight w:val="404"/>
        </w:trPr>
        <w:tc>
          <w:tcPr>
            <w:tcW w:w="1788" w:type="dxa"/>
            <w:vMerge/>
            <w:shd w:val="clear" w:color="auto" w:fill="auto"/>
            <w:vAlign w:val="center"/>
          </w:tcPr>
          <w:p w14:paraId="0DB138BB" w14:textId="77777777" w:rsidR="00223023" w:rsidRPr="00A77ABC" w:rsidRDefault="00223023" w:rsidP="009F3F36">
            <w:pPr>
              <w:ind w:right="120"/>
              <w:jc w:val="center"/>
              <w:rPr>
                <w:rFonts w:ascii="Calibri" w:hAnsi="Calibri" w:cs="Arial"/>
                <w:b/>
                <w:color w:val="000000"/>
                <w:sz w:val="20"/>
                <w:szCs w:val="20"/>
              </w:rPr>
            </w:pPr>
          </w:p>
        </w:tc>
        <w:tc>
          <w:tcPr>
            <w:tcW w:w="1800" w:type="dxa"/>
            <w:vMerge/>
            <w:shd w:val="clear" w:color="auto" w:fill="auto"/>
            <w:vAlign w:val="center"/>
          </w:tcPr>
          <w:p w14:paraId="62DA0CE9" w14:textId="77777777" w:rsidR="00223023" w:rsidRPr="00A77ABC" w:rsidRDefault="00223023" w:rsidP="009F3F36">
            <w:pPr>
              <w:ind w:right="120"/>
              <w:jc w:val="center"/>
              <w:rPr>
                <w:rFonts w:ascii="Calibri" w:hAnsi="Calibri" w:cs="Arial"/>
                <w:b/>
                <w:color w:val="000000"/>
                <w:sz w:val="20"/>
                <w:szCs w:val="20"/>
              </w:rPr>
            </w:pPr>
          </w:p>
        </w:tc>
        <w:tc>
          <w:tcPr>
            <w:tcW w:w="2880" w:type="dxa"/>
            <w:vMerge/>
            <w:shd w:val="clear" w:color="auto" w:fill="auto"/>
            <w:vAlign w:val="center"/>
          </w:tcPr>
          <w:p w14:paraId="622E4293" w14:textId="77777777" w:rsidR="00223023" w:rsidRPr="00A77ABC" w:rsidRDefault="00223023" w:rsidP="009F3F36">
            <w:pPr>
              <w:ind w:right="120"/>
              <w:jc w:val="center"/>
              <w:rPr>
                <w:rFonts w:ascii="Calibri" w:hAnsi="Calibri" w:cs="Arial"/>
                <w:b/>
                <w:color w:val="000000"/>
                <w:sz w:val="20"/>
                <w:szCs w:val="20"/>
              </w:rPr>
            </w:pPr>
          </w:p>
        </w:tc>
        <w:tc>
          <w:tcPr>
            <w:tcW w:w="1350" w:type="dxa"/>
            <w:shd w:val="clear" w:color="auto" w:fill="auto"/>
            <w:vAlign w:val="center"/>
          </w:tcPr>
          <w:p w14:paraId="23BCEBE1"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Most recent year</w:t>
            </w:r>
          </w:p>
        </w:tc>
        <w:tc>
          <w:tcPr>
            <w:tcW w:w="1304" w:type="dxa"/>
            <w:shd w:val="clear" w:color="auto" w:fill="auto"/>
            <w:vAlign w:val="center"/>
          </w:tcPr>
          <w:p w14:paraId="21B1CE7D" w14:textId="77777777" w:rsidR="00223023" w:rsidRPr="00A77ABC" w:rsidRDefault="00223023" w:rsidP="009F3F36">
            <w:pPr>
              <w:ind w:right="120"/>
              <w:jc w:val="center"/>
              <w:rPr>
                <w:rFonts w:ascii="Calibri" w:hAnsi="Calibri" w:cs="Arial"/>
                <w:b/>
                <w:color w:val="000000"/>
                <w:sz w:val="20"/>
                <w:szCs w:val="20"/>
              </w:rPr>
            </w:pPr>
            <w:r w:rsidRPr="00A77ABC">
              <w:rPr>
                <w:rFonts w:ascii="Calibri" w:hAnsi="Calibri" w:cs="Arial"/>
                <w:b/>
                <w:color w:val="000000"/>
                <w:sz w:val="20"/>
                <w:szCs w:val="20"/>
              </w:rPr>
              <w:t>Previous year</w:t>
            </w:r>
          </w:p>
        </w:tc>
      </w:tr>
      <w:tr w:rsidR="00223023" w:rsidRPr="00A77ABC" w14:paraId="1BEA3D89" w14:textId="77777777" w:rsidTr="007310E3">
        <w:trPr>
          <w:divId w:val="410156154"/>
        </w:trPr>
        <w:tc>
          <w:tcPr>
            <w:tcW w:w="1788" w:type="dxa"/>
            <w:shd w:val="clear" w:color="auto" w:fill="auto"/>
          </w:tcPr>
          <w:p w14:paraId="0C6D80D4" w14:textId="77777777" w:rsidR="00223023" w:rsidRPr="00A77ABC" w:rsidRDefault="00223023" w:rsidP="009F3F36">
            <w:pPr>
              <w:ind w:right="120"/>
              <w:jc w:val="center"/>
              <w:rPr>
                <w:rFonts w:ascii="Calibri" w:hAnsi="Calibri" w:cs="Arial"/>
                <w:color w:val="000000"/>
                <w:sz w:val="20"/>
                <w:szCs w:val="20"/>
              </w:rPr>
            </w:pPr>
            <w:r w:rsidRPr="00A77ABC">
              <w:rPr>
                <w:rFonts w:ascii="Calibri" w:hAnsi="Calibri" w:cs="Arial"/>
                <w:color w:val="000000"/>
                <w:sz w:val="20"/>
                <w:szCs w:val="20"/>
              </w:rPr>
              <w:t>BCG</w:t>
            </w:r>
          </w:p>
        </w:tc>
        <w:tc>
          <w:tcPr>
            <w:tcW w:w="1800" w:type="dxa"/>
            <w:shd w:val="clear" w:color="auto" w:fill="auto"/>
          </w:tcPr>
          <w:p w14:paraId="5FF4023B" w14:textId="77777777" w:rsidR="00223023" w:rsidRPr="00A77ABC" w:rsidRDefault="005B7E35" w:rsidP="009F3F36">
            <w:pPr>
              <w:jc w:val="center"/>
              <w:rPr>
                <w:rFonts w:ascii="Calibri" w:hAnsi="Calibri"/>
                <w:sz w:val="20"/>
                <w:szCs w:val="20"/>
              </w:rPr>
            </w:pPr>
            <w:r w:rsidRPr="00A77ABC">
              <w:rPr>
                <w:rFonts w:ascii="Calibri" w:hAnsi="Calibri" w:cs="Arial"/>
                <w:sz w:val="20"/>
                <w:szCs w:val="20"/>
              </w:rPr>
              <w:t>Lyophilized vaccine</w:t>
            </w:r>
          </w:p>
        </w:tc>
        <w:tc>
          <w:tcPr>
            <w:tcW w:w="2880" w:type="dxa"/>
            <w:shd w:val="clear" w:color="auto" w:fill="auto"/>
          </w:tcPr>
          <w:p w14:paraId="2F067AA2" w14:textId="77777777" w:rsidR="00223023" w:rsidRPr="00A77ABC" w:rsidRDefault="0023518E" w:rsidP="009F3F36">
            <w:pPr>
              <w:jc w:val="center"/>
              <w:rPr>
                <w:rFonts w:ascii="Calibri" w:hAnsi="Calibri"/>
                <w:sz w:val="20"/>
                <w:szCs w:val="20"/>
              </w:rPr>
            </w:pPr>
            <w:r w:rsidRPr="00A77ABC">
              <w:rPr>
                <w:rFonts w:ascii="Calibri" w:hAnsi="Calibri"/>
                <w:color w:val="000000"/>
                <w:sz w:val="20"/>
                <w:szCs w:val="20"/>
              </w:rPr>
              <w:t>25</w:t>
            </w:r>
            <w:r w:rsidR="007310E3">
              <w:rPr>
                <w:rFonts w:ascii="Calibri" w:hAnsi="Calibri"/>
                <w:color w:val="000000"/>
                <w:sz w:val="20"/>
                <w:szCs w:val="20"/>
              </w:rPr>
              <w:t>,</w:t>
            </w:r>
            <w:r w:rsidRPr="00A77ABC">
              <w:rPr>
                <w:rFonts w:ascii="Calibri" w:hAnsi="Calibri"/>
                <w:color w:val="000000"/>
                <w:sz w:val="20"/>
                <w:szCs w:val="20"/>
              </w:rPr>
              <w:t>760</w:t>
            </w:r>
            <w:r w:rsidR="007310E3">
              <w:rPr>
                <w:rFonts w:ascii="Calibri" w:hAnsi="Calibri"/>
                <w:color w:val="000000"/>
                <w:sz w:val="20"/>
                <w:szCs w:val="20"/>
              </w:rPr>
              <w:t>,</w:t>
            </w:r>
            <w:r w:rsidRPr="00A77ABC">
              <w:rPr>
                <w:rFonts w:ascii="Calibri" w:hAnsi="Calibri"/>
                <w:color w:val="000000"/>
                <w:sz w:val="20"/>
                <w:szCs w:val="20"/>
              </w:rPr>
              <w:t>000</w:t>
            </w:r>
          </w:p>
        </w:tc>
        <w:tc>
          <w:tcPr>
            <w:tcW w:w="1350" w:type="dxa"/>
            <w:shd w:val="clear" w:color="auto" w:fill="auto"/>
          </w:tcPr>
          <w:p w14:paraId="269B7397" w14:textId="77777777" w:rsidR="00223023" w:rsidRPr="00A77ABC" w:rsidRDefault="0023518E" w:rsidP="009F3F36">
            <w:pPr>
              <w:jc w:val="center"/>
              <w:rPr>
                <w:rFonts w:ascii="Calibri" w:hAnsi="Calibri"/>
                <w:sz w:val="20"/>
                <w:szCs w:val="20"/>
              </w:rPr>
            </w:pPr>
            <w:r w:rsidRPr="00A77ABC">
              <w:rPr>
                <w:rFonts w:ascii="Calibri" w:hAnsi="Calibri" w:cs="Arial"/>
                <w:sz w:val="20"/>
                <w:szCs w:val="20"/>
              </w:rPr>
              <w:t>91.73</w:t>
            </w:r>
            <w:r w:rsidR="00223023" w:rsidRPr="00A77ABC">
              <w:rPr>
                <w:rFonts w:ascii="Calibri" w:hAnsi="Calibri" w:cs="Arial"/>
                <w:sz w:val="20"/>
                <w:szCs w:val="20"/>
              </w:rPr>
              <w:t>%</w:t>
            </w:r>
          </w:p>
        </w:tc>
        <w:tc>
          <w:tcPr>
            <w:tcW w:w="1304" w:type="dxa"/>
            <w:shd w:val="clear" w:color="auto" w:fill="auto"/>
          </w:tcPr>
          <w:p w14:paraId="34AE406C" w14:textId="77777777" w:rsidR="00223023" w:rsidRPr="00A77ABC" w:rsidRDefault="00D70CA0" w:rsidP="009F3F36">
            <w:pPr>
              <w:jc w:val="center"/>
              <w:rPr>
                <w:rFonts w:ascii="Calibri" w:hAnsi="Calibri"/>
                <w:sz w:val="20"/>
                <w:szCs w:val="20"/>
              </w:rPr>
            </w:pPr>
            <w:r w:rsidRPr="00A77ABC">
              <w:rPr>
                <w:rFonts w:ascii="Calibri" w:hAnsi="Calibri" w:cs="Arial"/>
                <w:sz w:val="20"/>
                <w:szCs w:val="20"/>
              </w:rPr>
              <w:t>93</w:t>
            </w:r>
            <w:r w:rsidR="00223023" w:rsidRPr="00A77ABC">
              <w:rPr>
                <w:rFonts w:ascii="Calibri" w:hAnsi="Calibri" w:cs="Arial"/>
                <w:sz w:val="20"/>
                <w:szCs w:val="20"/>
              </w:rPr>
              <w:t xml:space="preserve"> %</w:t>
            </w:r>
          </w:p>
        </w:tc>
      </w:tr>
      <w:tr w:rsidR="00223023" w:rsidRPr="00A77ABC" w14:paraId="51770350" w14:textId="77777777" w:rsidTr="007310E3">
        <w:trPr>
          <w:divId w:val="410156154"/>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0447837F" w14:textId="77777777" w:rsidR="00223023" w:rsidRPr="00A77ABC" w:rsidRDefault="00223023" w:rsidP="009F3F36">
            <w:pPr>
              <w:ind w:right="120"/>
              <w:jc w:val="center"/>
              <w:rPr>
                <w:rFonts w:ascii="Calibri" w:hAnsi="Calibri" w:cs="Arial"/>
                <w:color w:val="000000"/>
                <w:sz w:val="20"/>
                <w:szCs w:val="20"/>
              </w:rPr>
            </w:pPr>
            <w:r w:rsidRPr="00A77ABC">
              <w:rPr>
                <w:rFonts w:ascii="Calibri" w:hAnsi="Calibri" w:cs="Arial"/>
                <w:color w:val="000000"/>
                <w:sz w:val="20"/>
                <w:szCs w:val="20"/>
              </w:rPr>
              <w:t>OPV 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8C40A1" w14:textId="77777777" w:rsidR="00223023" w:rsidRPr="00A77ABC" w:rsidRDefault="005B7E35" w:rsidP="009F3F36">
            <w:pPr>
              <w:jc w:val="center"/>
              <w:rPr>
                <w:rFonts w:ascii="Calibri" w:hAnsi="Calibri" w:cs="Arial"/>
                <w:sz w:val="20"/>
                <w:szCs w:val="20"/>
              </w:rPr>
            </w:pPr>
            <w:r w:rsidRPr="00A77ABC">
              <w:rPr>
                <w:rFonts w:ascii="Calibri" w:hAnsi="Calibri" w:cs="Arial"/>
                <w:sz w:val="20"/>
                <w:szCs w:val="20"/>
              </w:rPr>
              <w:t>Liquid vaccine</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D9841C0" w14:textId="77777777" w:rsidR="00223023" w:rsidRPr="00A77ABC" w:rsidRDefault="0023518E" w:rsidP="009F3F36">
            <w:pPr>
              <w:jc w:val="center"/>
              <w:rPr>
                <w:rFonts w:ascii="Calibri" w:hAnsi="Calibri" w:cs="Arial"/>
                <w:sz w:val="20"/>
                <w:szCs w:val="20"/>
                <w:highlight w:val="lightGray"/>
              </w:rPr>
            </w:pPr>
            <w:r w:rsidRPr="00A77ABC">
              <w:rPr>
                <w:rFonts w:ascii="Calibri" w:hAnsi="Calibri"/>
                <w:color w:val="000000"/>
                <w:sz w:val="20"/>
                <w:szCs w:val="20"/>
              </w:rPr>
              <w:t>25</w:t>
            </w:r>
            <w:r w:rsidR="007310E3">
              <w:rPr>
                <w:rFonts w:ascii="Calibri" w:hAnsi="Calibri"/>
                <w:color w:val="000000"/>
                <w:sz w:val="20"/>
                <w:szCs w:val="20"/>
              </w:rPr>
              <w:t>,</w:t>
            </w:r>
            <w:r w:rsidRPr="00A77ABC">
              <w:rPr>
                <w:rFonts w:ascii="Calibri" w:hAnsi="Calibri"/>
                <w:color w:val="000000"/>
                <w:sz w:val="20"/>
                <w:szCs w:val="20"/>
              </w:rPr>
              <w:t>760</w:t>
            </w:r>
            <w:r w:rsidR="007310E3">
              <w:rPr>
                <w:rFonts w:ascii="Calibri" w:hAnsi="Calibri"/>
                <w:color w:val="000000"/>
                <w:sz w:val="20"/>
                <w:szCs w:val="20"/>
              </w:rPr>
              <w:t>,</w:t>
            </w:r>
            <w:r w:rsidRPr="00A77ABC">
              <w:rPr>
                <w:rFonts w:ascii="Calibri" w:hAnsi="Calibri"/>
                <w:color w:val="000000"/>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51F0D63" w14:textId="77777777" w:rsidR="00223023" w:rsidRPr="00A77ABC" w:rsidRDefault="0023518E" w:rsidP="009F3F36">
            <w:pPr>
              <w:jc w:val="center"/>
              <w:rPr>
                <w:rFonts w:ascii="Calibri" w:hAnsi="Calibri" w:cs="Arial"/>
                <w:sz w:val="20"/>
                <w:szCs w:val="20"/>
              </w:rPr>
            </w:pPr>
            <w:r w:rsidRPr="00A77ABC">
              <w:rPr>
                <w:rFonts w:ascii="Calibri" w:hAnsi="Calibri" w:cs="Arial"/>
                <w:sz w:val="20"/>
                <w:szCs w:val="20"/>
              </w:rPr>
              <w:t>88</w:t>
            </w:r>
            <w:r w:rsidR="00223023" w:rsidRPr="00A77ABC">
              <w:rPr>
                <w:rFonts w:ascii="Calibri" w:hAnsi="Calibri" w:cs="Arial"/>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515001" w14:textId="77777777" w:rsidR="00223023" w:rsidRPr="00A77ABC" w:rsidRDefault="00C64091" w:rsidP="009F3F36">
            <w:pPr>
              <w:jc w:val="center"/>
              <w:rPr>
                <w:rFonts w:ascii="Calibri" w:hAnsi="Calibri" w:cs="Arial"/>
                <w:sz w:val="20"/>
                <w:szCs w:val="20"/>
              </w:rPr>
            </w:pPr>
            <w:r w:rsidRPr="00A77ABC">
              <w:rPr>
                <w:rFonts w:ascii="Calibri" w:hAnsi="Calibri" w:cs="Arial"/>
                <w:sz w:val="20"/>
                <w:szCs w:val="20"/>
              </w:rPr>
              <w:t>85%</w:t>
            </w:r>
          </w:p>
        </w:tc>
      </w:tr>
      <w:tr w:rsidR="005B7E35" w:rsidRPr="00A77ABC" w14:paraId="06B0C2C3" w14:textId="77777777" w:rsidTr="007310E3">
        <w:trPr>
          <w:divId w:val="410156154"/>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5DC702CE" w14:textId="77777777" w:rsidR="005B7E35" w:rsidRPr="00A77ABC" w:rsidRDefault="005B7E35" w:rsidP="009F3F36">
            <w:pPr>
              <w:ind w:right="120"/>
              <w:jc w:val="center"/>
              <w:rPr>
                <w:rFonts w:ascii="Calibri" w:hAnsi="Calibri" w:cs="Arial"/>
                <w:color w:val="000000"/>
                <w:sz w:val="20"/>
                <w:szCs w:val="20"/>
              </w:rPr>
            </w:pPr>
            <w:r w:rsidRPr="00A77ABC">
              <w:rPr>
                <w:rFonts w:ascii="Calibri" w:hAnsi="Calibri" w:cs="Arial"/>
                <w:color w:val="000000"/>
                <w:sz w:val="20"/>
                <w:szCs w:val="20"/>
              </w:rPr>
              <w:t>DTP 1 / Penta 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C38482" w14:textId="77777777" w:rsidR="005B7E35" w:rsidRPr="00471B8D" w:rsidRDefault="005B7E35" w:rsidP="009F3F36">
            <w:pPr>
              <w:jc w:val="center"/>
            </w:pPr>
            <w:r w:rsidRPr="00A77ABC">
              <w:rPr>
                <w:rFonts w:ascii="Calibri" w:hAnsi="Calibri" w:cs="Arial"/>
                <w:sz w:val="20"/>
                <w:szCs w:val="20"/>
              </w:rPr>
              <w:t>Liquid vaccine</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5BF49BE" w14:textId="77777777" w:rsidR="005B7E35" w:rsidRPr="00A77ABC" w:rsidRDefault="005B7E35" w:rsidP="009F3F36">
            <w:pPr>
              <w:jc w:val="center"/>
              <w:rPr>
                <w:rFonts w:ascii="Calibri" w:hAnsi="Calibri"/>
                <w:sz w:val="20"/>
                <w:szCs w:val="20"/>
              </w:rPr>
            </w:pPr>
            <w:r w:rsidRPr="00A77ABC">
              <w:rPr>
                <w:rFonts w:ascii="Calibri" w:hAnsi="Calibri"/>
                <w:color w:val="000000"/>
                <w:sz w:val="20"/>
                <w:szCs w:val="20"/>
              </w:rPr>
              <w:t>20</w:t>
            </w:r>
            <w:r w:rsidR="007310E3">
              <w:rPr>
                <w:rFonts w:ascii="Calibri" w:hAnsi="Calibri"/>
                <w:color w:val="000000"/>
                <w:sz w:val="20"/>
                <w:szCs w:val="20"/>
              </w:rPr>
              <w:t>,</w:t>
            </w:r>
            <w:r w:rsidRPr="00A77ABC">
              <w:rPr>
                <w:rFonts w:ascii="Calibri" w:hAnsi="Calibri"/>
                <w:color w:val="000000"/>
                <w:sz w:val="20"/>
                <w:szCs w:val="20"/>
              </w:rPr>
              <w:t>938</w:t>
            </w:r>
            <w:r w:rsidR="007310E3">
              <w:rPr>
                <w:rFonts w:ascii="Calibri" w:hAnsi="Calibri"/>
                <w:color w:val="000000"/>
                <w:sz w:val="20"/>
                <w:szCs w:val="20"/>
              </w:rPr>
              <w:t>,</w:t>
            </w:r>
            <w:r w:rsidRPr="00A77ABC">
              <w:rPr>
                <w:rFonts w:ascii="Calibri" w:hAnsi="Calibri"/>
                <w:color w:val="000000"/>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67CC1B0"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98.7 %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B1F313D"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88 %</w:t>
            </w:r>
          </w:p>
        </w:tc>
      </w:tr>
      <w:tr w:rsidR="005B7E35" w:rsidRPr="00A77ABC" w14:paraId="0C1F2A21" w14:textId="77777777" w:rsidTr="007310E3">
        <w:trPr>
          <w:divId w:val="410156154"/>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462C5EE6" w14:textId="77777777" w:rsidR="005B7E35" w:rsidRPr="00A77ABC" w:rsidRDefault="005B7E35" w:rsidP="009F3F36">
            <w:pPr>
              <w:ind w:right="120"/>
              <w:jc w:val="center"/>
              <w:rPr>
                <w:rFonts w:ascii="Calibri" w:hAnsi="Calibri" w:cs="Arial"/>
                <w:color w:val="000000"/>
                <w:sz w:val="20"/>
                <w:szCs w:val="20"/>
              </w:rPr>
            </w:pPr>
            <w:r w:rsidRPr="00A77ABC">
              <w:rPr>
                <w:rFonts w:ascii="Calibri" w:hAnsi="Calibri" w:cs="Arial"/>
                <w:color w:val="000000"/>
                <w:sz w:val="20"/>
                <w:szCs w:val="20"/>
              </w:rPr>
              <w:t>DTP 3 / Penta 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F416FE7" w14:textId="77777777" w:rsidR="005B7E35" w:rsidRPr="00471B8D" w:rsidRDefault="005B7E35" w:rsidP="009F3F36">
            <w:pPr>
              <w:jc w:val="center"/>
            </w:pPr>
            <w:r w:rsidRPr="00A77ABC">
              <w:rPr>
                <w:rFonts w:ascii="Calibri" w:hAnsi="Calibri" w:cs="Arial"/>
                <w:sz w:val="20"/>
                <w:szCs w:val="20"/>
              </w:rPr>
              <w:t>Liquid vaccine</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7C6EBC4B" w14:textId="77777777" w:rsidR="005B7E35" w:rsidRPr="00A77ABC" w:rsidRDefault="005B7E35" w:rsidP="009F3F36">
            <w:pPr>
              <w:jc w:val="center"/>
              <w:rPr>
                <w:rFonts w:ascii="Calibri" w:hAnsi="Calibri"/>
                <w:sz w:val="20"/>
                <w:szCs w:val="20"/>
              </w:rPr>
            </w:pPr>
            <w:r w:rsidRPr="00A77ABC">
              <w:rPr>
                <w:rFonts w:ascii="Calibri" w:hAnsi="Calibri"/>
                <w:color w:val="000000"/>
                <w:sz w:val="20"/>
                <w:szCs w:val="20"/>
              </w:rPr>
              <w:t>20</w:t>
            </w:r>
            <w:r w:rsidR="007310E3">
              <w:rPr>
                <w:rFonts w:ascii="Calibri" w:hAnsi="Calibri"/>
                <w:color w:val="000000"/>
                <w:sz w:val="20"/>
                <w:szCs w:val="20"/>
              </w:rPr>
              <w:t>,</w:t>
            </w:r>
            <w:r w:rsidRPr="00A77ABC">
              <w:rPr>
                <w:rFonts w:ascii="Calibri" w:hAnsi="Calibri"/>
                <w:color w:val="000000"/>
                <w:sz w:val="20"/>
                <w:szCs w:val="20"/>
              </w:rPr>
              <w:t>938</w:t>
            </w:r>
            <w:r w:rsidR="007310E3">
              <w:rPr>
                <w:rFonts w:ascii="Calibri" w:hAnsi="Calibri"/>
                <w:color w:val="000000"/>
                <w:sz w:val="20"/>
                <w:szCs w:val="20"/>
              </w:rPr>
              <w:t>,</w:t>
            </w:r>
            <w:r w:rsidRPr="00A77ABC">
              <w:rPr>
                <w:rFonts w:ascii="Calibri" w:hAnsi="Calibri"/>
                <w:color w:val="000000"/>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3A7F1C"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76 %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22B245F"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85 %</w:t>
            </w:r>
          </w:p>
        </w:tc>
      </w:tr>
      <w:tr w:rsidR="005B7E35" w:rsidRPr="00A77ABC" w14:paraId="63118B77" w14:textId="77777777" w:rsidTr="007310E3">
        <w:trPr>
          <w:divId w:val="410156154"/>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229FF0C2" w14:textId="77777777" w:rsidR="005B7E35" w:rsidRPr="00A77ABC" w:rsidRDefault="005B7E35" w:rsidP="009F3F36">
            <w:pPr>
              <w:ind w:right="120"/>
              <w:jc w:val="center"/>
              <w:rPr>
                <w:rFonts w:ascii="Calibri" w:hAnsi="Calibri" w:cs="Arial"/>
                <w:color w:val="000000"/>
                <w:sz w:val="20"/>
                <w:szCs w:val="20"/>
              </w:rPr>
            </w:pPr>
            <w:r w:rsidRPr="00A77ABC">
              <w:rPr>
                <w:rFonts w:ascii="Calibri" w:hAnsi="Calibri" w:cs="Arial"/>
                <w:color w:val="000000"/>
                <w:sz w:val="20"/>
                <w:szCs w:val="20"/>
              </w:rPr>
              <w:t>Measles 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E401DD" w14:textId="77777777" w:rsidR="005B7E35" w:rsidRDefault="005B7E35" w:rsidP="009F3F36">
            <w:pPr>
              <w:jc w:val="center"/>
            </w:pPr>
            <w:r w:rsidRPr="00A77ABC">
              <w:rPr>
                <w:rFonts w:ascii="Calibri" w:hAnsi="Calibri" w:cs="Arial"/>
                <w:sz w:val="20"/>
                <w:szCs w:val="20"/>
              </w:rPr>
              <w:t>Lyophilized vaccine</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2286EC1" w14:textId="77777777" w:rsidR="005B7E35" w:rsidRPr="00A77ABC" w:rsidRDefault="005B7E35" w:rsidP="009F3F36">
            <w:pPr>
              <w:jc w:val="center"/>
              <w:rPr>
                <w:rFonts w:ascii="Calibri" w:hAnsi="Calibri"/>
                <w:sz w:val="20"/>
                <w:szCs w:val="20"/>
              </w:rPr>
            </w:pPr>
            <w:r w:rsidRPr="00A77ABC">
              <w:rPr>
                <w:rFonts w:ascii="Calibri" w:hAnsi="Calibri"/>
                <w:color w:val="000000"/>
                <w:sz w:val="20"/>
                <w:szCs w:val="20"/>
              </w:rPr>
              <w:t>25</w:t>
            </w:r>
            <w:r w:rsidR="007310E3">
              <w:rPr>
                <w:rFonts w:ascii="Calibri" w:hAnsi="Calibri"/>
                <w:color w:val="000000"/>
                <w:sz w:val="20"/>
                <w:szCs w:val="20"/>
              </w:rPr>
              <w:t>,</w:t>
            </w:r>
            <w:r w:rsidRPr="00A77ABC">
              <w:rPr>
                <w:rFonts w:ascii="Calibri" w:hAnsi="Calibri"/>
                <w:color w:val="000000"/>
                <w:sz w:val="20"/>
                <w:szCs w:val="20"/>
              </w:rPr>
              <w:t>760</w:t>
            </w:r>
            <w:r w:rsidR="007310E3">
              <w:rPr>
                <w:rFonts w:ascii="Calibri" w:hAnsi="Calibri"/>
                <w:color w:val="000000"/>
                <w:sz w:val="20"/>
                <w:szCs w:val="20"/>
              </w:rPr>
              <w:t>,</w:t>
            </w:r>
            <w:r w:rsidRPr="00A77ABC">
              <w:rPr>
                <w:rFonts w:ascii="Calibri" w:hAnsi="Calibri"/>
                <w:color w:val="000000"/>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2D9224"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88.3 %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34C597B"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88 %</w:t>
            </w:r>
          </w:p>
        </w:tc>
      </w:tr>
      <w:tr w:rsidR="005B7E35" w:rsidRPr="00A77ABC" w14:paraId="56E3CEFF" w14:textId="77777777" w:rsidTr="007310E3">
        <w:trPr>
          <w:divId w:val="410156154"/>
        </w:trPr>
        <w:tc>
          <w:tcPr>
            <w:tcW w:w="1788" w:type="dxa"/>
            <w:tcBorders>
              <w:top w:val="single" w:sz="4" w:space="0" w:color="auto"/>
              <w:left w:val="single" w:sz="4" w:space="0" w:color="auto"/>
              <w:bottom w:val="single" w:sz="4" w:space="0" w:color="auto"/>
              <w:right w:val="single" w:sz="4" w:space="0" w:color="auto"/>
            </w:tcBorders>
            <w:shd w:val="clear" w:color="auto" w:fill="auto"/>
          </w:tcPr>
          <w:p w14:paraId="33202E85" w14:textId="77777777" w:rsidR="005B7E35" w:rsidRPr="00A77ABC" w:rsidRDefault="005B7E35" w:rsidP="009F3F36">
            <w:pPr>
              <w:ind w:right="120"/>
              <w:jc w:val="center"/>
              <w:rPr>
                <w:rFonts w:ascii="Calibri" w:hAnsi="Calibri" w:cs="Arial"/>
                <w:color w:val="000000"/>
                <w:sz w:val="20"/>
                <w:szCs w:val="20"/>
              </w:rPr>
            </w:pPr>
            <w:r w:rsidRPr="00A77ABC">
              <w:rPr>
                <w:rFonts w:ascii="Calibri" w:hAnsi="Calibri" w:cs="Arial"/>
                <w:color w:val="000000"/>
                <w:sz w:val="20"/>
                <w:szCs w:val="20"/>
              </w:rPr>
              <w:t>Measles 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A5796F" w14:textId="77777777" w:rsidR="005B7E35" w:rsidRDefault="005B7E35" w:rsidP="009F3F36">
            <w:pPr>
              <w:jc w:val="center"/>
            </w:pPr>
            <w:r w:rsidRPr="00A77ABC">
              <w:rPr>
                <w:rFonts w:ascii="Calibri" w:hAnsi="Calibri" w:cs="Arial"/>
                <w:sz w:val="20"/>
                <w:szCs w:val="20"/>
              </w:rPr>
              <w:t>Lyophilized vaccine</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0B307E5B" w14:textId="77777777" w:rsidR="005B7E35" w:rsidRPr="00A77ABC" w:rsidRDefault="005B7E35" w:rsidP="009F3F36">
            <w:pPr>
              <w:jc w:val="center"/>
              <w:rPr>
                <w:rFonts w:ascii="Calibri" w:hAnsi="Calibri"/>
                <w:sz w:val="20"/>
                <w:szCs w:val="20"/>
              </w:rPr>
            </w:pPr>
            <w:r w:rsidRPr="00A77ABC">
              <w:rPr>
                <w:rFonts w:ascii="Calibri" w:hAnsi="Calibri"/>
                <w:color w:val="000000"/>
                <w:sz w:val="20"/>
                <w:szCs w:val="20"/>
              </w:rPr>
              <w:t>25</w:t>
            </w:r>
            <w:r w:rsidR="007310E3">
              <w:rPr>
                <w:rFonts w:ascii="Calibri" w:hAnsi="Calibri"/>
                <w:color w:val="000000"/>
                <w:sz w:val="20"/>
                <w:szCs w:val="20"/>
              </w:rPr>
              <w:t>,</w:t>
            </w:r>
            <w:r w:rsidRPr="00A77ABC">
              <w:rPr>
                <w:rFonts w:ascii="Calibri" w:hAnsi="Calibri"/>
                <w:color w:val="000000"/>
                <w:sz w:val="20"/>
                <w:szCs w:val="20"/>
              </w:rPr>
              <w:t>760</w:t>
            </w:r>
            <w:r w:rsidR="007310E3">
              <w:rPr>
                <w:rFonts w:ascii="Calibri" w:hAnsi="Calibri"/>
                <w:color w:val="000000"/>
                <w:sz w:val="20"/>
                <w:szCs w:val="20"/>
              </w:rPr>
              <w:t>,</w:t>
            </w:r>
            <w:r w:rsidRPr="00A77ABC">
              <w:rPr>
                <w:rFonts w:ascii="Calibri" w:hAnsi="Calibri"/>
                <w:color w:val="000000"/>
                <w:sz w:val="20"/>
                <w:szCs w:val="20"/>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6C133E"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38.84 %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732B157A" w14:textId="77777777" w:rsidR="005B7E35" w:rsidRPr="00A77ABC" w:rsidRDefault="005B7E35" w:rsidP="009F3F36">
            <w:pPr>
              <w:jc w:val="center"/>
              <w:rPr>
                <w:rFonts w:ascii="Calibri" w:hAnsi="Calibri" w:cs="Arial"/>
                <w:sz w:val="20"/>
                <w:szCs w:val="20"/>
              </w:rPr>
            </w:pPr>
            <w:r w:rsidRPr="00A77ABC">
              <w:rPr>
                <w:rFonts w:ascii="Calibri" w:hAnsi="Calibri" w:cs="Arial"/>
                <w:sz w:val="20"/>
                <w:szCs w:val="20"/>
              </w:rPr>
              <w:t>23 %</w:t>
            </w:r>
          </w:p>
        </w:tc>
      </w:tr>
    </w:tbl>
    <w:p w14:paraId="7C88F934" w14:textId="77777777" w:rsidR="00223023" w:rsidRPr="00A77ABC" w:rsidRDefault="00223023" w:rsidP="001C0B8D">
      <w:pPr>
        <w:jc w:val="both"/>
        <w:divId w:val="410156154"/>
        <w:rPr>
          <w:rFonts w:ascii="Calibri" w:hAnsi="Calibri"/>
          <w:sz w:val="20"/>
          <w:szCs w:val="20"/>
        </w:rPr>
      </w:pPr>
    </w:p>
    <w:p w14:paraId="2DCD47AA" w14:textId="77777777" w:rsidR="004E2C96" w:rsidRDefault="004E2C96" w:rsidP="00223023">
      <w:pPr>
        <w:jc w:val="both"/>
        <w:divId w:val="410156154"/>
        <w:rPr>
          <w:rFonts w:ascii="Calibri" w:hAnsi="Calibri"/>
          <w:bCs/>
          <w:color w:val="1F497D"/>
          <w:sz w:val="22"/>
        </w:rPr>
      </w:pPr>
    </w:p>
    <w:p w14:paraId="3742FD54" w14:textId="77777777" w:rsidR="00B52963" w:rsidRDefault="0028285C" w:rsidP="00223023">
      <w:pPr>
        <w:jc w:val="both"/>
        <w:divId w:val="410156154"/>
        <w:rPr>
          <w:rFonts w:ascii="Calibri" w:hAnsi="Calibri"/>
          <w:bCs/>
          <w:color w:val="1F497D"/>
          <w:sz w:val="22"/>
        </w:rPr>
      </w:pPr>
      <w:r w:rsidRPr="00786D23">
        <w:rPr>
          <w:rFonts w:ascii="Calibri" w:hAnsi="Calibri"/>
          <w:bCs/>
          <w:color w:val="1F497D"/>
          <w:sz w:val="22"/>
        </w:rPr>
        <w:t>4.3 Findings</w:t>
      </w:r>
      <w:r w:rsidR="00B52963" w:rsidRPr="00786D23">
        <w:rPr>
          <w:rFonts w:ascii="Calibri" w:hAnsi="Calibri"/>
          <w:bCs/>
          <w:color w:val="1F497D"/>
          <w:sz w:val="22"/>
        </w:rPr>
        <w:t xml:space="preserve"> from recent programme reviews</w:t>
      </w:r>
    </w:p>
    <w:p w14:paraId="1FFD5EAD" w14:textId="77777777" w:rsidR="00786D23" w:rsidRPr="00786D23" w:rsidRDefault="00786D23" w:rsidP="00223023">
      <w:pPr>
        <w:jc w:val="both"/>
        <w:divId w:val="410156154"/>
        <w:rPr>
          <w:rFonts w:ascii="Calibri" w:hAnsi="Calibri"/>
          <w:bCs/>
          <w:color w:val="1F497D"/>
          <w:sz w:val="22"/>
        </w:rPr>
      </w:pPr>
    </w:p>
    <w:p w14:paraId="5625E08C" w14:textId="77777777" w:rsidR="000941BA" w:rsidRPr="0028285C" w:rsidRDefault="0028285C" w:rsidP="0028285C">
      <w:pPr>
        <w:jc w:val="both"/>
        <w:divId w:val="410156154"/>
        <w:rPr>
          <w:rFonts w:ascii="Calibri" w:hAnsi="Calibri"/>
          <w:sz w:val="22"/>
          <w:szCs w:val="22"/>
        </w:rPr>
      </w:pPr>
      <w:r w:rsidRPr="0028285C">
        <w:rPr>
          <w:rFonts w:ascii="Calibri" w:hAnsi="Calibri"/>
          <w:sz w:val="22"/>
          <w:szCs w:val="22"/>
        </w:rPr>
        <w:t>A post-introduction evaluation (PIE) of pentavalent vaccine and measles-containing vaccine second dose (MCV-2) was conducted in six states—Goa, Gujarat, Haryana, Jammu &amp; Kashmir, Karnataka and Puducherry from 6 to 11 March 2014. Pentavalent vaccine was introduced in these six states in early 2013. This was the second group of states to introduce Pentavalent vaccine, the first group being Tamil Nadu and Kerala where a PIE was conducted earlier.</w:t>
      </w:r>
    </w:p>
    <w:p w14:paraId="06244290" w14:textId="77777777" w:rsidR="0028285C" w:rsidRPr="0028285C" w:rsidRDefault="0028285C" w:rsidP="0028285C">
      <w:pPr>
        <w:jc w:val="both"/>
        <w:divId w:val="410156154"/>
        <w:rPr>
          <w:rFonts w:ascii="Calibri" w:hAnsi="Calibri"/>
          <w:sz w:val="22"/>
          <w:szCs w:val="22"/>
        </w:rPr>
      </w:pPr>
    </w:p>
    <w:p w14:paraId="381A50C6" w14:textId="77777777" w:rsidR="0028285C" w:rsidRPr="0028285C" w:rsidRDefault="0028285C" w:rsidP="0028285C">
      <w:pPr>
        <w:jc w:val="both"/>
        <w:divId w:val="410156154"/>
        <w:rPr>
          <w:rFonts w:ascii="Calibri" w:hAnsi="Calibri"/>
          <w:sz w:val="22"/>
          <w:szCs w:val="22"/>
        </w:rPr>
      </w:pPr>
      <w:r w:rsidRPr="0028285C">
        <w:rPr>
          <w:rFonts w:ascii="Calibri" w:hAnsi="Calibri"/>
          <w:sz w:val="22"/>
          <w:szCs w:val="22"/>
        </w:rPr>
        <w:t>The findings of these evaluations suggested the following:</w:t>
      </w:r>
    </w:p>
    <w:p w14:paraId="64999A30"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 xml:space="preserve">Preparations for roll out of new vaccine should begin early, at least three to four months in advance of the actual vaccine launch. </w:t>
      </w:r>
    </w:p>
    <w:p w14:paraId="73BD109B"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 xml:space="preserve">A state-level official launch ceremony should be organized under strong political leadership, with the engagement of media, to increase programme visibility and boost confidence among public about the new vaccine. Districts should also organize launches for greater public awareness. </w:t>
      </w:r>
    </w:p>
    <w:p w14:paraId="3732FD19"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 xml:space="preserve">Staff vacancies at all levels particularly in high risk areas should be filled up. </w:t>
      </w:r>
    </w:p>
    <w:p w14:paraId="3A248C69"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 xml:space="preserve">Existing RI microplans should be revised to include high-risk areas (HRAs) and migratory/non migratory settlements identified under the polio programme and new microplans should be prepared using bottom-up approach to ensure inclusion of all components. </w:t>
      </w:r>
    </w:p>
    <w:p w14:paraId="272B7A4D"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 xml:space="preserve">Good quality training should be provided to health staff at all levels prior to the introduction of new vaccine on all aspects of vaccine delivery, from operations to appropriate use of communications channels. </w:t>
      </w:r>
    </w:p>
    <w:p w14:paraId="49FFB3DD"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Reporting and recording tools such as MCP cards, registers, tally sheets etc. must be revised timely before introduction.</w:t>
      </w:r>
    </w:p>
    <w:p w14:paraId="71A40198"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 xml:space="preserve">Cold chain &amp; vaccine management should be strengthened to avoid vaccine stock-outs and wastage. Cold chain handlers should also be trained. </w:t>
      </w:r>
    </w:p>
    <w:p w14:paraId="3BDE1C08" w14:textId="77777777" w:rsidR="0028285C" w:rsidRPr="0028285C" w:rsidRDefault="0028285C" w:rsidP="0028285C">
      <w:pPr>
        <w:numPr>
          <w:ilvl w:val="0"/>
          <w:numId w:val="22"/>
        </w:numPr>
        <w:spacing w:before="120"/>
        <w:ind w:left="851" w:hanging="284"/>
        <w:jc w:val="both"/>
        <w:divId w:val="410156154"/>
        <w:rPr>
          <w:rFonts w:ascii="Calibri" w:hAnsi="Calibri"/>
          <w:sz w:val="22"/>
          <w:szCs w:val="22"/>
        </w:rPr>
      </w:pPr>
      <w:r w:rsidRPr="0028285C">
        <w:rPr>
          <w:rFonts w:ascii="Calibri" w:hAnsi="Calibri"/>
          <w:sz w:val="22"/>
          <w:szCs w:val="22"/>
        </w:rPr>
        <w:t xml:space="preserve">Supportive supervision and appropriate oversight should be maintained and a feedback mechanism should be put in place. </w:t>
      </w:r>
    </w:p>
    <w:p w14:paraId="52E62377" w14:textId="77777777" w:rsidR="0028285C" w:rsidRPr="005573EF" w:rsidRDefault="0028285C" w:rsidP="0028285C">
      <w:pPr>
        <w:numPr>
          <w:ilvl w:val="0"/>
          <w:numId w:val="22"/>
        </w:numPr>
        <w:autoSpaceDE w:val="0"/>
        <w:autoSpaceDN w:val="0"/>
        <w:adjustRightInd w:val="0"/>
        <w:spacing w:before="120"/>
        <w:ind w:right="120" w:hanging="284"/>
        <w:jc w:val="both"/>
        <w:divId w:val="410156154"/>
        <w:rPr>
          <w:rFonts w:ascii="Calibri" w:hAnsi="Calibri" w:cs="Calibri"/>
          <w:color w:val="000000"/>
          <w:sz w:val="22"/>
          <w:szCs w:val="22"/>
        </w:rPr>
      </w:pPr>
      <w:r w:rsidRPr="0028285C">
        <w:rPr>
          <w:rFonts w:ascii="Calibri" w:hAnsi="Calibri"/>
          <w:sz w:val="22"/>
          <w:szCs w:val="22"/>
        </w:rPr>
        <w:t xml:space="preserve">Information, education and communications (IEC) materials should be made available in adequate quantities to raise awareness among community. </w:t>
      </w:r>
    </w:p>
    <w:p w14:paraId="61EB6DC9" w14:textId="77777777" w:rsidR="0028285C" w:rsidRPr="005573EF" w:rsidRDefault="0028285C" w:rsidP="0028285C">
      <w:pPr>
        <w:numPr>
          <w:ilvl w:val="0"/>
          <w:numId w:val="22"/>
        </w:numPr>
        <w:autoSpaceDE w:val="0"/>
        <w:autoSpaceDN w:val="0"/>
        <w:adjustRightInd w:val="0"/>
        <w:spacing w:before="120"/>
        <w:ind w:right="120" w:hanging="284"/>
        <w:jc w:val="both"/>
        <w:divId w:val="410156154"/>
        <w:rPr>
          <w:rFonts w:ascii="Calibri" w:hAnsi="Calibri" w:cs="Calibri"/>
          <w:color w:val="000000"/>
          <w:sz w:val="22"/>
          <w:szCs w:val="22"/>
        </w:rPr>
      </w:pPr>
      <w:r w:rsidRPr="0028285C">
        <w:rPr>
          <w:rFonts w:ascii="Calibri" w:hAnsi="Calibri"/>
          <w:sz w:val="22"/>
          <w:szCs w:val="22"/>
        </w:rPr>
        <w:lastRenderedPageBreak/>
        <w:t>Data generated from programme implementation, including monitoring, should be utilized for action.</w:t>
      </w:r>
      <w:r w:rsidRPr="005573EF">
        <w:rPr>
          <w:rFonts w:ascii="Calibri" w:hAnsi="Calibri" w:cs="Calibri"/>
          <w:color w:val="000000"/>
          <w:sz w:val="22"/>
          <w:szCs w:val="22"/>
        </w:rPr>
        <w:t xml:space="preserve"> State and district task forces for immunization should regularly review this data to assess performance of the immunization programme and monitor routine immunization (RI) activities. The task forces should also review preparedness for vaccine introduction. </w:t>
      </w:r>
    </w:p>
    <w:p w14:paraId="1FDFA4E5" w14:textId="77777777" w:rsidR="0028285C" w:rsidRDefault="0028285C" w:rsidP="0028285C">
      <w:pPr>
        <w:autoSpaceDE w:val="0"/>
        <w:autoSpaceDN w:val="0"/>
        <w:adjustRightInd w:val="0"/>
        <w:jc w:val="both"/>
        <w:divId w:val="410156154"/>
        <w:rPr>
          <w:rFonts w:ascii="Calibri" w:hAnsi="Calibri" w:cs="Calibri"/>
          <w:sz w:val="22"/>
          <w:szCs w:val="22"/>
        </w:rPr>
      </w:pPr>
    </w:p>
    <w:p w14:paraId="61C595BE" w14:textId="77777777" w:rsidR="006B1AFE" w:rsidRDefault="0028285C" w:rsidP="00786D23">
      <w:pPr>
        <w:autoSpaceDE w:val="0"/>
        <w:autoSpaceDN w:val="0"/>
        <w:adjustRightInd w:val="0"/>
        <w:jc w:val="both"/>
        <w:divId w:val="410156154"/>
        <w:rPr>
          <w:rFonts w:ascii="Calibri" w:hAnsi="Calibri" w:cs="Calibri"/>
          <w:sz w:val="22"/>
          <w:szCs w:val="22"/>
        </w:rPr>
      </w:pPr>
      <w:r w:rsidRPr="005573EF">
        <w:rPr>
          <w:rFonts w:ascii="Calibri" w:hAnsi="Calibri" w:cs="Calibri"/>
          <w:sz w:val="22"/>
          <w:szCs w:val="22"/>
        </w:rPr>
        <w:t>These findings have been taken into consideration and will be focused on during coordination meetings at the national and state levels. All measures will be taken to ensure that these recommendations are acted upon during the IPV introduction process.</w:t>
      </w:r>
    </w:p>
    <w:p w14:paraId="740E8ED5" w14:textId="77777777" w:rsidR="00045D39" w:rsidRDefault="00045D39" w:rsidP="00E10165">
      <w:pPr>
        <w:spacing w:after="120"/>
        <w:divId w:val="410156154"/>
        <w:rPr>
          <w:rFonts w:ascii="Calibri" w:eastAsia="SimSun" w:hAnsi="Calibri"/>
          <w:b/>
          <w:color w:val="1F497D"/>
          <w:szCs w:val="28"/>
        </w:rPr>
      </w:pPr>
    </w:p>
    <w:p w14:paraId="6D8A8866" w14:textId="77777777" w:rsidR="00E10165" w:rsidRPr="004C062A" w:rsidRDefault="005527B4" w:rsidP="00E10165">
      <w:pPr>
        <w:spacing w:after="120"/>
        <w:divId w:val="410156154"/>
        <w:rPr>
          <w:rFonts w:ascii="Calibri" w:eastAsia="SimSun" w:hAnsi="Calibri"/>
          <w:b/>
          <w:color w:val="1F497D"/>
          <w:szCs w:val="28"/>
        </w:rPr>
      </w:pPr>
      <w:r w:rsidRPr="004C062A">
        <w:rPr>
          <w:rFonts w:ascii="Calibri" w:eastAsia="SimSun" w:hAnsi="Calibri"/>
          <w:b/>
          <w:color w:val="1F497D"/>
          <w:szCs w:val="28"/>
        </w:rPr>
        <w:t>5</w:t>
      </w:r>
      <w:r w:rsidR="00231C36" w:rsidRPr="004C062A">
        <w:rPr>
          <w:rFonts w:ascii="Calibri" w:eastAsia="SimSun" w:hAnsi="Calibri"/>
          <w:b/>
          <w:color w:val="1F497D"/>
          <w:szCs w:val="28"/>
        </w:rPr>
        <w:t xml:space="preserve">. </w:t>
      </w:r>
      <w:r w:rsidR="00E10165" w:rsidRPr="004C062A">
        <w:rPr>
          <w:rFonts w:ascii="Calibri" w:eastAsia="SimSun" w:hAnsi="Calibri"/>
          <w:b/>
          <w:color w:val="1F497D"/>
          <w:szCs w:val="28"/>
        </w:rPr>
        <w:t>Monitoring and evaluation</w:t>
      </w:r>
    </w:p>
    <w:p w14:paraId="769F972E" w14:textId="77777777" w:rsidR="009F3F36" w:rsidRDefault="009F3F36" w:rsidP="009F3F36">
      <w:pPr>
        <w:divId w:val="410156154"/>
        <w:rPr>
          <w:rFonts w:ascii="Calibri" w:hAnsi="Calibri"/>
          <w:bCs/>
          <w:color w:val="1F497D"/>
          <w:sz w:val="22"/>
        </w:rPr>
      </w:pPr>
      <w:r w:rsidRPr="004C062A">
        <w:rPr>
          <w:rFonts w:ascii="Calibri" w:hAnsi="Calibri"/>
          <w:bCs/>
          <w:color w:val="1F497D"/>
          <w:sz w:val="22"/>
        </w:rPr>
        <w:t xml:space="preserve">5.1 </w:t>
      </w:r>
      <w:r>
        <w:rPr>
          <w:rFonts w:ascii="Calibri" w:hAnsi="Calibri"/>
          <w:bCs/>
          <w:color w:val="1F497D"/>
          <w:sz w:val="22"/>
        </w:rPr>
        <w:t>Supervision and Monitoring</w:t>
      </w:r>
    </w:p>
    <w:p w14:paraId="6377AFBA" w14:textId="77777777" w:rsidR="009F3F36" w:rsidRPr="004C062A" w:rsidRDefault="009F3F36" w:rsidP="009F3F36">
      <w:pPr>
        <w:divId w:val="410156154"/>
        <w:rPr>
          <w:rFonts w:ascii="Calibri" w:hAnsi="Calibri"/>
          <w:bCs/>
          <w:color w:val="1F497D"/>
          <w:sz w:val="22"/>
        </w:rPr>
      </w:pPr>
    </w:p>
    <w:p w14:paraId="019D61B1" w14:textId="77777777" w:rsidR="009F3F36" w:rsidRDefault="009F3F36" w:rsidP="009F3F36">
      <w:pPr>
        <w:divId w:val="410156154"/>
        <w:rPr>
          <w:rFonts w:ascii="Calibri" w:hAnsi="Calibri" w:cs="Calibri"/>
          <w:sz w:val="22"/>
          <w:szCs w:val="22"/>
        </w:rPr>
      </w:pPr>
      <w:r w:rsidRPr="00035AC4">
        <w:rPr>
          <w:rFonts w:ascii="Calibri" w:hAnsi="Calibri" w:cs="Calibri"/>
          <w:sz w:val="22"/>
          <w:szCs w:val="22"/>
        </w:rPr>
        <w:t xml:space="preserve">With the introduction of any new vaccine, regular monitoring of the process combined with timely feedback will ensure effective implementation. Progress in implementation will be monitored over all the phases of preparation, introduction and post-introduction. </w:t>
      </w:r>
    </w:p>
    <w:p w14:paraId="0DB98517" w14:textId="77777777" w:rsidR="009F3F36" w:rsidRDefault="009F3F36" w:rsidP="009F3F36">
      <w:pPr>
        <w:divId w:val="410156154"/>
        <w:rPr>
          <w:rFonts w:ascii="Calibri" w:hAnsi="Calibri" w:cs="Calibri"/>
          <w:sz w:val="22"/>
          <w:szCs w:val="22"/>
        </w:rPr>
      </w:pPr>
    </w:p>
    <w:p w14:paraId="21338944" w14:textId="77777777" w:rsidR="009F3F36" w:rsidRDefault="009F3F36" w:rsidP="00D13A21">
      <w:pPr>
        <w:jc w:val="both"/>
        <w:divId w:val="410156154"/>
        <w:rPr>
          <w:rFonts w:ascii="Calibri" w:hAnsi="Calibri" w:cs="Calibri"/>
          <w:sz w:val="22"/>
          <w:szCs w:val="22"/>
        </w:rPr>
      </w:pPr>
      <w:r>
        <w:rPr>
          <w:rFonts w:ascii="Calibri" w:hAnsi="Calibri" w:cs="Calibri"/>
          <w:sz w:val="22"/>
          <w:szCs w:val="22"/>
        </w:rPr>
        <w:t>During the preparedness phase</w:t>
      </w:r>
      <w:r w:rsidR="00D13A21">
        <w:rPr>
          <w:rFonts w:ascii="Calibri" w:hAnsi="Calibri" w:cs="Calibri"/>
          <w:sz w:val="22"/>
          <w:szCs w:val="22"/>
        </w:rPr>
        <w:t>, districts</w:t>
      </w:r>
      <w:r>
        <w:rPr>
          <w:rFonts w:ascii="Calibri" w:hAnsi="Calibri" w:cs="Calibri"/>
          <w:sz w:val="22"/>
          <w:szCs w:val="22"/>
        </w:rPr>
        <w:t xml:space="preserve"> and states will be expected to assess their preparations through check-lists that will be devised for this purpose</w:t>
      </w:r>
      <w:r w:rsidRPr="00035AC4">
        <w:rPr>
          <w:rFonts w:ascii="Calibri" w:hAnsi="Calibri" w:cs="Calibri"/>
          <w:sz w:val="22"/>
          <w:szCs w:val="22"/>
        </w:rPr>
        <w:t xml:space="preserve">. </w:t>
      </w:r>
      <w:r>
        <w:rPr>
          <w:rFonts w:ascii="Calibri" w:hAnsi="Calibri" w:cs="Calibri"/>
          <w:sz w:val="22"/>
          <w:szCs w:val="22"/>
        </w:rPr>
        <w:t xml:space="preserve">These check-lists will be reviewed </w:t>
      </w:r>
      <w:r w:rsidRPr="00035AC4">
        <w:rPr>
          <w:rFonts w:ascii="Calibri" w:hAnsi="Calibri" w:cs="Calibri"/>
          <w:sz w:val="22"/>
          <w:szCs w:val="22"/>
        </w:rPr>
        <w:t xml:space="preserve">at </w:t>
      </w:r>
      <w:r>
        <w:rPr>
          <w:rFonts w:ascii="Calibri" w:hAnsi="Calibri" w:cs="Calibri"/>
          <w:sz w:val="22"/>
          <w:szCs w:val="22"/>
        </w:rPr>
        <w:t xml:space="preserve">state and </w:t>
      </w:r>
      <w:r w:rsidRPr="00035AC4">
        <w:rPr>
          <w:rFonts w:ascii="Calibri" w:hAnsi="Calibri" w:cs="Calibri"/>
          <w:sz w:val="22"/>
          <w:szCs w:val="22"/>
        </w:rPr>
        <w:t>national level</w:t>
      </w:r>
      <w:r>
        <w:rPr>
          <w:rFonts w:ascii="Calibri" w:hAnsi="Calibri" w:cs="Calibri"/>
          <w:sz w:val="22"/>
          <w:szCs w:val="22"/>
        </w:rPr>
        <w:t>s</w:t>
      </w:r>
      <w:r w:rsidRPr="00035AC4">
        <w:rPr>
          <w:rFonts w:ascii="Calibri" w:hAnsi="Calibri" w:cs="Calibri"/>
          <w:sz w:val="22"/>
          <w:szCs w:val="22"/>
        </w:rPr>
        <w:t xml:space="preserve"> </w:t>
      </w:r>
      <w:r>
        <w:rPr>
          <w:rFonts w:ascii="Calibri" w:hAnsi="Calibri" w:cs="Calibri"/>
          <w:sz w:val="22"/>
          <w:szCs w:val="22"/>
        </w:rPr>
        <w:t>to</w:t>
      </w:r>
      <w:r w:rsidRPr="00035AC4">
        <w:rPr>
          <w:rFonts w:ascii="Calibri" w:hAnsi="Calibri" w:cs="Calibri"/>
          <w:sz w:val="22"/>
          <w:szCs w:val="22"/>
        </w:rPr>
        <w:t xml:space="preserve"> identif</w:t>
      </w:r>
      <w:r>
        <w:rPr>
          <w:rFonts w:ascii="Calibri" w:hAnsi="Calibri" w:cs="Calibri"/>
          <w:sz w:val="22"/>
          <w:szCs w:val="22"/>
        </w:rPr>
        <w:t>y</w:t>
      </w:r>
      <w:r w:rsidRPr="00035AC4">
        <w:rPr>
          <w:rFonts w:ascii="Calibri" w:hAnsi="Calibri" w:cs="Calibri"/>
          <w:sz w:val="22"/>
          <w:szCs w:val="22"/>
        </w:rPr>
        <w:t xml:space="preserve"> </w:t>
      </w:r>
      <w:r>
        <w:rPr>
          <w:rFonts w:ascii="Calibri" w:hAnsi="Calibri" w:cs="Calibri"/>
          <w:sz w:val="22"/>
          <w:szCs w:val="22"/>
        </w:rPr>
        <w:t xml:space="preserve">gaps </w:t>
      </w:r>
      <w:r w:rsidRPr="00035AC4">
        <w:rPr>
          <w:rFonts w:ascii="Calibri" w:hAnsi="Calibri" w:cs="Calibri"/>
          <w:sz w:val="22"/>
          <w:szCs w:val="22"/>
        </w:rPr>
        <w:t xml:space="preserve">and </w:t>
      </w:r>
      <w:r>
        <w:rPr>
          <w:rFonts w:ascii="Calibri" w:hAnsi="Calibri" w:cs="Calibri"/>
          <w:sz w:val="22"/>
          <w:szCs w:val="22"/>
        </w:rPr>
        <w:t>suggest</w:t>
      </w:r>
      <w:r w:rsidRPr="00035AC4">
        <w:rPr>
          <w:rFonts w:ascii="Calibri" w:hAnsi="Calibri" w:cs="Calibri"/>
          <w:sz w:val="22"/>
          <w:szCs w:val="22"/>
        </w:rPr>
        <w:t xml:space="preserve"> solutions. </w:t>
      </w:r>
    </w:p>
    <w:p w14:paraId="5125C6BD" w14:textId="77777777" w:rsidR="009F3F36" w:rsidRDefault="009F3F36" w:rsidP="00D13A21">
      <w:pPr>
        <w:jc w:val="both"/>
        <w:divId w:val="410156154"/>
        <w:rPr>
          <w:rFonts w:ascii="Calibri" w:hAnsi="Calibri" w:cs="Calibri"/>
          <w:sz w:val="22"/>
          <w:szCs w:val="22"/>
        </w:rPr>
      </w:pPr>
    </w:p>
    <w:p w14:paraId="3146185D" w14:textId="77777777" w:rsidR="009F3F36" w:rsidRDefault="009F3F36" w:rsidP="00D13A21">
      <w:pPr>
        <w:jc w:val="both"/>
        <w:divId w:val="410156154"/>
        <w:rPr>
          <w:rFonts w:ascii="Calibri" w:hAnsi="Calibri" w:cs="Calibri"/>
          <w:sz w:val="22"/>
          <w:szCs w:val="22"/>
        </w:rPr>
      </w:pPr>
      <w:r>
        <w:rPr>
          <w:rFonts w:ascii="Calibri" w:hAnsi="Calibri" w:cs="Calibri"/>
          <w:sz w:val="22"/>
          <w:szCs w:val="22"/>
        </w:rPr>
        <w:t xml:space="preserve">National </w:t>
      </w:r>
      <w:r w:rsidRPr="00035AC4">
        <w:rPr>
          <w:rFonts w:ascii="Calibri" w:hAnsi="Calibri" w:cs="Calibri"/>
          <w:sz w:val="22"/>
          <w:szCs w:val="22"/>
        </w:rPr>
        <w:t>observers will review the preparedness</w:t>
      </w:r>
      <w:r>
        <w:rPr>
          <w:rFonts w:ascii="Calibri" w:hAnsi="Calibri" w:cs="Calibri"/>
          <w:sz w:val="22"/>
          <w:szCs w:val="22"/>
        </w:rPr>
        <w:t>,</w:t>
      </w:r>
      <w:r w:rsidRPr="00035AC4">
        <w:rPr>
          <w:rFonts w:ascii="Calibri" w:hAnsi="Calibri" w:cs="Calibri"/>
          <w:sz w:val="22"/>
          <w:szCs w:val="22"/>
        </w:rPr>
        <w:t xml:space="preserve"> vaccine requirements and cold chain capacities</w:t>
      </w:r>
      <w:r w:rsidRPr="00462D14">
        <w:rPr>
          <w:rFonts w:ascii="Calibri" w:hAnsi="Calibri" w:cs="Calibri"/>
          <w:sz w:val="22"/>
          <w:szCs w:val="22"/>
        </w:rPr>
        <w:t xml:space="preserve"> </w:t>
      </w:r>
      <w:r>
        <w:rPr>
          <w:rFonts w:ascii="Calibri" w:hAnsi="Calibri" w:cs="Calibri"/>
          <w:sz w:val="22"/>
          <w:szCs w:val="22"/>
        </w:rPr>
        <w:t xml:space="preserve">at state and district levels </w:t>
      </w:r>
      <w:r w:rsidRPr="00035AC4">
        <w:rPr>
          <w:rFonts w:ascii="Calibri" w:hAnsi="Calibri" w:cs="Calibri"/>
          <w:sz w:val="22"/>
          <w:szCs w:val="22"/>
        </w:rPr>
        <w:t xml:space="preserve">during </w:t>
      </w:r>
      <w:r>
        <w:rPr>
          <w:rFonts w:ascii="Calibri" w:hAnsi="Calibri" w:cs="Calibri"/>
          <w:sz w:val="22"/>
          <w:szCs w:val="22"/>
        </w:rPr>
        <w:t xml:space="preserve">their field </w:t>
      </w:r>
      <w:r w:rsidRPr="00035AC4">
        <w:rPr>
          <w:rFonts w:ascii="Calibri" w:hAnsi="Calibri" w:cs="Calibri"/>
          <w:sz w:val="22"/>
          <w:szCs w:val="22"/>
        </w:rPr>
        <w:t xml:space="preserve">visits. This will provide the state and national level with information on progress as well as reflect on the capacity of a state / district to effectively introduce the vaccine. Special attention will be paid to </w:t>
      </w:r>
      <w:r>
        <w:rPr>
          <w:rFonts w:ascii="Calibri" w:hAnsi="Calibri" w:cs="Calibri"/>
          <w:sz w:val="22"/>
          <w:szCs w:val="22"/>
        </w:rPr>
        <w:t>h</w:t>
      </w:r>
      <w:r w:rsidRPr="00035AC4">
        <w:rPr>
          <w:rFonts w:ascii="Calibri" w:hAnsi="Calibri" w:cs="Calibri"/>
          <w:sz w:val="22"/>
          <w:szCs w:val="22"/>
        </w:rPr>
        <w:t xml:space="preserve">igh </w:t>
      </w:r>
      <w:r>
        <w:rPr>
          <w:rFonts w:ascii="Calibri" w:hAnsi="Calibri" w:cs="Calibri"/>
          <w:sz w:val="22"/>
          <w:szCs w:val="22"/>
        </w:rPr>
        <w:t>p</w:t>
      </w:r>
      <w:r w:rsidRPr="00035AC4">
        <w:rPr>
          <w:rFonts w:ascii="Calibri" w:hAnsi="Calibri" w:cs="Calibri"/>
          <w:sz w:val="22"/>
          <w:szCs w:val="22"/>
        </w:rPr>
        <w:t xml:space="preserve">riority </w:t>
      </w:r>
      <w:r>
        <w:rPr>
          <w:rFonts w:ascii="Calibri" w:hAnsi="Calibri" w:cs="Calibri"/>
          <w:sz w:val="22"/>
          <w:szCs w:val="22"/>
        </w:rPr>
        <w:t>d</w:t>
      </w:r>
      <w:r w:rsidRPr="00035AC4">
        <w:rPr>
          <w:rFonts w:ascii="Calibri" w:hAnsi="Calibri" w:cs="Calibri"/>
          <w:sz w:val="22"/>
          <w:szCs w:val="22"/>
        </w:rPr>
        <w:t>istricts and the districts a</w:t>
      </w:r>
      <w:r>
        <w:rPr>
          <w:rFonts w:ascii="Calibri" w:hAnsi="Calibri" w:cs="Calibri"/>
          <w:sz w:val="22"/>
          <w:szCs w:val="22"/>
        </w:rPr>
        <w:t>t</w:t>
      </w:r>
      <w:r w:rsidRPr="00035AC4">
        <w:rPr>
          <w:rFonts w:ascii="Calibri" w:hAnsi="Calibri" w:cs="Calibri"/>
          <w:sz w:val="22"/>
          <w:szCs w:val="22"/>
        </w:rPr>
        <w:t xml:space="preserve"> high risk </w:t>
      </w:r>
      <w:r>
        <w:rPr>
          <w:rFonts w:ascii="Calibri" w:hAnsi="Calibri" w:cs="Calibri"/>
          <w:sz w:val="22"/>
          <w:szCs w:val="22"/>
        </w:rPr>
        <w:t>of</w:t>
      </w:r>
      <w:r w:rsidRPr="00035AC4">
        <w:rPr>
          <w:rFonts w:ascii="Calibri" w:hAnsi="Calibri" w:cs="Calibri"/>
          <w:sz w:val="22"/>
          <w:szCs w:val="22"/>
        </w:rPr>
        <w:t xml:space="preserve"> polio</w:t>
      </w:r>
      <w:r>
        <w:rPr>
          <w:rFonts w:ascii="Calibri" w:hAnsi="Calibri" w:cs="Calibri"/>
          <w:sz w:val="22"/>
          <w:szCs w:val="22"/>
        </w:rPr>
        <w:t>virus importation</w:t>
      </w:r>
      <w:r w:rsidRPr="00035AC4">
        <w:rPr>
          <w:rFonts w:ascii="Calibri" w:hAnsi="Calibri" w:cs="Calibri"/>
          <w:sz w:val="22"/>
          <w:szCs w:val="22"/>
        </w:rPr>
        <w:t xml:space="preserve"> under the Emergency Preparedness and Response Plan. </w:t>
      </w:r>
    </w:p>
    <w:p w14:paraId="692185E5" w14:textId="77777777" w:rsidR="009F3F36" w:rsidRPr="00035AC4" w:rsidRDefault="009F3F36" w:rsidP="00D13A21">
      <w:pPr>
        <w:jc w:val="both"/>
        <w:divId w:val="410156154"/>
        <w:rPr>
          <w:rFonts w:ascii="Calibri" w:hAnsi="Calibri" w:cs="Calibri"/>
          <w:sz w:val="22"/>
          <w:szCs w:val="22"/>
        </w:rPr>
      </w:pPr>
    </w:p>
    <w:p w14:paraId="461A816D" w14:textId="77777777" w:rsidR="009F3F36" w:rsidRDefault="009F3F36" w:rsidP="00D13A21">
      <w:pPr>
        <w:jc w:val="both"/>
        <w:divId w:val="410156154"/>
        <w:rPr>
          <w:rFonts w:ascii="Calibri" w:hAnsi="Calibri" w:cs="Calibri"/>
          <w:sz w:val="22"/>
          <w:szCs w:val="22"/>
        </w:rPr>
      </w:pPr>
      <w:r w:rsidRPr="00035AC4">
        <w:rPr>
          <w:rFonts w:ascii="Calibri" w:hAnsi="Calibri" w:cs="Calibri"/>
          <w:sz w:val="22"/>
          <w:szCs w:val="22"/>
        </w:rPr>
        <w:t xml:space="preserve">State observers </w:t>
      </w:r>
      <w:r>
        <w:rPr>
          <w:rFonts w:ascii="Calibri" w:hAnsi="Calibri" w:cs="Calibri"/>
          <w:sz w:val="22"/>
          <w:szCs w:val="22"/>
        </w:rPr>
        <w:t xml:space="preserve">and WHO-NPSP </w:t>
      </w:r>
      <w:r w:rsidRPr="00035AC4">
        <w:rPr>
          <w:rFonts w:ascii="Calibri" w:hAnsi="Calibri" w:cs="Calibri"/>
          <w:sz w:val="22"/>
          <w:szCs w:val="22"/>
        </w:rPr>
        <w:t xml:space="preserve">will monitor district and block level trainings. </w:t>
      </w:r>
      <w:r>
        <w:rPr>
          <w:rFonts w:ascii="Calibri" w:hAnsi="Calibri" w:cs="Calibri"/>
          <w:sz w:val="22"/>
          <w:szCs w:val="22"/>
        </w:rPr>
        <w:t>D</w:t>
      </w:r>
      <w:r w:rsidRPr="00035AC4">
        <w:rPr>
          <w:rFonts w:ascii="Calibri" w:hAnsi="Calibri" w:cs="Calibri"/>
          <w:sz w:val="22"/>
          <w:szCs w:val="22"/>
        </w:rPr>
        <w:t xml:space="preserve">ata on the conduction of trainings will be collected bi-monthly from districts and states. </w:t>
      </w:r>
      <w:r>
        <w:rPr>
          <w:rFonts w:ascii="Calibri" w:hAnsi="Calibri" w:cs="Calibri"/>
          <w:sz w:val="22"/>
          <w:szCs w:val="22"/>
        </w:rPr>
        <w:t>Feedback on trainings will be shared during district and state task force meetings for immunization for corrective actions.</w:t>
      </w:r>
    </w:p>
    <w:p w14:paraId="01E40745" w14:textId="77777777" w:rsidR="009F3F36" w:rsidRDefault="009F3F36" w:rsidP="00D13A21">
      <w:pPr>
        <w:jc w:val="both"/>
        <w:divId w:val="410156154"/>
        <w:rPr>
          <w:rFonts w:ascii="Calibri" w:hAnsi="Calibri" w:cs="Calibri"/>
          <w:sz w:val="22"/>
          <w:szCs w:val="22"/>
        </w:rPr>
      </w:pPr>
    </w:p>
    <w:p w14:paraId="23F79F49" w14:textId="77777777" w:rsidR="009F3F36" w:rsidRDefault="009F3F36" w:rsidP="00D13A21">
      <w:pPr>
        <w:jc w:val="both"/>
        <w:divId w:val="410156154"/>
        <w:rPr>
          <w:rFonts w:ascii="Calibri" w:hAnsi="Calibri" w:cs="Calibri"/>
          <w:sz w:val="22"/>
          <w:szCs w:val="22"/>
        </w:rPr>
      </w:pPr>
      <w:r>
        <w:rPr>
          <w:rFonts w:ascii="Calibri" w:hAnsi="Calibri" w:cs="Calibri"/>
          <w:sz w:val="22"/>
          <w:szCs w:val="22"/>
        </w:rPr>
        <w:t>During the phase of introduction, regular monitoring of routine immunization sessions will be done to provide feedback to district and state health departments to enable timely response. Partner agencies such as WHO and UNICEF will actively support the introduction phase.</w:t>
      </w:r>
    </w:p>
    <w:p w14:paraId="6DA6765B" w14:textId="77777777" w:rsidR="009F3F36" w:rsidRDefault="009F3F36" w:rsidP="009F3F36">
      <w:pPr>
        <w:divId w:val="410156154"/>
        <w:rPr>
          <w:rFonts w:ascii="Calibri" w:hAnsi="Calibri" w:cs="Calibri"/>
          <w:sz w:val="22"/>
          <w:szCs w:val="22"/>
        </w:rPr>
      </w:pPr>
      <w:r>
        <w:rPr>
          <w:rFonts w:ascii="Calibri" w:hAnsi="Calibri" w:cs="Calibri"/>
          <w:sz w:val="22"/>
          <w:szCs w:val="22"/>
        </w:rPr>
        <w:t xml:space="preserve">  </w:t>
      </w:r>
    </w:p>
    <w:p w14:paraId="261772CD" w14:textId="77777777" w:rsidR="009F3F36" w:rsidRDefault="009F3F36" w:rsidP="00D13A21">
      <w:pPr>
        <w:jc w:val="both"/>
        <w:divId w:val="410156154"/>
        <w:rPr>
          <w:rFonts w:ascii="Calibri" w:hAnsi="Calibri" w:cs="Calibri"/>
          <w:sz w:val="22"/>
          <w:szCs w:val="22"/>
        </w:rPr>
      </w:pPr>
      <w:r w:rsidRPr="00035AC4">
        <w:rPr>
          <w:rFonts w:ascii="Calibri" w:hAnsi="Calibri" w:cs="Calibri"/>
          <w:sz w:val="22"/>
          <w:szCs w:val="22"/>
        </w:rPr>
        <w:t>Strengthening of RI and the introduction of IPV are synergistic and require the involvement of all stakeholders for success. At the national, state and district levels, the departments of Child development, education and panchayat raj will be sensitized and encouraged to be actively involved in monitoring of the IPV introduction and RI strengthening activities in all phases.</w:t>
      </w:r>
    </w:p>
    <w:p w14:paraId="6C9BF21E" w14:textId="77777777" w:rsidR="009F3F36" w:rsidRDefault="009F3F36" w:rsidP="00D13A21">
      <w:pPr>
        <w:jc w:val="both"/>
        <w:divId w:val="410156154"/>
        <w:rPr>
          <w:rFonts w:ascii="Calibri" w:hAnsi="Calibri" w:cs="Calibri"/>
          <w:sz w:val="22"/>
          <w:szCs w:val="22"/>
        </w:rPr>
      </w:pPr>
    </w:p>
    <w:p w14:paraId="35A46C53" w14:textId="77777777" w:rsidR="009F3F36" w:rsidRDefault="009F3F36" w:rsidP="00D13A21">
      <w:pPr>
        <w:jc w:val="both"/>
        <w:divId w:val="410156154"/>
        <w:rPr>
          <w:rFonts w:ascii="Calibri" w:hAnsi="Calibri" w:cs="Calibri"/>
          <w:sz w:val="22"/>
          <w:szCs w:val="22"/>
        </w:rPr>
      </w:pPr>
      <w:r>
        <w:rPr>
          <w:rFonts w:ascii="Calibri" w:hAnsi="Calibri" w:cs="Calibri"/>
          <w:sz w:val="22"/>
          <w:szCs w:val="22"/>
        </w:rPr>
        <w:t xml:space="preserve">As Surveillance Medical Officers of WCO India will closely monitor all activities at state, district and sub-district levels and provide regular feedback for corrective actions, WHO Country Office for India will conduct training programs on IPV introduction and RI strengthening for these field officials. </w:t>
      </w:r>
    </w:p>
    <w:p w14:paraId="7FDC76B4" w14:textId="77777777" w:rsidR="009F3F36" w:rsidRPr="00035AC4" w:rsidRDefault="009F3F36" w:rsidP="00D13A21">
      <w:pPr>
        <w:jc w:val="both"/>
        <w:divId w:val="410156154"/>
        <w:rPr>
          <w:rFonts w:ascii="Calibri" w:hAnsi="Calibri" w:cs="Calibri"/>
          <w:sz w:val="22"/>
          <w:szCs w:val="22"/>
        </w:rPr>
      </w:pPr>
    </w:p>
    <w:p w14:paraId="47C2CD54" w14:textId="77777777" w:rsidR="00D50037" w:rsidRDefault="009F3F36" w:rsidP="00D13A21">
      <w:pPr>
        <w:jc w:val="both"/>
        <w:divId w:val="410156154"/>
        <w:rPr>
          <w:rFonts w:ascii="Calibri" w:hAnsi="Calibri" w:cs="Calibri"/>
          <w:sz w:val="22"/>
          <w:szCs w:val="22"/>
        </w:rPr>
      </w:pPr>
      <w:r>
        <w:rPr>
          <w:rFonts w:ascii="Calibri" w:hAnsi="Calibri" w:cs="Calibri"/>
          <w:sz w:val="22"/>
          <w:szCs w:val="22"/>
        </w:rPr>
        <w:t>Post Introduction Evaluation (PIE) survey will be conducted by WCO India 6 to 12 months after the introduction of IPV.</w:t>
      </w:r>
    </w:p>
    <w:p w14:paraId="174BE5C3" w14:textId="77777777" w:rsidR="009F3F36" w:rsidRDefault="009F3F36" w:rsidP="009F3F36">
      <w:pPr>
        <w:divId w:val="410156154"/>
        <w:rPr>
          <w:b/>
          <w:bCs/>
        </w:rPr>
      </w:pPr>
    </w:p>
    <w:p w14:paraId="55BA1FF0" w14:textId="77777777" w:rsidR="00045D39" w:rsidRDefault="00045D39" w:rsidP="009F3F36">
      <w:pPr>
        <w:divId w:val="410156154"/>
        <w:rPr>
          <w:b/>
          <w:bCs/>
        </w:rPr>
      </w:pPr>
    </w:p>
    <w:p w14:paraId="60681992" w14:textId="77777777" w:rsidR="00045D39" w:rsidRDefault="00045D39" w:rsidP="009F3F36">
      <w:pPr>
        <w:divId w:val="410156154"/>
        <w:rPr>
          <w:b/>
          <w:bCs/>
        </w:rPr>
      </w:pPr>
    </w:p>
    <w:p w14:paraId="14A9D8A6" w14:textId="77777777" w:rsidR="00045D39" w:rsidRDefault="00045D39" w:rsidP="009F3F36">
      <w:pPr>
        <w:divId w:val="410156154"/>
        <w:rPr>
          <w:b/>
          <w:bCs/>
        </w:rPr>
      </w:pPr>
    </w:p>
    <w:p w14:paraId="52E90D47" w14:textId="77777777" w:rsidR="00045D39" w:rsidRDefault="00045D39" w:rsidP="009F3F36">
      <w:pPr>
        <w:divId w:val="410156154"/>
        <w:rPr>
          <w:b/>
          <w:bCs/>
        </w:rPr>
      </w:pPr>
    </w:p>
    <w:p w14:paraId="51AF46BE" w14:textId="77777777" w:rsidR="00045D39" w:rsidRPr="009470D3" w:rsidRDefault="00045D39" w:rsidP="009F3F36">
      <w:pPr>
        <w:divId w:val="410156154"/>
        <w:rPr>
          <w:b/>
          <w:bCs/>
        </w:rPr>
      </w:pPr>
    </w:p>
    <w:p w14:paraId="4C39BAB8" w14:textId="77777777" w:rsidR="00D50037" w:rsidRPr="004C062A" w:rsidRDefault="004C062A" w:rsidP="009F3F36">
      <w:pPr>
        <w:divId w:val="410156154"/>
        <w:rPr>
          <w:rFonts w:ascii="Calibri" w:hAnsi="Calibri"/>
          <w:bCs/>
          <w:color w:val="1F497D"/>
          <w:sz w:val="22"/>
        </w:rPr>
      </w:pPr>
      <w:r w:rsidRPr="004C062A">
        <w:rPr>
          <w:rFonts w:ascii="Calibri" w:hAnsi="Calibri"/>
          <w:bCs/>
          <w:color w:val="1F497D"/>
          <w:sz w:val="22"/>
        </w:rPr>
        <w:t>5.2 Adverse</w:t>
      </w:r>
      <w:r w:rsidR="00D50037" w:rsidRPr="004C062A">
        <w:rPr>
          <w:rFonts w:ascii="Calibri" w:hAnsi="Calibri"/>
          <w:bCs/>
          <w:color w:val="1F497D"/>
          <w:sz w:val="22"/>
        </w:rPr>
        <w:t xml:space="preserve"> Event Following Immunisation (AEFI) monitoring and reporting</w:t>
      </w:r>
    </w:p>
    <w:p w14:paraId="5DBCFA8F" w14:textId="77777777" w:rsidR="009F3F36" w:rsidRDefault="009F3F36" w:rsidP="009F3F36">
      <w:pPr>
        <w:pStyle w:val="ListParagraph"/>
        <w:tabs>
          <w:tab w:val="left" w:pos="0"/>
        </w:tabs>
        <w:spacing w:line="240" w:lineRule="auto"/>
        <w:ind w:left="0"/>
        <w:divId w:val="410156154"/>
      </w:pPr>
    </w:p>
    <w:p w14:paraId="35E5385C" w14:textId="77777777" w:rsidR="00D50037" w:rsidRPr="00D50037" w:rsidRDefault="00D50037" w:rsidP="00D13A21">
      <w:pPr>
        <w:pStyle w:val="ListParagraph"/>
        <w:tabs>
          <w:tab w:val="left" w:pos="0"/>
        </w:tabs>
        <w:spacing w:line="240" w:lineRule="auto"/>
        <w:ind w:left="0"/>
        <w:jc w:val="both"/>
        <w:divId w:val="410156154"/>
      </w:pPr>
      <w:r w:rsidRPr="00D50037">
        <w:t>National AEFI Guidelines had been first prepared in 2005, further revised in 2010 and a summary Standard Operating Procedures (SOP) on AEFI surveillance were prepared and disseminated in 2011. But these are being currently updated based on new WHO Causality assessment methodology and will be published by October 2014. These are equipped to report, investigate and respond to AEFI reports in the field. Extensive collaboration exists between the national pharmacovigilance program, the regulator (CDSCO) and AEFI surveillance program in the country.</w:t>
      </w:r>
    </w:p>
    <w:p w14:paraId="35AFF74A" w14:textId="77777777" w:rsidR="00D50037" w:rsidRPr="00D50037" w:rsidRDefault="00D50037" w:rsidP="00D13A21">
      <w:pPr>
        <w:jc w:val="both"/>
        <w:divId w:val="410156154"/>
        <w:rPr>
          <w:rFonts w:ascii="Calibri" w:hAnsi="Calibri"/>
          <w:sz w:val="22"/>
          <w:szCs w:val="22"/>
        </w:rPr>
      </w:pPr>
      <w:r w:rsidRPr="00D50037">
        <w:rPr>
          <w:rFonts w:ascii="Calibri" w:hAnsi="Calibri"/>
          <w:sz w:val="22"/>
          <w:szCs w:val="22"/>
        </w:rPr>
        <w:t>In addition, Communication Guidelines for building vaccine confidence and respond to AEFI have been developed and disseminated in Dec 2013. The National AEFI Committee has been in place since 2008 and was reconstituted in 2013 to make it broader in terms of medical speciality representation, geographic representation and includes independent experts as well as ex officio members from different agencies (governmental and non-governmental )involved in AEFI surveillance</w:t>
      </w:r>
    </w:p>
    <w:p w14:paraId="3AAEB1DE" w14:textId="77777777" w:rsidR="00D50037" w:rsidRPr="00D50037" w:rsidRDefault="00D50037" w:rsidP="00D13A21">
      <w:pPr>
        <w:jc w:val="both"/>
        <w:divId w:val="410156154"/>
        <w:rPr>
          <w:rFonts w:ascii="Calibri" w:hAnsi="Calibri"/>
          <w:sz w:val="22"/>
          <w:szCs w:val="22"/>
        </w:rPr>
      </w:pPr>
    </w:p>
    <w:p w14:paraId="5AEA5F46" w14:textId="77777777" w:rsidR="00D50037" w:rsidRDefault="00D50037" w:rsidP="00D13A21">
      <w:pPr>
        <w:pStyle w:val="ListParagraph"/>
        <w:spacing w:line="240" w:lineRule="auto"/>
        <w:ind w:left="0"/>
        <w:jc w:val="both"/>
        <w:divId w:val="410156154"/>
      </w:pPr>
      <w:r w:rsidRPr="00D50037">
        <w:t>The Operational Guidelines for AEFI Surveillance delineate and specify the processes and procedures for monitoring of adverse events with any vaccine including IPV. However when new vaccine introduction is undertaken, guidelines regarding managing different aspects of immunization including AEFI are included for orientation and capacity building of health workers in the field.</w:t>
      </w:r>
    </w:p>
    <w:p w14:paraId="6C55E129" w14:textId="77777777" w:rsidR="00045D39" w:rsidRDefault="00045D39" w:rsidP="00D13A21">
      <w:pPr>
        <w:pStyle w:val="ListParagraph"/>
        <w:spacing w:line="240" w:lineRule="auto"/>
        <w:ind w:left="0"/>
        <w:jc w:val="both"/>
        <w:divId w:val="410156154"/>
      </w:pPr>
    </w:p>
    <w:p w14:paraId="35ABCED7" w14:textId="77777777" w:rsidR="005527B4" w:rsidRPr="004C062A" w:rsidRDefault="00C63E63" w:rsidP="005527B4">
      <w:pPr>
        <w:spacing w:after="120"/>
        <w:divId w:val="410156154"/>
        <w:rPr>
          <w:rFonts w:ascii="Calibri" w:eastAsia="SimSun" w:hAnsi="Calibri"/>
          <w:b/>
          <w:color w:val="1F497D"/>
          <w:szCs w:val="28"/>
        </w:rPr>
      </w:pPr>
      <w:r w:rsidRPr="004C062A">
        <w:rPr>
          <w:rFonts w:ascii="Calibri" w:eastAsia="SimSun" w:hAnsi="Calibri"/>
          <w:b/>
          <w:color w:val="1F497D"/>
          <w:szCs w:val="28"/>
        </w:rPr>
        <w:t>6. Advocacy, c</w:t>
      </w:r>
      <w:r w:rsidR="005527B4" w:rsidRPr="004C062A">
        <w:rPr>
          <w:rFonts w:ascii="Calibri" w:eastAsia="SimSun" w:hAnsi="Calibri"/>
          <w:b/>
          <w:color w:val="1F497D"/>
          <w:szCs w:val="28"/>
        </w:rPr>
        <w:t>ommunication, and social mobilisation</w:t>
      </w:r>
    </w:p>
    <w:bookmarkEnd w:id="2"/>
    <w:bookmarkEnd w:id="3"/>
    <w:bookmarkEnd w:id="4"/>
    <w:bookmarkEnd w:id="5"/>
    <w:p w14:paraId="1B2AEC25" w14:textId="77777777" w:rsidR="0068600D" w:rsidRPr="00EB247B" w:rsidRDefault="0068600D" w:rsidP="0068600D">
      <w:pPr>
        <w:jc w:val="both"/>
        <w:divId w:val="410156154"/>
        <w:rPr>
          <w:rFonts w:ascii="Calibri" w:hAnsi="Calibri" w:cs="Calibri"/>
          <w:sz w:val="22"/>
          <w:szCs w:val="22"/>
        </w:rPr>
      </w:pPr>
      <w:r w:rsidRPr="00EB247B">
        <w:rPr>
          <w:rFonts w:ascii="Calibri" w:hAnsi="Calibri" w:cs="Calibri"/>
          <w:sz w:val="22"/>
          <w:szCs w:val="22"/>
        </w:rPr>
        <w:t>Communication strategy and materials will be developed to support the introduction of IPV. Partner agencies including WHO and UNICEF will support the development of this plan. The plan will guide national, state and district level communication efforts. It will provide a set of standardized messages which will assist immunization partners and stakeholders in understanding and implementing the introduction of IPV. The communication material must be made available to states in the local languages. It shall be the responsibility of each state to disseminate the information as per the timeline recommended.</w:t>
      </w:r>
      <w:r w:rsidR="00141E9E">
        <w:rPr>
          <w:rFonts w:ascii="Calibri" w:hAnsi="Calibri" w:cs="Calibri"/>
          <w:sz w:val="22"/>
          <w:szCs w:val="22"/>
        </w:rPr>
        <w:t xml:space="preserve"> </w:t>
      </w:r>
      <w:r>
        <w:rPr>
          <w:rFonts w:ascii="Calibri" w:hAnsi="Calibri" w:cs="Calibri"/>
          <w:sz w:val="22"/>
          <w:szCs w:val="22"/>
        </w:rPr>
        <w:t xml:space="preserve">The communication plan will also entail </w:t>
      </w:r>
      <w:r w:rsidR="00141E9E">
        <w:rPr>
          <w:rFonts w:ascii="Calibri" w:hAnsi="Calibri" w:cs="Calibri"/>
          <w:sz w:val="22"/>
          <w:szCs w:val="22"/>
        </w:rPr>
        <w:t xml:space="preserve">advocacy meetings and </w:t>
      </w:r>
      <w:r>
        <w:rPr>
          <w:rFonts w:ascii="Calibri" w:hAnsi="Calibri" w:cs="Calibri"/>
          <w:sz w:val="22"/>
          <w:szCs w:val="22"/>
        </w:rPr>
        <w:t>developing capacity of government officials at all levels for handling the media on IPV introduction so that they become effective spokespersons for addressing media queries.</w:t>
      </w:r>
    </w:p>
    <w:p w14:paraId="58B1F958" w14:textId="77777777" w:rsidR="0068600D" w:rsidRPr="00EB247B" w:rsidRDefault="0068600D" w:rsidP="0068600D">
      <w:pPr>
        <w:spacing w:after="80"/>
        <w:jc w:val="both"/>
        <w:divId w:val="410156154"/>
        <w:rPr>
          <w:rFonts w:ascii="Calibri" w:hAnsi="Calibri" w:cs="Calibri"/>
          <w:sz w:val="22"/>
          <w:szCs w:val="22"/>
        </w:rPr>
      </w:pPr>
    </w:p>
    <w:p w14:paraId="3EB77DC2" w14:textId="77777777" w:rsidR="0068600D" w:rsidRPr="00EB247B" w:rsidRDefault="0068600D" w:rsidP="00D13A21">
      <w:pPr>
        <w:spacing w:after="80"/>
        <w:jc w:val="both"/>
        <w:divId w:val="410156154"/>
        <w:rPr>
          <w:rFonts w:ascii="Calibri" w:hAnsi="Calibri" w:cs="Calibri"/>
          <w:sz w:val="22"/>
          <w:szCs w:val="22"/>
        </w:rPr>
      </w:pPr>
      <w:r w:rsidRPr="00EB247B">
        <w:rPr>
          <w:rFonts w:ascii="Calibri" w:hAnsi="Calibri" w:cs="Calibri"/>
          <w:sz w:val="22"/>
          <w:szCs w:val="22"/>
        </w:rPr>
        <w:t>The communication plan shall include the following content:</w:t>
      </w:r>
    </w:p>
    <w:p w14:paraId="20605EAF" w14:textId="77777777" w:rsidR="0068600D" w:rsidRPr="00EB247B" w:rsidRDefault="0068600D" w:rsidP="00D13A21">
      <w:pPr>
        <w:pStyle w:val="ListParagraph"/>
        <w:numPr>
          <w:ilvl w:val="0"/>
          <w:numId w:val="23"/>
        </w:numPr>
        <w:spacing w:after="160" w:line="256" w:lineRule="auto"/>
        <w:ind w:left="360"/>
        <w:jc w:val="both"/>
        <w:divId w:val="410156154"/>
        <w:rPr>
          <w:rFonts w:cs="Calibri"/>
        </w:rPr>
      </w:pPr>
      <w:r w:rsidRPr="00EB247B">
        <w:rPr>
          <w:rFonts w:cs="Calibri"/>
        </w:rPr>
        <w:t>Objectives and rationale for IPV introduction</w:t>
      </w:r>
    </w:p>
    <w:p w14:paraId="2C1D25EF" w14:textId="77777777" w:rsidR="0068600D" w:rsidRPr="00EB247B" w:rsidRDefault="0068600D" w:rsidP="00D13A21">
      <w:pPr>
        <w:pStyle w:val="ListParagraph"/>
        <w:numPr>
          <w:ilvl w:val="0"/>
          <w:numId w:val="23"/>
        </w:numPr>
        <w:spacing w:after="160" w:line="256" w:lineRule="auto"/>
        <w:ind w:left="360"/>
        <w:jc w:val="both"/>
        <w:divId w:val="410156154"/>
        <w:rPr>
          <w:rFonts w:cs="Calibri"/>
        </w:rPr>
      </w:pPr>
      <w:r w:rsidRPr="00EB247B">
        <w:rPr>
          <w:rFonts w:cs="Calibri"/>
        </w:rPr>
        <w:t>Key communication messages and messaging challenges</w:t>
      </w:r>
    </w:p>
    <w:p w14:paraId="75450ACD" w14:textId="77777777" w:rsidR="0068600D" w:rsidRPr="00EB247B" w:rsidRDefault="00141E9E" w:rsidP="00D13A21">
      <w:pPr>
        <w:pStyle w:val="ListParagraph"/>
        <w:numPr>
          <w:ilvl w:val="0"/>
          <w:numId w:val="23"/>
        </w:numPr>
        <w:spacing w:after="160" w:line="256" w:lineRule="auto"/>
        <w:ind w:left="360"/>
        <w:jc w:val="both"/>
        <w:divId w:val="410156154"/>
        <w:rPr>
          <w:rFonts w:cs="Calibri"/>
        </w:rPr>
      </w:pPr>
      <w:r>
        <w:rPr>
          <w:rFonts w:cs="Calibri"/>
        </w:rPr>
        <w:t>Advocacy meetings with</w:t>
      </w:r>
      <w:r w:rsidR="0068600D" w:rsidRPr="00EB247B">
        <w:rPr>
          <w:rFonts w:cs="Calibri"/>
        </w:rPr>
        <w:t>:</w:t>
      </w:r>
    </w:p>
    <w:p w14:paraId="74BC5786" w14:textId="77777777" w:rsidR="0068600D" w:rsidRPr="00EB247B" w:rsidRDefault="0068600D" w:rsidP="00D13A21">
      <w:pPr>
        <w:pStyle w:val="ListParagraph"/>
        <w:numPr>
          <w:ilvl w:val="1"/>
          <w:numId w:val="24"/>
        </w:numPr>
        <w:spacing w:after="160" w:line="256" w:lineRule="auto"/>
        <w:ind w:left="1134" w:hanging="425"/>
        <w:jc w:val="both"/>
        <w:divId w:val="410156154"/>
        <w:rPr>
          <w:rFonts w:cs="Calibri"/>
        </w:rPr>
      </w:pPr>
      <w:r w:rsidRPr="00EB247B">
        <w:rPr>
          <w:rFonts w:cs="Calibri"/>
        </w:rPr>
        <w:t>National  and State officials</w:t>
      </w:r>
    </w:p>
    <w:p w14:paraId="7876B606" w14:textId="77777777" w:rsidR="0068600D" w:rsidRPr="00EB247B" w:rsidRDefault="0068600D" w:rsidP="00D13A21">
      <w:pPr>
        <w:pStyle w:val="ListParagraph"/>
        <w:numPr>
          <w:ilvl w:val="1"/>
          <w:numId w:val="24"/>
        </w:numPr>
        <w:spacing w:after="160" w:line="256" w:lineRule="auto"/>
        <w:ind w:left="1134" w:hanging="425"/>
        <w:jc w:val="both"/>
        <w:divId w:val="410156154"/>
        <w:rPr>
          <w:rFonts w:cs="Calibri"/>
        </w:rPr>
      </w:pPr>
      <w:r w:rsidRPr="00EB247B">
        <w:rPr>
          <w:rFonts w:cs="Calibri"/>
        </w:rPr>
        <w:t>Health workers and other healthcare delivery staff</w:t>
      </w:r>
    </w:p>
    <w:p w14:paraId="7D31F83D" w14:textId="77777777" w:rsidR="0068600D" w:rsidRPr="00EB247B" w:rsidRDefault="0068600D" w:rsidP="00D13A21">
      <w:pPr>
        <w:pStyle w:val="ListParagraph"/>
        <w:numPr>
          <w:ilvl w:val="1"/>
          <w:numId w:val="24"/>
        </w:numPr>
        <w:spacing w:after="160" w:line="256" w:lineRule="auto"/>
        <w:ind w:left="1134" w:hanging="425"/>
        <w:jc w:val="both"/>
        <w:divId w:val="410156154"/>
        <w:rPr>
          <w:rFonts w:cs="Calibri"/>
        </w:rPr>
      </w:pPr>
      <w:r w:rsidRPr="00EB247B">
        <w:rPr>
          <w:rFonts w:cs="Calibri"/>
        </w:rPr>
        <w:t>Community and traditional leaders</w:t>
      </w:r>
    </w:p>
    <w:p w14:paraId="010D4A4E" w14:textId="77777777" w:rsidR="0068600D" w:rsidRPr="00EB247B" w:rsidRDefault="0068600D" w:rsidP="00D13A21">
      <w:pPr>
        <w:pStyle w:val="ListParagraph"/>
        <w:numPr>
          <w:ilvl w:val="1"/>
          <w:numId w:val="24"/>
        </w:numPr>
        <w:spacing w:after="160" w:line="256" w:lineRule="auto"/>
        <w:ind w:left="1134" w:hanging="425"/>
        <w:jc w:val="both"/>
        <w:divId w:val="410156154"/>
        <w:rPr>
          <w:rFonts w:cs="Calibri"/>
        </w:rPr>
      </w:pPr>
      <w:r w:rsidRPr="00EB247B">
        <w:rPr>
          <w:rFonts w:cs="Calibri"/>
        </w:rPr>
        <w:t xml:space="preserve">National and local medical bodies – IAP/IMA </w:t>
      </w:r>
    </w:p>
    <w:p w14:paraId="75E83579" w14:textId="77777777" w:rsidR="0068600D" w:rsidRPr="00EB247B" w:rsidRDefault="0068600D" w:rsidP="00D13A21">
      <w:pPr>
        <w:pStyle w:val="ListParagraph"/>
        <w:numPr>
          <w:ilvl w:val="1"/>
          <w:numId w:val="24"/>
        </w:numPr>
        <w:spacing w:after="160" w:line="256" w:lineRule="auto"/>
        <w:ind w:left="1134" w:hanging="425"/>
        <w:jc w:val="both"/>
        <w:divId w:val="410156154"/>
        <w:rPr>
          <w:rFonts w:cs="Calibri"/>
        </w:rPr>
      </w:pPr>
      <w:r w:rsidRPr="00EB247B">
        <w:rPr>
          <w:rFonts w:cs="Calibri"/>
        </w:rPr>
        <w:t>Parents and caregivers</w:t>
      </w:r>
    </w:p>
    <w:p w14:paraId="68586A6D" w14:textId="77777777" w:rsidR="00141E9E" w:rsidRDefault="00141E9E" w:rsidP="00D13A21">
      <w:pPr>
        <w:pStyle w:val="ListParagraph"/>
        <w:numPr>
          <w:ilvl w:val="0"/>
          <w:numId w:val="23"/>
        </w:numPr>
        <w:spacing w:after="160" w:line="256" w:lineRule="auto"/>
        <w:ind w:left="360"/>
        <w:jc w:val="both"/>
        <w:divId w:val="410156154"/>
        <w:rPr>
          <w:rFonts w:cs="Calibri"/>
        </w:rPr>
      </w:pPr>
      <w:r>
        <w:rPr>
          <w:rFonts w:cs="Calibri"/>
        </w:rPr>
        <w:t>Mass media campaigns to disseminate messages</w:t>
      </w:r>
    </w:p>
    <w:p w14:paraId="22F7CC90" w14:textId="77777777" w:rsidR="0068600D" w:rsidRPr="00EB247B" w:rsidRDefault="0068600D" w:rsidP="00D13A21">
      <w:pPr>
        <w:pStyle w:val="ListParagraph"/>
        <w:numPr>
          <w:ilvl w:val="0"/>
          <w:numId w:val="23"/>
        </w:numPr>
        <w:spacing w:after="160" w:line="256" w:lineRule="auto"/>
        <w:ind w:left="360"/>
        <w:jc w:val="both"/>
        <w:divId w:val="410156154"/>
        <w:rPr>
          <w:rFonts w:cs="Calibri"/>
        </w:rPr>
      </w:pPr>
      <w:r w:rsidRPr="00EB247B">
        <w:rPr>
          <w:rFonts w:cs="Calibri"/>
        </w:rPr>
        <w:t>List of communication materials and templates to be developed</w:t>
      </w:r>
      <w:r w:rsidR="00141E9E">
        <w:rPr>
          <w:rFonts w:cs="Calibri"/>
        </w:rPr>
        <w:t xml:space="preserve"> (in local languages)</w:t>
      </w:r>
      <w:r w:rsidRPr="00EB247B">
        <w:rPr>
          <w:rFonts w:cs="Calibri"/>
        </w:rPr>
        <w:t>, with corresponding timelines and responsible individuals/organizations. This will include:</w:t>
      </w:r>
    </w:p>
    <w:p w14:paraId="176F788C" w14:textId="77777777" w:rsidR="0068600D" w:rsidRPr="00EB247B" w:rsidRDefault="0068600D" w:rsidP="00D13A21">
      <w:pPr>
        <w:pStyle w:val="ListParagraph"/>
        <w:numPr>
          <w:ilvl w:val="1"/>
          <w:numId w:val="20"/>
        </w:numPr>
        <w:spacing w:after="80"/>
        <w:ind w:left="1077" w:hanging="357"/>
        <w:jc w:val="both"/>
        <w:divId w:val="410156154"/>
        <w:rPr>
          <w:rFonts w:cs="Calibri"/>
        </w:rPr>
      </w:pPr>
      <w:r w:rsidRPr="00EB247B">
        <w:rPr>
          <w:rFonts w:cs="Calibri"/>
        </w:rPr>
        <w:t>Briefs and FAQs – both general and technical</w:t>
      </w:r>
    </w:p>
    <w:p w14:paraId="2A704A3C" w14:textId="77777777" w:rsidR="0068600D" w:rsidRPr="00EB247B" w:rsidRDefault="0068600D" w:rsidP="00D13A21">
      <w:pPr>
        <w:pStyle w:val="ListParagraph"/>
        <w:numPr>
          <w:ilvl w:val="1"/>
          <w:numId w:val="20"/>
        </w:numPr>
        <w:spacing w:after="80"/>
        <w:ind w:left="1077" w:hanging="357"/>
        <w:jc w:val="both"/>
        <w:divId w:val="410156154"/>
        <w:rPr>
          <w:rFonts w:cs="Calibri"/>
        </w:rPr>
      </w:pPr>
      <w:r w:rsidRPr="00EB247B">
        <w:rPr>
          <w:rFonts w:cs="Calibri"/>
        </w:rPr>
        <w:t>Media and issues management</w:t>
      </w:r>
    </w:p>
    <w:p w14:paraId="30DC9C31" w14:textId="77777777" w:rsidR="0068600D" w:rsidRPr="00EB247B" w:rsidRDefault="0068600D" w:rsidP="00D13A21">
      <w:pPr>
        <w:pStyle w:val="ListParagraph"/>
        <w:numPr>
          <w:ilvl w:val="1"/>
          <w:numId w:val="20"/>
        </w:numPr>
        <w:spacing w:after="80"/>
        <w:ind w:left="1077" w:hanging="357"/>
        <w:jc w:val="both"/>
        <w:divId w:val="410156154"/>
        <w:rPr>
          <w:rFonts w:cs="Calibri"/>
        </w:rPr>
      </w:pPr>
      <w:r w:rsidRPr="00EB247B">
        <w:rPr>
          <w:rFonts w:cs="Calibri"/>
        </w:rPr>
        <w:t xml:space="preserve">Social mobilization </w:t>
      </w:r>
    </w:p>
    <w:p w14:paraId="1A60C6B7" w14:textId="77777777" w:rsidR="0068600D" w:rsidRPr="00EB247B" w:rsidRDefault="0068600D" w:rsidP="00D13A21">
      <w:pPr>
        <w:pStyle w:val="ListParagraph"/>
        <w:numPr>
          <w:ilvl w:val="1"/>
          <w:numId w:val="20"/>
        </w:numPr>
        <w:spacing w:after="80"/>
        <w:ind w:left="1077" w:hanging="357"/>
        <w:jc w:val="both"/>
        <w:divId w:val="410156154"/>
        <w:rPr>
          <w:rFonts w:cs="Calibri"/>
        </w:rPr>
      </w:pPr>
      <w:r w:rsidRPr="00EB247B">
        <w:rPr>
          <w:rFonts w:cs="Calibri"/>
        </w:rPr>
        <w:t xml:space="preserve">Health worker training materials </w:t>
      </w:r>
    </w:p>
    <w:p w14:paraId="0DB415D4" w14:textId="77777777" w:rsidR="0068600D" w:rsidRPr="00EB247B" w:rsidRDefault="0068600D" w:rsidP="00D13A21">
      <w:pPr>
        <w:pStyle w:val="ListParagraph"/>
        <w:numPr>
          <w:ilvl w:val="1"/>
          <w:numId w:val="20"/>
        </w:numPr>
        <w:spacing w:after="80"/>
        <w:ind w:left="1077" w:hanging="357"/>
        <w:jc w:val="both"/>
        <w:divId w:val="410156154"/>
        <w:rPr>
          <w:rFonts w:cs="Calibri"/>
        </w:rPr>
      </w:pPr>
      <w:r w:rsidRPr="00EB247B">
        <w:rPr>
          <w:rFonts w:cs="Calibri"/>
        </w:rPr>
        <w:t xml:space="preserve">Guidance on event planning </w:t>
      </w:r>
    </w:p>
    <w:p w14:paraId="50B61419" w14:textId="77777777" w:rsidR="00045D39" w:rsidRDefault="00045D39" w:rsidP="0068600D">
      <w:pPr>
        <w:jc w:val="both"/>
        <w:divId w:val="410156154"/>
        <w:rPr>
          <w:rFonts w:ascii="Calibri" w:hAnsi="Calibri" w:cs="Calibri"/>
          <w:sz w:val="22"/>
          <w:szCs w:val="22"/>
        </w:rPr>
      </w:pPr>
    </w:p>
    <w:p w14:paraId="742DD1C1" w14:textId="77777777" w:rsidR="0068600D" w:rsidRPr="00EB247B" w:rsidRDefault="0068600D" w:rsidP="00045D39">
      <w:pPr>
        <w:jc w:val="both"/>
        <w:divId w:val="410156154"/>
        <w:rPr>
          <w:rFonts w:ascii="Calibri" w:hAnsi="Calibri" w:cs="Calibri"/>
          <w:sz w:val="22"/>
          <w:szCs w:val="22"/>
        </w:rPr>
      </w:pPr>
      <w:r w:rsidRPr="00EB247B">
        <w:rPr>
          <w:rFonts w:ascii="Calibri" w:hAnsi="Calibri" w:cs="Calibri"/>
          <w:sz w:val="22"/>
          <w:szCs w:val="22"/>
        </w:rPr>
        <w:t xml:space="preserve">Communication </w:t>
      </w:r>
      <w:r w:rsidR="00045D39">
        <w:rPr>
          <w:rFonts w:ascii="Calibri" w:hAnsi="Calibri" w:cs="Calibri"/>
          <w:sz w:val="22"/>
          <w:szCs w:val="22"/>
        </w:rPr>
        <w:t>will</w:t>
      </w:r>
      <w:r w:rsidRPr="00EB247B">
        <w:rPr>
          <w:rFonts w:ascii="Calibri" w:hAnsi="Calibri" w:cs="Calibri"/>
          <w:sz w:val="22"/>
          <w:szCs w:val="22"/>
        </w:rPr>
        <w:t xml:space="preserve"> commence at least six months before the planned introduction. Multiple media options </w:t>
      </w:r>
      <w:r w:rsidR="00045D39">
        <w:rPr>
          <w:rFonts w:ascii="Calibri" w:hAnsi="Calibri" w:cs="Calibri"/>
          <w:sz w:val="22"/>
          <w:szCs w:val="22"/>
        </w:rPr>
        <w:t>will</w:t>
      </w:r>
      <w:r w:rsidRPr="00EB247B">
        <w:rPr>
          <w:rFonts w:ascii="Calibri" w:hAnsi="Calibri" w:cs="Calibri"/>
          <w:sz w:val="22"/>
          <w:szCs w:val="22"/>
        </w:rPr>
        <w:t xml:space="preserve"> be utilized to ensure wide and effective dissemination. Advocacy for the inclusion of IPV will have to also focus on particular target audiences such as parliamentarians, </w:t>
      </w:r>
      <w:r w:rsidR="009F3F36" w:rsidRPr="00EB247B">
        <w:rPr>
          <w:rFonts w:ascii="Calibri" w:hAnsi="Calibri" w:cs="Calibri"/>
          <w:sz w:val="22"/>
          <w:szCs w:val="22"/>
        </w:rPr>
        <w:t>paediatricians</w:t>
      </w:r>
      <w:r w:rsidRPr="00EB247B">
        <w:rPr>
          <w:rFonts w:ascii="Calibri" w:hAnsi="Calibri" w:cs="Calibri"/>
          <w:sz w:val="22"/>
          <w:szCs w:val="22"/>
        </w:rPr>
        <w:t xml:space="preserve"> and the media. Each of these groups is a key influencer and requires special information and attention. </w:t>
      </w:r>
    </w:p>
    <w:p w14:paraId="1CD4CEAE" w14:textId="77777777" w:rsidR="0068600D" w:rsidRPr="00EB247B" w:rsidRDefault="0068600D" w:rsidP="0068600D">
      <w:pPr>
        <w:jc w:val="both"/>
        <w:divId w:val="410156154"/>
        <w:rPr>
          <w:rFonts w:cs="Cambria"/>
          <w:b/>
          <w:bCs/>
          <w:color w:val="7030A0"/>
          <w:sz w:val="22"/>
          <w:szCs w:val="22"/>
        </w:rPr>
      </w:pPr>
    </w:p>
    <w:p w14:paraId="2B099C8A" w14:textId="77777777" w:rsidR="0068600D" w:rsidRDefault="0068600D" w:rsidP="0068600D">
      <w:pPr>
        <w:jc w:val="both"/>
        <w:divId w:val="410156154"/>
        <w:rPr>
          <w:rFonts w:asciiTheme="majorHAnsi" w:hAnsiTheme="majorHAnsi" w:cs="Cambria"/>
          <w:b/>
          <w:bCs/>
          <w:color w:val="1F497D" w:themeColor="text2"/>
          <w:sz w:val="22"/>
          <w:szCs w:val="22"/>
        </w:rPr>
      </w:pPr>
      <w:r w:rsidRPr="004C062A">
        <w:rPr>
          <w:rFonts w:asciiTheme="majorHAnsi" w:hAnsiTheme="majorHAnsi" w:cs="Cambria"/>
          <w:b/>
          <w:bCs/>
          <w:color w:val="1F497D" w:themeColor="text2"/>
          <w:sz w:val="22"/>
          <w:szCs w:val="22"/>
        </w:rPr>
        <w:t>Timelines for communication activities</w:t>
      </w:r>
    </w:p>
    <w:p w14:paraId="2AC71DDF" w14:textId="77777777" w:rsidR="004C062A" w:rsidRPr="004C062A" w:rsidRDefault="004C062A" w:rsidP="0068600D">
      <w:pPr>
        <w:jc w:val="both"/>
        <w:divId w:val="410156154"/>
        <w:rPr>
          <w:rFonts w:asciiTheme="majorHAnsi" w:hAnsiTheme="majorHAnsi" w:cs="Cambria"/>
          <w:b/>
          <w:bCs/>
          <w:color w:val="1F497D" w:themeColor="text2"/>
          <w:sz w:val="22"/>
          <w:szCs w:val="22"/>
        </w:rPr>
      </w:pPr>
    </w:p>
    <w:p w14:paraId="33D1AF48" w14:textId="77777777" w:rsidR="0068600D" w:rsidRPr="00EB247B" w:rsidRDefault="0068600D" w:rsidP="0068600D">
      <w:pPr>
        <w:spacing w:after="80"/>
        <w:jc w:val="both"/>
        <w:divId w:val="410156154"/>
        <w:rPr>
          <w:rFonts w:ascii="Calibri" w:hAnsi="Calibri" w:cs="Calibri"/>
          <w:sz w:val="22"/>
          <w:szCs w:val="22"/>
        </w:rPr>
      </w:pPr>
      <w:r w:rsidRPr="00EB247B">
        <w:rPr>
          <w:rFonts w:ascii="Calibri" w:hAnsi="Calibri" w:cs="Calibri"/>
          <w:sz w:val="22"/>
          <w:szCs w:val="22"/>
        </w:rPr>
        <w:t>Following is a draft timeline of subsequent steps for communication activities:</w:t>
      </w:r>
    </w:p>
    <w:p w14:paraId="0E3E2AA3" w14:textId="77777777" w:rsidR="0068600D" w:rsidRPr="00EB247B" w:rsidRDefault="0068600D" w:rsidP="0068600D">
      <w:pPr>
        <w:pStyle w:val="ListParagraph"/>
        <w:numPr>
          <w:ilvl w:val="0"/>
          <w:numId w:val="20"/>
        </w:numPr>
        <w:spacing w:after="160" w:line="256" w:lineRule="auto"/>
        <w:ind w:left="1134" w:hanging="425"/>
        <w:jc w:val="both"/>
        <w:divId w:val="410156154"/>
        <w:rPr>
          <w:rFonts w:cs="Calibri"/>
        </w:rPr>
      </w:pPr>
      <w:r w:rsidRPr="00EB247B">
        <w:rPr>
          <w:rFonts w:cs="Calibri"/>
        </w:rPr>
        <w:t>Q3 2014: Development of detailed communication plan</w:t>
      </w:r>
    </w:p>
    <w:p w14:paraId="01F65BA7" w14:textId="77777777" w:rsidR="0068600D" w:rsidRPr="00EB247B" w:rsidRDefault="0068600D" w:rsidP="0068600D">
      <w:pPr>
        <w:pStyle w:val="ListParagraph"/>
        <w:numPr>
          <w:ilvl w:val="0"/>
          <w:numId w:val="20"/>
        </w:numPr>
        <w:spacing w:after="160" w:line="256" w:lineRule="auto"/>
        <w:ind w:left="1134" w:hanging="425"/>
        <w:jc w:val="both"/>
        <w:divId w:val="410156154"/>
        <w:rPr>
          <w:rFonts w:cs="Calibri"/>
        </w:rPr>
      </w:pPr>
      <w:r w:rsidRPr="00EB247B">
        <w:rPr>
          <w:rFonts w:cs="Calibri"/>
        </w:rPr>
        <w:t>Q3 2014 to Q4 2015: Development and finalization of all materials and messaging</w:t>
      </w:r>
    </w:p>
    <w:p w14:paraId="6326BE21" w14:textId="77777777" w:rsidR="0068600D" w:rsidRPr="00EB247B" w:rsidRDefault="0068600D" w:rsidP="0068600D">
      <w:pPr>
        <w:pStyle w:val="ListParagraph"/>
        <w:numPr>
          <w:ilvl w:val="0"/>
          <w:numId w:val="20"/>
        </w:numPr>
        <w:spacing w:after="160" w:line="256" w:lineRule="auto"/>
        <w:ind w:left="1134" w:hanging="425"/>
        <w:jc w:val="both"/>
        <w:divId w:val="410156154"/>
        <w:rPr>
          <w:rFonts w:cs="Calibri"/>
        </w:rPr>
      </w:pPr>
      <w:r w:rsidRPr="00EB247B">
        <w:rPr>
          <w:rFonts w:cs="Calibri"/>
        </w:rPr>
        <w:t xml:space="preserve">March 2015: initiation of national and state communication plans </w:t>
      </w:r>
      <w:r>
        <w:rPr>
          <w:rFonts w:cs="Calibri"/>
        </w:rPr>
        <w:t>and trainings</w:t>
      </w:r>
    </w:p>
    <w:p w14:paraId="6058D520" w14:textId="77777777" w:rsidR="005527B4" w:rsidRPr="006B10AA" w:rsidRDefault="0068600D" w:rsidP="006B10AA">
      <w:pPr>
        <w:pStyle w:val="ListParagraph"/>
        <w:numPr>
          <w:ilvl w:val="0"/>
          <w:numId w:val="20"/>
        </w:numPr>
        <w:autoSpaceDE w:val="0"/>
        <w:autoSpaceDN w:val="0"/>
        <w:adjustRightInd w:val="0"/>
        <w:spacing w:before="120" w:after="120" w:line="256" w:lineRule="auto"/>
        <w:ind w:left="120" w:right="350" w:hanging="425"/>
        <w:jc w:val="both"/>
        <w:divId w:val="410156154"/>
        <w:rPr>
          <w:rFonts w:cs="Calibri"/>
          <w:color w:val="000000"/>
        </w:rPr>
      </w:pPr>
      <w:r w:rsidRPr="006B10AA">
        <w:rPr>
          <w:rFonts w:cs="Calibri"/>
        </w:rPr>
        <w:t>From October 2015: follow up and any communications technical support for states to assist in adaptation of messaging, as well as to capture and document any relevant learning</w:t>
      </w:r>
    </w:p>
    <w:sectPr w:rsidR="005527B4" w:rsidRPr="006B10AA" w:rsidSect="00045D39">
      <w:footerReference w:type="default" r:id="rId13"/>
      <w:pgSz w:w="11906" w:h="16838" w:code="9"/>
      <w:pgMar w:top="1440" w:right="1287" w:bottom="1349" w:left="1349"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D620A" w14:textId="77777777" w:rsidR="00D71A87" w:rsidRDefault="00D71A87">
      <w:r>
        <w:separator/>
      </w:r>
    </w:p>
  </w:endnote>
  <w:endnote w:type="continuationSeparator" w:id="0">
    <w:p w14:paraId="4CD759D6" w14:textId="77777777" w:rsidR="00D71A87" w:rsidRDefault="00D7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Seravek">
    <w:panose1 w:val="020B0503040000020004"/>
    <w:charset w:val="00"/>
    <w:family w:val="auto"/>
    <w:pitch w:val="variable"/>
    <w:sig w:usb0="A00000EF" w:usb1="5000207B" w:usb2="00000000" w:usb3="00000000" w:csb0="0000009F" w:csb1="00000000"/>
  </w:font>
  <w:font w:name="Greta Text Pro Light">
    <w:altName w:val="Cambria"/>
    <w:panose1 w:val="00000000000000000000"/>
    <w:charset w:val="00"/>
    <w:family w:val="roman"/>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20587"/>
      <w:docPartObj>
        <w:docPartGallery w:val="Page Numbers (Bottom of Page)"/>
        <w:docPartUnique/>
      </w:docPartObj>
    </w:sdtPr>
    <w:sdtEndPr>
      <w:rPr>
        <w:noProof/>
      </w:rPr>
    </w:sdtEndPr>
    <w:sdtContent>
      <w:p w14:paraId="5F1A7A8C" w14:textId="77777777" w:rsidR="00F95C0D" w:rsidRDefault="00F95C0D">
        <w:pPr>
          <w:pStyle w:val="Footer"/>
          <w:jc w:val="right"/>
        </w:pPr>
        <w:r>
          <w:fldChar w:fldCharType="begin"/>
        </w:r>
        <w:r>
          <w:instrText xml:space="preserve"> PAGE   \* MERGEFORMAT </w:instrText>
        </w:r>
        <w:r>
          <w:fldChar w:fldCharType="separate"/>
        </w:r>
        <w:r w:rsidR="00D3762E">
          <w:rPr>
            <w:noProof/>
          </w:rPr>
          <w:t>4</w:t>
        </w:r>
        <w:r>
          <w:rPr>
            <w:noProof/>
          </w:rPr>
          <w:fldChar w:fldCharType="end"/>
        </w:r>
      </w:p>
    </w:sdtContent>
  </w:sdt>
  <w:p w14:paraId="15DC3F6D" w14:textId="77777777" w:rsidR="00FF68FD" w:rsidRDefault="00FF68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BAC70" w14:textId="77777777" w:rsidR="00D71A87" w:rsidRDefault="00D71A87">
      <w:r>
        <w:separator/>
      </w:r>
    </w:p>
  </w:footnote>
  <w:footnote w:type="continuationSeparator" w:id="0">
    <w:p w14:paraId="088DF7D6" w14:textId="77777777" w:rsidR="00D71A87" w:rsidRDefault="00D71A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msoF980"/>
      </v:shape>
    </w:pict>
  </w:numPicBullet>
  <w:abstractNum w:abstractNumId="0">
    <w:nsid w:val="FFFFFF1D"/>
    <w:multiLevelType w:val="multilevel"/>
    <w:tmpl w:val="0BBC7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E4C65"/>
    <w:multiLevelType w:val="hybridMultilevel"/>
    <w:tmpl w:val="EDD80E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267510"/>
    <w:multiLevelType w:val="multilevel"/>
    <w:tmpl w:val="E274172E"/>
    <w:lvl w:ilvl="0">
      <w:start w:val="1"/>
      <w:numFmt w:val="decimal"/>
      <w:pStyle w:val="Style2"/>
      <w:lvlText w:val="%1."/>
      <w:lvlJc w:val="left"/>
      <w:pPr>
        <w:ind w:left="360" w:hanging="360"/>
      </w:pPr>
      <w:rPr>
        <w:rFonts w:hint="default"/>
      </w:rPr>
    </w:lvl>
    <w:lvl w:ilvl="1">
      <w:start w:val="1"/>
      <w:numFmt w:val="decimal"/>
      <w:pStyle w:val="Style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0DA7749D"/>
    <w:multiLevelType w:val="hybridMultilevel"/>
    <w:tmpl w:val="E67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219F7"/>
    <w:multiLevelType w:val="hybridMultilevel"/>
    <w:tmpl w:val="A9443C70"/>
    <w:lvl w:ilvl="0" w:tplc="2A123A26">
      <w:numFmt w:val="bullet"/>
      <w:lvlText w:val="-"/>
      <w:lvlJc w:val="left"/>
      <w:pPr>
        <w:ind w:left="825" w:hanging="360"/>
      </w:pPr>
      <w:rPr>
        <w:rFonts w:ascii="Calibri" w:eastAsia="Cambria" w:hAnsi="Calibri"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415D6"/>
    <w:multiLevelType w:val="hybridMultilevel"/>
    <w:tmpl w:val="429E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397E3A"/>
    <w:multiLevelType w:val="hybridMultilevel"/>
    <w:tmpl w:val="A6D6F506"/>
    <w:lvl w:ilvl="0" w:tplc="B1A44E42">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34012B"/>
    <w:multiLevelType w:val="hybridMultilevel"/>
    <w:tmpl w:val="E7E0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4D1D08"/>
    <w:multiLevelType w:val="hybridMultilevel"/>
    <w:tmpl w:val="D690C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D54CAD"/>
    <w:multiLevelType w:val="hybridMultilevel"/>
    <w:tmpl w:val="A45285C2"/>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2">
    <w:nsid w:val="47FA7437"/>
    <w:multiLevelType w:val="hybridMultilevel"/>
    <w:tmpl w:val="C8C49E24"/>
    <w:lvl w:ilvl="0" w:tplc="2A123A26">
      <w:numFmt w:val="bullet"/>
      <w:lvlText w:val="-"/>
      <w:lvlJc w:val="left"/>
      <w:pPr>
        <w:ind w:left="720" w:hanging="360"/>
      </w:pPr>
      <w:rPr>
        <w:rFonts w:ascii="Calibri" w:eastAsia="Cambria" w:hAnsi="Calibri" w:cs="Calibri" w:hint="default"/>
      </w:rPr>
    </w:lvl>
    <w:lvl w:ilvl="1" w:tplc="2A123A26">
      <w:numFmt w:val="bullet"/>
      <w:lvlText w:val="-"/>
      <w:lvlJc w:val="left"/>
      <w:pPr>
        <w:ind w:left="1440" w:hanging="360"/>
      </w:pPr>
      <w:rPr>
        <w:rFonts w:ascii="Calibri" w:eastAsia="Cambria"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4AAA19C2"/>
    <w:multiLevelType w:val="hybridMultilevel"/>
    <w:tmpl w:val="768E810A"/>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F5942"/>
    <w:multiLevelType w:val="hybridMultilevel"/>
    <w:tmpl w:val="73F4E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3A7C47"/>
    <w:multiLevelType w:val="hybridMultilevel"/>
    <w:tmpl w:val="60E0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C4643"/>
    <w:multiLevelType w:val="hybridMultilevel"/>
    <w:tmpl w:val="3E2EE75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523870CC"/>
    <w:multiLevelType w:val="hybridMultilevel"/>
    <w:tmpl w:val="284A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7A2D3D"/>
    <w:multiLevelType w:val="hybridMultilevel"/>
    <w:tmpl w:val="6498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8E7D74"/>
    <w:multiLevelType w:val="hybridMultilevel"/>
    <w:tmpl w:val="30E2C16E"/>
    <w:lvl w:ilvl="0" w:tplc="0809000F">
      <w:start w:val="1"/>
      <w:numFmt w:val="decimal"/>
      <w:lvlText w:val="%1."/>
      <w:lvlJc w:val="left"/>
      <w:pPr>
        <w:ind w:left="720" w:hanging="360"/>
      </w:pPr>
    </w:lvl>
    <w:lvl w:ilvl="1" w:tplc="2A123A26">
      <w:numFmt w:val="bullet"/>
      <w:lvlText w:val="-"/>
      <w:lvlJc w:val="left"/>
      <w:pPr>
        <w:ind w:left="1440" w:hanging="360"/>
      </w:pPr>
      <w:rPr>
        <w:rFonts w:ascii="Calibri" w:eastAsia="Cambria"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660F0B5A"/>
    <w:multiLevelType w:val="hybridMultilevel"/>
    <w:tmpl w:val="63FA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100FA"/>
    <w:multiLevelType w:val="hybridMultilevel"/>
    <w:tmpl w:val="F45E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3034A3"/>
    <w:multiLevelType w:val="hybridMultilevel"/>
    <w:tmpl w:val="27126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6D8710B1"/>
    <w:multiLevelType w:val="hybridMultilevel"/>
    <w:tmpl w:val="0CB84244"/>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3"/>
  </w:num>
  <w:num w:numId="4">
    <w:abstractNumId w:val="7"/>
  </w:num>
  <w:num w:numId="5">
    <w:abstractNumId w:val="11"/>
  </w:num>
  <w:num w:numId="6">
    <w:abstractNumId w:val="15"/>
  </w:num>
  <w:num w:numId="7">
    <w:abstractNumId w:val="1"/>
  </w:num>
  <w:num w:numId="8">
    <w:abstractNumId w:val="6"/>
  </w:num>
  <w:num w:numId="9">
    <w:abstractNumId w:val="4"/>
  </w:num>
  <w:num w:numId="10">
    <w:abstractNumId w:val="9"/>
  </w:num>
  <w:num w:numId="11">
    <w:abstractNumId w:val="20"/>
  </w:num>
  <w:num w:numId="12">
    <w:abstractNumId w:val="10"/>
  </w:num>
  <w:num w:numId="13">
    <w:abstractNumId w:val="17"/>
  </w:num>
  <w:num w:numId="14">
    <w:abstractNumId w:val="23"/>
  </w:num>
  <w:num w:numId="15">
    <w:abstractNumId w:val="18"/>
  </w:num>
  <w:num w:numId="16">
    <w:abstractNumId w:val="13"/>
  </w:num>
  <w:num w:numId="17">
    <w:abstractNumId w:val="0"/>
  </w:num>
  <w:num w:numId="18">
    <w:abstractNumId w:val="14"/>
  </w:num>
  <w:num w:numId="19">
    <w:abstractNumId w:val="2"/>
  </w:num>
  <w:num w:numId="2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A0"/>
    <w:rsid w:val="00001BFD"/>
    <w:rsid w:val="0000283B"/>
    <w:rsid w:val="00004AF1"/>
    <w:rsid w:val="000078F6"/>
    <w:rsid w:val="00014567"/>
    <w:rsid w:val="000256D0"/>
    <w:rsid w:val="000302CF"/>
    <w:rsid w:val="00031A41"/>
    <w:rsid w:val="0003613A"/>
    <w:rsid w:val="00037A54"/>
    <w:rsid w:val="0004013F"/>
    <w:rsid w:val="000408CF"/>
    <w:rsid w:val="000415BF"/>
    <w:rsid w:val="00041694"/>
    <w:rsid w:val="000455A4"/>
    <w:rsid w:val="00045D39"/>
    <w:rsid w:val="00052A8F"/>
    <w:rsid w:val="00053550"/>
    <w:rsid w:val="00053ADC"/>
    <w:rsid w:val="00056695"/>
    <w:rsid w:val="0005783E"/>
    <w:rsid w:val="0006011A"/>
    <w:rsid w:val="00064F25"/>
    <w:rsid w:val="00067EF9"/>
    <w:rsid w:val="000711A2"/>
    <w:rsid w:val="000714DB"/>
    <w:rsid w:val="00072828"/>
    <w:rsid w:val="000738BD"/>
    <w:rsid w:val="00076C12"/>
    <w:rsid w:val="000825AE"/>
    <w:rsid w:val="00083A96"/>
    <w:rsid w:val="00083EB7"/>
    <w:rsid w:val="00083ECB"/>
    <w:rsid w:val="0008678F"/>
    <w:rsid w:val="00086B73"/>
    <w:rsid w:val="00092201"/>
    <w:rsid w:val="00092A06"/>
    <w:rsid w:val="00093157"/>
    <w:rsid w:val="000938B0"/>
    <w:rsid w:val="000941BA"/>
    <w:rsid w:val="00094416"/>
    <w:rsid w:val="000946BC"/>
    <w:rsid w:val="00094EF2"/>
    <w:rsid w:val="00094F86"/>
    <w:rsid w:val="00095390"/>
    <w:rsid w:val="000953AC"/>
    <w:rsid w:val="00096C68"/>
    <w:rsid w:val="000A739B"/>
    <w:rsid w:val="000B1076"/>
    <w:rsid w:val="000B11CB"/>
    <w:rsid w:val="000B1CA4"/>
    <w:rsid w:val="000B1F4C"/>
    <w:rsid w:val="000B2CE8"/>
    <w:rsid w:val="000B3218"/>
    <w:rsid w:val="000B3EC2"/>
    <w:rsid w:val="000C1020"/>
    <w:rsid w:val="000C38D6"/>
    <w:rsid w:val="000C444D"/>
    <w:rsid w:val="000C5712"/>
    <w:rsid w:val="000C6987"/>
    <w:rsid w:val="000C6E5C"/>
    <w:rsid w:val="000D3049"/>
    <w:rsid w:val="000D3757"/>
    <w:rsid w:val="000D38E2"/>
    <w:rsid w:val="000D7D7D"/>
    <w:rsid w:val="000E0FBB"/>
    <w:rsid w:val="000E5222"/>
    <w:rsid w:val="000E5C43"/>
    <w:rsid w:val="000E6037"/>
    <w:rsid w:val="000E6199"/>
    <w:rsid w:val="000E6FFC"/>
    <w:rsid w:val="000F0E5D"/>
    <w:rsid w:val="000F11CE"/>
    <w:rsid w:val="000F247A"/>
    <w:rsid w:val="000F44D2"/>
    <w:rsid w:val="000F461D"/>
    <w:rsid w:val="000F4653"/>
    <w:rsid w:val="000F4F79"/>
    <w:rsid w:val="000F539E"/>
    <w:rsid w:val="00100D46"/>
    <w:rsid w:val="001032C2"/>
    <w:rsid w:val="00110AC2"/>
    <w:rsid w:val="00114A12"/>
    <w:rsid w:val="001159B3"/>
    <w:rsid w:val="00117717"/>
    <w:rsid w:val="00121627"/>
    <w:rsid w:val="00124788"/>
    <w:rsid w:val="0012672E"/>
    <w:rsid w:val="00132BBB"/>
    <w:rsid w:val="00136897"/>
    <w:rsid w:val="00136CF3"/>
    <w:rsid w:val="00141E9E"/>
    <w:rsid w:val="001420AA"/>
    <w:rsid w:val="00144AA0"/>
    <w:rsid w:val="00144C46"/>
    <w:rsid w:val="001476E8"/>
    <w:rsid w:val="00147951"/>
    <w:rsid w:val="00147FD7"/>
    <w:rsid w:val="001516A9"/>
    <w:rsid w:val="00153D56"/>
    <w:rsid w:val="001569AA"/>
    <w:rsid w:val="0015797D"/>
    <w:rsid w:val="00160BCC"/>
    <w:rsid w:val="00163434"/>
    <w:rsid w:val="00165B11"/>
    <w:rsid w:val="00166172"/>
    <w:rsid w:val="0016687E"/>
    <w:rsid w:val="00166AD9"/>
    <w:rsid w:val="001670C2"/>
    <w:rsid w:val="00172F6B"/>
    <w:rsid w:val="0017505A"/>
    <w:rsid w:val="00180E88"/>
    <w:rsid w:val="0018274D"/>
    <w:rsid w:val="00183551"/>
    <w:rsid w:val="00183C59"/>
    <w:rsid w:val="0018477E"/>
    <w:rsid w:val="00184DC7"/>
    <w:rsid w:val="00185037"/>
    <w:rsid w:val="0018509C"/>
    <w:rsid w:val="00186061"/>
    <w:rsid w:val="00194CCF"/>
    <w:rsid w:val="001A07EA"/>
    <w:rsid w:val="001A4C6D"/>
    <w:rsid w:val="001A5838"/>
    <w:rsid w:val="001A6C48"/>
    <w:rsid w:val="001A75FA"/>
    <w:rsid w:val="001A76E4"/>
    <w:rsid w:val="001B0FC1"/>
    <w:rsid w:val="001B13F9"/>
    <w:rsid w:val="001B2226"/>
    <w:rsid w:val="001B2F06"/>
    <w:rsid w:val="001B3136"/>
    <w:rsid w:val="001B755F"/>
    <w:rsid w:val="001B7948"/>
    <w:rsid w:val="001C0B8D"/>
    <w:rsid w:val="001C1A24"/>
    <w:rsid w:val="001C1ACC"/>
    <w:rsid w:val="001C3A35"/>
    <w:rsid w:val="001C5902"/>
    <w:rsid w:val="001C776A"/>
    <w:rsid w:val="001D03BD"/>
    <w:rsid w:val="001D0962"/>
    <w:rsid w:val="001D0A9E"/>
    <w:rsid w:val="001D2E35"/>
    <w:rsid w:val="001D4D05"/>
    <w:rsid w:val="001D5E60"/>
    <w:rsid w:val="001E59F3"/>
    <w:rsid w:val="001E69DD"/>
    <w:rsid w:val="001F320C"/>
    <w:rsid w:val="001F38C8"/>
    <w:rsid w:val="001F40A3"/>
    <w:rsid w:val="001F4509"/>
    <w:rsid w:val="001F46A6"/>
    <w:rsid w:val="001F4F9C"/>
    <w:rsid w:val="001F5F13"/>
    <w:rsid w:val="0020296B"/>
    <w:rsid w:val="00202D31"/>
    <w:rsid w:val="00205EBC"/>
    <w:rsid w:val="002075A0"/>
    <w:rsid w:val="00211D28"/>
    <w:rsid w:val="00212B4A"/>
    <w:rsid w:val="00215061"/>
    <w:rsid w:val="00215712"/>
    <w:rsid w:val="00217712"/>
    <w:rsid w:val="00221ACF"/>
    <w:rsid w:val="00223023"/>
    <w:rsid w:val="00231C36"/>
    <w:rsid w:val="002321CB"/>
    <w:rsid w:val="00232D03"/>
    <w:rsid w:val="00232DAE"/>
    <w:rsid w:val="002342B8"/>
    <w:rsid w:val="0023518E"/>
    <w:rsid w:val="00237BBA"/>
    <w:rsid w:val="00241249"/>
    <w:rsid w:val="002448B9"/>
    <w:rsid w:val="00245441"/>
    <w:rsid w:val="00245ADD"/>
    <w:rsid w:val="00251148"/>
    <w:rsid w:val="00251931"/>
    <w:rsid w:val="0025221B"/>
    <w:rsid w:val="002528EB"/>
    <w:rsid w:val="002562AD"/>
    <w:rsid w:val="002570F8"/>
    <w:rsid w:val="002577BE"/>
    <w:rsid w:val="002615D5"/>
    <w:rsid w:val="00262C7F"/>
    <w:rsid w:val="0026733B"/>
    <w:rsid w:val="00267E22"/>
    <w:rsid w:val="0027063C"/>
    <w:rsid w:val="002715DC"/>
    <w:rsid w:val="0028285C"/>
    <w:rsid w:val="00283816"/>
    <w:rsid w:val="00284B25"/>
    <w:rsid w:val="00287590"/>
    <w:rsid w:val="0029443A"/>
    <w:rsid w:val="002972F0"/>
    <w:rsid w:val="002973C2"/>
    <w:rsid w:val="00297FC4"/>
    <w:rsid w:val="002A41EB"/>
    <w:rsid w:val="002A42CB"/>
    <w:rsid w:val="002A4EC0"/>
    <w:rsid w:val="002A5F2C"/>
    <w:rsid w:val="002A6997"/>
    <w:rsid w:val="002A7508"/>
    <w:rsid w:val="002B1DD1"/>
    <w:rsid w:val="002B3253"/>
    <w:rsid w:val="002B36B8"/>
    <w:rsid w:val="002B5B10"/>
    <w:rsid w:val="002B7EC0"/>
    <w:rsid w:val="002B7FF8"/>
    <w:rsid w:val="002C1335"/>
    <w:rsid w:val="002C3B3E"/>
    <w:rsid w:val="002C4106"/>
    <w:rsid w:val="002C5418"/>
    <w:rsid w:val="002C66E3"/>
    <w:rsid w:val="002C685C"/>
    <w:rsid w:val="002C6F47"/>
    <w:rsid w:val="002D0957"/>
    <w:rsid w:val="002D0AA0"/>
    <w:rsid w:val="002D175D"/>
    <w:rsid w:val="002D395E"/>
    <w:rsid w:val="002D3A7E"/>
    <w:rsid w:val="002D51D1"/>
    <w:rsid w:val="002D52EE"/>
    <w:rsid w:val="002D5FBE"/>
    <w:rsid w:val="002D64CB"/>
    <w:rsid w:val="002D6C4A"/>
    <w:rsid w:val="002E08A3"/>
    <w:rsid w:val="002E4584"/>
    <w:rsid w:val="002F217D"/>
    <w:rsid w:val="002F222A"/>
    <w:rsid w:val="002F5381"/>
    <w:rsid w:val="002F60D0"/>
    <w:rsid w:val="00300D59"/>
    <w:rsid w:val="00302D89"/>
    <w:rsid w:val="00303F0A"/>
    <w:rsid w:val="0030460B"/>
    <w:rsid w:val="00305FBB"/>
    <w:rsid w:val="00306BAE"/>
    <w:rsid w:val="00310E1A"/>
    <w:rsid w:val="003162EC"/>
    <w:rsid w:val="003167D9"/>
    <w:rsid w:val="00316C52"/>
    <w:rsid w:val="00323E00"/>
    <w:rsid w:val="00324D37"/>
    <w:rsid w:val="003251AE"/>
    <w:rsid w:val="003306CF"/>
    <w:rsid w:val="00333383"/>
    <w:rsid w:val="0033361A"/>
    <w:rsid w:val="00334F23"/>
    <w:rsid w:val="00336A12"/>
    <w:rsid w:val="00340277"/>
    <w:rsid w:val="00341D1B"/>
    <w:rsid w:val="003521D5"/>
    <w:rsid w:val="003528FC"/>
    <w:rsid w:val="003531A4"/>
    <w:rsid w:val="0035591D"/>
    <w:rsid w:val="00357DDA"/>
    <w:rsid w:val="00362B35"/>
    <w:rsid w:val="003654CB"/>
    <w:rsid w:val="00370A1A"/>
    <w:rsid w:val="00372CC2"/>
    <w:rsid w:val="00376BA4"/>
    <w:rsid w:val="00380975"/>
    <w:rsid w:val="00381786"/>
    <w:rsid w:val="003834AE"/>
    <w:rsid w:val="00384605"/>
    <w:rsid w:val="003860FC"/>
    <w:rsid w:val="00386AD4"/>
    <w:rsid w:val="00393032"/>
    <w:rsid w:val="003A2C41"/>
    <w:rsid w:val="003A3694"/>
    <w:rsid w:val="003A5D7E"/>
    <w:rsid w:val="003A63B8"/>
    <w:rsid w:val="003A6D3D"/>
    <w:rsid w:val="003B0601"/>
    <w:rsid w:val="003B19F1"/>
    <w:rsid w:val="003B29FE"/>
    <w:rsid w:val="003B3FB2"/>
    <w:rsid w:val="003C1E87"/>
    <w:rsid w:val="003C2936"/>
    <w:rsid w:val="003C6B0B"/>
    <w:rsid w:val="003D0DBF"/>
    <w:rsid w:val="003D2649"/>
    <w:rsid w:val="003D288E"/>
    <w:rsid w:val="003D34EC"/>
    <w:rsid w:val="003D53EF"/>
    <w:rsid w:val="003E16F7"/>
    <w:rsid w:val="003E2203"/>
    <w:rsid w:val="003E490F"/>
    <w:rsid w:val="003E5CCC"/>
    <w:rsid w:val="003E60AC"/>
    <w:rsid w:val="003E625E"/>
    <w:rsid w:val="003E688F"/>
    <w:rsid w:val="003E7795"/>
    <w:rsid w:val="003F34A6"/>
    <w:rsid w:val="003F3B5F"/>
    <w:rsid w:val="003F3E8B"/>
    <w:rsid w:val="00400C76"/>
    <w:rsid w:val="00400FC6"/>
    <w:rsid w:val="00402465"/>
    <w:rsid w:val="004025B6"/>
    <w:rsid w:val="0040538E"/>
    <w:rsid w:val="00406353"/>
    <w:rsid w:val="0041434A"/>
    <w:rsid w:val="00414720"/>
    <w:rsid w:val="004157E0"/>
    <w:rsid w:val="00420378"/>
    <w:rsid w:val="004266C4"/>
    <w:rsid w:val="00427253"/>
    <w:rsid w:val="004300FB"/>
    <w:rsid w:val="0043177F"/>
    <w:rsid w:val="00431EEF"/>
    <w:rsid w:val="00433AB4"/>
    <w:rsid w:val="0043495D"/>
    <w:rsid w:val="0043560B"/>
    <w:rsid w:val="00435E1A"/>
    <w:rsid w:val="004420AE"/>
    <w:rsid w:val="004427FA"/>
    <w:rsid w:val="00445DAE"/>
    <w:rsid w:val="0045119B"/>
    <w:rsid w:val="00461A38"/>
    <w:rsid w:val="00461C7C"/>
    <w:rsid w:val="004630B1"/>
    <w:rsid w:val="004639CC"/>
    <w:rsid w:val="00463DF7"/>
    <w:rsid w:val="004711CE"/>
    <w:rsid w:val="00471B8D"/>
    <w:rsid w:val="00474F31"/>
    <w:rsid w:val="00480CBB"/>
    <w:rsid w:val="00484977"/>
    <w:rsid w:val="004861CE"/>
    <w:rsid w:val="004872EE"/>
    <w:rsid w:val="004901BA"/>
    <w:rsid w:val="004925BC"/>
    <w:rsid w:val="0049263B"/>
    <w:rsid w:val="00492C8D"/>
    <w:rsid w:val="00495846"/>
    <w:rsid w:val="0049745C"/>
    <w:rsid w:val="004A1A37"/>
    <w:rsid w:val="004A1ECE"/>
    <w:rsid w:val="004A66B3"/>
    <w:rsid w:val="004A727D"/>
    <w:rsid w:val="004B1886"/>
    <w:rsid w:val="004B1BC1"/>
    <w:rsid w:val="004B7A41"/>
    <w:rsid w:val="004B7AAF"/>
    <w:rsid w:val="004C062A"/>
    <w:rsid w:val="004C3346"/>
    <w:rsid w:val="004C4556"/>
    <w:rsid w:val="004C47E9"/>
    <w:rsid w:val="004C6211"/>
    <w:rsid w:val="004C7A7B"/>
    <w:rsid w:val="004D32D9"/>
    <w:rsid w:val="004D3C1C"/>
    <w:rsid w:val="004D5D69"/>
    <w:rsid w:val="004D6313"/>
    <w:rsid w:val="004E2C96"/>
    <w:rsid w:val="004E33FD"/>
    <w:rsid w:val="004E3F18"/>
    <w:rsid w:val="004E7253"/>
    <w:rsid w:val="004F44A5"/>
    <w:rsid w:val="004F5C10"/>
    <w:rsid w:val="005047B3"/>
    <w:rsid w:val="005068B1"/>
    <w:rsid w:val="00506A64"/>
    <w:rsid w:val="00507493"/>
    <w:rsid w:val="00510F66"/>
    <w:rsid w:val="005110F7"/>
    <w:rsid w:val="00514835"/>
    <w:rsid w:val="00515DF4"/>
    <w:rsid w:val="005160CC"/>
    <w:rsid w:val="00522A10"/>
    <w:rsid w:val="00522EBF"/>
    <w:rsid w:val="00523988"/>
    <w:rsid w:val="00534D9D"/>
    <w:rsid w:val="00535256"/>
    <w:rsid w:val="0053574C"/>
    <w:rsid w:val="0053753F"/>
    <w:rsid w:val="005376F9"/>
    <w:rsid w:val="00541FA0"/>
    <w:rsid w:val="00542316"/>
    <w:rsid w:val="005434CC"/>
    <w:rsid w:val="00543E8E"/>
    <w:rsid w:val="00546100"/>
    <w:rsid w:val="00546604"/>
    <w:rsid w:val="00550471"/>
    <w:rsid w:val="00550D55"/>
    <w:rsid w:val="005527B4"/>
    <w:rsid w:val="005535A0"/>
    <w:rsid w:val="00555F82"/>
    <w:rsid w:val="005566A5"/>
    <w:rsid w:val="005573EF"/>
    <w:rsid w:val="00560910"/>
    <w:rsid w:val="00563F84"/>
    <w:rsid w:val="00564459"/>
    <w:rsid w:val="00565F0D"/>
    <w:rsid w:val="00567E12"/>
    <w:rsid w:val="0057223D"/>
    <w:rsid w:val="00574F95"/>
    <w:rsid w:val="00576DB0"/>
    <w:rsid w:val="00580F7C"/>
    <w:rsid w:val="005816BA"/>
    <w:rsid w:val="005817D8"/>
    <w:rsid w:val="005830FC"/>
    <w:rsid w:val="00583290"/>
    <w:rsid w:val="005855DB"/>
    <w:rsid w:val="00586C4E"/>
    <w:rsid w:val="005872D6"/>
    <w:rsid w:val="0059008B"/>
    <w:rsid w:val="00590A0C"/>
    <w:rsid w:val="0059188F"/>
    <w:rsid w:val="00597007"/>
    <w:rsid w:val="005A0603"/>
    <w:rsid w:val="005A0B65"/>
    <w:rsid w:val="005A1F24"/>
    <w:rsid w:val="005A299B"/>
    <w:rsid w:val="005A3279"/>
    <w:rsid w:val="005A32D4"/>
    <w:rsid w:val="005B10F5"/>
    <w:rsid w:val="005B3904"/>
    <w:rsid w:val="005B5EE7"/>
    <w:rsid w:val="005B7E35"/>
    <w:rsid w:val="005C1396"/>
    <w:rsid w:val="005C1F4E"/>
    <w:rsid w:val="005C2FED"/>
    <w:rsid w:val="005C3AB1"/>
    <w:rsid w:val="005C5D03"/>
    <w:rsid w:val="005C6159"/>
    <w:rsid w:val="005C61A8"/>
    <w:rsid w:val="005C7593"/>
    <w:rsid w:val="005D115C"/>
    <w:rsid w:val="005D5ABD"/>
    <w:rsid w:val="005D5F12"/>
    <w:rsid w:val="005E111D"/>
    <w:rsid w:val="005E4030"/>
    <w:rsid w:val="005E4335"/>
    <w:rsid w:val="005E4453"/>
    <w:rsid w:val="005E45C7"/>
    <w:rsid w:val="005E5546"/>
    <w:rsid w:val="005E6E49"/>
    <w:rsid w:val="005F1D82"/>
    <w:rsid w:val="005F216C"/>
    <w:rsid w:val="005F4886"/>
    <w:rsid w:val="005F6C6C"/>
    <w:rsid w:val="005F6F4E"/>
    <w:rsid w:val="006021BE"/>
    <w:rsid w:val="00602AF2"/>
    <w:rsid w:val="006040D1"/>
    <w:rsid w:val="0061138A"/>
    <w:rsid w:val="00615331"/>
    <w:rsid w:val="00615611"/>
    <w:rsid w:val="00620649"/>
    <w:rsid w:val="006218FC"/>
    <w:rsid w:val="0062360A"/>
    <w:rsid w:val="0062432A"/>
    <w:rsid w:val="00630E87"/>
    <w:rsid w:val="00633A5A"/>
    <w:rsid w:val="00635E9F"/>
    <w:rsid w:val="0064446C"/>
    <w:rsid w:val="00646F79"/>
    <w:rsid w:val="00650D17"/>
    <w:rsid w:val="00651FD9"/>
    <w:rsid w:val="00653C4D"/>
    <w:rsid w:val="00654870"/>
    <w:rsid w:val="00654AE9"/>
    <w:rsid w:val="00655E2E"/>
    <w:rsid w:val="00657F40"/>
    <w:rsid w:val="00660C87"/>
    <w:rsid w:val="0066180B"/>
    <w:rsid w:val="006621A2"/>
    <w:rsid w:val="006637ED"/>
    <w:rsid w:val="00663CEB"/>
    <w:rsid w:val="006659A5"/>
    <w:rsid w:val="0066625D"/>
    <w:rsid w:val="00667454"/>
    <w:rsid w:val="00671CCC"/>
    <w:rsid w:val="00673F2C"/>
    <w:rsid w:val="00677A7B"/>
    <w:rsid w:val="00682D55"/>
    <w:rsid w:val="006847E8"/>
    <w:rsid w:val="0068600D"/>
    <w:rsid w:val="006928CA"/>
    <w:rsid w:val="006951FE"/>
    <w:rsid w:val="00697822"/>
    <w:rsid w:val="006A25F8"/>
    <w:rsid w:val="006A3194"/>
    <w:rsid w:val="006A4299"/>
    <w:rsid w:val="006A5A51"/>
    <w:rsid w:val="006B07FB"/>
    <w:rsid w:val="006B10AA"/>
    <w:rsid w:val="006B1857"/>
    <w:rsid w:val="006B1AFE"/>
    <w:rsid w:val="006B6220"/>
    <w:rsid w:val="006B6A4D"/>
    <w:rsid w:val="006C2954"/>
    <w:rsid w:val="006C5255"/>
    <w:rsid w:val="006C5A07"/>
    <w:rsid w:val="006C623F"/>
    <w:rsid w:val="006E095A"/>
    <w:rsid w:val="006E2383"/>
    <w:rsid w:val="006E3958"/>
    <w:rsid w:val="006E707B"/>
    <w:rsid w:val="006F0742"/>
    <w:rsid w:val="006F1E5D"/>
    <w:rsid w:val="006F3F74"/>
    <w:rsid w:val="006F5622"/>
    <w:rsid w:val="006F5F17"/>
    <w:rsid w:val="00702206"/>
    <w:rsid w:val="00704781"/>
    <w:rsid w:val="00705B4E"/>
    <w:rsid w:val="00707E86"/>
    <w:rsid w:val="00713E17"/>
    <w:rsid w:val="0071441B"/>
    <w:rsid w:val="007166C8"/>
    <w:rsid w:val="007201C9"/>
    <w:rsid w:val="007252FA"/>
    <w:rsid w:val="00726347"/>
    <w:rsid w:val="007265DC"/>
    <w:rsid w:val="0072695D"/>
    <w:rsid w:val="00726F29"/>
    <w:rsid w:val="007310E3"/>
    <w:rsid w:val="00734249"/>
    <w:rsid w:val="007375CA"/>
    <w:rsid w:val="00737604"/>
    <w:rsid w:val="007415A7"/>
    <w:rsid w:val="007424FB"/>
    <w:rsid w:val="00742D0D"/>
    <w:rsid w:val="007433FE"/>
    <w:rsid w:val="00743AFA"/>
    <w:rsid w:val="00745972"/>
    <w:rsid w:val="00746771"/>
    <w:rsid w:val="007505C8"/>
    <w:rsid w:val="007507CA"/>
    <w:rsid w:val="007508A6"/>
    <w:rsid w:val="00751920"/>
    <w:rsid w:val="00751E3C"/>
    <w:rsid w:val="00751ECA"/>
    <w:rsid w:val="00756735"/>
    <w:rsid w:val="00757597"/>
    <w:rsid w:val="00757826"/>
    <w:rsid w:val="0076065A"/>
    <w:rsid w:val="00762C3B"/>
    <w:rsid w:val="00763E84"/>
    <w:rsid w:val="00771FAD"/>
    <w:rsid w:val="00773972"/>
    <w:rsid w:val="00774FE2"/>
    <w:rsid w:val="007770A7"/>
    <w:rsid w:val="0078079A"/>
    <w:rsid w:val="00784508"/>
    <w:rsid w:val="00786D23"/>
    <w:rsid w:val="00790977"/>
    <w:rsid w:val="00790D50"/>
    <w:rsid w:val="00792BA2"/>
    <w:rsid w:val="0079691E"/>
    <w:rsid w:val="00797830"/>
    <w:rsid w:val="007A0580"/>
    <w:rsid w:val="007A14E0"/>
    <w:rsid w:val="007A5D2E"/>
    <w:rsid w:val="007B071C"/>
    <w:rsid w:val="007B6111"/>
    <w:rsid w:val="007C0FBD"/>
    <w:rsid w:val="007C2D78"/>
    <w:rsid w:val="007C3423"/>
    <w:rsid w:val="007C49B6"/>
    <w:rsid w:val="007C4BB1"/>
    <w:rsid w:val="007C4C6D"/>
    <w:rsid w:val="007C54D3"/>
    <w:rsid w:val="007C6F10"/>
    <w:rsid w:val="007D1EBA"/>
    <w:rsid w:val="007D2B0E"/>
    <w:rsid w:val="007D3DB5"/>
    <w:rsid w:val="007E1186"/>
    <w:rsid w:val="007E186A"/>
    <w:rsid w:val="007E209B"/>
    <w:rsid w:val="007E5B03"/>
    <w:rsid w:val="007E7821"/>
    <w:rsid w:val="007F0B82"/>
    <w:rsid w:val="007F1623"/>
    <w:rsid w:val="007F3E54"/>
    <w:rsid w:val="007F4AF6"/>
    <w:rsid w:val="008001EF"/>
    <w:rsid w:val="008003C9"/>
    <w:rsid w:val="00802A56"/>
    <w:rsid w:val="0080519C"/>
    <w:rsid w:val="00805974"/>
    <w:rsid w:val="00805982"/>
    <w:rsid w:val="00807363"/>
    <w:rsid w:val="0081271B"/>
    <w:rsid w:val="008146AB"/>
    <w:rsid w:val="008159D3"/>
    <w:rsid w:val="00815D2D"/>
    <w:rsid w:val="0081780F"/>
    <w:rsid w:val="00820D10"/>
    <w:rsid w:val="00830918"/>
    <w:rsid w:val="00830D19"/>
    <w:rsid w:val="008318DF"/>
    <w:rsid w:val="00831A2B"/>
    <w:rsid w:val="00835105"/>
    <w:rsid w:val="008357E5"/>
    <w:rsid w:val="00835EA8"/>
    <w:rsid w:val="00836E28"/>
    <w:rsid w:val="00837E1E"/>
    <w:rsid w:val="008425BF"/>
    <w:rsid w:val="0084486F"/>
    <w:rsid w:val="0085176D"/>
    <w:rsid w:val="00852135"/>
    <w:rsid w:val="0085540D"/>
    <w:rsid w:val="008578A1"/>
    <w:rsid w:val="008578B8"/>
    <w:rsid w:val="00860856"/>
    <w:rsid w:val="00861147"/>
    <w:rsid w:val="008617B5"/>
    <w:rsid w:val="00864452"/>
    <w:rsid w:val="00865044"/>
    <w:rsid w:val="008671DB"/>
    <w:rsid w:val="0087107E"/>
    <w:rsid w:val="00873C74"/>
    <w:rsid w:val="00873F1D"/>
    <w:rsid w:val="00877E44"/>
    <w:rsid w:val="00880AC9"/>
    <w:rsid w:val="008815D9"/>
    <w:rsid w:val="00881C9F"/>
    <w:rsid w:val="008868A7"/>
    <w:rsid w:val="00892714"/>
    <w:rsid w:val="00896322"/>
    <w:rsid w:val="008A1536"/>
    <w:rsid w:val="008A52E3"/>
    <w:rsid w:val="008A5831"/>
    <w:rsid w:val="008A664B"/>
    <w:rsid w:val="008A72AA"/>
    <w:rsid w:val="008B00C4"/>
    <w:rsid w:val="008B0160"/>
    <w:rsid w:val="008B0B5E"/>
    <w:rsid w:val="008B16B5"/>
    <w:rsid w:val="008B59A8"/>
    <w:rsid w:val="008B6FAC"/>
    <w:rsid w:val="008C0446"/>
    <w:rsid w:val="008C0994"/>
    <w:rsid w:val="008C3C25"/>
    <w:rsid w:val="008C3F8B"/>
    <w:rsid w:val="008C56E7"/>
    <w:rsid w:val="008C5AF5"/>
    <w:rsid w:val="008C7B5E"/>
    <w:rsid w:val="008D1EA8"/>
    <w:rsid w:val="008D475E"/>
    <w:rsid w:val="008D4860"/>
    <w:rsid w:val="008D60CC"/>
    <w:rsid w:val="008D7C00"/>
    <w:rsid w:val="008E0922"/>
    <w:rsid w:val="008E0BA0"/>
    <w:rsid w:val="008E1FD9"/>
    <w:rsid w:val="008F17A0"/>
    <w:rsid w:val="008F1AE8"/>
    <w:rsid w:val="008F2599"/>
    <w:rsid w:val="008F4506"/>
    <w:rsid w:val="008F5E47"/>
    <w:rsid w:val="00900EA4"/>
    <w:rsid w:val="0090560C"/>
    <w:rsid w:val="00905DF0"/>
    <w:rsid w:val="0090753E"/>
    <w:rsid w:val="00907C3B"/>
    <w:rsid w:val="0091136C"/>
    <w:rsid w:val="00911D55"/>
    <w:rsid w:val="009152CE"/>
    <w:rsid w:val="00917278"/>
    <w:rsid w:val="00920D8D"/>
    <w:rsid w:val="00921200"/>
    <w:rsid w:val="00927DB6"/>
    <w:rsid w:val="00934FAE"/>
    <w:rsid w:val="00935134"/>
    <w:rsid w:val="009373C7"/>
    <w:rsid w:val="0094029E"/>
    <w:rsid w:val="00940D3E"/>
    <w:rsid w:val="00940DA7"/>
    <w:rsid w:val="00943C98"/>
    <w:rsid w:val="009459E0"/>
    <w:rsid w:val="009469FD"/>
    <w:rsid w:val="009470D3"/>
    <w:rsid w:val="009475C6"/>
    <w:rsid w:val="009476CA"/>
    <w:rsid w:val="00951E45"/>
    <w:rsid w:val="0095351D"/>
    <w:rsid w:val="00953FE1"/>
    <w:rsid w:val="0095673D"/>
    <w:rsid w:val="00957E05"/>
    <w:rsid w:val="00961728"/>
    <w:rsid w:val="00967A08"/>
    <w:rsid w:val="00967B69"/>
    <w:rsid w:val="00972022"/>
    <w:rsid w:val="009736CB"/>
    <w:rsid w:val="00973E90"/>
    <w:rsid w:val="009743E9"/>
    <w:rsid w:val="00974563"/>
    <w:rsid w:val="00975828"/>
    <w:rsid w:val="00975885"/>
    <w:rsid w:val="00976A51"/>
    <w:rsid w:val="009773D4"/>
    <w:rsid w:val="009776CE"/>
    <w:rsid w:val="00980663"/>
    <w:rsid w:val="00981C01"/>
    <w:rsid w:val="0099030A"/>
    <w:rsid w:val="009934CD"/>
    <w:rsid w:val="00993C85"/>
    <w:rsid w:val="0099515C"/>
    <w:rsid w:val="00996174"/>
    <w:rsid w:val="00996B7F"/>
    <w:rsid w:val="009B0BA2"/>
    <w:rsid w:val="009B1505"/>
    <w:rsid w:val="009B5955"/>
    <w:rsid w:val="009B7C02"/>
    <w:rsid w:val="009B7E70"/>
    <w:rsid w:val="009C00A6"/>
    <w:rsid w:val="009C3102"/>
    <w:rsid w:val="009C34C6"/>
    <w:rsid w:val="009C3952"/>
    <w:rsid w:val="009C5518"/>
    <w:rsid w:val="009C5BE4"/>
    <w:rsid w:val="009C7687"/>
    <w:rsid w:val="009C78E2"/>
    <w:rsid w:val="009D0E75"/>
    <w:rsid w:val="009D2EEF"/>
    <w:rsid w:val="009D340E"/>
    <w:rsid w:val="009D6DF4"/>
    <w:rsid w:val="009E0905"/>
    <w:rsid w:val="009E257F"/>
    <w:rsid w:val="009E5316"/>
    <w:rsid w:val="009F0845"/>
    <w:rsid w:val="009F1F26"/>
    <w:rsid w:val="009F3F36"/>
    <w:rsid w:val="009F6364"/>
    <w:rsid w:val="009F731F"/>
    <w:rsid w:val="009F7F34"/>
    <w:rsid w:val="00A019EB"/>
    <w:rsid w:val="00A028AE"/>
    <w:rsid w:val="00A04024"/>
    <w:rsid w:val="00A04863"/>
    <w:rsid w:val="00A06407"/>
    <w:rsid w:val="00A07AF2"/>
    <w:rsid w:val="00A11E3A"/>
    <w:rsid w:val="00A146FD"/>
    <w:rsid w:val="00A150F8"/>
    <w:rsid w:val="00A15894"/>
    <w:rsid w:val="00A16833"/>
    <w:rsid w:val="00A16A2B"/>
    <w:rsid w:val="00A17A80"/>
    <w:rsid w:val="00A21110"/>
    <w:rsid w:val="00A21494"/>
    <w:rsid w:val="00A22270"/>
    <w:rsid w:val="00A227BA"/>
    <w:rsid w:val="00A265AB"/>
    <w:rsid w:val="00A27021"/>
    <w:rsid w:val="00A30375"/>
    <w:rsid w:val="00A40A5E"/>
    <w:rsid w:val="00A44230"/>
    <w:rsid w:val="00A45C85"/>
    <w:rsid w:val="00A542D6"/>
    <w:rsid w:val="00A547D4"/>
    <w:rsid w:val="00A55A67"/>
    <w:rsid w:val="00A56FA0"/>
    <w:rsid w:val="00A573E2"/>
    <w:rsid w:val="00A57D5E"/>
    <w:rsid w:val="00A603DB"/>
    <w:rsid w:val="00A620B3"/>
    <w:rsid w:val="00A656D8"/>
    <w:rsid w:val="00A657CB"/>
    <w:rsid w:val="00A66672"/>
    <w:rsid w:val="00A67324"/>
    <w:rsid w:val="00A67FB5"/>
    <w:rsid w:val="00A72C6B"/>
    <w:rsid w:val="00A77ABC"/>
    <w:rsid w:val="00A853BB"/>
    <w:rsid w:val="00A85BD3"/>
    <w:rsid w:val="00A85CFD"/>
    <w:rsid w:val="00A9404C"/>
    <w:rsid w:val="00A94821"/>
    <w:rsid w:val="00A95A42"/>
    <w:rsid w:val="00A9724B"/>
    <w:rsid w:val="00A97877"/>
    <w:rsid w:val="00A978DD"/>
    <w:rsid w:val="00AA17DD"/>
    <w:rsid w:val="00AA1A25"/>
    <w:rsid w:val="00AA2463"/>
    <w:rsid w:val="00AA301A"/>
    <w:rsid w:val="00AA35B8"/>
    <w:rsid w:val="00AA36BF"/>
    <w:rsid w:val="00AA5594"/>
    <w:rsid w:val="00AA5715"/>
    <w:rsid w:val="00AA7319"/>
    <w:rsid w:val="00AA7FD9"/>
    <w:rsid w:val="00AB0009"/>
    <w:rsid w:val="00AB0A86"/>
    <w:rsid w:val="00AB4202"/>
    <w:rsid w:val="00AB53C4"/>
    <w:rsid w:val="00AB6EE8"/>
    <w:rsid w:val="00AC0B09"/>
    <w:rsid w:val="00AC0B35"/>
    <w:rsid w:val="00AC2BA7"/>
    <w:rsid w:val="00AC33C0"/>
    <w:rsid w:val="00AC7B48"/>
    <w:rsid w:val="00AD25AA"/>
    <w:rsid w:val="00AD29CC"/>
    <w:rsid w:val="00AD5771"/>
    <w:rsid w:val="00AD67E3"/>
    <w:rsid w:val="00AD6D55"/>
    <w:rsid w:val="00AE1685"/>
    <w:rsid w:val="00AE1D1C"/>
    <w:rsid w:val="00AE222A"/>
    <w:rsid w:val="00AE45D8"/>
    <w:rsid w:val="00AF2BDA"/>
    <w:rsid w:val="00B014CD"/>
    <w:rsid w:val="00B01591"/>
    <w:rsid w:val="00B038CA"/>
    <w:rsid w:val="00B03E45"/>
    <w:rsid w:val="00B04B84"/>
    <w:rsid w:val="00B04FF5"/>
    <w:rsid w:val="00B06B9A"/>
    <w:rsid w:val="00B1116B"/>
    <w:rsid w:val="00B1247D"/>
    <w:rsid w:val="00B12847"/>
    <w:rsid w:val="00B13511"/>
    <w:rsid w:val="00B17628"/>
    <w:rsid w:val="00B206BD"/>
    <w:rsid w:val="00B208BF"/>
    <w:rsid w:val="00B2173B"/>
    <w:rsid w:val="00B27788"/>
    <w:rsid w:val="00B27807"/>
    <w:rsid w:val="00B30036"/>
    <w:rsid w:val="00B30996"/>
    <w:rsid w:val="00B30D18"/>
    <w:rsid w:val="00B327E6"/>
    <w:rsid w:val="00B34BB7"/>
    <w:rsid w:val="00B34CA3"/>
    <w:rsid w:val="00B36597"/>
    <w:rsid w:val="00B366F3"/>
    <w:rsid w:val="00B36C49"/>
    <w:rsid w:val="00B42B0D"/>
    <w:rsid w:val="00B441CA"/>
    <w:rsid w:val="00B460B3"/>
    <w:rsid w:val="00B46278"/>
    <w:rsid w:val="00B46720"/>
    <w:rsid w:val="00B51325"/>
    <w:rsid w:val="00B522AF"/>
    <w:rsid w:val="00B52963"/>
    <w:rsid w:val="00B54097"/>
    <w:rsid w:val="00B540F7"/>
    <w:rsid w:val="00B563BD"/>
    <w:rsid w:val="00B607F3"/>
    <w:rsid w:val="00B617A2"/>
    <w:rsid w:val="00B644DE"/>
    <w:rsid w:val="00B668FD"/>
    <w:rsid w:val="00B72258"/>
    <w:rsid w:val="00B763A4"/>
    <w:rsid w:val="00B763E7"/>
    <w:rsid w:val="00B8105B"/>
    <w:rsid w:val="00B91B5A"/>
    <w:rsid w:val="00B94B1B"/>
    <w:rsid w:val="00B95826"/>
    <w:rsid w:val="00B95FBE"/>
    <w:rsid w:val="00B96A64"/>
    <w:rsid w:val="00BA0692"/>
    <w:rsid w:val="00BA3111"/>
    <w:rsid w:val="00BA4016"/>
    <w:rsid w:val="00BA4AC1"/>
    <w:rsid w:val="00BA7A3B"/>
    <w:rsid w:val="00BB157F"/>
    <w:rsid w:val="00BB5CCE"/>
    <w:rsid w:val="00BB6C5D"/>
    <w:rsid w:val="00BC18C2"/>
    <w:rsid w:val="00BC38A8"/>
    <w:rsid w:val="00BC7BB7"/>
    <w:rsid w:val="00BC7CE5"/>
    <w:rsid w:val="00BD2067"/>
    <w:rsid w:val="00BD3876"/>
    <w:rsid w:val="00BD4082"/>
    <w:rsid w:val="00BD6EBC"/>
    <w:rsid w:val="00BD70F7"/>
    <w:rsid w:val="00BE0C08"/>
    <w:rsid w:val="00BE1160"/>
    <w:rsid w:val="00BE11EE"/>
    <w:rsid w:val="00BE7B13"/>
    <w:rsid w:val="00BF1472"/>
    <w:rsid w:val="00BF36F5"/>
    <w:rsid w:val="00C00336"/>
    <w:rsid w:val="00C009B8"/>
    <w:rsid w:val="00C0515D"/>
    <w:rsid w:val="00C066E3"/>
    <w:rsid w:val="00C0694F"/>
    <w:rsid w:val="00C1419F"/>
    <w:rsid w:val="00C144C3"/>
    <w:rsid w:val="00C213BB"/>
    <w:rsid w:val="00C21AE1"/>
    <w:rsid w:val="00C21B49"/>
    <w:rsid w:val="00C21BD1"/>
    <w:rsid w:val="00C2317F"/>
    <w:rsid w:val="00C243C9"/>
    <w:rsid w:val="00C24835"/>
    <w:rsid w:val="00C24B53"/>
    <w:rsid w:val="00C26C30"/>
    <w:rsid w:val="00C3083D"/>
    <w:rsid w:val="00C30B41"/>
    <w:rsid w:val="00C31655"/>
    <w:rsid w:val="00C34F37"/>
    <w:rsid w:val="00C356AF"/>
    <w:rsid w:val="00C37909"/>
    <w:rsid w:val="00C401B9"/>
    <w:rsid w:val="00C4041B"/>
    <w:rsid w:val="00C40CE1"/>
    <w:rsid w:val="00C40D5E"/>
    <w:rsid w:val="00C41EF4"/>
    <w:rsid w:val="00C43B30"/>
    <w:rsid w:val="00C44C3E"/>
    <w:rsid w:val="00C456D3"/>
    <w:rsid w:val="00C4590A"/>
    <w:rsid w:val="00C506D7"/>
    <w:rsid w:val="00C5654C"/>
    <w:rsid w:val="00C5681E"/>
    <w:rsid w:val="00C570D8"/>
    <w:rsid w:val="00C60A57"/>
    <w:rsid w:val="00C6174E"/>
    <w:rsid w:val="00C62050"/>
    <w:rsid w:val="00C62916"/>
    <w:rsid w:val="00C629DD"/>
    <w:rsid w:val="00C62AE0"/>
    <w:rsid w:val="00C63E63"/>
    <w:rsid w:val="00C64091"/>
    <w:rsid w:val="00C64C8B"/>
    <w:rsid w:val="00C658E8"/>
    <w:rsid w:val="00C66CEA"/>
    <w:rsid w:val="00C70DD8"/>
    <w:rsid w:val="00C728B9"/>
    <w:rsid w:val="00C7292A"/>
    <w:rsid w:val="00C74C69"/>
    <w:rsid w:val="00C77E45"/>
    <w:rsid w:val="00C8098E"/>
    <w:rsid w:val="00C92F02"/>
    <w:rsid w:val="00C93370"/>
    <w:rsid w:val="00C964A4"/>
    <w:rsid w:val="00C97932"/>
    <w:rsid w:val="00C979CE"/>
    <w:rsid w:val="00CA05BB"/>
    <w:rsid w:val="00CA1B2B"/>
    <w:rsid w:val="00CA2D31"/>
    <w:rsid w:val="00CA5973"/>
    <w:rsid w:val="00CA722A"/>
    <w:rsid w:val="00CA7A9C"/>
    <w:rsid w:val="00CB1801"/>
    <w:rsid w:val="00CB1A12"/>
    <w:rsid w:val="00CB4586"/>
    <w:rsid w:val="00CB5932"/>
    <w:rsid w:val="00CB6610"/>
    <w:rsid w:val="00CC04CC"/>
    <w:rsid w:val="00CC06D0"/>
    <w:rsid w:val="00CC4D52"/>
    <w:rsid w:val="00CD188A"/>
    <w:rsid w:val="00CD1B66"/>
    <w:rsid w:val="00CD354D"/>
    <w:rsid w:val="00CD6509"/>
    <w:rsid w:val="00CE1B08"/>
    <w:rsid w:val="00CE20E8"/>
    <w:rsid w:val="00CE33BE"/>
    <w:rsid w:val="00CE3488"/>
    <w:rsid w:val="00CE3C8A"/>
    <w:rsid w:val="00CE7434"/>
    <w:rsid w:val="00CF03F5"/>
    <w:rsid w:val="00CF20C5"/>
    <w:rsid w:val="00CF27D2"/>
    <w:rsid w:val="00CF2862"/>
    <w:rsid w:val="00CF2A32"/>
    <w:rsid w:val="00CF57E9"/>
    <w:rsid w:val="00CF7C0A"/>
    <w:rsid w:val="00D00443"/>
    <w:rsid w:val="00D01701"/>
    <w:rsid w:val="00D03AAF"/>
    <w:rsid w:val="00D05E1C"/>
    <w:rsid w:val="00D06CC1"/>
    <w:rsid w:val="00D1254A"/>
    <w:rsid w:val="00D13A21"/>
    <w:rsid w:val="00D16E71"/>
    <w:rsid w:val="00D1741F"/>
    <w:rsid w:val="00D2032C"/>
    <w:rsid w:val="00D20E34"/>
    <w:rsid w:val="00D22CA2"/>
    <w:rsid w:val="00D2313B"/>
    <w:rsid w:val="00D25FE1"/>
    <w:rsid w:val="00D30EEB"/>
    <w:rsid w:val="00D33DD5"/>
    <w:rsid w:val="00D3423E"/>
    <w:rsid w:val="00D35ECF"/>
    <w:rsid w:val="00D3762E"/>
    <w:rsid w:val="00D37BA8"/>
    <w:rsid w:val="00D40C45"/>
    <w:rsid w:val="00D40F31"/>
    <w:rsid w:val="00D413AA"/>
    <w:rsid w:val="00D447AE"/>
    <w:rsid w:val="00D4707A"/>
    <w:rsid w:val="00D50037"/>
    <w:rsid w:val="00D50312"/>
    <w:rsid w:val="00D541BF"/>
    <w:rsid w:val="00D54DD8"/>
    <w:rsid w:val="00D55901"/>
    <w:rsid w:val="00D602B2"/>
    <w:rsid w:val="00D61B11"/>
    <w:rsid w:val="00D6570B"/>
    <w:rsid w:val="00D675BD"/>
    <w:rsid w:val="00D70CA0"/>
    <w:rsid w:val="00D71A87"/>
    <w:rsid w:val="00D865FD"/>
    <w:rsid w:val="00D86FDF"/>
    <w:rsid w:val="00D872FE"/>
    <w:rsid w:val="00D913B5"/>
    <w:rsid w:val="00D91FF4"/>
    <w:rsid w:val="00D92449"/>
    <w:rsid w:val="00D94813"/>
    <w:rsid w:val="00D9589C"/>
    <w:rsid w:val="00DA1286"/>
    <w:rsid w:val="00DA2B1C"/>
    <w:rsid w:val="00DB41A5"/>
    <w:rsid w:val="00DB4993"/>
    <w:rsid w:val="00DB56D8"/>
    <w:rsid w:val="00DB5D56"/>
    <w:rsid w:val="00DB6A6E"/>
    <w:rsid w:val="00DC2FB9"/>
    <w:rsid w:val="00DC64AA"/>
    <w:rsid w:val="00DC7117"/>
    <w:rsid w:val="00DC7404"/>
    <w:rsid w:val="00DD1C9C"/>
    <w:rsid w:val="00DD4BCF"/>
    <w:rsid w:val="00DD6065"/>
    <w:rsid w:val="00DE182C"/>
    <w:rsid w:val="00DE236D"/>
    <w:rsid w:val="00DE286D"/>
    <w:rsid w:val="00DE32B4"/>
    <w:rsid w:val="00DE40B8"/>
    <w:rsid w:val="00DE44EC"/>
    <w:rsid w:val="00DE6E33"/>
    <w:rsid w:val="00DF0458"/>
    <w:rsid w:val="00DF0A6A"/>
    <w:rsid w:val="00DF1570"/>
    <w:rsid w:val="00DF275E"/>
    <w:rsid w:val="00DF42C1"/>
    <w:rsid w:val="00E029B5"/>
    <w:rsid w:val="00E04514"/>
    <w:rsid w:val="00E05FAD"/>
    <w:rsid w:val="00E10165"/>
    <w:rsid w:val="00E10639"/>
    <w:rsid w:val="00E146BA"/>
    <w:rsid w:val="00E14918"/>
    <w:rsid w:val="00E274C8"/>
    <w:rsid w:val="00E30B3B"/>
    <w:rsid w:val="00E32537"/>
    <w:rsid w:val="00E34148"/>
    <w:rsid w:val="00E37198"/>
    <w:rsid w:val="00E37674"/>
    <w:rsid w:val="00E42712"/>
    <w:rsid w:val="00E5155C"/>
    <w:rsid w:val="00E55576"/>
    <w:rsid w:val="00E55796"/>
    <w:rsid w:val="00E57C1E"/>
    <w:rsid w:val="00E636FD"/>
    <w:rsid w:val="00E64018"/>
    <w:rsid w:val="00E6591F"/>
    <w:rsid w:val="00E65E18"/>
    <w:rsid w:val="00E67501"/>
    <w:rsid w:val="00E71271"/>
    <w:rsid w:val="00E718BA"/>
    <w:rsid w:val="00E722AC"/>
    <w:rsid w:val="00E73EFA"/>
    <w:rsid w:val="00E74329"/>
    <w:rsid w:val="00E74E35"/>
    <w:rsid w:val="00E7510B"/>
    <w:rsid w:val="00E7594B"/>
    <w:rsid w:val="00E766AF"/>
    <w:rsid w:val="00E76A83"/>
    <w:rsid w:val="00E77B8A"/>
    <w:rsid w:val="00E807A9"/>
    <w:rsid w:val="00E815A5"/>
    <w:rsid w:val="00E831DE"/>
    <w:rsid w:val="00E8630C"/>
    <w:rsid w:val="00E86A31"/>
    <w:rsid w:val="00E938A9"/>
    <w:rsid w:val="00E95850"/>
    <w:rsid w:val="00E9661E"/>
    <w:rsid w:val="00E977B3"/>
    <w:rsid w:val="00EA055E"/>
    <w:rsid w:val="00EA1939"/>
    <w:rsid w:val="00EA1B24"/>
    <w:rsid w:val="00EA5C2A"/>
    <w:rsid w:val="00EA6683"/>
    <w:rsid w:val="00EB178F"/>
    <w:rsid w:val="00EB4630"/>
    <w:rsid w:val="00EB5515"/>
    <w:rsid w:val="00EB5A58"/>
    <w:rsid w:val="00EB62B2"/>
    <w:rsid w:val="00EB6501"/>
    <w:rsid w:val="00EB7B27"/>
    <w:rsid w:val="00EC1A57"/>
    <w:rsid w:val="00EC35D1"/>
    <w:rsid w:val="00EC5800"/>
    <w:rsid w:val="00EC6668"/>
    <w:rsid w:val="00EC7549"/>
    <w:rsid w:val="00EC7D72"/>
    <w:rsid w:val="00ED2D1D"/>
    <w:rsid w:val="00ED3201"/>
    <w:rsid w:val="00EE1A58"/>
    <w:rsid w:val="00EE24C7"/>
    <w:rsid w:val="00EE39EE"/>
    <w:rsid w:val="00EE3E05"/>
    <w:rsid w:val="00EF11DE"/>
    <w:rsid w:val="00EF2C80"/>
    <w:rsid w:val="00EF3692"/>
    <w:rsid w:val="00EF4867"/>
    <w:rsid w:val="00F00794"/>
    <w:rsid w:val="00F03510"/>
    <w:rsid w:val="00F03937"/>
    <w:rsid w:val="00F05490"/>
    <w:rsid w:val="00F064C8"/>
    <w:rsid w:val="00F11510"/>
    <w:rsid w:val="00F11C4B"/>
    <w:rsid w:val="00F1323D"/>
    <w:rsid w:val="00F1334E"/>
    <w:rsid w:val="00F15649"/>
    <w:rsid w:val="00F15C80"/>
    <w:rsid w:val="00F15EEA"/>
    <w:rsid w:val="00F16884"/>
    <w:rsid w:val="00F17F8F"/>
    <w:rsid w:val="00F244AC"/>
    <w:rsid w:val="00F255DB"/>
    <w:rsid w:val="00F3130D"/>
    <w:rsid w:val="00F340F1"/>
    <w:rsid w:val="00F3438A"/>
    <w:rsid w:val="00F34FAD"/>
    <w:rsid w:val="00F3569D"/>
    <w:rsid w:val="00F40302"/>
    <w:rsid w:val="00F41015"/>
    <w:rsid w:val="00F45792"/>
    <w:rsid w:val="00F47C67"/>
    <w:rsid w:val="00F512CB"/>
    <w:rsid w:val="00F52443"/>
    <w:rsid w:val="00F527F7"/>
    <w:rsid w:val="00F545A6"/>
    <w:rsid w:val="00F5686E"/>
    <w:rsid w:val="00F56E07"/>
    <w:rsid w:val="00F56E9F"/>
    <w:rsid w:val="00F57325"/>
    <w:rsid w:val="00F57EAA"/>
    <w:rsid w:val="00F65C39"/>
    <w:rsid w:val="00F66198"/>
    <w:rsid w:val="00F709FC"/>
    <w:rsid w:val="00F7230C"/>
    <w:rsid w:val="00F73B74"/>
    <w:rsid w:val="00F74B85"/>
    <w:rsid w:val="00F76C3F"/>
    <w:rsid w:val="00F80448"/>
    <w:rsid w:val="00F84C32"/>
    <w:rsid w:val="00F9022D"/>
    <w:rsid w:val="00F9162E"/>
    <w:rsid w:val="00F9280D"/>
    <w:rsid w:val="00F95C0D"/>
    <w:rsid w:val="00F968BD"/>
    <w:rsid w:val="00FA173C"/>
    <w:rsid w:val="00FA210F"/>
    <w:rsid w:val="00FA260C"/>
    <w:rsid w:val="00FA54F0"/>
    <w:rsid w:val="00FA5806"/>
    <w:rsid w:val="00FA747D"/>
    <w:rsid w:val="00FB03B5"/>
    <w:rsid w:val="00FB0DAA"/>
    <w:rsid w:val="00FB0EBC"/>
    <w:rsid w:val="00FB24B7"/>
    <w:rsid w:val="00FB33B4"/>
    <w:rsid w:val="00FB3F08"/>
    <w:rsid w:val="00FB58B2"/>
    <w:rsid w:val="00FB65DB"/>
    <w:rsid w:val="00FB675E"/>
    <w:rsid w:val="00FB721B"/>
    <w:rsid w:val="00FC1556"/>
    <w:rsid w:val="00FC2963"/>
    <w:rsid w:val="00FC3760"/>
    <w:rsid w:val="00FC73AA"/>
    <w:rsid w:val="00FC76F9"/>
    <w:rsid w:val="00FD0258"/>
    <w:rsid w:val="00FD3FCF"/>
    <w:rsid w:val="00FD4CC8"/>
    <w:rsid w:val="00FD52A0"/>
    <w:rsid w:val="00FE0115"/>
    <w:rsid w:val="00FE10DD"/>
    <w:rsid w:val="00FF3313"/>
    <w:rsid w:val="00FF68FD"/>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FD7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customStyle="1" w:styleId="MediumGrid1-Accent21">
    <w:name w:val="Medium Grid 1 - Accent 21"/>
    <w:basedOn w:val="Normal"/>
    <w:link w:val="MediumGrid1-Accent2Char"/>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Grid1-Accent2Char">
    <w:name w:val="Medium Grid 1 - Accent 2 Char"/>
    <w:link w:val="MediumGrid1-Accent21"/>
    <w:uiPriority w:val="34"/>
    <w:rsid w:val="00E57C1E"/>
    <w:rPr>
      <w:rFonts w:ascii="Calibri" w:eastAsia="Calibri" w:hAnsi="Calibri" w:cs="Arial"/>
      <w:sz w:val="22"/>
      <w:szCs w:val="22"/>
      <w:lang w:eastAsia="en-US"/>
    </w:rPr>
  </w:style>
  <w:style w:type="paragraph" w:customStyle="1" w:styleId="Style1">
    <w:name w:val="Style1"/>
    <w:basedOn w:val="MediumGrid1-Accent21"/>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customStyle="1" w:styleId="LightGrid-Accent11">
    <w:name w:val="Light Grid - Accent 11"/>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lang w:val="en-US"/>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customStyle="1" w:styleId="MediumList2-Accent21">
    <w:name w:val="Medium List 2 - Accent 21"/>
    <w:hidden/>
    <w:uiPriority w:val="99"/>
    <w:semiHidden/>
    <w:rsid w:val="005E4335"/>
    <w:rPr>
      <w:rFonts w:ascii="Arial" w:eastAsia="Calibri" w:hAnsi="Arial"/>
      <w:sz w:val="24"/>
      <w:szCs w:val="24"/>
      <w:lang w:val="en-US"/>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Calibri" w:hAnsi="Calibr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3"/>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3"/>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uiPriority w:val="21"/>
    <w:qFormat/>
    <w:rsid w:val="00D01701"/>
    <w:rPr>
      <w:b/>
      <w:bCs/>
      <w:i/>
      <w:iCs/>
      <w:color w:val="4F81BD"/>
    </w:rPr>
  </w:style>
  <w:style w:type="paragraph" w:customStyle="1" w:styleId="MediumShading1-Accent11">
    <w:name w:val="Medium Shading 1 - Accent 11"/>
    <w:uiPriority w:val="1"/>
    <w:qFormat/>
    <w:rsid w:val="00D675BD"/>
    <w:rPr>
      <w:rFonts w:ascii="Calibri" w:eastAsia="Calibri" w:hAnsi="Calibri"/>
      <w:sz w:val="22"/>
      <w:szCs w:val="22"/>
      <w:lang w:val="en-US"/>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Cambria" w:eastAsia="MS Gothic" w:hAnsi="Cambria"/>
      <w:i/>
      <w:iCs/>
      <w:color w:val="4F81BD"/>
      <w:spacing w:val="15"/>
    </w:rPr>
  </w:style>
  <w:style w:type="character" w:customStyle="1" w:styleId="SubtitleChar">
    <w:name w:val="Subtitle Char"/>
    <w:link w:val="Subtitle"/>
    <w:rsid w:val="00E7510B"/>
    <w:rPr>
      <w:rFonts w:ascii="Cambria" w:eastAsia="MS Gothic" w:hAnsi="Cambria" w:cs="Times New Roman"/>
      <w:i/>
      <w:iCs/>
      <w:color w:val="4F81BD"/>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 w:type="paragraph" w:styleId="ListParagraph">
    <w:name w:val="List Paragraph"/>
    <w:basedOn w:val="Normal"/>
    <w:link w:val="ListParagraphChar"/>
    <w:uiPriority w:val="34"/>
    <w:qFormat/>
    <w:rsid w:val="00B366F3"/>
    <w:pPr>
      <w:spacing w:after="200" w:line="276" w:lineRule="auto"/>
      <w:ind w:left="720"/>
      <w:contextualSpacing/>
    </w:pPr>
    <w:rPr>
      <w:rFonts w:ascii="Calibri" w:eastAsia="SimSun" w:hAnsi="Calibri" w:cs="Arial"/>
      <w:sz w:val="22"/>
      <w:szCs w:val="22"/>
      <w:lang w:val="en-US" w:eastAsia="zh-CN"/>
    </w:rPr>
  </w:style>
  <w:style w:type="character" w:customStyle="1" w:styleId="ListParagraphChar">
    <w:name w:val="List Paragraph Char"/>
    <w:link w:val="ListParagraph"/>
    <w:uiPriority w:val="34"/>
    <w:rsid w:val="00B366F3"/>
    <w:rPr>
      <w:rFonts w:ascii="Calibri" w:eastAsia="SimSun" w:hAnsi="Calibri" w:cs="Arial"/>
      <w:sz w:val="22"/>
      <w:szCs w:val="22"/>
      <w:lang w:val="en-US" w:eastAsia="zh-CN"/>
    </w:rPr>
  </w:style>
  <w:style w:type="table" w:styleId="ColorfulGrid-Accent4">
    <w:name w:val="Colorful Grid Accent 4"/>
    <w:basedOn w:val="TableNormal"/>
    <w:uiPriority w:val="73"/>
    <w:rsid w:val="002A6997"/>
    <w:rPr>
      <w:rFonts w:ascii="Calibri" w:eastAsia="SimSun" w:hAnsi="Calibri" w:cs="Arial"/>
      <w:color w:val="000000"/>
      <w:sz w:val="22"/>
      <w:szCs w:val="22"/>
      <w:lang w:val="en-US"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customStyle="1" w:styleId="MediumGrid1-Accent21">
    <w:name w:val="Medium Grid 1 - Accent 21"/>
    <w:basedOn w:val="Normal"/>
    <w:link w:val="MediumGrid1-Accent2Char"/>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Grid1-Accent2Char">
    <w:name w:val="Medium Grid 1 - Accent 2 Char"/>
    <w:link w:val="MediumGrid1-Accent21"/>
    <w:uiPriority w:val="34"/>
    <w:rsid w:val="00E57C1E"/>
    <w:rPr>
      <w:rFonts w:ascii="Calibri" w:eastAsia="Calibri" w:hAnsi="Calibri" w:cs="Arial"/>
      <w:sz w:val="22"/>
      <w:szCs w:val="22"/>
      <w:lang w:eastAsia="en-US"/>
    </w:rPr>
  </w:style>
  <w:style w:type="paragraph" w:customStyle="1" w:styleId="Style1">
    <w:name w:val="Style1"/>
    <w:basedOn w:val="MediumGrid1-Accent21"/>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customStyle="1" w:styleId="LightGrid-Accent11">
    <w:name w:val="Light Grid - Accent 11"/>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lang w:val="en-US"/>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customStyle="1" w:styleId="MediumList2-Accent21">
    <w:name w:val="Medium List 2 - Accent 21"/>
    <w:hidden/>
    <w:uiPriority w:val="99"/>
    <w:semiHidden/>
    <w:rsid w:val="005E4335"/>
    <w:rPr>
      <w:rFonts w:ascii="Arial" w:eastAsia="Calibri" w:hAnsi="Arial"/>
      <w:sz w:val="24"/>
      <w:szCs w:val="24"/>
      <w:lang w:val="en-US"/>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Calibri" w:hAnsi="Calibr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3"/>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3"/>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uiPriority w:val="21"/>
    <w:qFormat/>
    <w:rsid w:val="00D01701"/>
    <w:rPr>
      <w:b/>
      <w:bCs/>
      <w:i/>
      <w:iCs/>
      <w:color w:val="4F81BD"/>
    </w:rPr>
  </w:style>
  <w:style w:type="paragraph" w:customStyle="1" w:styleId="MediumShading1-Accent11">
    <w:name w:val="Medium Shading 1 - Accent 11"/>
    <w:uiPriority w:val="1"/>
    <w:qFormat/>
    <w:rsid w:val="00D675BD"/>
    <w:rPr>
      <w:rFonts w:ascii="Calibri" w:eastAsia="Calibri" w:hAnsi="Calibri"/>
      <w:sz w:val="22"/>
      <w:szCs w:val="22"/>
      <w:lang w:val="en-US"/>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Cambria" w:eastAsia="MS Gothic" w:hAnsi="Cambria"/>
      <w:i/>
      <w:iCs/>
      <w:color w:val="4F81BD"/>
      <w:spacing w:val="15"/>
    </w:rPr>
  </w:style>
  <w:style w:type="character" w:customStyle="1" w:styleId="SubtitleChar">
    <w:name w:val="Subtitle Char"/>
    <w:link w:val="Subtitle"/>
    <w:rsid w:val="00E7510B"/>
    <w:rPr>
      <w:rFonts w:ascii="Cambria" w:eastAsia="MS Gothic" w:hAnsi="Cambria" w:cs="Times New Roman"/>
      <w:i/>
      <w:iCs/>
      <w:color w:val="4F81BD"/>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 w:type="paragraph" w:styleId="ListParagraph">
    <w:name w:val="List Paragraph"/>
    <w:basedOn w:val="Normal"/>
    <w:link w:val="ListParagraphChar"/>
    <w:uiPriority w:val="34"/>
    <w:qFormat/>
    <w:rsid w:val="00B366F3"/>
    <w:pPr>
      <w:spacing w:after="200" w:line="276" w:lineRule="auto"/>
      <w:ind w:left="720"/>
      <w:contextualSpacing/>
    </w:pPr>
    <w:rPr>
      <w:rFonts w:ascii="Calibri" w:eastAsia="SimSun" w:hAnsi="Calibri" w:cs="Arial"/>
      <w:sz w:val="22"/>
      <w:szCs w:val="22"/>
      <w:lang w:val="en-US" w:eastAsia="zh-CN"/>
    </w:rPr>
  </w:style>
  <w:style w:type="character" w:customStyle="1" w:styleId="ListParagraphChar">
    <w:name w:val="List Paragraph Char"/>
    <w:link w:val="ListParagraph"/>
    <w:uiPriority w:val="34"/>
    <w:rsid w:val="00B366F3"/>
    <w:rPr>
      <w:rFonts w:ascii="Calibri" w:eastAsia="SimSun" w:hAnsi="Calibri" w:cs="Arial"/>
      <w:sz w:val="22"/>
      <w:szCs w:val="22"/>
      <w:lang w:val="en-US" w:eastAsia="zh-CN"/>
    </w:rPr>
  </w:style>
  <w:style w:type="table" w:styleId="ColorfulGrid-Accent4">
    <w:name w:val="Colorful Grid Accent 4"/>
    <w:basedOn w:val="TableNormal"/>
    <w:uiPriority w:val="73"/>
    <w:rsid w:val="002A6997"/>
    <w:rPr>
      <w:rFonts w:ascii="Calibri" w:eastAsia="SimSun" w:hAnsi="Calibri" w:cs="Arial"/>
      <w:color w:val="000000"/>
      <w:sz w:val="22"/>
      <w:szCs w:val="22"/>
      <w:lang w:val="en-US" w:eastAsia="zh-CN"/>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56154">
      <w:marLeft w:val="120"/>
      <w:marRight w:val="120"/>
      <w:marTop w:val="120"/>
      <w:marBottom w:val="120"/>
      <w:divBdr>
        <w:top w:val="none" w:sz="0" w:space="0" w:color="auto"/>
        <w:left w:val="none" w:sz="0" w:space="0" w:color="auto"/>
        <w:bottom w:val="none" w:sz="0" w:space="0" w:color="auto"/>
        <w:right w:val="none" w:sz="0" w:space="0" w:color="auto"/>
      </w:divBdr>
    </w:div>
    <w:div w:id="761416887">
      <w:bodyDiv w:val="1"/>
      <w:marLeft w:val="0"/>
      <w:marRight w:val="0"/>
      <w:marTop w:val="0"/>
      <w:marBottom w:val="0"/>
      <w:divBdr>
        <w:top w:val="none" w:sz="0" w:space="0" w:color="auto"/>
        <w:left w:val="none" w:sz="0" w:space="0" w:color="auto"/>
        <w:bottom w:val="none" w:sz="0" w:space="0" w:color="auto"/>
        <w:right w:val="none" w:sz="0" w:space="0" w:color="auto"/>
      </w:divBdr>
    </w:div>
    <w:div w:id="766731641">
      <w:bodyDiv w:val="1"/>
      <w:marLeft w:val="0"/>
      <w:marRight w:val="0"/>
      <w:marTop w:val="0"/>
      <w:marBottom w:val="0"/>
      <w:divBdr>
        <w:top w:val="none" w:sz="0" w:space="0" w:color="auto"/>
        <w:left w:val="none" w:sz="0" w:space="0" w:color="auto"/>
        <w:bottom w:val="none" w:sz="0" w:space="0" w:color="auto"/>
        <w:right w:val="none" w:sz="0" w:space="0" w:color="auto"/>
      </w:divBdr>
    </w:div>
    <w:div w:id="852232586">
      <w:bodyDiv w:val="1"/>
      <w:marLeft w:val="0"/>
      <w:marRight w:val="0"/>
      <w:marTop w:val="0"/>
      <w:marBottom w:val="0"/>
      <w:divBdr>
        <w:top w:val="none" w:sz="0" w:space="0" w:color="auto"/>
        <w:left w:val="none" w:sz="0" w:space="0" w:color="auto"/>
        <w:bottom w:val="none" w:sz="0" w:space="0" w:color="auto"/>
        <w:right w:val="none" w:sz="0" w:space="0" w:color="auto"/>
      </w:divBdr>
    </w:div>
    <w:div w:id="1177379076">
      <w:bodyDiv w:val="1"/>
      <w:marLeft w:val="0"/>
      <w:marRight w:val="0"/>
      <w:marTop w:val="0"/>
      <w:marBottom w:val="0"/>
      <w:divBdr>
        <w:top w:val="none" w:sz="0" w:space="0" w:color="auto"/>
        <w:left w:val="none" w:sz="0" w:space="0" w:color="auto"/>
        <w:bottom w:val="none" w:sz="0" w:space="0" w:color="auto"/>
        <w:right w:val="none" w:sz="0" w:space="0" w:color="auto"/>
      </w:divBdr>
    </w:div>
    <w:div w:id="1195004068">
      <w:bodyDiv w:val="1"/>
      <w:marLeft w:val="0"/>
      <w:marRight w:val="0"/>
      <w:marTop w:val="0"/>
      <w:marBottom w:val="0"/>
      <w:divBdr>
        <w:top w:val="none" w:sz="0" w:space="0" w:color="auto"/>
        <w:left w:val="none" w:sz="0" w:space="0" w:color="auto"/>
        <w:bottom w:val="none" w:sz="0" w:space="0" w:color="auto"/>
        <w:right w:val="none" w:sz="0" w:space="0" w:color="auto"/>
      </w:divBdr>
    </w:div>
    <w:div w:id="1381830798">
      <w:bodyDiv w:val="1"/>
      <w:marLeft w:val="0"/>
      <w:marRight w:val="0"/>
      <w:marTop w:val="0"/>
      <w:marBottom w:val="0"/>
      <w:divBdr>
        <w:top w:val="none" w:sz="0" w:space="0" w:color="auto"/>
        <w:left w:val="none" w:sz="0" w:space="0" w:color="auto"/>
        <w:bottom w:val="none" w:sz="0" w:space="0" w:color="auto"/>
        <w:right w:val="none" w:sz="0" w:space="0" w:color="auto"/>
      </w:divBdr>
    </w:div>
    <w:div w:id="1497920436">
      <w:bodyDiv w:val="1"/>
      <w:marLeft w:val="0"/>
      <w:marRight w:val="0"/>
      <w:marTop w:val="0"/>
      <w:marBottom w:val="0"/>
      <w:divBdr>
        <w:top w:val="none" w:sz="0" w:space="0" w:color="auto"/>
        <w:left w:val="none" w:sz="0" w:space="0" w:color="auto"/>
        <w:bottom w:val="none" w:sz="0" w:space="0" w:color="auto"/>
        <w:right w:val="none" w:sz="0" w:space="0" w:color="auto"/>
      </w:divBdr>
    </w:div>
    <w:div w:id="1747342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3.xml><?xml version="1.0" encoding="utf-8"?>
<ds:datastoreItem xmlns:ds="http://schemas.openxmlformats.org/officeDocument/2006/customXml" ds:itemID="{C293AE0E-08AB-134D-BC7C-06DD4B1C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5017</Words>
  <Characters>28602</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GAVI IPV Programme Annex A Intro Plan template</vt:lpstr>
    </vt:vector>
  </TitlesOfParts>
  <Company>WHO</Company>
  <LinksUpToDate>false</LinksUpToDate>
  <CharactersWithSpaces>33552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GAVI IPV Programme Annex A Intro Plan template</dc:title>
  <dc:subject>&amp;lt;p&amp;gt;Annex A. IPV introduction plan        Countries are required to complete and submit a vaccine introduction plan for IPV. WHO has developed guidance to support countries in developing introduction vaccine introduction plans. For a template, please</dc:subject>
  <dc:creator>Application Administrator</dc:creator>
  <cp:lastModifiedBy>Manish Pant</cp:lastModifiedBy>
  <cp:revision>3</cp:revision>
  <cp:lastPrinted>2014-09-11T06:15:00Z</cp:lastPrinted>
  <dcterms:created xsi:type="dcterms:W3CDTF">2014-09-11T06:30:00Z</dcterms:created>
  <dcterms:modified xsi:type="dcterms:W3CDTF">2014-09-11T08:55:00Z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2057</vt:i4>
  </property>
  <property fmtid="{D5CDD505-2E9C-101B-9397-08002B2CF9AE}" pid="3" name="EktQuickLink">
    <vt:lpwstr>DownloadAsset.aspx?id=2147507828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&amp;lt;p&amp;gt;Annex A. IPV introduction plan        Countries are required to complete and submit a vaccine introduction plan for IPV. WHO has developed guidance to support countries in developing introduction vaccine introduction plans. For a template, please</vt:lpwstr>
  </property>
  <property fmtid="{D5CDD505-2E9C-101B-9397-08002B2CF9AE}" pid="8" name="EktExpiryType">
    <vt:i4>1</vt:i4>
  </property>
  <property fmtid="{D5CDD505-2E9C-101B-9397-08002B2CF9AE}" pid="9" name="EktDateCreated">
    <vt:filetime>2014-02-17T15:31:44Z</vt:filetime>
  </property>
  <property fmtid="{D5CDD505-2E9C-101B-9397-08002B2CF9AE}" pid="10" name="EktDateModified">
    <vt:filetime>2014-02-17T15:31:47Z</vt:filetime>
  </property>
  <property fmtid="{D5CDD505-2E9C-101B-9397-08002B2CF9AE}" pid="11" name="EktTaxCategory">
    <vt:lpwstr> #eksep#  #eksep# \Website\Areas\Library\GAVI-documents\Guidelines-and-forms #eksep# \Website\Areas\Library\Documents\GAVI-documents\Guidelines-and-forms #eksep# </vt:lpwstr>
  </property>
  <property fmtid="{D5CDD505-2E9C-101B-9397-08002B2CF9AE}" pid="12" name="EktDisabledTaxCategory">
    <vt:lpwstr/>
  </property>
  <property fmtid="{D5CDD505-2E9C-101B-9397-08002B2CF9AE}" pid="13" name="EktCmsSize">
    <vt:i4>103424</vt:i4>
  </property>
  <property fmtid="{D5CDD505-2E9C-101B-9397-08002B2CF9AE}" pid="14" name="EktSearchable">
    <vt:i4>1</vt:i4>
  </property>
  <property fmtid="{D5CDD505-2E9C-101B-9397-08002B2CF9AE}" pid="15" name="EktEDescription">
    <vt:lpwstr>Summary &amp;lt;p&amp;gt;Annex A. IPV introduction plan        Countries are required to complete and submit a vaccine introduction plan for IPV. WHO has developed guidance to support countries in developing introduction vaccine introduction plans. For a template</vt:lpwstr>
  </property>
  <property fmtid="{D5CDD505-2E9C-101B-9397-08002B2CF9AE}" pid="16" name="EktKeywords">
    <vt:lpwstr>IPV, polio, suppot</vt:lpwstr>
  </property>
  <property fmtid="{D5CDD505-2E9C-101B-9397-08002B2CF9AE}" pid="17" name="EktPublicationDate">
    <vt:filetime>2014-02-17T05:00:00Z</vt:filetime>
  </property>
  <property fmtid="{D5CDD505-2E9C-101B-9397-08002B2CF9AE}" pid="18" name="EktConvertToHtml">
    <vt:bool>false</vt:bool>
  </property>
  <property fmtid="{D5CDD505-2E9C-101B-9397-08002B2CF9AE}" pid="19" name="EktArchived">
    <vt:bool>false</vt:bool>
  </property>
  <property fmtid="{D5CDD505-2E9C-101B-9397-08002B2CF9AE}" pid="20" name="ekttaxonomyenabled">
    <vt:i4>1</vt:i4>
  </property>
  <property fmtid="{D5CDD505-2E9C-101B-9397-08002B2CF9AE}" pid="21" name="EktAuthors">
    <vt:lpwstr/>
  </property>
  <property fmtid="{D5CDD505-2E9C-101B-9397-08002B2CF9AE}" pid="22" name="EktOtherPublisher">
    <vt:lpwstr/>
  </property>
  <property fmtid="{D5CDD505-2E9C-101B-9397-08002B2CF9AE}" pid="23" name="EktReferenceNumber">
    <vt:lpwstr/>
  </property>
  <property fmtid="{D5CDD505-2E9C-101B-9397-08002B2CF9AE}" pid="24" name="_AdHocReviewCycleID">
    <vt:i4>-1702022629</vt:i4>
  </property>
  <property fmtid="{D5CDD505-2E9C-101B-9397-08002B2CF9AE}" pid="25" name="_NewReviewCycle">
    <vt:lpwstr/>
  </property>
  <property fmtid="{D5CDD505-2E9C-101B-9397-08002B2CF9AE}" pid="26" name="_EmailSubject">
    <vt:lpwstr>final documents IPV</vt:lpwstr>
  </property>
  <property fmtid="{D5CDD505-2E9C-101B-9397-08002B2CF9AE}" pid="27" name="_AuthorEmail">
    <vt:lpwstr>machadol@who.int</vt:lpwstr>
  </property>
  <property fmtid="{D5CDD505-2E9C-101B-9397-08002B2CF9AE}" pid="28" name="_AuthorEmailDisplayName">
    <vt:lpwstr>MACHADO, Leonard</vt:lpwstr>
  </property>
</Properties>
</file>