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487532776"/>
        <w:docPartObj>
          <w:docPartGallery w:val="Cover Pages"/>
          <w:docPartUnique/>
        </w:docPartObj>
      </w:sdtPr>
      <w:sdtEndPr/>
      <w:sdtContent>
        <w:p w14:paraId="018ECAD2" w14:textId="135D1375" w:rsidR="00F07EC8" w:rsidRPr="00211A44" w:rsidRDefault="00176294">
          <w:pPr>
            <w:rPr>
              <w:rFonts w:asciiTheme="minorHAnsi" w:hAnsiTheme="minorHAnsi" w:cstheme="minorHAnsi"/>
            </w:rPr>
          </w:pPr>
          <w:r w:rsidRPr="00211A44">
            <w:rPr>
              <w:rFonts w:asciiTheme="minorHAnsi" w:hAnsiTheme="minorHAnsi" w:cstheme="minorHAnsi"/>
              <w:noProof/>
            </w:rPr>
            <mc:AlternateContent>
              <mc:Choice Requires="wps">
                <w:drawing>
                  <wp:anchor distT="0" distB="0" distL="114300" distR="114300" simplePos="0" relativeHeight="251658241" behindDoc="1" locked="0" layoutInCell="1" allowOverlap="1" wp14:anchorId="23AA6C58" wp14:editId="28813716">
                    <wp:simplePos x="0" y="0"/>
                    <wp:positionH relativeFrom="column">
                      <wp:posOffset>-959062</wp:posOffset>
                    </wp:positionH>
                    <wp:positionV relativeFrom="paragraph">
                      <wp:posOffset>-933662</wp:posOffset>
                    </wp:positionV>
                    <wp:extent cx="7592695" cy="10721129"/>
                    <wp:effectExtent l="0" t="0" r="1905" b="0"/>
                    <wp:wrapNone/>
                    <wp:docPr id="47" name="Rectangle 47" title="Couleur de la forme d’arrière-plan de la page"/>
                    <wp:cNvGraphicFramePr/>
                    <a:graphic xmlns:a="http://schemas.openxmlformats.org/drawingml/2006/main">
                      <a:graphicData uri="http://schemas.microsoft.com/office/word/2010/wordprocessingShape">
                        <wps:wsp>
                          <wps:cNvSpPr/>
                          <wps:spPr>
                            <a:xfrm>
                              <a:off x="0" y="0"/>
                              <a:ext cx="7592695" cy="107211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ADEED" id="Rectangle 47" o:spid="_x0000_s1026" alt="Title: Couleur de la forme d’arrière-plan de la page" style="position:absolute;margin-left:-75.5pt;margin-top:-73.5pt;width:597.85pt;height:84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" fillcolor="#4a66ac [3204]" stroked="f" strokeweight="1pt"/>
                </w:pict>
              </mc:Fallback>
            </mc:AlternateContent>
          </w:r>
          <w:r w:rsidR="00F07EC8" w:rsidRPr="00211A44">
            <w:rPr>
              <w:rFonts w:asciiTheme="minorHAnsi" w:hAnsiTheme="minorHAnsi" w:cstheme="minorHAnsi"/>
              <w:b/>
              <w:bCs/>
              <w:noProof/>
              <w:lang w:val="fr-FR"/>
            </w:rPr>
            <mc:AlternateContent>
              <mc:Choice Requires="wps">
                <w:drawing>
                  <wp:anchor distT="0" distB="0" distL="114300" distR="114300" simplePos="0" relativeHeight="251658240" behindDoc="0" locked="0" layoutInCell="1" allowOverlap="1" wp14:anchorId="4C0DFBA1" wp14:editId="0FD483CE">
                    <wp:simplePos x="0" y="0"/>
                    <wp:positionH relativeFrom="column">
                      <wp:posOffset>-800653</wp:posOffset>
                    </wp:positionH>
                    <wp:positionV relativeFrom="paragraph">
                      <wp:posOffset>-785905</wp:posOffset>
                    </wp:positionV>
                    <wp:extent cx="7348793" cy="10490200"/>
                    <wp:effectExtent l="25400" t="25400" r="43180" b="38100"/>
                    <wp:wrapNone/>
                    <wp:docPr id="1" name="Rectangle : avec coins arrondis en diagonale 1"/>
                    <wp:cNvGraphicFramePr/>
                    <a:graphic xmlns:a="http://schemas.openxmlformats.org/drawingml/2006/main">
                      <a:graphicData uri="http://schemas.microsoft.com/office/word/2010/wordprocessingShape">
                        <wps:wsp>
                          <wps:cNvSpPr/>
                          <wps:spPr>
                            <a:xfrm>
                              <a:off x="0" y="0"/>
                              <a:ext cx="7348793" cy="10490200"/>
                            </a:xfrm>
                            <a:prstGeom prst="round2DiagRect">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0A05B61B" w14:textId="77777777" w:rsidR="007B6BFD" w:rsidRPr="00211A44" w:rsidRDefault="007B6BFD" w:rsidP="007B6BFD">
                                <w:pPr>
                                  <w:jc w:val="center"/>
                                  <w:rPr>
                                    <w:rFonts w:asciiTheme="minorHAnsi" w:hAnsiTheme="minorHAnsi" w:cstheme="minorHAnsi"/>
                                    <w:b/>
                                    <w:bCs/>
                                    <w:color w:val="0070C0"/>
                                    <w:sz w:val="36"/>
                                    <w:szCs w:val="36"/>
                                    <w:lang w:val="fr-FR"/>
                                  </w:rPr>
                                </w:pPr>
                                <w:r w:rsidRPr="00211A44">
                                  <w:rPr>
                                    <w:rFonts w:asciiTheme="minorHAnsi" w:hAnsiTheme="minorHAnsi" w:cstheme="minorHAnsi"/>
                                    <w:b/>
                                    <w:bCs/>
                                    <w:color w:val="0070C0"/>
                                    <w:sz w:val="36"/>
                                    <w:szCs w:val="36"/>
                                    <w:lang w:val="fr-FR"/>
                                  </w:rPr>
                                  <w:t>[CAMEROUN]</w:t>
                                </w:r>
                              </w:p>
                              <w:p w14:paraId="1827EFCB" w14:textId="77777777" w:rsidR="007B6BFD" w:rsidRPr="00211A44" w:rsidRDefault="007B6BFD" w:rsidP="007B6BFD">
                                <w:pPr>
                                  <w:rPr>
                                    <w:rFonts w:asciiTheme="minorHAnsi" w:hAnsiTheme="minorHAnsi" w:cstheme="minorHAnsi"/>
                                    <w:b/>
                                    <w:bCs/>
                                    <w:lang w:val="fr-FR"/>
                                  </w:rPr>
                                </w:pPr>
                              </w:p>
                              <w:p w14:paraId="4F270B3F" w14:textId="77777777" w:rsidR="007B6BFD" w:rsidRPr="00211A44" w:rsidRDefault="007B6BFD" w:rsidP="007B6BFD">
                                <w:pPr>
                                  <w:rPr>
                                    <w:rFonts w:asciiTheme="minorHAnsi" w:hAnsiTheme="minorHAnsi" w:cstheme="minorHAnsi"/>
                                    <w:b/>
                                    <w:bCs/>
                                    <w:color w:val="0070C0"/>
                                    <w:lang w:val="fr-FR"/>
                                  </w:rPr>
                                </w:pPr>
                              </w:p>
                              <w:p w14:paraId="27E75B30" w14:textId="75D98F45" w:rsidR="007B6BFD" w:rsidRPr="00211A44" w:rsidRDefault="007B6BFD" w:rsidP="007B6BFD">
                                <w:pPr>
                                  <w:jc w:val="center"/>
                                  <w:rPr>
                                    <w:rFonts w:asciiTheme="minorHAnsi" w:hAnsiTheme="minorHAnsi" w:cstheme="minorHAnsi"/>
                                    <w:b/>
                                    <w:bCs/>
                                    <w:color w:val="0070C0"/>
                                    <w:sz w:val="40"/>
                                    <w:szCs w:val="40"/>
                                    <w:lang w:val="fr-FR"/>
                                  </w:rPr>
                                </w:pPr>
                                <w:r w:rsidRPr="00211A44">
                                  <w:rPr>
                                    <w:rFonts w:asciiTheme="minorHAnsi" w:hAnsiTheme="minorHAnsi" w:cstheme="minorHAnsi"/>
                                    <w:b/>
                                    <w:bCs/>
                                    <w:color w:val="0070C0"/>
                                    <w:sz w:val="40"/>
                                    <w:szCs w:val="40"/>
                                    <w:lang w:val="fr-FR"/>
                                  </w:rPr>
                                  <w:t xml:space="preserve">Plan d’action du changement de forme (Switch) du vaccin </w:t>
                                </w:r>
                                <w:r w:rsidR="00F8762F" w:rsidRPr="00211A44">
                                  <w:rPr>
                                    <w:rFonts w:asciiTheme="minorHAnsi" w:hAnsiTheme="minorHAnsi" w:cstheme="minorHAnsi"/>
                                    <w:b/>
                                    <w:bCs/>
                                    <w:color w:val="0070C0"/>
                                    <w:sz w:val="40"/>
                                    <w:szCs w:val="40"/>
                                    <w:lang w:val="fr-FR"/>
                                  </w:rPr>
                                  <w:t>anti-</w:t>
                                </w:r>
                                <w:r w:rsidRPr="00211A44">
                                  <w:rPr>
                                    <w:rFonts w:asciiTheme="minorHAnsi" w:hAnsiTheme="minorHAnsi" w:cstheme="minorHAnsi"/>
                                    <w:b/>
                                    <w:bCs/>
                                    <w:color w:val="0070C0"/>
                                    <w:sz w:val="40"/>
                                    <w:szCs w:val="40"/>
                                    <w:lang w:val="fr-FR"/>
                                  </w:rPr>
                                  <w:t>rotavirus en avril 2022</w:t>
                                </w:r>
                              </w:p>
                              <w:p w14:paraId="71A1F81B" w14:textId="77777777" w:rsidR="007B6BFD" w:rsidRPr="00211A44" w:rsidRDefault="007B6BFD" w:rsidP="007B6BFD">
                                <w:pPr>
                                  <w:jc w:val="center"/>
                                  <w:rPr>
                                    <w:rFonts w:asciiTheme="minorHAnsi" w:hAnsiTheme="minorHAnsi" w:cstheme="minorHAnsi"/>
                                    <w:color w:val="0070C0"/>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DFBA1" id="Rectangle : avec coins arrondis en diagonale 1" o:spid="_x0000_s1026" style="position:absolute;margin-left:-63.05pt;margin-top:-61.9pt;width:578.65pt;height: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8793,10490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" adj="-11796480,,5400" path="m1224823,l7348793,r,l7348793,9265377v,676451,-548372,1224823,-1224823,1224823l,10490200r,l,1224823c,548372,548372,,1224823,xe" fillcolor="white [3212]" strokecolor="#243255 [1604]" strokeweight="4.5pt">
                    <v:stroke joinstyle="miter"/>
                    <v:formulas/>
                    <v:path arrowok="t" o:connecttype="custom" o:connectlocs="1224823,0;7348793,0;7348793,0;7348793,9265377;6123970,10490200;0,10490200;0,10490200;0,1224823;1224823,0" o:connectangles="0,0,0,0,0,0,0,0,0" textboxrect="0,0,7348793,10490200"/>
                    <v:textbox>
                      <w:txbxContent>
                        <w:p w14:paraId="0A05B61B" w14:textId="77777777" w:rsidR="007B6BFD" w:rsidRPr="00211A44" w:rsidRDefault="007B6BFD" w:rsidP="007B6BFD">
                          <w:pPr>
                            <w:jc w:val="center"/>
                            <w:rPr>
                              <w:rFonts w:asciiTheme="minorHAnsi" w:hAnsiTheme="minorHAnsi" w:cstheme="minorHAnsi"/>
                              <w:b/>
                              <w:bCs/>
                              <w:color w:val="0070C0"/>
                              <w:sz w:val="36"/>
                              <w:szCs w:val="36"/>
                              <w:lang w:val="fr-FR"/>
                            </w:rPr>
                          </w:pPr>
                          <w:r w:rsidRPr="00211A44">
                            <w:rPr>
                              <w:rFonts w:asciiTheme="minorHAnsi" w:hAnsiTheme="minorHAnsi" w:cstheme="minorHAnsi"/>
                              <w:b/>
                              <w:bCs/>
                              <w:color w:val="0070C0"/>
                              <w:sz w:val="36"/>
                              <w:szCs w:val="36"/>
                              <w:lang w:val="fr-FR"/>
                            </w:rPr>
                            <w:t>[CAMEROUN]</w:t>
                          </w:r>
                        </w:p>
                        <w:p w14:paraId="1827EFCB" w14:textId="77777777" w:rsidR="007B6BFD" w:rsidRPr="00211A44" w:rsidRDefault="007B6BFD" w:rsidP="007B6BFD">
                          <w:pPr>
                            <w:rPr>
                              <w:rFonts w:asciiTheme="minorHAnsi" w:hAnsiTheme="minorHAnsi" w:cstheme="minorHAnsi"/>
                              <w:b/>
                              <w:bCs/>
                              <w:lang w:val="fr-FR"/>
                            </w:rPr>
                          </w:pPr>
                        </w:p>
                        <w:p w14:paraId="4F270B3F" w14:textId="77777777" w:rsidR="007B6BFD" w:rsidRPr="00211A44" w:rsidRDefault="007B6BFD" w:rsidP="007B6BFD">
                          <w:pPr>
                            <w:rPr>
                              <w:rFonts w:asciiTheme="minorHAnsi" w:hAnsiTheme="minorHAnsi" w:cstheme="minorHAnsi"/>
                              <w:b/>
                              <w:bCs/>
                              <w:color w:val="0070C0"/>
                              <w:lang w:val="fr-FR"/>
                            </w:rPr>
                          </w:pPr>
                        </w:p>
                        <w:p w14:paraId="27E75B30" w14:textId="75D98F45" w:rsidR="007B6BFD" w:rsidRPr="00211A44" w:rsidRDefault="007B6BFD" w:rsidP="007B6BFD">
                          <w:pPr>
                            <w:jc w:val="center"/>
                            <w:rPr>
                              <w:rFonts w:asciiTheme="minorHAnsi" w:hAnsiTheme="minorHAnsi" w:cstheme="minorHAnsi"/>
                              <w:b/>
                              <w:bCs/>
                              <w:color w:val="0070C0"/>
                              <w:sz w:val="40"/>
                              <w:szCs w:val="40"/>
                              <w:lang w:val="fr-FR"/>
                            </w:rPr>
                          </w:pPr>
                          <w:r w:rsidRPr="00211A44">
                            <w:rPr>
                              <w:rFonts w:asciiTheme="minorHAnsi" w:hAnsiTheme="minorHAnsi" w:cstheme="minorHAnsi"/>
                              <w:b/>
                              <w:bCs/>
                              <w:color w:val="0070C0"/>
                              <w:sz w:val="40"/>
                              <w:szCs w:val="40"/>
                              <w:lang w:val="fr-FR"/>
                            </w:rPr>
                            <w:t xml:space="preserve">Plan d’action du changement de forme (Switch) du vaccin </w:t>
                          </w:r>
                          <w:r w:rsidR="00F8762F" w:rsidRPr="00211A44">
                            <w:rPr>
                              <w:rFonts w:asciiTheme="minorHAnsi" w:hAnsiTheme="minorHAnsi" w:cstheme="minorHAnsi"/>
                              <w:b/>
                              <w:bCs/>
                              <w:color w:val="0070C0"/>
                              <w:sz w:val="40"/>
                              <w:szCs w:val="40"/>
                              <w:lang w:val="fr-FR"/>
                            </w:rPr>
                            <w:t>anti-</w:t>
                          </w:r>
                          <w:r w:rsidRPr="00211A44">
                            <w:rPr>
                              <w:rFonts w:asciiTheme="minorHAnsi" w:hAnsiTheme="minorHAnsi" w:cstheme="minorHAnsi"/>
                              <w:b/>
                              <w:bCs/>
                              <w:color w:val="0070C0"/>
                              <w:sz w:val="40"/>
                              <w:szCs w:val="40"/>
                              <w:lang w:val="fr-FR"/>
                            </w:rPr>
                            <w:t>rotavirus en avril 2022</w:t>
                          </w:r>
                        </w:p>
                        <w:p w14:paraId="71A1F81B" w14:textId="77777777" w:rsidR="007B6BFD" w:rsidRPr="00211A44" w:rsidRDefault="007B6BFD" w:rsidP="007B6BFD">
                          <w:pPr>
                            <w:jc w:val="center"/>
                            <w:rPr>
                              <w:rFonts w:asciiTheme="minorHAnsi" w:hAnsiTheme="minorHAnsi" w:cstheme="minorHAnsi"/>
                              <w:color w:val="0070C0"/>
                              <w:lang w:val="fr-FR"/>
                            </w:rPr>
                          </w:pPr>
                        </w:p>
                      </w:txbxContent>
                    </v:textbox>
                  </v:shape>
                </w:pict>
              </mc:Fallback>
            </mc:AlternateContent>
          </w:r>
        </w:p>
      </w:sdtContent>
    </w:sdt>
    <w:p w14:paraId="21A5115E" w14:textId="5AAB3B65" w:rsidR="00F96AF8" w:rsidRPr="00211A44" w:rsidRDefault="00F96AF8">
      <w:pPr>
        <w:rPr>
          <w:rFonts w:asciiTheme="minorHAnsi" w:hAnsiTheme="minorHAnsi" w:cstheme="minorHAnsi"/>
          <w:b/>
          <w:bCs/>
          <w:lang w:val="fr-FR"/>
        </w:rPr>
      </w:pPr>
    </w:p>
    <w:p w14:paraId="7D292D41" w14:textId="0F761816" w:rsidR="007B6BFD" w:rsidRPr="00211A44" w:rsidRDefault="007B6BFD">
      <w:pPr>
        <w:rPr>
          <w:rFonts w:asciiTheme="minorHAnsi" w:hAnsiTheme="minorHAnsi" w:cstheme="minorHAnsi"/>
          <w:b/>
          <w:bCs/>
          <w:lang w:val="fr-FR"/>
        </w:rPr>
      </w:pPr>
    </w:p>
    <w:p w14:paraId="7401190D" w14:textId="77777777" w:rsidR="007B6BFD" w:rsidRPr="00211A44" w:rsidRDefault="007B6BFD" w:rsidP="007B6BFD">
      <w:pPr>
        <w:rPr>
          <w:rFonts w:asciiTheme="minorHAnsi" w:hAnsiTheme="minorHAnsi" w:cstheme="minorHAnsi"/>
          <w:b/>
          <w:bCs/>
          <w:lang w:val="fr-FR"/>
        </w:rPr>
      </w:pPr>
    </w:p>
    <w:p w14:paraId="31B25E32" w14:textId="5F858563" w:rsidR="007B6BFD" w:rsidRPr="00211A44" w:rsidRDefault="007B6BFD" w:rsidP="007B6BFD">
      <w:pPr>
        <w:rPr>
          <w:rFonts w:asciiTheme="minorHAnsi" w:hAnsiTheme="minorHAnsi" w:cstheme="minorHAnsi"/>
          <w:lang w:val="fr-FR"/>
        </w:rPr>
      </w:pPr>
    </w:p>
    <w:p w14:paraId="48555330" w14:textId="77777777" w:rsidR="007B6BFD" w:rsidRPr="00211A44" w:rsidRDefault="007B6BFD" w:rsidP="007B6BFD">
      <w:pPr>
        <w:rPr>
          <w:rFonts w:asciiTheme="minorHAnsi" w:hAnsiTheme="minorHAnsi" w:cstheme="minorHAnsi"/>
          <w:lang w:val="fr-FR"/>
        </w:rPr>
      </w:pPr>
    </w:p>
    <w:p w14:paraId="2212B649" w14:textId="0C514AB4" w:rsidR="007B6BFD" w:rsidRPr="00211A44" w:rsidRDefault="007B6BFD" w:rsidP="007B6BFD">
      <w:pPr>
        <w:rPr>
          <w:rFonts w:asciiTheme="minorHAnsi" w:hAnsiTheme="minorHAnsi" w:cstheme="minorHAnsi"/>
          <w:lang w:val="fr-FR"/>
        </w:rPr>
      </w:pPr>
    </w:p>
    <w:p w14:paraId="521DED62" w14:textId="17108C6C" w:rsidR="007B6BFD" w:rsidRPr="00211A44" w:rsidRDefault="007B6BFD" w:rsidP="007B6BFD">
      <w:pPr>
        <w:rPr>
          <w:rFonts w:asciiTheme="minorHAnsi" w:hAnsiTheme="minorHAnsi" w:cstheme="minorHAnsi"/>
          <w:lang w:val="fr-FR"/>
        </w:rPr>
      </w:pPr>
    </w:p>
    <w:p w14:paraId="6F963317" w14:textId="35D47160" w:rsidR="007B6BFD" w:rsidRPr="00211A44" w:rsidRDefault="007B6BFD" w:rsidP="007B6BFD">
      <w:pPr>
        <w:rPr>
          <w:rFonts w:asciiTheme="minorHAnsi" w:hAnsiTheme="minorHAnsi" w:cstheme="minorHAnsi"/>
          <w:lang w:val="fr-FR"/>
        </w:rPr>
      </w:pPr>
    </w:p>
    <w:p w14:paraId="6C9A2BC5" w14:textId="7B2FA966" w:rsidR="007B6BFD" w:rsidRPr="00211A44" w:rsidRDefault="007B6BFD" w:rsidP="007B6BFD">
      <w:pPr>
        <w:rPr>
          <w:rFonts w:asciiTheme="minorHAnsi" w:hAnsiTheme="minorHAnsi" w:cstheme="minorHAnsi"/>
          <w:lang w:val="fr-FR"/>
        </w:rPr>
      </w:pPr>
    </w:p>
    <w:p w14:paraId="70A79F0A" w14:textId="2C3C5685" w:rsidR="007B6BFD" w:rsidRPr="00211A44" w:rsidRDefault="007B6BFD" w:rsidP="007B6BFD">
      <w:pPr>
        <w:rPr>
          <w:rFonts w:asciiTheme="minorHAnsi" w:hAnsiTheme="minorHAnsi" w:cstheme="minorHAnsi"/>
          <w:lang w:val="fr-FR"/>
        </w:rPr>
      </w:pPr>
    </w:p>
    <w:p w14:paraId="6C18D42D" w14:textId="77777777" w:rsidR="007B6BFD" w:rsidRPr="00211A44" w:rsidRDefault="007B6BFD" w:rsidP="007B6BFD">
      <w:pPr>
        <w:rPr>
          <w:rFonts w:asciiTheme="minorHAnsi" w:hAnsiTheme="minorHAnsi" w:cstheme="minorHAnsi"/>
          <w:lang w:val="fr-FR"/>
        </w:rPr>
      </w:pPr>
    </w:p>
    <w:p w14:paraId="3C45B26C" w14:textId="54A3686F" w:rsidR="007B6BFD" w:rsidRPr="00211A44" w:rsidRDefault="007B6BFD" w:rsidP="007B6BFD">
      <w:pPr>
        <w:rPr>
          <w:rFonts w:asciiTheme="minorHAnsi" w:hAnsiTheme="minorHAnsi" w:cstheme="minorHAnsi"/>
          <w:lang w:val="fr-FR"/>
        </w:rPr>
      </w:pPr>
    </w:p>
    <w:p w14:paraId="559C7989" w14:textId="5C8E55F7" w:rsidR="007B6BFD" w:rsidRPr="00211A44" w:rsidRDefault="007B6BFD" w:rsidP="007B6BFD">
      <w:pPr>
        <w:rPr>
          <w:rFonts w:asciiTheme="minorHAnsi" w:hAnsiTheme="minorHAnsi" w:cstheme="minorHAnsi"/>
          <w:lang w:val="fr-FR"/>
        </w:rPr>
      </w:pPr>
    </w:p>
    <w:p w14:paraId="6FE5C450" w14:textId="4B880294" w:rsidR="007B6BFD" w:rsidRPr="00211A44" w:rsidRDefault="007B6BFD" w:rsidP="007B6BFD">
      <w:pPr>
        <w:rPr>
          <w:rFonts w:asciiTheme="minorHAnsi" w:hAnsiTheme="minorHAnsi" w:cstheme="minorHAnsi"/>
          <w:lang w:val="fr-FR"/>
        </w:rPr>
      </w:pPr>
    </w:p>
    <w:p w14:paraId="61D3CF73" w14:textId="6A92D6A7" w:rsidR="007B6BFD" w:rsidRPr="00211A44" w:rsidRDefault="007B6BFD" w:rsidP="007B6BFD">
      <w:pPr>
        <w:rPr>
          <w:rFonts w:asciiTheme="minorHAnsi" w:hAnsiTheme="minorHAnsi" w:cstheme="minorHAnsi"/>
          <w:lang w:val="fr-FR"/>
        </w:rPr>
      </w:pPr>
    </w:p>
    <w:p w14:paraId="0D4ABBD3" w14:textId="77777777" w:rsidR="007B6BFD" w:rsidRPr="00211A44" w:rsidRDefault="007B6BFD" w:rsidP="007B6BFD">
      <w:pPr>
        <w:rPr>
          <w:rFonts w:asciiTheme="minorHAnsi" w:hAnsiTheme="minorHAnsi" w:cstheme="minorHAnsi"/>
          <w:lang w:val="fr-FR"/>
        </w:rPr>
      </w:pPr>
    </w:p>
    <w:p w14:paraId="2D055854" w14:textId="77777777" w:rsidR="007B6BFD" w:rsidRPr="00211A44" w:rsidRDefault="007B6BFD" w:rsidP="007B6BFD">
      <w:pPr>
        <w:rPr>
          <w:rFonts w:asciiTheme="minorHAnsi" w:hAnsiTheme="minorHAnsi" w:cstheme="minorHAnsi"/>
          <w:lang w:val="fr-FR"/>
        </w:rPr>
      </w:pPr>
    </w:p>
    <w:p w14:paraId="2B19F424" w14:textId="77777777" w:rsidR="007B6BFD" w:rsidRPr="00211A44" w:rsidRDefault="007B6BFD" w:rsidP="007B6BFD">
      <w:pPr>
        <w:rPr>
          <w:rFonts w:asciiTheme="minorHAnsi" w:hAnsiTheme="minorHAnsi" w:cstheme="minorHAnsi"/>
          <w:lang w:val="fr-FR"/>
        </w:rPr>
      </w:pPr>
    </w:p>
    <w:p w14:paraId="2F44A8AE" w14:textId="77777777" w:rsidR="007B6BFD" w:rsidRPr="00211A44" w:rsidRDefault="007B6BFD" w:rsidP="007B6BFD">
      <w:pPr>
        <w:rPr>
          <w:rFonts w:asciiTheme="minorHAnsi" w:hAnsiTheme="minorHAnsi" w:cstheme="minorHAnsi"/>
          <w:lang w:val="fr-FR"/>
        </w:rPr>
      </w:pPr>
    </w:p>
    <w:p w14:paraId="5FFE172F" w14:textId="77777777" w:rsidR="007B6BFD" w:rsidRPr="00211A44" w:rsidRDefault="007B6BFD" w:rsidP="007B6BFD">
      <w:pPr>
        <w:rPr>
          <w:rFonts w:asciiTheme="minorHAnsi" w:hAnsiTheme="minorHAnsi" w:cstheme="minorHAnsi"/>
          <w:lang w:val="fr-FR"/>
        </w:rPr>
      </w:pPr>
    </w:p>
    <w:p w14:paraId="05BC6EAA" w14:textId="77777777" w:rsidR="007B6BFD" w:rsidRPr="00211A44" w:rsidRDefault="007B6BFD" w:rsidP="007B6BFD">
      <w:pPr>
        <w:rPr>
          <w:rFonts w:asciiTheme="minorHAnsi" w:hAnsiTheme="minorHAnsi" w:cstheme="minorHAnsi"/>
          <w:lang w:val="fr-FR"/>
        </w:rPr>
      </w:pPr>
    </w:p>
    <w:p w14:paraId="52070F43" w14:textId="77777777" w:rsidR="007B6BFD" w:rsidRPr="00211A44" w:rsidRDefault="007B6BFD" w:rsidP="007B6BFD">
      <w:pPr>
        <w:rPr>
          <w:rFonts w:asciiTheme="minorHAnsi" w:hAnsiTheme="minorHAnsi" w:cstheme="minorHAnsi"/>
          <w:lang w:val="fr-FR"/>
        </w:rPr>
      </w:pPr>
    </w:p>
    <w:p w14:paraId="28897DFC" w14:textId="77777777" w:rsidR="007B6BFD" w:rsidRPr="00211A44" w:rsidRDefault="007B6BFD" w:rsidP="007B6BFD">
      <w:pPr>
        <w:rPr>
          <w:rFonts w:asciiTheme="minorHAnsi" w:hAnsiTheme="minorHAnsi" w:cstheme="minorHAnsi"/>
          <w:lang w:val="fr-FR"/>
        </w:rPr>
      </w:pPr>
    </w:p>
    <w:p w14:paraId="19022C35" w14:textId="77777777" w:rsidR="007B6BFD" w:rsidRPr="00211A44" w:rsidRDefault="007B6BFD" w:rsidP="007B6BFD">
      <w:pPr>
        <w:rPr>
          <w:rFonts w:asciiTheme="minorHAnsi" w:hAnsiTheme="minorHAnsi" w:cstheme="minorHAnsi"/>
          <w:b/>
          <w:bCs/>
          <w:lang w:val="fr-FR"/>
        </w:rPr>
      </w:pPr>
    </w:p>
    <w:p w14:paraId="69AB8D47" w14:textId="31B2293F" w:rsidR="00176294" w:rsidRPr="00211A44" w:rsidRDefault="00176294" w:rsidP="007B6BFD">
      <w:pPr>
        <w:rPr>
          <w:rFonts w:asciiTheme="minorHAnsi" w:hAnsiTheme="minorHAnsi" w:cstheme="minorHAnsi"/>
          <w:lang w:val="fr-FR"/>
        </w:rPr>
        <w:sectPr w:rsidR="00176294" w:rsidRPr="00211A44" w:rsidSect="00F07EC8">
          <w:footerReference w:type="default" r:id="rId13"/>
          <w:pgSz w:w="11900" w:h="16840"/>
          <w:pgMar w:top="1417" w:right="1417" w:bottom="1417" w:left="1417" w:header="708" w:footer="708" w:gutter="0"/>
          <w:pgNumType w:start="0"/>
          <w:cols w:space="708"/>
          <w:titlePg/>
          <w:docGrid w:linePitch="360"/>
        </w:sectPr>
      </w:pPr>
    </w:p>
    <w:sdt>
      <w:sdtPr>
        <w:rPr>
          <w:rFonts w:asciiTheme="minorHAnsi" w:eastAsiaTheme="minorEastAsia" w:hAnsiTheme="minorHAnsi" w:cstheme="minorHAnsi"/>
          <w:b w:val="0"/>
          <w:bCs w:val="0"/>
          <w:i w:val="0"/>
          <w:iCs w:val="0"/>
          <w:color w:val="auto"/>
          <w:sz w:val="24"/>
          <w:szCs w:val="24"/>
          <w:lang w:val="fr-FR" w:eastAsia="fr-FR"/>
        </w:rPr>
        <w:id w:val="14587432"/>
        <w:docPartObj>
          <w:docPartGallery w:val="Table of Contents"/>
          <w:docPartUnique/>
        </w:docPartObj>
      </w:sdtPr>
      <w:sdtEndPr>
        <w:rPr>
          <w:rFonts w:eastAsia="Times New Roman"/>
          <w:noProof/>
          <w:lang w:val="fr-CM"/>
        </w:rPr>
      </w:sdtEndPr>
      <w:sdtContent>
        <w:p w14:paraId="6F8BE13A" w14:textId="41F8CA22" w:rsidR="00176294" w:rsidRPr="00211A44" w:rsidRDefault="00176294">
          <w:pPr>
            <w:pStyle w:val="En-ttedetabledesmatires"/>
            <w:rPr>
              <w:rFonts w:asciiTheme="minorHAnsi" w:hAnsiTheme="minorHAnsi" w:cstheme="minorHAnsi"/>
              <w:sz w:val="24"/>
              <w:szCs w:val="24"/>
            </w:rPr>
          </w:pPr>
          <w:r w:rsidRPr="00211A44">
            <w:rPr>
              <w:rFonts w:asciiTheme="minorHAnsi" w:hAnsiTheme="minorHAnsi" w:cstheme="minorHAnsi"/>
              <w:sz w:val="24"/>
              <w:szCs w:val="24"/>
              <w:lang w:val="fr-FR"/>
            </w:rPr>
            <w:t>Table des matières</w:t>
          </w:r>
        </w:p>
        <w:p w14:paraId="33725FC9" w14:textId="7A5CAB01" w:rsidR="00D1458D" w:rsidRDefault="00176294">
          <w:pPr>
            <w:pStyle w:val="TM1"/>
            <w:tabs>
              <w:tab w:val="left" w:pos="480"/>
              <w:tab w:val="right" w:leader="dot" w:pos="9056"/>
            </w:tabs>
            <w:rPr>
              <w:rFonts w:cstheme="minorBidi"/>
              <w:b w:val="0"/>
              <w:bCs w:val="0"/>
              <w:i w:val="0"/>
              <w:iCs w:val="0"/>
              <w:caps w:val="0"/>
              <w:noProof/>
              <w:sz w:val="24"/>
              <w:szCs w:val="24"/>
              <w:lang w:eastAsia="fr-FR"/>
            </w:rPr>
          </w:pPr>
          <w:r w:rsidRPr="00211A44">
            <w:rPr>
              <w:b w:val="0"/>
              <w:bCs w:val="0"/>
              <w:sz w:val="24"/>
              <w:szCs w:val="24"/>
            </w:rPr>
            <w:fldChar w:fldCharType="begin"/>
          </w:r>
          <w:r w:rsidRPr="00211A44">
            <w:rPr>
              <w:sz w:val="24"/>
              <w:szCs w:val="24"/>
            </w:rPr>
            <w:instrText>TOC \o "1-3" \h \z \u</w:instrText>
          </w:r>
          <w:r w:rsidRPr="00211A44">
            <w:rPr>
              <w:b w:val="0"/>
              <w:bCs w:val="0"/>
              <w:sz w:val="24"/>
              <w:szCs w:val="24"/>
            </w:rPr>
            <w:fldChar w:fldCharType="separate"/>
          </w:r>
          <w:hyperlink w:anchor="_Toc97572933" w:history="1">
            <w:r w:rsidR="00D1458D" w:rsidRPr="0029078B">
              <w:rPr>
                <w:rStyle w:val="Lienhypertexte"/>
                <w:noProof/>
                <w:lang w:val="fr-FR"/>
              </w:rPr>
              <w:t>1.</w:t>
            </w:r>
            <w:r w:rsidR="00D1458D">
              <w:rPr>
                <w:rFonts w:cstheme="minorBidi"/>
                <w:b w:val="0"/>
                <w:bCs w:val="0"/>
                <w:i w:val="0"/>
                <w:iCs w:val="0"/>
                <w:caps w:val="0"/>
                <w:noProof/>
                <w:sz w:val="24"/>
                <w:szCs w:val="24"/>
                <w:lang w:eastAsia="fr-FR"/>
              </w:rPr>
              <w:tab/>
            </w:r>
            <w:r w:rsidR="00D1458D" w:rsidRPr="0029078B">
              <w:rPr>
                <w:rStyle w:val="Lienhypertexte"/>
                <w:noProof/>
                <w:lang w:val="fr-FR"/>
              </w:rPr>
              <w:t>Introduction</w:t>
            </w:r>
            <w:r w:rsidR="00D1458D">
              <w:rPr>
                <w:noProof/>
                <w:webHidden/>
              </w:rPr>
              <w:tab/>
            </w:r>
            <w:r w:rsidR="00D1458D">
              <w:rPr>
                <w:noProof/>
                <w:webHidden/>
              </w:rPr>
              <w:fldChar w:fldCharType="begin"/>
            </w:r>
            <w:r w:rsidR="00D1458D">
              <w:rPr>
                <w:noProof/>
                <w:webHidden/>
              </w:rPr>
              <w:instrText xml:space="preserve"> PAGEREF _Toc97572933 \h </w:instrText>
            </w:r>
            <w:r w:rsidR="00D1458D">
              <w:rPr>
                <w:noProof/>
                <w:webHidden/>
              </w:rPr>
            </w:r>
            <w:r w:rsidR="00D1458D">
              <w:rPr>
                <w:noProof/>
                <w:webHidden/>
              </w:rPr>
              <w:fldChar w:fldCharType="separate"/>
            </w:r>
            <w:r w:rsidR="00D1458D">
              <w:rPr>
                <w:noProof/>
                <w:webHidden/>
              </w:rPr>
              <w:t>2</w:t>
            </w:r>
            <w:r w:rsidR="00D1458D">
              <w:rPr>
                <w:noProof/>
                <w:webHidden/>
              </w:rPr>
              <w:fldChar w:fldCharType="end"/>
            </w:r>
          </w:hyperlink>
        </w:p>
        <w:p w14:paraId="45D163E2" w14:textId="2B076E23"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34" w:history="1">
            <w:r w:rsidRPr="0029078B">
              <w:rPr>
                <w:rStyle w:val="Lienhypertexte"/>
                <w:noProof/>
                <w:lang w:val="fr-FR"/>
              </w:rPr>
              <w:t>1.1.</w:t>
            </w:r>
            <w:r>
              <w:rPr>
                <w:rFonts w:cstheme="minorBidi"/>
                <w:i w:val="0"/>
                <w:iCs w:val="0"/>
                <w:smallCaps w:val="0"/>
                <w:noProof/>
                <w:sz w:val="24"/>
                <w:szCs w:val="24"/>
                <w:lang w:eastAsia="fr-FR"/>
              </w:rPr>
              <w:tab/>
            </w:r>
            <w:r w:rsidRPr="0029078B">
              <w:rPr>
                <w:rStyle w:val="Lienhypertexte"/>
                <w:noProof/>
                <w:lang w:val="fr-FR"/>
              </w:rPr>
              <w:t>Justification du changement de forme du vaccin anti-rotavirus</w:t>
            </w:r>
            <w:r>
              <w:rPr>
                <w:noProof/>
                <w:webHidden/>
              </w:rPr>
              <w:tab/>
            </w:r>
            <w:r>
              <w:rPr>
                <w:noProof/>
                <w:webHidden/>
              </w:rPr>
              <w:fldChar w:fldCharType="begin"/>
            </w:r>
            <w:r>
              <w:rPr>
                <w:noProof/>
                <w:webHidden/>
              </w:rPr>
              <w:instrText xml:space="preserve"> PAGEREF _Toc97572934 \h </w:instrText>
            </w:r>
            <w:r>
              <w:rPr>
                <w:noProof/>
                <w:webHidden/>
              </w:rPr>
            </w:r>
            <w:r>
              <w:rPr>
                <w:noProof/>
                <w:webHidden/>
              </w:rPr>
              <w:fldChar w:fldCharType="separate"/>
            </w:r>
            <w:r>
              <w:rPr>
                <w:noProof/>
                <w:webHidden/>
              </w:rPr>
              <w:t>2</w:t>
            </w:r>
            <w:r>
              <w:rPr>
                <w:noProof/>
                <w:webHidden/>
              </w:rPr>
              <w:fldChar w:fldCharType="end"/>
            </w:r>
          </w:hyperlink>
        </w:p>
        <w:p w14:paraId="0CF1A1FB" w14:textId="4905BB9B"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35" w:history="1">
            <w:r w:rsidRPr="0029078B">
              <w:rPr>
                <w:rStyle w:val="Lienhypertexte"/>
                <w:noProof/>
                <w:lang w:val="fr-FR"/>
              </w:rPr>
              <w:t>1.2.</w:t>
            </w:r>
            <w:r>
              <w:rPr>
                <w:rFonts w:cstheme="minorBidi"/>
                <w:i w:val="0"/>
                <w:iCs w:val="0"/>
                <w:smallCaps w:val="0"/>
                <w:noProof/>
                <w:sz w:val="24"/>
                <w:szCs w:val="24"/>
                <w:lang w:eastAsia="fr-FR"/>
              </w:rPr>
              <w:tab/>
            </w:r>
            <w:r w:rsidRPr="0029078B">
              <w:rPr>
                <w:rStyle w:val="Lienhypertexte"/>
                <w:noProof/>
                <w:lang w:val="fr-FR"/>
              </w:rPr>
              <w:t>Historique et performance de la vaccination antirotavirus au Cameroun</w:t>
            </w:r>
            <w:r>
              <w:rPr>
                <w:noProof/>
                <w:webHidden/>
              </w:rPr>
              <w:tab/>
            </w:r>
            <w:r>
              <w:rPr>
                <w:noProof/>
                <w:webHidden/>
              </w:rPr>
              <w:fldChar w:fldCharType="begin"/>
            </w:r>
            <w:r>
              <w:rPr>
                <w:noProof/>
                <w:webHidden/>
              </w:rPr>
              <w:instrText xml:space="preserve"> PAGEREF _Toc97572935 \h </w:instrText>
            </w:r>
            <w:r>
              <w:rPr>
                <w:noProof/>
                <w:webHidden/>
              </w:rPr>
            </w:r>
            <w:r>
              <w:rPr>
                <w:noProof/>
                <w:webHidden/>
              </w:rPr>
              <w:fldChar w:fldCharType="separate"/>
            </w:r>
            <w:r>
              <w:rPr>
                <w:noProof/>
                <w:webHidden/>
              </w:rPr>
              <w:t>2</w:t>
            </w:r>
            <w:r>
              <w:rPr>
                <w:noProof/>
                <w:webHidden/>
              </w:rPr>
              <w:fldChar w:fldCharType="end"/>
            </w:r>
          </w:hyperlink>
        </w:p>
        <w:p w14:paraId="2CDFDB99" w14:textId="0C20448A" w:rsidR="00D1458D" w:rsidRDefault="00D1458D">
          <w:pPr>
            <w:pStyle w:val="TM3"/>
            <w:tabs>
              <w:tab w:val="left" w:pos="1200"/>
              <w:tab w:val="right" w:leader="dot" w:pos="9056"/>
            </w:tabs>
            <w:rPr>
              <w:rFonts w:cstheme="minorBidi"/>
              <w:noProof/>
              <w:sz w:val="24"/>
              <w:szCs w:val="24"/>
              <w:lang w:eastAsia="fr-FR"/>
            </w:rPr>
          </w:pPr>
          <w:hyperlink w:anchor="_Toc97572936" w:history="1">
            <w:r w:rsidRPr="0029078B">
              <w:rPr>
                <w:rStyle w:val="Lienhypertexte"/>
                <w:noProof/>
                <w:lang w:val="fr-FR"/>
              </w:rPr>
              <w:t>1.2.1.</w:t>
            </w:r>
            <w:r>
              <w:rPr>
                <w:rFonts w:cstheme="minorBidi"/>
                <w:noProof/>
                <w:sz w:val="24"/>
                <w:szCs w:val="24"/>
                <w:lang w:eastAsia="fr-FR"/>
              </w:rPr>
              <w:tab/>
            </w:r>
            <w:r w:rsidRPr="0029078B">
              <w:rPr>
                <w:rStyle w:val="Lienhypertexte"/>
                <w:noProof/>
                <w:lang w:val="fr-FR"/>
              </w:rPr>
              <w:t>Historique</w:t>
            </w:r>
            <w:r>
              <w:rPr>
                <w:noProof/>
                <w:webHidden/>
              </w:rPr>
              <w:tab/>
            </w:r>
            <w:r>
              <w:rPr>
                <w:noProof/>
                <w:webHidden/>
              </w:rPr>
              <w:fldChar w:fldCharType="begin"/>
            </w:r>
            <w:r>
              <w:rPr>
                <w:noProof/>
                <w:webHidden/>
              </w:rPr>
              <w:instrText xml:space="preserve"> PAGEREF _Toc97572936 \h </w:instrText>
            </w:r>
            <w:r>
              <w:rPr>
                <w:noProof/>
                <w:webHidden/>
              </w:rPr>
            </w:r>
            <w:r>
              <w:rPr>
                <w:noProof/>
                <w:webHidden/>
              </w:rPr>
              <w:fldChar w:fldCharType="separate"/>
            </w:r>
            <w:r>
              <w:rPr>
                <w:noProof/>
                <w:webHidden/>
              </w:rPr>
              <w:t>2</w:t>
            </w:r>
            <w:r>
              <w:rPr>
                <w:noProof/>
                <w:webHidden/>
              </w:rPr>
              <w:fldChar w:fldCharType="end"/>
            </w:r>
          </w:hyperlink>
        </w:p>
        <w:p w14:paraId="22F84604" w14:textId="7A4DC314" w:rsidR="00D1458D" w:rsidRDefault="00D1458D">
          <w:pPr>
            <w:pStyle w:val="TM3"/>
            <w:tabs>
              <w:tab w:val="left" w:pos="1200"/>
              <w:tab w:val="right" w:leader="dot" w:pos="9056"/>
            </w:tabs>
            <w:rPr>
              <w:rFonts w:cstheme="minorBidi"/>
              <w:noProof/>
              <w:sz w:val="24"/>
              <w:szCs w:val="24"/>
              <w:lang w:eastAsia="fr-FR"/>
            </w:rPr>
          </w:pPr>
          <w:hyperlink w:anchor="_Toc97572937" w:history="1">
            <w:r w:rsidRPr="0029078B">
              <w:rPr>
                <w:rStyle w:val="Lienhypertexte"/>
                <w:noProof/>
                <w:lang w:val="fr-FR"/>
              </w:rPr>
              <w:t>1.2.2.</w:t>
            </w:r>
            <w:r>
              <w:rPr>
                <w:rFonts w:cstheme="minorBidi"/>
                <w:noProof/>
                <w:sz w:val="24"/>
                <w:szCs w:val="24"/>
                <w:lang w:eastAsia="fr-FR"/>
              </w:rPr>
              <w:tab/>
            </w:r>
            <w:r w:rsidRPr="0029078B">
              <w:rPr>
                <w:rStyle w:val="Lienhypertexte"/>
                <w:noProof/>
                <w:lang w:val="fr-FR"/>
              </w:rPr>
              <w:t>Évolution de la couverture vaccinale depuis l’introduction</w:t>
            </w:r>
            <w:r>
              <w:rPr>
                <w:noProof/>
                <w:webHidden/>
              </w:rPr>
              <w:tab/>
            </w:r>
            <w:r>
              <w:rPr>
                <w:noProof/>
                <w:webHidden/>
              </w:rPr>
              <w:fldChar w:fldCharType="begin"/>
            </w:r>
            <w:r>
              <w:rPr>
                <w:noProof/>
                <w:webHidden/>
              </w:rPr>
              <w:instrText xml:space="preserve"> PAGEREF _Toc97572937 \h </w:instrText>
            </w:r>
            <w:r>
              <w:rPr>
                <w:noProof/>
                <w:webHidden/>
              </w:rPr>
            </w:r>
            <w:r>
              <w:rPr>
                <w:noProof/>
                <w:webHidden/>
              </w:rPr>
              <w:fldChar w:fldCharType="separate"/>
            </w:r>
            <w:r>
              <w:rPr>
                <w:noProof/>
                <w:webHidden/>
              </w:rPr>
              <w:t>2</w:t>
            </w:r>
            <w:r>
              <w:rPr>
                <w:noProof/>
                <w:webHidden/>
              </w:rPr>
              <w:fldChar w:fldCharType="end"/>
            </w:r>
          </w:hyperlink>
        </w:p>
        <w:p w14:paraId="29A2BB3B" w14:textId="7D642D6E" w:rsidR="00D1458D" w:rsidRDefault="00D1458D">
          <w:pPr>
            <w:pStyle w:val="TM3"/>
            <w:tabs>
              <w:tab w:val="left" w:pos="1200"/>
              <w:tab w:val="right" w:leader="dot" w:pos="9056"/>
            </w:tabs>
            <w:rPr>
              <w:rFonts w:cstheme="minorBidi"/>
              <w:noProof/>
              <w:sz w:val="24"/>
              <w:szCs w:val="24"/>
              <w:lang w:eastAsia="fr-FR"/>
            </w:rPr>
          </w:pPr>
          <w:hyperlink w:anchor="_Toc97572938" w:history="1">
            <w:r w:rsidRPr="0029078B">
              <w:rPr>
                <w:rStyle w:val="Lienhypertexte"/>
                <w:noProof/>
                <w:lang w:val="fr-FR"/>
              </w:rPr>
              <w:t>1.2.3.</w:t>
            </w:r>
            <w:r>
              <w:rPr>
                <w:rFonts w:cstheme="minorBidi"/>
                <w:noProof/>
                <w:sz w:val="24"/>
                <w:szCs w:val="24"/>
                <w:lang w:eastAsia="fr-FR"/>
              </w:rPr>
              <w:tab/>
            </w:r>
            <w:r w:rsidRPr="0029078B">
              <w:rPr>
                <w:rStyle w:val="Lienhypertexte"/>
                <w:noProof/>
                <w:lang w:val="fr-FR"/>
              </w:rPr>
              <w:t>Données de surveillance sentinelle des diarrhées à rotavirus depuis l’introduction</w:t>
            </w:r>
            <w:r>
              <w:rPr>
                <w:noProof/>
                <w:webHidden/>
              </w:rPr>
              <w:tab/>
            </w:r>
            <w:r>
              <w:rPr>
                <w:noProof/>
                <w:webHidden/>
              </w:rPr>
              <w:fldChar w:fldCharType="begin"/>
            </w:r>
            <w:r>
              <w:rPr>
                <w:noProof/>
                <w:webHidden/>
              </w:rPr>
              <w:instrText xml:space="preserve"> PAGEREF _Toc97572938 \h </w:instrText>
            </w:r>
            <w:r>
              <w:rPr>
                <w:noProof/>
                <w:webHidden/>
              </w:rPr>
            </w:r>
            <w:r>
              <w:rPr>
                <w:noProof/>
                <w:webHidden/>
              </w:rPr>
              <w:fldChar w:fldCharType="separate"/>
            </w:r>
            <w:r>
              <w:rPr>
                <w:noProof/>
                <w:webHidden/>
              </w:rPr>
              <w:t>3</w:t>
            </w:r>
            <w:r>
              <w:rPr>
                <w:noProof/>
                <w:webHidden/>
              </w:rPr>
              <w:fldChar w:fldCharType="end"/>
            </w:r>
          </w:hyperlink>
        </w:p>
        <w:p w14:paraId="62F58D9D" w14:textId="2BA793AE" w:rsidR="00D1458D" w:rsidRDefault="00D1458D">
          <w:pPr>
            <w:pStyle w:val="TM1"/>
            <w:tabs>
              <w:tab w:val="left" w:pos="480"/>
              <w:tab w:val="right" w:leader="dot" w:pos="9056"/>
            </w:tabs>
            <w:rPr>
              <w:rFonts w:cstheme="minorBidi"/>
              <w:b w:val="0"/>
              <w:bCs w:val="0"/>
              <w:i w:val="0"/>
              <w:iCs w:val="0"/>
              <w:caps w:val="0"/>
              <w:noProof/>
              <w:sz w:val="24"/>
              <w:szCs w:val="24"/>
              <w:lang w:eastAsia="fr-FR"/>
            </w:rPr>
          </w:pPr>
          <w:hyperlink w:anchor="_Toc97572939" w:history="1">
            <w:r w:rsidRPr="0029078B">
              <w:rPr>
                <w:rStyle w:val="Lienhypertexte"/>
                <w:noProof/>
                <w:lang w:val="fr-FR"/>
              </w:rPr>
              <w:t>2.</w:t>
            </w:r>
            <w:r>
              <w:rPr>
                <w:rFonts w:cstheme="minorBidi"/>
                <w:b w:val="0"/>
                <w:bCs w:val="0"/>
                <w:i w:val="0"/>
                <w:iCs w:val="0"/>
                <w:caps w:val="0"/>
                <w:noProof/>
                <w:sz w:val="24"/>
                <w:szCs w:val="24"/>
                <w:lang w:eastAsia="fr-FR"/>
              </w:rPr>
              <w:tab/>
            </w:r>
            <w:r w:rsidRPr="0029078B">
              <w:rPr>
                <w:rStyle w:val="Lienhypertexte"/>
                <w:noProof/>
                <w:lang w:val="fr-FR"/>
              </w:rPr>
              <w:t>Objectifs</w:t>
            </w:r>
            <w:r>
              <w:rPr>
                <w:noProof/>
                <w:webHidden/>
              </w:rPr>
              <w:tab/>
            </w:r>
            <w:r>
              <w:rPr>
                <w:noProof/>
                <w:webHidden/>
              </w:rPr>
              <w:fldChar w:fldCharType="begin"/>
            </w:r>
            <w:r>
              <w:rPr>
                <w:noProof/>
                <w:webHidden/>
              </w:rPr>
              <w:instrText xml:space="preserve"> PAGEREF _Toc97572939 \h </w:instrText>
            </w:r>
            <w:r>
              <w:rPr>
                <w:noProof/>
                <w:webHidden/>
              </w:rPr>
            </w:r>
            <w:r>
              <w:rPr>
                <w:noProof/>
                <w:webHidden/>
              </w:rPr>
              <w:fldChar w:fldCharType="separate"/>
            </w:r>
            <w:r>
              <w:rPr>
                <w:noProof/>
                <w:webHidden/>
              </w:rPr>
              <w:t>3</w:t>
            </w:r>
            <w:r>
              <w:rPr>
                <w:noProof/>
                <w:webHidden/>
              </w:rPr>
              <w:fldChar w:fldCharType="end"/>
            </w:r>
          </w:hyperlink>
        </w:p>
        <w:p w14:paraId="0146AF4F" w14:textId="0BC8884D"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40" w:history="1">
            <w:r w:rsidRPr="0029078B">
              <w:rPr>
                <w:rStyle w:val="Lienhypertexte"/>
                <w:noProof/>
                <w:lang w:val="fr-FR"/>
              </w:rPr>
              <w:t>2.1.</w:t>
            </w:r>
            <w:r>
              <w:rPr>
                <w:rFonts w:cstheme="minorBidi"/>
                <w:i w:val="0"/>
                <w:iCs w:val="0"/>
                <w:smallCaps w:val="0"/>
                <w:noProof/>
                <w:sz w:val="24"/>
                <w:szCs w:val="24"/>
                <w:lang w:eastAsia="fr-FR"/>
              </w:rPr>
              <w:tab/>
            </w:r>
            <w:r w:rsidRPr="0029078B">
              <w:rPr>
                <w:rStyle w:val="Lienhypertexte"/>
                <w:noProof/>
                <w:lang w:val="fr-FR"/>
              </w:rPr>
              <w:t>Objectif général</w:t>
            </w:r>
            <w:r>
              <w:rPr>
                <w:noProof/>
                <w:webHidden/>
              </w:rPr>
              <w:tab/>
            </w:r>
            <w:r>
              <w:rPr>
                <w:noProof/>
                <w:webHidden/>
              </w:rPr>
              <w:fldChar w:fldCharType="begin"/>
            </w:r>
            <w:r>
              <w:rPr>
                <w:noProof/>
                <w:webHidden/>
              </w:rPr>
              <w:instrText xml:space="preserve"> PAGEREF _Toc97572940 \h </w:instrText>
            </w:r>
            <w:r>
              <w:rPr>
                <w:noProof/>
                <w:webHidden/>
              </w:rPr>
            </w:r>
            <w:r>
              <w:rPr>
                <w:noProof/>
                <w:webHidden/>
              </w:rPr>
              <w:fldChar w:fldCharType="separate"/>
            </w:r>
            <w:r>
              <w:rPr>
                <w:noProof/>
                <w:webHidden/>
              </w:rPr>
              <w:t>3</w:t>
            </w:r>
            <w:r>
              <w:rPr>
                <w:noProof/>
                <w:webHidden/>
              </w:rPr>
              <w:fldChar w:fldCharType="end"/>
            </w:r>
          </w:hyperlink>
        </w:p>
        <w:p w14:paraId="0FC01310" w14:textId="1F063057"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41" w:history="1">
            <w:r w:rsidRPr="0029078B">
              <w:rPr>
                <w:rStyle w:val="Lienhypertexte"/>
                <w:noProof/>
                <w:lang w:val="fr-FR"/>
              </w:rPr>
              <w:t>2.2.</w:t>
            </w:r>
            <w:r>
              <w:rPr>
                <w:rFonts w:cstheme="minorBidi"/>
                <w:i w:val="0"/>
                <w:iCs w:val="0"/>
                <w:smallCaps w:val="0"/>
                <w:noProof/>
                <w:sz w:val="24"/>
                <w:szCs w:val="24"/>
                <w:lang w:eastAsia="fr-FR"/>
              </w:rPr>
              <w:tab/>
            </w:r>
            <w:r w:rsidRPr="0029078B">
              <w:rPr>
                <w:rStyle w:val="Lienhypertexte"/>
                <w:noProof/>
                <w:lang w:val="fr-FR"/>
              </w:rPr>
              <w:t>Objectifs spécifiques</w:t>
            </w:r>
            <w:r>
              <w:rPr>
                <w:noProof/>
                <w:webHidden/>
              </w:rPr>
              <w:tab/>
            </w:r>
            <w:r>
              <w:rPr>
                <w:noProof/>
                <w:webHidden/>
              </w:rPr>
              <w:fldChar w:fldCharType="begin"/>
            </w:r>
            <w:r>
              <w:rPr>
                <w:noProof/>
                <w:webHidden/>
              </w:rPr>
              <w:instrText xml:space="preserve"> PAGEREF _Toc97572941 \h </w:instrText>
            </w:r>
            <w:r>
              <w:rPr>
                <w:noProof/>
                <w:webHidden/>
              </w:rPr>
            </w:r>
            <w:r>
              <w:rPr>
                <w:noProof/>
                <w:webHidden/>
              </w:rPr>
              <w:fldChar w:fldCharType="separate"/>
            </w:r>
            <w:r>
              <w:rPr>
                <w:noProof/>
                <w:webHidden/>
              </w:rPr>
              <w:t>3</w:t>
            </w:r>
            <w:r>
              <w:rPr>
                <w:noProof/>
                <w:webHidden/>
              </w:rPr>
              <w:fldChar w:fldCharType="end"/>
            </w:r>
          </w:hyperlink>
        </w:p>
        <w:p w14:paraId="56A80A7B" w14:textId="3DDA8035" w:rsidR="00D1458D" w:rsidRDefault="00D1458D">
          <w:pPr>
            <w:pStyle w:val="TM1"/>
            <w:tabs>
              <w:tab w:val="left" w:pos="480"/>
              <w:tab w:val="right" w:leader="dot" w:pos="9056"/>
            </w:tabs>
            <w:rPr>
              <w:rFonts w:cstheme="minorBidi"/>
              <w:b w:val="0"/>
              <w:bCs w:val="0"/>
              <w:i w:val="0"/>
              <w:iCs w:val="0"/>
              <w:caps w:val="0"/>
              <w:noProof/>
              <w:sz w:val="24"/>
              <w:szCs w:val="24"/>
              <w:lang w:eastAsia="fr-FR"/>
            </w:rPr>
          </w:pPr>
          <w:hyperlink w:anchor="_Toc97572942" w:history="1">
            <w:r w:rsidRPr="0029078B">
              <w:rPr>
                <w:rStyle w:val="Lienhypertexte"/>
                <w:noProof/>
                <w:lang w:val="fr-FR"/>
              </w:rPr>
              <w:t>3.</w:t>
            </w:r>
            <w:r>
              <w:rPr>
                <w:rFonts w:cstheme="minorBidi"/>
                <w:b w:val="0"/>
                <w:bCs w:val="0"/>
                <w:i w:val="0"/>
                <w:iCs w:val="0"/>
                <w:caps w:val="0"/>
                <w:noProof/>
                <w:sz w:val="24"/>
                <w:szCs w:val="24"/>
                <w:lang w:eastAsia="fr-FR"/>
              </w:rPr>
              <w:tab/>
            </w:r>
            <w:r w:rsidRPr="0029078B">
              <w:rPr>
                <w:rStyle w:val="Lienhypertexte"/>
                <w:noProof/>
                <w:lang w:val="fr-FR"/>
              </w:rPr>
              <w:t>Axes stratégiques et activités planifiés</w:t>
            </w:r>
            <w:r>
              <w:rPr>
                <w:noProof/>
                <w:webHidden/>
              </w:rPr>
              <w:tab/>
            </w:r>
            <w:r>
              <w:rPr>
                <w:noProof/>
                <w:webHidden/>
              </w:rPr>
              <w:fldChar w:fldCharType="begin"/>
            </w:r>
            <w:r>
              <w:rPr>
                <w:noProof/>
                <w:webHidden/>
              </w:rPr>
              <w:instrText xml:space="preserve"> PAGEREF _Toc97572942 \h </w:instrText>
            </w:r>
            <w:r>
              <w:rPr>
                <w:noProof/>
                <w:webHidden/>
              </w:rPr>
            </w:r>
            <w:r>
              <w:rPr>
                <w:noProof/>
                <w:webHidden/>
              </w:rPr>
              <w:fldChar w:fldCharType="separate"/>
            </w:r>
            <w:r>
              <w:rPr>
                <w:noProof/>
                <w:webHidden/>
              </w:rPr>
              <w:t>3</w:t>
            </w:r>
            <w:r>
              <w:rPr>
                <w:noProof/>
                <w:webHidden/>
              </w:rPr>
              <w:fldChar w:fldCharType="end"/>
            </w:r>
          </w:hyperlink>
        </w:p>
        <w:p w14:paraId="07A6E279" w14:textId="2BE59137"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43" w:history="1">
            <w:r w:rsidRPr="0029078B">
              <w:rPr>
                <w:rStyle w:val="Lienhypertexte"/>
                <w:noProof/>
                <w:lang w:val="fr-FR"/>
              </w:rPr>
              <w:t>3.1.</w:t>
            </w:r>
            <w:r>
              <w:rPr>
                <w:rFonts w:cstheme="minorBidi"/>
                <w:i w:val="0"/>
                <w:iCs w:val="0"/>
                <w:smallCaps w:val="0"/>
                <w:noProof/>
                <w:sz w:val="24"/>
                <w:szCs w:val="24"/>
                <w:lang w:eastAsia="fr-FR"/>
              </w:rPr>
              <w:tab/>
            </w:r>
            <w:r w:rsidRPr="0029078B">
              <w:rPr>
                <w:rStyle w:val="Lienhypertexte"/>
                <w:noProof/>
                <w:lang w:val="fr-FR"/>
              </w:rPr>
              <w:t>Information et renforcement des capacités du personnel en charge de la vaccination</w:t>
            </w:r>
            <w:r>
              <w:rPr>
                <w:noProof/>
                <w:webHidden/>
              </w:rPr>
              <w:tab/>
            </w:r>
            <w:r>
              <w:rPr>
                <w:noProof/>
                <w:webHidden/>
              </w:rPr>
              <w:fldChar w:fldCharType="begin"/>
            </w:r>
            <w:r>
              <w:rPr>
                <w:noProof/>
                <w:webHidden/>
              </w:rPr>
              <w:instrText xml:space="preserve"> PAGEREF _Toc97572943 \h </w:instrText>
            </w:r>
            <w:r>
              <w:rPr>
                <w:noProof/>
                <w:webHidden/>
              </w:rPr>
            </w:r>
            <w:r>
              <w:rPr>
                <w:noProof/>
                <w:webHidden/>
              </w:rPr>
              <w:fldChar w:fldCharType="separate"/>
            </w:r>
            <w:r>
              <w:rPr>
                <w:noProof/>
                <w:webHidden/>
              </w:rPr>
              <w:t>3</w:t>
            </w:r>
            <w:r>
              <w:rPr>
                <w:noProof/>
                <w:webHidden/>
              </w:rPr>
              <w:fldChar w:fldCharType="end"/>
            </w:r>
          </w:hyperlink>
        </w:p>
        <w:p w14:paraId="284AE638" w14:textId="2427FA59" w:rsidR="00D1458D" w:rsidRDefault="00D1458D">
          <w:pPr>
            <w:pStyle w:val="TM3"/>
            <w:tabs>
              <w:tab w:val="left" w:pos="1200"/>
              <w:tab w:val="right" w:leader="dot" w:pos="9056"/>
            </w:tabs>
            <w:rPr>
              <w:rFonts w:cstheme="minorBidi"/>
              <w:noProof/>
              <w:sz w:val="24"/>
              <w:szCs w:val="24"/>
              <w:lang w:eastAsia="fr-FR"/>
            </w:rPr>
          </w:pPr>
          <w:hyperlink w:anchor="_Toc97572944" w:history="1">
            <w:r w:rsidRPr="0029078B">
              <w:rPr>
                <w:rStyle w:val="Lienhypertexte"/>
                <w:noProof/>
                <w:lang w:val="fr-FR"/>
              </w:rPr>
              <w:t>3.1.1.</w:t>
            </w:r>
            <w:r>
              <w:rPr>
                <w:rFonts w:cstheme="minorBidi"/>
                <w:noProof/>
                <w:sz w:val="24"/>
                <w:szCs w:val="24"/>
                <w:lang w:eastAsia="fr-FR"/>
              </w:rPr>
              <w:tab/>
            </w:r>
            <w:r w:rsidRPr="0029078B">
              <w:rPr>
                <w:rStyle w:val="Lienhypertexte"/>
                <w:noProof/>
                <w:lang w:val="fr-FR"/>
              </w:rPr>
              <w:t>Vaccination en pratique</w:t>
            </w:r>
            <w:r>
              <w:rPr>
                <w:noProof/>
                <w:webHidden/>
              </w:rPr>
              <w:tab/>
            </w:r>
            <w:r>
              <w:rPr>
                <w:noProof/>
                <w:webHidden/>
              </w:rPr>
              <w:fldChar w:fldCharType="begin"/>
            </w:r>
            <w:r>
              <w:rPr>
                <w:noProof/>
                <w:webHidden/>
              </w:rPr>
              <w:instrText xml:space="preserve"> PAGEREF _Toc97572944 \h </w:instrText>
            </w:r>
            <w:r>
              <w:rPr>
                <w:noProof/>
                <w:webHidden/>
              </w:rPr>
            </w:r>
            <w:r>
              <w:rPr>
                <w:noProof/>
                <w:webHidden/>
              </w:rPr>
              <w:fldChar w:fldCharType="separate"/>
            </w:r>
            <w:r>
              <w:rPr>
                <w:noProof/>
                <w:webHidden/>
              </w:rPr>
              <w:t>5</w:t>
            </w:r>
            <w:r>
              <w:rPr>
                <w:noProof/>
                <w:webHidden/>
              </w:rPr>
              <w:fldChar w:fldCharType="end"/>
            </w:r>
          </w:hyperlink>
        </w:p>
        <w:p w14:paraId="5C6EB6E7" w14:textId="1B7B219E" w:rsidR="00D1458D" w:rsidRDefault="00D1458D">
          <w:pPr>
            <w:pStyle w:val="TM3"/>
            <w:tabs>
              <w:tab w:val="left" w:pos="1200"/>
              <w:tab w:val="right" w:leader="dot" w:pos="9056"/>
            </w:tabs>
            <w:rPr>
              <w:rFonts w:cstheme="minorBidi"/>
              <w:noProof/>
              <w:sz w:val="24"/>
              <w:szCs w:val="24"/>
              <w:lang w:eastAsia="fr-FR"/>
            </w:rPr>
          </w:pPr>
          <w:hyperlink w:anchor="_Toc97572945" w:history="1">
            <w:r w:rsidRPr="0029078B">
              <w:rPr>
                <w:rStyle w:val="Lienhypertexte"/>
                <w:noProof/>
                <w:lang w:val="fr-FR"/>
              </w:rPr>
              <w:t>3.1.2.</w:t>
            </w:r>
            <w:r>
              <w:rPr>
                <w:rFonts w:cstheme="minorBidi"/>
                <w:noProof/>
                <w:sz w:val="24"/>
                <w:szCs w:val="24"/>
                <w:lang w:eastAsia="fr-FR"/>
              </w:rPr>
              <w:tab/>
            </w:r>
            <w:r w:rsidRPr="0029078B">
              <w:rPr>
                <w:rStyle w:val="Lienhypertexte"/>
                <w:noProof/>
                <w:lang w:val="fr-FR"/>
              </w:rPr>
              <w:t>Gestion des Manifestations Post Vaccinales Indésirables (MAPI) éventuelles et Événement Indésirable d’Intérêt Particulier (EIIP)</w:t>
            </w:r>
            <w:r>
              <w:rPr>
                <w:noProof/>
                <w:webHidden/>
              </w:rPr>
              <w:tab/>
            </w:r>
            <w:r>
              <w:rPr>
                <w:noProof/>
                <w:webHidden/>
              </w:rPr>
              <w:fldChar w:fldCharType="begin"/>
            </w:r>
            <w:r>
              <w:rPr>
                <w:noProof/>
                <w:webHidden/>
              </w:rPr>
              <w:instrText xml:space="preserve"> PAGEREF _Toc97572945 \h </w:instrText>
            </w:r>
            <w:r>
              <w:rPr>
                <w:noProof/>
                <w:webHidden/>
              </w:rPr>
            </w:r>
            <w:r>
              <w:rPr>
                <w:noProof/>
                <w:webHidden/>
              </w:rPr>
              <w:fldChar w:fldCharType="separate"/>
            </w:r>
            <w:r>
              <w:rPr>
                <w:noProof/>
                <w:webHidden/>
              </w:rPr>
              <w:t>6</w:t>
            </w:r>
            <w:r>
              <w:rPr>
                <w:noProof/>
                <w:webHidden/>
              </w:rPr>
              <w:fldChar w:fldCharType="end"/>
            </w:r>
          </w:hyperlink>
        </w:p>
        <w:p w14:paraId="1E6B9D7A" w14:textId="3EAD1F24"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46" w:history="1">
            <w:r w:rsidRPr="0029078B">
              <w:rPr>
                <w:rStyle w:val="Lienhypertexte"/>
                <w:noProof/>
                <w:lang w:val="fr-FR"/>
              </w:rPr>
              <w:t>3.2.</w:t>
            </w:r>
            <w:r>
              <w:rPr>
                <w:rFonts w:cstheme="minorBidi"/>
                <w:i w:val="0"/>
                <w:iCs w:val="0"/>
                <w:smallCaps w:val="0"/>
                <w:noProof/>
                <w:sz w:val="24"/>
                <w:szCs w:val="24"/>
                <w:lang w:eastAsia="fr-FR"/>
              </w:rPr>
              <w:tab/>
            </w:r>
            <w:r w:rsidRPr="0029078B">
              <w:rPr>
                <w:rStyle w:val="Lienhypertexte"/>
                <w:noProof/>
                <w:lang w:val="fr-FR"/>
              </w:rPr>
              <w:t>Information de la communauté et des gardiens d’enfants cible</w:t>
            </w:r>
            <w:r>
              <w:rPr>
                <w:noProof/>
                <w:webHidden/>
              </w:rPr>
              <w:tab/>
            </w:r>
            <w:r>
              <w:rPr>
                <w:noProof/>
                <w:webHidden/>
              </w:rPr>
              <w:fldChar w:fldCharType="begin"/>
            </w:r>
            <w:r>
              <w:rPr>
                <w:noProof/>
                <w:webHidden/>
              </w:rPr>
              <w:instrText xml:space="preserve"> PAGEREF _Toc97572946 \h </w:instrText>
            </w:r>
            <w:r>
              <w:rPr>
                <w:noProof/>
                <w:webHidden/>
              </w:rPr>
            </w:r>
            <w:r>
              <w:rPr>
                <w:noProof/>
                <w:webHidden/>
              </w:rPr>
              <w:fldChar w:fldCharType="separate"/>
            </w:r>
            <w:r>
              <w:rPr>
                <w:noProof/>
                <w:webHidden/>
              </w:rPr>
              <w:t>7</w:t>
            </w:r>
            <w:r>
              <w:rPr>
                <w:noProof/>
                <w:webHidden/>
              </w:rPr>
              <w:fldChar w:fldCharType="end"/>
            </w:r>
          </w:hyperlink>
        </w:p>
        <w:p w14:paraId="218517D4" w14:textId="74CA0BF8" w:rsidR="00D1458D" w:rsidRDefault="00D1458D">
          <w:pPr>
            <w:pStyle w:val="TM3"/>
            <w:tabs>
              <w:tab w:val="left" w:pos="1200"/>
              <w:tab w:val="right" w:leader="dot" w:pos="9056"/>
            </w:tabs>
            <w:rPr>
              <w:rFonts w:cstheme="minorBidi"/>
              <w:noProof/>
              <w:sz w:val="24"/>
              <w:szCs w:val="24"/>
              <w:lang w:eastAsia="fr-FR"/>
            </w:rPr>
          </w:pPr>
          <w:hyperlink w:anchor="_Toc97572947" w:history="1">
            <w:r w:rsidRPr="0029078B">
              <w:rPr>
                <w:rStyle w:val="Lienhypertexte"/>
                <w:noProof/>
                <w:lang w:val="fr-FR"/>
              </w:rPr>
              <w:t>3.2.1.</w:t>
            </w:r>
            <w:r>
              <w:rPr>
                <w:rFonts w:cstheme="minorBidi"/>
                <w:noProof/>
                <w:sz w:val="24"/>
                <w:szCs w:val="24"/>
                <w:lang w:eastAsia="fr-FR"/>
              </w:rPr>
              <w:tab/>
            </w:r>
            <w:r w:rsidRPr="0029078B">
              <w:rPr>
                <w:rStyle w:val="Lienhypertexte"/>
                <w:noProof/>
                <w:lang w:val="fr-FR"/>
              </w:rPr>
              <w:t>Contexte et environnement social actuel</w:t>
            </w:r>
            <w:r>
              <w:rPr>
                <w:noProof/>
                <w:webHidden/>
              </w:rPr>
              <w:tab/>
            </w:r>
            <w:r>
              <w:rPr>
                <w:noProof/>
                <w:webHidden/>
              </w:rPr>
              <w:fldChar w:fldCharType="begin"/>
            </w:r>
            <w:r>
              <w:rPr>
                <w:noProof/>
                <w:webHidden/>
              </w:rPr>
              <w:instrText xml:space="preserve"> PAGEREF _Toc97572947 \h </w:instrText>
            </w:r>
            <w:r>
              <w:rPr>
                <w:noProof/>
                <w:webHidden/>
              </w:rPr>
            </w:r>
            <w:r>
              <w:rPr>
                <w:noProof/>
                <w:webHidden/>
              </w:rPr>
              <w:fldChar w:fldCharType="separate"/>
            </w:r>
            <w:r>
              <w:rPr>
                <w:noProof/>
                <w:webHidden/>
              </w:rPr>
              <w:t>7</w:t>
            </w:r>
            <w:r>
              <w:rPr>
                <w:noProof/>
                <w:webHidden/>
              </w:rPr>
              <w:fldChar w:fldCharType="end"/>
            </w:r>
          </w:hyperlink>
        </w:p>
        <w:p w14:paraId="09EFF6F0" w14:textId="737A4DE9" w:rsidR="00D1458D" w:rsidRDefault="00D1458D">
          <w:pPr>
            <w:pStyle w:val="TM3"/>
            <w:tabs>
              <w:tab w:val="left" w:pos="1200"/>
              <w:tab w:val="right" w:leader="dot" w:pos="9056"/>
            </w:tabs>
            <w:rPr>
              <w:rFonts w:cstheme="minorBidi"/>
              <w:noProof/>
              <w:sz w:val="24"/>
              <w:szCs w:val="24"/>
              <w:lang w:eastAsia="fr-FR"/>
            </w:rPr>
          </w:pPr>
          <w:hyperlink w:anchor="_Toc97572948" w:history="1">
            <w:r w:rsidRPr="0029078B">
              <w:rPr>
                <w:rStyle w:val="Lienhypertexte"/>
                <w:noProof/>
                <w:lang w:val="fr-FR"/>
              </w:rPr>
              <w:t>3.2.2.</w:t>
            </w:r>
            <w:r>
              <w:rPr>
                <w:rFonts w:cstheme="minorBidi"/>
                <w:noProof/>
                <w:sz w:val="24"/>
                <w:szCs w:val="24"/>
                <w:lang w:eastAsia="fr-FR"/>
              </w:rPr>
              <w:tab/>
            </w:r>
            <w:r w:rsidRPr="0029078B">
              <w:rPr>
                <w:rStyle w:val="Lienhypertexte"/>
                <w:noProof/>
                <w:lang w:val="fr-FR"/>
              </w:rPr>
              <w:t>Activités de communication planifiées</w:t>
            </w:r>
            <w:r>
              <w:rPr>
                <w:noProof/>
                <w:webHidden/>
              </w:rPr>
              <w:tab/>
            </w:r>
            <w:r>
              <w:rPr>
                <w:noProof/>
                <w:webHidden/>
              </w:rPr>
              <w:fldChar w:fldCharType="begin"/>
            </w:r>
            <w:r>
              <w:rPr>
                <w:noProof/>
                <w:webHidden/>
              </w:rPr>
              <w:instrText xml:space="preserve"> PAGEREF _Toc97572948 \h </w:instrText>
            </w:r>
            <w:r>
              <w:rPr>
                <w:noProof/>
                <w:webHidden/>
              </w:rPr>
            </w:r>
            <w:r>
              <w:rPr>
                <w:noProof/>
                <w:webHidden/>
              </w:rPr>
              <w:fldChar w:fldCharType="separate"/>
            </w:r>
            <w:r>
              <w:rPr>
                <w:noProof/>
                <w:webHidden/>
              </w:rPr>
              <w:t>8</w:t>
            </w:r>
            <w:r>
              <w:rPr>
                <w:noProof/>
                <w:webHidden/>
              </w:rPr>
              <w:fldChar w:fldCharType="end"/>
            </w:r>
          </w:hyperlink>
        </w:p>
        <w:p w14:paraId="55E0FD46" w14:textId="3CB33A18"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49" w:history="1">
            <w:r w:rsidRPr="0029078B">
              <w:rPr>
                <w:rStyle w:val="Lienhypertexte"/>
                <w:noProof/>
                <w:lang w:val="fr-FR"/>
              </w:rPr>
              <w:t>1.1.</w:t>
            </w:r>
            <w:r>
              <w:rPr>
                <w:rFonts w:cstheme="minorBidi"/>
                <w:i w:val="0"/>
                <w:iCs w:val="0"/>
                <w:smallCaps w:val="0"/>
                <w:noProof/>
                <w:sz w:val="24"/>
                <w:szCs w:val="24"/>
                <w:lang w:eastAsia="fr-FR"/>
              </w:rPr>
              <w:tab/>
            </w:r>
            <w:r w:rsidRPr="0029078B">
              <w:rPr>
                <w:rStyle w:val="Lienhypertexte"/>
                <w:noProof/>
                <w:lang w:val="fr-FR"/>
              </w:rPr>
              <w:t>Approvisionnement en vaccin et gestion des stocks</w:t>
            </w:r>
            <w:r>
              <w:rPr>
                <w:noProof/>
                <w:webHidden/>
              </w:rPr>
              <w:tab/>
            </w:r>
            <w:r>
              <w:rPr>
                <w:noProof/>
                <w:webHidden/>
              </w:rPr>
              <w:fldChar w:fldCharType="begin"/>
            </w:r>
            <w:r>
              <w:rPr>
                <w:noProof/>
                <w:webHidden/>
              </w:rPr>
              <w:instrText xml:space="preserve"> PAGEREF _Toc97572949 \h </w:instrText>
            </w:r>
            <w:r>
              <w:rPr>
                <w:noProof/>
                <w:webHidden/>
              </w:rPr>
            </w:r>
            <w:r>
              <w:rPr>
                <w:noProof/>
                <w:webHidden/>
              </w:rPr>
              <w:fldChar w:fldCharType="separate"/>
            </w:r>
            <w:r>
              <w:rPr>
                <w:noProof/>
                <w:webHidden/>
              </w:rPr>
              <w:t>9</w:t>
            </w:r>
            <w:r>
              <w:rPr>
                <w:noProof/>
                <w:webHidden/>
              </w:rPr>
              <w:fldChar w:fldCharType="end"/>
            </w:r>
          </w:hyperlink>
        </w:p>
        <w:p w14:paraId="33614717" w14:textId="5B26821C" w:rsidR="00D1458D" w:rsidRDefault="00D1458D">
          <w:pPr>
            <w:pStyle w:val="TM3"/>
            <w:tabs>
              <w:tab w:val="left" w:pos="1200"/>
              <w:tab w:val="right" w:leader="dot" w:pos="9056"/>
            </w:tabs>
            <w:rPr>
              <w:rFonts w:cstheme="minorBidi"/>
              <w:noProof/>
              <w:sz w:val="24"/>
              <w:szCs w:val="24"/>
              <w:lang w:eastAsia="fr-FR"/>
            </w:rPr>
          </w:pPr>
          <w:hyperlink w:anchor="_Toc97572950" w:history="1">
            <w:r w:rsidRPr="0029078B">
              <w:rPr>
                <w:rStyle w:val="Lienhypertexte"/>
                <w:noProof/>
                <w:lang w:val="fr-FR"/>
              </w:rPr>
              <w:t>1.1.1.</w:t>
            </w:r>
            <w:r>
              <w:rPr>
                <w:rFonts w:cstheme="minorBidi"/>
                <w:noProof/>
                <w:sz w:val="24"/>
                <w:szCs w:val="24"/>
                <w:lang w:eastAsia="fr-FR"/>
              </w:rPr>
              <w:tab/>
            </w:r>
            <w:r w:rsidRPr="0029078B">
              <w:rPr>
                <w:rStyle w:val="Lienhypertexte"/>
                <w:noProof/>
                <w:lang w:val="fr-FR"/>
              </w:rPr>
              <w:t>Organisation de la chaine d’approvisionnement</w:t>
            </w:r>
            <w:r>
              <w:rPr>
                <w:noProof/>
                <w:webHidden/>
              </w:rPr>
              <w:tab/>
            </w:r>
            <w:r>
              <w:rPr>
                <w:noProof/>
                <w:webHidden/>
              </w:rPr>
              <w:fldChar w:fldCharType="begin"/>
            </w:r>
            <w:r>
              <w:rPr>
                <w:noProof/>
                <w:webHidden/>
              </w:rPr>
              <w:instrText xml:space="preserve"> PAGEREF _Toc97572950 \h </w:instrText>
            </w:r>
            <w:r>
              <w:rPr>
                <w:noProof/>
                <w:webHidden/>
              </w:rPr>
            </w:r>
            <w:r>
              <w:rPr>
                <w:noProof/>
                <w:webHidden/>
              </w:rPr>
              <w:fldChar w:fldCharType="separate"/>
            </w:r>
            <w:r>
              <w:rPr>
                <w:noProof/>
                <w:webHidden/>
              </w:rPr>
              <w:t>9</w:t>
            </w:r>
            <w:r>
              <w:rPr>
                <w:noProof/>
                <w:webHidden/>
              </w:rPr>
              <w:fldChar w:fldCharType="end"/>
            </w:r>
          </w:hyperlink>
        </w:p>
        <w:p w14:paraId="35F0FCF8" w14:textId="4F5FE2F3" w:rsidR="00D1458D" w:rsidRDefault="00D1458D">
          <w:pPr>
            <w:pStyle w:val="TM3"/>
            <w:tabs>
              <w:tab w:val="left" w:pos="1200"/>
              <w:tab w:val="right" w:leader="dot" w:pos="9056"/>
            </w:tabs>
            <w:rPr>
              <w:rFonts w:cstheme="minorBidi"/>
              <w:noProof/>
              <w:sz w:val="24"/>
              <w:szCs w:val="24"/>
              <w:lang w:eastAsia="fr-FR"/>
            </w:rPr>
          </w:pPr>
          <w:hyperlink w:anchor="_Toc97572951" w:history="1">
            <w:r w:rsidRPr="0029078B">
              <w:rPr>
                <w:rStyle w:val="Lienhypertexte"/>
                <w:noProof/>
                <w:lang w:val="fr-FR"/>
              </w:rPr>
              <w:t>1.1.2.</w:t>
            </w:r>
            <w:r>
              <w:rPr>
                <w:rFonts w:cstheme="minorBidi"/>
                <w:noProof/>
                <w:sz w:val="24"/>
                <w:szCs w:val="24"/>
                <w:lang w:eastAsia="fr-FR"/>
              </w:rPr>
              <w:tab/>
            </w:r>
            <w:r w:rsidRPr="0029078B">
              <w:rPr>
                <w:rStyle w:val="Lienhypertexte"/>
                <w:noProof/>
                <w:lang w:val="fr-FR"/>
              </w:rPr>
              <w:t>Activités de la logistique planifiées pour le switch</w:t>
            </w:r>
            <w:r>
              <w:rPr>
                <w:noProof/>
                <w:webHidden/>
              </w:rPr>
              <w:tab/>
            </w:r>
            <w:r>
              <w:rPr>
                <w:noProof/>
                <w:webHidden/>
              </w:rPr>
              <w:fldChar w:fldCharType="begin"/>
            </w:r>
            <w:r>
              <w:rPr>
                <w:noProof/>
                <w:webHidden/>
              </w:rPr>
              <w:instrText xml:space="preserve"> PAGEREF _Toc97572951 \h </w:instrText>
            </w:r>
            <w:r>
              <w:rPr>
                <w:noProof/>
                <w:webHidden/>
              </w:rPr>
            </w:r>
            <w:r>
              <w:rPr>
                <w:noProof/>
                <w:webHidden/>
              </w:rPr>
              <w:fldChar w:fldCharType="separate"/>
            </w:r>
            <w:r>
              <w:rPr>
                <w:noProof/>
                <w:webHidden/>
              </w:rPr>
              <w:t>9</w:t>
            </w:r>
            <w:r>
              <w:rPr>
                <w:noProof/>
                <w:webHidden/>
              </w:rPr>
              <w:fldChar w:fldCharType="end"/>
            </w:r>
          </w:hyperlink>
        </w:p>
        <w:p w14:paraId="79259819" w14:textId="3737E230" w:rsidR="00D1458D" w:rsidRDefault="00D1458D">
          <w:pPr>
            <w:pStyle w:val="TM2"/>
            <w:tabs>
              <w:tab w:val="left" w:pos="960"/>
              <w:tab w:val="right" w:leader="dot" w:pos="9056"/>
            </w:tabs>
            <w:rPr>
              <w:rFonts w:cstheme="minorBidi"/>
              <w:i w:val="0"/>
              <w:iCs w:val="0"/>
              <w:smallCaps w:val="0"/>
              <w:noProof/>
              <w:sz w:val="24"/>
              <w:szCs w:val="24"/>
              <w:lang w:eastAsia="fr-FR"/>
            </w:rPr>
          </w:pPr>
          <w:hyperlink w:anchor="_Toc97572952" w:history="1">
            <w:r w:rsidRPr="0029078B">
              <w:rPr>
                <w:rStyle w:val="Lienhypertexte"/>
                <w:noProof/>
                <w:lang w:val="fr-FR"/>
              </w:rPr>
              <w:t>1.2.</w:t>
            </w:r>
            <w:r>
              <w:rPr>
                <w:rFonts w:cstheme="minorBidi"/>
                <w:i w:val="0"/>
                <w:iCs w:val="0"/>
                <w:smallCaps w:val="0"/>
                <w:noProof/>
                <w:sz w:val="24"/>
                <w:szCs w:val="24"/>
                <w:lang w:eastAsia="fr-FR"/>
              </w:rPr>
              <w:tab/>
            </w:r>
            <w:r w:rsidRPr="0029078B">
              <w:rPr>
                <w:rStyle w:val="Lienhypertexte"/>
                <w:noProof/>
                <w:lang w:val="fr-FR"/>
              </w:rPr>
              <w:t>Gestion des données et monitoring des performances</w:t>
            </w:r>
            <w:r>
              <w:rPr>
                <w:noProof/>
                <w:webHidden/>
              </w:rPr>
              <w:tab/>
            </w:r>
            <w:r>
              <w:rPr>
                <w:noProof/>
                <w:webHidden/>
              </w:rPr>
              <w:fldChar w:fldCharType="begin"/>
            </w:r>
            <w:r>
              <w:rPr>
                <w:noProof/>
                <w:webHidden/>
              </w:rPr>
              <w:instrText xml:space="preserve"> PAGEREF _Toc97572952 \h </w:instrText>
            </w:r>
            <w:r>
              <w:rPr>
                <w:noProof/>
                <w:webHidden/>
              </w:rPr>
            </w:r>
            <w:r>
              <w:rPr>
                <w:noProof/>
                <w:webHidden/>
              </w:rPr>
              <w:fldChar w:fldCharType="separate"/>
            </w:r>
            <w:r>
              <w:rPr>
                <w:noProof/>
                <w:webHidden/>
              </w:rPr>
              <w:t>10</w:t>
            </w:r>
            <w:r>
              <w:rPr>
                <w:noProof/>
                <w:webHidden/>
              </w:rPr>
              <w:fldChar w:fldCharType="end"/>
            </w:r>
          </w:hyperlink>
        </w:p>
        <w:p w14:paraId="3248E767" w14:textId="5BA79B26" w:rsidR="00D1458D" w:rsidRDefault="00D1458D">
          <w:pPr>
            <w:pStyle w:val="TM1"/>
            <w:tabs>
              <w:tab w:val="left" w:pos="480"/>
              <w:tab w:val="right" w:leader="dot" w:pos="9056"/>
            </w:tabs>
            <w:rPr>
              <w:rFonts w:cstheme="minorBidi"/>
              <w:b w:val="0"/>
              <w:bCs w:val="0"/>
              <w:i w:val="0"/>
              <w:iCs w:val="0"/>
              <w:caps w:val="0"/>
              <w:noProof/>
              <w:sz w:val="24"/>
              <w:szCs w:val="24"/>
              <w:lang w:eastAsia="fr-FR"/>
            </w:rPr>
          </w:pPr>
          <w:hyperlink w:anchor="_Toc97572953" w:history="1">
            <w:r w:rsidRPr="0029078B">
              <w:rPr>
                <w:rStyle w:val="Lienhypertexte"/>
                <w:noProof/>
                <w:lang w:val="fr-FR"/>
              </w:rPr>
              <w:t>2.</w:t>
            </w:r>
            <w:r>
              <w:rPr>
                <w:rFonts w:cstheme="minorBidi"/>
                <w:b w:val="0"/>
                <w:bCs w:val="0"/>
                <w:i w:val="0"/>
                <w:iCs w:val="0"/>
                <w:caps w:val="0"/>
                <w:noProof/>
                <w:sz w:val="24"/>
                <w:szCs w:val="24"/>
                <w:lang w:eastAsia="fr-FR"/>
              </w:rPr>
              <w:tab/>
            </w:r>
            <w:r w:rsidRPr="0029078B">
              <w:rPr>
                <w:rStyle w:val="Lienhypertexte"/>
                <w:noProof/>
                <w:lang w:val="fr-FR"/>
              </w:rPr>
              <w:t>Chronogramme d’activités</w:t>
            </w:r>
            <w:r>
              <w:rPr>
                <w:noProof/>
                <w:webHidden/>
              </w:rPr>
              <w:tab/>
            </w:r>
            <w:r>
              <w:rPr>
                <w:noProof/>
                <w:webHidden/>
              </w:rPr>
              <w:fldChar w:fldCharType="begin"/>
            </w:r>
            <w:r>
              <w:rPr>
                <w:noProof/>
                <w:webHidden/>
              </w:rPr>
              <w:instrText xml:space="preserve"> PAGEREF _Toc97572953 \h </w:instrText>
            </w:r>
            <w:r>
              <w:rPr>
                <w:noProof/>
                <w:webHidden/>
              </w:rPr>
            </w:r>
            <w:r>
              <w:rPr>
                <w:noProof/>
                <w:webHidden/>
              </w:rPr>
              <w:fldChar w:fldCharType="separate"/>
            </w:r>
            <w:r>
              <w:rPr>
                <w:noProof/>
                <w:webHidden/>
              </w:rPr>
              <w:t>10</w:t>
            </w:r>
            <w:r>
              <w:rPr>
                <w:noProof/>
                <w:webHidden/>
              </w:rPr>
              <w:fldChar w:fldCharType="end"/>
            </w:r>
          </w:hyperlink>
        </w:p>
        <w:p w14:paraId="31E218AF" w14:textId="690DACCA" w:rsidR="00D1458D" w:rsidRDefault="00D1458D">
          <w:pPr>
            <w:pStyle w:val="TM1"/>
            <w:tabs>
              <w:tab w:val="left" w:pos="480"/>
              <w:tab w:val="right" w:leader="dot" w:pos="9056"/>
            </w:tabs>
            <w:rPr>
              <w:rFonts w:cstheme="minorBidi"/>
              <w:b w:val="0"/>
              <w:bCs w:val="0"/>
              <w:i w:val="0"/>
              <w:iCs w:val="0"/>
              <w:caps w:val="0"/>
              <w:noProof/>
              <w:sz w:val="24"/>
              <w:szCs w:val="24"/>
              <w:lang w:eastAsia="fr-FR"/>
            </w:rPr>
          </w:pPr>
          <w:hyperlink w:anchor="_Toc97572954" w:history="1">
            <w:r w:rsidRPr="0029078B">
              <w:rPr>
                <w:rStyle w:val="Lienhypertexte"/>
                <w:noProof/>
                <w:lang w:val="fr-FR"/>
              </w:rPr>
              <w:t>3.</w:t>
            </w:r>
            <w:r>
              <w:rPr>
                <w:rFonts w:cstheme="minorBidi"/>
                <w:b w:val="0"/>
                <w:bCs w:val="0"/>
                <w:i w:val="0"/>
                <w:iCs w:val="0"/>
                <w:caps w:val="0"/>
                <w:noProof/>
                <w:sz w:val="24"/>
                <w:szCs w:val="24"/>
                <w:lang w:eastAsia="fr-FR"/>
              </w:rPr>
              <w:tab/>
            </w:r>
            <w:r w:rsidRPr="0029078B">
              <w:rPr>
                <w:rStyle w:val="Lienhypertexte"/>
                <w:noProof/>
                <w:lang w:val="fr-FR"/>
              </w:rPr>
              <w:t>Budget</w:t>
            </w:r>
            <w:r>
              <w:rPr>
                <w:noProof/>
                <w:webHidden/>
              </w:rPr>
              <w:tab/>
            </w:r>
            <w:r>
              <w:rPr>
                <w:noProof/>
                <w:webHidden/>
              </w:rPr>
              <w:fldChar w:fldCharType="begin"/>
            </w:r>
            <w:r>
              <w:rPr>
                <w:noProof/>
                <w:webHidden/>
              </w:rPr>
              <w:instrText xml:space="preserve"> PAGEREF _Toc97572954 \h </w:instrText>
            </w:r>
            <w:r>
              <w:rPr>
                <w:noProof/>
                <w:webHidden/>
              </w:rPr>
            </w:r>
            <w:r>
              <w:rPr>
                <w:noProof/>
                <w:webHidden/>
              </w:rPr>
              <w:fldChar w:fldCharType="separate"/>
            </w:r>
            <w:r>
              <w:rPr>
                <w:noProof/>
                <w:webHidden/>
              </w:rPr>
              <w:t>11</w:t>
            </w:r>
            <w:r>
              <w:rPr>
                <w:noProof/>
                <w:webHidden/>
              </w:rPr>
              <w:fldChar w:fldCharType="end"/>
            </w:r>
          </w:hyperlink>
        </w:p>
        <w:p w14:paraId="49D9C93D" w14:textId="54684DB7" w:rsidR="00D1458D" w:rsidRDefault="00D1458D">
          <w:pPr>
            <w:pStyle w:val="TM1"/>
            <w:tabs>
              <w:tab w:val="left" w:pos="480"/>
              <w:tab w:val="right" w:leader="dot" w:pos="9056"/>
            </w:tabs>
            <w:rPr>
              <w:rFonts w:cstheme="minorBidi"/>
              <w:b w:val="0"/>
              <w:bCs w:val="0"/>
              <w:i w:val="0"/>
              <w:iCs w:val="0"/>
              <w:caps w:val="0"/>
              <w:noProof/>
              <w:sz w:val="24"/>
              <w:szCs w:val="24"/>
              <w:lang w:eastAsia="fr-FR"/>
            </w:rPr>
          </w:pPr>
          <w:hyperlink w:anchor="_Toc97572955" w:history="1">
            <w:r w:rsidRPr="0029078B">
              <w:rPr>
                <w:rStyle w:val="Lienhypertexte"/>
                <w:noProof/>
                <w:lang w:val="fr-FR"/>
              </w:rPr>
              <w:t>4.</w:t>
            </w:r>
            <w:r>
              <w:rPr>
                <w:rFonts w:cstheme="minorBidi"/>
                <w:b w:val="0"/>
                <w:bCs w:val="0"/>
                <w:i w:val="0"/>
                <w:iCs w:val="0"/>
                <w:caps w:val="0"/>
                <w:noProof/>
                <w:sz w:val="24"/>
                <w:szCs w:val="24"/>
                <w:lang w:eastAsia="fr-FR"/>
              </w:rPr>
              <w:tab/>
            </w:r>
            <w:r w:rsidRPr="0029078B">
              <w:rPr>
                <w:rStyle w:val="Lienhypertexte"/>
                <w:noProof/>
                <w:lang w:val="fr-FR"/>
              </w:rPr>
              <w:t>Cadre de suivi-Évaluation</w:t>
            </w:r>
            <w:r>
              <w:rPr>
                <w:noProof/>
                <w:webHidden/>
              </w:rPr>
              <w:tab/>
            </w:r>
            <w:r>
              <w:rPr>
                <w:noProof/>
                <w:webHidden/>
              </w:rPr>
              <w:fldChar w:fldCharType="begin"/>
            </w:r>
            <w:r>
              <w:rPr>
                <w:noProof/>
                <w:webHidden/>
              </w:rPr>
              <w:instrText xml:space="preserve"> PAGEREF _Toc97572955 \h </w:instrText>
            </w:r>
            <w:r>
              <w:rPr>
                <w:noProof/>
                <w:webHidden/>
              </w:rPr>
            </w:r>
            <w:r>
              <w:rPr>
                <w:noProof/>
                <w:webHidden/>
              </w:rPr>
              <w:fldChar w:fldCharType="separate"/>
            </w:r>
            <w:r>
              <w:rPr>
                <w:noProof/>
                <w:webHidden/>
              </w:rPr>
              <w:t>12</w:t>
            </w:r>
            <w:r>
              <w:rPr>
                <w:noProof/>
                <w:webHidden/>
              </w:rPr>
              <w:fldChar w:fldCharType="end"/>
            </w:r>
          </w:hyperlink>
        </w:p>
        <w:p w14:paraId="644C6488" w14:textId="430A16EE" w:rsidR="00176294" w:rsidRPr="00211A44" w:rsidRDefault="00176294">
          <w:pPr>
            <w:rPr>
              <w:rFonts w:asciiTheme="minorHAnsi" w:hAnsiTheme="minorHAnsi" w:cstheme="minorHAnsi"/>
            </w:rPr>
          </w:pPr>
          <w:r w:rsidRPr="00211A44">
            <w:rPr>
              <w:rFonts w:asciiTheme="minorHAnsi" w:hAnsiTheme="minorHAnsi" w:cstheme="minorHAnsi"/>
              <w:b/>
              <w:bCs/>
              <w:noProof/>
            </w:rPr>
            <w:fldChar w:fldCharType="end"/>
          </w:r>
        </w:p>
      </w:sdtContent>
    </w:sdt>
    <w:p w14:paraId="003E2AA1" w14:textId="6BF621F3" w:rsidR="00F96AF8" w:rsidRPr="00211A44" w:rsidRDefault="00F96AF8" w:rsidP="00F96AF8">
      <w:pPr>
        <w:jc w:val="center"/>
        <w:rPr>
          <w:rFonts w:asciiTheme="minorHAnsi" w:hAnsiTheme="minorHAnsi" w:cstheme="minorHAnsi"/>
          <w:b/>
          <w:bCs/>
        </w:rPr>
      </w:pPr>
    </w:p>
    <w:p w14:paraId="5C8161B6" w14:textId="6A8E63B3" w:rsidR="00F96AF8" w:rsidRPr="00211A44" w:rsidRDefault="00F96AF8" w:rsidP="00F96AF8">
      <w:pPr>
        <w:jc w:val="center"/>
        <w:rPr>
          <w:rFonts w:asciiTheme="minorHAnsi" w:hAnsiTheme="minorHAnsi" w:cstheme="minorHAnsi"/>
          <w:b/>
          <w:bCs/>
          <w:lang w:val="fr-FR"/>
        </w:rPr>
      </w:pPr>
    </w:p>
    <w:p w14:paraId="5A8FA868" w14:textId="6CA2F3BD" w:rsidR="00176294" w:rsidRPr="00211A44" w:rsidRDefault="00176294" w:rsidP="007B6BFD">
      <w:pPr>
        <w:tabs>
          <w:tab w:val="left" w:pos="2323"/>
        </w:tabs>
        <w:rPr>
          <w:rFonts w:asciiTheme="minorHAnsi" w:hAnsiTheme="minorHAnsi" w:cstheme="minorHAnsi"/>
          <w:b/>
          <w:bCs/>
          <w:lang w:val="fr-FR"/>
        </w:rPr>
      </w:pPr>
      <w:r w:rsidRPr="00211A44">
        <w:rPr>
          <w:rFonts w:asciiTheme="minorHAnsi" w:hAnsiTheme="minorHAnsi" w:cstheme="minorHAnsi"/>
          <w:b/>
          <w:bCs/>
          <w:lang w:val="fr-FR"/>
        </w:rPr>
        <w:br w:type="page"/>
      </w:r>
    </w:p>
    <w:p w14:paraId="66C2D3BB" w14:textId="19774A97" w:rsidR="00560502" w:rsidRPr="00211A44" w:rsidRDefault="00F8762F" w:rsidP="008E5326">
      <w:pPr>
        <w:pStyle w:val="Titre1"/>
        <w:numPr>
          <w:ilvl w:val="0"/>
          <w:numId w:val="3"/>
        </w:numPr>
        <w:rPr>
          <w:rFonts w:asciiTheme="minorHAnsi" w:hAnsiTheme="minorHAnsi" w:cstheme="minorHAnsi"/>
          <w:sz w:val="24"/>
          <w:szCs w:val="24"/>
          <w:lang w:val="fr-FR"/>
        </w:rPr>
      </w:pPr>
      <w:bookmarkStart w:id="0" w:name="_Toc97572933"/>
      <w:r w:rsidRPr="00211A44">
        <w:rPr>
          <w:rFonts w:asciiTheme="minorHAnsi" w:hAnsiTheme="minorHAnsi" w:cstheme="minorHAnsi"/>
          <w:sz w:val="24"/>
          <w:szCs w:val="24"/>
          <w:lang w:val="fr-FR"/>
        </w:rPr>
        <w:lastRenderedPageBreak/>
        <w:t>Introduction</w:t>
      </w:r>
      <w:bookmarkEnd w:id="0"/>
    </w:p>
    <w:p w14:paraId="419DC247" w14:textId="427F58E9" w:rsidR="00F8762F" w:rsidRPr="00211A44" w:rsidRDefault="00F8762F" w:rsidP="008E5326">
      <w:pPr>
        <w:pStyle w:val="Titre2"/>
        <w:numPr>
          <w:ilvl w:val="1"/>
          <w:numId w:val="3"/>
        </w:numPr>
        <w:rPr>
          <w:rFonts w:asciiTheme="minorHAnsi" w:hAnsiTheme="minorHAnsi" w:cstheme="minorHAnsi"/>
          <w:sz w:val="24"/>
          <w:szCs w:val="24"/>
          <w:lang w:val="fr-FR"/>
        </w:rPr>
      </w:pPr>
      <w:bookmarkStart w:id="1" w:name="_Toc97572934"/>
      <w:r w:rsidRPr="00211A44">
        <w:rPr>
          <w:rFonts w:asciiTheme="minorHAnsi" w:hAnsiTheme="minorHAnsi" w:cstheme="minorHAnsi"/>
          <w:sz w:val="24"/>
          <w:szCs w:val="24"/>
          <w:lang w:val="fr-FR"/>
        </w:rPr>
        <w:t>Justification du changement de forme</w:t>
      </w:r>
      <w:r w:rsidR="006F755D" w:rsidRPr="00211A44">
        <w:rPr>
          <w:rFonts w:asciiTheme="minorHAnsi" w:hAnsiTheme="minorHAnsi" w:cstheme="minorHAnsi"/>
          <w:sz w:val="24"/>
          <w:szCs w:val="24"/>
          <w:lang w:val="fr-FR"/>
        </w:rPr>
        <w:t xml:space="preserve"> du vaccin anti-rotavirus</w:t>
      </w:r>
      <w:bookmarkEnd w:id="1"/>
    </w:p>
    <w:p w14:paraId="5C00970D" w14:textId="0285CFE9" w:rsidR="00F8762F" w:rsidRPr="00211A44"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color w:val="000000" w:themeColor="text1"/>
          <w:lang w:val="fr-FR"/>
        </w:rPr>
      </w:pPr>
      <w:r w:rsidRPr="00211A44">
        <w:rPr>
          <w:rFonts w:asciiTheme="minorHAnsi" w:hAnsiTheme="minorHAnsi" w:cstheme="minorHAnsi"/>
          <w:color w:val="000000" w:themeColor="text1"/>
          <w:lang w:val="fr-FR"/>
        </w:rPr>
        <w:t xml:space="preserve">En </w:t>
      </w:r>
      <w:r w:rsidR="00AE23AF" w:rsidRPr="00211A44">
        <w:rPr>
          <w:rFonts w:asciiTheme="minorHAnsi" w:hAnsiTheme="minorHAnsi" w:cstheme="minorHAnsi"/>
          <w:color w:val="000000" w:themeColor="text1"/>
          <w:lang w:val="fr-FR"/>
        </w:rPr>
        <w:t xml:space="preserve">raison de la limitation de la fourniture du vaccin </w:t>
      </w:r>
      <w:proofErr w:type="spellStart"/>
      <w:r w:rsidRPr="00211A44">
        <w:rPr>
          <w:rFonts w:asciiTheme="minorHAnsi" w:hAnsiTheme="minorHAnsi" w:cstheme="minorHAnsi"/>
          <w:color w:val="000000" w:themeColor="text1"/>
          <w:lang w:val="fr-FR"/>
        </w:rPr>
        <w:t>Rotarix</w:t>
      </w:r>
      <w:proofErr w:type="spellEnd"/>
      <w:r w:rsidR="00AE23AF" w:rsidRPr="00211A44">
        <w:rPr>
          <w:rFonts w:asciiTheme="minorHAnsi" w:hAnsiTheme="minorHAnsi" w:cstheme="minorHAnsi"/>
          <w:color w:val="000000" w:themeColor="text1"/>
          <w:lang w:val="fr-FR"/>
        </w:rPr>
        <w:t xml:space="preserve">® </w:t>
      </w:r>
      <w:r w:rsidR="00867DF4" w:rsidRPr="00211A44">
        <w:rPr>
          <w:rFonts w:asciiTheme="minorHAnsi" w:hAnsiTheme="minorHAnsi" w:cstheme="minorHAnsi"/>
          <w:color w:val="000000" w:themeColor="text1"/>
          <w:lang w:val="fr-FR"/>
        </w:rPr>
        <w:t xml:space="preserve">de </w:t>
      </w:r>
      <w:r w:rsidR="00AE23AF" w:rsidRPr="00211A44">
        <w:rPr>
          <w:rFonts w:asciiTheme="minorHAnsi" w:hAnsiTheme="minorHAnsi" w:cstheme="minorHAnsi"/>
          <w:color w:val="000000" w:themeColor="text1"/>
          <w:lang w:val="fr-FR"/>
        </w:rPr>
        <w:t>GSK à</w:t>
      </w:r>
      <w:r w:rsidRPr="00211A44">
        <w:rPr>
          <w:rFonts w:asciiTheme="minorHAnsi" w:hAnsiTheme="minorHAnsi" w:cstheme="minorHAnsi"/>
          <w:color w:val="000000" w:themeColor="text1"/>
          <w:lang w:val="fr-FR"/>
        </w:rPr>
        <w:t xml:space="preserve"> Gavi à partir de 2022. </w:t>
      </w:r>
      <w:r w:rsidR="00867DF4" w:rsidRPr="00211A44">
        <w:rPr>
          <w:rFonts w:asciiTheme="minorHAnsi" w:hAnsiTheme="minorHAnsi" w:cstheme="minorHAnsi"/>
          <w:color w:val="000000" w:themeColor="text1"/>
          <w:lang w:val="fr-FR"/>
        </w:rPr>
        <w:t xml:space="preserve"> Gavi ne sera pas en pas en mesure de couvrir les besoins des pays soutenus avec ce vaccin. </w:t>
      </w:r>
      <w:r w:rsidRPr="00211A44">
        <w:rPr>
          <w:rFonts w:asciiTheme="minorHAnsi" w:hAnsiTheme="minorHAnsi" w:cstheme="minorHAnsi"/>
          <w:color w:val="000000" w:themeColor="text1"/>
          <w:lang w:val="fr-FR"/>
        </w:rPr>
        <w:t xml:space="preserve">Les expéditions de 2021 </w:t>
      </w:r>
      <w:r w:rsidR="00867DF4" w:rsidRPr="00211A44">
        <w:rPr>
          <w:rFonts w:asciiTheme="minorHAnsi" w:hAnsiTheme="minorHAnsi" w:cstheme="minorHAnsi"/>
          <w:color w:val="000000" w:themeColor="text1"/>
          <w:lang w:val="fr-FR"/>
        </w:rPr>
        <w:t>se sont déroulé</w:t>
      </w:r>
      <w:r w:rsidR="00786204" w:rsidRPr="00211A44">
        <w:rPr>
          <w:rFonts w:asciiTheme="minorHAnsi" w:hAnsiTheme="minorHAnsi" w:cstheme="minorHAnsi"/>
          <w:color w:val="000000" w:themeColor="text1"/>
          <w:lang w:val="fr-FR"/>
        </w:rPr>
        <w:t>es</w:t>
      </w:r>
      <w:r w:rsidRPr="00211A44">
        <w:rPr>
          <w:rFonts w:asciiTheme="minorHAnsi" w:hAnsiTheme="minorHAnsi" w:cstheme="minorHAnsi"/>
          <w:color w:val="000000" w:themeColor="text1"/>
          <w:lang w:val="fr-FR"/>
        </w:rPr>
        <w:t xml:space="preserve"> comme prévu, mais certains pays devront opter pour une autre option à partir de 2022. </w:t>
      </w:r>
    </w:p>
    <w:p w14:paraId="7BD5A7D4" w14:textId="6285C222" w:rsidR="00F8762F" w:rsidRPr="00211A44"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color w:val="000000" w:themeColor="text1"/>
          <w:lang w:val="fr-FR"/>
        </w:rPr>
      </w:pPr>
      <w:r w:rsidRPr="00211A44">
        <w:rPr>
          <w:rFonts w:asciiTheme="minorHAnsi" w:hAnsiTheme="minorHAnsi" w:cstheme="minorHAnsi"/>
          <w:color w:val="000000" w:themeColor="text1"/>
          <w:lang w:val="fr-FR"/>
        </w:rPr>
        <w:t xml:space="preserve">Pour identifier les pays qui seraient les plus aptes à changer d'option, </w:t>
      </w:r>
      <w:r w:rsidR="00867DF4" w:rsidRPr="00211A44">
        <w:rPr>
          <w:rFonts w:asciiTheme="minorHAnsi" w:hAnsiTheme="minorHAnsi" w:cstheme="minorHAnsi"/>
          <w:color w:val="000000" w:themeColor="text1"/>
          <w:lang w:val="fr-FR"/>
        </w:rPr>
        <w:t>Gavi</w:t>
      </w:r>
      <w:r w:rsidRPr="00211A44">
        <w:rPr>
          <w:rFonts w:asciiTheme="minorHAnsi" w:hAnsiTheme="minorHAnsi" w:cstheme="minorHAnsi"/>
          <w:color w:val="000000" w:themeColor="text1"/>
          <w:lang w:val="fr-FR"/>
        </w:rPr>
        <w:t xml:space="preserve"> </w:t>
      </w:r>
      <w:r w:rsidR="006D2817" w:rsidRPr="00211A44">
        <w:rPr>
          <w:rFonts w:asciiTheme="minorHAnsi" w:hAnsiTheme="minorHAnsi" w:cstheme="minorHAnsi"/>
          <w:color w:val="000000" w:themeColor="text1"/>
          <w:lang w:val="fr-FR"/>
        </w:rPr>
        <w:t xml:space="preserve">a </w:t>
      </w:r>
      <w:r w:rsidRPr="00211A44">
        <w:rPr>
          <w:rFonts w:asciiTheme="minorHAnsi" w:hAnsiTheme="minorHAnsi" w:cstheme="minorHAnsi"/>
          <w:color w:val="000000" w:themeColor="text1"/>
          <w:lang w:val="fr-FR"/>
        </w:rPr>
        <w:t>réalisé des scénari</w:t>
      </w:r>
      <w:r w:rsidR="00786204" w:rsidRPr="00211A44">
        <w:rPr>
          <w:rFonts w:asciiTheme="minorHAnsi" w:hAnsiTheme="minorHAnsi" w:cstheme="minorHAnsi"/>
          <w:color w:val="000000" w:themeColor="text1"/>
          <w:lang w:val="fr-FR"/>
        </w:rPr>
        <w:t>i</w:t>
      </w:r>
      <w:r w:rsidRPr="00211A44">
        <w:rPr>
          <w:rFonts w:asciiTheme="minorHAnsi" w:hAnsiTheme="minorHAnsi" w:cstheme="minorHAnsi"/>
          <w:color w:val="000000" w:themeColor="text1"/>
          <w:lang w:val="fr-FR"/>
        </w:rPr>
        <w:t xml:space="preserve"> pour évaluer l'impact du changement sur le coût du cofinancement et le volume de la chaîne du froid</w:t>
      </w:r>
      <w:r w:rsidR="00867DF4" w:rsidRPr="00211A44">
        <w:rPr>
          <w:rFonts w:asciiTheme="minorHAnsi" w:hAnsiTheme="minorHAnsi" w:cstheme="minorHAnsi"/>
          <w:color w:val="000000" w:themeColor="text1"/>
          <w:lang w:val="fr-FR"/>
        </w:rPr>
        <w:t xml:space="preserve"> et </w:t>
      </w:r>
      <w:r w:rsidRPr="00211A44">
        <w:rPr>
          <w:rFonts w:asciiTheme="minorHAnsi" w:hAnsiTheme="minorHAnsi" w:cstheme="minorHAnsi"/>
          <w:color w:val="000000" w:themeColor="text1"/>
          <w:lang w:val="fr-FR"/>
        </w:rPr>
        <w:t xml:space="preserve">le </w:t>
      </w:r>
      <w:r w:rsidR="00867DF4" w:rsidRPr="00211A44">
        <w:rPr>
          <w:rFonts w:asciiTheme="minorHAnsi" w:hAnsiTheme="minorHAnsi" w:cstheme="minorHAnsi"/>
          <w:color w:val="000000" w:themeColor="text1"/>
          <w:lang w:val="fr-FR"/>
        </w:rPr>
        <w:t xml:space="preserve">Cameroun a été identifié </w:t>
      </w:r>
      <w:r w:rsidRPr="00211A44">
        <w:rPr>
          <w:rFonts w:asciiTheme="minorHAnsi" w:hAnsiTheme="minorHAnsi" w:cstheme="minorHAnsi"/>
          <w:color w:val="000000" w:themeColor="text1"/>
          <w:lang w:val="fr-FR"/>
        </w:rPr>
        <w:t>comme l'un des pays qui pourrait économiser 20-60% du coût du cofinancement des vaccins et jusqu'à 70% du volume de la chaîne du froid en passant à une solution.</w:t>
      </w:r>
    </w:p>
    <w:p w14:paraId="29790210" w14:textId="288FED68" w:rsidR="00F8762F" w:rsidRPr="00211A44"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 xml:space="preserve">Les options disponibles pour le Cameroun </w:t>
      </w:r>
      <w:r w:rsidR="00E468D6" w:rsidRPr="00211A44">
        <w:rPr>
          <w:rFonts w:asciiTheme="minorHAnsi" w:hAnsiTheme="minorHAnsi" w:cstheme="minorHAnsi"/>
          <w:color w:val="000000" w:themeColor="text1"/>
          <w:lang w:val="fr-FR"/>
        </w:rPr>
        <w:t>ont été communiqué</w:t>
      </w:r>
      <w:r w:rsidR="006D2817" w:rsidRPr="00211A44">
        <w:rPr>
          <w:rFonts w:asciiTheme="minorHAnsi" w:hAnsiTheme="minorHAnsi" w:cstheme="minorHAnsi"/>
          <w:color w:val="000000" w:themeColor="text1"/>
          <w:lang w:val="fr-FR"/>
        </w:rPr>
        <w:t>es</w:t>
      </w:r>
      <w:r w:rsidR="00E468D6" w:rsidRPr="00211A44">
        <w:rPr>
          <w:rFonts w:asciiTheme="minorHAnsi" w:hAnsiTheme="minorHAnsi" w:cstheme="minorHAnsi"/>
          <w:color w:val="000000" w:themeColor="text1"/>
          <w:lang w:val="fr-FR"/>
        </w:rPr>
        <w:t xml:space="preserve"> en juin 2021. Il s’agissait </w:t>
      </w:r>
      <w:r w:rsidR="002169C2" w:rsidRPr="00211A44">
        <w:rPr>
          <w:rFonts w:asciiTheme="minorHAnsi" w:hAnsiTheme="minorHAnsi" w:cstheme="minorHAnsi"/>
          <w:color w:val="000000" w:themeColor="text1"/>
          <w:lang w:val="fr-FR"/>
        </w:rPr>
        <w:t>de 4</w:t>
      </w:r>
      <w:r w:rsidRPr="00211A44">
        <w:rPr>
          <w:rFonts w:asciiTheme="minorHAnsi" w:hAnsiTheme="minorHAnsi" w:cstheme="minorHAnsi"/>
          <w:color w:val="000000" w:themeColor="text1"/>
          <w:lang w:val="fr-FR"/>
        </w:rPr>
        <w:t xml:space="preserve"> présentations différentes en tant que première préférence et 2 présentations supplémentaires en tant qu'option de secours (2ème préférence) au cas où la 1ère ne serait pas disponible.</w:t>
      </w:r>
    </w:p>
    <w:p w14:paraId="191334EB" w14:textId="571323D9" w:rsidR="002169C2" w:rsidRPr="00211A44" w:rsidRDefault="002169C2"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A la suite d’une session extraordinaire du Groupe Technique Consultatif National pour la Vaccination (GTCNV) où il a reconnu la pertinence du changement de forme du vaccin contre le rotavirus et propos</w:t>
      </w:r>
      <w:r w:rsidR="00786204" w:rsidRPr="00211A44">
        <w:rPr>
          <w:rFonts w:asciiTheme="minorHAnsi" w:hAnsiTheme="minorHAnsi" w:cstheme="minorHAnsi"/>
          <w:color w:val="000000" w:themeColor="text1"/>
          <w:lang w:val="fr-FR"/>
        </w:rPr>
        <w:t>é</w:t>
      </w:r>
      <w:r w:rsidRPr="00211A44">
        <w:rPr>
          <w:rFonts w:asciiTheme="minorHAnsi" w:hAnsiTheme="minorHAnsi" w:cstheme="minorHAnsi"/>
          <w:color w:val="000000" w:themeColor="text1"/>
          <w:lang w:val="fr-FR"/>
        </w:rPr>
        <w:t xml:space="preserve"> deux options, le Comité de Coordination Inter-Agence (CCIA) a approuvé comme première préférence le </w:t>
      </w:r>
      <w:proofErr w:type="spellStart"/>
      <w:r w:rsidRPr="00211A44">
        <w:rPr>
          <w:rFonts w:asciiTheme="minorHAnsi" w:hAnsiTheme="minorHAnsi" w:cstheme="minorHAnsi"/>
          <w:color w:val="000000" w:themeColor="text1"/>
          <w:lang w:val="fr-FR"/>
        </w:rPr>
        <w:t>Rotasiil</w:t>
      </w:r>
      <w:proofErr w:type="spellEnd"/>
      <w:r w:rsidRPr="00211A44">
        <w:rPr>
          <w:rFonts w:asciiTheme="minorHAnsi" w:hAnsiTheme="minorHAnsi" w:cstheme="minorHAnsi"/>
          <w:color w:val="000000" w:themeColor="text1"/>
          <w:lang w:val="fr-FR"/>
        </w:rPr>
        <w:t xml:space="preserve"> ® </w:t>
      </w:r>
      <w:r w:rsidR="00CE6A8E" w:rsidRPr="00211A44">
        <w:rPr>
          <w:rFonts w:asciiTheme="minorHAnsi" w:hAnsiTheme="minorHAnsi" w:cstheme="minorHAnsi"/>
          <w:color w:val="000000" w:themeColor="text1"/>
          <w:lang w:val="fr-FR"/>
        </w:rPr>
        <w:t xml:space="preserve">liquide </w:t>
      </w:r>
      <w:r w:rsidRPr="00211A44">
        <w:rPr>
          <w:rFonts w:asciiTheme="minorHAnsi" w:hAnsiTheme="minorHAnsi" w:cstheme="minorHAnsi"/>
          <w:color w:val="000000" w:themeColor="text1"/>
          <w:lang w:val="fr-FR"/>
        </w:rPr>
        <w:t>en tube plastique mono-</w:t>
      </w:r>
      <w:r w:rsidR="00CE6A8E" w:rsidRPr="00211A44">
        <w:rPr>
          <w:rFonts w:asciiTheme="minorHAnsi" w:hAnsiTheme="minorHAnsi" w:cstheme="minorHAnsi"/>
          <w:color w:val="000000" w:themeColor="text1"/>
          <w:lang w:val="fr-FR"/>
        </w:rPr>
        <w:t>dose et</w:t>
      </w:r>
      <w:r w:rsidRPr="00211A44">
        <w:rPr>
          <w:rFonts w:asciiTheme="minorHAnsi" w:hAnsiTheme="minorHAnsi" w:cstheme="minorHAnsi"/>
          <w:color w:val="000000" w:themeColor="text1"/>
          <w:lang w:val="fr-FR"/>
        </w:rPr>
        <w:t xml:space="preserve"> seconde </w:t>
      </w:r>
      <w:r w:rsidR="00CE6A8E" w:rsidRPr="00211A44">
        <w:rPr>
          <w:rFonts w:asciiTheme="minorHAnsi" w:hAnsiTheme="minorHAnsi" w:cstheme="minorHAnsi"/>
          <w:color w:val="000000" w:themeColor="text1"/>
          <w:lang w:val="fr-FR"/>
        </w:rPr>
        <w:t>préférence le</w:t>
      </w:r>
      <w:r w:rsidRPr="00211A44">
        <w:rPr>
          <w:rFonts w:asciiTheme="minorHAnsi" w:hAnsiTheme="minorHAnsi" w:cstheme="minorHAnsi"/>
          <w:color w:val="000000" w:themeColor="text1"/>
          <w:lang w:val="fr-FR"/>
        </w:rPr>
        <w:t xml:space="preserve"> Rotavac</w:t>
      </w:r>
      <w:r w:rsidR="00CE6A8E" w:rsidRPr="00211A44">
        <w:rPr>
          <w:rFonts w:asciiTheme="minorHAnsi" w:hAnsiTheme="minorHAnsi" w:cstheme="minorHAnsi"/>
          <w:color w:val="000000" w:themeColor="text1"/>
          <w:lang w:val="fr-FR"/>
        </w:rPr>
        <w:t>® liquide en</w:t>
      </w:r>
      <w:r w:rsidRPr="00211A44">
        <w:rPr>
          <w:rFonts w:asciiTheme="minorHAnsi" w:hAnsiTheme="minorHAnsi" w:cstheme="minorHAnsi"/>
          <w:color w:val="000000" w:themeColor="text1"/>
          <w:lang w:val="fr-FR"/>
        </w:rPr>
        <w:t xml:space="preserve"> flacon </w:t>
      </w:r>
      <w:r w:rsidR="00CE6A8E" w:rsidRPr="00211A44">
        <w:rPr>
          <w:rFonts w:asciiTheme="minorHAnsi" w:hAnsiTheme="minorHAnsi" w:cstheme="minorHAnsi"/>
          <w:color w:val="000000" w:themeColor="text1"/>
          <w:lang w:val="fr-FR"/>
        </w:rPr>
        <w:t>de 10 doses.</w:t>
      </w:r>
    </w:p>
    <w:p w14:paraId="40C488A0" w14:textId="15E14591" w:rsidR="00F8762F" w:rsidRPr="00211A44" w:rsidRDefault="00CE6A8E"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Ces options ont été</w:t>
      </w:r>
      <w:r w:rsidR="00F8762F" w:rsidRPr="00211A44">
        <w:rPr>
          <w:rFonts w:asciiTheme="minorHAnsi" w:hAnsiTheme="minorHAnsi" w:cstheme="minorHAnsi"/>
          <w:color w:val="000000" w:themeColor="text1"/>
          <w:lang w:val="fr-FR"/>
        </w:rPr>
        <w:t xml:space="preserve"> communiqu</w:t>
      </w:r>
      <w:r w:rsidRPr="00211A44">
        <w:rPr>
          <w:rFonts w:asciiTheme="minorHAnsi" w:hAnsiTheme="minorHAnsi" w:cstheme="minorHAnsi"/>
          <w:color w:val="000000" w:themeColor="text1"/>
          <w:lang w:val="fr-FR"/>
        </w:rPr>
        <w:t>é</w:t>
      </w:r>
      <w:r w:rsidR="006D2817" w:rsidRPr="00211A44">
        <w:rPr>
          <w:rFonts w:asciiTheme="minorHAnsi" w:hAnsiTheme="minorHAnsi" w:cstheme="minorHAnsi"/>
          <w:color w:val="000000" w:themeColor="text1"/>
          <w:lang w:val="fr-FR"/>
        </w:rPr>
        <w:t>es</w:t>
      </w:r>
      <w:r w:rsidR="00F8762F" w:rsidRPr="00211A44">
        <w:rPr>
          <w:rFonts w:asciiTheme="minorHAnsi" w:hAnsiTheme="minorHAnsi" w:cstheme="minorHAnsi"/>
          <w:color w:val="000000" w:themeColor="text1"/>
          <w:lang w:val="fr-FR"/>
        </w:rPr>
        <w:t xml:space="preserve"> </w:t>
      </w:r>
      <w:r w:rsidRPr="00211A44">
        <w:rPr>
          <w:rFonts w:asciiTheme="minorHAnsi" w:hAnsiTheme="minorHAnsi" w:cstheme="minorHAnsi"/>
          <w:color w:val="000000" w:themeColor="text1"/>
          <w:lang w:val="fr-FR"/>
        </w:rPr>
        <w:t xml:space="preserve">à Gavi par courriel. La première préférence n’étant pas encore disponible, le Cameroun a accepté la proposition de considérer la seconde préférence en l’occurrence le Rotavac ® Liquide en flacon de 10 doses pour remplacer </w:t>
      </w:r>
      <w:r w:rsidR="007D1599" w:rsidRPr="00211A44">
        <w:rPr>
          <w:rFonts w:asciiTheme="minorHAnsi" w:hAnsiTheme="minorHAnsi" w:cstheme="minorHAnsi"/>
          <w:color w:val="000000" w:themeColor="text1"/>
          <w:lang w:val="fr-FR"/>
        </w:rPr>
        <w:t xml:space="preserve">le </w:t>
      </w:r>
      <w:proofErr w:type="spellStart"/>
      <w:r w:rsidR="007D1599" w:rsidRPr="00211A44">
        <w:rPr>
          <w:rFonts w:asciiTheme="minorHAnsi" w:hAnsiTheme="minorHAnsi" w:cstheme="minorHAnsi"/>
          <w:color w:val="000000" w:themeColor="text1"/>
          <w:lang w:val="fr-FR"/>
        </w:rPr>
        <w:t>Rotarix</w:t>
      </w:r>
      <w:proofErr w:type="spellEnd"/>
      <w:r w:rsidR="007D1599" w:rsidRPr="00211A44">
        <w:rPr>
          <w:rFonts w:asciiTheme="minorHAnsi" w:hAnsiTheme="minorHAnsi" w:cstheme="minorHAnsi"/>
          <w:color w:val="000000" w:themeColor="text1"/>
          <w:lang w:val="fr-FR"/>
        </w:rPr>
        <w:t xml:space="preserve"> dès avril 2022 .</w:t>
      </w:r>
      <w:r w:rsidRPr="00211A44">
        <w:rPr>
          <w:rFonts w:asciiTheme="minorHAnsi" w:hAnsiTheme="minorHAnsi" w:cstheme="minorHAnsi"/>
          <w:color w:val="000000" w:themeColor="text1"/>
          <w:lang w:val="fr-FR"/>
        </w:rPr>
        <w:t xml:space="preserve">  </w:t>
      </w:r>
    </w:p>
    <w:p w14:paraId="2E85582F" w14:textId="53D7A91E" w:rsidR="00ED11B6" w:rsidRPr="00211A44" w:rsidRDefault="00ED11B6"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Ce changement de forme offre au Cameroun l’opportunité d’économiser entre 40 à 60% le co</w:t>
      </w:r>
      <w:r w:rsidR="006D2817" w:rsidRPr="00211A44">
        <w:rPr>
          <w:rFonts w:asciiTheme="minorHAnsi" w:hAnsiTheme="minorHAnsi" w:cstheme="minorHAnsi"/>
          <w:color w:val="000000" w:themeColor="text1"/>
          <w:lang w:val="fr-FR"/>
        </w:rPr>
        <w:t>û</w:t>
      </w:r>
      <w:r w:rsidRPr="00211A44">
        <w:rPr>
          <w:rFonts w:asciiTheme="minorHAnsi" w:hAnsiTheme="minorHAnsi" w:cstheme="minorHAnsi"/>
          <w:color w:val="000000" w:themeColor="text1"/>
          <w:lang w:val="fr-FR"/>
        </w:rPr>
        <w:t>t de cofinancement du vaccin anti-rotavirus et 60 à 70% de volume de stockage</w:t>
      </w:r>
      <w:r w:rsidR="006D2817" w:rsidRPr="00211A44">
        <w:rPr>
          <w:rFonts w:asciiTheme="minorHAnsi" w:hAnsiTheme="minorHAnsi" w:cstheme="minorHAnsi"/>
          <w:color w:val="000000" w:themeColor="text1"/>
          <w:lang w:val="fr-FR"/>
        </w:rPr>
        <w:t>.</w:t>
      </w:r>
      <w:r w:rsidRPr="00211A44">
        <w:rPr>
          <w:rFonts w:asciiTheme="minorHAnsi" w:hAnsiTheme="minorHAnsi" w:cstheme="minorHAnsi"/>
          <w:color w:val="000000" w:themeColor="text1"/>
          <w:lang w:val="fr-FR"/>
        </w:rPr>
        <w:t xml:space="preserve"> </w:t>
      </w:r>
    </w:p>
    <w:p w14:paraId="1305A134" w14:textId="5F753BAA" w:rsidR="00F8762F" w:rsidRPr="00211A44"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 xml:space="preserve"> </w:t>
      </w:r>
      <w:r w:rsidR="00ED11B6" w:rsidRPr="00211A44">
        <w:rPr>
          <w:rFonts w:asciiTheme="minorHAnsi" w:hAnsiTheme="minorHAnsi" w:cstheme="minorHAnsi"/>
          <w:color w:val="000000" w:themeColor="text1"/>
          <w:lang w:val="fr-FR"/>
        </w:rPr>
        <w:t xml:space="preserve">En outre, </w:t>
      </w:r>
      <w:r w:rsidR="00786204" w:rsidRPr="00211A44">
        <w:rPr>
          <w:rFonts w:asciiTheme="minorHAnsi" w:hAnsiTheme="minorHAnsi" w:cstheme="minorHAnsi"/>
          <w:color w:val="000000" w:themeColor="text1"/>
          <w:lang w:val="fr-FR"/>
        </w:rPr>
        <w:t xml:space="preserve">le </w:t>
      </w:r>
      <w:r w:rsidRPr="00211A44">
        <w:rPr>
          <w:rFonts w:asciiTheme="minorHAnsi" w:hAnsiTheme="minorHAnsi" w:cstheme="minorHAnsi"/>
          <w:color w:val="000000" w:themeColor="text1"/>
          <w:lang w:val="fr-FR"/>
        </w:rPr>
        <w:t>Cameroun pourra bénéficier d'une subvention en espèces de 0,25$ par enfant de la cohorte de naissance pour soutenir la mise en œuvre du switch.</w:t>
      </w:r>
    </w:p>
    <w:p w14:paraId="53E9F820" w14:textId="433E3264" w:rsidR="00762BE3" w:rsidRPr="00211A44" w:rsidRDefault="00762BE3" w:rsidP="00762BE3">
      <w:pPr>
        <w:pStyle w:val="Titre2"/>
        <w:numPr>
          <w:ilvl w:val="1"/>
          <w:numId w:val="3"/>
        </w:numPr>
        <w:rPr>
          <w:rFonts w:asciiTheme="minorHAnsi" w:hAnsiTheme="minorHAnsi" w:cstheme="minorHAnsi"/>
          <w:sz w:val="24"/>
          <w:szCs w:val="24"/>
          <w:lang w:val="fr-FR"/>
        </w:rPr>
      </w:pPr>
      <w:bookmarkStart w:id="2" w:name="_Toc97572935"/>
      <w:r w:rsidRPr="00211A44">
        <w:rPr>
          <w:rFonts w:asciiTheme="minorHAnsi" w:hAnsiTheme="minorHAnsi" w:cstheme="minorHAnsi"/>
          <w:sz w:val="24"/>
          <w:szCs w:val="24"/>
          <w:lang w:val="fr-FR"/>
        </w:rPr>
        <w:t xml:space="preserve">Historique et performance de la vaccination </w:t>
      </w:r>
      <w:r w:rsidR="00001690" w:rsidRPr="00211A44">
        <w:rPr>
          <w:rFonts w:asciiTheme="minorHAnsi" w:hAnsiTheme="minorHAnsi" w:cstheme="minorHAnsi"/>
          <w:sz w:val="24"/>
          <w:szCs w:val="24"/>
          <w:lang w:val="fr-FR"/>
        </w:rPr>
        <w:t>antirotavirus</w:t>
      </w:r>
      <w:r w:rsidRPr="00211A44">
        <w:rPr>
          <w:rFonts w:asciiTheme="minorHAnsi" w:hAnsiTheme="minorHAnsi" w:cstheme="minorHAnsi"/>
          <w:sz w:val="24"/>
          <w:szCs w:val="24"/>
          <w:lang w:val="fr-FR"/>
        </w:rPr>
        <w:t xml:space="preserve"> au Cameroun</w:t>
      </w:r>
      <w:bookmarkEnd w:id="2"/>
    </w:p>
    <w:p w14:paraId="4756F4FB" w14:textId="20A61C76" w:rsidR="00762BE3" w:rsidRPr="00211A44" w:rsidRDefault="00762BE3" w:rsidP="00423B14">
      <w:pPr>
        <w:pStyle w:val="Titre3"/>
        <w:numPr>
          <w:ilvl w:val="2"/>
          <w:numId w:val="3"/>
        </w:numPr>
        <w:pBdr>
          <w:bottom w:val="none" w:sz="0" w:space="0" w:color="auto"/>
        </w:pBdr>
        <w:rPr>
          <w:rFonts w:asciiTheme="minorHAnsi" w:hAnsiTheme="minorHAnsi" w:cstheme="minorHAnsi"/>
          <w:sz w:val="24"/>
          <w:szCs w:val="24"/>
          <w:lang w:val="fr-FR"/>
        </w:rPr>
      </w:pPr>
      <w:bookmarkStart w:id="3" w:name="_Toc97572936"/>
      <w:r w:rsidRPr="00211A44">
        <w:rPr>
          <w:rFonts w:asciiTheme="minorHAnsi" w:hAnsiTheme="minorHAnsi" w:cstheme="minorHAnsi"/>
          <w:sz w:val="24"/>
          <w:szCs w:val="24"/>
          <w:lang w:val="fr-FR"/>
        </w:rPr>
        <w:t>Historique</w:t>
      </w:r>
      <w:bookmarkEnd w:id="3"/>
    </w:p>
    <w:p w14:paraId="4A1C96BA" w14:textId="060BC7A5" w:rsidR="00762BE3" w:rsidRPr="00211A44" w:rsidRDefault="0083515B"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 xml:space="preserve">Le vaccin </w:t>
      </w:r>
      <w:r w:rsidR="00B62F38" w:rsidRPr="00211A44">
        <w:rPr>
          <w:rFonts w:asciiTheme="minorHAnsi" w:hAnsiTheme="minorHAnsi" w:cstheme="minorHAnsi"/>
          <w:i/>
          <w:iCs/>
          <w:color w:val="000000" w:themeColor="text1"/>
          <w:lang w:val="fr-FR"/>
        </w:rPr>
        <w:t>antirotavirus</w:t>
      </w:r>
      <w:r w:rsidRPr="00211A44">
        <w:rPr>
          <w:rFonts w:asciiTheme="minorHAnsi" w:hAnsiTheme="minorHAnsi" w:cstheme="minorHAnsi"/>
          <w:color w:val="000000" w:themeColor="text1"/>
          <w:lang w:val="fr-FR"/>
        </w:rPr>
        <w:t xml:space="preserve"> a été introduit en 2014 lors d’une cérémonie officielle </w:t>
      </w:r>
      <w:r w:rsidR="00786204" w:rsidRPr="00211A44">
        <w:rPr>
          <w:rFonts w:asciiTheme="minorHAnsi" w:hAnsiTheme="minorHAnsi" w:cstheme="minorHAnsi"/>
          <w:color w:val="000000" w:themeColor="text1"/>
          <w:lang w:val="fr-FR"/>
        </w:rPr>
        <w:t>p</w:t>
      </w:r>
      <w:r w:rsidRPr="00211A44">
        <w:rPr>
          <w:rFonts w:asciiTheme="minorHAnsi" w:hAnsiTheme="minorHAnsi" w:cstheme="minorHAnsi"/>
          <w:color w:val="000000" w:themeColor="text1"/>
          <w:lang w:val="fr-FR"/>
        </w:rPr>
        <w:t>résidée par la Première Dame</w:t>
      </w:r>
      <w:r w:rsidR="00001690" w:rsidRPr="00211A44">
        <w:rPr>
          <w:rFonts w:asciiTheme="minorHAnsi" w:hAnsiTheme="minorHAnsi" w:cstheme="minorHAnsi"/>
          <w:color w:val="000000" w:themeColor="text1"/>
          <w:lang w:val="fr-FR"/>
        </w:rPr>
        <w:t xml:space="preserve"> du Cameroun</w:t>
      </w:r>
      <w:r w:rsidRPr="00211A44">
        <w:rPr>
          <w:rFonts w:asciiTheme="minorHAnsi" w:hAnsiTheme="minorHAnsi" w:cstheme="minorHAnsi"/>
          <w:color w:val="000000" w:themeColor="text1"/>
          <w:lang w:val="fr-FR"/>
        </w:rPr>
        <w:t xml:space="preserve">. </w:t>
      </w:r>
    </w:p>
    <w:p w14:paraId="5F60BBD1" w14:textId="7ED90917" w:rsidR="008740DE" w:rsidRPr="00211A44" w:rsidRDefault="008740DE" w:rsidP="008740DE">
      <w:pPr>
        <w:pStyle w:val="Titre3"/>
        <w:numPr>
          <w:ilvl w:val="2"/>
          <w:numId w:val="3"/>
        </w:numPr>
        <w:pBdr>
          <w:bottom w:val="none" w:sz="0" w:space="0" w:color="auto"/>
        </w:pBdr>
        <w:rPr>
          <w:rFonts w:asciiTheme="minorHAnsi" w:hAnsiTheme="minorHAnsi" w:cstheme="minorHAnsi"/>
          <w:sz w:val="24"/>
          <w:szCs w:val="24"/>
          <w:lang w:val="fr-FR"/>
        </w:rPr>
      </w:pPr>
      <w:bookmarkStart w:id="4" w:name="_Toc97572937"/>
      <w:r w:rsidRPr="00211A44">
        <w:rPr>
          <w:rFonts w:asciiTheme="minorHAnsi" w:hAnsiTheme="minorHAnsi" w:cstheme="minorHAnsi"/>
          <w:sz w:val="24"/>
          <w:szCs w:val="24"/>
          <w:lang w:val="fr-FR"/>
        </w:rPr>
        <w:t>Évolution de la couverture vaccinale</w:t>
      </w:r>
      <w:r w:rsidR="006F755D" w:rsidRPr="00211A44">
        <w:rPr>
          <w:rFonts w:asciiTheme="minorHAnsi" w:hAnsiTheme="minorHAnsi" w:cstheme="minorHAnsi"/>
          <w:sz w:val="24"/>
          <w:szCs w:val="24"/>
          <w:lang w:val="fr-FR"/>
        </w:rPr>
        <w:t xml:space="preserve"> depuis l’introduction</w:t>
      </w:r>
      <w:bookmarkEnd w:id="4"/>
    </w:p>
    <w:p w14:paraId="2AEB0865" w14:textId="61C412AD" w:rsidR="008740DE" w:rsidRPr="00211A44" w:rsidRDefault="0083515B"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 xml:space="preserve">Depuis l’introduction du vaccin </w:t>
      </w:r>
      <w:r w:rsidR="00001690" w:rsidRPr="00211A44">
        <w:rPr>
          <w:rFonts w:asciiTheme="minorHAnsi" w:hAnsiTheme="minorHAnsi" w:cstheme="minorHAnsi"/>
          <w:color w:val="000000" w:themeColor="text1"/>
          <w:lang w:val="fr-FR"/>
        </w:rPr>
        <w:t>anti</w:t>
      </w:r>
      <w:r w:rsidR="00B3552E" w:rsidRPr="00211A44">
        <w:rPr>
          <w:rFonts w:asciiTheme="minorHAnsi" w:hAnsiTheme="minorHAnsi" w:cstheme="minorHAnsi"/>
          <w:color w:val="000000" w:themeColor="text1"/>
          <w:lang w:val="fr-FR"/>
        </w:rPr>
        <w:t>-</w:t>
      </w:r>
      <w:r w:rsidR="00001690" w:rsidRPr="00211A44">
        <w:rPr>
          <w:rFonts w:asciiTheme="minorHAnsi" w:hAnsiTheme="minorHAnsi" w:cstheme="minorHAnsi"/>
          <w:color w:val="000000" w:themeColor="text1"/>
          <w:lang w:val="fr-FR"/>
        </w:rPr>
        <w:t>rotavirus</w:t>
      </w:r>
      <w:r w:rsidRPr="00211A44">
        <w:rPr>
          <w:rFonts w:asciiTheme="minorHAnsi" w:hAnsiTheme="minorHAnsi" w:cstheme="minorHAnsi"/>
          <w:color w:val="000000" w:themeColor="text1"/>
          <w:lang w:val="fr-FR"/>
        </w:rPr>
        <w:t xml:space="preserve">, la couverture vaccinale a évolué de </w:t>
      </w:r>
      <w:r w:rsidR="00330422" w:rsidRPr="00211A44">
        <w:rPr>
          <w:rFonts w:asciiTheme="minorHAnsi" w:hAnsiTheme="minorHAnsi" w:cstheme="minorHAnsi"/>
          <w:color w:val="000000" w:themeColor="text1"/>
          <w:lang w:val="fr-FR"/>
        </w:rPr>
        <w:t>58.0</w:t>
      </w:r>
      <w:r w:rsidRPr="00211A44">
        <w:rPr>
          <w:rFonts w:asciiTheme="minorHAnsi" w:hAnsiTheme="minorHAnsi" w:cstheme="minorHAnsi"/>
          <w:color w:val="000000" w:themeColor="text1"/>
          <w:lang w:val="fr-FR"/>
        </w:rPr>
        <w:t xml:space="preserve">% en 2014 </w:t>
      </w:r>
      <w:r w:rsidR="00001690" w:rsidRPr="00211A44">
        <w:rPr>
          <w:rFonts w:asciiTheme="minorHAnsi" w:hAnsiTheme="minorHAnsi" w:cstheme="minorHAnsi"/>
          <w:color w:val="000000" w:themeColor="text1"/>
          <w:lang w:val="fr-FR"/>
        </w:rPr>
        <w:t>et de</w:t>
      </w:r>
      <w:r w:rsidR="00330422" w:rsidRPr="00211A44">
        <w:rPr>
          <w:rFonts w:asciiTheme="minorHAnsi" w:hAnsiTheme="minorHAnsi" w:cstheme="minorHAnsi"/>
          <w:color w:val="000000" w:themeColor="text1"/>
          <w:lang w:val="fr-FR"/>
        </w:rPr>
        <w:t xml:space="preserve"> 81.7</w:t>
      </w:r>
      <w:r w:rsidRPr="00211A44">
        <w:rPr>
          <w:rFonts w:asciiTheme="minorHAnsi" w:hAnsiTheme="minorHAnsi" w:cstheme="minorHAnsi"/>
          <w:color w:val="000000" w:themeColor="text1"/>
          <w:lang w:val="fr-FR"/>
        </w:rPr>
        <w:t xml:space="preserve">% en </w:t>
      </w:r>
      <w:r w:rsidR="00B3552E" w:rsidRPr="00211A44">
        <w:rPr>
          <w:rFonts w:asciiTheme="minorHAnsi" w:hAnsiTheme="minorHAnsi" w:cstheme="minorHAnsi"/>
          <w:color w:val="000000" w:themeColor="text1"/>
          <w:lang w:val="fr-FR"/>
        </w:rPr>
        <w:t xml:space="preserve">2021 pour la première dose et de </w:t>
      </w:r>
      <w:r w:rsidR="00330422" w:rsidRPr="00211A44">
        <w:rPr>
          <w:rFonts w:asciiTheme="minorHAnsi" w:hAnsiTheme="minorHAnsi" w:cstheme="minorHAnsi"/>
          <w:color w:val="000000" w:themeColor="text1"/>
          <w:lang w:val="fr-FR"/>
        </w:rPr>
        <w:t>46.0</w:t>
      </w:r>
      <w:r w:rsidRPr="00211A44">
        <w:rPr>
          <w:rFonts w:asciiTheme="minorHAnsi" w:hAnsiTheme="minorHAnsi" w:cstheme="minorHAnsi"/>
          <w:color w:val="000000" w:themeColor="text1"/>
          <w:lang w:val="fr-FR"/>
        </w:rPr>
        <w:t xml:space="preserve">% en 2014 </w:t>
      </w:r>
      <w:r w:rsidR="00B3552E" w:rsidRPr="00211A44">
        <w:rPr>
          <w:rFonts w:asciiTheme="minorHAnsi" w:hAnsiTheme="minorHAnsi" w:cstheme="minorHAnsi"/>
          <w:color w:val="000000" w:themeColor="text1"/>
          <w:lang w:val="fr-FR"/>
        </w:rPr>
        <w:t>à</w:t>
      </w:r>
      <w:r w:rsidRPr="00211A44">
        <w:rPr>
          <w:rFonts w:asciiTheme="minorHAnsi" w:hAnsiTheme="minorHAnsi" w:cstheme="minorHAnsi"/>
          <w:color w:val="000000" w:themeColor="text1"/>
          <w:lang w:val="fr-FR"/>
        </w:rPr>
        <w:t xml:space="preserve"> </w:t>
      </w:r>
      <w:r w:rsidR="00330422" w:rsidRPr="00211A44">
        <w:rPr>
          <w:rFonts w:asciiTheme="minorHAnsi" w:hAnsiTheme="minorHAnsi" w:cstheme="minorHAnsi"/>
          <w:color w:val="000000" w:themeColor="text1"/>
          <w:lang w:val="fr-FR"/>
        </w:rPr>
        <w:t>77.6</w:t>
      </w:r>
      <w:r w:rsidRPr="00211A44">
        <w:rPr>
          <w:rFonts w:asciiTheme="minorHAnsi" w:hAnsiTheme="minorHAnsi" w:cstheme="minorHAnsi"/>
          <w:color w:val="000000" w:themeColor="text1"/>
          <w:lang w:val="fr-FR"/>
        </w:rPr>
        <w:t>% en 2021</w:t>
      </w:r>
      <w:r w:rsidR="00B3552E" w:rsidRPr="00211A44">
        <w:rPr>
          <w:rFonts w:asciiTheme="minorHAnsi" w:hAnsiTheme="minorHAnsi" w:cstheme="minorHAnsi"/>
          <w:color w:val="000000" w:themeColor="text1"/>
          <w:lang w:val="fr-FR"/>
        </w:rPr>
        <w:t xml:space="preserve"> pour </w:t>
      </w:r>
      <w:r w:rsidR="00B3552E" w:rsidRPr="00211A44">
        <w:rPr>
          <w:rFonts w:asciiTheme="minorHAnsi" w:hAnsiTheme="minorHAnsi" w:cstheme="minorHAnsi"/>
          <w:color w:val="000000" w:themeColor="text1"/>
          <w:lang w:val="fr-FR"/>
        </w:rPr>
        <w:lastRenderedPageBreak/>
        <w:t>la deuxième dose</w:t>
      </w:r>
      <w:r w:rsidRPr="00211A44">
        <w:rPr>
          <w:rFonts w:asciiTheme="minorHAnsi" w:hAnsiTheme="minorHAnsi" w:cstheme="minorHAnsi"/>
          <w:color w:val="000000" w:themeColor="text1"/>
          <w:lang w:val="fr-FR"/>
        </w:rPr>
        <w:t>. Comparativement au vaccin Pentavalent qui se donne au même moment, l’écart de couverture s’est rétrécit au fil des années</w:t>
      </w:r>
      <w:r w:rsidR="00B3552E" w:rsidRPr="00211A44">
        <w:rPr>
          <w:rFonts w:asciiTheme="minorHAnsi" w:hAnsiTheme="minorHAnsi" w:cstheme="minorHAnsi"/>
          <w:color w:val="000000" w:themeColor="text1"/>
          <w:lang w:val="fr-FR"/>
        </w:rPr>
        <w:t xml:space="preserve"> même si elle est restée inférieure.</w:t>
      </w:r>
    </w:p>
    <w:p w14:paraId="7FA741A2" w14:textId="79F99283" w:rsidR="00001690" w:rsidRPr="00211A44" w:rsidRDefault="00B3552E" w:rsidP="00B3552E">
      <w:pPr>
        <w:pStyle w:val="Lgende"/>
        <w:spacing w:after="0"/>
        <w:rPr>
          <w:rFonts w:cstheme="minorHAnsi"/>
          <w:color w:val="000000" w:themeColor="text1"/>
          <w:sz w:val="28"/>
          <w:szCs w:val="28"/>
          <w:lang w:val="fr-FR"/>
        </w:rPr>
      </w:pPr>
      <w:r w:rsidRPr="00211A44">
        <w:rPr>
          <w:rFonts w:cstheme="minorHAnsi"/>
          <w:sz w:val="20"/>
          <w:szCs w:val="20"/>
        </w:rPr>
        <w:t xml:space="preserve">Tableau </w:t>
      </w:r>
      <w:r w:rsidRPr="00211A44">
        <w:rPr>
          <w:rFonts w:cstheme="minorHAnsi"/>
          <w:sz w:val="20"/>
          <w:szCs w:val="20"/>
        </w:rPr>
        <w:fldChar w:fldCharType="begin"/>
      </w:r>
      <w:r w:rsidRPr="00211A44">
        <w:rPr>
          <w:rFonts w:cstheme="minorHAnsi"/>
          <w:sz w:val="20"/>
          <w:szCs w:val="20"/>
        </w:rPr>
        <w:instrText xml:space="preserve"> SEQ Tableau \* ARABIC </w:instrText>
      </w:r>
      <w:r w:rsidRPr="00211A44">
        <w:rPr>
          <w:rFonts w:cstheme="minorHAnsi"/>
          <w:sz w:val="20"/>
          <w:szCs w:val="20"/>
        </w:rPr>
        <w:fldChar w:fldCharType="separate"/>
      </w:r>
      <w:r w:rsidRPr="00211A44">
        <w:rPr>
          <w:rFonts w:cstheme="minorHAnsi"/>
          <w:noProof/>
          <w:sz w:val="20"/>
          <w:szCs w:val="20"/>
        </w:rPr>
        <w:t>1</w:t>
      </w:r>
      <w:r w:rsidRPr="00211A44">
        <w:rPr>
          <w:rFonts w:cstheme="minorHAnsi"/>
          <w:sz w:val="20"/>
          <w:szCs w:val="20"/>
        </w:rPr>
        <w:fldChar w:fldCharType="end"/>
      </w:r>
      <w:r w:rsidRPr="00211A44">
        <w:rPr>
          <w:rFonts w:cstheme="minorHAnsi"/>
          <w:sz w:val="20"/>
          <w:szCs w:val="20"/>
        </w:rPr>
        <w:t>: évolution des couvertures comparées des antigènes Penta/Rota de 2014 à 2021</w:t>
      </w:r>
    </w:p>
    <w:tbl>
      <w:tblPr>
        <w:tblW w:w="9366" w:type="dxa"/>
        <w:tblLook w:val="04A0" w:firstRow="1" w:lastRow="0" w:firstColumn="1" w:lastColumn="0" w:noHBand="0" w:noVBand="1"/>
      </w:tblPr>
      <w:tblGrid>
        <w:gridCol w:w="1108"/>
        <w:gridCol w:w="1043"/>
        <w:gridCol w:w="1043"/>
        <w:gridCol w:w="1043"/>
        <w:gridCol w:w="1043"/>
        <w:gridCol w:w="1043"/>
        <w:gridCol w:w="1043"/>
        <w:gridCol w:w="1043"/>
        <w:gridCol w:w="1043"/>
      </w:tblGrid>
      <w:tr w:rsidR="003B694A" w:rsidRPr="00211A44" w14:paraId="77FEA423" w14:textId="77777777" w:rsidTr="00B62F38">
        <w:trPr>
          <w:trHeight w:val="309"/>
        </w:trPr>
        <w:tc>
          <w:tcPr>
            <w:tcW w:w="1022"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DA1017C" w14:textId="77777777" w:rsidR="00330422" w:rsidRPr="00211A44" w:rsidRDefault="00330422" w:rsidP="00330422">
            <w:pPr>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Antigènes</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24C2DCE6"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2014</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62A117EE"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2015</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591FDE06"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2016</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369580D8"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2017</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207CB131"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2018</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6AA66CA8"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2019</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0DA34A4B"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2020</w:t>
            </w:r>
          </w:p>
        </w:tc>
        <w:tc>
          <w:tcPr>
            <w:tcW w:w="1043" w:type="dxa"/>
            <w:tcBorders>
              <w:top w:val="single" w:sz="4" w:space="0" w:color="auto"/>
              <w:left w:val="nil"/>
              <w:bottom w:val="single" w:sz="4" w:space="0" w:color="auto"/>
              <w:right w:val="single" w:sz="4" w:space="0" w:color="auto"/>
            </w:tcBorders>
            <w:shd w:val="clear" w:color="000000" w:fill="B4C6E7"/>
            <w:noWrap/>
            <w:vAlign w:val="bottom"/>
            <w:hideMark/>
          </w:tcPr>
          <w:p w14:paraId="4C65C9E1"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2021</w:t>
            </w:r>
          </w:p>
        </w:tc>
      </w:tr>
      <w:tr w:rsidR="003B694A" w:rsidRPr="00211A44" w14:paraId="11467A6E" w14:textId="77777777" w:rsidTr="00B62F38">
        <w:trPr>
          <w:trHeight w:val="309"/>
        </w:trPr>
        <w:tc>
          <w:tcPr>
            <w:tcW w:w="1022" w:type="dxa"/>
            <w:tcBorders>
              <w:top w:val="nil"/>
              <w:left w:val="single" w:sz="4" w:space="0" w:color="auto"/>
              <w:bottom w:val="single" w:sz="4" w:space="0" w:color="auto"/>
              <w:right w:val="single" w:sz="4" w:space="0" w:color="auto"/>
            </w:tcBorders>
            <w:shd w:val="clear" w:color="000000" w:fill="B4C6E7"/>
            <w:noWrap/>
            <w:vAlign w:val="bottom"/>
            <w:hideMark/>
          </w:tcPr>
          <w:p w14:paraId="7EEBC607" w14:textId="77777777" w:rsidR="00330422" w:rsidRPr="00211A44" w:rsidRDefault="00330422" w:rsidP="00330422">
            <w:pPr>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Penta1</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618E95D"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93.0%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4BD6122"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91.7%</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0445914"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92.2%</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91A1453"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92.8%</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88ABFF7"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85.6%</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DF364D5"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84.8%</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D703430"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86.6%</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48F1C88"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85.1%</w:t>
            </w:r>
          </w:p>
        </w:tc>
      </w:tr>
      <w:tr w:rsidR="003B694A" w:rsidRPr="00211A44" w14:paraId="5045723F" w14:textId="77777777" w:rsidTr="00B62F38">
        <w:trPr>
          <w:trHeight w:val="309"/>
        </w:trPr>
        <w:tc>
          <w:tcPr>
            <w:tcW w:w="1022" w:type="dxa"/>
            <w:tcBorders>
              <w:top w:val="nil"/>
              <w:left w:val="single" w:sz="4" w:space="0" w:color="auto"/>
              <w:bottom w:val="single" w:sz="4" w:space="0" w:color="auto"/>
              <w:right w:val="single" w:sz="4" w:space="0" w:color="auto"/>
            </w:tcBorders>
            <w:shd w:val="clear" w:color="000000" w:fill="B4C6E7"/>
            <w:noWrap/>
            <w:vAlign w:val="bottom"/>
            <w:hideMark/>
          </w:tcPr>
          <w:p w14:paraId="57D38C73" w14:textId="77777777" w:rsidR="00330422" w:rsidRPr="00211A44" w:rsidRDefault="00330422" w:rsidP="00330422">
            <w:pPr>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Rota1</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C00459"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58.0%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673ABBE"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80.6%</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E905099"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87.1%</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170B661"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89.1%</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C1174F0"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88.6%</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4C002E3"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82.0%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53BA74B"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83.6%</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C8DA025"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81.7%</w:t>
            </w:r>
          </w:p>
        </w:tc>
      </w:tr>
      <w:tr w:rsidR="003B694A" w:rsidRPr="00211A44" w14:paraId="5904D1BD" w14:textId="77777777" w:rsidTr="00B62F38">
        <w:trPr>
          <w:trHeight w:val="309"/>
        </w:trPr>
        <w:tc>
          <w:tcPr>
            <w:tcW w:w="1022" w:type="dxa"/>
            <w:tcBorders>
              <w:top w:val="nil"/>
              <w:left w:val="single" w:sz="4" w:space="0" w:color="auto"/>
              <w:bottom w:val="single" w:sz="4" w:space="0" w:color="auto"/>
              <w:right w:val="single" w:sz="4" w:space="0" w:color="auto"/>
            </w:tcBorders>
            <w:shd w:val="clear" w:color="000000" w:fill="B4C6E7"/>
            <w:noWrap/>
            <w:vAlign w:val="bottom"/>
            <w:hideMark/>
          </w:tcPr>
          <w:p w14:paraId="133CCDAE" w14:textId="77777777" w:rsidR="00330422" w:rsidRPr="00211A44" w:rsidRDefault="00330422" w:rsidP="00330422">
            <w:pPr>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Penta2</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EAB4A2E"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87.9%</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C498281"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85.5%</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2066C2"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86.5%</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512D66D"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87.0%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EB8E50B"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80.5%</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637C1D9"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81.1%</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4145634"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82.0%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B3C07D2"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81.3%</w:t>
            </w:r>
          </w:p>
        </w:tc>
      </w:tr>
      <w:tr w:rsidR="003B694A" w:rsidRPr="00211A44" w14:paraId="19A65763" w14:textId="77777777" w:rsidTr="00B62F38">
        <w:trPr>
          <w:trHeight w:val="309"/>
        </w:trPr>
        <w:tc>
          <w:tcPr>
            <w:tcW w:w="1022" w:type="dxa"/>
            <w:tcBorders>
              <w:top w:val="nil"/>
              <w:left w:val="single" w:sz="4" w:space="0" w:color="auto"/>
              <w:bottom w:val="single" w:sz="4" w:space="0" w:color="auto"/>
              <w:right w:val="single" w:sz="4" w:space="0" w:color="auto"/>
            </w:tcBorders>
            <w:shd w:val="clear" w:color="000000" w:fill="B4C6E7"/>
            <w:noWrap/>
            <w:vAlign w:val="bottom"/>
            <w:hideMark/>
          </w:tcPr>
          <w:p w14:paraId="28EF2052" w14:textId="77777777" w:rsidR="00330422" w:rsidRPr="00211A44" w:rsidRDefault="00330422" w:rsidP="00330422">
            <w:pPr>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Rota2</w:t>
            </w:r>
          </w:p>
        </w:tc>
        <w:tc>
          <w:tcPr>
            <w:tcW w:w="104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B7A966" w14:textId="77777777" w:rsidR="00330422" w:rsidRPr="00211A44" w:rsidRDefault="00330422" w:rsidP="00330422">
            <w:pPr>
              <w:jc w:val="right"/>
              <w:rPr>
                <w:rFonts w:asciiTheme="minorHAnsi" w:hAnsiTheme="minorHAnsi" w:cstheme="minorHAnsi"/>
                <w:i/>
                <w:iCs/>
                <w:color w:val="FFFFFF"/>
                <w:sz w:val="22"/>
                <w:szCs w:val="22"/>
                <w:lang w:val="fr-FR"/>
              </w:rPr>
            </w:pPr>
            <w:r w:rsidRPr="00211A44">
              <w:rPr>
                <w:rFonts w:asciiTheme="minorHAnsi" w:hAnsiTheme="minorHAnsi" w:cstheme="minorHAnsi"/>
                <w:color w:val="FFFFFF"/>
                <w:sz w:val="22"/>
                <w:szCs w:val="22"/>
                <w:lang w:val="fr-FR"/>
              </w:rPr>
              <w:t>46.0%</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EAB66D"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73.1%</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F653D8E"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80.0%</w:t>
            </w:r>
          </w:p>
        </w:tc>
        <w:tc>
          <w:tcPr>
            <w:tcW w:w="10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9F72EC8"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83.1%</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ACA58FD"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78.4%</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FC4D3CC"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78.5%</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CFE3CE8"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79.6%</w:t>
            </w:r>
          </w:p>
        </w:tc>
        <w:tc>
          <w:tcPr>
            <w:tcW w:w="10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737D99" w14:textId="77777777" w:rsidR="00330422" w:rsidRPr="00211A44" w:rsidRDefault="00330422" w:rsidP="00330422">
            <w:pPr>
              <w:jc w:val="right"/>
              <w:rPr>
                <w:rFonts w:asciiTheme="minorHAnsi" w:hAnsiTheme="minorHAnsi" w:cstheme="minorHAnsi"/>
                <w:i/>
                <w:iCs/>
                <w:color w:val="000000"/>
                <w:sz w:val="22"/>
                <w:szCs w:val="22"/>
                <w:lang w:val="fr-FR"/>
              </w:rPr>
            </w:pPr>
            <w:r w:rsidRPr="00211A44">
              <w:rPr>
                <w:rFonts w:asciiTheme="minorHAnsi" w:hAnsiTheme="minorHAnsi" w:cstheme="minorHAnsi"/>
                <w:color w:val="000000"/>
                <w:sz w:val="22"/>
                <w:szCs w:val="22"/>
                <w:lang w:val="fr-FR"/>
              </w:rPr>
              <w:t>77.6%</w:t>
            </w:r>
          </w:p>
        </w:tc>
      </w:tr>
    </w:tbl>
    <w:p w14:paraId="30A0FEB4" w14:textId="07323090" w:rsidR="00330422" w:rsidRPr="00211A44" w:rsidRDefault="00330422" w:rsidP="00001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i/>
          <w:iCs/>
          <w:color w:val="000000" w:themeColor="text1"/>
          <w:lang w:val="fr-FR"/>
        </w:rPr>
      </w:pPr>
    </w:p>
    <w:p w14:paraId="1D122256" w14:textId="3DA1111D" w:rsidR="008740DE" w:rsidRPr="00211A44" w:rsidRDefault="008740DE" w:rsidP="008740DE">
      <w:pPr>
        <w:pStyle w:val="Titre3"/>
        <w:numPr>
          <w:ilvl w:val="2"/>
          <w:numId w:val="3"/>
        </w:numPr>
        <w:pBdr>
          <w:bottom w:val="none" w:sz="0" w:space="0" w:color="auto"/>
        </w:pBdr>
        <w:rPr>
          <w:rFonts w:asciiTheme="minorHAnsi" w:hAnsiTheme="minorHAnsi" w:cstheme="minorHAnsi"/>
          <w:sz w:val="24"/>
          <w:szCs w:val="24"/>
          <w:lang w:val="fr-FR"/>
        </w:rPr>
      </w:pPr>
      <w:bookmarkStart w:id="5" w:name="_Toc97572938"/>
      <w:r w:rsidRPr="00211A44">
        <w:rPr>
          <w:rFonts w:asciiTheme="minorHAnsi" w:hAnsiTheme="minorHAnsi" w:cstheme="minorHAnsi"/>
          <w:sz w:val="24"/>
          <w:szCs w:val="24"/>
          <w:lang w:val="fr-FR"/>
        </w:rPr>
        <w:t>Données de surveillance sentinelle des diarrhées à rotavirus</w:t>
      </w:r>
      <w:r w:rsidR="006F755D" w:rsidRPr="00211A44">
        <w:rPr>
          <w:rFonts w:asciiTheme="minorHAnsi" w:hAnsiTheme="minorHAnsi" w:cstheme="minorHAnsi"/>
          <w:sz w:val="24"/>
          <w:szCs w:val="24"/>
          <w:lang w:val="fr-FR"/>
        </w:rPr>
        <w:t xml:space="preserve"> depuis l’introduction</w:t>
      </w:r>
      <w:bookmarkEnd w:id="5"/>
    </w:p>
    <w:p w14:paraId="19D22574" w14:textId="633E4D57" w:rsidR="0083515B" w:rsidRPr="00211A44" w:rsidRDefault="0083515B"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76" w:lineRule="auto"/>
        <w:jc w:val="both"/>
        <w:rPr>
          <w:rFonts w:asciiTheme="minorHAnsi" w:hAnsiTheme="minorHAnsi" w:cstheme="minorHAnsi"/>
          <w:i/>
          <w:iCs/>
          <w:color w:val="000000" w:themeColor="text1"/>
          <w:lang w:val="fr-FR"/>
        </w:rPr>
      </w:pPr>
      <w:r w:rsidRPr="00211A44">
        <w:rPr>
          <w:rFonts w:asciiTheme="minorHAnsi" w:hAnsiTheme="minorHAnsi" w:cstheme="minorHAnsi"/>
          <w:color w:val="000000" w:themeColor="text1"/>
          <w:lang w:val="fr-FR"/>
        </w:rPr>
        <w:t xml:space="preserve">La surveillance sentinelle a été menée entre </w:t>
      </w:r>
      <w:r w:rsidR="006D2817" w:rsidRPr="00211A44">
        <w:rPr>
          <w:rFonts w:asciiTheme="minorHAnsi" w:hAnsiTheme="minorHAnsi" w:cstheme="minorHAnsi"/>
          <w:color w:val="000000" w:themeColor="text1"/>
          <w:lang w:val="fr-FR"/>
        </w:rPr>
        <w:t>2007</w:t>
      </w:r>
      <w:r w:rsidRPr="00211A44">
        <w:rPr>
          <w:rFonts w:asciiTheme="minorHAnsi" w:hAnsiTheme="minorHAnsi" w:cstheme="minorHAnsi"/>
          <w:color w:val="000000" w:themeColor="text1"/>
          <w:lang w:val="fr-FR"/>
        </w:rPr>
        <w:t xml:space="preserve"> et </w:t>
      </w:r>
      <w:r w:rsidR="006D2817" w:rsidRPr="00211A44">
        <w:rPr>
          <w:rFonts w:asciiTheme="minorHAnsi" w:hAnsiTheme="minorHAnsi" w:cstheme="minorHAnsi"/>
          <w:color w:val="000000" w:themeColor="text1"/>
          <w:lang w:val="fr-FR"/>
        </w:rPr>
        <w:t>2018</w:t>
      </w:r>
      <w:r w:rsidRPr="00211A44">
        <w:rPr>
          <w:rFonts w:asciiTheme="minorHAnsi" w:hAnsiTheme="minorHAnsi" w:cstheme="minorHAnsi"/>
          <w:color w:val="000000" w:themeColor="text1"/>
          <w:lang w:val="fr-FR"/>
        </w:rPr>
        <w:t xml:space="preserve"> .</w:t>
      </w:r>
      <w:r w:rsidR="006D2817" w:rsidRPr="00211A44">
        <w:rPr>
          <w:rFonts w:asciiTheme="minorHAnsi" w:hAnsiTheme="minorHAnsi" w:cstheme="minorHAnsi"/>
          <w:color w:val="000000" w:themeColor="text1"/>
          <w:lang w:val="fr-FR"/>
        </w:rPr>
        <w:t xml:space="preserve"> L</w:t>
      </w:r>
      <w:r w:rsidRPr="00211A44">
        <w:rPr>
          <w:rFonts w:asciiTheme="minorHAnsi" w:hAnsiTheme="minorHAnsi" w:cstheme="minorHAnsi"/>
          <w:color w:val="000000" w:themeColor="text1"/>
          <w:lang w:val="fr-FR"/>
        </w:rPr>
        <w:t>e nombre des cas incident</w:t>
      </w:r>
      <w:r w:rsidR="006D2817" w:rsidRPr="00211A44">
        <w:rPr>
          <w:rFonts w:asciiTheme="minorHAnsi" w:hAnsiTheme="minorHAnsi" w:cstheme="minorHAnsi"/>
          <w:color w:val="000000" w:themeColor="text1"/>
          <w:lang w:val="fr-FR"/>
        </w:rPr>
        <w:t>s</w:t>
      </w:r>
      <w:r w:rsidRPr="00211A44">
        <w:rPr>
          <w:rFonts w:asciiTheme="minorHAnsi" w:hAnsiTheme="minorHAnsi" w:cstheme="minorHAnsi"/>
          <w:color w:val="000000" w:themeColor="text1"/>
          <w:lang w:val="fr-FR"/>
        </w:rPr>
        <w:t xml:space="preserve"> </w:t>
      </w:r>
      <w:r w:rsidR="006D2817" w:rsidRPr="00211A44">
        <w:rPr>
          <w:rFonts w:asciiTheme="minorHAnsi" w:hAnsiTheme="minorHAnsi" w:cstheme="minorHAnsi"/>
          <w:color w:val="000000" w:themeColor="text1"/>
          <w:lang w:val="fr-FR"/>
        </w:rPr>
        <w:t xml:space="preserve">de </w:t>
      </w:r>
      <w:r w:rsidR="00B3552E" w:rsidRPr="00211A44">
        <w:rPr>
          <w:rFonts w:asciiTheme="minorHAnsi" w:hAnsiTheme="minorHAnsi" w:cstheme="minorHAnsi"/>
          <w:color w:val="000000" w:themeColor="text1"/>
          <w:lang w:val="fr-FR"/>
        </w:rPr>
        <w:t>diarrhées</w:t>
      </w:r>
      <w:r w:rsidR="006D2817" w:rsidRPr="00211A44">
        <w:rPr>
          <w:rFonts w:asciiTheme="minorHAnsi" w:hAnsiTheme="minorHAnsi" w:cstheme="minorHAnsi"/>
          <w:color w:val="000000" w:themeColor="text1"/>
          <w:lang w:val="fr-FR"/>
        </w:rPr>
        <w:t xml:space="preserve"> </w:t>
      </w:r>
      <w:r w:rsidRPr="00211A44">
        <w:rPr>
          <w:rFonts w:asciiTheme="minorHAnsi" w:hAnsiTheme="minorHAnsi" w:cstheme="minorHAnsi"/>
          <w:color w:val="000000" w:themeColor="text1"/>
          <w:lang w:val="fr-FR"/>
        </w:rPr>
        <w:t>est passé de</w:t>
      </w:r>
      <w:r w:rsidR="006D2817" w:rsidRPr="00211A44">
        <w:rPr>
          <w:rFonts w:asciiTheme="minorHAnsi" w:hAnsiTheme="minorHAnsi" w:cstheme="minorHAnsi"/>
          <w:color w:val="000000" w:themeColor="text1"/>
          <w:lang w:val="fr-FR"/>
        </w:rPr>
        <w:t xml:space="preserve"> 1517</w:t>
      </w:r>
      <w:r w:rsidR="006A765C" w:rsidRPr="00211A44">
        <w:rPr>
          <w:rFonts w:asciiTheme="minorHAnsi" w:hAnsiTheme="minorHAnsi" w:cstheme="minorHAnsi"/>
          <w:color w:val="000000" w:themeColor="text1"/>
          <w:lang w:val="fr-FR"/>
        </w:rPr>
        <w:t xml:space="preserve"> en 2007 </w:t>
      </w:r>
      <w:r w:rsidR="006D2817" w:rsidRPr="00211A44">
        <w:rPr>
          <w:rFonts w:asciiTheme="minorHAnsi" w:hAnsiTheme="minorHAnsi" w:cstheme="minorHAnsi"/>
          <w:color w:val="000000" w:themeColor="text1"/>
          <w:lang w:val="fr-FR"/>
        </w:rPr>
        <w:t>à 296</w:t>
      </w:r>
      <w:r w:rsidR="006A765C" w:rsidRPr="00211A44">
        <w:rPr>
          <w:rFonts w:asciiTheme="minorHAnsi" w:hAnsiTheme="minorHAnsi" w:cstheme="minorHAnsi"/>
          <w:color w:val="000000" w:themeColor="text1"/>
          <w:lang w:val="fr-FR"/>
        </w:rPr>
        <w:t xml:space="preserve"> en 2018</w:t>
      </w:r>
      <w:r w:rsidR="006D2817" w:rsidRPr="00211A44">
        <w:rPr>
          <w:rFonts w:asciiTheme="minorHAnsi" w:hAnsiTheme="minorHAnsi" w:cstheme="minorHAnsi"/>
          <w:color w:val="000000" w:themeColor="text1"/>
          <w:lang w:val="fr-FR"/>
        </w:rPr>
        <w:t xml:space="preserve"> pour une couverture vaccinale de </w:t>
      </w:r>
      <w:r w:rsidR="00F10FA7" w:rsidRPr="00211A44">
        <w:rPr>
          <w:rFonts w:asciiTheme="minorHAnsi" w:hAnsiTheme="minorHAnsi" w:cstheme="minorHAnsi"/>
          <w:color w:val="000000" w:themeColor="text1"/>
          <w:lang w:val="fr-FR"/>
        </w:rPr>
        <w:t>78,4</w:t>
      </w:r>
      <w:r w:rsidR="006D2817" w:rsidRPr="00211A44">
        <w:rPr>
          <w:rFonts w:asciiTheme="minorHAnsi" w:hAnsiTheme="minorHAnsi" w:cstheme="minorHAnsi"/>
          <w:color w:val="000000" w:themeColor="text1"/>
          <w:lang w:val="fr-FR"/>
        </w:rPr>
        <w:t>%</w:t>
      </w:r>
      <w:r w:rsidR="00F10FA7" w:rsidRPr="00211A44">
        <w:rPr>
          <w:rFonts w:asciiTheme="minorHAnsi" w:hAnsiTheme="minorHAnsi" w:cstheme="minorHAnsi"/>
          <w:color w:val="000000" w:themeColor="text1"/>
          <w:lang w:val="fr-FR"/>
        </w:rPr>
        <w:t xml:space="preserve"> pour les deux doses</w:t>
      </w:r>
      <w:r w:rsidRPr="00211A44">
        <w:rPr>
          <w:rFonts w:asciiTheme="minorHAnsi" w:hAnsiTheme="minorHAnsi" w:cstheme="minorHAnsi"/>
          <w:color w:val="000000" w:themeColor="text1"/>
          <w:lang w:val="fr-FR"/>
        </w:rPr>
        <w:t xml:space="preserve">. Les </w:t>
      </w:r>
      <w:proofErr w:type="spellStart"/>
      <w:r w:rsidR="00F10FA7" w:rsidRPr="00211A44">
        <w:rPr>
          <w:rFonts w:asciiTheme="minorHAnsi" w:hAnsiTheme="minorHAnsi" w:cstheme="minorHAnsi"/>
          <w:color w:val="000000" w:themeColor="text1"/>
          <w:lang w:val="fr-FR"/>
        </w:rPr>
        <w:t>ser</w:t>
      </w:r>
      <w:r w:rsidRPr="00211A44">
        <w:rPr>
          <w:rFonts w:asciiTheme="minorHAnsi" w:hAnsiTheme="minorHAnsi" w:cstheme="minorHAnsi"/>
          <w:color w:val="000000" w:themeColor="text1"/>
          <w:lang w:val="fr-FR"/>
        </w:rPr>
        <w:t>o</w:t>
      </w:r>
      <w:proofErr w:type="spellEnd"/>
      <w:r w:rsidR="00F10FA7" w:rsidRPr="00211A44">
        <w:rPr>
          <w:rFonts w:asciiTheme="minorHAnsi" w:hAnsiTheme="minorHAnsi" w:cstheme="minorHAnsi"/>
          <w:color w:val="000000" w:themeColor="text1"/>
          <w:lang w:val="fr-FR"/>
        </w:rPr>
        <w:t>-</w:t>
      </w:r>
      <w:r w:rsidRPr="00211A44">
        <w:rPr>
          <w:rFonts w:asciiTheme="minorHAnsi" w:hAnsiTheme="minorHAnsi" w:cstheme="minorHAnsi"/>
          <w:color w:val="000000" w:themeColor="text1"/>
          <w:lang w:val="fr-FR"/>
        </w:rPr>
        <w:t xml:space="preserve">types les plus fréquents étaient </w:t>
      </w:r>
      <w:r w:rsidR="006D2817" w:rsidRPr="00211A44">
        <w:rPr>
          <w:rFonts w:asciiTheme="minorHAnsi" w:hAnsiTheme="minorHAnsi" w:cstheme="minorHAnsi"/>
          <w:color w:val="000000" w:themeColor="text1"/>
          <w:lang w:val="fr-FR"/>
        </w:rPr>
        <w:t>G1P8 (26%</w:t>
      </w:r>
      <w:r w:rsidR="00F10FA7" w:rsidRPr="00211A44">
        <w:rPr>
          <w:rFonts w:asciiTheme="minorHAnsi" w:hAnsiTheme="minorHAnsi" w:cstheme="minorHAnsi"/>
          <w:color w:val="000000" w:themeColor="text1"/>
          <w:lang w:val="fr-FR"/>
        </w:rPr>
        <w:t xml:space="preserve"> des cas</w:t>
      </w:r>
      <w:r w:rsidR="006D2817" w:rsidRPr="00211A44">
        <w:rPr>
          <w:rFonts w:asciiTheme="minorHAnsi" w:hAnsiTheme="minorHAnsi" w:cstheme="minorHAnsi"/>
          <w:color w:val="000000" w:themeColor="text1"/>
          <w:lang w:val="fr-FR"/>
        </w:rPr>
        <w:t>) et G3P6 (20%</w:t>
      </w:r>
      <w:r w:rsidR="00F10FA7" w:rsidRPr="00211A44">
        <w:rPr>
          <w:rFonts w:asciiTheme="minorHAnsi" w:hAnsiTheme="minorHAnsi" w:cstheme="minorHAnsi"/>
          <w:color w:val="000000" w:themeColor="text1"/>
          <w:lang w:val="fr-FR"/>
        </w:rPr>
        <w:t xml:space="preserve"> des cas</w:t>
      </w:r>
      <w:r w:rsidR="006D2817" w:rsidRPr="00211A44">
        <w:rPr>
          <w:rFonts w:asciiTheme="minorHAnsi" w:hAnsiTheme="minorHAnsi" w:cstheme="minorHAnsi"/>
          <w:color w:val="000000" w:themeColor="text1"/>
          <w:lang w:val="fr-FR"/>
        </w:rPr>
        <w:t xml:space="preserve">) </w:t>
      </w:r>
      <w:r w:rsidRPr="00211A44">
        <w:rPr>
          <w:rFonts w:asciiTheme="minorHAnsi" w:hAnsiTheme="minorHAnsi" w:cstheme="minorHAnsi"/>
          <w:color w:val="000000" w:themeColor="text1"/>
          <w:lang w:val="fr-FR"/>
        </w:rPr>
        <w:t>en 20</w:t>
      </w:r>
      <w:r w:rsidR="006D2817" w:rsidRPr="00211A44">
        <w:rPr>
          <w:rFonts w:asciiTheme="minorHAnsi" w:hAnsiTheme="minorHAnsi" w:cstheme="minorHAnsi"/>
          <w:color w:val="000000" w:themeColor="text1"/>
          <w:lang w:val="fr-FR"/>
        </w:rPr>
        <w:t>1</w:t>
      </w:r>
      <w:r w:rsidRPr="00211A44">
        <w:rPr>
          <w:rFonts w:asciiTheme="minorHAnsi" w:hAnsiTheme="minorHAnsi" w:cstheme="minorHAnsi"/>
          <w:color w:val="000000" w:themeColor="text1"/>
          <w:lang w:val="fr-FR"/>
        </w:rPr>
        <w:t xml:space="preserve">4 et </w:t>
      </w:r>
      <w:r w:rsidR="006D2817" w:rsidRPr="00211A44">
        <w:rPr>
          <w:rFonts w:asciiTheme="minorHAnsi" w:hAnsiTheme="minorHAnsi" w:cstheme="minorHAnsi"/>
          <w:color w:val="000000" w:themeColor="text1"/>
          <w:lang w:val="fr-FR"/>
        </w:rPr>
        <w:t>G1P8 (44%</w:t>
      </w:r>
      <w:r w:rsidR="00F10FA7" w:rsidRPr="00211A44">
        <w:rPr>
          <w:rFonts w:asciiTheme="minorHAnsi" w:hAnsiTheme="minorHAnsi" w:cstheme="minorHAnsi"/>
          <w:color w:val="000000" w:themeColor="text1"/>
          <w:lang w:val="fr-FR"/>
        </w:rPr>
        <w:t xml:space="preserve"> des cas</w:t>
      </w:r>
      <w:r w:rsidR="006D2817" w:rsidRPr="00211A44">
        <w:rPr>
          <w:rFonts w:asciiTheme="minorHAnsi" w:hAnsiTheme="minorHAnsi" w:cstheme="minorHAnsi"/>
          <w:color w:val="000000" w:themeColor="text1"/>
          <w:lang w:val="fr-FR"/>
        </w:rPr>
        <w:t>) et G3P6 (22%</w:t>
      </w:r>
      <w:r w:rsidR="00F10FA7" w:rsidRPr="00211A44">
        <w:rPr>
          <w:rFonts w:asciiTheme="minorHAnsi" w:hAnsiTheme="minorHAnsi" w:cstheme="minorHAnsi"/>
          <w:color w:val="000000" w:themeColor="text1"/>
          <w:lang w:val="fr-FR"/>
        </w:rPr>
        <w:t xml:space="preserve"> des cas</w:t>
      </w:r>
      <w:r w:rsidR="006D2817" w:rsidRPr="00211A44">
        <w:rPr>
          <w:rFonts w:asciiTheme="minorHAnsi" w:hAnsiTheme="minorHAnsi" w:cstheme="minorHAnsi"/>
          <w:color w:val="000000" w:themeColor="text1"/>
          <w:lang w:val="fr-FR"/>
        </w:rPr>
        <w:t>)</w:t>
      </w:r>
      <w:r w:rsidRPr="00211A44">
        <w:rPr>
          <w:rFonts w:asciiTheme="minorHAnsi" w:hAnsiTheme="minorHAnsi" w:cstheme="minorHAnsi"/>
          <w:color w:val="000000" w:themeColor="text1"/>
          <w:lang w:val="fr-FR"/>
        </w:rPr>
        <w:t xml:space="preserve"> en 20</w:t>
      </w:r>
      <w:r w:rsidR="006D2817" w:rsidRPr="00211A44">
        <w:rPr>
          <w:rFonts w:asciiTheme="minorHAnsi" w:hAnsiTheme="minorHAnsi" w:cstheme="minorHAnsi"/>
          <w:color w:val="000000" w:themeColor="text1"/>
          <w:lang w:val="fr-FR"/>
        </w:rPr>
        <w:t>1</w:t>
      </w:r>
      <w:r w:rsidRPr="00211A44">
        <w:rPr>
          <w:rFonts w:asciiTheme="minorHAnsi" w:hAnsiTheme="minorHAnsi" w:cstheme="minorHAnsi"/>
          <w:color w:val="000000" w:themeColor="text1"/>
          <w:lang w:val="fr-FR"/>
        </w:rPr>
        <w:t>8</w:t>
      </w:r>
      <w:r w:rsidR="006D2817" w:rsidRPr="00211A44">
        <w:rPr>
          <w:rFonts w:asciiTheme="minorHAnsi" w:hAnsiTheme="minorHAnsi" w:cstheme="minorHAnsi"/>
          <w:color w:val="000000" w:themeColor="text1"/>
          <w:lang w:val="fr-FR"/>
        </w:rPr>
        <w:t>, date à laquelle cette surveillance a été arrêtée.</w:t>
      </w:r>
    </w:p>
    <w:p w14:paraId="65D21685" w14:textId="435396E4" w:rsidR="002433FE" w:rsidRPr="00211A44" w:rsidRDefault="002433FE" w:rsidP="006F755D">
      <w:pPr>
        <w:pStyle w:val="Titre1"/>
        <w:numPr>
          <w:ilvl w:val="0"/>
          <w:numId w:val="3"/>
        </w:numPr>
        <w:rPr>
          <w:rFonts w:asciiTheme="minorHAnsi" w:hAnsiTheme="minorHAnsi" w:cstheme="minorHAnsi"/>
          <w:sz w:val="24"/>
          <w:szCs w:val="24"/>
          <w:lang w:val="fr-FR"/>
        </w:rPr>
      </w:pPr>
      <w:bookmarkStart w:id="6" w:name="_Toc97572939"/>
      <w:r w:rsidRPr="00211A44">
        <w:rPr>
          <w:rFonts w:asciiTheme="minorHAnsi" w:hAnsiTheme="minorHAnsi" w:cstheme="minorHAnsi"/>
          <w:sz w:val="24"/>
          <w:szCs w:val="24"/>
          <w:lang w:val="fr-FR"/>
        </w:rPr>
        <w:t>Objectifs</w:t>
      </w:r>
      <w:bookmarkEnd w:id="6"/>
    </w:p>
    <w:p w14:paraId="78D07DCB" w14:textId="7418092D" w:rsidR="00840789" w:rsidRPr="00211A44" w:rsidRDefault="006F755D" w:rsidP="006F755D">
      <w:pPr>
        <w:pStyle w:val="Titre2"/>
        <w:numPr>
          <w:ilvl w:val="1"/>
          <w:numId w:val="3"/>
        </w:numPr>
        <w:rPr>
          <w:rFonts w:asciiTheme="minorHAnsi" w:hAnsiTheme="minorHAnsi" w:cstheme="minorHAnsi"/>
          <w:b w:val="0"/>
          <w:bCs w:val="0"/>
          <w:color w:val="auto"/>
          <w:sz w:val="24"/>
          <w:szCs w:val="24"/>
          <w:lang w:val="fr-FR"/>
        </w:rPr>
      </w:pPr>
      <w:bookmarkStart w:id="7" w:name="_Toc97572940"/>
      <w:r w:rsidRPr="00211A44">
        <w:rPr>
          <w:rFonts w:asciiTheme="minorHAnsi" w:hAnsiTheme="minorHAnsi" w:cstheme="minorHAnsi"/>
          <w:b w:val="0"/>
          <w:bCs w:val="0"/>
          <w:color w:val="auto"/>
          <w:sz w:val="24"/>
          <w:szCs w:val="24"/>
          <w:lang w:val="fr-FR"/>
        </w:rPr>
        <w:t>Objectif général</w:t>
      </w:r>
      <w:bookmarkEnd w:id="7"/>
    </w:p>
    <w:p w14:paraId="76B78150" w14:textId="30403D9E" w:rsidR="00840789" w:rsidRPr="00211A44" w:rsidRDefault="006F755D" w:rsidP="00D50ADA">
      <w:pPr>
        <w:spacing w:line="276" w:lineRule="auto"/>
        <w:jc w:val="both"/>
        <w:rPr>
          <w:rFonts w:asciiTheme="minorHAnsi" w:hAnsiTheme="minorHAnsi" w:cstheme="minorHAnsi"/>
          <w:i/>
          <w:iCs/>
          <w:lang w:val="fr-FR"/>
        </w:rPr>
      </w:pPr>
      <w:r w:rsidRPr="00211A44">
        <w:rPr>
          <w:rFonts w:asciiTheme="minorHAnsi" w:hAnsiTheme="minorHAnsi" w:cstheme="minorHAnsi"/>
          <w:lang w:val="fr-FR"/>
        </w:rPr>
        <w:t xml:space="preserve">Remplacer le vaccin </w:t>
      </w:r>
      <w:proofErr w:type="spellStart"/>
      <w:r w:rsidRPr="00211A44">
        <w:rPr>
          <w:rFonts w:asciiTheme="minorHAnsi" w:hAnsiTheme="minorHAnsi" w:cstheme="minorHAnsi"/>
          <w:lang w:val="fr-FR"/>
        </w:rPr>
        <w:t>Rotarix</w:t>
      </w:r>
      <w:proofErr w:type="spellEnd"/>
      <w:r w:rsidRPr="00211A44">
        <w:rPr>
          <w:rFonts w:asciiTheme="minorHAnsi" w:hAnsiTheme="minorHAnsi" w:cstheme="minorHAnsi"/>
          <w:lang w:val="fr-FR"/>
        </w:rPr>
        <w:t>® par le vaccin Rotavac® dans le calendrier vaccinal de routine sans compromettre l</w:t>
      </w:r>
      <w:r w:rsidR="002411F5" w:rsidRPr="00211A44">
        <w:rPr>
          <w:rFonts w:asciiTheme="minorHAnsi" w:hAnsiTheme="minorHAnsi" w:cstheme="minorHAnsi"/>
          <w:lang w:val="fr-FR"/>
        </w:rPr>
        <w:t>’offre et la demande du vaccin anti-rotavirus.</w:t>
      </w:r>
    </w:p>
    <w:p w14:paraId="4F0A88DD" w14:textId="693CE60E" w:rsidR="006F755D" w:rsidRPr="00211A44" w:rsidRDefault="00E97B10" w:rsidP="006F755D">
      <w:pPr>
        <w:pStyle w:val="Titre2"/>
        <w:numPr>
          <w:ilvl w:val="1"/>
          <w:numId w:val="3"/>
        </w:numPr>
        <w:rPr>
          <w:rFonts w:asciiTheme="minorHAnsi" w:hAnsiTheme="minorHAnsi" w:cstheme="minorHAnsi"/>
          <w:b w:val="0"/>
          <w:bCs w:val="0"/>
          <w:color w:val="auto"/>
          <w:sz w:val="24"/>
          <w:szCs w:val="24"/>
          <w:lang w:val="fr-FR"/>
        </w:rPr>
      </w:pPr>
      <w:bookmarkStart w:id="8" w:name="_Toc97572941"/>
      <w:r w:rsidRPr="00211A44">
        <w:rPr>
          <w:rFonts w:asciiTheme="minorHAnsi" w:hAnsiTheme="minorHAnsi" w:cstheme="minorHAnsi"/>
          <w:b w:val="0"/>
          <w:bCs w:val="0"/>
          <w:color w:val="auto"/>
          <w:sz w:val="24"/>
          <w:szCs w:val="24"/>
          <w:lang w:val="fr-FR"/>
        </w:rPr>
        <w:t>Objectifs spécifiques</w:t>
      </w:r>
      <w:bookmarkEnd w:id="8"/>
    </w:p>
    <w:p w14:paraId="0245E90F" w14:textId="473397C2" w:rsidR="006F755D" w:rsidRPr="00211A44" w:rsidRDefault="002411F5" w:rsidP="00D50ADA">
      <w:pPr>
        <w:pStyle w:val="Paragraphedeliste"/>
        <w:numPr>
          <w:ilvl w:val="0"/>
          <w:numId w:val="5"/>
        </w:numPr>
        <w:spacing w:line="276" w:lineRule="auto"/>
        <w:rPr>
          <w:rFonts w:cstheme="minorHAnsi"/>
          <w:i w:val="0"/>
          <w:iCs w:val="0"/>
          <w:sz w:val="24"/>
          <w:szCs w:val="24"/>
          <w:lang w:val="fr-FR"/>
        </w:rPr>
      </w:pPr>
      <w:r w:rsidRPr="00211A44">
        <w:rPr>
          <w:rFonts w:cstheme="minorHAnsi"/>
          <w:i w:val="0"/>
          <w:iCs w:val="0"/>
          <w:sz w:val="24"/>
          <w:szCs w:val="24"/>
          <w:lang w:val="fr-FR"/>
        </w:rPr>
        <w:t xml:space="preserve">Informer les personnels de santé sur le changement et les spécificités du vaccin Rotavac ® et les implications de son introduction dans le calendrier vaccinal en remplacement du </w:t>
      </w:r>
      <w:proofErr w:type="spellStart"/>
      <w:r w:rsidRPr="00211A44">
        <w:rPr>
          <w:rFonts w:cstheme="minorHAnsi"/>
          <w:i w:val="0"/>
          <w:iCs w:val="0"/>
          <w:sz w:val="24"/>
          <w:szCs w:val="24"/>
          <w:lang w:val="fr-FR"/>
        </w:rPr>
        <w:t>Rotarix</w:t>
      </w:r>
      <w:proofErr w:type="spellEnd"/>
    </w:p>
    <w:p w14:paraId="0FCF74B2" w14:textId="5775B821" w:rsidR="002411F5" w:rsidRPr="00211A44" w:rsidRDefault="002411F5" w:rsidP="00D50ADA">
      <w:pPr>
        <w:pStyle w:val="Paragraphedeliste"/>
        <w:numPr>
          <w:ilvl w:val="0"/>
          <w:numId w:val="5"/>
        </w:numPr>
        <w:spacing w:line="276" w:lineRule="auto"/>
        <w:rPr>
          <w:rFonts w:cstheme="minorHAnsi"/>
          <w:i w:val="0"/>
          <w:iCs w:val="0"/>
          <w:sz w:val="24"/>
          <w:szCs w:val="24"/>
          <w:lang w:val="fr-FR"/>
        </w:rPr>
      </w:pPr>
      <w:r w:rsidRPr="00211A44">
        <w:rPr>
          <w:rFonts w:cstheme="minorHAnsi"/>
          <w:i w:val="0"/>
          <w:iCs w:val="0"/>
          <w:sz w:val="24"/>
          <w:szCs w:val="24"/>
          <w:lang w:val="fr-FR"/>
        </w:rPr>
        <w:t>Informer les la communauté et les parents du changement de forme de vaccin contre le Rotavirus</w:t>
      </w:r>
    </w:p>
    <w:p w14:paraId="5A25B669" w14:textId="3C94F970" w:rsidR="002411F5" w:rsidRPr="00211A44" w:rsidRDefault="002411F5" w:rsidP="00D50ADA">
      <w:pPr>
        <w:pStyle w:val="Paragraphedeliste"/>
        <w:numPr>
          <w:ilvl w:val="0"/>
          <w:numId w:val="5"/>
        </w:numPr>
        <w:spacing w:line="276" w:lineRule="auto"/>
        <w:rPr>
          <w:rFonts w:cstheme="minorHAnsi"/>
          <w:i w:val="0"/>
          <w:iCs w:val="0"/>
          <w:sz w:val="24"/>
          <w:szCs w:val="24"/>
          <w:lang w:val="fr-FR"/>
        </w:rPr>
      </w:pPr>
      <w:r w:rsidRPr="00211A44">
        <w:rPr>
          <w:rFonts w:cstheme="minorHAnsi"/>
          <w:i w:val="0"/>
          <w:iCs w:val="0"/>
          <w:sz w:val="24"/>
          <w:szCs w:val="24"/>
          <w:lang w:val="fr-FR"/>
        </w:rPr>
        <w:t xml:space="preserve">Mettre à la disposition de toutes les formations sanitaires qui vaccinent les doses et les matériels d’injection le vaccin Rotavac ® </w:t>
      </w:r>
    </w:p>
    <w:p w14:paraId="5BF23F42" w14:textId="7E0F6874" w:rsidR="002411F5" w:rsidRPr="00211A44" w:rsidRDefault="002411F5" w:rsidP="00D50ADA">
      <w:pPr>
        <w:pStyle w:val="Paragraphedeliste"/>
        <w:numPr>
          <w:ilvl w:val="0"/>
          <w:numId w:val="5"/>
        </w:numPr>
        <w:spacing w:line="276" w:lineRule="auto"/>
        <w:rPr>
          <w:rFonts w:cstheme="minorHAnsi"/>
          <w:i w:val="0"/>
          <w:iCs w:val="0"/>
          <w:sz w:val="24"/>
          <w:szCs w:val="24"/>
          <w:lang w:val="fr-FR"/>
        </w:rPr>
      </w:pPr>
      <w:r w:rsidRPr="00211A44">
        <w:rPr>
          <w:rFonts w:cstheme="minorHAnsi"/>
          <w:i w:val="0"/>
          <w:iCs w:val="0"/>
          <w:sz w:val="24"/>
          <w:szCs w:val="24"/>
          <w:lang w:val="fr-FR"/>
        </w:rPr>
        <w:t>Suivre les performances de la vaccination contre le rotavirus</w:t>
      </w:r>
      <w:r w:rsidR="006A765C" w:rsidRPr="00211A44">
        <w:rPr>
          <w:rFonts w:cstheme="minorHAnsi"/>
          <w:i w:val="0"/>
          <w:iCs w:val="0"/>
          <w:sz w:val="24"/>
          <w:szCs w:val="24"/>
          <w:lang w:val="fr-FR"/>
        </w:rPr>
        <w:t>.</w:t>
      </w:r>
      <w:r w:rsidRPr="00211A44">
        <w:rPr>
          <w:rFonts w:cstheme="minorHAnsi"/>
          <w:i w:val="0"/>
          <w:iCs w:val="0"/>
          <w:sz w:val="24"/>
          <w:szCs w:val="24"/>
          <w:lang w:val="fr-FR"/>
        </w:rPr>
        <w:t xml:space="preserve"> </w:t>
      </w:r>
    </w:p>
    <w:p w14:paraId="20026096" w14:textId="6E6580CB" w:rsidR="002433FE" w:rsidRPr="00211A44" w:rsidRDefault="002411F5" w:rsidP="002411F5">
      <w:pPr>
        <w:pStyle w:val="Titre1"/>
        <w:numPr>
          <w:ilvl w:val="0"/>
          <w:numId w:val="3"/>
        </w:numPr>
        <w:rPr>
          <w:rFonts w:asciiTheme="minorHAnsi" w:hAnsiTheme="minorHAnsi" w:cstheme="minorHAnsi"/>
          <w:sz w:val="24"/>
          <w:szCs w:val="24"/>
          <w:lang w:val="fr-FR"/>
        </w:rPr>
      </w:pPr>
      <w:bookmarkStart w:id="9" w:name="_Toc97572942"/>
      <w:r w:rsidRPr="00211A44">
        <w:rPr>
          <w:rFonts w:asciiTheme="minorHAnsi" w:hAnsiTheme="minorHAnsi" w:cstheme="minorHAnsi"/>
          <w:sz w:val="24"/>
          <w:szCs w:val="24"/>
          <w:lang w:val="fr-FR"/>
        </w:rPr>
        <w:t>Axes stratégiques et activités planifiés</w:t>
      </w:r>
      <w:bookmarkEnd w:id="9"/>
    </w:p>
    <w:p w14:paraId="093B78C1" w14:textId="1FF4C3B9" w:rsidR="002411F5" w:rsidRPr="00211A44" w:rsidRDefault="002411F5" w:rsidP="002411F5">
      <w:pPr>
        <w:pStyle w:val="Titre2"/>
        <w:numPr>
          <w:ilvl w:val="1"/>
          <w:numId w:val="3"/>
        </w:numPr>
        <w:rPr>
          <w:rFonts w:asciiTheme="minorHAnsi" w:hAnsiTheme="minorHAnsi" w:cstheme="minorHAnsi"/>
          <w:b w:val="0"/>
          <w:bCs w:val="0"/>
          <w:color w:val="auto"/>
          <w:sz w:val="24"/>
          <w:szCs w:val="24"/>
          <w:lang w:val="fr-FR"/>
        </w:rPr>
      </w:pPr>
      <w:bookmarkStart w:id="10" w:name="_Toc97572943"/>
      <w:r w:rsidRPr="00211A44">
        <w:rPr>
          <w:rFonts w:asciiTheme="minorHAnsi" w:hAnsiTheme="minorHAnsi" w:cstheme="minorHAnsi"/>
          <w:b w:val="0"/>
          <w:bCs w:val="0"/>
          <w:color w:val="auto"/>
          <w:sz w:val="24"/>
          <w:szCs w:val="24"/>
          <w:lang w:val="fr-FR"/>
        </w:rPr>
        <w:t>Information et renforcement des capacités du personnel en charge de la vaccination</w:t>
      </w:r>
      <w:bookmarkEnd w:id="10"/>
    </w:p>
    <w:p w14:paraId="5FE497E7" w14:textId="3E49EA59" w:rsidR="00157C6D" w:rsidRPr="00211A44" w:rsidRDefault="00655B0D" w:rsidP="00D50ADA">
      <w:pPr>
        <w:spacing w:line="276" w:lineRule="auto"/>
        <w:jc w:val="both"/>
        <w:rPr>
          <w:rFonts w:asciiTheme="minorHAnsi" w:hAnsiTheme="minorHAnsi" w:cstheme="minorHAnsi"/>
          <w:i/>
          <w:iCs/>
          <w:lang w:val="fr-FR"/>
        </w:rPr>
      </w:pPr>
      <w:r w:rsidRPr="00211A44">
        <w:rPr>
          <w:rFonts w:asciiTheme="minorHAnsi" w:hAnsiTheme="minorHAnsi" w:cstheme="minorHAnsi"/>
          <w:lang w:val="fr-FR"/>
        </w:rPr>
        <w:t xml:space="preserve">Le personnel responsable de la vaccination à différent niveau de la pyramide sanitaire devra être </w:t>
      </w:r>
      <w:r w:rsidR="00663E4A" w:rsidRPr="00211A44">
        <w:rPr>
          <w:rFonts w:asciiTheme="minorHAnsi" w:hAnsiTheme="minorHAnsi" w:cstheme="minorHAnsi"/>
          <w:lang w:val="fr-FR"/>
        </w:rPr>
        <w:t>briefé</w:t>
      </w:r>
      <w:r w:rsidRPr="00211A44">
        <w:rPr>
          <w:rFonts w:asciiTheme="minorHAnsi" w:hAnsiTheme="minorHAnsi" w:cstheme="minorHAnsi"/>
          <w:lang w:val="fr-FR"/>
        </w:rPr>
        <w:t xml:space="preserve"> sur les modalités ou exigences relatives à ce switch. Les différents axes de formation seront : </w:t>
      </w:r>
      <w:r w:rsidR="007057E6" w:rsidRPr="00211A44">
        <w:rPr>
          <w:rFonts w:asciiTheme="minorHAnsi" w:hAnsiTheme="minorHAnsi" w:cstheme="minorHAnsi"/>
          <w:lang w:val="fr-FR"/>
        </w:rPr>
        <w:t>la vaccination en pratique</w:t>
      </w:r>
      <w:r w:rsidR="00D00425" w:rsidRPr="00211A44">
        <w:rPr>
          <w:rFonts w:asciiTheme="minorHAnsi" w:hAnsiTheme="minorHAnsi" w:cstheme="minorHAnsi"/>
          <w:lang w:val="fr-FR"/>
        </w:rPr>
        <w:t xml:space="preserve"> </w:t>
      </w:r>
      <w:r w:rsidR="007057E6" w:rsidRPr="00211A44">
        <w:rPr>
          <w:rFonts w:asciiTheme="minorHAnsi" w:hAnsiTheme="minorHAnsi" w:cstheme="minorHAnsi"/>
          <w:lang w:val="fr-FR"/>
        </w:rPr>
        <w:t xml:space="preserve">et la surveillance des Manifestations Post </w:t>
      </w:r>
      <w:r w:rsidR="007057E6" w:rsidRPr="00211A44">
        <w:rPr>
          <w:rFonts w:asciiTheme="minorHAnsi" w:hAnsiTheme="minorHAnsi" w:cstheme="minorHAnsi"/>
          <w:lang w:val="fr-FR"/>
        </w:rPr>
        <w:lastRenderedPageBreak/>
        <w:t xml:space="preserve">Vaccinales Indésirables (MAPI) et Événement Indésirable d’Intérêt Particulier (EIIP) et leur prise en charge. </w:t>
      </w:r>
      <w:r w:rsidR="00F10FA7" w:rsidRPr="00211A44">
        <w:rPr>
          <w:rFonts w:asciiTheme="minorHAnsi" w:hAnsiTheme="minorHAnsi" w:cstheme="minorHAnsi"/>
          <w:lang w:val="fr-FR"/>
        </w:rPr>
        <w:t xml:space="preserve"> Le but de la formation qui se fera en cascade est de mettre à jour </w:t>
      </w:r>
      <w:r w:rsidR="004F2D08" w:rsidRPr="00211A44">
        <w:rPr>
          <w:rFonts w:asciiTheme="minorHAnsi" w:hAnsiTheme="minorHAnsi" w:cstheme="minorHAnsi"/>
          <w:lang w:val="fr-FR"/>
        </w:rPr>
        <w:t>les connaissances</w:t>
      </w:r>
      <w:r w:rsidR="00F10FA7" w:rsidRPr="00211A44">
        <w:rPr>
          <w:rFonts w:asciiTheme="minorHAnsi" w:hAnsiTheme="minorHAnsi" w:cstheme="minorHAnsi"/>
          <w:lang w:val="fr-FR"/>
        </w:rPr>
        <w:t xml:space="preserve"> de base sur la vaccination avec un accent particulier sur les implications du switch du rota sur </w:t>
      </w:r>
      <w:r w:rsidR="004F2D08" w:rsidRPr="00211A44">
        <w:rPr>
          <w:rFonts w:asciiTheme="minorHAnsi" w:hAnsiTheme="minorHAnsi" w:cstheme="minorHAnsi"/>
          <w:lang w:val="fr-FR"/>
        </w:rPr>
        <w:t>les pratiques quotidiennes</w:t>
      </w:r>
      <w:r w:rsidR="00F10FA7" w:rsidRPr="00211A44">
        <w:rPr>
          <w:rFonts w:asciiTheme="minorHAnsi" w:hAnsiTheme="minorHAnsi" w:cstheme="minorHAnsi"/>
          <w:lang w:val="fr-FR"/>
        </w:rPr>
        <w:t xml:space="preserve"> des personnels de santé dans (i) la communication interpersonnelle (ii) la gestion des stocks (iii) la collecte des données (iv) la surveillance des MAPI (v</w:t>
      </w:r>
      <w:r w:rsidR="004F2D08" w:rsidRPr="00211A44">
        <w:rPr>
          <w:rFonts w:asciiTheme="minorHAnsi" w:hAnsiTheme="minorHAnsi" w:cstheme="minorHAnsi"/>
          <w:lang w:val="fr-FR"/>
        </w:rPr>
        <w:t>) et</w:t>
      </w:r>
      <w:r w:rsidR="00F10FA7" w:rsidRPr="00211A44">
        <w:rPr>
          <w:rFonts w:asciiTheme="minorHAnsi" w:hAnsiTheme="minorHAnsi" w:cstheme="minorHAnsi"/>
          <w:lang w:val="fr-FR"/>
        </w:rPr>
        <w:t xml:space="preserve"> le monitoring des performances post switch notamment </w:t>
      </w:r>
      <w:r w:rsidR="00F457B1" w:rsidRPr="00211A44">
        <w:rPr>
          <w:rFonts w:asciiTheme="minorHAnsi" w:hAnsiTheme="minorHAnsi" w:cstheme="minorHAnsi"/>
          <w:lang w:val="fr-FR"/>
        </w:rPr>
        <w:t xml:space="preserve">le passage de 2 doses (pour </w:t>
      </w:r>
      <w:proofErr w:type="spellStart"/>
      <w:r w:rsidR="00F457B1" w:rsidRPr="00211A44">
        <w:rPr>
          <w:rFonts w:asciiTheme="minorHAnsi" w:hAnsiTheme="minorHAnsi" w:cstheme="minorHAnsi"/>
          <w:lang w:val="fr-FR"/>
        </w:rPr>
        <w:t>Rotarix</w:t>
      </w:r>
      <w:proofErr w:type="spellEnd"/>
      <w:r w:rsidR="00F457B1" w:rsidRPr="00211A44">
        <w:rPr>
          <w:rFonts w:asciiTheme="minorHAnsi" w:hAnsiTheme="minorHAnsi" w:cstheme="minorHAnsi"/>
          <w:lang w:val="fr-FR"/>
        </w:rPr>
        <w:t>®) à 3 doses (Pour Rotavac ®).</w:t>
      </w:r>
    </w:p>
    <w:p w14:paraId="34B02A88" w14:textId="38B8B1B3" w:rsidR="009E44BC" w:rsidRPr="00211A44" w:rsidRDefault="009E44BC" w:rsidP="00CB006B">
      <w:pPr>
        <w:pStyle w:val="Lgende"/>
        <w:spacing w:before="240" w:after="0"/>
        <w:rPr>
          <w:rFonts w:cstheme="minorHAnsi"/>
          <w:color w:val="000000" w:themeColor="text1"/>
          <w:sz w:val="28"/>
          <w:szCs w:val="28"/>
          <w:lang w:val="fr-FR"/>
        </w:rPr>
      </w:pPr>
      <w:r w:rsidRPr="00211A44">
        <w:rPr>
          <w:rFonts w:cstheme="minorHAnsi"/>
          <w:sz w:val="20"/>
          <w:szCs w:val="20"/>
        </w:rPr>
        <w:t>Tableau 2:  Effectif des personnels de santé ciblées par les sessions de</w:t>
      </w:r>
      <w:r w:rsidR="002E3225">
        <w:rPr>
          <w:rFonts w:cstheme="minorHAnsi"/>
          <w:sz w:val="20"/>
          <w:szCs w:val="20"/>
        </w:rPr>
        <w:t xml:space="preserve"> briefing</w:t>
      </w:r>
      <w:r w:rsidRPr="00211A44">
        <w:rPr>
          <w:rFonts w:cstheme="minorHAnsi"/>
          <w:sz w:val="20"/>
          <w:szCs w:val="20"/>
        </w:rPr>
        <w:t>. </w:t>
      </w:r>
    </w:p>
    <w:tbl>
      <w:tblPr>
        <w:tblStyle w:val="TableauListe6Couleur-Accentuation1"/>
        <w:tblW w:w="9074" w:type="dxa"/>
        <w:tblLook w:val="04A0" w:firstRow="1" w:lastRow="0" w:firstColumn="1" w:lastColumn="0" w:noHBand="0" w:noVBand="1"/>
      </w:tblPr>
      <w:tblGrid>
        <w:gridCol w:w="1195"/>
        <w:gridCol w:w="817"/>
        <w:gridCol w:w="817"/>
        <w:gridCol w:w="817"/>
        <w:gridCol w:w="1141"/>
        <w:gridCol w:w="1141"/>
        <w:gridCol w:w="846"/>
        <w:gridCol w:w="1231"/>
        <w:gridCol w:w="1116"/>
      </w:tblGrid>
      <w:tr w:rsidR="002E3225" w:rsidRPr="00211A44" w14:paraId="1D9B0091" w14:textId="77777777" w:rsidTr="002E322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195" w:type="dxa"/>
            <w:vAlign w:val="center"/>
            <w:hideMark/>
          </w:tcPr>
          <w:p w14:paraId="4B22F0B9" w14:textId="77777777" w:rsidR="009E44BC" w:rsidRPr="002E3225" w:rsidRDefault="009E44BC" w:rsidP="00A7449F">
            <w:pPr>
              <w:pStyle w:val="Sansinterligne"/>
              <w:jc w:val="center"/>
              <w:rPr>
                <w:rFonts w:cstheme="minorHAnsi"/>
                <w:sz w:val="16"/>
                <w:szCs w:val="16"/>
              </w:rPr>
            </w:pPr>
            <w:r w:rsidRPr="002E3225">
              <w:rPr>
                <w:rFonts w:cstheme="minorHAnsi"/>
                <w:sz w:val="16"/>
                <w:szCs w:val="16"/>
              </w:rPr>
              <w:t>Région</w:t>
            </w:r>
          </w:p>
        </w:tc>
        <w:tc>
          <w:tcPr>
            <w:tcW w:w="817" w:type="dxa"/>
            <w:vAlign w:val="center"/>
            <w:hideMark/>
          </w:tcPr>
          <w:p w14:paraId="1679D7F4" w14:textId="12489343"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 xml:space="preserve">Nombre de </w:t>
            </w:r>
            <w:r w:rsidR="002E3225" w:rsidRPr="002E3225">
              <w:rPr>
                <w:rFonts w:cstheme="minorHAnsi"/>
                <w:sz w:val="16"/>
                <w:szCs w:val="16"/>
              </w:rPr>
              <w:t>DS</w:t>
            </w:r>
          </w:p>
        </w:tc>
        <w:tc>
          <w:tcPr>
            <w:tcW w:w="817" w:type="dxa"/>
            <w:vAlign w:val="center"/>
            <w:hideMark/>
          </w:tcPr>
          <w:p w14:paraId="5B5E70F3" w14:textId="57A0523A"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 xml:space="preserve">Nombre </w:t>
            </w:r>
            <w:r w:rsidR="002E3225" w:rsidRPr="002E3225">
              <w:rPr>
                <w:rFonts w:cstheme="minorHAnsi"/>
                <w:sz w:val="16"/>
                <w:szCs w:val="16"/>
              </w:rPr>
              <w:t>AS</w:t>
            </w:r>
          </w:p>
        </w:tc>
        <w:tc>
          <w:tcPr>
            <w:tcW w:w="817" w:type="dxa"/>
            <w:vAlign w:val="center"/>
            <w:hideMark/>
          </w:tcPr>
          <w:p w14:paraId="511FF4CA" w14:textId="77777777"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Nombre de FOSA PEV</w:t>
            </w:r>
          </w:p>
        </w:tc>
        <w:tc>
          <w:tcPr>
            <w:tcW w:w="1141" w:type="dxa"/>
            <w:vAlign w:val="center"/>
            <w:hideMark/>
          </w:tcPr>
          <w:p w14:paraId="51FED368" w14:textId="77777777"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Facilitateurs centraux</w:t>
            </w:r>
          </w:p>
        </w:tc>
        <w:tc>
          <w:tcPr>
            <w:tcW w:w="1141" w:type="dxa"/>
            <w:vAlign w:val="center"/>
            <w:hideMark/>
          </w:tcPr>
          <w:p w14:paraId="38011772" w14:textId="77777777"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Facilitateurs régionaux pour 100 DS</w:t>
            </w:r>
          </w:p>
        </w:tc>
        <w:tc>
          <w:tcPr>
            <w:tcW w:w="799" w:type="dxa"/>
            <w:vAlign w:val="center"/>
            <w:hideMark/>
          </w:tcPr>
          <w:p w14:paraId="1CED4203" w14:textId="0B49C8FF" w:rsidR="009E44BC" w:rsidRPr="002E3225" w:rsidRDefault="002E3225"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Membres </w:t>
            </w:r>
            <w:r w:rsidR="009E44BC" w:rsidRPr="002E3225">
              <w:rPr>
                <w:rFonts w:cstheme="minorHAnsi"/>
                <w:sz w:val="16"/>
                <w:szCs w:val="16"/>
              </w:rPr>
              <w:t xml:space="preserve"> </w:t>
            </w:r>
            <w:r w:rsidRPr="002E3225">
              <w:rPr>
                <w:rFonts w:cstheme="minorHAnsi"/>
                <w:sz w:val="16"/>
                <w:szCs w:val="16"/>
              </w:rPr>
              <w:t>ECD </w:t>
            </w:r>
          </w:p>
        </w:tc>
        <w:tc>
          <w:tcPr>
            <w:tcW w:w="1231" w:type="dxa"/>
            <w:vAlign w:val="center"/>
            <w:hideMark/>
          </w:tcPr>
          <w:p w14:paraId="550A3F83" w14:textId="77777777"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Responsables des Aires de Santé</w:t>
            </w:r>
          </w:p>
        </w:tc>
        <w:tc>
          <w:tcPr>
            <w:tcW w:w="1116" w:type="dxa"/>
            <w:vAlign w:val="center"/>
            <w:hideMark/>
          </w:tcPr>
          <w:p w14:paraId="053356F1" w14:textId="77777777" w:rsidR="009E44BC" w:rsidRPr="002E3225" w:rsidRDefault="009E44BC" w:rsidP="00A7449F">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E3225">
              <w:rPr>
                <w:rFonts w:cstheme="minorHAnsi"/>
                <w:sz w:val="16"/>
                <w:szCs w:val="16"/>
              </w:rPr>
              <w:t>Total participants</w:t>
            </w:r>
          </w:p>
        </w:tc>
      </w:tr>
      <w:tr w:rsidR="002E3225" w:rsidRPr="00211A44" w14:paraId="0FF1FF87"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E718A2C" w14:textId="77777777" w:rsidR="009E44BC" w:rsidRPr="00211A44" w:rsidRDefault="009E44BC" w:rsidP="00A7449F">
            <w:pPr>
              <w:pStyle w:val="Sansinterligne"/>
              <w:rPr>
                <w:rFonts w:cstheme="minorHAnsi"/>
              </w:rPr>
            </w:pPr>
            <w:r w:rsidRPr="00211A44">
              <w:rPr>
                <w:rFonts w:cstheme="minorHAnsi"/>
              </w:rPr>
              <w:t>Adamaoua</w:t>
            </w:r>
          </w:p>
        </w:tc>
        <w:tc>
          <w:tcPr>
            <w:tcW w:w="817" w:type="dxa"/>
            <w:noWrap/>
            <w:hideMark/>
          </w:tcPr>
          <w:p w14:paraId="44CEAF79"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w:t>
            </w:r>
          </w:p>
        </w:tc>
        <w:tc>
          <w:tcPr>
            <w:tcW w:w="817" w:type="dxa"/>
            <w:noWrap/>
            <w:hideMark/>
          </w:tcPr>
          <w:p w14:paraId="482E879A"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79</w:t>
            </w:r>
          </w:p>
        </w:tc>
        <w:tc>
          <w:tcPr>
            <w:tcW w:w="817" w:type="dxa"/>
            <w:noWrap/>
            <w:hideMark/>
          </w:tcPr>
          <w:p w14:paraId="3C150632"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174</w:t>
            </w:r>
          </w:p>
        </w:tc>
        <w:tc>
          <w:tcPr>
            <w:tcW w:w="1141" w:type="dxa"/>
            <w:noWrap/>
            <w:hideMark/>
          </w:tcPr>
          <w:p w14:paraId="0D9B918C"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w:t>
            </w:r>
          </w:p>
        </w:tc>
        <w:tc>
          <w:tcPr>
            <w:tcW w:w="1141" w:type="dxa"/>
            <w:noWrap/>
            <w:hideMark/>
          </w:tcPr>
          <w:p w14:paraId="242B521F"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5</w:t>
            </w:r>
          </w:p>
        </w:tc>
        <w:tc>
          <w:tcPr>
            <w:tcW w:w="799" w:type="dxa"/>
            <w:noWrap/>
            <w:hideMark/>
          </w:tcPr>
          <w:p w14:paraId="2CFA33D3"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20</w:t>
            </w:r>
          </w:p>
        </w:tc>
        <w:tc>
          <w:tcPr>
            <w:tcW w:w="1231" w:type="dxa"/>
            <w:noWrap/>
            <w:hideMark/>
          </w:tcPr>
          <w:p w14:paraId="15A2E0D9"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79</w:t>
            </w:r>
          </w:p>
        </w:tc>
        <w:tc>
          <w:tcPr>
            <w:tcW w:w="1116" w:type="dxa"/>
            <w:noWrap/>
            <w:hideMark/>
          </w:tcPr>
          <w:p w14:paraId="2498AB57"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105</w:t>
            </w:r>
          </w:p>
        </w:tc>
      </w:tr>
      <w:tr w:rsidR="002E3225" w:rsidRPr="00211A44" w14:paraId="1EAE92C3" w14:textId="77777777" w:rsidTr="002E3225">
        <w:trPr>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1E48621" w14:textId="77777777" w:rsidR="009E44BC" w:rsidRPr="00211A44" w:rsidRDefault="009E44BC" w:rsidP="00A7449F">
            <w:pPr>
              <w:pStyle w:val="Sansinterligne"/>
              <w:rPr>
                <w:rFonts w:cstheme="minorHAnsi"/>
              </w:rPr>
            </w:pPr>
            <w:r w:rsidRPr="00211A44">
              <w:rPr>
                <w:rFonts w:cstheme="minorHAnsi"/>
              </w:rPr>
              <w:t>Centre</w:t>
            </w:r>
          </w:p>
        </w:tc>
        <w:tc>
          <w:tcPr>
            <w:tcW w:w="817" w:type="dxa"/>
            <w:noWrap/>
            <w:hideMark/>
          </w:tcPr>
          <w:p w14:paraId="46FA80A5"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32</w:t>
            </w:r>
          </w:p>
        </w:tc>
        <w:tc>
          <w:tcPr>
            <w:tcW w:w="817" w:type="dxa"/>
            <w:noWrap/>
            <w:hideMark/>
          </w:tcPr>
          <w:p w14:paraId="13261FEC"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298</w:t>
            </w:r>
          </w:p>
        </w:tc>
        <w:tc>
          <w:tcPr>
            <w:tcW w:w="817" w:type="dxa"/>
            <w:noWrap/>
            <w:hideMark/>
          </w:tcPr>
          <w:p w14:paraId="38A35C61"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1181</w:t>
            </w:r>
          </w:p>
        </w:tc>
        <w:tc>
          <w:tcPr>
            <w:tcW w:w="1141" w:type="dxa"/>
            <w:noWrap/>
            <w:hideMark/>
          </w:tcPr>
          <w:p w14:paraId="6E1BBF31"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w:t>
            </w:r>
          </w:p>
        </w:tc>
        <w:tc>
          <w:tcPr>
            <w:tcW w:w="1141" w:type="dxa"/>
            <w:noWrap/>
            <w:hideMark/>
          </w:tcPr>
          <w:p w14:paraId="39829F5B"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16</w:t>
            </w:r>
          </w:p>
        </w:tc>
        <w:tc>
          <w:tcPr>
            <w:tcW w:w="799" w:type="dxa"/>
            <w:noWrap/>
            <w:hideMark/>
          </w:tcPr>
          <w:p w14:paraId="632836E8"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64</w:t>
            </w:r>
          </w:p>
        </w:tc>
        <w:tc>
          <w:tcPr>
            <w:tcW w:w="1231" w:type="dxa"/>
            <w:noWrap/>
            <w:hideMark/>
          </w:tcPr>
          <w:p w14:paraId="18CF3BC0"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298</w:t>
            </w:r>
          </w:p>
        </w:tc>
        <w:tc>
          <w:tcPr>
            <w:tcW w:w="1116" w:type="dxa"/>
            <w:noWrap/>
            <w:hideMark/>
          </w:tcPr>
          <w:p w14:paraId="6133E394"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380</w:t>
            </w:r>
          </w:p>
        </w:tc>
      </w:tr>
      <w:tr w:rsidR="002E3225" w:rsidRPr="00211A44" w14:paraId="36FACF16"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2A410F32" w14:textId="77777777" w:rsidR="009E44BC" w:rsidRPr="00211A44" w:rsidRDefault="009E44BC" w:rsidP="00A7449F">
            <w:pPr>
              <w:pStyle w:val="Sansinterligne"/>
              <w:rPr>
                <w:rFonts w:cstheme="minorHAnsi"/>
              </w:rPr>
            </w:pPr>
            <w:r w:rsidRPr="00211A44">
              <w:rPr>
                <w:rFonts w:cstheme="minorHAnsi"/>
              </w:rPr>
              <w:t>Est</w:t>
            </w:r>
          </w:p>
        </w:tc>
        <w:tc>
          <w:tcPr>
            <w:tcW w:w="817" w:type="dxa"/>
            <w:noWrap/>
            <w:hideMark/>
          </w:tcPr>
          <w:p w14:paraId="1CF0A82A"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15</w:t>
            </w:r>
          </w:p>
        </w:tc>
        <w:tc>
          <w:tcPr>
            <w:tcW w:w="817" w:type="dxa"/>
            <w:noWrap/>
            <w:hideMark/>
          </w:tcPr>
          <w:p w14:paraId="5770132C"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114</w:t>
            </w:r>
          </w:p>
        </w:tc>
        <w:tc>
          <w:tcPr>
            <w:tcW w:w="817" w:type="dxa"/>
            <w:noWrap/>
            <w:hideMark/>
          </w:tcPr>
          <w:p w14:paraId="019C5681"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230</w:t>
            </w:r>
          </w:p>
        </w:tc>
        <w:tc>
          <w:tcPr>
            <w:tcW w:w="1141" w:type="dxa"/>
            <w:noWrap/>
            <w:hideMark/>
          </w:tcPr>
          <w:p w14:paraId="65AF4C55"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w:t>
            </w:r>
          </w:p>
        </w:tc>
        <w:tc>
          <w:tcPr>
            <w:tcW w:w="1141" w:type="dxa"/>
            <w:noWrap/>
            <w:hideMark/>
          </w:tcPr>
          <w:p w14:paraId="11103EF0"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8</w:t>
            </w:r>
          </w:p>
        </w:tc>
        <w:tc>
          <w:tcPr>
            <w:tcW w:w="799" w:type="dxa"/>
            <w:noWrap/>
            <w:hideMark/>
          </w:tcPr>
          <w:p w14:paraId="374B24E6"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30</w:t>
            </w:r>
          </w:p>
        </w:tc>
        <w:tc>
          <w:tcPr>
            <w:tcW w:w="1231" w:type="dxa"/>
            <w:noWrap/>
            <w:hideMark/>
          </w:tcPr>
          <w:p w14:paraId="58D36FBC"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114</w:t>
            </w:r>
          </w:p>
        </w:tc>
        <w:tc>
          <w:tcPr>
            <w:tcW w:w="1116" w:type="dxa"/>
            <w:noWrap/>
            <w:hideMark/>
          </w:tcPr>
          <w:p w14:paraId="42725384"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153</w:t>
            </w:r>
          </w:p>
        </w:tc>
      </w:tr>
      <w:tr w:rsidR="002E3225" w:rsidRPr="00211A44" w14:paraId="70DFCE85" w14:textId="77777777" w:rsidTr="002E3225">
        <w:trPr>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4EE75A8E" w14:textId="77777777" w:rsidR="009E44BC" w:rsidRPr="00211A44" w:rsidRDefault="009E44BC" w:rsidP="00A7449F">
            <w:pPr>
              <w:pStyle w:val="Sansinterligne"/>
              <w:rPr>
                <w:rFonts w:cstheme="minorHAnsi"/>
              </w:rPr>
            </w:pPr>
            <w:r w:rsidRPr="00AA2661">
              <w:rPr>
                <w:rFonts w:cstheme="minorHAnsi"/>
                <w:sz w:val="16"/>
                <w:szCs w:val="16"/>
              </w:rPr>
              <w:t>Extrême Nord</w:t>
            </w:r>
          </w:p>
        </w:tc>
        <w:tc>
          <w:tcPr>
            <w:tcW w:w="817" w:type="dxa"/>
            <w:noWrap/>
            <w:hideMark/>
          </w:tcPr>
          <w:p w14:paraId="1C89D214"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32</w:t>
            </w:r>
          </w:p>
        </w:tc>
        <w:tc>
          <w:tcPr>
            <w:tcW w:w="817" w:type="dxa"/>
            <w:noWrap/>
            <w:hideMark/>
          </w:tcPr>
          <w:p w14:paraId="6E4D1098"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298</w:t>
            </w:r>
          </w:p>
        </w:tc>
        <w:tc>
          <w:tcPr>
            <w:tcW w:w="817" w:type="dxa"/>
            <w:noWrap/>
            <w:hideMark/>
          </w:tcPr>
          <w:p w14:paraId="1D82946D"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362</w:t>
            </w:r>
          </w:p>
        </w:tc>
        <w:tc>
          <w:tcPr>
            <w:tcW w:w="1141" w:type="dxa"/>
            <w:noWrap/>
            <w:hideMark/>
          </w:tcPr>
          <w:p w14:paraId="3584E128"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w:t>
            </w:r>
          </w:p>
        </w:tc>
        <w:tc>
          <w:tcPr>
            <w:tcW w:w="1141" w:type="dxa"/>
            <w:noWrap/>
            <w:hideMark/>
          </w:tcPr>
          <w:p w14:paraId="45BE80EA"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16</w:t>
            </w:r>
          </w:p>
        </w:tc>
        <w:tc>
          <w:tcPr>
            <w:tcW w:w="799" w:type="dxa"/>
            <w:noWrap/>
            <w:hideMark/>
          </w:tcPr>
          <w:p w14:paraId="3864727E"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64</w:t>
            </w:r>
          </w:p>
        </w:tc>
        <w:tc>
          <w:tcPr>
            <w:tcW w:w="1231" w:type="dxa"/>
            <w:noWrap/>
            <w:hideMark/>
          </w:tcPr>
          <w:p w14:paraId="00890B51"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298</w:t>
            </w:r>
          </w:p>
        </w:tc>
        <w:tc>
          <w:tcPr>
            <w:tcW w:w="1116" w:type="dxa"/>
            <w:noWrap/>
            <w:hideMark/>
          </w:tcPr>
          <w:p w14:paraId="2483D71A"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380</w:t>
            </w:r>
          </w:p>
        </w:tc>
      </w:tr>
      <w:tr w:rsidR="002E3225" w:rsidRPr="00211A44" w14:paraId="59E5FA80"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502B3FF" w14:textId="77777777" w:rsidR="009E44BC" w:rsidRPr="00211A44" w:rsidRDefault="009E44BC" w:rsidP="00A7449F">
            <w:pPr>
              <w:pStyle w:val="Sansinterligne"/>
              <w:rPr>
                <w:rFonts w:cstheme="minorHAnsi"/>
              </w:rPr>
            </w:pPr>
            <w:r w:rsidRPr="00211A44">
              <w:rPr>
                <w:rFonts w:cstheme="minorHAnsi"/>
              </w:rPr>
              <w:t>Littoral</w:t>
            </w:r>
          </w:p>
        </w:tc>
        <w:tc>
          <w:tcPr>
            <w:tcW w:w="817" w:type="dxa"/>
            <w:noWrap/>
            <w:hideMark/>
          </w:tcPr>
          <w:p w14:paraId="63C0209D"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24</w:t>
            </w:r>
          </w:p>
        </w:tc>
        <w:tc>
          <w:tcPr>
            <w:tcW w:w="817" w:type="dxa"/>
            <w:noWrap/>
            <w:hideMark/>
          </w:tcPr>
          <w:p w14:paraId="5CB02537"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189</w:t>
            </w:r>
          </w:p>
        </w:tc>
        <w:tc>
          <w:tcPr>
            <w:tcW w:w="817" w:type="dxa"/>
            <w:noWrap/>
            <w:hideMark/>
          </w:tcPr>
          <w:p w14:paraId="6C908452"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602</w:t>
            </w:r>
          </w:p>
        </w:tc>
        <w:tc>
          <w:tcPr>
            <w:tcW w:w="1141" w:type="dxa"/>
            <w:noWrap/>
            <w:hideMark/>
          </w:tcPr>
          <w:p w14:paraId="7F3139B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w:t>
            </w:r>
          </w:p>
        </w:tc>
        <w:tc>
          <w:tcPr>
            <w:tcW w:w="1141" w:type="dxa"/>
            <w:noWrap/>
            <w:hideMark/>
          </w:tcPr>
          <w:p w14:paraId="1E80327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12</w:t>
            </w:r>
          </w:p>
        </w:tc>
        <w:tc>
          <w:tcPr>
            <w:tcW w:w="799" w:type="dxa"/>
            <w:noWrap/>
            <w:hideMark/>
          </w:tcPr>
          <w:p w14:paraId="371CEB5A"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48</w:t>
            </w:r>
          </w:p>
        </w:tc>
        <w:tc>
          <w:tcPr>
            <w:tcW w:w="1231" w:type="dxa"/>
            <w:noWrap/>
            <w:hideMark/>
          </w:tcPr>
          <w:p w14:paraId="6B7DB9A7"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189</w:t>
            </w:r>
          </w:p>
        </w:tc>
        <w:tc>
          <w:tcPr>
            <w:tcW w:w="1116" w:type="dxa"/>
            <w:noWrap/>
            <w:hideMark/>
          </w:tcPr>
          <w:p w14:paraId="51483354"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251</w:t>
            </w:r>
          </w:p>
        </w:tc>
      </w:tr>
      <w:tr w:rsidR="002E3225" w:rsidRPr="00211A44" w14:paraId="279BFD54" w14:textId="77777777" w:rsidTr="002E3225">
        <w:trPr>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66C7EA4C" w14:textId="77777777" w:rsidR="009E44BC" w:rsidRPr="00211A44" w:rsidRDefault="009E44BC" w:rsidP="00A7449F">
            <w:pPr>
              <w:pStyle w:val="Sansinterligne"/>
              <w:rPr>
                <w:rFonts w:cstheme="minorHAnsi"/>
              </w:rPr>
            </w:pPr>
            <w:r w:rsidRPr="00211A44">
              <w:rPr>
                <w:rFonts w:cstheme="minorHAnsi"/>
              </w:rPr>
              <w:t>Nord</w:t>
            </w:r>
          </w:p>
        </w:tc>
        <w:tc>
          <w:tcPr>
            <w:tcW w:w="817" w:type="dxa"/>
            <w:noWrap/>
            <w:hideMark/>
          </w:tcPr>
          <w:p w14:paraId="1E7451BC"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15</w:t>
            </w:r>
          </w:p>
        </w:tc>
        <w:tc>
          <w:tcPr>
            <w:tcW w:w="817" w:type="dxa"/>
            <w:noWrap/>
            <w:hideMark/>
          </w:tcPr>
          <w:p w14:paraId="6F7050E4"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146</w:t>
            </w:r>
          </w:p>
        </w:tc>
        <w:tc>
          <w:tcPr>
            <w:tcW w:w="817" w:type="dxa"/>
            <w:noWrap/>
            <w:hideMark/>
          </w:tcPr>
          <w:p w14:paraId="42DC327D"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256</w:t>
            </w:r>
          </w:p>
        </w:tc>
        <w:tc>
          <w:tcPr>
            <w:tcW w:w="1141" w:type="dxa"/>
            <w:noWrap/>
            <w:hideMark/>
          </w:tcPr>
          <w:p w14:paraId="1489C266"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w:t>
            </w:r>
          </w:p>
        </w:tc>
        <w:tc>
          <w:tcPr>
            <w:tcW w:w="1141" w:type="dxa"/>
            <w:noWrap/>
            <w:hideMark/>
          </w:tcPr>
          <w:p w14:paraId="03F3867F"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8</w:t>
            </w:r>
          </w:p>
        </w:tc>
        <w:tc>
          <w:tcPr>
            <w:tcW w:w="799" w:type="dxa"/>
            <w:noWrap/>
            <w:hideMark/>
          </w:tcPr>
          <w:p w14:paraId="307B5588"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30</w:t>
            </w:r>
          </w:p>
        </w:tc>
        <w:tc>
          <w:tcPr>
            <w:tcW w:w="1231" w:type="dxa"/>
            <w:noWrap/>
            <w:hideMark/>
          </w:tcPr>
          <w:p w14:paraId="068D205F"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146</w:t>
            </w:r>
          </w:p>
        </w:tc>
        <w:tc>
          <w:tcPr>
            <w:tcW w:w="1116" w:type="dxa"/>
            <w:noWrap/>
            <w:hideMark/>
          </w:tcPr>
          <w:p w14:paraId="6F1F8771"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185</w:t>
            </w:r>
          </w:p>
        </w:tc>
      </w:tr>
      <w:tr w:rsidR="002E3225" w:rsidRPr="00211A44" w14:paraId="7EF9E3BF"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26523BFC" w14:textId="77777777" w:rsidR="009E44BC" w:rsidRPr="00211A44" w:rsidRDefault="009E44BC" w:rsidP="00A7449F">
            <w:pPr>
              <w:pStyle w:val="Sansinterligne"/>
              <w:rPr>
                <w:rFonts w:cstheme="minorHAnsi"/>
              </w:rPr>
            </w:pPr>
            <w:r w:rsidRPr="00211A44">
              <w:rPr>
                <w:rFonts w:cstheme="minorHAnsi"/>
              </w:rPr>
              <w:t>Nord-Ouest</w:t>
            </w:r>
          </w:p>
        </w:tc>
        <w:tc>
          <w:tcPr>
            <w:tcW w:w="817" w:type="dxa"/>
            <w:noWrap/>
            <w:hideMark/>
          </w:tcPr>
          <w:p w14:paraId="3BD3FC6D"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20</w:t>
            </w:r>
          </w:p>
        </w:tc>
        <w:tc>
          <w:tcPr>
            <w:tcW w:w="817" w:type="dxa"/>
            <w:noWrap/>
            <w:hideMark/>
          </w:tcPr>
          <w:p w14:paraId="4E87BF2F"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234</w:t>
            </w:r>
          </w:p>
        </w:tc>
        <w:tc>
          <w:tcPr>
            <w:tcW w:w="817" w:type="dxa"/>
            <w:noWrap/>
            <w:hideMark/>
          </w:tcPr>
          <w:p w14:paraId="48BE42E5"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317</w:t>
            </w:r>
          </w:p>
        </w:tc>
        <w:tc>
          <w:tcPr>
            <w:tcW w:w="1141" w:type="dxa"/>
            <w:noWrap/>
            <w:hideMark/>
          </w:tcPr>
          <w:p w14:paraId="4619165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w:t>
            </w:r>
          </w:p>
        </w:tc>
        <w:tc>
          <w:tcPr>
            <w:tcW w:w="1141" w:type="dxa"/>
            <w:noWrap/>
            <w:hideMark/>
          </w:tcPr>
          <w:p w14:paraId="4B7B0EED"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w:t>
            </w:r>
          </w:p>
        </w:tc>
        <w:tc>
          <w:tcPr>
            <w:tcW w:w="799" w:type="dxa"/>
            <w:noWrap/>
            <w:hideMark/>
          </w:tcPr>
          <w:p w14:paraId="4AF87596"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40</w:t>
            </w:r>
          </w:p>
        </w:tc>
        <w:tc>
          <w:tcPr>
            <w:tcW w:w="1231" w:type="dxa"/>
            <w:noWrap/>
            <w:hideMark/>
          </w:tcPr>
          <w:p w14:paraId="38C3CD04"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234</w:t>
            </w:r>
          </w:p>
        </w:tc>
        <w:tc>
          <w:tcPr>
            <w:tcW w:w="1116" w:type="dxa"/>
            <w:noWrap/>
            <w:hideMark/>
          </w:tcPr>
          <w:p w14:paraId="4A9CDDE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285</w:t>
            </w:r>
          </w:p>
        </w:tc>
      </w:tr>
      <w:tr w:rsidR="002E3225" w:rsidRPr="00211A44" w14:paraId="0E4DBE39" w14:textId="77777777" w:rsidTr="002E3225">
        <w:trPr>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3A307C1" w14:textId="77777777" w:rsidR="009E44BC" w:rsidRPr="00211A44" w:rsidRDefault="009E44BC" w:rsidP="00A7449F">
            <w:pPr>
              <w:pStyle w:val="Sansinterligne"/>
              <w:rPr>
                <w:rFonts w:cstheme="minorHAnsi"/>
              </w:rPr>
            </w:pPr>
            <w:r w:rsidRPr="00211A44">
              <w:rPr>
                <w:rFonts w:cstheme="minorHAnsi"/>
              </w:rPr>
              <w:t>Ouest</w:t>
            </w:r>
          </w:p>
        </w:tc>
        <w:tc>
          <w:tcPr>
            <w:tcW w:w="817" w:type="dxa"/>
            <w:noWrap/>
            <w:hideMark/>
          </w:tcPr>
          <w:p w14:paraId="306D4A36"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20</w:t>
            </w:r>
          </w:p>
        </w:tc>
        <w:tc>
          <w:tcPr>
            <w:tcW w:w="817" w:type="dxa"/>
            <w:noWrap/>
            <w:hideMark/>
          </w:tcPr>
          <w:p w14:paraId="6BC4BDF3"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235</w:t>
            </w:r>
          </w:p>
        </w:tc>
        <w:tc>
          <w:tcPr>
            <w:tcW w:w="817" w:type="dxa"/>
            <w:noWrap/>
            <w:hideMark/>
          </w:tcPr>
          <w:p w14:paraId="75B8064A"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601</w:t>
            </w:r>
          </w:p>
        </w:tc>
        <w:tc>
          <w:tcPr>
            <w:tcW w:w="1141" w:type="dxa"/>
            <w:noWrap/>
            <w:hideMark/>
          </w:tcPr>
          <w:p w14:paraId="2FD63E31"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w:t>
            </w:r>
          </w:p>
        </w:tc>
        <w:tc>
          <w:tcPr>
            <w:tcW w:w="1141" w:type="dxa"/>
            <w:noWrap/>
            <w:hideMark/>
          </w:tcPr>
          <w:p w14:paraId="491CBAA3"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10</w:t>
            </w:r>
          </w:p>
        </w:tc>
        <w:tc>
          <w:tcPr>
            <w:tcW w:w="799" w:type="dxa"/>
            <w:noWrap/>
            <w:hideMark/>
          </w:tcPr>
          <w:p w14:paraId="6E30DB13"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40</w:t>
            </w:r>
          </w:p>
        </w:tc>
        <w:tc>
          <w:tcPr>
            <w:tcW w:w="1231" w:type="dxa"/>
            <w:noWrap/>
            <w:hideMark/>
          </w:tcPr>
          <w:p w14:paraId="63515C44"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235</w:t>
            </w:r>
          </w:p>
        </w:tc>
        <w:tc>
          <w:tcPr>
            <w:tcW w:w="1116" w:type="dxa"/>
            <w:noWrap/>
            <w:hideMark/>
          </w:tcPr>
          <w:p w14:paraId="434D79FD"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286</w:t>
            </w:r>
          </w:p>
        </w:tc>
      </w:tr>
      <w:tr w:rsidR="002E3225" w:rsidRPr="00211A44" w14:paraId="1B9B7331"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78745FB" w14:textId="77777777" w:rsidR="009E44BC" w:rsidRPr="00211A44" w:rsidRDefault="009E44BC" w:rsidP="00A7449F">
            <w:pPr>
              <w:pStyle w:val="Sansinterligne"/>
              <w:rPr>
                <w:rFonts w:cstheme="minorHAnsi"/>
              </w:rPr>
            </w:pPr>
            <w:r w:rsidRPr="00211A44">
              <w:rPr>
                <w:rFonts w:cstheme="minorHAnsi"/>
              </w:rPr>
              <w:t>Sud</w:t>
            </w:r>
          </w:p>
        </w:tc>
        <w:tc>
          <w:tcPr>
            <w:tcW w:w="817" w:type="dxa"/>
            <w:noWrap/>
            <w:hideMark/>
          </w:tcPr>
          <w:p w14:paraId="7B948DA4"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w:t>
            </w:r>
          </w:p>
        </w:tc>
        <w:tc>
          <w:tcPr>
            <w:tcW w:w="817" w:type="dxa"/>
            <w:noWrap/>
            <w:hideMark/>
          </w:tcPr>
          <w:p w14:paraId="0D0AB62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104</w:t>
            </w:r>
          </w:p>
        </w:tc>
        <w:tc>
          <w:tcPr>
            <w:tcW w:w="817" w:type="dxa"/>
            <w:noWrap/>
            <w:hideMark/>
          </w:tcPr>
          <w:p w14:paraId="6EFACD75"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196</w:t>
            </w:r>
          </w:p>
        </w:tc>
        <w:tc>
          <w:tcPr>
            <w:tcW w:w="1141" w:type="dxa"/>
            <w:noWrap/>
            <w:hideMark/>
          </w:tcPr>
          <w:p w14:paraId="26A8F2CC"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w:t>
            </w:r>
          </w:p>
        </w:tc>
        <w:tc>
          <w:tcPr>
            <w:tcW w:w="1141" w:type="dxa"/>
            <w:noWrap/>
            <w:hideMark/>
          </w:tcPr>
          <w:p w14:paraId="3A77482A"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5</w:t>
            </w:r>
          </w:p>
        </w:tc>
        <w:tc>
          <w:tcPr>
            <w:tcW w:w="799" w:type="dxa"/>
            <w:noWrap/>
            <w:hideMark/>
          </w:tcPr>
          <w:p w14:paraId="0D1834C0"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20</w:t>
            </w:r>
          </w:p>
        </w:tc>
        <w:tc>
          <w:tcPr>
            <w:tcW w:w="1231" w:type="dxa"/>
            <w:noWrap/>
            <w:hideMark/>
          </w:tcPr>
          <w:p w14:paraId="74AC53C8"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104</w:t>
            </w:r>
          </w:p>
        </w:tc>
        <w:tc>
          <w:tcPr>
            <w:tcW w:w="1116" w:type="dxa"/>
            <w:noWrap/>
            <w:hideMark/>
          </w:tcPr>
          <w:p w14:paraId="12171C0A"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130</w:t>
            </w:r>
          </w:p>
        </w:tc>
      </w:tr>
      <w:tr w:rsidR="002E3225" w:rsidRPr="00211A44" w14:paraId="31060EF8" w14:textId="77777777" w:rsidTr="002E3225">
        <w:trPr>
          <w:trHeight w:val="99"/>
        </w:trPr>
        <w:tc>
          <w:tcPr>
            <w:cnfStyle w:val="001000000000" w:firstRow="0" w:lastRow="0" w:firstColumn="1" w:lastColumn="0" w:oddVBand="0" w:evenVBand="0" w:oddHBand="0" w:evenHBand="0" w:firstRowFirstColumn="0" w:firstRowLastColumn="0" w:lastRowFirstColumn="0" w:lastRowLastColumn="0"/>
            <w:tcW w:w="1195" w:type="dxa"/>
            <w:noWrap/>
            <w:hideMark/>
          </w:tcPr>
          <w:p w14:paraId="359EE42F" w14:textId="77777777" w:rsidR="009E44BC" w:rsidRPr="00211A44" w:rsidRDefault="009E44BC" w:rsidP="00A7449F">
            <w:pPr>
              <w:pStyle w:val="Sansinterligne"/>
              <w:rPr>
                <w:rFonts w:cstheme="minorHAnsi"/>
              </w:rPr>
            </w:pPr>
            <w:r w:rsidRPr="00211A44">
              <w:rPr>
                <w:rFonts w:cstheme="minorHAnsi"/>
              </w:rPr>
              <w:t>Sud-Ouest</w:t>
            </w:r>
          </w:p>
        </w:tc>
        <w:tc>
          <w:tcPr>
            <w:tcW w:w="817" w:type="dxa"/>
            <w:noWrap/>
            <w:hideMark/>
          </w:tcPr>
          <w:p w14:paraId="2BA4C08F"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19</w:t>
            </w:r>
          </w:p>
        </w:tc>
        <w:tc>
          <w:tcPr>
            <w:tcW w:w="817" w:type="dxa"/>
            <w:noWrap/>
            <w:hideMark/>
          </w:tcPr>
          <w:p w14:paraId="6A7BED7C"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117</w:t>
            </w:r>
          </w:p>
        </w:tc>
        <w:tc>
          <w:tcPr>
            <w:tcW w:w="817" w:type="dxa"/>
            <w:noWrap/>
            <w:hideMark/>
          </w:tcPr>
          <w:p w14:paraId="2F52AF73"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225</w:t>
            </w:r>
          </w:p>
        </w:tc>
        <w:tc>
          <w:tcPr>
            <w:tcW w:w="1141" w:type="dxa"/>
            <w:noWrap/>
            <w:hideMark/>
          </w:tcPr>
          <w:p w14:paraId="12219CDB"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w:t>
            </w:r>
          </w:p>
        </w:tc>
        <w:tc>
          <w:tcPr>
            <w:tcW w:w="1141" w:type="dxa"/>
            <w:noWrap/>
            <w:hideMark/>
          </w:tcPr>
          <w:p w14:paraId="2E8B3B60"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10</w:t>
            </w:r>
          </w:p>
        </w:tc>
        <w:tc>
          <w:tcPr>
            <w:tcW w:w="799" w:type="dxa"/>
            <w:noWrap/>
            <w:hideMark/>
          </w:tcPr>
          <w:p w14:paraId="2E71A619"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38</w:t>
            </w:r>
          </w:p>
        </w:tc>
        <w:tc>
          <w:tcPr>
            <w:tcW w:w="1231" w:type="dxa"/>
            <w:noWrap/>
            <w:hideMark/>
          </w:tcPr>
          <w:p w14:paraId="58FDC6DA"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117</w:t>
            </w:r>
          </w:p>
        </w:tc>
        <w:tc>
          <w:tcPr>
            <w:tcW w:w="1116" w:type="dxa"/>
            <w:noWrap/>
            <w:hideMark/>
          </w:tcPr>
          <w:p w14:paraId="1AC274C3" w14:textId="77777777" w:rsidR="009E44BC" w:rsidRPr="00211A44" w:rsidRDefault="009E44BC" w:rsidP="00A7449F">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rPr>
            </w:pPr>
            <w:r w:rsidRPr="00211A44">
              <w:rPr>
                <w:rFonts w:cstheme="minorHAnsi"/>
              </w:rPr>
              <w:t>166</w:t>
            </w:r>
          </w:p>
        </w:tc>
      </w:tr>
      <w:tr w:rsidR="002E3225" w:rsidRPr="00211A44" w14:paraId="0F189CF4"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5079076D" w14:textId="77777777" w:rsidR="009E44BC" w:rsidRPr="00211A44" w:rsidRDefault="009E44BC" w:rsidP="00A7449F">
            <w:pPr>
              <w:pStyle w:val="Sansinterligne"/>
              <w:rPr>
                <w:rFonts w:cstheme="minorHAnsi"/>
                <w:b w:val="0"/>
                <w:bCs w:val="0"/>
              </w:rPr>
            </w:pPr>
            <w:r w:rsidRPr="00211A44">
              <w:rPr>
                <w:rFonts w:cstheme="minorHAnsi"/>
                <w:b w:val="0"/>
                <w:bCs w:val="0"/>
              </w:rPr>
              <w:t>Total</w:t>
            </w:r>
          </w:p>
        </w:tc>
        <w:tc>
          <w:tcPr>
            <w:tcW w:w="817" w:type="dxa"/>
            <w:noWrap/>
            <w:hideMark/>
          </w:tcPr>
          <w:p w14:paraId="4E1EB770"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197</w:t>
            </w:r>
          </w:p>
        </w:tc>
        <w:tc>
          <w:tcPr>
            <w:tcW w:w="817" w:type="dxa"/>
            <w:noWrap/>
            <w:hideMark/>
          </w:tcPr>
          <w:p w14:paraId="0B703189"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1814</w:t>
            </w:r>
          </w:p>
        </w:tc>
        <w:tc>
          <w:tcPr>
            <w:tcW w:w="817" w:type="dxa"/>
            <w:noWrap/>
            <w:hideMark/>
          </w:tcPr>
          <w:p w14:paraId="6A29132F"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4144</w:t>
            </w:r>
          </w:p>
        </w:tc>
        <w:tc>
          <w:tcPr>
            <w:tcW w:w="1141" w:type="dxa"/>
            <w:noWrap/>
            <w:hideMark/>
          </w:tcPr>
          <w:p w14:paraId="44D1D7AD"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13</w:t>
            </w:r>
          </w:p>
        </w:tc>
        <w:tc>
          <w:tcPr>
            <w:tcW w:w="1141" w:type="dxa"/>
            <w:noWrap/>
            <w:hideMark/>
          </w:tcPr>
          <w:p w14:paraId="414BED60"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100</w:t>
            </w:r>
          </w:p>
        </w:tc>
        <w:tc>
          <w:tcPr>
            <w:tcW w:w="799" w:type="dxa"/>
            <w:noWrap/>
            <w:hideMark/>
          </w:tcPr>
          <w:p w14:paraId="18DE5A70"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394</w:t>
            </w:r>
          </w:p>
        </w:tc>
        <w:tc>
          <w:tcPr>
            <w:tcW w:w="1231" w:type="dxa"/>
            <w:noWrap/>
            <w:hideMark/>
          </w:tcPr>
          <w:p w14:paraId="25403702"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1814</w:t>
            </w:r>
          </w:p>
        </w:tc>
        <w:tc>
          <w:tcPr>
            <w:tcW w:w="1116" w:type="dxa"/>
            <w:noWrap/>
            <w:hideMark/>
          </w:tcPr>
          <w:p w14:paraId="2B8B03AC" w14:textId="77777777" w:rsidR="009E44BC" w:rsidRPr="00211A44" w:rsidRDefault="009E44BC" w:rsidP="00A7449F">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rPr>
            </w:pPr>
            <w:r w:rsidRPr="00211A44">
              <w:rPr>
                <w:rFonts w:cstheme="minorHAnsi"/>
              </w:rPr>
              <w:t>2321</w:t>
            </w:r>
          </w:p>
        </w:tc>
      </w:tr>
    </w:tbl>
    <w:p w14:paraId="08D79A72" w14:textId="3DAF6A0B" w:rsidR="009E44BC" w:rsidRDefault="005D5B3E" w:rsidP="005D5B3E">
      <w:pPr>
        <w:spacing w:before="240" w:after="240" w:line="276" w:lineRule="auto"/>
        <w:jc w:val="both"/>
        <w:rPr>
          <w:rFonts w:asciiTheme="minorHAnsi" w:hAnsiTheme="minorHAnsi" w:cstheme="minorHAnsi"/>
          <w:lang w:val="fr-FR"/>
        </w:rPr>
      </w:pPr>
      <w:r w:rsidRPr="00CB006B">
        <w:rPr>
          <w:rFonts w:asciiTheme="minorHAnsi" w:hAnsiTheme="minorHAnsi" w:cstheme="minorHAnsi"/>
          <w:lang w:val="fr-FR"/>
        </w:rPr>
        <w:t xml:space="preserve">Idéalement, la session de </w:t>
      </w:r>
      <w:proofErr w:type="gramStart"/>
      <w:r w:rsidRPr="00CB006B">
        <w:rPr>
          <w:rFonts w:asciiTheme="minorHAnsi" w:hAnsiTheme="minorHAnsi" w:cstheme="minorHAnsi"/>
          <w:lang w:val="fr-FR"/>
        </w:rPr>
        <w:t>briefing</w:t>
      </w:r>
      <w:proofErr w:type="gramEnd"/>
      <w:r w:rsidRPr="00CB006B">
        <w:rPr>
          <w:rFonts w:asciiTheme="minorHAnsi" w:hAnsiTheme="minorHAnsi" w:cstheme="minorHAnsi"/>
          <w:lang w:val="fr-FR"/>
        </w:rPr>
        <w:t xml:space="preserve"> du niveau opérationnel devrait inclure toutes les 4144 formations sanitaires qui offrent les services de vaccination dans tout le pays. </w:t>
      </w:r>
      <w:r w:rsidR="00874403" w:rsidRPr="00CB006B">
        <w:rPr>
          <w:rFonts w:asciiTheme="minorHAnsi" w:hAnsiTheme="minorHAnsi" w:cstheme="minorHAnsi"/>
          <w:lang w:val="fr-FR"/>
        </w:rPr>
        <w:t xml:space="preserve">Le budget étant limité pour inclure toutes les formations sanitaires, seuls les responsables des Aires de Santé participeront aux formations au niveau du District.  </w:t>
      </w:r>
      <w:r w:rsidR="00C0454A" w:rsidRPr="00CB006B">
        <w:rPr>
          <w:rFonts w:asciiTheme="minorHAnsi" w:hAnsiTheme="minorHAnsi" w:cstheme="minorHAnsi"/>
          <w:lang w:val="fr-FR"/>
        </w:rPr>
        <w:t xml:space="preserve">Les responsables des Aires de Santé profiteront des réunions à l’occasion d’autre évènement comme les campagnes de vaccination contre la polio pour briefer les personnels de santé en charge de vaccination et distribuer les supports de formation et les affiches. </w:t>
      </w:r>
    </w:p>
    <w:p w14:paraId="0D840E6D" w14:textId="59129D50" w:rsidR="002E3225" w:rsidRPr="002E3225" w:rsidRDefault="002E3225" w:rsidP="002E3225">
      <w:pPr>
        <w:pStyle w:val="Lgende"/>
        <w:spacing w:before="240" w:after="0"/>
        <w:rPr>
          <w:rFonts w:cstheme="minorHAnsi"/>
          <w:color w:val="000000" w:themeColor="text1"/>
          <w:sz w:val="28"/>
          <w:szCs w:val="28"/>
          <w:lang w:val="fr-FR"/>
        </w:rPr>
      </w:pPr>
      <w:r w:rsidRPr="00211A44">
        <w:rPr>
          <w:rFonts w:cstheme="minorHAnsi"/>
          <w:sz w:val="20"/>
          <w:szCs w:val="20"/>
        </w:rPr>
        <w:t xml:space="preserve">Tableau </w:t>
      </w:r>
      <w:r w:rsidR="00442E22">
        <w:rPr>
          <w:rFonts w:cstheme="minorHAnsi"/>
          <w:sz w:val="20"/>
          <w:szCs w:val="20"/>
        </w:rPr>
        <w:t>3</w:t>
      </w:r>
      <w:r w:rsidRPr="00211A44">
        <w:rPr>
          <w:rFonts w:cstheme="minorHAnsi"/>
          <w:sz w:val="20"/>
          <w:szCs w:val="20"/>
        </w:rPr>
        <w:t xml:space="preserve">:  </w:t>
      </w:r>
      <w:r>
        <w:rPr>
          <w:rFonts w:cstheme="minorHAnsi"/>
          <w:sz w:val="20"/>
          <w:szCs w:val="20"/>
        </w:rPr>
        <w:t>Profil des participants et des facilitateurs aux sessions de briefing</w:t>
      </w:r>
      <w:r w:rsidRPr="00211A44">
        <w:rPr>
          <w:rFonts w:cstheme="minorHAnsi"/>
          <w:sz w:val="20"/>
          <w:szCs w:val="20"/>
        </w:rPr>
        <w:t> </w:t>
      </w:r>
    </w:p>
    <w:tbl>
      <w:tblPr>
        <w:tblStyle w:val="TableauListe2-Accentuation1"/>
        <w:tblW w:w="9102" w:type="dxa"/>
        <w:tblLook w:val="04A0" w:firstRow="1" w:lastRow="0" w:firstColumn="1" w:lastColumn="0" w:noHBand="0" w:noVBand="1"/>
      </w:tblPr>
      <w:tblGrid>
        <w:gridCol w:w="1047"/>
        <w:gridCol w:w="4867"/>
        <w:gridCol w:w="3188"/>
      </w:tblGrid>
      <w:tr w:rsidR="002E3225" w:rsidRPr="00AA2661" w14:paraId="333B0A03" w14:textId="77777777" w:rsidTr="00AA2661">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4233C29D" w14:textId="10076152" w:rsidR="002E3225" w:rsidRPr="00AA2661" w:rsidRDefault="002E3225" w:rsidP="002E3225">
            <w:pPr>
              <w:pStyle w:val="Sansinterligne"/>
              <w:rPr>
                <w:lang w:val="fr-FR"/>
              </w:rPr>
            </w:pPr>
            <w:r w:rsidRPr="00AA2661">
              <w:rPr>
                <w:lang w:val="fr-FR"/>
              </w:rPr>
              <w:t>Niveau</w:t>
            </w:r>
          </w:p>
        </w:tc>
        <w:tc>
          <w:tcPr>
            <w:tcW w:w="4867" w:type="dxa"/>
          </w:tcPr>
          <w:p w14:paraId="56BDC631" w14:textId="70B75DCE" w:rsidR="002E3225" w:rsidRPr="00AA2661" w:rsidRDefault="002E3225" w:rsidP="002E3225">
            <w:pPr>
              <w:pStyle w:val="Sansinterligne"/>
              <w:cnfStyle w:val="100000000000" w:firstRow="1" w:lastRow="0" w:firstColumn="0" w:lastColumn="0" w:oddVBand="0" w:evenVBand="0" w:oddHBand="0" w:evenHBand="0" w:firstRowFirstColumn="0" w:firstRowLastColumn="0" w:lastRowFirstColumn="0" w:lastRowLastColumn="0"/>
              <w:rPr>
                <w:lang w:val="fr-FR"/>
              </w:rPr>
            </w:pPr>
            <w:r w:rsidRPr="00AA2661">
              <w:rPr>
                <w:lang w:val="fr-FR"/>
              </w:rPr>
              <w:t>Profil des participants</w:t>
            </w:r>
          </w:p>
        </w:tc>
        <w:tc>
          <w:tcPr>
            <w:tcW w:w="3188" w:type="dxa"/>
          </w:tcPr>
          <w:p w14:paraId="496938BE" w14:textId="1EC4DF8F" w:rsidR="002E3225" w:rsidRPr="00AA2661" w:rsidRDefault="002E3225" w:rsidP="002E3225">
            <w:pPr>
              <w:pStyle w:val="Sansinterligne"/>
              <w:cnfStyle w:val="100000000000" w:firstRow="1" w:lastRow="0" w:firstColumn="0" w:lastColumn="0" w:oddVBand="0" w:evenVBand="0" w:oddHBand="0" w:evenHBand="0" w:firstRowFirstColumn="0" w:firstRowLastColumn="0" w:lastRowFirstColumn="0" w:lastRowLastColumn="0"/>
              <w:rPr>
                <w:lang w:val="fr-FR"/>
              </w:rPr>
            </w:pPr>
            <w:r w:rsidRPr="00AA2661">
              <w:rPr>
                <w:lang w:val="fr-FR"/>
              </w:rPr>
              <w:t>Profil des facilitateurs</w:t>
            </w:r>
          </w:p>
        </w:tc>
      </w:tr>
      <w:tr w:rsidR="002E3225" w:rsidRPr="00AA2661" w14:paraId="7C427EF9" w14:textId="77777777" w:rsidTr="00AA266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3AA8E4AE" w14:textId="78696871" w:rsidR="002E3225" w:rsidRPr="00AA2661" w:rsidRDefault="002E3225" w:rsidP="002E3225">
            <w:pPr>
              <w:pStyle w:val="Sansinterligne"/>
              <w:rPr>
                <w:lang w:val="fr-FR"/>
              </w:rPr>
            </w:pPr>
            <w:r w:rsidRPr="00AA2661">
              <w:rPr>
                <w:lang w:val="fr-FR"/>
              </w:rPr>
              <w:t>Régional</w:t>
            </w:r>
          </w:p>
        </w:tc>
        <w:tc>
          <w:tcPr>
            <w:tcW w:w="4867" w:type="dxa"/>
          </w:tcPr>
          <w:p w14:paraId="283F2CDD" w14:textId="566C5762" w:rsidR="002E3225" w:rsidRPr="00AA2661" w:rsidRDefault="002E3225" w:rsidP="002E3225">
            <w:pPr>
              <w:pStyle w:val="Sansinterligne"/>
              <w:numPr>
                <w:ilvl w:val="0"/>
                <w:numId w:val="15"/>
              </w:numPr>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10 Groupes Techniques centraux</w:t>
            </w:r>
          </w:p>
          <w:p w14:paraId="7A2FDFCB" w14:textId="15613E25" w:rsidR="002E3225" w:rsidRPr="00AA2661" w:rsidRDefault="002E3225" w:rsidP="002E3225">
            <w:pPr>
              <w:pStyle w:val="Sansinterligne"/>
              <w:numPr>
                <w:ilvl w:val="0"/>
                <w:numId w:val="15"/>
              </w:numPr>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 xml:space="preserve">197 Chef des Districts de Santé (composé de Médecins, Pharmaciens et Administrateurs de la Santé), </w:t>
            </w:r>
          </w:p>
          <w:p w14:paraId="634B016E" w14:textId="77777777" w:rsidR="002E3225" w:rsidRPr="00AA2661" w:rsidRDefault="002E3225" w:rsidP="002E3225">
            <w:pPr>
              <w:pStyle w:val="Sansinterligne"/>
              <w:numPr>
                <w:ilvl w:val="0"/>
                <w:numId w:val="15"/>
              </w:numPr>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197 Chef Bureau santé, (responsables de la gestion des données et de suivi des micro plans des DS)</w:t>
            </w:r>
          </w:p>
          <w:p w14:paraId="7C59A9D2" w14:textId="1181E0E1" w:rsidR="002E3225" w:rsidRPr="00AA2661" w:rsidRDefault="002E3225" w:rsidP="002E3225">
            <w:pPr>
              <w:pStyle w:val="Sansinterligne"/>
              <w:numPr>
                <w:ilvl w:val="0"/>
                <w:numId w:val="15"/>
              </w:numPr>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 xml:space="preserve">100 Superviseurs régionaux des activités de vaccination, pour appuyer les sessions </w:t>
            </w:r>
            <w:proofErr w:type="gramStart"/>
            <w:r w:rsidRPr="00AA2661">
              <w:rPr>
                <w:lang w:val="fr-FR"/>
              </w:rPr>
              <w:t>briefing</w:t>
            </w:r>
            <w:proofErr w:type="gramEnd"/>
            <w:r w:rsidRPr="00AA2661">
              <w:rPr>
                <w:lang w:val="fr-FR"/>
              </w:rPr>
              <w:t xml:space="preserve"> au niveau des DS où l’Équipe cadre de District manque des capacités techniques suffisante pour le faire</w:t>
            </w:r>
          </w:p>
        </w:tc>
        <w:tc>
          <w:tcPr>
            <w:tcW w:w="3188" w:type="dxa"/>
          </w:tcPr>
          <w:p w14:paraId="4687171F" w14:textId="77777777" w:rsidR="002E3225" w:rsidRPr="00AA2661" w:rsidRDefault="002E3225" w:rsidP="002E3225">
            <w:pPr>
              <w:pStyle w:val="Sansinterligne"/>
              <w:numPr>
                <w:ilvl w:val="0"/>
                <w:numId w:val="15"/>
              </w:numPr>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 xml:space="preserve">13 facilitateurs centraux, </w:t>
            </w:r>
          </w:p>
          <w:p w14:paraId="16D4C97D" w14:textId="7ECE45D1" w:rsidR="002E3225" w:rsidRPr="00AA2661" w:rsidRDefault="002E3225" w:rsidP="002E3225">
            <w:pPr>
              <w:pStyle w:val="Sansinterligne"/>
              <w:cnfStyle w:val="000000100000" w:firstRow="0" w:lastRow="0" w:firstColumn="0" w:lastColumn="0" w:oddVBand="0" w:evenVBand="0" w:oddHBand="1" w:evenHBand="0" w:firstRowFirstColumn="0" w:firstRowLastColumn="0" w:lastRowFirstColumn="0" w:lastRowLastColumn="0"/>
              <w:rPr>
                <w:lang w:val="fr-FR"/>
              </w:rPr>
            </w:pPr>
            <w:r w:rsidRPr="00AA2661">
              <w:rPr>
                <w:lang w:val="fr-FR"/>
              </w:rPr>
              <w:t>Les Régions de l’Extrême Nord, du Littoral et du Centre auront chacun 2 sessions</w:t>
            </w:r>
          </w:p>
        </w:tc>
      </w:tr>
      <w:tr w:rsidR="002E3225" w:rsidRPr="00AA2661" w14:paraId="2D5EC50D" w14:textId="77777777" w:rsidTr="00AA2661">
        <w:trPr>
          <w:trHeight w:val="124"/>
        </w:trPr>
        <w:tc>
          <w:tcPr>
            <w:cnfStyle w:val="001000000000" w:firstRow="0" w:lastRow="0" w:firstColumn="1" w:lastColumn="0" w:oddVBand="0" w:evenVBand="0" w:oddHBand="0" w:evenHBand="0" w:firstRowFirstColumn="0" w:firstRowLastColumn="0" w:lastRowFirstColumn="0" w:lastRowLastColumn="0"/>
            <w:tcW w:w="1047" w:type="dxa"/>
          </w:tcPr>
          <w:p w14:paraId="717E9775" w14:textId="3BCF2F82" w:rsidR="002E3225" w:rsidRPr="00AA2661" w:rsidRDefault="002E3225" w:rsidP="002E3225">
            <w:pPr>
              <w:pStyle w:val="Sansinterligne"/>
              <w:rPr>
                <w:lang w:val="fr-FR"/>
              </w:rPr>
            </w:pPr>
            <w:r w:rsidRPr="00AA2661">
              <w:rPr>
                <w:lang w:val="fr-FR"/>
              </w:rPr>
              <w:t>District de Santé</w:t>
            </w:r>
          </w:p>
        </w:tc>
        <w:tc>
          <w:tcPr>
            <w:tcW w:w="4867" w:type="dxa"/>
          </w:tcPr>
          <w:p w14:paraId="20854583" w14:textId="65D7AB49" w:rsidR="002E3225" w:rsidRPr="00AA2661" w:rsidRDefault="002E3225" w:rsidP="002E3225">
            <w:pPr>
              <w:pStyle w:val="Sansinterligne"/>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AA2661">
              <w:rPr>
                <w:lang w:val="fr-FR"/>
              </w:rPr>
              <w:t>1814 Responsables des Aires de Santé</w:t>
            </w:r>
          </w:p>
        </w:tc>
        <w:tc>
          <w:tcPr>
            <w:tcW w:w="3188" w:type="dxa"/>
          </w:tcPr>
          <w:p w14:paraId="51CD02D6" w14:textId="3607FDF0" w:rsidR="002E3225" w:rsidRPr="00AA2661" w:rsidRDefault="002E3225" w:rsidP="002E3225">
            <w:pPr>
              <w:pStyle w:val="Sansinterligne"/>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AA2661">
              <w:rPr>
                <w:lang w:val="fr-FR"/>
              </w:rPr>
              <w:t>197 Équipes cadre de District</w:t>
            </w:r>
          </w:p>
          <w:p w14:paraId="33C87C8C" w14:textId="317A98A6" w:rsidR="002E3225" w:rsidRPr="00AA2661" w:rsidRDefault="002E3225" w:rsidP="002E3225">
            <w:pPr>
              <w:pStyle w:val="Sansinterligne"/>
              <w:numPr>
                <w:ilvl w:val="0"/>
                <w:numId w:val="15"/>
              </w:numPr>
              <w:cnfStyle w:val="000000000000" w:firstRow="0" w:lastRow="0" w:firstColumn="0" w:lastColumn="0" w:oddVBand="0" w:evenVBand="0" w:oddHBand="0" w:evenHBand="0" w:firstRowFirstColumn="0" w:firstRowLastColumn="0" w:lastRowFirstColumn="0" w:lastRowLastColumn="0"/>
              <w:rPr>
                <w:lang w:val="fr-FR"/>
              </w:rPr>
            </w:pPr>
            <w:r w:rsidRPr="00AA2661">
              <w:rPr>
                <w:lang w:val="fr-FR"/>
              </w:rPr>
              <w:t>100 superviseurs régionaux des activités de vaccination</w:t>
            </w:r>
          </w:p>
        </w:tc>
      </w:tr>
    </w:tbl>
    <w:p w14:paraId="76CAC7CC" w14:textId="781E38EC" w:rsidR="007057E6" w:rsidRPr="00211A44" w:rsidRDefault="00466880" w:rsidP="00AE4ABF">
      <w:pPr>
        <w:pStyle w:val="Titre3"/>
        <w:numPr>
          <w:ilvl w:val="2"/>
          <w:numId w:val="3"/>
        </w:numPr>
        <w:pBdr>
          <w:bottom w:val="none" w:sz="0" w:space="0" w:color="auto"/>
        </w:pBdr>
        <w:spacing w:before="240" w:after="240"/>
        <w:ind w:left="1225" w:hanging="505"/>
        <w:rPr>
          <w:rFonts w:asciiTheme="minorHAnsi" w:hAnsiTheme="minorHAnsi" w:cstheme="minorHAnsi"/>
          <w:sz w:val="24"/>
          <w:szCs w:val="24"/>
          <w:lang w:val="fr-FR"/>
        </w:rPr>
      </w:pPr>
      <w:bookmarkStart w:id="11" w:name="_Toc97572944"/>
      <w:r w:rsidRPr="00211A44">
        <w:rPr>
          <w:rFonts w:asciiTheme="minorHAnsi" w:hAnsiTheme="minorHAnsi" w:cstheme="minorHAnsi"/>
          <w:sz w:val="24"/>
          <w:szCs w:val="24"/>
          <w:lang w:val="fr-FR"/>
        </w:rPr>
        <w:lastRenderedPageBreak/>
        <w:t>Vaccination en pratique</w:t>
      </w:r>
      <w:bookmarkEnd w:id="11"/>
      <w:r w:rsidRPr="00211A44">
        <w:rPr>
          <w:rFonts w:asciiTheme="minorHAnsi" w:hAnsiTheme="minorHAnsi" w:cstheme="minorHAnsi"/>
          <w:sz w:val="24"/>
          <w:szCs w:val="24"/>
          <w:lang w:val="fr-FR"/>
        </w:rPr>
        <w:t xml:space="preserve"> </w:t>
      </w:r>
    </w:p>
    <w:p w14:paraId="5EE208DB" w14:textId="40757DCD" w:rsidR="00D15927" w:rsidRPr="00211A44" w:rsidRDefault="00663E4A"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rPr>
        <w:t>La formation se fera en cascade du niveau central au niveau opérationnel.</w:t>
      </w:r>
      <w:r w:rsidR="00D15927" w:rsidRPr="00211A44">
        <w:rPr>
          <w:rFonts w:asciiTheme="minorHAnsi" w:eastAsia="Arial" w:hAnsiTheme="minorHAnsi" w:cstheme="minorHAnsi"/>
        </w:rPr>
        <w:t xml:space="preserve"> Avant les cascades de formation, un atelier de 03 jours sera organiser pour actualiser (i) les modules de formations sur la vaccination en pratique (ii) les outils de collectes et d’enregistrement des données (iii) les supports de communication pour la population et le personnel de santé (iv) et les guide pratique pour les mobilisateurs sociaux. </w:t>
      </w:r>
    </w:p>
    <w:p w14:paraId="2C8A0BB7" w14:textId="5CD96AB4" w:rsidR="00B06E9B" w:rsidRPr="00211A44" w:rsidRDefault="00B06E9B"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rPr>
        <w:t>Des réunions préparatoires avec les responsables régionaux seront organisées en prélude aux cascade de formation</w:t>
      </w:r>
      <w:r w:rsidR="00B62F38" w:rsidRPr="00211A44">
        <w:rPr>
          <w:rFonts w:asciiTheme="minorHAnsi" w:eastAsia="Arial" w:hAnsiTheme="minorHAnsi" w:cstheme="minorHAnsi"/>
          <w:i/>
          <w:iCs/>
        </w:rPr>
        <w:t xml:space="preserve"> en ligne. Trois (03) séances  hebdomadaire seront  organisées  avant la première la session de briefing </w:t>
      </w:r>
      <w:r w:rsidR="00B54FFA" w:rsidRPr="00211A44">
        <w:rPr>
          <w:rFonts w:asciiTheme="minorHAnsi" w:eastAsia="Arial" w:hAnsiTheme="minorHAnsi" w:cstheme="minorHAnsi"/>
          <w:i/>
          <w:iCs/>
        </w:rPr>
        <w:t>régional</w:t>
      </w:r>
      <w:r w:rsidR="00B62F38" w:rsidRPr="00211A44">
        <w:rPr>
          <w:rFonts w:asciiTheme="minorHAnsi" w:eastAsia="Arial" w:hAnsiTheme="minorHAnsi" w:cstheme="minorHAnsi"/>
          <w:i/>
          <w:iCs/>
        </w:rPr>
        <w:t>.</w:t>
      </w:r>
    </w:p>
    <w:p w14:paraId="0801A6F6" w14:textId="780986D9" w:rsidR="00B62F38" w:rsidRPr="00211A44" w:rsidRDefault="00663E4A"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b/>
          <w:bCs/>
        </w:rPr>
        <w:t>Au niveau central</w:t>
      </w:r>
      <w:r w:rsidRPr="00211A44">
        <w:rPr>
          <w:rFonts w:asciiTheme="minorHAnsi" w:eastAsia="Arial" w:hAnsiTheme="minorHAnsi" w:cstheme="minorHAnsi"/>
        </w:rPr>
        <w:t xml:space="preserve"> il s’agira d’un</w:t>
      </w:r>
      <w:r w:rsidR="000A5CB8" w:rsidRPr="00211A44">
        <w:rPr>
          <w:rFonts w:asciiTheme="minorHAnsi" w:eastAsia="Arial" w:hAnsiTheme="minorHAnsi" w:cstheme="minorHAnsi"/>
        </w:rPr>
        <w:t xml:space="preserve"> </w:t>
      </w:r>
      <w:r w:rsidRPr="00211A44">
        <w:rPr>
          <w:rFonts w:asciiTheme="minorHAnsi" w:eastAsia="Arial" w:hAnsiTheme="minorHAnsi" w:cstheme="minorHAnsi"/>
        </w:rPr>
        <w:t>(1)</w:t>
      </w:r>
      <w:r w:rsidR="000A5CB8" w:rsidRPr="00211A44">
        <w:rPr>
          <w:rFonts w:asciiTheme="minorHAnsi" w:eastAsia="Arial" w:hAnsiTheme="minorHAnsi" w:cstheme="minorHAnsi"/>
        </w:rPr>
        <w:t xml:space="preserve"> jour d’</w:t>
      </w:r>
      <w:r w:rsidRPr="00211A44">
        <w:rPr>
          <w:rFonts w:asciiTheme="minorHAnsi" w:eastAsia="Arial" w:hAnsiTheme="minorHAnsi" w:cstheme="minorHAnsi"/>
        </w:rPr>
        <w:t xml:space="preserve">atelier </w:t>
      </w:r>
      <w:r w:rsidR="00941866" w:rsidRPr="00211A44">
        <w:rPr>
          <w:rFonts w:asciiTheme="minorHAnsi" w:eastAsia="Arial" w:hAnsiTheme="minorHAnsi" w:cstheme="minorHAnsi"/>
        </w:rPr>
        <w:t>de formation</w:t>
      </w:r>
      <w:r w:rsidRPr="00211A44">
        <w:rPr>
          <w:rFonts w:asciiTheme="minorHAnsi" w:eastAsia="Arial" w:hAnsiTheme="minorHAnsi" w:cstheme="minorHAnsi"/>
        </w:rPr>
        <w:t xml:space="preserve"> des formateur</w:t>
      </w:r>
      <w:r w:rsidR="000A5CB8" w:rsidRPr="00211A44">
        <w:rPr>
          <w:rFonts w:asciiTheme="minorHAnsi" w:eastAsia="Arial" w:hAnsiTheme="minorHAnsi" w:cstheme="minorHAnsi"/>
        </w:rPr>
        <w:t xml:space="preserve">s qui faciliteront </w:t>
      </w:r>
      <w:r w:rsidR="00941866" w:rsidRPr="00211A44">
        <w:rPr>
          <w:rFonts w:asciiTheme="minorHAnsi" w:eastAsia="Arial" w:hAnsiTheme="minorHAnsi" w:cstheme="minorHAnsi"/>
        </w:rPr>
        <w:t xml:space="preserve">à leur tour </w:t>
      </w:r>
      <w:r w:rsidR="000A5CB8" w:rsidRPr="00211A44">
        <w:rPr>
          <w:rFonts w:asciiTheme="minorHAnsi" w:eastAsia="Arial" w:hAnsiTheme="minorHAnsi" w:cstheme="minorHAnsi"/>
        </w:rPr>
        <w:t>l</w:t>
      </w:r>
      <w:r w:rsidR="00B62F38" w:rsidRPr="00211A44">
        <w:rPr>
          <w:rFonts w:asciiTheme="minorHAnsi" w:eastAsia="Arial" w:hAnsiTheme="minorHAnsi" w:cstheme="minorHAnsi"/>
          <w:i/>
          <w:iCs/>
        </w:rPr>
        <w:t xml:space="preserve">es équipes cadres des </w:t>
      </w:r>
      <w:r w:rsidR="00D00425" w:rsidRPr="00211A44">
        <w:rPr>
          <w:rFonts w:asciiTheme="minorHAnsi" w:eastAsia="Arial" w:hAnsiTheme="minorHAnsi" w:cstheme="minorHAnsi"/>
        </w:rPr>
        <w:t>au niveau régional</w:t>
      </w:r>
      <w:r w:rsidR="000A5CB8" w:rsidRPr="00211A44">
        <w:rPr>
          <w:rFonts w:asciiTheme="minorHAnsi" w:eastAsia="Arial" w:hAnsiTheme="minorHAnsi" w:cstheme="minorHAnsi"/>
        </w:rPr>
        <w:t>.</w:t>
      </w:r>
      <w:r w:rsidR="00941866" w:rsidRPr="00211A44">
        <w:rPr>
          <w:rFonts w:asciiTheme="minorHAnsi" w:eastAsia="Arial" w:hAnsiTheme="minorHAnsi" w:cstheme="minorHAnsi"/>
        </w:rPr>
        <w:t xml:space="preserve"> </w:t>
      </w:r>
      <w:r w:rsidR="00B62F38" w:rsidRPr="00211A44">
        <w:rPr>
          <w:rFonts w:asciiTheme="minorHAnsi" w:eastAsia="Arial" w:hAnsiTheme="minorHAnsi" w:cstheme="minorHAnsi"/>
          <w:i/>
          <w:iCs/>
        </w:rPr>
        <w:t xml:space="preserve"> La session de briefing des facilitateurs centraux </w:t>
      </w:r>
      <w:r w:rsidR="00B54FFA" w:rsidRPr="00211A44">
        <w:rPr>
          <w:rFonts w:asciiTheme="minorHAnsi" w:eastAsia="Arial" w:hAnsiTheme="minorHAnsi" w:cstheme="minorHAnsi"/>
          <w:i/>
          <w:iCs/>
        </w:rPr>
        <w:t>consistera à dérouler tout l’agenda de la session régionale et de faire la revue des taches spécifiques à effectuer  dans les Régions par les facilitateurs centraux en dehors de celles relatives au switch rota. Cette session sera animé</w:t>
      </w:r>
      <w:r w:rsidR="009F3C1A" w:rsidRPr="00211A44">
        <w:rPr>
          <w:rFonts w:asciiTheme="minorHAnsi" w:eastAsia="Arial" w:hAnsiTheme="minorHAnsi" w:cstheme="minorHAnsi"/>
          <w:i/>
          <w:iCs/>
        </w:rPr>
        <w:t>e</w:t>
      </w:r>
      <w:r w:rsidR="00B54FFA" w:rsidRPr="00211A44">
        <w:rPr>
          <w:rFonts w:asciiTheme="minorHAnsi" w:eastAsia="Arial" w:hAnsiTheme="minorHAnsi" w:cstheme="minorHAnsi"/>
          <w:i/>
          <w:iCs/>
        </w:rPr>
        <w:t xml:space="preserve"> en ligne pour faciliter aussi la participation des coordonnateurs des groupes technique régionaux.</w:t>
      </w:r>
    </w:p>
    <w:p w14:paraId="2914F877" w14:textId="28DD30DC" w:rsidR="009F3C1A" w:rsidRPr="00211A44" w:rsidRDefault="009F3C1A"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b/>
          <w:bCs/>
          <w:i/>
          <w:iCs/>
        </w:rPr>
        <w:t>Au niveau régional</w:t>
      </w:r>
      <w:r w:rsidRPr="00211A44">
        <w:rPr>
          <w:rFonts w:asciiTheme="minorHAnsi" w:eastAsia="Arial" w:hAnsiTheme="minorHAnsi" w:cstheme="minorHAnsi"/>
          <w:i/>
          <w:iCs/>
        </w:rPr>
        <w:t xml:space="preserve">, </w:t>
      </w:r>
      <w:r w:rsidR="00941866" w:rsidRPr="00211A44">
        <w:rPr>
          <w:rFonts w:asciiTheme="minorHAnsi" w:eastAsia="Arial" w:hAnsiTheme="minorHAnsi" w:cstheme="minorHAnsi"/>
        </w:rPr>
        <w:t xml:space="preserve"> </w:t>
      </w:r>
      <w:r w:rsidRPr="00211A44">
        <w:rPr>
          <w:rFonts w:asciiTheme="minorHAnsi" w:eastAsia="Arial" w:hAnsiTheme="minorHAnsi" w:cstheme="minorHAnsi"/>
          <w:i/>
          <w:iCs/>
        </w:rPr>
        <w:t xml:space="preserve">les </w:t>
      </w:r>
      <w:r w:rsidR="00941866" w:rsidRPr="00211A44">
        <w:rPr>
          <w:rFonts w:asciiTheme="minorHAnsi" w:eastAsia="Arial" w:hAnsiTheme="minorHAnsi" w:cstheme="minorHAnsi"/>
        </w:rPr>
        <w:t xml:space="preserve">équipes cadres de </w:t>
      </w:r>
      <w:r w:rsidRPr="00211A44">
        <w:rPr>
          <w:rFonts w:asciiTheme="minorHAnsi" w:eastAsia="Arial" w:hAnsiTheme="minorHAnsi" w:cstheme="minorHAnsi"/>
          <w:i/>
          <w:iCs/>
        </w:rPr>
        <w:t>d</w:t>
      </w:r>
      <w:r w:rsidR="00941866" w:rsidRPr="00211A44">
        <w:rPr>
          <w:rFonts w:asciiTheme="minorHAnsi" w:eastAsia="Arial" w:hAnsiTheme="minorHAnsi" w:cstheme="minorHAnsi"/>
        </w:rPr>
        <w:t>istricts</w:t>
      </w:r>
      <w:r w:rsidRPr="00211A44">
        <w:rPr>
          <w:rFonts w:asciiTheme="minorHAnsi" w:eastAsia="Arial" w:hAnsiTheme="minorHAnsi" w:cstheme="minorHAnsi"/>
          <w:i/>
          <w:iCs/>
        </w:rPr>
        <w:t xml:space="preserve"> et les facilitateurs régionaux des sessions des Districts seront briefés</w:t>
      </w:r>
      <w:r w:rsidR="00941866" w:rsidRPr="00211A44">
        <w:rPr>
          <w:rFonts w:asciiTheme="minorHAnsi" w:eastAsia="Arial" w:hAnsiTheme="minorHAnsi" w:cstheme="minorHAnsi"/>
        </w:rPr>
        <w:t xml:space="preserve"> par les facilitateurs centraux </w:t>
      </w:r>
      <w:r w:rsidRPr="00211A44">
        <w:rPr>
          <w:rFonts w:asciiTheme="minorHAnsi" w:eastAsia="Arial" w:hAnsiTheme="minorHAnsi" w:cstheme="minorHAnsi"/>
          <w:i/>
          <w:iCs/>
        </w:rPr>
        <w:t xml:space="preserve">au cours d’une session deux </w:t>
      </w:r>
      <w:r w:rsidR="00941866" w:rsidRPr="00211A44">
        <w:rPr>
          <w:rFonts w:asciiTheme="minorHAnsi" w:eastAsia="Arial" w:hAnsiTheme="minorHAnsi" w:cstheme="minorHAnsi"/>
        </w:rPr>
        <w:t>(</w:t>
      </w:r>
      <w:r w:rsidRPr="00211A44">
        <w:rPr>
          <w:rFonts w:asciiTheme="minorHAnsi" w:eastAsia="Arial" w:hAnsiTheme="minorHAnsi" w:cstheme="minorHAnsi"/>
          <w:i/>
          <w:iCs/>
        </w:rPr>
        <w:t>0</w:t>
      </w:r>
      <w:r w:rsidR="00941866" w:rsidRPr="00211A44">
        <w:rPr>
          <w:rFonts w:asciiTheme="minorHAnsi" w:eastAsia="Arial" w:hAnsiTheme="minorHAnsi" w:cstheme="minorHAnsi"/>
        </w:rPr>
        <w:t>2) jours</w:t>
      </w:r>
      <w:r w:rsidR="00EB100F" w:rsidRPr="00211A44">
        <w:rPr>
          <w:rFonts w:asciiTheme="minorHAnsi" w:eastAsia="Arial" w:hAnsiTheme="minorHAnsi" w:cstheme="minorHAnsi"/>
        </w:rPr>
        <w:t xml:space="preserve">. </w:t>
      </w:r>
      <w:r w:rsidRPr="00211A44">
        <w:rPr>
          <w:rFonts w:asciiTheme="minorHAnsi" w:eastAsia="Arial" w:hAnsiTheme="minorHAnsi" w:cstheme="minorHAnsi"/>
          <w:i/>
          <w:iCs/>
        </w:rPr>
        <w:t>La première journées sera consacrés aux  concepts généraux et la 2</w:t>
      </w:r>
      <w:r w:rsidRPr="00211A44">
        <w:rPr>
          <w:rFonts w:asciiTheme="minorHAnsi" w:eastAsia="Arial" w:hAnsiTheme="minorHAnsi" w:cstheme="minorHAnsi"/>
          <w:i/>
          <w:iCs/>
          <w:vertAlign w:val="superscript"/>
        </w:rPr>
        <w:t>e</w:t>
      </w:r>
      <w:r w:rsidRPr="00211A44">
        <w:rPr>
          <w:rFonts w:asciiTheme="minorHAnsi" w:eastAsia="Arial" w:hAnsiTheme="minorHAnsi" w:cstheme="minorHAnsi"/>
          <w:i/>
          <w:iCs/>
        </w:rPr>
        <w:t xml:space="preserve"> journées aux éléments spécifiques au switch rota.</w:t>
      </w:r>
    </w:p>
    <w:p w14:paraId="25E08ED1" w14:textId="13830CD2" w:rsidR="00B06E9B" w:rsidRPr="00211A44" w:rsidRDefault="007E1298"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i/>
          <w:iCs/>
        </w:rPr>
        <w:t>Au niveau des Districts de Santé, l</w:t>
      </w:r>
      <w:r w:rsidR="00EB100F" w:rsidRPr="00211A44">
        <w:rPr>
          <w:rFonts w:asciiTheme="minorHAnsi" w:eastAsia="Arial" w:hAnsiTheme="minorHAnsi" w:cstheme="minorHAnsi"/>
        </w:rPr>
        <w:t>es responsable</w:t>
      </w:r>
      <w:r w:rsidR="00D00425" w:rsidRPr="00211A44">
        <w:rPr>
          <w:rFonts w:asciiTheme="minorHAnsi" w:eastAsia="Arial" w:hAnsiTheme="minorHAnsi" w:cstheme="minorHAnsi"/>
        </w:rPr>
        <w:t>s</w:t>
      </w:r>
      <w:r w:rsidR="00EB100F" w:rsidRPr="00211A44">
        <w:rPr>
          <w:rFonts w:asciiTheme="minorHAnsi" w:eastAsia="Arial" w:hAnsiTheme="minorHAnsi" w:cstheme="minorHAnsi"/>
        </w:rPr>
        <w:t xml:space="preserve"> des aires de santé seront formés dans chaque district de santé par les </w:t>
      </w:r>
      <w:r w:rsidRPr="00211A44">
        <w:rPr>
          <w:rFonts w:asciiTheme="minorHAnsi" w:eastAsia="Arial" w:hAnsiTheme="minorHAnsi" w:cstheme="minorHAnsi"/>
          <w:i/>
          <w:iCs/>
        </w:rPr>
        <w:t xml:space="preserve"> responsables des districts appuyés par </w:t>
      </w:r>
      <w:r w:rsidR="00EB100F" w:rsidRPr="00211A44">
        <w:rPr>
          <w:rFonts w:asciiTheme="minorHAnsi" w:eastAsia="Arial" w:hAnsiTheme="minorHAnsi" w:cstheme="minorHAnsi"/>
        </w:rPr>
        <w:t>facilitateurs régionaux</w:t>
      </w:r>
      <w:r w:rsidRPr="00211A44">
        <w:rPr>
          <w:rFonts w:asciiTheme="minorHAnsi" w:eastAsia="Arial" w:hAnsiTheme="minorHAnsi" w:cstheme="minorHAnsi"/>
          <w:i/>
          <w:iCs/>
        </w:rPr>
        <w:t xml:space="preserve"> dans certains DS nécessitant un accompagnement de l’équipe cadre du District. Les</w:t>
      </w:r>
      <w:r w:rsidR="00B06E9B" w:rsidRPr="00211A44">
        <w:rPr>
          <w:rFonts w:asciiTheme="minorHAnsi" w:eastAsia="Arial" w:hAnsiTheme="minorHAnsi" w:cstheme="minorHAnsi"/>
        </w:rPr>
        <w:t xml:space="preserve"> supports de communication, les outils actualisés de collecte des données et le guide du mobilisateur seront distribués à ce niveau.</w:t>
      </w:r>
    </w:p>
    <w:p w14:paraId="7A3E5469" w14:textId="1E906E34" w:rsidR="00D00425" w:rsidRPr="00211A44" w:rsidRDefault="00D00425" w:rsidP="00AE3081">
      <w:pPr>
        <w:spacing w:before="240" w:after="240" w:line="276" w:lineRule="auto"/>
        <w:jc w:val="both"/>
        <w:rPr>
          <w:rFonts w:asciiTheme="minorHAnsi" w:eastAsia="Arial" w:hAnsiTheme="minorHAnsi" w:cstheme="minorHAnsi"/>
          <w:i/>
          <w:iCs/>
        </w:rPr>
      </w:pPr>
      <w:r w:rsidRPr="00211A44">
        <w:rPr>
          <w:rFonts w:asciiTheme="minorHAnsi" w:eastAsia="Arial" w:hAnsiTheme="minorHAnsi" w:cstheme="minorHAnsi"/>
        </w:rPr>
        <w:t>Un total de 7 modules seront déroulés :</w:t>
      </w:r>
    </w:p>
    <w:p w14:paraId="323AB326" w14:textId="3936D1F1" w:rsidR="002E3C6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Les maladies cibles</w:t>
      </w:r>
      <w:r w:rsidR="00594F38" w:rsidRPr="00211A44">
        <w:rPr>
          <w:rFonts w:eastAsia="Arial" w:cstheme="minorHAnsi"/>
          <w:i w:val="0"/>
          <w:iCs w:val="0"/>
          <w:sz w:val="24"/>
          <w:szCs w:val="24"/>
        </w:rPr>
        <w:t xml:space="preserve"> </w:t>
      </w:r>
      <w:r w:rsidR="00594F38" w:rsidRPr="00211A44">
        <w:rPr>
          <w:rFonts w:eastAsia="Arial" w:cstheme="minorHAnsi"/>
          <w:b/>
          <w:bCs/>
          <w:i w:val="0"/>
          <w:iCs w:val="0"/>
          <w:sz w:val="24"/>
          <w:szCs w:val="24"/>
        </w:rPr>
        <w:t>du PEV</w:t>
      </w:r>
      <w:r w:rsidRPr="00211A44">
        <w:rPr>
          <w:rFonts w:eastAsia="Arial" w:cstheme="minorHAnsi"/>
          <w:i w:val="0"/>
          <w:iCs w:val="0"/>
          <w:sz w:val="24"/>
          <w:szCs w:val="24"/>
        </w:rPr>
        <w:t xml:space="preserve"> : </w:t>
      </w:r>
      <w:r w:rsidR="00EC6056" w:rsidRPr="00211A44">
        <w:rPr>
          <w:rFonts w:eastAsia="Arial" w:cstheme="minorHAnsi"/>
          <w:i w:val="0"/>
          <w:iCs w:val="0"/>
          <w:sz w:val="24"/>
          <w:szCs w:val="24"/>
        </w:rPr>
        <w:t>C</w:t>
      </w:r>
      <w:r w:rsidR="00594F38" w:rsidRPr="00211A44">
        <w:rPr>
          <w:rFonts w:eastAsia="Arial" w:cstheme="minorHAnsi"/>
          <w:i w:val="0"/>
          <w:iCs w:val="0"/>
          <w:sz w:val="24"/>
          <w:szCs w:val="24"/>
        </w:rPr>
        <w:t>e module présente toutes les maladies cibles du PEV ainsi le calendrier vaccinal du PEV</w:t>
      </w:r>
      <w:r w:rsidR="00C62753" w:rsidRPr="00211A44">
        <w:rPr>
          <w:rFonts w:eastAsia="Arial" w:cstheme="minorHAnsi"/>
          <w:i w:val="0"/>
          <w:iCs w:val="0"/>
          <w:sz w:val="24"/>
          <w:szCs w:val="24"/>
        </w:rPr>
        <w:t xml:space="preserve"> en vigueur</w:t>
      </w:r>
      <w:r w:rsidR="00594F38" w:rsidRPr="00211A44">
        <w:rPr>
          <w:rFonts w:eastAsia="Arial" w:cstheme="minorHAnsi"/>
          <w:i w:val="0"/>
          <w:iCs w:val="0"/>
          <w:sz w:val="24"/>
          <w:szCs w:val="24"/>
        </w:rPr>
        <w:t xml:space="preserve"> en mettant un accent sur les diarrhées à Rotavirus et le vaccin anti-rotavirus</w:t>
      </w:r>
    </w:p>
    <w:p w14:paraId="10E0E9BD" w14:textId="0E8B58F4" w:rsidR="00D0042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Le vaccin et la chaine du froid</w:t>
      </w:r>
      <w:r w:rsidR="00594F38" w:rsidRPr="00211A44">
        <w:rPr>
          <w:rFonts w:eastAsia="Arial" w:cstheme="minorHAnsi"/>
          <w:b/>
          <w:bCs/>
          <w:i w:val="0"/>
          <w:iCs w:val="0"/>
          <w:sz w:val="24"/>
          <w:szCs w:val="24"/>
        </w:rPr>
        <w:t xml:space="preserve"> : </w:t>
      </w:r>
      <w:r w:rsidR="00C62753" w:rsidRPr="00211A44">
        <w:rPr>
          <w:rFonts w:eastAsia="Arial" w:cstheme="minorHAnsi"/>
          <w:i w:val="0"/>
          <w:iCs w:val="0"/>
          <w:sz w:val="24"/>
          <w:szCs w:val="24"/>
        </w:rPr>
        <w:t>c</w:t>
      </w:r>
      <w:r w:rsidR="003F0ED2" w:rsidRPr="00211A44">
        <w:rPr>
          <w:rFonts w:eastAsia="Arial" w:cstheme="minorHAnsi"/>
          <w:i w:val="0"/>
          <w:iCs w:val="0"/>
          <w:sz w:val="24"/>
          <w:szCs w:val="24"/>
        </w:rPr>
        <w:t>e module indique en quoi consiste la chaîne du froid, quel est le matériel dont les centres de santé ont besoin et comment l’utiliser et l’entretenir. T</w:t>
      </w:r>
      <w:r w:rsidR="00594F38" w:rsidRPr="00211A44">
        <w:rPr>
          <w:rFonts w:eastAsia="Arial" w:cstheme="minorHAnsi"/>
          <w:i w:val="0"/>
          <w:iCs w:val="0"/>
          <w:sz w:val="24"/>
          <w:szCs w:val="24"/>
        </w:rPr>
        <w:t>ous les vaccins du PEV sont présenté</w:t>
      </w:r>
      <w:r w:rsidR="003F0ED2" w:rsidRPr="00211A44">
        <w:rPr>
          <w:rFonts w:eastAsia="Arial" w:cstheme="minorHAnsi"/>
          <w:i w:val="0"/>
          <w:iCs w:val="0"/>
          <w:sz w:val="24"/>
          <w:szCs w:val="24"/>
        </w:rPr>
        <w:t>s</w:t>
      </w:r>
      <w:r w:rsidR="00594F38" w:rsidRPr="00211A44">
        <w:rPr>
          <w:rFonts w:eastAsia="Arial" w:cstheme="minorHAnsi"/>
          <w:i w:val="0"/>
          <w:iCs w:val="0"/>
          <w:sz w:val="24"/>
          <w:szCs w:val="24"/>
        </w:rPr>
        <w:t xml:space="preserve">, leur composition ; leur innocuité et effets secondaires éventuels ; le mode de conservation et de transport ; le moment d’administration ; le nombre et le volume des doses ; et le point et le mode d’administration.  Un accent sera mis sur le changement de présentation du vaccin anti-rotavirus qui passe d’un flacon </w:t>
      </w:r>
      <w:proofErr w:type="spellStart"/>
      <w:r w:rsidR="00594F38" w:rsidRPr="00211A44">
        <w:rPr>
          <w:rFonts w:eastAsia="Arial" w:cstheme="minorHAnsi"/>
          <w:i w:val="0"/>
          <w:iCs w:val="0"/>
          <w:sz w:val="24"/>
          <w:szCs w:val="24"/>
        </w:rPr>
        <w:t>monodose</w:t>
      </w:r>
      <w:proofErr w:type="spellEnd"/>
      <w:r w:rsidR="002E112C" w:rsidRPr="00211A44">
        <w:rPr>
          <w:rFonts w:eastAsia="Arial" w:cstheme="minorHAnsi"/>
          <w:i w:val="0"/>
          <w:iCs w:val="0"/>
          <w:sz w:val="24"/>
          <w:szCs w:val="24"/>
        </w:rPr>
        <w:t xml:space="preserve"> (</w:t>
      </w:r>
      <w:proofErr w:type="spellStart"/>
      <w:r w:rsidR="002E112C" w:rsidRPr="00211A44">
        <w:rPr>
          <w:rFonts w:eastAsia="Arial" w:cstheme="minorHAnsi"/>
          <w:i w:val="0"/>
          <w:iCs w:val="0"/>
          <w:sz w:val="24"/>
          <w:szCs w:val="24"/>
        </w:rPr>
        <w:t>Rotarix</w:t>
      </w:r>
      <w:proofErr w:type="spellEnd"/>
      <w:r w:rsidR="002E112C" w:rsidRPr="00211A44">
        <w:rPr>
          <w:rFonts w:eastAsia="Arial" w:cstheme="minorHAnsi"/>
          <w:i w:val="0"/>
          <w:iCs w:val="0"/>
          <w:sz w:val="24"/>
          <w:szCs w:val="24"/>
        </w:rPr>
        <w:t>)</w:t>
      </w:r>
      <w:r w:rsidR="00594F38" w:rsidRPr="00211A44">
        <w:rPr>
          <w:rFonts w:eastAsia="Arial" w:cstheme="minorHAnsi"/>
          <w:i w:val="0"/>
          <w:iCs w:val="0"/>
          <w:sz w:val="24"/>
          <w:szCs w:val="24"/>
        </w:rPr>
        <w:t xml:space="preserve"> à un flacon de 10 doses</w:t>
      </w:r>
      <w:r w:rsidR="002E112C" w:rsidRPr="00211A44">
        <w:rPr>
          <w:rFonts w:eastAsia="Arial" w:cstheme="minorHAnsi"/>
          <w:i w:val="0"/>
          <w:iCs w:val="0"/>
          <w:sz w:val="24"/>
          <w:szCs w:val="24"/>
        </w:rPr>
        <w:t xml:space="preserve"> (Rotavac)</w:t>
      </w:r>
      <w:r w:rsidR="00594F38" w:rsidRPr="00211A44">
        <w:rPr>
          <w:rFonts w:eastAsia="Arial" w:cstheme="minorHAnsi"/>
          <w:i w:val="0"/>
          <w:iCs w:val="0"/>
          <w:sz w:val="24"/>
          <w:szCs w:val="24"/>
        </w:rPr>
        <w:t xml:space="preserve">. </w:t>
      </w:r>
      <w:r w:rsidR="002E112C" w:rsidRPr="00211A44">
        <w:rPr>
          <w:rFonts w:eastAsia="Arial" w:cstheme="minorHAnsi"/>
          <w:i w:val="0"/>
          <w:iCs w:val="0"/>
          <w:sz w:val="24"/>
          <w:szCs w:val="24"/>
        </w:rPr>
        <w:t xml:space="preserve">La politique du flacon </w:t>
      </w:r>
      <w:proofErr w:type="spellStart"/>
      <w:r w:rsidR="002E112C" w:rsidRPr="00211A44">
        <w:rPr>
          <w:rFonts w:eastAsia="Arial" w:cstheme="minorHAnsi"/>
          <w:i w:val="0"/>
          <w:iCs w:val="0"/>
          <w:sz w:val="24"/>
          <w:szCs w:val="24"/>
        </w:rPr>
        <w:t>multidoses</w:t>
      </w:r>
      <w:proofErr w:type="spellEnd"/>
      <w:r w:rsidR="002E112C" w:rsidRPr="00211A44">
        <w:rPr>
          <w:rFonts w:eastAsia="Arial" w:cstheme="minorHAnsi"/>
          <w:i w:val="0"/>
          <w:iCs w:val="0"/>
          <w:sz w:val="24"/>
          <w:szCs w:val="24"/>
        </w:rPr>
        <w:t xml:space="preserve"> sera désormais appliquée pour le vaccin </w:t>
      </w:r>
      <w:r w:rsidR="002E112C" w:rsidRPr="00211A44">
        <w:rPr>
          <w:rFonts w:eastAsia="Arial" w:cstheme="minorHAnsi"/>
          <w:i w:val="0"/>
          <w:iCs w:val="0"/>
          <w:sz w:val="24"/>
          <w:szCs w:val="24"/>
        </w:rPr>
        <w:lastRenderedPageBreak/>
        <w:t>contre le rotavirus. Les acteurs seront édifiés sur le changement du calcul du taux de perte qui passera de 3% à 10%.</w:t>
      </w:r>
    </w:p>
    <w:p w14:paraId="7822744B" w14:textId="511ED925" w:rsidR="00D0042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La sécurité des injections</w:t>
      </w:r>
      <w:r w:rsidR="003F0ED2" w:rsidRPr="00211A44">
        <w:rPr>
          <w:rFonts w:eastAsia="Arial" w:cstheme="minorHAnsi"/>
          <w:i w:val="0"/>
          <w:iCs w:val="0"/>
          <w:sz w:val="24"/>
          <w:szCs w:val="24"/>
        </w:rPr>
        <w:t> :</w:t>
      </w:r>
      <w:r w:rsidR="003F0ED2" w:rsidRPr="00211A44">
        <w:rPr>
          <w:rFonts w:cstheme="minorHAnsi"/>
        </w:rPr>
        <w:t xml:space="preserve"> </w:t>
      </w:r>
      <w:r w:rsidR="003F0ED2" w:rsidRPr="00211A44">
        <w:rPr>
          <w:rFonts w:eastAsia="Arial" w:cstheme="minorHAnsi"/>
          <w:i w:val="0"/>
          <w:iCs w:val="0"/>
          <w:sz w:val="24"/>
          <w:szCs w:val="24"/>
        </w:rPr>
        <w:t>Elle s’intéresse aux méthodes que les agents de santé devraient appliquer pour pratiquer des injections vaccinales de la manière la plus sûre qu’il soit y compris l’administration des vaccins par voie orale.</w:t>
      </w:r>
    </w:p>
    <w:p w14:paraId="47031D79" w14:textId="0A6BC7D7" w:rsidR="00D0042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La planification des séances de vaccination</w:t>
      </w:r>
      <w:r w:rsidR="00946386" w:rsidRPr="00211A44">
        <w:rPr>
          <w:rFonts w:eastAsia="Arial" w:cstheme="minorHAnsi"/>
          <w:b/>
          <w:bCs/>
          <w:i w:val="0"/>
          <w:iCs w:val="0"/>
          <w:sz w:val="24"/>
          <w:szCs w:val="24"/>
        </w:rPr>
        <w:t xml:space="preserve"> : </w:t>
      </w:r>
      <w:r w:rsidR="00946386" w:rsidRPr="00211A44">
        <w:rPr>
          <w:rFonts w:eastAsia="Arial" w:cstheme="minorHAnsi"/>
          <w:i w:val="0"/>
          <w:iCs w:val="0"/>
          <w:sz w:val="24"/>
          <w:szCs w:val="24"/>
        </w:rPr>
        <w:t xml:space="preserve">il s’agit de la planification des différentes stratégies de vaccination mise en œuvre dans </w:t>
      </w:r>
      <w:r w:rsidR="00E639F8" w:rsidRPr="00211A44">
        <w:rPr>
          <w:rFonts w:eastAsia="Arial" w:cstheme="minorHAnsi"/>
          <w:i w:val="0"/>
          <w:iCs w:val="0"/>
          <w:sz w:val="24"/>
          <w:szCs w:val="24"/>
        </w:rPr>
        <w:t>les formations sanitaires</w:t>
      </w:r>
      <w:r w:rsidR="00946386" w:rsidRPr="00211A44">
        <w:rPr>
          <w:rFonts w:eastAsia="Arial" w:cstheme="minorHAnsi"/>
          <w:i w:val="0"/>
          <w:iCs w:val="0"/>
          <w:sz w:val="24"/>
          <w:szCs w:val="24"/>
        </w:rPr>
        <w:t xml:space="preserve"> </w:t>
      </w:r>
      <w:r w:rsidR="00C62753" w:rsidRPr="00211A44">
        <w:rPr>
          <w:rFonts w:eastAsia="Arial" w:cstheme="minorHAnsi"/>
          <w:i w:val="0"/>
          <w:iCs w:val="0"/>
          <w:sz w:val="24"/>
          <w:szCs w:val="24"/>
        </w:rPr>
        <w:t>pour atteindre les cibles</w:t>
      </w:r>
    </w:p>
    <w:p w14:paraId="61FE5544" w14:textId="5D5446C9" w:rsidR="00D0042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Le déroulement des séances de vaccination</w:t>
      </w:r>
      <w:r w:rsidR="00E639F8" w:rsidRPr="00211A44">
        <w:rPr>
          <w:rFonts w:eastAsia="Arial" w:cstheme="minorHAnsi"/>
          <w:b/>
          <w:bCs/>
          <w:i w:val="0"/>
          <w:iCs w:val="0"/>
          <w:sz w:val="24"/>
          <w:szCs w:val="24"/>
        </w:rPr>
        <w:t xml:space="preserve"> : </w:t>
      </w:r>
      <w:r w:rsidR="00E639F8" w:rsidRPr="00211A44">
        <w:rPr>
          <w:rFonts w:eastAsia="Arial" w:cstheme="minorHAnsi"/>
          <w:i w:val="0"/>
          <w:iCs w:val="0"/>
          <w:sz w:val="24"/>
          <w:szCs w:val="24"/>
        </w:rPr>
        <w:t>On trouvera dans ce module la description des tâches que l’agent de santé doit mener à bien le jour de la séance de vaccination, pour garantir la qualité de celle-ci. Il commence par la préparation nécessaire du poste de vaccination et indique ensuite de manière détaillée comment procéder à l’évaluation de l’état vaccinal des mères et des nourrissons. Il indique également la bonne technique d’administration de chaque vaccin et la façon de communiquer avec les parents pendant et après la séance de vaccination, ainsi que la manière de clôturer cette dernière</w:t>
      </w:r>
      <w:r w:rsidRPr="00211A44">
        <w:rPr>
          <w:rFonts w:eastAsia="Arial" w:cstheme="minorHAnsi"/>
          <w:i w:val="0"/>
          <w:iCs w:val="0"/>
          <w:sz w:val="24"/>
          <w:szCs w:val="24"/>
        </w:rPr>
        <w:t xml:space="preserve"> </w:t>
      </w:r>
    </w:p>
    <w:p w14:paraId="27C33F35" w14:textId="0B867F21" w:rsidR="00D00425"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La collecte et le monitorage des données</w:t>
      </w:r>
      <w:r w:rsidR="00E639F8" w:rsidRPr="00211A44">
        <w:rPr>
          <w:rFonts w:eastAsia="Arial" w:cstheme="minorHAnsi"/>
          <w:b/>
          <w:bCs/>
          <w:i w:val="0"/>
          <w:iCs w:val="0"/>
          <w:sz w:val="24"/>
          <w:szCs w:val="24"/>
        </w:rPr>
        <w:t xml:space="preserve"> : </w:t>
      </w:r>
      <w:r w:rsidR="00E639F8" w:rsidRPr="00211A44">
        <w:rPr>
          <w:rFonts w:eastAsia="Arial" w:cstheme="minorHAnsi"/>
          <w:i w:val="0"/>
          <w:iCs w:val="0"/>
          <w:sz w:val="24"/>
          <w:szCs w:val="24"/>
        </w:rPr>
        <w:t>Ce module traite de la façon de collecter et de transmettre les données et de la manière dont on peut suivre ses performances à l’aide de ses propres données. Il montre également comment améliorer les performances du service en identifiant et en résolvant les problèmes, ainsi qu’en incorporant les solutions apportées dans le plan de travail</w:t>
      </w:r>
    </w:p>
    <w:p w14:paraId="68DCB5B0" w14:textId="4AE62671" w:rsidR="00655B0D" w:rsidRPr="00211A44" w:rsidRDefault="00D00425" w:rsidP="00AE3081">
      <w:pPr>
        <w:pStyle w:val="Paragraphedeliste"/>
        <w:numPr>
          <w:ilvl w:val="0"/>
          <w:numId w:val="8"/>
        </w:numPr>
        <w:spacing w:before="240" w:after="240" w:line="276" w:lineRule="auto"/>
        <w:contextualSpacing w:val="0"/>
        <w:jc w:val="both"/>
        <w:rPr>
          <w:rFonts w:eastAsia="Arial" w:cstheme="minorHAnsi"/>
          <w:i w:val="0"/>
          <w:iCs w:val="0"/>
          <w:sz w:val="24"/>
          <w:szCs w:val="24"/>
        </w:rPr>
      </w:pPr>
      <w:r w:rsidRPr="00211A44">
        <w:rPr>
          <w:rFonts w:eastAsia="Arial" w:cstheme="minorHAnsi"/>
          <w:b/>
          <w:bCs/>
          <w:i w:val="0"/>
          <w:iCs w:val="0"/>
          <w:sz w:val="24"/>
          <w:szCs w:val="24"/>
        </w:rPr>
        <w:t>Collaboration avec la communauté</w:t>
      </w:r>
      <w:r w:rsidR="00E639F8" w:rsidRPr="00211A44">
        <w:rPr>
          <w:rFonts w:eastAsia="Arial" w:cstheme="minorHAnsi"/>
          <w:i w:val="0"/>
          <w:iCs w:val="0"/>
          <w:sz w:val="24"/>
          <w:szCs w:val="24"/>
        </w:rPr>
        <w:t xml:space="preserve"> : il explique comment rendre les services de vaccination attentifs aux besoins des communauté et comment obtenir l’appui de ces dernières.  </w:t>
      </w:r>
    </w:p>
    <w:p w14:paraId="17B20BBE" w14:textId="00FF7E23" w:rsidR="00840789" w:rsidRPr="00211A44" w:rsidRDefault="0055147D" w:rsidP="003E7EA9">
      <w:pPr>
        <w:pStyle w:val="Titre3"/>
        <w:numPr>
          <w:ilvl w:val="2"/>
          <w:numId w:val="3"/>
        </w:numPr>
        <w:pBdr>
          <w:bottom w:val="none" w:sz="0" w:space="0" w:color="auto"/>
        </w:pBdr>
        <w:spacing w:before="240" w:after="240"/>
        <w:rPr>
          <w:rFonts w:asciiTheme="minorHAnsi" w:hAnsiTheme="minorHAnsi" w:cstheme="minorHAnsi"/>
          <w:sz w:val="24"/>
          <w:szCs w:val="24"/>
          <w:lang w:val="fr-FR"/>
        </w:rPr>
      </w:pPr>
      <w:bookmarkStart w:id="12" w:name="_Toc97572945"/>
      <w:r w:rsidRPr="00211A44">
        <w:rPr>
          <w:rFonts w:asciiTheme="minorHAnsi" w:hAnsiTheme="minorHAnsi" w:cstheme="minorHAnsi"/>
          <w:sz w:val="24"/>
          <w:szCs w:val="24"/>
          <w:lang w:val="fr-FR"/>
        </w:rPr>
        <w:t>G</w:t>
      </w:r>
      <w:r w:rsidR="006D2817" w:rsidRPr="00211A44">
        <w:rPr>
          <w:rFonts w:asciiTheme="minorHAnsi" w:hAnsiTheme="minorHAnsi" w:cstheme="minorHAnsi"/>
          <w:sz w:val="24"/>
          <w:szCs w:val="24"/>
          <w:lang w:val="fr-FR"/>
        </w:rPr>
        <w:t>estion des Manifestations Post Vaccinales Indésirables (MAPI) éventuelles et Événement Indésirable d’Intérêt Particulier (EIIP)</w:t>
      </w:r>
      <w:bookmarkEnd w:id="12"/>
      <w:r w:rsidR="006D2817" w:rsidRPr="00211A44">
        <w:rPr>
          <w:rFonts w:asciiTheme="minorHAnsi" w:hAnsiTheme="minorHAnsi" w:cstheme="minorHAnsi"/>
          <w:sz w:val="24"/>
          <w:szCs w:val="24"/>
          <w:lang w:val="fr-FR"/>
        </w:rPr>
        <w:t xml:space="preserve"> </w:t>
      </w:r>
    </w:p>
    <w:p w14:paraId="4C6713EA" w14:textId="300D4B05" w:rsidR="006D2817" w:rsidRPr="00211A44" w:rsidRDefault="006D2817" w:rsidP="00001690">
      <w:pPr>
        <w:spacing w:line="276" w:lineRule="auto"/>
        <w:jc w:val="both"/>
        <w:rPr>
          <w:rFonts w:asciiTheme="minorHAnsi" w:eastAsia="Arial" w:hAnsiTheme="minorHAnsi" w:cstheme="minorHAnsi"/>
          <w:i/>
          <w:iCs/>
        </w:rPr>
      </w:pPr>
      <w:r w:rsidRPr="00211A44">
        <w:rPr>
          <w:rFonts w:asciiTheme="minorHAnsi" w:eastAsia="Arial" w:hAnsiTheme="minorHAnsi" w:cstheme="minorHAnsi"/>
        </w:rPr>
        <w:t xml:space="preserve">La surveillance des vaccins est un enjeu majeur pour garantir leur efficacité dans la population et pour identifier les éventuels effets indésirables qui n’auraient pas été observés lors des essais cliniques. Elle est d’autant plus importante lors de l’utilisation d’un nouveau vaccin. Les Manifestations Post Vaccinales Indésirables (MAPI) sont des évènements médicaux pouvant survenir après la vaccination et pas nécessairement liés à cette dernière. Ces manifestations sont le plus souvent bénignes et rarement graves. Un système de surveillance des MAPI est déjà mis en place en vaccination de routine et lors des AVS. </w:t>
      </w:r>
    </w:p>
    <w:p w14:paraId="3568A2AD" w14:textId="1E2A8444" w:rsidR="006D2817" w:rsidRPr="00211A44" w:rsidRDefault="006D2817" w:rsidP="00001690">
      <w:pPr>
        <w:spacing w:line="276" w:lineRule="auto"/>
        <w:jc w:val="both"/>
        <w:rPr>
          <w:rFonts w:asciiTheme="minorHAnsi" w:eastAsia="Arial" w:hAnsiTheme="minorHAnsi" w:cstheme="minorHAnsi"/>
          <w:i/>
          <w:iCs/>
        </w:rPr>
      </w:pPr>
      <w:r w:rsidRPr="00211A44">
        <w:rPr>
          <w:rFonts w:asciiTheme="minorHAnsi" w:eastAsia="Arial" w:hAnsiTheme="minorHAnsi" w:cstheme="minorHAnsi"/>
        </w:rPr>
        <w:t xml:space="preserve">Pour assurer l’utilisation efficace du Rotavac et garantir sa sécurité, les capacités de personnel de santé seront renforcées sur la surveillance des MAPI et EIIP notamment la détection, la notification, l’investigation, la prise en charge des cas de MAPI signalés par le receveur. A cet </w:t>
      </w:r>
      <w:r w:rsidRPr="00211A44">
        <w:rPr>
          <w:rFonts w:asciiTheme="minorHAnsi" w:eastAsia="Arial" w:hAnsiTheme="minorHAnsi" w:cstheme="minorHAnsi"/>
        </w:rPr>
        <w:lastRenderedPageBreak/>
        <w:t>effet, des modules de formation ont été conçus. Cette surveillance repose essentiellement sur les aspects suivants :</w:t>
      </w:r>
    </w:p>
    <w:p w14:paraId="56207C5F" w14:textId="0D40FB3B" w:rsidR="006D2817" w:rsidRPr="00211A44" w:rsidRDefault="006D2817" w:rsidP="00001690">
      <w:pPr>
        <w:numPr>
          <w:ilvl w:val="0"/>
          <w:numId w:val="6"/>
        </w:numPr>
        <w:spacing w:before="240" w:after="240" w:line="276" w:lineRule="auto"/>
        <w:jc w:val="both"/>
        <w:rPr>
          <w:rFonts w:asciiTheme="minorHAnsi" w:hAnsiTheme="minorHAnsi" w:cstheme="minorHAnsi"/>
          <w:i/>
          <w:iCs/>
        </w:rPr>
      </w:pPr>
      <w:r w:rsidRPr="00211A44">
        <w:rPr>
          <w:rFonts w:asciiTheme="minorHAnsi" w:hAnsiTheme="minorHAnsi" w:cstheme="minorHAnsi"/>
          <w:b/>
          <w:bCs/>
        </w:rPr>
        <w:t>Détection et Notification : tout</w:t>
      </w:r>
      <w:r w:rsidRPr="00211A44">
        <w:rPr>
          <w:rFonts w:asciiTheme="minorHAnsi" w:hAnsiTheme="minorHAnsi" w:cstheme="minorHAnsi"/>
        </w:rPr>
        <w:t xml:space="preserve"> cas de MAPI signalé à un prestataire de soins qui travaille dans le système de santé ou détecté par ce dernier sera notifié le plus rapidement possible au niveau supérieur en utilisant les formulaires de notification standards (fiche de notification /fiche d’investigation) et en remplissant également le formulaire ODK (pharmacovigilance-CM) en ligne. Toutes les MAPI qui suscitent l’inquiétude de la communauté ou du personnel soignant seront notifiées. Le circuit de notification sera affiché dans toutes formations sanitaires et les outils de gestion de MAPI seront mis à la disposition du personnel ; </w:t>
      </w:r>
      <w:bookmarkStart w:id="13" w:name="_Toc62680956"/>
      <w:bookmarkStart w:id="14" w:name="_Toc67765895"/>
    </w:p>
    <w:p w14:paraId="37503682" w14:textId="448EE7BB" w:rsidR="006D2817" w:rsidRPr="00211A44" w:rsidRDefault="006D2817" w:rsidP="00001690">
      <w:pPr>
        <w:numPr>
          <w:ilvl w:val="0"/>
          <w:numId w:val="6"/>
        </w:numPr>
        <w:spacing w:before="240" w:after="240" w:line="276" w:lineRule="auto"/>
        <w:jc w:val="both"/>
        <w:rPr>
          <w:rFonts w:asciiTheme="minorHAnsi" w:eastAsia="Arial" w:hAnsiTheme="minorHAnsi" w:cstheme="minorHAnsi"/>
          <w:i/>
          <w:iCs/>
        </w:rPr>
      </w:pPr>
      <w:r w:rsidRPr="00211A44">
        <w:rPr>
          <w:rFonts w:asciiTheme="minorHAnsi" w:hAnsiTheme="minorHAnsi" w:cstheme="minorHAnsi"/>
        </w:rPr>
        <w:t>Investigation des MAPI</w:t>
      </w:r>
      <w:bookmarkEnd w:id="13"/>
      <w:bookmarkEnd w:id="14"/>
      <w:r w:rsidRPr="00211A44">
        <w:rPr>
          <w:rFonts w:asciiTheme="minorHAnsi" w:hAnsiTheme="minorHAnsi" w:cstheme="minorHAnsi"/>
        </w:rPr>
        <w:t xml:space="preserve"> graves se fera </w:t>
      </w:r>
      <w:r w:rsidRPr="00211A44">
        <w:rPr>
          <w:rFonts w:asciiTheme="minorHAnsi" w:eastAsia="Arial" w:hAnsiTheme="minorHAnsi" w:cstheme="minorHAnsi"/>
        </w:rPr>
        <w:t xml:space="preserve"> dans les 24 à 48 heures par l’équipe cadre du district et sera conduite avec l’appui de la région et un rapport sera partagé avec le niveau central. Un système d’alerte en cas de MAPI grave a été intégré afin de réagir promptement aux cas graves. Le guide de poche élaboré sera actualisé et également mis à leur disposition ainsi que toute la documentation y afférente (définition des cas, fiches de notification, investigation, enquête, manuel de surveillance). Un comité d’experts MAPI déjà fonctionnel permettra d’établir ou pas un lien de causalité entre la MAPI grave signalée et le vaccin Rotavac ;</w:t>
      </w:r>
    </w:p>
    <w:p w14:paraId="1B47E595" w14:textId="6FB804FC" w:rsidR="006D2817" w:rsidRPr="00211A44" w:rsidRDefault="006D2817" w:rsidP="00001690">
      <w:pPr>
        <w:numPr>
          <w:ilvl w:val="0"/>
          <w:numId w:val="6"/>
        </w:numPr>
        <w:spacing w:before="240" w:after="240" w:line="276" w:lineRule="auto"/>
        <w:jc w:val="both"/>
        <w:rPr>
          <w:rFonts w:asciiTheme="minorHAnsi" w:eastAsia="Arial" w:hAnsiTheme="minorHAnsi" w:cstheme="minorHAnsi"/>
          <w:i/>
          <w:iCs/>
        </w:rPr>
      </w:pPr>
      <w:r w:rsidRPr="00211A44">
        <w:rPr>
          <w:rFonts w:asciiTheme="minorHAnsi" w:hAnsiTheme="minorHAnsi" w:cstheme="minorHAnsi"/>
        </w:rPr>
        <w:t>Enquêtes sur les MAPI à issue fatale (décès) :</w:t>
      </w:r>
      <w:r w:rsidRPr="00211A44">
        <w:rPr>
          <w:rFonts w:asciiTheme="minorHAnsi" w:eastAsia="Arial" w:hAnsiTheme="minorHAnsi" w:cstheme="minorHAnsi"/>
        </w:rPr>
        <w:t xml:space="preserve"> En cas de décès consécutif à la vaccination, l’enquête de terrain sera conduite immédiatement et notifié sous 24 heures. L’investigation du cas sera menée par une équipe multi disciplinaire. A cet effet une communication sera faite au public pour rassurer la communauté. Des prélèvements seront faits lors de l’investigation ;</w:t>
      </w:r>
    </w:p>
    <w:p w14:paraId="536A2103" w14:textId="77777777" w:rsidR="006D2817" w:rsidRPr="00211A44" w:rsidRDefault="006D2817" w:rsidP="00001690">
      <w:pPr>
        <w:numPr>
          <w:ilvl w:val="0"/>
          <w:numId w:val="6"/>
        </w:numPr>
        <w:spacing w:before="240" w:after="240" w:line="276" w:lineRule="auto"/>
        <w:jc w:val="both"/>
        <w:rPr>
          <w:rFonts w:asciiTheme="minorHAnsi" w:eastAsia="Arial" w:hAnsiTheme="minorHAnsi" w:cstheme="minorHAnsi"/>
          <w:i/>
          <w:iCs/>
        </w:rPr>
      </w:pPr>
      <w:r w:rsidRPr="00211A44">
        <w:rPr>
          <w:rFonts w:asciiTheme="minorHAnsi" w:hAnsiTheme="minorHAnsi" w:cstheme="minorHAnsi"/>
        </w:rPr>
        <w:t>Investigation des MAPI en grappes s’attardera en premier lieu à déterminer l’éventualité d’une erreur de vaccination ou d’un problème de qualité du vaccin</w:t>
      </w:r>
      <w:bookmarkStart w:id="15" w:name="_Toc62680957"/>
      <w:bookmarkStart w:id="16" w:name="_Toc67765896"/>
      <w:r w:rsidRPr="00211A44">
        <w:rPr>
          <w:rFonts w:asciiTheme="minorHAnsi" w:hAnsiTheme="minorHAnsi" w:cstheme="minorHAnsi"/>
        </w:rPr>
        <w:t> ;</w:t>
      </w:r>
    </w:p>
    <w:p w14:paraId="7281B56A" w14:textId="3699EE16" w:rsidR="006D2817" w:rsidRPr="00211A44" w:rsidRDefault="006D2817" w:rsidP="00001690">
      <w:pPr>
        <w:numPr>
          <w:ilvl w:val="0"/>
          <w:numId w:val="6"/>
        </w:numPr>
        <w:spacing w:before="240" w:after="240" w:line="276" w:lineRule="auto"/>
        <w:jc w:val="both"/>
        <w:rPr>
          <w:rFonts w:asciiTheme="minorHAnsi" w:eastAsia="Arial" w:hAnsiTheme="minorHAnsi" w:cstheme="minorHAnsi"/>
          <w:i/>
          <w:iCs/>
        </w:rPr>
      </w:pPr>
      <w:r w:rsidRPr="00211A44">
        <w:rPr>
          <w:rFonts w:asciiTheme="minorHAnsi" w:hAnsiTheme="minorHAnsi" w:cstheme="minorHAnsi"/>
        </w:rPr>
        <w:t>Analyse des échantillons au laboratoire</w:t>
      </w:r>
      <w:bookmarkEnd w:id="15"/>
      <w:bookmarkEnd w:id="16"/>
      <w:r w:rsidRPr="00211A44">
        <w:rPr>
          <w:rFonts w:asciiTheme="minorHAnsi" w:hAnsiTheme="minorHAnsi" w:cstheme="minorHAnsi"/>
        </w:rPr>
        <w:t> : en cas de nécessité, des examens « de routine » seront menés dans des laboratoires appropriés homologués par le Ministère de la Santé Publique ;</w:t>
      </w:r>
    </w:p>
    <w:p w14:paraId="63BD6513" w14:textId="258F7E7A" w:rsidR="002D2E4F" w:rsidRPr="00211A44" w:rsidRDefault="006D2817" w:rsidP="00001690">
      <w:pPr>
        <w:spacing w:line="276" w:lineRule="auto"/>
        <w:jc w:val="both"/>
        <w:rPr>
          <w:rFonts w:asciiTheme="minorHAnsi" w:eastAsia="Arial" w:hAnsiTheme="minorHAnsi" w:cstheme="minorHAnsi"/>
          <w:i/>
          <w:iCs/>
        </w:rPr>
      </w:pPr>
      <w:r w:rsidRPr="00211A44">
        <w:rPr>
          <w:rFonts w:asciiTheme="minorHAnsi" w:eastAsia="Arial" w:hAnsiTheme="minorHAnsi" w:cstheme="minorHAnsi"/>
        </w:rPr>
        <w:t>En ce qui concerne la prise en charge des cas graves, elle se fera gratuitement dans les hôpitaux publics.</w:t>
      </w:r>
    </w:p>
    <w:p w14:paraId="5E52F84D" w14:textId="75A9C571" w:rsidR="002411F5" w:rsidRPr="00211A44" w:rsidRDefault="002411F5" w:rsidP="003E7EA9">
      <w:pPr>
        <w:pStyle w:val="Titre2"/>
        <w:numPr>
          <w:ilvl w:val="1"/>
          <w:numId w:val="3"/>
        </w:numPr>
        <w:rPr>
          <w:rFonts w:asciiTheme="minorHAnsi" w:hAnsiTheme="minorHAnsi" w:cstheme="minorHAnsi"/>
          <w:b w:val="0"/>
          <w:bCs w:val="0"/>
          <w:color w:val="auto"/>
          <w:sz w:val="24"/>
          <w:szCs w:val="24"/>
          <w:lang w:val="fr-FR"/>
        </w:rPr>
      </w:pPr>
      <w:bookmarkStart w:id="17" w:name="_Toc97572946"/>
      <w:r w:rsidRPr="00211A44">
        <w:rPr>
          <w:rFonts w:asciiTheme="minorHAnsi" w:hAnsiTheme="minorHAnsi" w:cstheme="minorHAnsi"/>
          <w:b w:val="0"/>
          <w:bCs w:val="0"/>
          <w:color w:val="auto"/>
          <w:sz w:val="24"/>
          <w:szCs w:val="24"/>
          <w:lang w:val="fr-FR"/>
        </w:rPr>
        <w:t>Information de la communauté et des gardiens d’enfants cible</w:t>
      </w:r>
      <w:bookmarkEnd w:id="17"/>
    </w:p>
    <w:p w14:paraId="46AA20E9" w14:textId="04D1F3CA" w:rsidR="00876462" w:rsidRPr="00211A44" w:rsidRDefault="00876462" w:rsidP="00876462">
      <w:pPr>
        <w:pStyle w:val="Titre3"/>
        <w:numPr>
          <w:ilvl w:val="2"/>
          <w:numId w:val="3"/>
        </w:numPr>
        <w:pBdr>
          <w:bottom w:val="none" w:sz="0" w:space="0" w:color="auto"/>
        </w:pBdr>
        <w:spacing w:before="240" w:after="240"/>
        <w:ind w:left="1225" w:hanging="505"/>
        <w:rPr>
          <w:rFonts w:asciiTheme="minorHAnsi" w:hAnsiTheme="minorHAnsi" w:cstheme="minorHAnsi"/>
          <w:sz w:val="24"/>
          <w:szCs w:val="24"/>
          <w:lang w:val="fr-FR"/>
        </w:rPr>
      </w:pPr>
      <w:bookmarkStart w:id="18" w:name="_Toc97572947"/>
      <w:r w:rsidRPr="00211A44">
        <w:rPr>
          <w:rFonts w:asciiTheme="minorHAnsi" w:hAnsiTheme="minorHAnsi" w:cstheme="minorHAnsi"/>
          <w:sz w:val="24"/>
          <w:szCs w:val="24"/>
          <w:lang w:val="fr-FR"/>
        </w:rPr>
        <w:t>Contexte et environnement social actuel</w:t>
      </w:r>
      <w:bookmarkEnd w:id="18"/>
    </w:p>
    <w:p w14:paraId="2193EC17" w14:textId="68A990FA" w:rsidR="003D6FEE" w:rsidRPr="00211A44" w:rsidRDefault="003D6FEE" w:rsidP="00D50ADA">
      <w:pPr>
        <w:spacing w:line="276" w:lineRule="auto"/>
        <w:jc w:val="both"/>
        <w:rPr>
          <w:rFonts w:asciiTheme="minorHAnsi" w:hAnsiTheme="minorHAnsi" w:cstheme="minorHAnsi"/>
          <w:i/>
          <w:iCs/>
          <w:lang w:val="fr-FR"/>
        </w:rPr>
      </w:pPr>
      <w:r w:rsidRPr="00211A44">
        <w:rPr>
          <w:rFonts w:asciiTheme="minorHAnsi" w:hAnsiTheme="minorHAnsi" w:cstheme="minorHAnsi"/>
          <w:lang w:val="fr-FR"/>
        </w:rPr>
        <w:t>Depuis l’introduction du vaccin contre le HPV en 2019 et l’avènement de la pandémie à covid19 en 2020, le contexte</w:t>
      </w:r>
      <w:r w:rsidR="00B06E9B" w:rsidRPr="00211A44">
        <w:rPr>
          <w:rFonts w:asciiTheme="minorHAnsi" w:hAnsiTheme="minorHAnsi" w:cstheme="minorHAnsi"/>
          <w:lang w:val="fr-FR"/>
        </w:rPr>
        <w:t xml:space="preserve"> social actuel</w:t>
      </w:r>
      <w:r w:rsidRPr="00211A44">
        <w:rPr>
          <w:rFonts w:asciiTheme="minorHAnsi" w:hAnsiTheme="minorHAnsi" w:cstheme="minorHAnsi"/>
          <w:lang w:val="fr-FR"/>
        </w:rPr>
        <w:t xml:space="preserve"> est marqué par la prolifération des fake news et la défiance vis à vis de la vaccination. Le système de santé fait désormais face à des rumeurs </w:t>
      </w:r>
      <w:r w:rsidRPr="00211A44">
        <w:rPr>
          <w:rFonts w:asciiTheme="minorHAnsi" w:hAnsiTheme="minorHAnsi" w:cstheme="minorHAnsi"/>
          <w:lang w:val="fr-FR"/>
        </w:rPr>
        <w:lastRenderedPageBreak/>
        <w:t>perceptibles autant dans les médias classiques que dans les réseaux sociaux et les communautés. Les différentes études</w:t>
      </w:r>
      <w:r w:rsidRPr="00211A44">
        <w:rPr>
          <w:rFonts w:asciiTheme="minorHAnsi" w:hAnsiTheme="minorHAnsi" w:cstheme="minorHAnsi"/>
        </w:rPr>
        <w:footnoteReference w:id="2"/>
      </w:r>
      <w:r w:rsidRPr="00211A44">
        <w:rPr>
          <w:rFonts w:asciiTheme="minorHAnsi" w:hAnsiTheme="minorHAnsi" w:cstheme="minorHAnsi"/>
          <w:lang w:val="fr-FR"/>
        </w:rPr>
        <w:t xml:space="preserve"> menées démontrent à suffisance la nécessité de mettre en place des mécanismes destinés à améliorer les connaissances attitudes et pratiques des populations vis-à-vis de la vaccination. Ces études ont la particularité d’avoir mis en relief le personnel de santé en tant que nouvelle cible de la communication en matière de vaccination. Le remplacement du </w:t>
      </w:r>
      <w:proofErr w:type="spellStart"/>
      <w:r w:rsidRPr="00211A44">
        <w:rPr>
          <w:rFonts w:asciiTheme="minorHAnsi" w:hAnsiTheme="minorHAnsi" w:cstheme="minorHAnsi"/>
          <w:lang w:val="fr-FR"/>
        </w:rPr>
        <w:t>Rotarix</w:t>
      </w:r>
      <w:proofErr w:type="spellEnd"/>
      <w:r w:rsidRPr="00211A44">
        <w:rPr>
          <w:rFonts w:asciiTheme="minorHAnsi" w:hAnsiTheme="minorHAnsi" w:cstheme="minorHAnsi"/>
          <w:lang w:val="fr-FR"/>
        </w:rPr>
        <w:t xml:space="preserve"> en Rotavac pouvant être source de rumeurs il convient donc dans le cadre de ce switch, en plus des activités de masse, de placer ce personnel de santé au centre de la stratégie communication. </w:t>
      </w:r>
    </w:p>
    <w:p w14:paraId="0B62A0B1" w14:textId="07E6DED2" w:rsidR="00876462" w:rsidRPr="00211A44" w:rsidRDefault="00876462" w:rsidP="003E1A1A">
      <w:pPr>
        <w:pStyle w:val="Titre3"/>
        <w:numPr>
          <w:ilvl w:val="2"/>
          <w:numId w:val="3"/>
        </w:numPr>
        <w:pBdr>
          <w:bottom w:val="none" w:sz="0" w:space="0" w:color="auto"/>
        </w:pBdr>
        <w:spacing w:before="240" w:after="240"/>
        <w:ind w:left="1225" w:hanging="505"/>
        <w:rPr>
          <w:rFonts w:asciiTheme="minorHAnsi" w:hAnsiTheme="minorHAnsi" w:cstheme="minorHAnsi"/>
          <w:sz w:val="24"/>
          <w:szCs w:val="24"/>
          <w:lang w:val="fr-FR"/>
        </w:rPr>
      </w:pPr>
      <w:bookmarkStart w:id="19" w:name="_Toc97572948"/>
      <w:r w:rsidRPr="00211A44">
        <w:rPr>
          <w:rFonts w:asciiTheme="minorHAnsi" w:hAnsiTheme="minorHAnsi" w:cstheme="minorHAnsi"/>
          <w:sz w:val="24"/>
          <w:szCs w:val="24"/>
          <w:lang w:val="fr-FR"/>
        </w:rPr>
        <w:t>Activités de communication planifiées</w:t>
      </w:r>
      <w:bookmarkEnd w:id="19"/>
    </w:p>
    <w:p w14:paraId="628B0C45" w14:textId="04A91A73" w:rsidR="00876462" w:rsidRPr="00211A44" w:rsidRDefault="003E1A1A" w:rsidP="00D50ADA">
      <w:pPr>
        <w:spacing w:line="276" w:lineRule="auto"/>
        <w:jc w:val="both"/>
        <w:rPr>
          <w:rFonts w:asciiTheme="minorHAnsi" w:hAnsiTheme="minorHAnsi" w:cstheme="minorHAnsi"/>
          <w:i/>
          <w:iCs/>
          <w:lang w:val="fr-FR"/>
        </w:rPr>
      </w:pPr>
      <w:r w:rsidRPr="00211A44">
        <w:rPr>
          <w:rFonts w:asciiTheme="minorHAnsi" w:hAnsiTheme="minorHAnsi" w:cstheme="minorHAnsi"/>
          <w:lang w:val="fr-FR"/>
        </w:rPr>
        <w:t xml:space="preserve">Les activités de communication vont se concentrer autour du personnel de santé en charge de la vaccination, responsable de la communication auprès des gardiens d’enfants. La session de </w:t>
      </w:r>
      <w:proofErr w:type="gramStart"/>
      <w:r w:rsidRPr="00211A44">
        <w:rPr>
          <w:rFonts w:asciiTheme="minorHAnsi" w:hAnsiTheme="minorHAnsi" w:cstheme="minorHAnsi"/>
          <w:lang w:val="fr-FR"/>
        </w:rPr>
        <w:t>briefing</w:t>
      </w:r>
      <w:proofErr w:type="gramEnd"/>
      <w:r w:rsidRPr="00211A44">
        <w:rPr>
          <w:rFonts w:asciiTheme="minorHAnsi" w:hAnsiTheme="minorHAnsi" w:cstheme="minorHAnsi"/>
          <w:lang w:val="fr-FR"/>
        </w:rPr>
        <w:t xml:space="preserve"> de ces personnels de santé va mettre l’accent sur l</w:t>
      </w:r>
      <w:r w:rsidR="00373063" w:rsidRPr="00211A44">
        <w:rPr>
          <w:rFonts w:asciiTheme="minorHAnsi" w:hAnsiTheme="minorHAnsi" w:cstheme="minorHAnsi"/>
          <w:lang w:val="fr-FR"/>
        </w:rPr>
        <w:t>es techniques de</w:t>
      </w:r>
      <w:r w:rsidRPr="00211A44">
        <w:rPr>
          <w:rFonts w:asciiTheme="minorHAnsi" w:hAnsiTheme="minorHAnsi" w:cstheme="minorHAnsi"/>
          <w:lang w:val="fr-FR"/>
        </w:rPr>
        <w:t xml:space="preserve"> communication interpersonnelle</w:t>
      </w:r>
      <w:r w:rsidR="00373063" w:rsidRPr="00211A44">
        <w:rPr>
          <w:rFonts w:asciiTheme="minorHAnsi" w:hAnsiTheme="minorHAnsi" w:cstheme="minorHAnsi"/>
          <w:lang w:val="fr-FR"/>
        </w:rPr>
        <w:t xml:space="preserve"> en matière de vaccination</w:t>
      </w:r>
      <w:r w:rsidR="0009150A" w:rsidRPr="00211A44">
        <w:rPr>
          <w:rFonts w:asciiTheme="minorHAnsi" w:hAnsiTheme="minorHAnsi" w:cstheme="minorHAnsi"/>
          <w:lang w:val="fr-FR"/>
        </w:rPr>
        <w:t>.</w:t>
      </w:r>
    </w:p>
    <w:p w14:paraId="42D4E487" w14:textId="72B35F5B" w:rsidR="003D6FEE" w:rsidRPr="00211A44" w:rsidRDefault="003D6FEE" w:rsidP="00D50ADA">
      <w:pPr>
        <w:spacing w:line="276" w:lineRule="auto"/>
        <w:jc w:val="both"/>
        <w:rPr>
          <w:rFonts w:asciiTheme="minorHAnsi" w:hAnsiTheme="minorHAnsi" w:cstheme="minorHAnsi"/>
          <w:i/>
          <w:iCs/>
          <w:lang w:val="fr-FR"/>
        </w:rPr>
      </w:pPr>
      <w:r w:rsidRPr="00211A44">
        <w:rPr>
          <w:rFonts w:asciiTheme="minorHAnsi" w:hAnsiTheme="minorHAnsi" w:cstheme="minorHAnsi"/>
          <w:lang w:val="fr-FR"/>
        </w:rPr>
        <w:t>Il est donc prévu entre autres</w:t>
      </w:r>
      <w:r w:rsidR="007E1298" w:rsidRPr="00211A44">
        <w:rPr>
          <w:rFonts w:asciiTheme="minorHAnsi" w:hAnsiTheme="minorHAnsi" w:cstheme="minorHAnsi"/>
          <w:i/>
          <w:iCs/>
          <w:lang w:val="fr-FR"/>
        </w:rPr>
        <w:t xml:space="preserve"> </w:t>
      </w:r>
      <w:r w:rsidRPr="00211A44">
        <w:rPr>
          <w:rFonts w:asciiTheme="minorHAnsi" w:hAnsiTheme="minorHAnsi" w:cstheme="minorHAnsi"/>
          <w:lang w:val="fr-FR"/>
        </w:rPr>
        <w:t>de :</w:t>
      </w:r>
    </w:p>
    <w:p w14:paraId="4D7092A5" w14:textId="0389BEFE" w:rsidR="0009150A" w:rsidRPr="00211A44" w:rsidRDefault="003D6FEE" w:rsidP="00D50ADA">
      <w:pPr>
        <w:pStyle w:val="Paragraphedeliste"/>
        <w:numPr>
          <w:ilvl w:val="0"/>
          <w:numId w:val="9"/>
        </w:numPr>
        <w:spacing w:line="276" w:lineRule="auto"/>
        <w:jc w:val="both"/>
        <w:rPr>
          <w:rFonts w:cstheme="minorHAnsi"/>
          <w:i w:val="0"/>
          <w:iCs w:val="0"/>
          <w:sz w:val="24"/>
          <w:szCs w:val="24"/>
          <w:lang w:val="fr-FR"/>
        </w:rPr>
      </w:pPr>
      <w:r w:rsidRPr="00211A44">
        <w:rPr>
          <w:rFonts w:cstheme="minorHAnsi"/>
          <w:i w:val="0"/>
          <w:iCs w:val="0"/>
          <w:sz w:val="24"/>
          <w:szCs w:val="24"/>
          <w:lang w:val="fr-FR"/>
        </w:rPr>
        <w:t>Rédiger</w:t>
      </w:r>
      <w:r w:rsidR="0009150A" w:rsidRPr="00211A44">
        <w:rPr>
          <w:rFonts w:cstheme="minorHAnsi"/>
          <w:i w:val="0"/>
          <w:iCs w:val="0"/>
          <w:sz w:val="24"/>
          <w:szCs w:val="24"/>
          <w:lang w:val="fr-FR"/>
        </w:rPr>
        <w:t xml:space="preserve"> et diffuser une lettre circulaire du Ministère de la Santé Publique, contenant toutes les directives adressées à tous les responsables des services de vaccination sur le switch du vaccin anti-rotavirus </w:t>
      </w:r>
    </w:p>
    <w:p w14:paraId="2286022E" w14:textId="77777777" w:rsidR="003D6FEE" w:rsidRPr="00211A44" w:rsidRDefault="003D6FEE" w:rsidP="00D50ADA">
      <w:pPr>
        <w:pStyle w:val="Paragraphedeliste"/>
        <w:numPr>
          <w:ilvl w:val="0"/>
          <w:numId w:val="9"/>
        </w:numPr>
        <w:spacing w:line="276" w:lineRule="auto"/>
        <w:jc w:val="both"/>
        <w:rPr>
          <w:rFonts w:cstheme="minorHAnsi"/>
          <w:i w:val="0"/>
          <w:iCs w:val="0"/>
          <w:sz w:val="24"/>
          <w:szCs w:val="24"/>
          <w:lang w:val="fr-FR"/>
        </w:rPr>
      </w:pPr>
      <w:r w:rsidRPr="00211A44">
        <w:rPr>
          <w:rFonts w:cstheme="minorHAnsi"/>
          <w:i w:val="0"/>
          <w:iCs w:val="0"/>
          <w:sz w:val="24"/>
          <w:szCs w:val="24"/>
          <w:lang w:val="fr-FR"/>
        </w:rPr>
        <w:t>Briefer le personnel de santé sur les techniques de CIP lors des sessions de formation planifiées ;</w:t>
      </w:r>
    </w:p>
    <w:p w14:paraId="0A0E5423" w14:textId="70E61516" w:rsidR="003D6FEE" w:rsidRPr="00211A44" w:rsidRDefault="003D6FEE" w:rsidP="00D50ADA">
      <w:pPr>
        <w:pStyle w:val="Paragraphedeliste"/>
        <w:numPr>
          <w:ilvl w:val="0"/>
          <w:numId w:val="9"/>
        </w:numPr>
        <w:spacing w:line="276" w:lineRule="auto"/>
        <w:jc w:val="both"/>
        <w:rPr>
          <w:rFonts w:cstheme="minorHAnsi"/>
          <w:i w:val="0"/>
          <w:iCs w:val="0"/>
          <w:sz w:val="24"/>
          <w:szCs w:val="24"/>
          <w:lang w:val="fr-FR"/>
        </w:rPr>
      </w:pPr>
      <w:r w:rsidRPr="00211A44">
        <w:rPr>
          <w:rFonts w:cstheme="minorHAnsi"/>
          <w:i w:val="0"/>
          <w:iCs w:val="0"/>
          <w:sz w:val="24"/>
          <w:szCs w:val="24"/>
          <w:lang w:val="fr-FR"/>
        </w:rPr>
        <w:t>Produire des guides et affichettes</w:t>
      </w:r>
      <w:r w:rsidR="00B168DE" w:rsidRPr="00211A44">
        <w:rPr>
          <w:rFonts w:cstheme="minorHAnsi"/>
          <w:i w:val="0"/>
          <w:iCs w:val="0"/>
          <w:sz w:val="24"/>
          <w:szCs w:val="24"/>
          <w:lang w:val="fr-FR"/>
        </w:rPr>
        <w:t xml:space="preserve"> y compris du nouveau calendrier vaccinal,</w:t>
      </w:r>
      <w:r w:rsidRPr="00211A44">
        <w:rPr>
          <w:rFonts w:cstheme="minorHAnsi"/>
          <w:i w:val="0"/>
          <w:iCs w:val="0"/>
          <w:sz w:val="24"/>
          <w:szCs w:val="24"/>
          <w:lang w:val="fr-FR"/>
        </w:rPr>
        <w:t xml:space="preserve"> à l’usage du personnel de santé et des acteurs communautaires ;</w:t>
      </w:r>
    </w:p>
    <w:p w14:paraId="67B67929" w14:textId="63E57643" w:rsidR="007B2A16" w:rsidRPr="00211A44" w:rsidRDefault="003D6FEE" w:rsidP="00D50ADA">
      <w:pPr>
        <w:pStyle w:val="Paragraphedeliste"/>
        <w:numPr>
          <w:ilvl w:val="0"/>
          <w:numId w:val="9"/>
        </w:numPr>
        <w:spacing w:line="276" w:lineRule="auto"/>
        <w:jc w:val="both"/>
        <w:rPr>
          <w:rFonts w:cstheme="minorHAnsi"/>
          <w:i w:val="0"/>
          <w:iCs w:val="0"/>
          <w:sz w:val="24"/>
          <w:szCs w:val="24"/>
          <w:lang w:val="fr-FR"/>
        </w:rPr>
      </w:pPr>
      <w:r w:rsidRPr="00211A44">
        <w:rPr>
          <w:rFonts w:cstheme="minorHAnsi"/>
          <w:i w:val="0"/>
          <w:iCs w:val="0"/>
          <w:sz w:val="24"/>
          <w:szCs w:val="24"/>
          <w:lang w:val="fr-FR"/>
        </w:rPr>
        <w:t xml:space="preserve">Planifier et mettre en œuvre un plan de </w:t>
      </w:r>
      <w:r w:rsidR="0009150A" w:rsidRPr="00211A44">
        <w:rPr>
          <w:rFonts w:cstheme="minorHAnsi"/>
          <w:i w:val="0"/>
          <w:iCs w:val="0"/>
          <w:sz w:val="24"/>
          <w:szCs w:val="24"/>
          <w:lang w:val="fr-FR"/>
        </w:rPr>
        <w:t>p</w:t>
      </w:r>
      <w:r w:rsidRPr="00211A44">
        <w:rPr>
          <w:rFonts w:cstheme="minorHAnsi"/>
          <w:i w:val="0"/>
          <w:iCs w:val="0"/>
          <w:sz w:val="24"/>
          <w:szCs w:val="24"/>
          <w:lang w:val="fr-FR"/>
        </w:rPr>
        <w:t>ost à destination du grand public sur les différentes plateformes numériques du PEV.</w:t>
      </w:r>
    </w:p>
    <w:p w14:paraId="74F6DA4E" w14:textId="1A57E78D" w:rsidR="00B168DE" w:rsidRPr="00211A44" w:rsidRDefault="00B168DE" w:rsidP="00D50ADA">
      <w:pPr>
        <w:pStyle w:val="Paragraphedeliste"/>
        <w:numPr>
          <w:ilvl w:val="0"/>
          <w:numId w:val="9"/>
        </w:numPr>
        <w:spacing w:line="276" w:lineRule="auto"/>
        <w:jc w:val="both"/>
        <w:rPr>
          <w:rFonts w:cstheme="minorHAnsi"/>
          <w:i w:val="0"/>
          <w:iCs w:val="0"/>
          <w:sz w:val="24"/>
          <w:szCs w:val="24"/>
          <w:lang w:val="fr-FR"/>
        </w:rPr>
      </w:pPr>
      <w:r w:rsidRPr="00211A44">
        <w:rPr>
          <w:rFonts w:cstheme="minorHAnsi"/>
          <w:i w:val="0"/>
          <w:iCs w:val="0"/>
          <w:sz w:val="24"/>
          <w:szCs w:val="24"/>
          <w:lang w:val="fr-FR"/>
        </w:rPr>
        <w:t>Mener une campagne de communication digitale ave l’association des bloggeurs du Cameroun sur la vaccination de routine en général dans lequel le nouveau calendrier vaccinal comprenant les doses de Rotavac® sera vulgarisé.</w:t>
      </w:r>
    </w:p>
    <w:p w14:paraId="005E48B2" w14:textId="009A7199" w:rsidR="002411F5" w:rsidRPr="00211A44" w:rsidRDefault="007B2A16" w:rsidP="007B2A16">
      <w:pPr>
        <w:rPr>
          <w:rFonts w:asciiTheme="minorHAnsi" w:hAnsiTheme="minorHAnsi" w:cstheme="minorHAnsi"/>
          <w:i/>
          <w:iCs/>
          <w:lang w:val="fr-FR"/>
        </w:rPr>
      </w:pPr>
      <w:r w:rsidRPr="00211A44">
        <w:rPr>
          <w:rFonts w:asciiTheme="minorHAnsi" w:hAnsiTheme="minorHAnsi" w:cstheme="minorHAnsi"/>
          <w:lang w:val="fr-FR"/>
        </w:rPr>
        <w:br w:type="page"/>
      </w:r>
    </w:p>
    <w:p w14:paraId="0A0969D3" w14:textId="12FD4C56" w:rsidR="002411F5" w:rsidRPr="00211A44" w:rsidRDefault="002411F5" w:rsidP="00876462">
      <w:pPr>
        <w:pStyle w:val="Titre2"/>
        <w:numPr>
          <w:ilvl w:val="1"/>
          <w:numId w:val="13"/>
        </w:numPr>
        <w:rPr>
          <w:rFonts w:asciiTheme="minorHAnsi" w:hAnsiTheme="minorHAnsi" w:cstheme="minorHAnsi"/>
          <w:b w:val="0"/>
          <w:bCs w:val="0"/>
          <w:color w:val="auto"/>
          <w:sz w:val="24"/>
          <w:szCs w:val="24"/>
          <w:lang w:val="fr-FR"/>
        </w:rPr>
      </w:pPr>
      <w:bookmarkStart w:id="20" w:name="_Toc97572949"/>
      <w:r w:rsidRPr="00211A44">
        <w:rPr>
          <w:rFonts w:asciiTheme="minorHAnsi" w:hAnsiTheme="minorHAnsi" w:cstheme="minorHAnsi"/>
          <w:b w:val="0"/>
          <w:bCs w:val="0"/>
          <w:color w:val="auto"/>
          <w:sz w:val="24"/>
          <w:szCs w:val="24"/>
          <w:lang w:val="fr-FR"/>
        </w:rPr>
        <w:lastRenderedPageBreak/>
        <w:t>Approvisionnement en vaccin et gestion des stocks</w:t>
      </w:r>
      <w:bookmarkEnd w:id="20"/>
      <w:r w:rsidRPr="00211A44">
        <w:rPr>
          <w:rFonts w:asciiTheme="minorHAnsi" w:hAnsiTheme="minorHAnsi" w:cstheme="minorHAnsi"/>
          <w:b w:val="0"/>
          <w:bCs w:val="0"/>
          <w:color w:val="auto"/>
          <w:sz w:val="24"/>
          <w:szCs w:val="24"/>
          <w:lang w:val="fr-FR"/>
        </w:rPr>
        <w:tab/>
      </w:r>
    </w:p>
    <w:p w14:paraId="644DD97E" w14:textId="77777777" w:rsidR="003E7EA9" w:rsidRPr="00211A44" w:rsidRDefault="003E7EA9" w:rsidP="00876462">
      <w:pPr>
        <w:pStyle w:val="Titre3"/>
        <w:numPr>
          <w:ilvl w:val="2"/>
          <w:numId w:val="13"/>
        </w:numPr>
        <w:pBdr>
          <w:bottom w:val="none" w:sz="0" w:space="0" w:color="auto"/>
        </w:pBdr>
        <w:spacing w:before="240" w:after="240"/>
        <w:ind w:left="1225" w:hanging="505"/>
        <w:rPr>
          <w:rFonts w:asciiTheme="minorHAnsi" w:hAnsiTheme="minorHAnsi" w:cstheme="minorHAnsi"/>
          <w:sz w:val="24"/>
          <w:szCs w:val="24"/>
          <w:lang w:val="fr-FR"/>
        </w:rPr>
      </w:pPr>
      <w:bookmarkStart w:id="21" w:name="_Toc10665411"/>
      <w:bookmarkStart w:id="22" w:name="_Toc97572950"/>
      <w:r w:rsidRPr="00211A44">
        <w:rPr>
          <w:rFonts w:asciiTheme="minorHAnsi" w:hAnsiTheme="minorHAnsi" w:cstheme="minorHAnsi"/>
          <w:sz w:val="24"/>
          <w:szCs w:val="24"/>
          <w:lang w:val="fr-FR"/>
        </w:rPr>
        <w:t>Organisation de la chaine d’approvisionnement</w:t>
      </w:r>
      <w:bookmarkEnd w:id="22"/>
    </w:p>
    <w:p w14:paraId="3BF40628" w14:textId="665E15ED" w:rsidR="007B2A16" w:rsidRPr="00211A44" w:rsidRDefault="007B2A16" w:rsidP="38F72E36">
      <w:pPr>
        <w:pStyle w:val="Paragraphedeliste"/>
        <w:spacing w:before="240" w:after="240" w:line="276" w:lineRule="auto"/>
        <w:ind w:left="0"/>
        <w:contextualSpacing w:val="0"/>
        <w:jc w:val="both"/>
        <w:rPr>
          <w:rFonts w:cstheme="minorHAnsi"/>
          <w:i w:val="0"/>
          <w:iCs w:val="0"/>
          <w:sz w:val="24"/>
          <w:szCs w:val="24"/>
          <w:lang w:val="fr-FR"/>
        </w:rPr>
      </w:pPr>
      <w:r w:rsidRPr="00211A44">
        <w:rPr>
          <w:rFonts w:cstheme="minorHAnsi"/>
          <w:i w:val="0"/>
          <w:iCs w:val="0"/>
          <w:sz w:val="24"/>
          <w:szCs w:val="24"/>
          <w:lang w:val="fr-FR"/>
        </w:rPr>
        <w:t xml:space="preserve">La chaine d’approvisionnement du pays est organisée en 4 niveaux : les niveaux central, régional district de santé et aire de santé. Le stockage des vaccins à chaque niveau nécessite la disponibilité des équipements de la chaine du froid. </w:t>
      </w:r>
      <w:bookmarkStart w:id="23" w:name="_Toc95808673"/>
      <w:r w:rsidRPr="00211A44">
        <w:rPr>
          <w:rFonts w:cstheme="minorHAnsi"/>
          <w:i w:val="0"/>
          <w:iCs w:val="0"/>
          <w:sz w:val="24"/>
          <w:szCs w:val="24"/>
          <w:lang w:val="fr-FR"/>
        </w:rPr>
        <w:t>L’approvisionnement en vaccin suivra le circuit habituel des vaccins de routine. En effet l’achat du vaccin et le transport jusqu’aux ports d’entrée, dans ce cas, l’aéroport de Yaoundé-</w:t>
      </w:r>
      <w:proofErr w:type="spellStart"/>
      <w:r w:rsidRPr="00211A44">
        <w:rPr>
          <w:rFonts w:cstheme="minorHAnsi"/>
          <w:i w:val="0"/>
          <w:iCs w:val="0"/>
          <w:sz w:val="24"/>
          <w:szCs w:val="24"/>
          <w:lang w:val="fr-FR"/>
        </w:rPr>
        <w:t>Nsimalen</w:t>
      </w:r>
      <w:proofErr w:type="spellEnd"/>
      <w:r w:rsidRPr="00211A44">
        <w:rPr>
          <w:rFonts w:cstheme="minorHAnsi"/>
          <w:i w:val="0"/>
          <w:iCs w:val="0"/>
          <w:sz w:val="24"/>
          <w:szCs w:val="24"/>
          <w:lang w:val="fr-FR"/>
        </w:rPr>
        <w:t xml:space="preserve"> du Cameroun sont assurés par l’UNICEF en raison de son expertise dans les achats internationaux des produits pharmaceutiques. Un mémorandum d’entente a été signé entre le MINSANTE et l’UNICEF Les transitaires sont sélectionnés par procédure de gré à gré pour l’enlèvement et l’acheminement des vaccins vers les entrepôts centraux. Le PEV dispose d’une base de données de fournisseurs de services de douane et transit à cet effet.</w:t>
      </w:r>
    </w:p>
    <w:p w14:paraId="1B9D0FBD" w14:textId="2B09C230" w:rsidR="007B2A16" w:rsidRPr="00211A44" w:rsidRDefault="007B2A16" w:rsidP="38F72E36">
      <w:pPr>
        <w:pStyle w:val="Paragraphedeliste"/>
        <w:spacing w:before="240" w:after="240" w:line="276" w:lineRule="auto"/>
        <w:ind w:left="0"/>
        <w:contextualSpacing w:val="0"/>
        <w:jc w:val="both"/>
        <w:rPr>
          <w:rFonts w:cstheme="minorHAnsi"/>
          <w:i w:val="0"/>
          <w:iCs w:val="0"/>
          <w:sz w:val="24"/>
          <w:szCs w:val="24"/>
          <w:lang w:val="fr-FR"/>
        </w:rPr>
      </w:pPr>
      <w:r w:rsidRPr="00211A44">
        <w:rPr>
          <w:rFonts w:cstheme="minorHAnsi"/>
          <w:i w:val="0"/>
          <w:iCs w:val="0"/>
          <w:sz w:val="24"/>
          <w:szCs w:val="24"/>
          <w:lang w:val="fr-FR"/>
        </w:rPr>
        <w:t xml:space="preserve">Pour le transport, le GTC-PEV dispose d’un camion frigorifique +2°C et +8°C, d’une capacité de 20 m3 qui transporte les vaccins et autres consommables de la vaccination. </w:t>
      </w:r>
      <w:r w:rsidR="00B06E9B" w:rsidRPr="00211A44">
        <w:rPr>
          <w:rFonts w:cstheme="minorHAnsi"/>
          <w:i w:val="0"/>
          <w:iCs w:val="0"/>
          <w:sz w:val="24"/>
          <w:szCs w:val="24"/>
          <w:lang w:val="fr-FR"/>
        </w:rPr>
        <w:t xml:space="preserve"> Le PEV fait recours aux camions du Ministère de la Santé Publique pour le transport des vaccins</w:t>
      </w:r>
      <w:r w:rsidR="00FF6F62" w:rsidRPr="00211A44">
        <w:rPr>
          <w:rFonts w:cstheme="minorHAnsi"/>
          <w:i w:val="0"/>
          <w:iCs w:val="0"/>
          <w:sz w:val="24"/>
          <w:szCs w:val="24"/>
          <w:lang w:val="fr-FR"/>
        </w:rPr>
        <w:t xml:space="preserve">. Dans certaines </w:t>
      </w:r>
      <w:r w:rsidRPr="00211A44">
        <w:rPr>
          <w:rFonts w:cstheme="minorHAnsi"/>
          <w:i w:val="0"/>
          <w:iCs w:val="0"/>
          <w:sz w:val="24"/>
          <w:szCs w:val="24"/>
          <w:lang w:val="fr-FR"/>
        </w:rPr>
        <w:t xml:space="preserve">situations, des contrats </w:t>
      </w:r>
      <w:r w:rsidR="00FF6F62" w:rsidRPr="00211A44">
        <w:rPr>
          <w:rFonts w:cstheme="minorHAnsi"/>
          <w:i w:val="0"/>
          <w:iCs w:val="0"/>
          <w:sz w:val="24"/>
          <w:szCs w:val="24"/>
          <w:lang w:val="fr-FR"/>
        </w:rPr>
        <w:t>sont</w:t>
      </w:r>
      <w:r w:rsidRPr="00211A44">
        <w:rPr>
          <w:rFonts w:cstheme="minorHAnsi"/>
          <w:i w:val="0"/>
          <w:iCs w:val="0"/>
          <w:sz w:val="24"/>
          <w:szCs w:val="24"/>
          <w:lang w:val="fr-FR"/>
        </w:rPr>
        <w:t xml:space="preserve"> passés avec des entreprises privées pour effectuer les livraisons sous la supervision des accompagnateurs du GTC-PEV afin d’assurer la sécurité de la cargaison. Pour des cas d’urgence, les colis des vaccins sont transportés par la Compagnie Nationale </w:t>
      </w:r>
      <w:proofErr w:type="spellStart"/>
      <w:r w:rsidRPr="00211A44">
        <w:rPr>
          <w:rFonts w:cstheme="minorHAnsi"/>
          <w:i w:val="0"/>
          <w:iCs w:val="0"/>
          <w:sz w:val="24"/>
          <w:szCs w:val="24"/>
          <w:lang w:val="fr-FR"/>
        </w:rPr>
        <w:t>CamairCo</w:t>
      </w:r>
      <w:proofErr w:type="spellEnd"/>
      <w:r w:rsidRPr="00211A44">
        <w:rPr>
          <w:rFonts w:cstheme="minorHAnsi"/>
          <w:i w:val="0"/>
          <w:iCs w:val="0"/>
          <w:sz w:val="24"/>
          <w:szCs w:val="24"/>
          <w:lang w:val="fr-FR"/>
        </w:rPr>
        <w:t xml:space="preserve"> de Yaoundé vers les Régions disposant d’un aéroport. Au niveau périphérique, les D</w:t>
      </w:r>
      <w:r w:rsidR="00FF6F62" w:rsidRPr="00211A44">
        <w:rPr>
          <w:rFonts w:cstheme="minorHAnsi"/>
          <w:i w:val="0"/>
          <w:iCs w:val="0"/>
          <w:sz w:val="24"/>
          <w:szCs w:val="24"/>
          <w:lang w:val="fr-FR"/>
        </w:rPr>
        <w:t>istrict de santé</w:t>
      </w:r>
      <w:r w:rsidRPr="00211A44">
        <w:rPr>
          <w:rFonts w:cstheme="minorHAnsi"/>
          <w:i w:val="0"/>
          <w:iCs w:val="0"/>
          <w:sz w:val="24"/>
          <w:szCs w:val="24"/>
          <w:lang w:val="fr-FR"/>
        </w:rPr>
        <w:t xml:space="preserve"> s’approvisionne</w:t>
      </w:r>
      <w:r w:rsidR="00FF6F62" w:rsidRPr="00211A44">
        <w:rPr>
          <w:rFonts w:cstheme="minorHAnsi"/>
          <w:i w:val="0"/>
          <w:iCs w:val="0"/>
          <w:sz w:val="24"/>
          <w:szCs w:val="24"/>
          <w:lang w:val="fr-FR"/>
        </w:rPr>
        <w:t>nt en fonction de leur besoin</w:t>
      </w:r>
      <w:r w:rsidRPr="00211A44">
        <w:rPr>
          <w:rFonts w:cstheme="minorHAnsi"/>
          <w:i w:val="0"/>
          <w:iCs w:val="0"/>
          <w:sz w:val="24"/>
          <w:szCs w:val="24"/>
          <w:lang w:val="fr-FR"/>
        </w:rPr>
        <w:t xml:space="preserve"> au dépôt régional et </w:t>
      </w:r>
      <w:r w:rsidR="00277838" w:rsidRPr="00211A44">
        <w:rPr>
          <w:rFonts w:cstheme="minorHAnsi"/>
          <w:i w:val="0"/>
          <w:iCs w:val="0"/>
          <w:sz w:val="24"/>
          <w:szCs w:val="24"/>
          <w:lang w:val="fr-FR"/>
        </w:rPr>
        <w:t>les formations sanitaires</w:t>
      </w:r>
      <w:r w:rsidR="00FF6F62" w:rsidRPr="00211A44">
        <w:rPr>
          <w:rFonts w:cstheme="minorHAnsi"/>
          <w:i w:val="0"/>
          <w:iCs w:val="0"/>
          <w:sz w:val="24"/>
          <w:szCs w:val="24"/>
          <w:lang w:val="fr-FR"/>
        </w:rPr>
        <w:t xml:space="preserve"> font de même auprès des </w:t>
      </w:r>
      <w:r w:rsidR="00277838" w:rsidRPr="00211A44">
        <w:rPr>
          <w:rFonts w:cstheme="minorHAnsi"/>
          <w:i w:val="0"/>
          <w:iCs w:val="0"/>
          <w:sz w:val="24"/>
          <w:szCs w:val="24"/>
          <w:lang w:val="fr-FR"/>
        </w:rPr>
        <w:t>dépôts des</w:t>
      </w:r>
      <w:r w:rsidR="00FF6F62" w:rsidRPr="00211A44">
        <w:rPr>
          <w:rFonts w:cstheme="minorHAnsi"/>
          <w:i w:val="0"/>
          <w:iCs w:val="0"/>
          <w:sz w:val="24"/>
          <w:szCs w:val="24"/>
          <w:lang w:val="fr-FR"/>
        </w:rPr>
        <w:t xml:space="preserve"> Districts</w:t>
      </w:r>
    </w:p>
    <w:bookmarkEnd w:id="21"/>
    <w:bookmarkEnd w:id="23"/>
    <w:p w14:paraId="73718C04" w14:textId="4EE6B001" w:rsidR="007B2A16" w:rsidRPr="00211A44" w:rsidRDefault="007B2A16" w:rsidP="00D50ADA">
      <w:pPr>
        <w:pStyle w:val="Paragraphedeliste"/>
        <w:tabs>
          <w:tab w:val="left" w:pos="426"/>
        </w:tabs>
        <w:spacing w:before="240" w:after="240" w:line="276" w:lineRule="auto"/>
        <w:ind w:left="0"/>
        <w:contextualSpacing w:val="0"/>
        <w:jc w:val="both"/>
        <w:rPr>
          <w:rFonts w:cstheme="minorHAnsi"/>
          <w:i w:val="0"/>
          <w:iCs w:val="0"/>
          <w:sz w:val="24"/>
          <w:szCs w:val="24"/>
          <w:lang w:val="fr-FR"/>
        </w:rPr>
      </w:pPr>
      <w:r w:rsidRPr="00211A44">
        <w:rPr>
          <w:rFonts w:cstheme="minorHAnsi"/>
          <w:i w:val="0"/>
          <w:iCs w:val="0"/>
          <w:sz w:val="24"/>
          <w:szCs w:val="24"/>
          <w:lang w:val="fr-FR"/>
        </w:rPr>
        <w:t>La destruction des produits biologiques se</w:t>
      </w:r>
      <w:r w:rsidR="00277838" w:rsidRPr="00211A44">
        <w:rPr>
          <w:rFonts w:cstheme="minorHAnsi"/>
          <w:i w:val="0"/>
          <w:iCs w:val="0"/>
          <w:sz w:val="24"/>
          <w:szCs w:val="24"/>
          <w:lang w:val="fr-FR"/>
        </w:rPr>
        <w:t xml:space="preserve">lon les directives du </w:t>
      </w:r>
      <w:r w:rsidRPr="00211A44">
        <w:rPr>
          <w:rFonts w:cstheme="minorHAnsi"/>
          <w:i w:val="0"/>
          <w:iCs w:val="0"/>
          <w:sz w:val="24"/>
          <w:szCs w:val="24"/>
          <w:lang w:val="fr-FR"/>
        </w:rPr>
        <w:t>plan national de gestion des déchets sous la responsabilité de la Direction de la Promotion de la Santé. La gestion des déchets issus de la vaccination varie en fonction de leurs types et se fait selon les Procédures Opérationnelles Normalisées (</w:t>
      </w:r>
      <w:proofErr w:type="spellStart"/>
      <w:r w:rsidRPr="00211A44">
        <w:rPr>
          <w:rFonts w:cstheme="minorHAnsi"/>
          <w:i w:val="0"/>
          <w:iCs w:val="0"/>
          <w:sz w:val="24"/>
          <w:szCs w:val="24"/>
          <w:lang w:val="fr-FR"/>
        </w:rPr>
        <w:t>PONs</w:t>
      </w:r>
      <w:proofErr w:type="spellEnd"/>
      <w:r w:rsidRPr="00211A44">
        <w:rPr>
          <w:rFonts w:cstheme="minorHAnsi"/>
          <w:i w:val="0"/>
          <w:iCs w:val="0"/>
          <w:sz w:val="24"/>
          <w:szCs w:val="24"/>
          <w:lang w:val="fr-FR"/>
        </w:rPr>
        <w:t>). Les flacons inutilisables sont collectés dans des emballages appropriés selon le niveau et marqué « Destinés à la destruction » puis transportés d’un niveau à un autre jusqu’au site de destruction identifié.</w:t>
      </w:r>
    </w:p>
    <w:p w14:paraId="2E1C3C02" w14:textId="61731BFC" w:rsidR="003E7EA9" w:rsidRPr="00211A44" w:rsidRDefault="00A120D3" w:rsidP="00876462">
      <w:pPr>
        <w:pStyle w:val="Titre3"/>
        <w:numPr>
          <w:ilvl w:val="2"/>
          <w:numId w:val="13"/>
        </w:numPr>
        <w:pBdr>
          <w:bottom w:val="none" w:sz="0" w:space="0" w:color="auto"/>
        </w:pBdr>
        <w:spacing w:before="240" w:after="240"/>
        <w:rPr>
          <w:rFonts w:asciiTheme="minorHAnsi" w:hAnsiTheme="minorHAnsi" w:cstheme="minorHAnsi"/>
          <w:sz w:val="24"/>
          <w:szCs w:val="24"/>
          <w:lang w:val="fr-FR"/>
        </w:rPr>
      </w:pPr>
      <w:bookmarkStart w:id="24" w:name="_Toc97572951"/>
      <w:r w:rsidRPr="00211A44">
        <w:rPr>
          <w:rFonts w:asciiTheme="minorHAnsi" w:hAnsiTheme="minorHAnsi" w:cstheme="minorHAnsi"/>
          <w:sz w:val="24"/>
          <w:szCs w:val="24"/>
          <w:lang w:val="fr-FR"/>
        </w:rPr>
        <w:t>Activités de</w:t>
      </w:r>
      <w:r w:rsidR="0093711B" w:rsidRPr="00211A44">
        <w:rPr>
          <w:rFonts w:asciiTheme="minorHAnsi" w:hAnsiTheme="minorHAnsi" w:cstheme="minorHAnsi"/>
          <w:sz w:val="24"/>
          <w:szCs w:val="24"/>
          <w:lang w:val="fr-FR"/>
        </w:rPr>
        <w:t xml:space="preserve"> la</w:t>
      </w:r>
      <w:r w:rsidRPr="00211A44">
        <w:rPr>
          <w:rFonts w:asciiTheme="minorHAnsi" w:hAnsiTheme="minorHAnsi" w:cstheme="minorHAnsi"/>
          <w:sz w:val="24"/>
          <w:szCs w:val="24"/>
          <w:lang w:val="fr-FR"/>
        </w:rPr>
        <w:t xml:space="preserve"> logistique planifié</w:t>
      </w:r>
      <w:r w:rsidR="0093711B" w:rsidRPr="00211A44">
        <w:rPr>
          <w:rFonts w:asciiTheme="minorHAnsi" w:hAnsiTheme="minorHAnsi" w:cstheme="minorHAnsi"/>
          <w:sz w:val="24"/>
          <w:szCs w:val="24"/>
          <w:lang w:val="fr-FR"/>
        </w:rPr>
        <w:t>es</w:t>
      </w:r>
      <w:r w:rsidRPr="00211A44">
        <w:rPr>
          <w:rFonts w:asciiTheme="minorHAnsi" w:hAnsiTheme="minorHAnsi" w:cstheme="minorHAnsi"/>
          <w:sz w:val="24"/>
          <w:szCs w:val="24"/>
          <w:lang w:val="fr-FR"/>
        </w:rPr>
        <w:t xml:space="preserve"> pour le switch</w:t>
      </w:r>
      <w:bookmarkEnd w:id="24"/>
    </w:p>
    <w:p w14:paraId="661564CB" w14:textId="695A8ADA" w:rsidR="007B2A16" w:rsidRPr="00211A44" w:rsidRDefault="003E7EA9" w:rsidP="00D50ADA">
      <w:pPr>
        <w:pStyle w:val="StyleCorpsdetexte12ptJustifi1"/>
        <w:spacing w:before="240" w:after="240" w:line="276" w:lineRule="auto"/>
        <w:jc w:val="both"/>
        <w:rPr>
          <w:rFonts w:asciiTheme="minorHAnsi" w:eastAsiaTheme="minorEastAsia" w:hAnsiTheme="minorHAnsi" w:cstheme="minorHAnsi"/>
          <w:lang w:val="fr-FR" w:eastAsia="en-US"/>
        </w:rPr>
      </w:pPr>
      <w:r w:rsidRPr="00211A44">
        <w:rPr>
          <w:rFonts w:asciiTheme="minorHAnsi" w:eastAsiaTheme="minorEastAsia" w:hAnsiTheme="minorHAnsi" w:cstheme="minorHAnsi"/>
          <w:lang w:val="fr-FR" w:eastAsia="en-US"/>
        </w:rPr>
        <w:t>Les doses du vaccin Rotavac® seront distribués à toute les formations sanitaires qui vaccinent avant l</w:t>
      </w:r>
      <w:r w:rsidR="008D5276" w:rsidRPr="00211A44">
        <w:rPr>
          <w:rFonts w:asciiTheme="minorHAnsi" w:eastAsiaTheme="minorEastAsia" w:hAnsiTheme="minorHAnsi" w:cstheme="minorHAnsi"/>
          <w:lang w:val="fr-FR" w:eastAsia="en-US"/>
        </w:rPr>
        <w:t>a date du</w:t>
      </w:r>
      <w:r w:rsidRPr="00211A44">
        <w:rPr>
          <w:rFonts w:asciiTheme="minorHAnsi" w:eastAsiaTheme="minorEastAsia" w:hAnsiTheme="minorHAnsi" w:cstheme="minorHAnsi"/>
          <w:lang w:val="fr-FR" w:eastAsia="en-US"/>
        </w:rPr>
        <w:t xml:space="preserve"> </w:t>
      </w:r>
      <w:r w:rsidR="00D50ADA" w:rsidRPr="00211A44">
        <w:rPr>
          <w:rFonts w:asciiTheme="minorHAnsi" w:eastAsiaTheme="minorEastAsia" w:hAnsiTheme="minorHAnsi" w:cstheme="minorHAnsi"/>
          <w:lang w:val="fr-FR" w:eastAsia="en-US"/>
        </w:rPr>
        <w:t>switch</w:t>
      </w:r>
      <w:r w:rsidRPr="00211A44">
        <w:rPr>
          <w:rFonts w:asciiTheme="minorHAnsi" w:eastAsiaTheme="minorEastAsia" w:hAnsiTheme="minorHAnsi" w:cstheme="minorHAnsi"/>
          <w:lang w:val="fr-FR" w:eastAsia="en-US"/>
        </w:rPr>
        <w:t xml:space="preserve"> pour s’assurer de sa disponibilité lors des sessions de </w:t>
      </w:r>
      <w:proofErr w:type="gramStart"/>
      <w:r w:rsidRPr="00211A44">
        <w:rPr>
          <w:rFonts w:asciiTheme="minorHAnsi" w:eastAsiaTheme="minorEastAsia" w:hAnsiTheme="minorHAnsi" w:cstheme="minorHAnsi"/>
          <w:lang w:val="fr-FR" w:eastAsia="en-US"/>
        </w:rPr>
        <w:t>briefing</w:t>
      </w:r>
      <w:proofErr w:type="gramEnd"/>
      <w:r w:rsidRPr="00211A44">
        <w:rPr>
          <w:rFonts w:asciiTheme="minorHAnsi" w:eastAsiaTheme="minorEastAsia" w:hAnsiTheme="minorHAnsi" w:cstheme="minorHAnsi"/>
          <w:lang w:val="fr-FR" w:eastAsia="en-US"/>
        </w:rPr>
        <w:t xml:space="preserve"> en cascade</w:t>
      </w:r>
      <w:r w:rsidR="008D5276" w:rsidRPr="00211A44">
        <w:rPr>
          <w:rFonts w:asciiTheme="minorHAnsi" w:eastAsiaTheme="minorEastAsia" w:hAnsiTheme="minorHAnsi" w:cstheme="minorHAnsi"/>
          <w:lang w:val="fr-FR" w:eastAsia="en-US"/>
        </w:rPr>
        <w:t xml:space="preserve"> et pour faciliter le monitoring des données de vaccination avec Rotavac ®</w:t>
      </w:r>
      <w:r w:rsidRPr="00211A44">
        <w:rPr>
          <w:rFonts w:asciiTheme="minorHAnsi" w:eastAsiaTheme="minorEastAsia" w:hAnsiTheme="minorHAnsi" w:cstheme="minorHAnsi"/>
          <w:lang w:val="fr-FR" w:eastAsia="en-US"/>
        </w:rPr>
        <w:t>. Tou</w:t>
      </w:r>
      <w:r w:rsidR="008D5276" w:rsidRPr="00211A44">
        <w:rPr>
          <w:rFonts w:asciiTheme="minorHAnsi" w:eastAsiaTheme="minorEastAsia" w:hAnsiTheme="minorHAnsi" w:cstheme="minorHAnsi"/>
          <w:lang w:val="fr-FR" w:eastAsia="en-US"/>
        </w:rPr>
        <w:t xml:space="preserve">tes </w:t>
      </w:r>
      <w:r w:rsidRPr="00211A44">
        <w:rPr>
          <w:rFonts w:asciiTheme="minorHAnsi" w:eastAsiaTheme="minorEastAsia" w:hAnsiTheme="minorHAnsi" w:cstheme="minorHAnsi"/>
          <w:lang w:val="fr-FR" w:eastAsia="en-US"/>
        </w:rPr>
        <w:t xml:space="preserve">les 10 régions seront </w:t>
      </w:r>
      <w:r w:rsidR="00A120D3" w:rsidRPr="00211A44">
        <w:rPr>
          <w:rFonts w:asciiTheme="minorHAnsi" w:eastAsiaTheme="minorEastAsia" w:hAnsiTheme="minorHAnsi" w:cstheme="minorHAnsi"/>
          <w:lang w:val="fr-FR" w:eastAsia="en-US"/>
        </w:rPr>
        <w:t>approvisionnées</w:t>
      </w:r>
      <w:r w:rsidRPr="00211A44">
        <w:rPr>
          <w:rFonts w:asciiTheme="minorHAnsi" w:eastAsiaTheme="minorEastAsia" w:hAnsiTheme="minorHAnsi" w:cstheme="minorHAnsi"/>
          <w:lang w:val="fr-FR" w:eastAsia="en-US"/>
        </w:rPr>
        <w:t xml:space="preserve"> par le niveau Central</w:t>
      </w:r>
      <w:r w:rsidR="007E1298" w:rsidRPr="00211A44">
        <w:rPr>
          <w:rFonts w:asciiTheme="minorHAnsi" w:eastAsiaTheme="minorEastAsia" w:hAnsiTheme="minorHAnsi" w:cstheme="minorHAnsi"/>
          <w:lang w:val="fr-FR" w:eastAsia="en-US"/>
        </w:rPr>
        <w:t xml:space="preserve"> au moins une semaine avant la session de </w:t>
      </w:r>
      <w:proofErr w:type="gramStart"/>
      <w:r w:rsidR="007E1298" w:rsidRPr="00211A44">
        <w:rPr>
          <w:rFonts w:asciiTheme="minorHAnsi" w:eastAsiaTheme="minorEastAsia" w:hAnsiTheme="minorHAnsi" w:cstheme="minorHAnsi"/>
          <w:lang w:val="fr-FR" w:eastAsia="en-US"/>
        </w:rPr>
        <w:t>briefing</w:t>
      </w:r>
      <w:proofErr w:type="gramEnd"/>
      <w:r w:rsidR="007E1298" w:rsidRPr="00211A44">
        <w:rPr>
          <w:rFonts w:asciiTheme="minorHAnsi" w:eastAsiaTheme="minorEastAsia" w:hAnsiTheme="minorHAnsi" w:cstheme="minorHAnsi"/>
          <w:lang w:val="fr-FR" w:eastAsia="en-US"/>
        </w:rPr>
        <w:t xml:space="preserve"> régional</w:t>
      </w:r>
      <w:r w:rsidRPr="00211A44">
        <w:rPr>
          <w:rFonts w:asciiTheme="minorHAnsi" w:eastAsiaTheme="minorEastAsia" w:hAnsiTheme="minorHAnsi" w:cstheme="minorHAnsi"/>
          <w:lang w:val="fr-FR" w:eastAsia="en-US"/>
        </w:rPr>
        <w:t xml:space="preserve">. Les Districts auront </w:t>
      </w:r>
      <w:r w:rsidR="00A120D3" w:rsidRPr="00211A44">
        <w:rPr>
          <w:rFonts w:asciiTheme="minorHAnsi" w:eastAsiaTheme="minorEastAsia" w:hAnsiTheme="minorHAnsi" w:cstheme="minorHAnsi"/>
          <w:lang w:val="fr-FR" w:eastAsia="en-US"/>
        </w:rPr>
        <w:t>un</w:t>
      </w:r>
      <w:r w:rsidR="007E1298" w:rsidRPr="00211A44">
        <w:rPr>
          <w:rFonts w:asciiTheme="minorHAnsi" w:eastAsiaTheme="minorEastAsia" w:hAnsiTheme="minorHAnsi" w:cstheme="minorHAnsi"/>
          <w:lang w:val="fr-FR" w:eastAsia="en-US"/>
        </w:rPr>
        <w:t xml:space="preserve"> appui financier pour assurer le transport du dépôt régionaux vers le dépôt de District et des formations sanitaire</w:t>
      </w:r>
      <w:r w:rsidR="009647DF" w:rsidRPr="00211A44">
        <w:rPr>
          <w:rFonts w:asciiTheme="minorHAnsi" w:eastAsiaTheme="minorEastAsia" w:hAnsiTheme="minorHAnsi" w:cstheme="minorHAnsi"/>
          <w:lang w:val="fr-FR" w:eastAsia="en-US"/>
        </w:rPr>
        <w:t>s</w:t>
      </w:r>
      <w:r w:rsidR="007E1298" w:rsidRPr="00211A44">
        <w:rPr>
          <w:rFonts w:asciiTheme="minorHAnsi" w:eastAsiaTheme="minorEastAsia" w:hAnsiTheme="minorHAnsi" w:cstheme="minorHAnsi"/>
          <w:lang w:val="fr-FR" w:eastAsia="en-US"/>
        </w:rPr>
        <w:t xml:space="preserve"> au moins Une semaine avant la session de </w:t>
      </w:r>
      <w:proofErr w:type="gramStart"/>
      <w:r w:rsidR="007E1298" w:rsidRPr="00211A44">
        <w:rPr>
          <w:rFonts w:asciiTheme="minorHAnsi" w:eastAsiaTheme="minorEastAsia" w:hAnsiTheme="minorHAnsi" w:cstheme="minorHAnsi"/>
          <w:lang w:val="fr-FR" w:eastAsia="en-US"/>
        </w:rPr>
        <w:t>briefing</w:t>
      </w:r>
      <w:proofErr w:type="gramEnd"/>
      <w:r w:rsidR="007E1298" w:rsidRPr="00211A44">
        <w:rPr>
          <w:rFonts w:asciiTheme="minorHAnsi" w:eastAsiaTheme="minorEastAsia" w:hAnsiTheme="minorHAnsi" w:cstheme="minorHAnsi"/>
          <w:lang w:val="fr-FR" w:eastAsia="en-US"/>
        </w:rPr>
        <w:t xml:space="preserve"> </w:t>
      </w:r>
      <w:r w:rsidR="009647DF" w:rsidRPr="00211A44">
        <w:rPr>
          <w:rFonts w:asciiTheme="minorHAnsi" w:eastAsiaTheme="minorEastAsia" w:hAnsiTheme="minorHAnsi" w:cstheme="minorHAnsi"/>
          <w:lang w:val="fr-FR" w:eastAsia="en-US"/>
        </w:rPr>
        <w:t xml:space="preserve">du niveau du District. </w:t>
      </w:r>
      <w:r w:rsidR="007B2A16" w:rsidRPr="00211A44">
        <w:rPr>
          <w:rFonts w:asciiTheme="minorHAnsi" w:eastAsiaTheme="minorEastAsia" w:hAnsiTheme="minorHAnsi" w:cstheme="minorHAnsi"/>
          <w:lang w:val="fr-FR" w:eastAsia="en-US"/>
        </w:rPr>
        <w:t xml:space="preserve">La gestion des déchets issus de la vaccination au Rotavac sera faite au niveau de chaque FOSA qui vaccine soit par brulage soit par incinération le cas échéant, </w:t>
      </w:r>
      <w:r w:rsidR="00C35735" w:rsidRPr="00211A44">
        <w:rPr>
          <w:rFonts w:asciiTheme="minorHAnsi" w:eastAsiaTheme="minorEastAsia" w:hAnsiTheme="minorHAnsi" w:cstheme="minorHAnsi"/>
          <w:lang w:val="fr-FR" w:eastAsia="en-US"/>
        </w:rPr>
        <w:t>suivi d’un</w:t>
      </w:r>
      <w:r w:rsidR="007B2A16" w:rsidRPr="00211A44">
        <w:rPr>
          <w:rFonts w:asciiTheme="minorHAnsi" w:eastAsiaTheme="minorEastAsia" w:hAnsiTheme="minorHAnsi" w:cstheme="minorHAnsi"/>
          <w:lang w:val="fr-FR" w:eastAsia="en-US"/>
        </w:rPr>
        <w:t xml:space="preserve"> enfouissement.</w:t>
      </w:r>
    </w:p>
    <w:p w14:paraId="5E0DAA81" w14:textId="13B02426" w:rsidR="002411F5" w:rsidRPr="00211A44" w:rsidRDefault="002411F5" w:rsidP="00876462">
      <w:pPr>
        <w:pStyle w:val="Titre2"/>
        <w:numPr>
          <w:ilvl w:val="1"/>
          <w:numId w:val="13"/>
        </w:numPr>
        <w:rPr>
          <w:rFonts w:asciiTheme="minorHAnsi" w:hAnsiTheme="minorHAnsi" w:cstheme="minorHAnsi"/>
          <w:b w:val="0"/>
          <w:bCs w:val="0"/>
          <w:color w:val="auto"/>
          <w:sz w:val="24"/>
          <w:szCs w:val="24"/>
          <w:lang w:val="fr-FR"/>
        </w:rPr>
      </w:pPr>
      <w:bookmarkStart w:id="25" w:name="_Toc97572952"/>
      <w:r w:rsidRPr="00211A44">
        <w:rPr>
          <w:rFonts w:asciiTheme="minorHAnsi" w:hAnsiTheme="minorHAnsi" w:cstheme="minorHAnsi"/>
          <w:b w:val="0"/>
          <w:bCs w:val="0"/>
          <w:color w:val="auto"/>
          <w:sz w:val="24"/>
          <w:szCs w:val="24"/>
          <w:lang w:val="fr-FR"/>
        </w:rPr>
        <w:lastRenderedPageBreak/>
        <w:t>Gestion des données et monitoring des performances</w:t>
      </w:r>
      <w:bookmarkEnd w:id="25"/>
    </w:p>
    <w:p w14:paraId="36A7D5B0" w14:textId="009A647F" w:rsidR="00F96CC0" w:rsidRPr="00211A44" w:rsidRDefault="00F93BD7" w:rsidP="00062DDB">
      <w:pPr>
        <w:spacing w:before="240" w:after="240" w:line="276" w:lineRule="auto"/>
        <w:jc w:val="both"/>
        <w:rPr>
          <w:rFonts w:asciiTheme="minorHAnsi" w:hAnsiTheme="minorHAnsi" w:cstheme="minorHAnsi"/>
          <w:i/>
          <w:iCs/>
          <w:lang w:val="fr-FR"/>
        </w:rPr>
      </w:pPr>
      <w:r w:rsidRPr="00211A44">
        <w:rPr>
          <w:rFonts w:asciiTheme="minorHAnsi" w:hAnsiTheme="minorHAnsi" w:cstheme="minorHAnsi"/>
          <w:lang w:val="fr-FR"/>
        </w:rPr>
        <w:t xml:space="preserve">Les outils </w:t>
      </w:r>
      <w:r w:rsidR="00F96CC0" w:rsidRPr="00211A44">
        <w:rPr>
          <w:rFonts w:asciiTheme="minorHAnsi" w:hAnsiTheme="minorHAnsi" w:cstheme="minorHAnsi"/>
          <w:lang w:val="fr-FR"/>
        </w:rPr>
        <w:t xml:space="preserve">de collecte </w:t>
      </w:r>
      <w:r w:rsidR="00840726" w:rsidRPr="00211A44">
        <w:rPr>
          <w:rFonts w:asciiTheme="minorHAnsi" w:hAnsiTheme="minorHAnsi" w:cstheme="minorHAnsi"/>
          <w:lang w:val="fr-FR"/>
        </w:rPr>
        <w:t>de donnée</w:t>
      </w:r>
      <w:r w:rsidR="00F96CC0" w:rsidRPr="00211A44">
        <w:rPr>
          <w:rFonts w:asciiTheme="minorHAnsi" w:hAnsiTheme="minorHAnsi" w:cstheme="minorHAnsi"/>
          <w:lang w:val="fr-FR"/>
        </w:rPr>
        <w:t>s</w:t>
      </w:r>
      <w:r w:rsidR="00840726" w:rsidRPr="00211A44">
        <w:rPr>
          <w:rFonts w:asciiTheme="minorHAnsi" w:hAnsiTheme="minorHAnsi" w:cstheme="minorHAnsi"/>
          <w:lang w:val="fr-FR"/>
        </w:rPr>
        <w:t xml:space="preserve"> (fiche de pointage et registre de vaccination)</w:t>
      </w:r>
      <w:r w:rsidR="00F96CC0" w:rsidRPr="00211A44">
        <w:rPr>
          <w:rFonts w:asciiTheme="minorHAnsi" w:hAnsiTheme="minorHAnsi" w:cstheme="minorHAnsi"/>
          <w:lang w:val="fr-FR"/>
        </w:rPr>
        <w:t xml:space="preserve"> seront actualisés pour prendre en compte tous les changements induit par le switch, et tous les changements prévus pour les 03 prochaines années afin de mutualiser les ressources. Ainsi, une partie des besoins en production des outils actualisé seront couvert par le Grant de l’introduction de VPI II et une autre partie par l’intégration dans les activités du PEV de la supplémentation en vitamine A, déparasitage et enregistrement des naissances.</w:t>
      </w:r>
    </w:p>
    <w:p w14:paraId="7EE87AFC" w14:textId="1703B2B8" w:rsidR="007C58D8" w:rsidRPr="00211A44" w:rsidRDefault="00840726" w:rsidP="00062DDB">
      <w:pPr>
        <w:spacing w:before="240" w:after="240" w:line="276" w:lineRule="auto"/>
        <w:jc w:val="both"/>
        <w:rPr>
          <w:rFonts w:asciiTheme="minorHAnsi" w:hAnsiTheme="minorHAnsi" w:cstheme="minorHAnsi"/>
          <w:i/>
          <w:iCs/>
          <w:lang w:val="fr-FR"/>
        </w:rPr>
      </w:pPr>
      <w:r w:rsidRPr="00211A44">
        <w:rPr>
          <w:rFonts w:asciiTheme="minorHAnsi" w:hAnsiTheme="minorHAnsi" w:cstheme="minorHAnsi"/>
          <w:lang w:val="fr-FR"/>
        </w:rPr>
        <w:t xml:space="preserve"> </w:t>
      </w:r>
      <w:r w:rsidR="00F96CC0" w:rsidRPr="00211A44">
        <w:rPr>
          <w:rFonts w:asciiTheme="minorHAnsi" w:hAnsiTheme="minorHAnsi" w:cstheme="minorHAnsi"/>
          <w:lang w:val="fr-FR"/>
        </w:rPr>
        <w:t xml:space="preserve">Les outils actualisés vont </w:t>
      </w:r>
      <w:r w:rsidRPr="00211A44">
        <w:rPr>
          <w:rFonts w:asciiTheme="minorHAnsi" w:hAnsiTheme="minorHAnsi" w:cstheme="minorHAnsi"/>
          <w:lang w:val="fr-FR"/>
        </w:rPr>
        <w:t>permettre</w:t>
      </w:r>
      <w:r w:rsidR="00F96CC0" w:rsidRPr="00211A44">
        <w:rPr>
          <w:rFonts w:asciiTheme="minorHAnsi" w:hAnsiTheme="minorHAnsi" w:cstheme="minorHAnsi"/>
          <w:lang w:val="fr-FR"/>
        </w:rPr>
        <w:t xml:space="preserve"> la</w:t>
      </w:r>
      <w:r w:rsidR="00F93BD7" w:rsidRPr="00211A44">
        <w:rPr>
          <w:rFonts w:asciiTheme="minorHAnsi" w:hAnsiTheme="minorHAnsi" w:cstheme="minorHAnsi"/>
          <w:lang w:val="fr-FR"/>
        </w:rPr>
        <w:t xml:space="preserve"> collecte</w:t>
      </w:r>
      <w:r w:rsidR="00F96CC0" w:rsidRPr="00211A44">
        <w:rPr>
          <w:rFonts w:asciiTheme="minorHAnsi" w:hAnsiTheme="minorHAnsi" w:cstheme="minorHAnsi"/>
          <w:lang w:val="fr-FR"/>
        </w:rPr>
        <w:t xml:space="preserve"> des données</w:t>
      </w:r>
      <w:r w:rsidRPr="00211A44">
        <w:rPr>
          <w:rFonts w:asciiTheme="minorHAnsi" w:hAnsiTheme="minorHAnsi" w:cstheme="minorHAnsi"/>
          <w:lang w:val="fr-FR"/>
        </w:rPr>
        <w:t xml:space="preserve"> les sur la vaccination des enfants avec le Rotava</w:t>
      </w:r>
      <w:r w:rsidR="00F96CC0" w:rsidRPr="00211A44">
        <w:rPr>
          <w:rFonts w:asciiTheme="minorHAnsi" w:hAnsiTheme="minorHAnsi" w:cstheme="minorHAnsi"/>
          <w:lang w:val="fr-FR"/>
        </w:rPr>
        <w:t>c ®.</w:t>
      </w:r>
      <w:r w:rsidRPr="00211A44">
        <w:rPr>
          <w:rFonts w:asciiTheme="minorHAnsi" w:hAnsiTheme="minorHAnsi" w:cstheme="minorHAnsi"/>
          <w:lang w:val="fr-FR"/>
        </w:rPr>
        <w:t xml:space="preserve"> Ces données seront </w:t>
      </w:r>
      <w:r w:rsidR="00F96CC0" w:rsidRPr="00211A44">
        <w:rPr>
          <w:rFonts w:asciiTheme="minorHAnsi" w:hAnsiTheme="minorHAnsi" w:cstheme="minorHAnsi"/>
          <w:lang w:val="fr-FR"/>
        </w:rPr>
        <w:t>introduites</w:t>
      </w:r>
      <w:r w:rsidRPr="00211A44">
        <w:rPr>
          <w:rFonts w:asciiTheme="minorHAnsi" w:hAnsiTheme="minorHAnsi" w:cstheme="minorHAnsi"/>
          <w:lang w:val="fr-FR"/>
        </w:rPr>
        <w:t xml:space="preserve"> dans le Dhis2 et le SMT au plus tard le 5 du chaque mois</w:t>
      </w:r>
      <w:r w:rsidR="00F96CC0" w:rsidRPr="00211A44">
        <w:rPr>
          <w:rFonts w:asciiTheme="minorHAnsi" w:hAnsiTheme="minorHAnsi" w:cstheme="minorHAnsi"/>
          <w:lang w:val="fr-FR"/>
        </w:rPr>
        <w:t xml:space="preserve">. Les couvertures vaccinales pourvoir être évalué évaluer chaque mois en le triangulant avec les données d’utilisation </w:t>
      </w:r>
      <w:r w:rsidR="00EF454E" w:rsidRPr="00211A44">
        <w:rPr>
          <w:rFonts w:asciiTheme="minorHAnsi" w:hAnsiTheme="minorHAnsi" w:cstheme="minorHAnsi"/>
          <w:lang w:val="fr-FR"/>
        </w:rPr>
        <w:t>des stocks</w:t>
      </w:r>
      <w:r w:rsidR="00F96CC0" w:rsidRPr="00211A44">
        <w:rPr>
          <w:rFonts w:asciiTheme="minorHAnsi" w:hAnsiTheme="minorHAnsi" w:cstheme="minorHAnsi"/>
          <w:lang w:val="fr-FR"/>
        </w:rPr>
        <w:t xml:space="preserve"> des vaccins.</w:t>
      </w:r>
    </w:p>
    <w:p w14:paraId="06823DE5" w14:textId="7B08EF43" w:rsidR="002411F5" w:rsidRPr="00211A44" w:rsidRDefault="002411F5" w:rsidP="00876462">
      <w:pPr>
        <w:pStyle w:val="Titre1"/>
        <w:numPr>
          <w:ilvl w:val="0"/>
          <w:numId w:val="13"/>
        </w:numPr>
        <w:rPr>
          <w:rFonts w:asciiTheme="minorHAnsi" w:hAnsiTheme="minorHAnsi" w:cstheme="minorHAnsi"/>
          <w:sz w:val="24"/>
          <w:szCs w:val="24"/>
          <w:lang w:val="fr-FR"/>
        </w:rPr>
      </w:pPr>
      <w:bookmarkStart w:id="26" w:name="_Toc97572953"/>
      <w:r w:rsidRPr="00211A44">
        <w:rPr>
          <w:rFonts w:asciiTheme="minorHAnsi" w:hAnsiTheme="minorHAnsi" w:cstheme="minorHAnsi"/>
          <w:sz w:val="24"/>
          <w:szCs w:val="24"/>
          <w:lang w:val="fr-FR"/>
        </w:rPr>
        <w:t>Chronogramme d’activités</w:t>
      </w:r>
      <w:bookmarkEnd w:id="26"/>
    </w:p>
    <w:p w14:paraId="20CFDEBE" w14:textId="75511DA3" w:rsidR="0068651D" w:rsidRPr="00211A44" w:rsidRDefault="0068651D" w:rsidP="0068651D">
      <w:pPr>
        <w:pStyle w:val="Lgende"/>
        <w:spacing w:after="0"/>
        <w:rPr>
          <w:rFonts w:cstheme="minorHAnsi"/>
          <w:color w:val="000000" w:themeColor="text1"/>
          <w:sz w:val="28"/>
          <w:szCs w:val="28"/>
          <w:lang w:val="fr-FR"/>
        </w:rPr>
      </w:pPr>
      <w:r w:rsidRPr="00211A44">
        <w:rPr>
          <w:rFonts w:cstheme="minorHAnsi"/>
          <w:sz w:val="20"/>
          <w:szCs w:val="20"/>
        </w:rPr>
        <w:t xml:space="preserve">Tableau </w:t>
      </w:r>
      <w:r w:rsidR="00442E22">
        <w:rPr>
          <w:rFonts w:cstheme="minorHAnsi"/>
          <w:sz w:val="20"/>
          <w:szCs w:val="20"/>
        </w:rPr>
        <w:t>4</w:t>
      </w:r>
      <w:r w:rsidRPr="00211A44">
        <w:rPr>
          <w:rFonts w:cstheme="minorHAnsi"/>
          <w:sz w:val="20"/>
          <w:szCs w:val="20"/>
        </w:rPr>
        <w:t>:  Chronogramme des activités de switch rota</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1"/>
        <w:gridCol w:w="1032"/>
        <w:gridCol w:w="317"/>
        <w:gridCol w:w="317"/>
        <w:gridCol w:w="317"/>
        <w:gridCol w:w="317"/>
        <w:gridCol w:w="317"/>
        <w:gridCol w:w="317"/>
        <w:gridCol w:w="317"/>
        <w:gridCol w:w="317"/>
        <w:gridCol w:w="317"/>
        <w:gridCol w:w="317"/>
        <w:gridCol w:w="317"/>
        <w:gridCol w:w="317"/>
        <w:gridCol w:w="317"/>
        <w:gridCol w:w="9"/>
      </w:tblGrid>
      <w:tr w:rsidR="007D37FE" w:rsidRPr="002917EE" w14:paraId="44B4E118" w14:textId="77777777" w:rsidTr="00341649">
        <w:trPr>
          <w:trHeight w:val="18"/>
        </w:trPr>
        <w:tc>
          <w:tcPr>
            <w:tcW w:w="4156" w:type="dxa"/>
            <w:vMerge w:val="restart"/>
            <w:shd w:val="clear" w:color="auto" w:fill="BFBFBF" w:themeFill="background1" w:themeFillShade="BF"/>
            <w:vAlign w:val="center"/>
            <w:hideMark/>
          </w:tcPr>
          <w:p w14:paraId="055BBA7B"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Activités</w:t>
            </w:r>
          </w:p>
          <w:p w14:paraId="7A806FCE" w14:textId="74D900E2"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p>
        </w:tc>
        <w:tc>
          <w:tcPr>
            <w:tcW w:w="949" w:type="dxa"/>
            <w:vMerge w:val="restart"/>
            <w:shd w:val="clear" w:color="auto" w:fill="BFBFBF" w:themeFill="background1" w:themeFillShade="BF"/>
            <w:noWrap/>
            <w:vAlign w:val="center"/>
            <w:hideMark/>
          </w:tcPr>
          <w:p w14:paraId="2C4E2753" w14:textId="14DADED5"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341649">
              <w:rPr>
                <w:rFonts w:eastAsia="Times New Roman" w:cstheme="minorHAnsi"/>
                <w:b/>
                <w:bCs/>
                <w:i w:val="0"/>
                <w:iCs w:val="0"/>
                <w:sz w:val="15"/>
                <w:szCs w:val="15"/>
                <w:lang w:eastAsia="fr-FR"/>
              </w:rPr>
              <w:t>RESPONSABLE</w:t>
            </w:r>
            <w:r w:rsidR="00A91CDC" w:rsidRPr="00341649">
              <w:rPr>
                <w:rFonts w:eastAsia="Times New Roman" w:cstheme="minorHAnsi"/>
                <w:b/>
                <w:bCs/>
                <w:i w:val="0"/>
                <w:iCs w:val="0"/>
                <w:sz w:val="15"/>
                <w:szCs w:val="15"/>
                <w:lang w:eastAsia="fr-FR"/>
              </w:rPr>
              <w:t xml:space="preserve"> (LEAD)</w:t>
            </w:r>
          </w:p>
        </w:tc>
        <w:tc>
          <w:tcPr>
            <w:tcW w:w="1234" w:type="dxa"/>
            <w:gridSpan w:val="4"/>
            <w:shd w:val="clear" w:color="auto" w:fill="BFBFBF" w:themeFill="background1" w:themeFillShade="BF"/>
            <w:noWrap/>
            <w:vAlign w:val="center"/>
            <w:hideMark/>
          </w:tcPr>
          <w:p w14:paraId="4D476DCC"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Mars</w:t>
            </w:r>
          </w:p>
        </w:tc>
        <w:tc>
          <w:tcPr>
            <w:tcW w:w="1234" w:type="dxa"/>
            <w:gridSpan w:val="4"/>
            <w:shd w:val="clear" w:color="auto" w:fill="BFBFBF" w:themeFill="background1" w:themeFillShade="BF"/>
            <w:noWrap/>
            <w:vAlign w:val="center"/>
            <w:hideMark/>
          </w:tcPr>
          <w:p w14:paraId="484C125C"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Avril</w:t>
            </w:r>
          </w:p>
        </w:tc>
        <w:tc>
          <w:tcPr>
            <w:tcW w:w="1548" w:type="dxa"/>
            <w:gridSpan w:val="6"/>
            <w:shd w:val="clear" w:color="auto" w:fill="BFBFBF" w:themeFill="background1" w:themeFillShade="BF"/>
            <w:noWrap/>
            <w:vAlign w:val="center"/>
            <w:hideMark/>
          </w:tcPr>
          <w:p w14:paraId="296938CD"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Mai</w:t>
            </w:r>
          </w:p>
        </w:tc>
      </w:tr>
      <w:tr w:rsidR="00341649" w:rsidRPr="002917EE" w14:paraId="763FF1D2" w14:textId="77777777" w:rsidTr="00341649">
        <w:trPr>
          <w:gridAfter w:val="1"/>
          <w:wAfter w:w="11" w:type="dxa"/>
          <w:trHeight w:val="18"/>
        </w:trPr>
        <w:tc>
          <w:tcPr>
            <w:tcW w:w="4156" w:type="dxa"/>
            <w:vMerge/>
            <w:shd w:val="clear" w:color="auto" w:fill="BFBFBF" w:themeFill="background1" w:themeFillShade="BF"/>
            <w:vAlign w:val="center"/>
            <w:hideMark/>
          </w:tcPr>
          <w:p w14:paraId="6A2C40A4" w14:textId="493EB2BC"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p>
        </w:tc>
        <w:tc>
          <w:tcPr>
            <w:tcW w:w="949" w:type="dxa"/>
            <w:vMerge/>
            <w:shd w:val="clear" w:color="auto" w:fill="BFBFBF" w:themeFill="background1" w:themeFillShade="BF"/>
            <w:noWrap/>
            <w:vAlign w:val="center"/>
            <w:hideMark/>
          </w:tcPr>
          <w:p w14:paraId="3EB8B523" w14:textId="4490F2B0"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p>
        </w:tc>
        <w:tc>
          <w:tcPr>
            <w:tcW w:w="308" w:type="dxa"/>
            <w:shd w:val="clear" w:color="auto" w:fill="BFBFBF" w:themeFill="background1" w:themeFillShade="BF"/>
            <w:noWrap/>
            <w:vAlign w:val="center"/>
            <w:hideMark/>
          </w:tcPr>
          <w:p w14:paraId="4F09C639"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S1</w:t>
            </w:r>
          </w:p>
        </w:tc>
        <w:tc>
          <w:tcPr>
            <w:tcW w:w="308" w:type="dxa"/>
            <w:shd w:val="clear" w:color="auto" w:fill="BFBFBF" w:themeFill="background1" w:themeFillShade="BF"/>
            <w:noWrap/>
            <w:vAlign w:val="center"/>
            <w:hideMark/>
          </w:tcPr>
          <w:p w14:paraId="45064FA0"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S2</w:t>
            </w:r>
          </w:p>
        </w:tc>
        <w:tc>
          <w:tcPr>
            <w:tcW w:w="308" w:type="dxa"/>
            <w:shd w:val="clear" w:color="auto" w:fill="BFBFBF" w:themeFill="background1" w:themeFillShade="BF"/>
            <w:noWrap/>
            <w:vAlign w:val="center"/>
            <w:hideMark/>
          </w:tcPr>
          <w:p w14:paraId="1E297B94"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S3</w:t>
            </w:r>
          </w:p>
        </w:tc>
        <w:tc>
          <w:tcPr>
            <w:tcW w:w="309" w:type="dxa"/>
            <w:shd w:val="clear" w:color="auto" w:fill="BFBFBF" w:themeFill="background1" w:themeFillShade="BF"/>
            <w:noWrap/>
            <w:vAlign w:val="center"/>
            <w:hideMark/>
          </w:tcPr>
          <w:p w14:paraId="38769710"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S4</w:t>
            </w:r>
          </w:p>
        </w:tc>
        <w:tc>
          <w:tcPr>
            <w:tcW w:w="308" w:type="dxa"/>
            <w:shd w:val="clear" w:color="auto" w:fill="BFBFBF" w:themeFill="background1" w:themeFillShade="BF"/>
            <w:noWrap/>
            <w:vAlign w:val="center"/>
            <w:hideMark/>
          </w:tcPr>
          <w:p w14:paraId="388E006D"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S1</w:t>
            </w:r>
          </w:p>
        </w:tc>
        <w:tc>
          <w:tcPr>
            <w:tcW w:w="308" w:type="dxa"/>
            <w:shd w:val="clear" w:color="auto" w:fill="BFBFBF" w:themeFill="background1" w:themeFillShade="BF"/>
            <w:noWrap/>
            <w:vAlign w:val="center"/>
            <w:hideMark/>
          </w:tcPr>
          <w:p w14:paraId="3AB3379B"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S2</w:t>
            </w:r>
          </w:p>
        </w:tc>
        <w:tc>
          <w:tcPr>
            <w:tcW w:w="308" w:type="dxa"/>
            <w:shd w:val="clear" w:color="auto" w:fill="BFBFBF" w:themeFill="background1" w:themeFillShade="BF"/>
            <w:noWrap/>
            <w:vAlign w:val="center"/>
            <w:hideMark/>
          </w:tcPr>
          <w:p w14:paraId="0868FF44"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S3</w:t>
            </w:r>
          </w:p>
        </w:tc>
        <w:tc>
          <w:tcPr>
            <w:tcW w:w="309" w:type="dxa"/>
            <w:shd w:val="clear" w:color="auto" w:fill="BFBFBF" w:themeFill="background1" w:themeFillShade="BF"/>
            <w:noWrap/>
            <w:vAlign w:val="center"/>
            <w:hideMark/>
          </w:tcPr>
          <w:p w14:paraId="3F1591E5"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S4</w:t>
            </w:r>
          </w:p>
        </w:tc>
        <w:tc>
          <w:tcPr>
            <w:tcW w:w="308" w:type="dxa"/>
            <w:shd w:val="clear" w:color="auto" w:fill="BFBFBF" w:themeFill="background1" w:themeFillShade="BF"/>
            <w:noWrap/>
            <w:vAlign w:val="center"/>
            <w:hideMark/>
          </w:tcPr>
          <w:p w14:paraId="398ACEE4"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S1</w:t>
            </w:r>
          </w:p>
        </w:tc>
        <w:tc>
          <w:tcPr>
            <w:tcW w:w="308" w:type="dxa"/>
            <w:shd w:val="clear" w:color="auto" w:fill="BFBFBF" w:themeFill="background1" w:themeFillShade="BF"/>
            <w:noWrap/>
            <w:vAlign w:val="center"/>
            <w:hideMark/>
          </w:tcPr>
          <w:p w14:paraId="1D2FCC5C"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S2</w:t>
            </w:r>
          </w:p>
        </w:tc>
        <w:tc>
          <w:tcPr>
            <w:tcW w:w="308" w:type="dxa"/>
            <w:shd w:val="clear" w:color="auto" w:fill="BFBFBF" w:themeFill="background1" w:themeFillShade="BF"/>
            <w:noWrap/>
            <w:vAlign w:val="center"/>
            <w:hideMark/>
          </w:tcPr>
          <w:p w14:paraId="4DBF9C7E"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S3</w:t>
            </w:r>
          </w:p>
        </w:tc>
        <w:tc>
          <w:tcPr>
            <w:tcW w:w="308" w:type="dxa"/>
            <w:shd w:val="clear" w:color="auto" w:fill="BFBFBF" w:themeFill="background1" w:themeFillShade="BF"/>
            <w:noWrap/>
            <w:vAlign w:val="center"/>
            <w:hideMark/>
          </w:tcPr>
          <w:p w14:paraId="4AE37B05"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S4</w:t>
            </w:r>
          </w:p>
        </w:tc>
        <w:tc>
          <w:tcPr>
            <w:tcW w:w="308" w:type="dxa"/>
            <w:shd w:val="clear" w:color="auto" w:fill="BFBFBF" w:themeFill="background1" w:themeFillShade="BF"/>
            <w:noWrap/>
            <w:vAlign w:val="center"/>
            <w:hideMark/>
          </w:tcPr>
          <w:p w14:paraId="13F34237" w14:textId="77777777" w:rsidR="007D37FE" w:rsidRPr="002917EE" w:rsidRDefault="007D37FE" w:rsidP="00FA30FF">
            <w:pPr>
              <w:pStyle w:val="Sansinterligne"/>
              <w:spacing w:line="200" w:lineRule="exact"/>
              <w:jc w:val="center"/>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S5</w:t>
            </w:r>
          </w:p>
        </w:tc>
      </w:tr>
      <w:tr w:rsidR="0083515B" w:rsidRPr="002917EE" w14:paraId="7185F584" w14:textId="77777777" w:rsidTr="00341649">
        <w:trPr>
          <w:trHeight w:val="18"/>
        </w:trPr>
        <w:tc>
          <w:tcPr>
            <w:tcW w:w="9122" w:type="dxa"/>
            <w:gridSpan w:val="16"/>
            <w:shd w:val="clear" w:color="auto" w:fill="D9D9D9" w:themeFill="background1" w:themeFillShade="D9"/>
            <w:noWrap/>
            <w:vAlign w:val="center"/>
            <w:hideMark/>
          </w:tcPr>
          <w:p w14:paraId="0E2D0E30"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val="fr-FR" w:eastAsia="fr-FR"/>
              </w:rPr>
              <w:t>Information et renforcement des capacités du personnel en charge de la vaccination</w:t>
            </w:r>
          </w:p>
        </w:tc>
      </w:tr>
      <w:tr w:rsidR="00341649" w:rsidRPr="002917EE" w14:paraId="40176EC8" w14:textId="77777777" w:rsidTr="00341649">
        <w:trPr>
          <w:gridAfter w:val="1"/>
          <w:wAfter w:w="11" w:type="dxa"/>
          <w:trHeight w:val="18"/>
        </w:trPr>
        <w:tc>
          <w:tcPr>
            <w:tcW w:w="4156" w:type="dxa"/>
            <w:shd w:val="clear" w:color="auto" w:fill="auto"/>
            <w:vAlign w:val="center"/>
            <w:hideMark/>
          </w:tcPr>
          <w:p w14:paraId="3B28BDFE" w14:textId="4161AA64" w:rsidR="0083515B" w:rsidRPr="002917EE" w:rsidRDefault="00A91CDC" w:rsidP="00341649">
            <w:pPr>
              <w:pStyle w:val="Sansinterligne"/>
              <w:spacing w:line="200" w:lineRule="exact"/>
              <w:rPr>
                <w:rFonts w:eastAsia="Times New Roman" w:cstheme="minorHAnsi"/>
                <w:sz w:val="18"/>
                <w:szCs w:val="18"/>
                <w:lang w:eastAsia="fr-FR"/>
              </w:rPr>
            </w:pPr>
            <w:r w:rsidRPr="00341649">
              <w:rPr>
                <w:rFonts w:eastAsia="Times New Roman" w:cstheme="minorHAnsi"/>
                <w:sz w:val="18"/>
                <w:szCs w:val="18"/>
                <w:lang w:eastAsia="fr-FR"/>
              </w:rPr>
              <w:t>Actualisation des</w:t>
            </w:r>
            <w:r w:rsidR="0083515B" w:rsidRPr="00341649">
              <w:rPr>
                <w:rFonts w:eastAsia="Times New Roman" w:cstheme="minorHAnsi"/>
                <w:sz w:val="18"/>
                <w:szCs w:val="18"/>
                <w:lang w:eastAsia="fr-FR"/>
              </w:rPr>
              <w:t xml:space="preserve"> modules de formation,</w:t>
            </w:r>
            <w:r w:rsidR="00341649" w:rsidRPr="00341649">
              <w:rPr>
                <w:rFonts w:eastAsia="Times New Roman" w:cstheme="minorHAnsi"/>
                <w:sz w:val="18"/>
                <w:szCs w:val="18"/>
                <w:lang w:eastAsia="fr-FR"/>
              </w:rPr>
              <w:t xml:space="preserve"> outils et supports de communication</w:t>
            </w:r>
          </w:p>
        </w:tc>
        <w:tc>
          <w:tcPr>
            <w:tcW w:w="949" w:type="dxa"/>
            <w:shd w:val="clear" w:color="auto" w:fill="auto"/>
            <w:noWrap/>
            <w:vAlign w:val="center"/>
            <w:hideMark/>
          </w:tcPr>
          <w:p w14:paraId="250D88A0" w14:textId="7047C045"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SPA</w:t>
            </w:r>
          </w:p>
        </w:tc>
        <w:tc>
          <w:tcPr>
            <w:tcW w:w="308" w:type="dxa"/>
            <w:shd w:val="clear" w:color="auto" w:fill="auto"/>
            <w:noWrap/>
            <w:vAlign w:val="center"/>
            <w:hideMark/>
          </w:tcPr>
          <w:p w14:paraId="133F235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83A8EF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98AE6C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60C44CB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5BFDC0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0C68C05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9A70A7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0848662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C8466A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E62BEC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D3DB54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3604E9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0B3E2F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0FBA7492" w14:textId="77777777" w:rsidTr="00341649">
        <w:trPr>
          <w:gridAfter w:val="1"/>
          <w:wAfter w:w="11" w:type="dxa"/>
          <w:trHeight w:val="18"/>
        </w:trPr>
        <w:tc>
          <w:tcPr>
            <w:tcW w:w="4156" w:type="dxa"/>
            <w:shd w:val="clear" w:color="auto" w:fill="auto"/>
            <w:vAlign w:val="center"/>
            <w:hideMark/>
          </w:tcPr>
          <w:p w14:paraId="5E01C01A" w14:textId="77777777"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Briefing des superviseurs centraux</w:t>
            </w:r>
          </w:p>
        </w:tc>
        <w:tc>
          <w:tcPr>
            <w:tcW w:w="949" w:type="dxa"/>
            <w:shd w:val="clear" w:color="auto" w:fill="auto"/>
            <w:noWrap/>
            <w:vAlign w:val="center"/>
            <w:hideMark/>
          </w:tcPr>
          <w:p w14:paraId="0433904C" w14:textId="05603083"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PSV</w:t>
            </w:r>
          </w:p>
        </w:tc>
        <w:tc>
          <w:tcPr>
            <w:tcW w:w="308" w:type="dxa"/>
            <w:shd w:val="clear" w:color="auto" w:fill="auto"/>
            <w:noWrap/>
            <w:vAlign w:val="center"/>
            <w:hideMark/>
          </w:tcPr>
          <w:p w14:paraId="493367D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423475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875DE0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0CD49110"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1CDBB5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C99296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AD77AE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002060"/>
            <w:noWrap/>
            <w:vAlign w:val="center"/>
            <w:hideMark/>
          </w:tcPr>
          <w:p w14:paraId="37942D7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FFFFFF" w:themeFill="background1"/>
            <w:noWrap/>
            <w:vAlign w:val="center"/>
            <w:hideMark/>
          </w:tcPr>
          <w:p w14:paraId="4AA0236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C7A76E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130C2B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6AA492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DC6691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1A47B5E3" w14:textId="77777777" w:rsidTr="00341649">
        <w:trPr>
          <w:gridAfter w:val="1"/>
          <w:wAfter w:w="11" w:type="dxa"/>
          <w:trHeight w:val="18"/>
        </w:trPr>
        <w:tc>
          <w:tcPr>
            <w:tcW w:w="4156" w:type="dxa"/>
            <w:shd w:val="clear" w:color="auto" w:fill="auto"/>
            <w:vAlign w:val="center"/>
            <w:hideMark/>
          </w:tcPr>
          <w:p w14:paraId="7F16B703" w14:textId="77777777"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Briefing des équipes cadre des DS</w:t>
            </w:r>
          </w:p>
        </w:tc>
        <w:tc>
          <w:tcPr>
            <w:tcW w:w="949" w:type="dxa"/>
            <w:shd w:val="clear" w:color="auto" w:fill="auto"/>
            <w:noWrap/>
            <w:vAlign w:val="center"/>
            <w:hideMark/>
          </w:tcPr>
          <w:p w14:paraId="2577F437" w14:textId="4D8664B0"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C-GTRPEV</w:t>
            </w:r>
          </w:p>
        </w:tc>
        <w:tc>
          <w:tcPr>
            <w:tcW w:w="308" w:type="dxa"/>
            <w:shd w:val="clear" w:color="auto" w:fill="auto"/>
            <w:noWrap/>
            <w:vAlign w:val="center"/>
            <w:hideMark/>
          </w:tcPr>
          <w:p w14:paraId="05E09AD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4A171DE"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09A0EDE"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01391D7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72CF8C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3510F9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7CFC74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391D69A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386B0A9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D82951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59EFA8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EFD350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2E730C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150CE1EF" w14:textId="77777777" w:rsidTr="00341649">
        <w:trPr>
          <w:gridAfter w:val="1"/>
          <w:wAfter w:w="11" w:type="dxa"/>
          <w:trHeight w:val="18"/>
        </w:trPr>
        <w:tc>
          <w:tcPr>
            <w:tcW w:w="4156" w:type="dxa"/>
            <w:shd w:val="clear" w:color="auto" w:fill="auto"/>
            <w:vAlign w:val="center"/>
            <w:hideMark/>
          </w:tcPr>
          <w:p w14:paraId="4C198CA5" w14:textId="77777777"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Briefing des responsables des Aires</w:t>
            </w:r>
          </w:p>
        </w:tc>
        <w:tc>
          <w:tcPr>
            <w:tcW w:w="949" w:type="dxa"/>
            <w:shd w:val="clear" w:color="auto" w:fill="auto"/>
            <w:noWrap/>
            <w:vAlign w:val="center"/>
            <w:hideMark/>
          </w:tcPr>
          <w:p w14:paraId="0B358537" w14:textId="2B05BD91"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C-GTRPEV</w:t>
            </w:r>
          </w:p>
        </w:tc>
        <w:tc>
          <w:tcPr>
            <w:tcW w:w="308" w:type="dxa"/>
            <w:shd w:val="clear" w:color="auto" w:fill="auto"/>
            <w:noWrap/>
            <w:vAlign w:val="center"/>
            <w:hideMark/>
          </w:tcPr>
          <w:p w14:paraId="1F44385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73245A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EA6447E"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4B9EA48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01A107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2F6FED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89AAAB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6093DB9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235BF0D2"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9326E4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EBD3FE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D4A78C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D07888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83515B" w:rsidRPr="002917EE" w14:paraId="186D0E6E" w14:textId="77777777" w:rsidTr="00341649">
        <w:trPr>
          <w:trHeight w:val="18"/>
        </w:trPr>
        <w:tc>
          <w:tcPr>
            <w:tcW w:w="9122" w:type="dxa"/>
            <w:gridSpan w:val="16"/>
            <w:shd w:val="clear" w:color="auto" w:fill="D9D9D9" w:themeFill="background1" w:themeFillShade="D9"/>
            <w:noWrap/>
            <w:vAlign w:val="center"/>
            <w:hideMark/>
          </w:tcPr>
          <w:p w14:paraId="2A444739" w14:textId="77777777" w:rsidR="0083515B" w:rsidRPr="002917EE" w:rsidRDefault="0083515B" w:rsidP="00341649">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Information de la communauté et des gardiens d’enfants cible</w:t>
            </w:r>
          </w:p>
        </w:tc>
      </w:tr>
      <w:tr w:rsidR="00341649" w:rsidRPr="002917EE" w14:paraId="67C60A31" w14:textId="77777777" w:rsidTr="00341649">
        <w:trPr>
          <w:gridAfter w:val="1"/>
          <w:wAfter w:w="11" w:type="dxa"/>
          <w:trHeight w:val="18"/>
        </w:trPr>
        <w:tc>
          <w:tcPr>
            <w:tcW w:w="4156" w:type="dxa"/>
            <w:shd w:val="clear" w:color="auto" w:fill="auto"/>
            <w:vAlign w:val="center"/>
            <w:hideMark/>
          </w:tcPr>
          <w:p w14:paraId="2ACF58B2" w14:textId="746C2098" w:rsidR="0083515B" w:rsidRPr="00341649" w:rsidRDefault="0083515B" w:rsidP="00341649">
            <w:pPr>
              <w:pStyle w:val="Sansinterligne"/>
              <w:spacing w:line="200" w:lineRule="exact"/>
              <w:rPr>
                <w:rFonts w:eastAsia="Times New Roman" w:cstheme="minorHAnsi"/>
                <w:sz w:val="18"/>
                <w:szCs w:val="18"/>
                <w:lang w:eastAsia="fr-FR"/>
              </w:rPr>
            </w:pPr>
            <w:r w:rsidRPr="00341649">
              <w:rPr>
                <w:rFonts w:eastAsia="Times New Roman" w:cstheme="minorHAnsi"/>
                <w:sz w:val="18"/>
                <w:szCs w:val="18"/>
                <w:lang w:eastAsia="fr-FR"/>
              </w:rPr>
              <w:t> </w:t>
            </w:r>
            <w:r w:rsidR="00A91CDC" w:rsidRPr="00341649">
              <w:rPr>
                <w:rFonts w:eastAsia="Times New Roman" w:cstheme="minorHAnsi"/>
                <w:sz w:val="18"/>
                <w:szCs w:val="18"/>
                <w:lang w:eastAsia="fr-FR"/>
              </w:rPr>
              <w:t>Production des guides, affiches, et support de communication</w:t>
            </w:r>
          </w:p>
        </w:tc>
        <w:tc>
          <w:tcPr>
            <w:tcW w:w="949" w:type="dxa"/>
            <w:shd w:val="clear" w:color="auto" w:fill="auto"/>
            <w:noWrap/>
            <w:vAlign w:val="center"/>
            <w:hideMark/>
          </w:tcPr>
          <w:p w14:paraId="6F8A6A1F" w14:textId="015B07D0"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SAF</w:t>
            </w:r>
          </w:p>
        </w:tc>
        <w:tc>
          <w:tcPr>
            <w:tcW w:w="308" w:type="dxa"/>
            <w:shd w:val="clear" w:color="auto" w:fill="auto"/>
            <w:noWrap/>
            <w:vAlign w:val="center"/>
            <w:hideMark/>
          </w:tcPr>
          <w:p w14:paraId="2C160FB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5659B0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5FA04B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63937C6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C19584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35CB79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76FB27B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1C2F82D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5BBCA4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04BBA8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4403B8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F38FD4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858F54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746C843E" w14:textId="77777777" w:rsidTr="00341649">
        <w:trPr>
          <w:gridAfter w:val="1"/>
          <w:wAfter w:w="11" w:type="dxa"/>
          <w:trHeight w:val="18"/>
        </w:trPr>
        <w:tc>
          <w:tcPr>
            <w:tcW w:w="4156" w:type="dxa"/>
            <w:shd w:val="clear" w:color="auto" w:fill="auto"/>
            <w:vAlign w:val="center"/>
            <w:hideMark/>
          </w:tcPr>
          <w:p w14:paraId="3381E77F" w14:textId="61153BAB" w:rsidR="0083515B" w:rsidRPr="00341649" w:rsidRDefault="0083515B" w:rsidP="00341649">
            <w:pPr>
              <w:pStyle w:val="Sansinterligne"/>
              <w:spacing w:line="200" w:lineRule="exact"/>
              <w:rPr>
                <w:rFonts w:eastAsia="Times New Roman" w:cstheme="minorHAnsi"/>
                <w:sz w:val="18"/>
                <w:szCs w:val="18"/>
                <w:lang w:eastAsia="fr-FR"/>
              </w:rPr>
            </w:pPr>
            <w:r w:rsidRPr="00341649">
              <w:rPr>
                <w:rFonts w:eastAsia="Times New Roman" w:cstheme="minorHAnsi"/>
                <w:sz w:val="18"/>
                <w:szCs w:val="18"/>
                <w:lang w:eastAsia="fr-FR"/>
              </w:rPr>
              <w:t> </w:t>
            </w:r>
            <w:r w:rsidR="00A91CDC" w:rsidRPr="00341649">
              <w:rPr>
                <w:rFonts w:eastAsia="Times New Roman" w:cstheme="minorHAnsi"/>
                <w:sz w:val="18"/>
                <w:szCs w:val="18"/>
                <w:lang w:eastAsia="fr-FR"/>
              </w:rPr>
              <w:t xml:space="preserve"> Diffusion des supports de communication dans les formations sanitaire et dans les communauté</w:t>
            </w:r>
          </w:p>
        </w:tc>
        <w:tc>
          <w:tcPr>
            <w:tcW w:w="949" w:type="dxa"/>
            <w:shd w:val="clear" w:color="auto" w:fill="auto"/>
            <w:noWrap/>
            <w:vAlign w:val="center"/>
            <w:hideMark/>
          </w:tcPr>
          <w:p w14:paraId="199AC9FB" w14:textId="7FBE2AC1" w:rsidR="0083515B" w:rsidRPr="002917EE" w:rsidRDefault="00A91CDC"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SC4D</w:t>
            </w:r>
          </w:p>
        </w:tc>
        <w:tc>
          <w:tcPr>
            <w:tcW w:w="308" w:type="dxa"/>
            <w:shd w:val="clear" w:color="auto" w:fill="auto"/>
            <w:noWrap/>
            <w:vAlign w:val="center"/>
            <w:hideMark/>
          </w:tcPr>
          <w:p w14:paraId="624369A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F39838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C78045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534C960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C24DC4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D23065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3B788E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630B060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8F29F0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4ECC4FC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F1E270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2CC93F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D55ECD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77B2EA22" w14:textId="77777777" w:rsidTr="00341649">
        <w:trPr>
          <w:gridAfter w:val="1"/>
          <w:wAfter w:w="11" w:type="dxa"/>
          <w:trHeight w:val="18"/>
        </w:trPr>
        <w:tc>
          <w:tcPr>
            <w:tcW w:w="4156" w:type="dxa"/>
            <w:shd w:val="clear" w:color="auto" w:fill="auto"/>
            <w:vAlign w:val="center"/>
            <w:hideMark/>
          </w:tcPr>
          <w:p w14:paraId="021A33F1" w14:textId="02B94044" w:rsidR="0083515B" w:rsidRPr="00341649" w:rsidRDefault="0083515B" w:rsidP="00341649">
            <w:pPr>
              <w:pStyle w:val="Sansinterligne"/>
              <w:spacing w:line="200" w:lineRule="exact"/>
              <w:rPr>
                <w:rFonts w:eastAsia="Times New Roman" w:cstheme="minorHAnsi"/>
                <w:sz w:val="18"/>
                <w:szCs w:val="18"/>
                <w:lang w:eastAsia="fr-FR"/>
              </w:rPr>
            </w:pPr>
            <w:r w:rsidRPr="00341649">
              <w:rPr>
                <w:rFonts w:eastAsia="Times New Roman" w:cstheme="minorHAnsi"/>
                <w:sz w:val="18"/>
                <w:szCs w:val="18"/>
                <w:lang w:eastAsia="fr-FR"/>
              </w:rPr>
              <w:t> </w:t>
            </w:r>
            <w:r w:rsidR="00A91CDC" w:rsidRPr="00341649">
              <w:rPr>
                <w:rFonts w:eastAsia="Times New Roman" w:cstheme="minorHAnsi"/>
                <w:sz w:val="18"/>
                <w:szCs w:val="18"/>
                <w:lang w:eastAsia="fr-FR"/>
              </w:rPr>
              <w:t>Campagne de communication digitale sur le nouveau calendrier vaccinal</w:t>
            </w:r>
          </w:p>
        </w:tc>
        <w:tc>
          <w:tcPr>
            <w:tcW w:w="949" w:type="dxa"/>
            <w:shd w:val="clear" w:color="auto" w:fill="auto"/>
            <w:noWrap/>
            <w:vAlign w:val="center"/>
            <w:hideMark/>
          </w:tcPr>
          <w:p w14:paraId="424749F1" w14:textId="696BE889"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SC4D</w:t>
            </w:r>
          </w:p>
        </w:tc>
        <w:tc>
          <w:tcPr>
            <w:tcW w:w="308" w:type="dxa"/>
            <w:shd w:val="clear" w:color="auto" w:fill="auto"/>
            <w:noWrap/>
            <w:vAlign w:val="center"/>
            <w:hideMark/>
          </w:tcPr>
          <w:p w14:paraId="43EC6E8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05928E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783FDE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7DB0D07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33AA35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B987A3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396AD9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668E373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8E9567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AA77F2E"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76C6E11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6B670A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00D423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83515B" w:rsidRPr="002917EE" w14:paraId="498EBF2D" w14:textId="77777777" w:rsidTr="00341649">
        <w:trPr>
          <w:trHeight w:val="18"/>
        </w:trPr>
        <w:tc>
          <w:tcPr>
            <w:tcW w:w="9122" w:type="dxa"/>
            <w:gridSpan w:val="16"/>
            <w:shd w:val="clear" w:color="auto" w:fill="D9D9D9" w:themeFill="background1" w:themeFillShade="D9"/>
            <w:noWrap/>
            <w:vAlign w:val="center"/>
            <w:hideMark/>
          </w:tcPr>
          <w:p w14:paraId="25CD2199" w14:textId="77777777" w:rsidR="0083515B" w:rsidRPr="002917EE" w:rsidRDefault="0083515B" w:rsidP="00341649">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xml:space="preserve">Approvisionnement en vaccin et gestion des stocks </w:t>
            </w:r>
          </w:p>
        </w:tc>
      </w:tr>
      <w:tr w:rsidR="00341649" w:rsidRPr="002917EE" w14:paraId="44E0657D" w14:textId="77777777" w:rsidTr="00341649">
        <w:trPr>
          <w:gridAfter w:val="1"/>
          <w:wAfter w:w="11" w:type="dxa"/>
          <w:trHeight w:val="18"/>
        </w:trPr>
        <w:tc>
          <w:tcPr>
            <w:tcW w:w="4156" w:type="dxa"/>
            <w:shd w:val="clear" w:color="auto" w:fill="auto"/>
            <w:vAlign w:val="center"/>
            <w:hideMark/>
          </w:tcPr>
          <w:p w14:paraId="0448FDF7" w14:textId="5C88B886"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Livraison des dépôts régionaux</w:t>
            </w:r>
          </w:p>
        </w:tc>
        <w:tc>
          <w:tcPr>
            <w:tcW w:w="949" w:type="dxa"/>
            <w:shd w:val="clear" w:color="auto" w:fill="auto"/>
            <w:noWrap/>
            <w:vAlign w:val="center"/>
            <w:hideMark/>
          </w:tcPr>
          <w:p w14:paraId="7F438D52" w14:textId="4EBFAFF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SLM</w:t>
            </w:r>
          </w:p>
        </w:tc>
        <w:tc>
          <w:tcPr>
            <w:tcW w:w="308" w:type="dxa"/>
            <w:shd w:val="clear" w:color="auto" w:fill="auto"/>
            <w:noWrap/>
            <w:vAlign w:val="center"/>
            <w:hideMark/>
          </w:tcPr>
          <w:p w14:paraId="5D91838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26F3B3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03E9147"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2B583FC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392F620"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7F9251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5C1163D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222FD93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0ACEFF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57EC08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AACE72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62D143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A6D79A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1A1E55F5" w14:textId="77777777" w:rsidTr="00341649">
        <w:trPr>
          <w:gridAfter w:val="1"/>
          <w:wAfter w:w="11" w:type="dxa"/>
          <w:trHeight w:val="18"/>
        </w:trPr>
        <w:tc>
          <w:tcPr>
            <w:tcW w:w="4156" w:type="dxa"/>
            <w:shd w:val="clear" w:color="auto" w:fill="auto"/>
            <w:vAlign w:val="center"/>
            <w:hideMark/>
          </w:tcPr>
          <w:p w14:paraId="6FA24F3D" w14:textId="4C14E7C6"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Approvisionnement des Districts et des Aires de Santé</w:t>
            </w:r>
          </w:p>
        </w:tc>
        <w:tc>
          <w:tcPr>
            <w:tcW w:w="949" w:type="dxa"/>
            <w:shd w:val="clear" w:color="auto" w:fill="auto"/>
            <w:noWrap/>
            <w:vAlign w:val="center"/>
            <w:hideMark/>
          </w:tcPr>
          <w:p w14:paraId="40C6C767" w14:textId="2B44C3A6"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LOG-GTRPEV</w:t>
            </w:r>
          </w:p>
        </w:tc>
        <w:tc>
          <w:tcPr>
            <w:tcW w:w="308" w:type="dxa"/>
            <w:shd w:val="clear" w:color="auto" w:fill="auto"/>
            <w:noWrap/>
            <w:vAlign w:val="center"/>
            <w:hideMark/>
          </w:tcPr>
          <w:p w14:paraId="24DC982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DC5F2E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E053102"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5835FB6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9FBA5C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613453E"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C542AB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002060"/>
            <w:noWrap/>
            <w:vAlign w:val="center"/>
            <w:hideMark/>
          </w:tcPr>
          <w:p w14:paraId="63F7D4D2"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5AC5F6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0D571A0"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774D43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27FE8B6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B36386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32A414E3" w14:textId="77777777" w:rsidTr="00341649">
        <w:trPr>
          <w:gridAfter w:val="1"/>
          <w:wAfter w:w="11" w:type="dxa"/>
          <w:trHeight w:val="18"/>
        </w:trPr>
        <w:tc>
          <w:tcPr>
            <w:tcW w:w="4156" w:type="dxa"/>
            <w:shd w:val="clear" w:color="auto" w:fill="D9D9D9" w:themeFill="background1" w:themeFillShade="D9"/>
            <w:vAlign w:val="center"/>
            <w:hideMark/>
          </w:tcPr>
          <w:p w14:paraId="18D454C6" w14:textId="39B7CD85" w:rsidR="0083515B" w:rsidRPr="002917EE" w:rsidRDefault="0083515B" w:rsidP="00341649">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r w:rsidR="00A91CDC" w:rsidRPr="002917EE">
              <w:rPr>
                <w:rFonts w:eastAsia="Times New Roman" w:cstheme="minorHAnsi"/>
                <w:b/>
                <w:bCs/>
                <w:i w:val="0"/>
                <w:iCs w:val="0"/>
                <w:sz w:val="18"/>
                <w:szCs w:val="18"/>
                <w:lang w:eastAsia="fr-FR"/>
              </w:rPr>
              <w:t xml:space="preserve">Inventaire des  vaccins et matériel d’injection  </w:t>
            </w:r>
          </w:p>
        </w:tc>
        <w:tc>
          <w:tcPr>
            <w:tcW w:w="949" w:type="dxa"/>
            <w:shd w:val="clear" w:color="auto" w:fill="D9D9D9" w:themeFill="background1" w:themeFillShade="D9"/>
            <w:noWrap/>
            <w:vAlign w:val="center"/>
            <w:hideMark/>
          </w:tcPr>
          <w:p w14:paraId="24C4EF52"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321DE9E4"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40A2A625"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3ACCBCDF"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9" w:type="dxa"/>
            <w:shd w:val="clear" w:color="auto" w:fill="D9D9D9" w:themeFill="background1" w:themeFillShade="D9"/>
            <w:noWrap/>
            <w:vAlign w:val="center"/>
            <w:hideMark/>
          </w:tcPr>
          <w:p w14:paraId="5B769246"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6ED66A68"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32BD15F6"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1B0053B7"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9" w:type="dxa"/>
            <w:shd w:val="clear" w:color="auto" w:fill="D9D9D9" w:themeFill="background1" w:themeFillShade="D9"/>
            <w:noWrap/>
            <w:vAlign w:val="center"/>
            <w:hideMark/>
          </w:tcPr>
          <w:p w14:paraId="769842AF"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4A431E0C"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0BE4908C"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5A8A0AB2"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7CC94592"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c>
          <w:tcPr>
            <w:tcW w:w="308" w:type="dxa"/>
            <w:shd w:val="clear" w:color="auto" w:fill="D9D9D9" w:themeFill="background1" w:themeFillShade="D9"/>
            <w:noWrap/>
            <w:vAlign w:val="center"/>
            <w:hideMark/>
          </w:tcPr>
          <w:p w14:paraId="507EFC5B" w14:textId="77777777" w:rsidR="0083515B" w:rsidRPr="002917EE" w:rsidRDefault="0083515B" w:rsidP="00FA30FF">
            <w:pPr>
              <w:pStyle w:val="Sansinterligne"/>
              <w:spacing w:line="200" w:lineRule="exact"/>
              <w:rPr>
                <w:rFonts w:eastAsia="Times New Roman" w:cstheme="minorHAnsi"/>
                <w:b/>
                <w:bCs/>
                <w:i w:val="0"/>
                <w:iCs w:val="0"/>
                <w:sz w:val="18"/>
                <w:szCs w:val="18"/>
                <w:lang w:eastAsia="fr-FR"/>
              </w:rPr>
            </w:pPr>
            <w:r w:rsidRPr="002917EE">
              <w:rPr>
                <w:rFonts w:eastAsia="Times New Roman" w:cstheme="minorHAnsi"/>
                <w:b/>
                <w:bCs/>
                <w:i w:val="0"/>
                <w:iCs w:val="0"/>
                <w:sz w:val="18"/>
                <w:szCs w:val="18"/>
                <w:lang w:eastAsia="fr-FR"/>
              </w:rPr>
              <w:t> </w:t>
            </w:r>
          </w:p>
        </w:tc>
      </w:tr>
      <w:tr w:rsidR="0083515B" w:rsidRPr="002917EE" w14:paraId="40CD85F7" w14:textId="77777777" w:rsidTr="00341649">
        <w:trPr>
          <w:trHeight w:val="18"/>
        </w:trPr>
        <w:tc>
          <w:tcPr>
            <w:tcW w:w="9122" w:type="dxa"/>
            <w:gridSpan w:val="16"/>
            <w:shd w:val="clear" w:color="auto" w:fill="auto"/>
            <w:noWrap/>
            <w:vAlign w:val="center"/>
            <w:hideMark/>
          </w:tcPr>
          <w:p w14:paraId="5BC21C88" w14:textId="77777777"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Gestion des données et monitoring des performances</w:t>
            </w:r>
          </w:p>
        </w:tc>
      </w:tr>
      <w:tr w:rsidR="00341649" w:rsidRPr="002917EE" w14:paraId="0B440381" w14:textId="77777777" w:rsidTr="00341649">
        <w:trPr>
          <w:gridAfter w:val="1"/>
          <w:wAfter w:w="11" w:type="dxa"/>
          <w:trHeight w:val="18"/>
        </w:trPr>
        <w:tc>
          <w:tcPr>
            <w:tcW w:w="4156" w:type="dxa"/>
            <w:shd w:val="clear" w:color="auto" w:fill="auto"/>
            <w:vAlign w:val="center"/>
            <w:hideMark/>
          </w:tcPr>
          <w:p w14:paraId="27993889" w14:textId="3507B2C9"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Revue des données de vaccination après le switch</w:t>
            </w:r>
          </w:p>
        </w:tc>
        <w:tc>
          <w:tcPr>
            <w:tcW w:w="949" w:type="dxa"/>
            <w:shd w:val="clear" w:color="auto" w:fill="auto"/>
            <w:noWrap/>
            <w:vAlign w:val="center"/>
            <w:hideMark/>
          </w:tcPr>
          <w:p w14:paraId="3C1AB78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7FEEAF6"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3988DF6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2EFF5F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5ABC0CB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B41090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0904E42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BB1A16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088ADD12"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24FA26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41713DA"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4616D63"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78AE249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BBF76F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r w:rsidR="00341649" w:rsidRPr="002917EE" w14:paraId="7F97DF14" w14:textId="77777777" w:rsidTr="00341649">
        <w:trPr>
          <w:gridAfter w:val="1"/>
          <w:wAfter w:w="11" w:type="dxa"/>
          <w:trHeight w:val="18"/>
        </w:trPr>
        <w:tc>
          <w:tcPr>
            <w:tcW w:w="4156" w:type="dxa"/>
            <w:shd w:val="clear" w:color="auto" w:fill="auto"/>
            <w:vAlign w:val="center"/>
            <w:hideMark/>
          </w:tcPr>
          <w:p w14:paraId="4B47258F" w14:textId="5740B5A4" w:rsidR="0083515B" w:rsidRPr="002917EE" w:rsidRDefault="0083515B" w:rsidP="00341649">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r w:rsidR="00A91CDC" w:rsidRPr="002917EE">
              <w:rPr>
                <w:rFonts w:eastAsia="Times New Roman" w:cstheme="minorHAnsi"/>
                <w:sz w:val="18"/>
                <w:szCs w:val="18"/>
                <w:lang w:eastAsia="fr-FR"/>
              </w:rPr>
              <w:t>Feedback qualité des données aux Régions/DS/AS</w:t>
            </w:r>
          </w:p>
        </w:tc>
        <w:tc>
          <w:tcPr>
            <w:tcW w:w="949" w:type="dxa"/>
            <w:shd w:val="clear" w:color="auto" w:fill="auto"/>
            <w:noWrap/>
            <w:vAlign w:val="center"/>
            <w:hideMark/>
          </w:tcPr>
          <w:p w14:paraId="0378B38C"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88CB81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97FD121"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786B95B"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26818DC9"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53291490"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6A06A92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1C94635D"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9" w:type="dxa"/>
            <w:shd w:val="clear" w:color="auto" w:fill="auto"/>
            <w:noWrap/>
            <w:vAlign w:val="center"/>
            <w:hideMark/>
          </w:tcPr>
          <w:p w14:paraId="03B4959F"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1DC960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6747D42"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7DF62A55"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002060"/>
            <w:noWrap/>
            <w:vAlign w:val="center"/>
            <w:hideMark/>
          </w:tcPr>
          <w:p w14:paraId="67C30B84"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c>
          <w:tcPr>
            <w:tcW w:w="308" w:type="dxa"/>
            <w:shd w:val="clear" w:color="auto" w:fill="auto"/>
            <w:noWrap/>
            <w:vAlign w:val="center"/>
            <w:hideMark/>
          </w:tcPr>
          <w:p w14:paraId="409DC4E8" w14:textId="77777777" w:rsidR="0083515B" w:rsidRPr="002917EE" w:rsidRDefault="0083515B" w:rsidP="00FA30FF">
            <w:pPr>
              <w:pStyle w:val="Sansinterligne"/>
              <w:spacing w:line="200" w:lineRule="exact"/>
              <w:rPr>
                <w:rFonts w:eastAsia="Times New Roman" w:cstheme="minorHAnsi"/>
                <w:sz w:val="18"/>
                <w:szCs w:val="18"/>
                <w:lang w:eastAsia="fr-FR"/>
              </w:rPr>
            </w:pPr>
            <w:r w:rsidRPr="002917EE">
              <w:rPr>
                <w:rFonts w:eastAsia="Times New Roman" w:cstheme="minorHAnsi"/>
                <w:sz w:val="18"/>
                <w:szCs w:val="18"/>
                <w:lang w:eastAsia="fr-FR"/>
              </w:rPr>
              <w:t> </w:t>
            </w:r>
          </w:p>
        </w:tc>
      </w:tr>
    </w:tbl>
    <w:p w14:paraId="1EE0B501" w14:textId="2D8CB48A" w:rsidR="00CB3730" w:rsidRPr="00211A44" w:rsidRDefault="00CB3730" w:rsidP="00CB3730">
      <w:pPr>
        <w:rPr>
          <w:rFonts w:asciiTheme="minorHAnsi" w:hAnsiTheme="minorHAnsi" w:cstheme="minorHAnsi"/>
          <w:lang w:val="fr-FR"/>
        </w:rPr>
      </w:pPr>
    </w:p>
    <w:p w14:paraId="09F6EF6C" w14:textId="614BBB2E" w:rsidR="00CB3730" w:rsidRPr="00211A44" w:rsidRDefault="00CB3730" w:rsidP="00CB3730">
      <w:pPr>
        <w:rPr>
          <w:rFonts w:asciiTheme="minorHAnsi" w:hAnsiTheme="minorHAnsi" w:cstheme="minorHAnsi"/>
          <w:lang w:val="fr-FR"/>
        </w:rPr>
      </w:pPr>
    </w:p>
    <w:p w14:paraId="3158AF59" w14:textId="324BC8CB" w:rsidR="00CB3730" w:rsidRPr="00211A44" w:rsidRDefault="00CB3730" w:rsidP="00CB3730">
      <w:pPr>
        <w:rPr>
          <w:rFonts w:asciiTheme="minorHAnsi" w:hAnsiTheme="minorHAnsi" w:cstheme="minorHAnsi"/>
          <w:lang w:val="fr-FR"/>
        </w:rPr>
      </w:pPr>
    </w:p>
    <w:p w14:paraId="2062D6F6" w14:textId="0ADD4C39" w:rsidR="00CB3730" w:rsidRPr="00211A44" w:rsidRDefault="00CB3730" w:rsidP="00CB3730">
      <w:pPr>
        <w:rPr>
          <w:rFonts w:asciiTheme="minorHAnsi" w:hAnsiTheme="minorHAnsi" w:cstheme="minorHAnsi"/>
          <w:lang w:val="fr-FR"/>
        </w:rPr>
      </w:pPr>
    </w:p>
    <w:p w14:paraId="66C1EAAA" w14:textId="3854724C" w:rsidR="00CB3730" w:rsidRPr="00211A44" w:rsidRDefault="00CB3730" w:rsidP="00CB3730">
      <w:pPr>
        <w:rPr>
          <w:rFonts w:asciiTheme="minorHAnsi" w:hAnsiTheme="minorHAnsi" w:cstheme="minorHAnsi"/>
          <w:lang w:val="fr-FR"/>
        </w:rPr>
      </w:pPr>
    </w:p>
    <w:p w14:paraId="1AB18EBA" w14:textId="28BD2321" w:rsidR="00CB3730" w:rsidRPr="00211A44" w:rsidRDefault="00CB3730" w:rsidP="00CB3730">
      <w:pPr>
        <w:rPr>
          <w:rFonts w:asciiTheme="minorHAnsi" w:hAnsiTheme="minorHAnsi" w:cstheme="minorHAnsi"/>
          <w:lang w:val="fr-FR"/>
        </w:rPr>
      </w:pPr>
    </w:p>
    <w:p w14:paraId="7AF96D3F" w14:textId="641C6C05" w:rsidR="00CB3730" w:rsidRPr="00211A44" w:rsidRDefault="00CB3730" w:rsidP="00CB3730">
      <w:pPr>
        <w:rPr>
          <w:rFonts w:asciiTheme="minorHAnsi" w:hAnsiTheme="minorHAnsi" w:cstheme="minorHAnsi"/>
          <w:lang w:val="fr-FR"/>
        </w:rPr>
      </w:pPr>
    </w:p>
    <w:p w14:paraId="3168EED5" w14:textId="219F3440" w:rsidR="00A01630" w:rsidRPr="00211A44" w:rsidRDefault="00A01630" w:rsidP="00CB3730">
      <w:pPr>
        <w:rPr>
          <w:rFonts w:asciiTheme="minorHAnsi" w:hAnsiTheme="minorHAnsi" w:cstheme="minorHAnsi"/>
          <w:lang w:val="fr-FR"/>
        </w:rPr>
      </w:pPr>
    </w:p>
    <w:p w14:paraId="73A4510A" w14:textId="01C5EC04" w:rsidR="00A01630" w:rsidRPr="00211A44" w:rsidRDefault="00A01630" w:rsidP="00CB3730">
      <w:pPr>
        <w:rPr>
          <w:rFonts w:asciiTheme="minorHAnsi" w:hAnsiTheme="minorHAnsi" w:cstheme="minorHAnsi"/>
          <w:lang w:val="fr-FR"/>
        </w:rPr>
      </w:pPr>
    </w:p>
    <w:p w14:paraId="20FC00D7" w14:textId="7EB8F219" w:rsidR="00A01630" w:rsidRPr="00211A44" w:rsidRDefault="00A01630" w:rsidP="00CB3730">
      <w:pPr>
        <w:rPr>
          <w:rFonts w:asciiTheme="minorHAnsi" w:hAnsiTheme="minorHAnsi" w:cstheme="minorHAnsi"/>
          <w:lang w:val="fr-FR"/>
        </w:rPr>
      </w:pPr>
    </w:p>
    <w:p w14:paraId="182CB08E" w14:textId="057DFAA7" w:rsidR="00A01630" w:rsidRPr="00211A44" w:rsidRDefault="00A01630" w:rsidP="00CB3730">
      <w:pPr>
        <w:rPr>
          <w:rFonts w:asciiTheme="minorHAnsi" w:hAnsiTheme="minorHAnsi" w:cstheme="minorHAnsi"/>
          <w:lang w:val="fr-FR"/>
        </w:rPr>
      </w:pPr>
    </w:p>
    <w:p w14:paraId="4D057B96" w14:textId="6662F5B1" w:rsidR="00A01630" w:rsidRPr="00211A44" w:rsidRDefault="00A01630" w:rsidP="00CB3730">
      <w:pPr>
        <w:rPr>
          <w:rFonts w:asciiTheme="minorHAnsi" w:hAnsiTheme="minorHAnsi" w:cstheme="minorHAnsi"/>
          <w:lang w:val="fr-FR"/>
        </w:rPr>
      </w:pPr>
    </w:p>
    <w:p w14:paraId="142F8DB2" w14:textId="71C714F4" w:rsidR="002411F5" w:rsidRPr="00211A44" w:rsidRDefault="002411F5" w:rsidP="00876462">
      <w:pPr>
        <w:pStyle w:val="Titre1"/>
        <w:numPr>
          <w:ilvl w:val="0"/>
          <w:numId w:val="13"/>
        </w:numPr>
        <w:rPr>
          <w:rFonts w:asciiTheme="minorHAnsi" w:hAnsiTheme="minorHAnsi" w:cstheme="minorHAnsi"/>
          <w:sz w:val="24"/>
          <w:szCs w:val="24"/>
          <w:lang w:val="fr-FR"/>
        </w:rPr>
      </w:pPr>
      <w:bookmarkStart w:id="27" w:name="_Toc97572954"/>
      <w:r w:rsidRPr="00211A44">
        <w:rPr>
          <w:rFonts w:asciiTheme="minorHAnsi" w:hAnsiTheme="minorHAnsi" w:cstheme="minorHAnsi"/>
          <w:sz w:val="24"/>
          <w:szCs w:val="24"/>
          <w:lang w:val="fr-FR"/>
        </w:rPr>
        <w:lastRenderedPageBreak/>
        <w:t>Budget</w:t>
      </w:r>
      <w:bookmarkEnd w:id="27"/>
    </w:p>
    <w:p w14:paraId="7DD7ABAD" w14:textId="45B0A602" w:rsidR="007B2A16" w:rsidRPr="00211A44" w:rsidRDefault="007B2A16" w:rsidP="00D50ADA">
      <w:pPr>
        <w:spacing w:line="276" w:lineRule="auto"/>
        <w:rPr>
          <w:rFonts w:asciiTheme="minorHAnsi" w:hAnsiTheme="minorHAnsi" w:cstheme="minorHAnsi"/>
          <w:i/>
          <w:iCs/>
          <w:lang w:val="fr-FR"/>
        </w:rPr>
      </w:pPr>
      <w:r w:rsidRPr="00211A44">
        <w:rPr>
          <w:rFonts w:asciiTheme="minorHAnsi" w:hAnsiTheme="minorHAnsi" w:cstheme="minorHAnsi"/>
          <w:lang w:val="fr-FR"/>
        </w:rPr>
        <w:t>La mise en œuvre de ce switch nécessite un coût opérationnel de $</w:t>
      </w:r>
      <w:r w:rsidR="0068651D" w:rsidRPr="00211A44">
        <w:rPr>
          <w:rFonts w:asciiTheme="minorHAnsi" w:hAnsiTheme="minorHAnsi" w:cstheme="minorHAnsi"/>
          <w:lang w:val="fr-FR"/>
        </w:rPr>
        <w:t xml:space="preserve"> </w:t>
      </w:r>
      <w:r w:rsidR="00AA2661" w:rsidRPr="00AA2661">
        <w:rPr>
          <w:rFonts w:asciiTheme="minorHAnsi" w:hAnsiTheme="minorHAnsi" w:cstheme="minorHAnsi"/>
          <w:lang w:val="fr-FR"/>
        </w:rPr>
        <w:t xml:space="preserve">218 673 </w:t>
      </w:r>
      <w:r w:rsidR="00A01630" w:rsidRPr="00211A44">
        <w:rPr>
          <w:rFonts w:asciiTheme="minorHAnsi" w:hAnsiTheme="minorHAnsi" w:cstheme="minorHAnsi"/>
          <w:lang w:val="fr-FR"/>
        </w:rPr>
        <w:t xml:space="preserve">  </w:t>
      </w:r>
      <w:r w:rsidR="0068651D" w:rsidRPr="00211A44">
        <w:rPr>
          <w:rFonts w:asciiTheme="minorHAnsi" w:hAnsiTheme="minorHAnsi" w:cstheme="minorHAnsi"/>
          <w:lang w:val="fr-FR"/>
        </w:rPr>
        <w:t xml:space="preserve"> (n’incluant le cout de la gestion des programmes) </w:t>
      </w:r>
      <w:r w:rsidRPr="00211A44">
        <w:rPr>
          <w:rFonts w:asciiTheme="minorHAnsi" w:hAnsiTheme="minorHAnsi" w:cstheme="minorHAnsi"/>
          <w:lang w:val="fr-FR"/>
        </w:rPr>
        <w:t>réparti comme suit :</w:t>
      </w:r>
    </w:p>
    <w:p w14:paraId="22611D16" w14:textId="259AD409" w:rsidR="00D50ADA" w:rsidRPr="00211A44" w:rsidRDefault="0068651D" w:rsidP="0068651D">
      <w:pPr>
        <w:pStyle w:val="Lgende"/>
        <w:spacing w:after="0"/>
        <w:rPr>
          <w:rFonts w:cstheme="minorHAnsi"/>
          <w:color w:val="000000" w:themeColor="text1"/>
          <w:sz w:val="28"/>
          <w:szCs w:val="28"/>
          <w:lang w:val="fr-FR"/>
        </w:rPr>
      </w:pPr>
      <w:r w:rsidRPr="00211A44">
        <w:rPr>
          <w:rFonts w:cstheme="minorHAnsi"/>
          <w:sz w:val="20"/>
          <w:szCs w:val="20"/>
        </w:rPr>
        <w:t xml:space="preserve">Tableau </w:t>
      </w:r>
      <w:r w:rsidR="00442E22">
        <w:rPr>
          <w:rFonts w:cstheme="minorHAnsi"/>
          <w:sz w:val="20"/>
          <w:szCs w:val="20"/>
        </w:rPr>
        <w:t>5</w:t>
      </w:r>
      <w:r w:rsidRPr="00211A44">
        <w:rPr>
          <w:rFonts w:cstheme="minorHAnsi"/>
          <w:sz w:val="20"/>
          <w:szCs w:val="20"/>
        </w:rPr>
        <w:t>: Synthèse du budget de switch rota</w:t>
      </w:r>
    </w:p>
    <w:tbl>
      <w:tblPr>
        <w:tblW w:w="9520" w:type="dxa"/>
        <w:tblCellMar>
          <w:left w:w="70" w:type="dxa"/>
          <w:right w:w="70" w:type="dxa"/>
        </w:tblCellMar>
        <w:tblLook w:val="04A0" w:firstRow="1" w:lastRow="0" w:firstColumn="1" w:lastColumn="0" w:noHBand="0" w:noVBand="1"/>
      </w:tblPr>
      <w:tblGrid>
        <w:gridCol w:w="640"/>
        <w:gridCol w:w="4520"/>
        <w:gridCol w:w="2180"/>
        <w:gridCol w:w="2180"/>
      </w:tblGrid>
      <w:tr w:rsidR="00863011" w:rsidRPr="00863011" w14:paraId="46588DDD" w14:textId="77777777" w:rsidTr="00863011">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7DA6545A" w14:textId="53B2623D" w:rsidR="00863011" w:rsidRPr="00863011" w:rsidRDefault="00B5762F"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Réf</w:t>
            </w:r>
          </w:p>
        </w:tc>
        <w:tc>
          <w:tcPr>
            <w:tcW w:w="4520" w:type="dxa"/>
            <w:tcBorders>
              <w:top w:val="single" w:sz="4" w:space="0" w:color="auto"/>
              <w:left w:val="nil"/>
              <w:bottom w:val="single" w:sz="4" w:space="0" w:color="auto"/>
              <w:right w:val="single" w:sz="4" w:space="0" w:color="auto"/>
            </w:tcBorders>
            <w:shd w:val="clear" w:color="000000" w:fill="8497B0"/>
            <w:vAlign w:val="center"/>
            <w:hideMark/>
          </w:tcPr>
          <w:p w14:paraId="70FEFEB9" w14:textId="77777777" w:rsidR="00863011" w:rsidRPr="00863011" w:rsidRDefault="00863011"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Activités</w:t>
            </w:r>
          </w:p>
        </w:tc>
        <w:tc>
          <w:tcPr>
            <w:tcW w:w="2180" w:type="dxa"/>
            <w:tcBorders>
              <w:top w:val="single" w:sz="4" w:space="0" w:color="auto"/>
              <w:left w:val="nil"/>
              <w:bottom w:val="single" w:sz="4" w:space="0" w:color="auto"/>
              <w:right w:val="single" w:sz="4" w:space="0" w:color="auto"/>
            </w:tcBorders>
            <w:shd w:val="clear" w:color="000000" w:fill="8497B0"/>
            <w:vAlign w:val="center"/>
            <w:hideMark/>
          </w:tcPr>
          <w:p w14:paraId="017EED22" w14:textId="77777777" w:rsidR="00863011" w:rsidRPr="00863011" w:rsidRDefault="00863011"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 xml:space="preserve"> Montant USD </w:t>
            </w:r>
          </w:p>
        </w:tc>
        <w:tc>
          <w:tcPr>
            <w:tcW w:w="2180" w:type="dxa"/>
            <w:tcBorders>
              <w:top w:val="single" w:sz="4" w:space="0" w:color="auto"/>
              <w:left w:val="nil"/>
              <w:bottom w:val="single" w:sz="4" w:space="0" w:color="auto"/>
              <w:right w:val="single" w:sz="4" w:space="0" w:color="auto"/>
            </w:tcBorders>
            <w:shd w:val="clear" w:color="000000" w:fill="8497B0"/>
            <w:vAlign w:val="center"/>
            <w:hideMark/>
          </w:tcPr>
          <w:p w14:paraId="7D5BD072" w14:textId="77777777" w:rsidR="00863011" w:rsidRPr="00863011" w:rsidRDefault="00863011"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Montant (FCFA)</w:t>
            </w:r>
          </w:p>
        </w:tc>
      </w:tr>
      <w:tr w:rsidR="00863011" w:rsidRPr="00863011" w14:paraId="1C9205C4" w14:textId="77777777" w:rsidTr="00863011">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47449B"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1</w:t>
            </w:r>
          </w:p>
        </w:tc>
        <w:tc>
          <w:tcPr>
            <w:tcW w:w="4520" w:type="dxa"/>
            <w:tcBorders>
              <w:top w:val="nil"/>
              <w:left w:val="nil"/>
              <w:bottom w:val="single" w:sz="4" w:space="0" w:color="auto"/>
              <w:right w:val="single" w:sz="4" w:space="0" w:color="auto"/>
            </w:tcBorders>
            <w:shd w:val="clear" w:color="auto" w:fill="auto"/>
            <w:vAlign w:val="center"/>
            <w:hideMark/>
          </w:tcPr>
          <w:p w14:paraId="1F1FC8AD" w14:textId="66FCB7A5"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Atelier d'</w:t>
            </w:r>
            <w:r w:rsidR="00B5762F" w:rsidRPr="00863011">
              <w:rPr>
                <w:rFonts w:ascii="Calibri" w:hAnsi="Calibri" w:cs="Calibri"/>
                <w:i/>
                <w:iCs/>
                <w:color w:val="000000"/>
                <w:sz w:val="18"/>
                <w:szCs w:val="18"/>
              </w:rPr>
              <w:t>élaboration</w:t>
            </w:r>
            <w:r w:rsidRPr="00863011">
              <w:rPr>
                <w:rFonts w:ascii="Calibri" w:hAnsi="Calibri" w:cs="Calibri"/>
                <w:i/>
                <w:iCs/>
                <w:color w:val="000000"/>
                <w:sz w:val="18"/>
                <w:szCs w:val="18"/>
              </w:rPr>
              <w:t xml:space="preserve"> des modules de formation, guides et support de communication</w:t>
            </w:r>
          </w:p>
        </w:tc>
        <w:tc>
          <w:tcPr>
            <w:tcW w:w="2180" w:type="dxa"/>
            <w:tcBorders>
              <w:top w:val="nil"/>
              <w:left w:val="nil"/>
              <w:bottom w:val="single" w:sz="4" w:space="0" w:color="auto"/>
              <w:right w:val="single" w:sz="4" w:space="0" w:color="auto"/>
            </w:tcBorders>
            <w:shd w:val="clear" w:color="auto" w:fill="auto"/>
            <w:vAlign w:val="center"/>
            <w:hideMark/>
          </w:tcPr>
          <w:p w14:paraId="21624A93" w14:textId="2C3B5042"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6 441</w:t>
            </w:r>
          </w:p>
        </w:tc>
        <w:tc>
          <w:tcPr>
            <w:tcW w:w="2180" w:type="dxa"/>
            <w:tcBorders>
              <w:top w:val="nil"/>
              <w:left w:val="nil"/>
              <w:bottom w:val="single" w:sz="4" w:space="0" w:color="auto"/>
              <w:right w:val="single" w:sz="4" w:space="0" w:color="auto"/>
            </w:tcBorders>
            <w:shd w:val="clear" w:color="auto" w:fill="auto"/>
            <w:vAlign w:val="center"/>
            <w:hideMark/>
          </w:tcPr>
          <w:p w14:paraId="52D3A5F2" w14:textId="04D9F6BA"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3 759 875</w:t>
            </w:r>
          </w:p>
        </w:tc>
      </w:tr>
      <w:tr w:rsidR="00863011" w:rsidRPr="00863011" w14:paraId="2BA7FCE9" w14:textId="77777777" w:rsidTr="00863011">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28F3E34E"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2</w:t>
            </w:r>
          </w:p>
        </w:tc>
        <w:tc>
          <w:tcPr>
            <w:tcW w:w="4520" w:type="dxa"/>
            <w:tcBorders>
              <w:top w:val="nil"/>
              <w:left w:val="nil"/>
              <w:bottom w:val="single" w:sz="4" w:space="0" w:color="auto"/>
              <w:right w:val="single" w:sz="4" w:space="0" w:color="auto"/>
            </w:tcBorders>
            <w:shd w:val="clear" w:color="000000" w:fill="D3E5F6"/>
            <w:vAlign w:val="center"/>
            <w:hideMark/>
          </w:tcPr>
          <w:p w14:paraId="2F63FC88" w14:textId="77777777"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Production et diffusion des outils, guide et support de communication</w:t>
            </w:r>
          </w:p>
        </w:tc>
        <w:tc>
          <w:tcPr>
            <w:tcW w:w="2180" w:type="dxa"/>
            <w:tcBorders>
              <w:top w:val="nil"/>
              <w:left w:val="nil"/>
              <w:bottom w:val="single" w:sz="4" w:space="0" w:color="auto"/>
              <w:right w:val="single" w:sz="4" w:space="0" w:color="auto"/>
            </w:tcBorders>
            <w:shd w:val="clear" w:color="000000" w:fill="D3E5F6"/>
            <w:vAlign w:val="center"/>
            <w:hideMark/>
          </w:tcPr>
          <w:p w14:paraId="29DBB50A" w14:textId="40923FB9"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88 327</w:t>
            </w:r>
          </w:p>
        </w:tc>
        <w:tc>
          <w:tcPr>
            <w:tcW w:w="2180" w:type="dxa"/>
            <w:tcBorders>
              <w:top w:val="nil"/>
              <w:left w:val="nil"/>
              <w:bottom w:val="single" w:sz="4" w:space="0" w:color="auto"/>
              <w:right w:val="single" w:sz="4" w:space="0" w:color="auto"/>
            </w:tcBorders>
            <w:shd w:val="clear" w:color="000000" w:fill="D3E5F6"/>
            <w:vAlign w:val="center"/>
            <w:hideMark/>
          </w:tcPr>
          <w:p w14:paraId="6CBD0CFB" w14:textId="2BF73065"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51 560 000</w:t>
            </w:r>
          </w:p>
        </w:tc>
      </w:tr>
      <w:tr w:rsidR="00863011" w:rsidRPr="00863011" w14:paraId="1F548100" w14:textId="77777777" w:rsidTr="00863011">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9E36B5"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3</w:t>
            </w:r>
          </w:p>
        </w:tc>
        <w:tc>
          <w:tcPr>
            <w:tcW w:w="4520" w:type="dxa"/>
            <w:tcBorders>
              <w:top w:val="nil"/>
              <w:left w:val="nil"/>
              <w:bottom w:val="single" w:sz="4" w:space="0" w:color="auto"/>
              <w:right w:val="single" w:sz="4" w:space="0" w:color="auto"/>
            </w:tcBorders>
            <w:shd w:val="clear" w:color="auto" w:fill="auto"/>
            <w:vAlign w:val="center"/>
            <w:hideMark/>
          </w:tcPr>
          <w:p w14:paraId="5EA5A335" w14:textId="77777777"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Briefing des facilitateurs centraux</w:t>
            </w:r>
          </w:p>
        </w:tc>
        <w:tc>
          <w:tcPr>
            <w:tcW w:w="2180" w:type="dxa"/>
            <w:tcBorders>
              <w:top w:val="nil"/>
              <w:left w:val="nil"/>
              <w:bottom w:val="single" w:sz="4" w:space="0" w:color="auto"/>
              <w:right w:val="single" w:sz="4" w:space="0" w:color="auto"/>
            </w:tcBorders>
            <w:shd w:val="clear" w:color="auto" w:fill="auto"/>
            <w:vAlign w:val="center"/>
            <w:hideMark/>
          </w:tcPr>
          <w:p w14:paraId="1372FFD9" w14:textId="6B501C15"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w:t>
            </w:r>
          </w:p>
        </w:tc>
        <w:tc>
          <w:tcPr>
            <w:tcW w:w="2180" w:type="dxa"/>
            <w:tcBorders>
              <w:top w:val="nil"/>
              <w:left w:val="nil"/>
              <w:bottom w:val="single" w:sz="4" w:space="0" w:color="auto"/>
              <w:right w:val="single" w:sz="4" w:space="0" w:color="auto"/>
            </w:tcBorders>
            <w:shd w:val="clear" w:color="auto" w:fill="auto"/>
            <w:vAlign w:val="center"/>
            <w:hideMark/>
          </w:tcPr>
          <w:p w14:paraId="3DCDE845" w14:textId="1C7C93C5"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w:t>
            </w:r>
          </w:p>
        </w:tc>
      </w:tr>
      <w:tr w:rsidR="00863011" w:rsidRPr="00863011" w14:paraId="082E7DAF" w14:textId="77777777" w:rsidTr="00863011">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07E59FFD"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4</w:t>
            </w:r>
          </w:p>
        </w:tc>
        <w:tc>
          <w:tcPr>
            <w:tcW w:w="4520" w:type="dxa"/>
            <w:tcBorders>
              <w:top w:val="nil"/>
              <w:left w:val="nil"/>
              <w:bottom w:val="single" w:sz="4" w:space="0" w:color="auto"/>
              <w:right w:val="single" w:sz="4" w:space="0" w:color="auto"/>
            </w:tcBorders>
            <w:shd w:val="clear" w:color="000000" w:fill="D3E5F6"/>
            <w:vAlign w:val="center"/>
            <w:hideMark/>
          </w:tcPr>
          <w:p w14:paraId="0F376F3A" w14:textId="10356529"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 xml:space="preserve">Briefing des </w:t>
            </w:r>
            <w:r w:rsidR="00B5762F" w:rsidRPr="00863011">
              <w:rPr>
                <w:rFonts w:ascii="Calibri" w:hAnsi="Calibri" w:cs="Calibri"/>
                <w:i/>
                <w:iCs/>
                <w:color w:val="000000"/>
                <w:sz w:val="18"/>
                <w:szCs w:val="18"/>
              </w:rPr>
              <w:t>équipes</w:t>
            </w:r>
            <w:r w:rsidRPr="00863011">
              <w:rPr>
                <w:rFonts w:ascii="Calibri" w:hAnsi="Calibri" w:cs="Calibri"/>
                <w:i/>
                <w:iCs/>
                <w:color w:val="000000"/>
                <w:sz w:val="18"/>
                <w:szCs w:val="18"/>
              </w:rPr>
              <w:t xml:space="preserve"> </w:t>
            </w:r>
            <w:r w:rsidR="00B5762F" w:rsidRPr="00863011">
              <w:rPr>
                <w:rFonts w:ascii="Calibri" w:hAnsi="Calibri" w:cs="Calibri"/>
                <w:i/>
                <w:iCs/>
                <w:color w:val="000000"/>
                <w:sz w:val="18"/>
                <w:szCs w:val="18"/>
              </w:rPr>
              <w:t>cadre</w:t>
            </w:r>
            <w:r w:rsidRPr="00863011">
              <w:rPr>
                <w:rFonts w:ascii="Calibri" w:hAnsi="Calibri" w:cs="Calibri"/>
                <w:i/>
                <w:iCs/>
                <w:color w:val="000000"/>
                <w:sz w:val="18"/>
                <w:szCs w:val="18"/>
              </w:rPr>
              <w:t xml:space="preserve"> des DS au niveau de la Région</w:t>
            </w:r>
          </w:p>
        </w:tc>
        <w:tc>
          <w:tcPr>
            <w:tcW w:w="2180" w:type="dxa"/>
            <w:tcBorders>
              <w:top w:val="nil"/>
              <w:left w:val="nil"/>
              <w:bottom w:val="single" w:sz="4" w:space="0" w:color="auto"/>
              <w:right w:val="single" w:sz="4" w:space="0" w:color="auto"/>
            </w:tcBorders>
            <w:shd w:val="clear" w:color="000000" w:fill="D3E5F6"/>
            <w:vAlign w:val="center"/>
            <w:hideMark/>
          </w:tcPr>
          <w:p w14:paraId="5CB2AE07" w14:textId="4592A53B"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57 233</w:t>
            </w:r>
          </w:p>
        </w:tc>
        <w:tc>
          <w:tcPr>
            <w:tcW w:w="2180" w:type="dxa"/>
            <w:tcBorders>
              <w:top w:val="nil"/>
              <w:left w:val="nil"/>
              <w:bottom w:val="single" w:sz="4" w:space="0" w:color="auto"/>
              <w:right w:val="single" w:sz="4" w:space="0" w:color="auto"/>
            </w:tcBorders>
            <w:shd w:val="clear" w:color="000000" w:fill="D3E5F6"/>
            <w:vAlign w:val="center"/>
            <w:hideMark/>
          </w:tcPr>
          <w:p w14:paraId="4DCB37F5" w14:textId="29BD22E5"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33 409 000</w:t>
            </w:r>
          </w:p>
        </w:tc>
      </w:tr>
      <w:tr w:rsidR="00863011" w:rsidRPr="00863011" w14:paraId="1076A6A9" w14:textId="77777777" w:rsidTr="00863011">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986794"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5</w:t>
            </w:r>
          </w:p>
        </w:tc>
        <w:tc>
          <w:tcPr>
            <w:tcW w:w="4520" w:type="dxa"/>
            <w:tcBorders>
              <w:top w:val="nil"/>
              <w:left w:val="nil"/>
              <w:bottom w:val="single" w:sz="4" w:space="0" w:color="auto"/>
              <w:right w:val="single" w:sz="4" w:space="0" w:color="auto"/>
            </w:tcBorders>
            <w:shd w:val="clear" w:color="auto" w:fill="auto"/>
            <w:vAlign w:val="center"/>
            <w:hideMark/>
          </w:tcPr>
          <w:p w14:paraId="43CAA422" w14:textId="77777777"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Briefing des responsables des Aires de Santé</w:t>
            </w:r>
          </w:p>
        </w:tc>
        <w:tc>
          <w:tcPr>
            <w:tcW w:w="2180" w:type="dxa"/>
            <w:tcBorders>
              <w:top w:val="nil"/>
              <w:left w:val="nil"/>
              <w:bottom w:val="single" w:sz="4" w:space="0" w:color="auto"/>
              <w:right w:val="single" w:sz="4" w:space="0" w:color="auto"/>
            </w:tcBorders>
            <w:shd w:val="clear" w:color="auto" w:fill="auto"/>
            <w:vAlign w:val="center"/>
            <w:hideMark/>
          </w:tcPr>
          <w:p w14:paraId="5007807F" w14:textId="403520B3"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40 318</w:t>
            </w:r>
          </w:p>
        </w:tc>
        <w:tc>
          <w:tcPr>
            <w:tcW w:w="2180" w:type="dxa"/>
            <w:tcBorders>
              <w:top w:val="nil"/>
              <w:left w:val="nil"/>
              <w:bottom w:val="single" w:sz="4" w:space="0" w:color="auto"/>
              <w:right w:val="single" w:sz="4" w:space="0" w:color="auto"/>
            </w:tcBorders>
            <w:shd w:val="clear" w:color="auto" w:fill="auto"/>
            <w:vAlign w:val="center"/>
            <w:hideMark/>
          </w:tcPr>
          <w:p w14:paraId="4AD9614D" w14:textId="5FC32351"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23 535 000</w:t>
            </w:r>
          </w:p>
        </w:tc>
      </w:tr>
      <w:tr w:rsidR="00863011" w:rsidRPr="00863011" w14:paraId="65D5B802" w14:textId="77777777" w:rsidTr="00863011">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32E45326"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6</w:t>
            </w:r>
          </w:p>
        </w:tc>
        <w:tc>
          <w:tcPr>
            <w:tcW w:w="4520" w:type="dxa"/>
            <w:tcBorders>
              <w:top w:val="nil"/>
              <w:left w:val="nil"/>
              <w:bottom w:val="single" w:sz="4" w:space="0" w:color="auto"/>
              <w:right w:val="single" w:sz="4" w:space="0" w:color="auto"/>
            </w:tcBorders>
            <w:shd w:val="clear" w:color="000000" w:fill="D3E5F6"/>
            <w:vAlign w:val="center"/>
            <w:hideMark/>
          </w:tcPr>
          <w:p w14:paraId="7C56A3A8" w14:textId="1E5DB89D"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 xml:space="preserve">Livraison des vaccins vers les </w:t>
            </w:r>
            <w:r w:rsidR="00B5762F" w:rsidRPr="00863011">
              <w:rPr>
                <w:rFonts w:ascii="Calibri" w:hAnsi="Calibri" w:cs="Calibri"/>
                <w:i/>
                <w:iCs/>
                <w:color w:val="000000"/>
                <w:sz w:val="18"/>
                <w:szCs w:val="18"/>
              </w:rPr>
              <w:t>dépôts</w:t>
            </w:r>
            <w:r w:rsidRPr="00863011">
              <w:rPr>
                <w:rFonts w:ascii="Calibri" w:hAnsi="Calibri" w:cs="Calibri"/>
                <w:i/>
                <w:iCs/>
                <w:color w:val="000000"/>
                <w:sz w:val="18"/>
                <w:szCs w:val="18"/>
              </w:rPr>
              <w:t xml:space="preserve"> </w:t>
            </w:r>
            <w:r w:rsidR="00B5762F" w:rsidRPr="00863011">
              <w:rPr>
                <w:rFonts w:ascii="Calibri" w:hAnsi="Calibri" w:cs="Calibri"/>
                <w:i/>
                <w:iCs/>
                <w:color w:val="000000"/>
                <w:sz w:val="18"/>
                <w:szCs w:val="18"/>
              </w:rPr>
              <w:t>régionaux</w:t>
            </w:r>
          </w:p>
        </w:tc>
        <w:tc>
          <w:tcPr>
            <w:tcW w:w="2180" w:type="dxa"/>
            <w:tcBorders>
              <w:top w:val="nil"/>
              <w:left w:val="nil"/>
              <w:bottom w:val="single" w:sz="4" w:space="0" w:color="auto"/>
              <w:right w:val="single" w:sz="4" w:space="0" w:color="auto"/>
            </w:tcBorders>
            <w:shd w:val="clear" w:color="000000" w:fill="D3E5F6"/>
            <w:vAlign w:val="center"/>
            <w:hideMark/>
          </w:tcPr>
          <w:p w14:paraId="22D14F7B" w14:textId="09CE8376"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5 755</w:t>
            </w:r>
          </w:p>
        </w:tc>
        <w:tc>
          <w:tcPr>
            <w:tcW w:w="2180" w:type="dxa"/>
            <w:tcBorders>
              <w:top w:val="nil"/>
              <w:left w:val="nil"/>
              <w:bottom w:val="single" w:sz="4" w:space="0" w:color="auto"/>
              <w:right w:val="single" w:sz="4" w:space="0" w:color="auto"/>
            </w:tcBorders>
            <w:shd w:val="clear" w:color="000000" w:fill="D3E5F6"/>
            <w:vAlign w:val="center"/>
            <w:hideMark/>
          </w:tcPr>
          <w:p w14:paraId="52E2E771" w14:textId="5E7477AC"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3 359 525</w:t>
            </w:r>
          </w:p>
        </w:tc>
      </w:tr>
      <w:tr w:rsidR="00863011" w:rsidRPr="00863011" w14:paraId="4B422EE2" w14:textId="77777777" w:rsidTr="00863011">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011C63" w14:textId="77777777" w:rsidR="00863011" w:rsidRPr="00863011" w:rsidRDefault="00863011" w:rsidP="00B5762F">
            <w:pPr>
              <w:jc w:val="center"/>
              <w:rPr>
                <w:rFonts w:ascii="Calibri" w:hAnsi="Calibri" w:cs="Calibri"/>
                <w:i/>
                <w:iCs/>
                <w:color w:val="000000"/>
                <w:sz w:val="18"/>
                <w:szCs w:val="18"/>
              </w:rPr>
            </w:pPr>
            <w:r w:rsidRPr="00863011">
              <w:rPr>
                <w:rFonts w:ascii="Calibri" w:hAnsi="Calibri" w:cs="Calibri"/>
                <w:i/>
                <w:iCs/>
                <w:color w:val="000000"/>
                <w:sz w:val="18"/>
                <w:szCs w:val="18"/>
              </w:rPr>
              <w:t>7</w:t>
            </w:r>
          </w:p>
        </w:tc>
        <w:tc>
          <w:tcPr>
            <w:tcW w:w="4520" w:type="dxa"/>
            <w:tcBorders>
              <w:top w:val="nil"/>
              <w:left w:val="nil"/>
              <w:bottom w:val="single" w:sz="4" w:space="0" w:color="auto"/>
              <w:right w:val="single" w:sz="4" w:space="0" w:color="auto"/>
            </w:tcBorders>
            <w:shd w:val="clear" w:color="auto" w:fill="auto"/>
            <w:vAlign w:val="center"/>
            <w:hideMark/>
          </w:tcPr>
          <w:p w14:paraId="6CAADEE0" w14:textId="77777777"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Livraison des vaccins vers les des Districts et des Aires de Santé</w:t>
            </w:r>
          </w:p>
        </w:tc>
        <w:tc>
          <w:tcPr>
            <w:tcW w:w="2180" w:type="dxa"/>
            <w:tcBorders>
              <w:top w:val="nil"/>
              <w:left w:val="nil"/>
              <w:bottom w:val="single" w:sz="4" w:space="0" w:color="auto"/>
              <w:right w:val="single" w:sz="4" w:space="0" w:color="auto"/>
            </w:tcBorders>
            <w:shd w:val="clear" w:color="auto" w:fill="auto"/>
            <w:vAlign w:val="center"/>
            <w:hideMark/>
          </w:tcPr>
          <w:p w14:paraId="72351A34" w14:textId="270D58B3"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20 600</w:t>
            </w:r>
          </w:p>
        </w:tc>
        <w:tc>
          <w:tcPr>
            <w:tcW w:w="2180" w:type="dxa"/>
            <w:tcBorders>
              <w:top w:val="nil"/>
              <w:left w:val="nil"/>
              <w:bottom w:val="single" w:sz="4" w:space="0" w:color="auto"/>
              <w:right w:val="single" w:sz="4" w:space="0" w:color="auto"/>
            </w:tcBorders>
            <w:shd w:val="clear" w:color="auto" w:fill="auto"/>
            <w:vAlign w:val="center"/>
            <w:hideMark/>
          </w:tcPr>
          <w:p w14:paraId="7A3B2D34" w14:textId="03EE543A" w:rsidR="00863011" w:rsidRPr="00863011" w:rsidRDefault="00863011" w:rsidP="00B5762F">
            <w:pPr>
              <w:rPr>
                <w:rFonts w:ascii="Calibri" w:hAnsi="Calibri" w:cs="Calibri"/>
                <w:i/>
                <w:iCs/>
                <w:color w:val="000000"/>
                <w:sz w:val="18"/>
                <w:szCs w:val="18"/>
              </w:rPr>
            </w:pPr>
            <w:r w:rsidRPr="00863011">
              <w:rPr>
                <w:rFonts w:ascii="Calibri" w:hAnsi="Calibri" w:cs="Calibri"/>
                <w:i/>
                <w:iCs/>
                <w:color w:val="000000"/>
                <w:sz w:val="18"/>
                <w:szCs w:val="18"/>
              </w:rPr>
              <w:t>12 025 000</w:t>
            </w:r>
          </w:p>
        </w:tc>
      </w:tr>
      <w:tr w:rsidR="00863011" w:rsidRPr="00863011" w14:paraId="7C8F791E" w14:textId="77777777" w:rsidTr="00863011">
        <w:trPr>
          <w:trHeight w:val="340"/>
        </w:trPr>
        <w:tc>
          <w:tcPr>
            <w:tcW w:w="640" w:type="dxa"/>
            <w:tcBorders>
              <w:top w:val="nil"/>
              <w:left w:val="single" w:sz="4" w:space="0" w:color="auto"/>
              <w:bottom w:val="single" w:sz="4" w:space="0" w:color="auto"/>
              <w:right w:val="single" w:sz="4" w:space="0" w:color="auto"/>
            </w:tcBorders>
            <w:shd w:val="clear" w:color="000000" w:fill="8497B0"/>
            <w:vAlign w:val="center"/>
            <w:hideMark/>
          </w:tcPr>
          <w:p w14:paraId="450D6BD8" w14:textId="77777777" w:rsidR="00863011" w:rsidRPr="00863011" w:rsidRDefault="00863011"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 </w:t>
            </w:r>
          </w:p>
        </w:tc>
        <w:tc>
          <w:tcPr>
            <w:tcW w:w="4520" w:type="dxa"/>
            <w:tcBorders>
              <w:top w:val="nil"/>
              <w:left w:val="nil"/>
              <w:bottom w:val="single" w:sz="4" w:space="0" w:color="auto"/>
              <w:right w:val="single" w:sz="4" w:space="0" w:color="auto"/>
            </w:tcBorders>
            <w:shd w:val="clear" w:color="000000" w:fill="8497B0"/>
            <w:vAlign w:val="center"/>
            <w:hideMark/>
          </w:tcPr>
          <w:p w14:paraId="2EEF0BD8" w14:textId="77777777" w:rsidR="00863011" w:rsidRPr="00863011" w:rsidRDefault="00863011" w:rsidP="00863011">
            <w:pPr>
              <w:jc w:val="center"/>
              <w:rPr>
                <w:rFonts w:ascii="Calibri" w:hAnsi="Calibri" w:cs="Calibri"/>
                <w:b/>
                <w:bCs/>
                <w:i/>
                <w:iCs/>
                <w:color w:val="000000"/>
                <w:sz w:val="18"/>
                <w:szCs w:val="18"/>
              </w:rPr>
            </w:pPr>
            <w:r w:rsidRPr="00863011">
              <w:rPr>
                <w:rFonts w:ascii="Calibri" w:hAnsi="Calibri" w:cs="Calibri"/>
                <w:b/>
                <w:bCs/>
                <w:i/>
                <w:iCs/>
                <w:color w:val="000000"/>
                <w:sz w:val="18"/>
                <w:szCs w:val="18"/>
              </w:rPr>
              <w:t>TOTAL</w:t>
            </w:r>
          </w:p>
        </w:tc>
        <w:tc>
          <w:tcPr>
            <w:tcW w:w="2180" w:type="dxa"/>
            <w:tcBorders>
              <w:top w:val="nil"/>
              <w:left w:val="nil"/>
              <w:bottom w:val="single" w:sz="4" w:space="0" w:color="auto"/>
              <w:right w:val="single" w:sz="4" w:space="0" w:color="auto"/>
            </w:tcBorders>
            <w:shd w:val="clear" w:color="000000" w:fill="8497B0"/>
            <w:vAlign w:val="center"/>
            <w:hideMark/>
          </w:tcPr>
          <w:p w14:paraId="23A63729" w14:textId="77777777" w:rsidR="00863011" w:rsidRPr="00863011" w:rsidRDefault="00863011" w:rsidP="00863011">
            <w:pPr>
              <w:jc w:val="right"/>
              <w:rPr>
                <w:rFonts w:ascii="Calibri" w:hAnsi="Calibri" w:cs="Calibri"/>
                <w:b/>
                <w:bCs/>
                <w:i/>
                <w:iCs/>
                <w:color w:val="000000"/>
                <w:sz w:val="18"/>
                <w:szCs w:val="18"/>
              </w:rPr>
            </w:pPr>
            <w:r w:rsidRPr="00863011">
              <w:rPr>
                <w:rFonts w:ascii="Calibri" w:hAnsi="Calibri" w:cs="Calibri"/>
                <w:b/>
                <w:bCs/>
                <w:i/>
                <w:iCs/>
                <w:color w:val="000000"/>
                <w:sz w:val="18"/>
                <w:szCs w:val="18"/>
              </w:rPr>
              <w:t xml:space="preserve">                                 218 673  </w:t>
            </w:r>
          </w:p>
        </w:tc>
        <w:tc>
          <w:tcPr>
            <w:tcW w:w="2180" w:type="dxa"/>
            <w:tcBorders>
              <w:top w:val="nil"/>
              <w:left w:val="nil"/>
              <w:bottom w:val="single" w:sz="4" w:space="0" w:color="auto"/>
              <w:right w:val="single" w:sz="4" w:space="0" w:color="auto"/>
            </w:tcBorders>
            <w:shd w:val="clear" w:color="000000" w:fill="8497B0"/>
            <w:vAlign w:val="center"/>
            <w:hideMark/>
          </w:tcPr>
          <w:p w14:paraId="3A9EE3A1" w14:textId="77777777" w:rsidR="00863011" w:rsidRPr="00863011" w:rsidRDefault="00863011" w:rsidP="00863011">
            <w:pPr>
              <w:jc w:val="right"/>
              <w:rPr>
                <w:rFonts w:ascii="Calibri" w:hAnsi="Calibri" w:cs="Calibri"/>
                <w:b/>
                <w:bCs/>
                <w:i/>
                <w:iCs/>
                <w:color w:val="000000"/>
                <w:sz w:val="18"/>
                <w:szCs w:val="18"/>
              </w:rPr>
            </w:pPr>
            <w:r w:rsidRPr="00863011">
              <w:rPr>
                <w:rFonts w:ascii="Calibri" w:hAnsi="Calibri" w:cs="Calibri"/>
                <w:b/>
                <w:bCs/>
                <w:i/>
                <w:iCs/>
                <w:color w:val="000000"/>
                <w:sz w:val="18"/>
                <w:szCs w:val="18"/>
              </w:rPr>
              <w:t xml:space="preserve">                         127 648 400  </w:t>
            </w:r>
          </w:p>
        </w:tc>
      </w:tr>
    </w:tbl>
    <w:p w14:paraId="214D05A6" w14:textId="22DE86BA" w:rsidR="00E97B10" w:rsidRPr="00211A44" w:rsidRDefault="00E97B10" w:rsidP="00E97B10">
      <w:pPr>
        <w:rPr>
          <w:rFonts w:asciiTheme="minorHAnsi" w:hAnsiTheme="minorHAnsi" w:cstheme="minorHAnsi"/>
          <w:lang w:val="fr-FR"/>
        </w:rPr>
      </w:pPr>
    </w:p>
    <w:p w14:paraId="4DE343BE" w14:textId="6488F0EA" w:rsidR="00E97B10" w:rsidRPr="00211A44" w:rsidRDefault="00E97B10" w:rsidP="00E97B10">
      <w:pPr>
        <w:rPr>
          <w:rFonts w:asciiTheme="minorHAnsi" w:hAnsiTheme="minorHAnsi" w:cstheme="minorHAnsi"/>
          <w:lang w:val="fr-FR"/>
        </w:rPr>
      </w:pPr>
    </w:p>
    <w:p w14:paraId="748F3AC3" w14:textId="0F091BB5" w:rsidR="00F93BD7" w:rsidRPr="00211A44" w:rsidRDefault="00F93BD7" w:rsidP="00E97B10">
      <w:pPr>
        <w:rPr>
          <w:rFonts w:asciiTheme="minorHAnsi" w:hAnsiTheme="minorHAnsi" w:cstheme="minorHAnsi"/>
          <w:lang w:val="fr-FR"/>
        </w:rPr>
      </w:pPr>
    </w:p>
    <w:p w14:paraId="01C3D2C5" w14:textId="35C29740" w:rsidR="00F93BD7" w:rsidRPr="00211A44" w:rsidRDefault="00F93BD7" w:rsidP="00E97B10">
      <w:pPr>
        <w:rPr>
          <w:rFonts w:asciiTheme="minorHAnsi" w:hAnsiTheme="minorHAnsi" w:cstheme="minorHAnsi"/>
          <w:lang w:val="fr-FR"/>
        </w:rPr>
      </w:pPr>
    </w:p>
    <w:p w14:paraId="5977D003" w14:textId="77777777" w:rsidR="008661B7" w:rsidRPr="00211A44" w:rsidRDefault="008661B7" w:rsidP="00E97B10">
      <w:pPr>
        <w:rPr>
          <w:rFonts w:asciiTheme="minorHAnsi" w:hAnsiTheme="minorHAnsi" w:cstheme="minorHAnsi"/>
          <w:lang w:val="fr-FR"/>
        </w:rPr>
      </w:pPr>
    </w:p>
    <w:p w14:paraId="4032165B" w14:textId="77777777" w:rsidR="00F93BD7" w:rsidRPr="00211A44" w:rsidRDefault="00F93BD7" w:rsidP="00876462">
      <w:pPr>
        <w:pStyle w:val="Titre1"/>
        <w:numPr>
          <w:ilvl w:val="0"/>
          <w:numId w:val="13"/>
        </w:numPr>
        <w:rPr>
          <w:rFonts w:asciiTheme="minorHAnsi" w:hAnsiTheme="minorHAnsi" w:cstheme="minorHAnsi"/>
          <w:sz w:val="24"/>
          <w:szCs w:val="24"/>
          <w:lang w:val="fr-FR"/>
        </w:rPr>
        <w:sectPr w:rsidR="00F93BD7" w:rsidRPr="00211A44" w:rsidSect="00E97B10">
          <w:pgSz w:w="11900" w:h="16840"/>
          <w:pgMar w:top="1417" w:right="1417" w:bottom="1417" w:left="1417" w:header="708" w:footer="134" w:gutter="0"/>
          <w:cols w:space="708"/>
          <w:docGrid w:linePitch="360"/>
        </w:sectPr>
      </w:pPr>
    </w:p>
    <w:p w14:paraId="21E830CF" w14:textId="0C1F061A" w:rsidR="002411F5" w:rsidRPr="00211A44" w:rsidRDefault="002411F5" w:rsidP="00876462">
      <w:pPr>
        <w:pStyle w:val="Titre1"/>
        <w:numPr>
          <w:ilvl w:val="0"/>
          <w:numId w:val="13"/>
        </w:numPr>
        <w:rPr>
          <w:rFonts w:asciiTheme="minorHAnsi" w:hAnsiTheme="minorHAnsi" w:cstheme="minorHAnsi"/>
          <w:sz w:val="24"/>
          <w:szCs w:val="24"/>
          <w:lang w:val="fr-FR"/>
        </w:rPr>
      </w:pPr>
      <w:bookmarkStart w:id="28" w:name="_Toc97572955"/>
      <w:r w:rsidRPr="00211A44">
        <w:rPr>
          <w:rFonts w:asciiTheme="minorHAnsi" w:hAnsiTheme="minorHAnsi" w:cstheme="minorHAnsi"/>
          <w:sz w:val="24"/>
          <w:szCs w:val="24"/>
          <w:lang w:val="fr-FR"/>
        </w:rPr>
        <w:lastRenderedPageBreak/>
        <w:t>Cadre de suivi-Évaluation</w:t>
      </w:r>
      <w:bookmarkEnd w:id="28"/>
    </w:p>
    <w:tbl>
      <w:tblPr>
        <w:tblStyle w:val="TableauGrille4-Accentuation2"/>
        <w:tblW w:w="14029" w:type="dxa"/>
        <w:tblLook w:val="04A0" w:firstRow="1" w:lastRow="0" w:firstColumn="1" w:lastColumn="0" w:noHBand="0" w:noVBand="1"/>
      </w:tblPr>
      <w:tblGrid>
        <w:gridCol w:w="783"/>
        <w:gridCol w:w="1937"/>
        <w:gridCol w:w="1955"/>
        <w:gridCol w:w="3075"/>
        <w:gridCol w:w="2260"/>
        <w:gridCol w:w="2135"/>
        <w:gridCol w:w="1884"/>
      </w:tblGrid>
      <w:tr w:rsidR="00F93BD7" w:rsidRPr="00211A44" w14:paraId="542301BD" w14:textId="77777777" w:rsidTr="002917EE">
        <w:trPr>
          <w:cnfStyle w:val="100000000000" w:firstRow="1" w:lastRow="0" w:firstColumn="0" w:lastColumn="0" w:oddVBand="0" w:evenVBand="0" w:oddHBand="0" w:evenHBand="0" w:firstRowFirstColumn="0" w:firstRowLastColumn="0" w:lastRowFirstColumn="0" w:lastRowLastColumn="0"/>
          <w:trHeight w:val="334"/>
          <w:tblHead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3C5C1BD7" w14:textId="77777777" w:rsidR="00F93BD7" w:rsidRPr="00211A44" w:rsidRDefault="00F93BD7" w:rsidP="00EF454E">
            <w:pPr>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 </w:t>
            </w:r>
          </w:p>
        </w:tc>
        <w:tc>
          <w:tcPr>
            <w:tcW w:w="1955" w:type="dxa"/>
            <w:noWrap/>
            <w:hideMark/>
          </w:tcPr>
          <w:p w14:paraId="34A4E49F" w14:textId="77777777" w:rsidR="00F93BD7" w:rsidRPr="00211A44"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Stratégies</w:t>
            </w:r>
          </w:p>
        </w:tc>
        <w:tc>
          <w:tcPr>
            <w:tcW w:w="3075" w:type="dxa"/>
            <w:noWrap/>
            <w:hideMark/>
          </w:tcPr>
          <w:p w14:paraId="34E36641" w14:textId="77777777" w:rsidR="00F93BD7" w:rsidRPr="00211A44"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Interventions</w:t>
            </w:r>
          </w:p>
        </w:tc>
        <w:tc>
          <w:tcPr>
            <w:tcW w:w="2260" w:type="dxa"/>
            <w:noWrap/>
            <w:hideMark/>
          </w:tcPr>
          <w:p w14:paraId="12D691D3" w14:textId="77777777" w:rsidR="00F93BD7" w:rsidRPr="00211A44"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Indicateurs</w:t>
            </w:r>
          </w:p>
        </w:tc>
        <w:tc>
          <w:tcPr>
            <w:tcW w:w="2135" w:type="dxa"/>
            <w:noWrap/>
            <w:hideMark/>
          </w:tcPr>
          <w:p w14:paraId="4CA506B2" w14:textId="77777777" w:rsidR="00F93BD7" w:rsidRPr="00211A44"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Source de vérification</w:t>
            </w:r>
          </w:p>
        </w:tc>
        <w:tc>
          <w:tcPr>
            <w:tcW w:w="1884" w:type="dxa"/>
            <w:noWrap/>
            <w:hideMark/>
          </w:tcPr>
          <w:p w14:paraId="71FEB998" w14:textId="77777777" w:rsidR="00F93BD7" w:rsidRPr="00211A44"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Périodicité</w:t>
            </w:r>
          </w:p>
        </w:tc>
      </w:tr>
      <w:tr w:rsidR="00F93BD7" w:rsidRPr="002917EE" w14:paraId="33CB9BE3" w14:textId="77777777" w:rsidTr="002917EE">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5E06A3DF" w14:textId="77777777" w:rsidR="00F93BD7" w:rsidRPr="002917EE" w:rsidRDefault="00F93BD7" w:rsidP="00EF454E">
            <w:pPr>
              <w:rPr>
                <w:rFonts w:asciiTheme="minorHAnsi" w:hAnsiTheme="minorHAnsi" w:cstheme="minorHAnsi"/>
                <w:sz w:val="20"/>
                <w:szCs w:val="20"/>
                <w:lang w:val="fr-FR"/>
              </w:rPr>
            </w:pPr>
            <w:r w:rsidRPr="002917EE">
              <w:rPr>
                <w:rFonts w:asciiTheme="minorHAnsi" w:hAnsiTheme="minorHAnsi" w:cstheme="minorHAnsi"/>
                <w:sz w:val="20"/>
                <w:szCs w:val="20"/>
                <w:lang w:val="fr-FR"/>
              </w:rPr>
              <w:t>Objectif général :</w:t>
            </w:r>
          </w:p>
        </w:tc>
        <w:tc>
          <w:tcPr>
            <w:tcW w:w="11309" w:type="dxa"/>
            <w:gridSpan w:val="5"/>
            <w:hideMark/>
          </w:tcPr>
          <w:p w14:paraId="3FC997A6" w14:textId="77777777" w:rsidR="00F93BD7" w:rsidRPr="002917EE" w:rsidRDefault="00F93BD7" w:rsidP="00EF45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lang w:val="fr-FR"/>
              </w:rPr>
            </w:pPr>
            <w:r w:rsidRPr="002917EE">
              <w:rPr>
                <w:rFonts w:asciiTheme="minorHAnsi" w:hAnsiTheme="minorHAnsi" w:cstheme="minorHAnsi"/>
                <w:b/>
                <w:bCs/>
                <w:sz w:val="20"/>
                <w:szCs w:val="20"/>
                <w:lang w:val="fr-FR"/>
              </w:rPr>
              <w:t xml:space="preserve">Remplacer le vaccin </w:t>
            </w:r>
            <w:proofErr w:type="spellStart"/>
            <w:r w:rsidRPr="002917EE">
              <w:rPr>
                <w:rFonts w:asciiTheme="minorHAnsi" w:hAnsiTheme="minorHAnsi" w:cstheme="minorHAnsi"/>
                <w:b/>
                <w:bCs/>
                <w:sz w:val="20"/>
                <w:szCs w:val="20"/>
                <w:lang w:val="fr-FR"/>
              </w:rPr>
              <w:t>Rotarix</w:t>
            </w:r>
            <w:proofErr w:type="spellEnd"/>
            <w:r w:rsidRPr="002917EE">
              <w:rPr>
                <w:rFonts w:asciiTheme="minorHAnsi" w:hAnsiTheme="minorHAnsi" w:cstheme="minorHAnsi"/>
                <w:b/>
                <w:bCs/>
                <w:sz w:val="20"/>
                <w:szCs w:val="20"/>
                <w:lang w:val="fr-FR"/>
              </w:rPr>
              <w:t xml:space="preserve"> par le vaccin Rotavac dans le calendrier vaccinal de routine sans compromettre l'offre et la demande du vaccin anti-rotavirus</w:t>
            </w:r>
          </w:p>
        </w:tc>
      </w:tr>
      <w:tr w:rsidR="00F93BD7" w:rsidRPr="00211A44" w14:paraId="2C709280" w14:textId="77777777" w:rsidTr="002917EE">
        <w:trPr>
          <w:trHeight w:val="956"/>
        </w:trPr>
        <w:tc>
          <w:tcPr>
            <w:cnfStyle w:val="001000000000" w:firstRow="0" w:lastRow="0" w:firstColumn="1" w:lastColumn="0" w:oddVBand="0" w:evenVBand="0" w:oddHBand="0" w:evenHBand="0" w:firstRowFirstColumn="0" w:firstRowLastColumn="0" w:lastRowFirstColumn="0" w:lastRowLastColumn="0"/>
            <w:tcW w:w="783" w:type="dxa"/>
            <w:vMerge w:val="restart"/>
            <w:noWrap/>
            <w:textDirection w:val="tbLrV"/>
            <w:hideMark/>
          </w:tcPr>
          <w:p w14:paraId="2528327A" w14:textId="77777777" w:rsidR="00F93BD7" w:rsidRPr="00211A44" w:rsidRDefault="00F93BD7" w:rsidP="00EF454E">
            <w:pPr>
              <w:jc w:val="center"/>
              <w:rPr>
                <w:rFonts w:asciiTheme="minorHAnsi" w:hAnsiTheme="minorHAnsi" w:cstheme="minorHAnsi"/>
                <w:b w:val="0"/>
                <w:bCs w:val="0"/>
                <w:sz w:val="18"/>
                <w:szCs w:val="18"/>
                <w:lang w:val="fr-FR"/>
              </w:rPr>
            </w:pPr>
            <w:r w:rsidRPr="00211A44">
              <w:rPr>
                <w:rFonts w:asciiTheme="minorHAnsi" w:hAnsiTheme="minorHAnsi" w:cstheme="minorHAnsi"/>
                <w:b w:val="0"/>
                <w:bCs w:val="0"/>
                <w:sz w:val="18"/>
                <w:szCs w:val="18"/>
                <w:lang w:val="fr-FR"/>
              </w:rPr>
              <w:t>Objectifs spécifiques (OS)</w:t>
            </w:r>
          </w:p>
        </w:tc>
        <w:tc>
          <w:tcPr>
            <w:tcW w:w="1937" w:type="dxa"/>
            <w:vMerge w:val="restart"/>
            <w:hideMark/>
          </w:tcPr>
          <w:p w14:paraId="12253216" w14:textId="4D2BE31D"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OS</w:t>
            </w:r>
            <w:r w:rsidR="00840726" w:rsidRPr="00211A44">
              <w:rPr>
                <w:rFonts w:asciiTheme="minorHAnsi" w:hAnsiTheme="minorHAnsi" w:cstheme="minorHAnsi"/>
                <w:sz w:val="18"/>
                <w:szCs w:val="18"/>
                <w:lang w:val="fr-FR"/>
              </w:rPr>
              <w:t>1 :</w:t>
            </w:r>
            <w:r w:rsidRPr="00211A44">
              <w:rPr>
                <w:rFonts w:asciiTheme="minorHAnsi" w:hAnsiTheme="minorHAnsi" w:cstheme="minorHAnsi"/>
                <w:sz w:val="18"/>
                <w:szCs w:val="18"/>
                <w:lang w:val="fr-FR"/>
              </w:rPr>
              <w:t xml:space="preserve"> Informer les personnels de santé sur le changement et les spécificités du vaccin Rotavac et les implications de son introduction dans le calendrier vaccinal en remplacement du </w:t>
            </w:r>
            <w:proofErr w:type="spellStart"/>
            <w:r w:rsidRPr="00211A44">
              <w:rPr>
                <w:rFonts w:asciiTheme="minorHAnsi" w:hAnsiTheme="minorHAnsi" w:cstheme="minorHAnsi"/>
                <w:sz w:val="18"/>
                <w:szCs w:val="18"/>
                <w:lang w:val="fr-FR"/>
              </w:rPr>
              <w:t>Rotarix</w:t>
            </w:r>
            <w:proofErr w:type="spellEnd"/>
          </w:p>
        </w:tc>
        <w:tc>
          <w:tcPr>
            <w:tcW w:w="1955" w:type="dxa"/>
            <w:hideMark/>
          </w:tcPr>
          <w:p w14:paraId="37FF3F93"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Information et renforcement des capacités du personnel en charge de la vaccination</w:t>
            </w:r>
          </w:p>
        </w:tc>
        <w:tc>
          <w:tcPr>
            <w:tcW w:w="3075" w:type="dxa"/>
            <w:vMerge w:val="restart"/>
            <w:hideMark/>
          </w:tcPr>
          <w:p w14:paraId="5636AC1D" w14:textId="029AFF82"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br/>
              <w:t>1- Mise à jour des modules de formation, des guides, des supports de communication et outils de collecte des données</w:t>
            </w:r>
            <w:r w:rsidRPr="00211A44">
              <w:rPr>
                <w:rFonts w:asciiTheme="minorHAnsi" w:hAnsiTheme="minorHAnsi" w:cstheme="minorHAnsi"/>
                <w:sz w:val="18"/>
                <w:szCs w:val="18"/>
                <w:lang w:val="fr-FR"/>
              </w:rPr>
              <w:br/>
              <w:t xml:space="preserve">2- Formation des </w:t>
            </w:r>
            <w:r w:rsidR="002917EE" w:rsidRPr="00211A44">
              <w:rPr>
                <w:rFonts w:asciiTheme="minorHAnsi" w:hAnsiTheme="minorHAnsi" w:cstheme="minorHAnsi"/>
                <w:sz w:val="18"/>
                <w:szCs w:val="18"/>
                <w:lang w:val="fr-FR"/>
              </w:rPr>
              <w:t>Superviseurs</w:t>
            </w:r>
            <w:r w:rsidRPr="00211A44">
              <w:rPr>
                <w:rFonts w:asciiTheme="minorHAnsi" w:hAnsiTheme="minorHAnsi" w:cstheme="minorHAnsi"/>
                <w:sz w:val="18"/>
                <w:szCs w:val="18"/>
                <w:lang w:val="fr-FR"/>
              </w:rPr>
              <w:t xml:space="preserve"> centraux</w:t>
            </w:r>
            <w:r w:rsidRPr="00211A44">
              <w:rPr>
                <w:rFonts w:asciiTheme="minorHAnsi" w:hAnsiTheme="minorHAnsi" w:cstheme="minorHAnsi"/>
                <w:sz w:val="18"/>
                <w:szCs w:val="18"/>
                <w:lang w:val="fr-FR"/>
              </w:rPr>
              <w:br/>
              <w:t>3- Formation des équipes cadres des DS</w:t>
            </w:r>
            <w:r w:rsidRPr="00211A44">
              <w:rPr>
                <w:rFonts w:asciiTheme="minorHAnsi" w:hAnsiTheme="minorHAnsi" w:cstheme="minorHAnsi"/>
                <w:sz w:val="18"/>
                <w:szCs w:val="18"/>
                <w:lang w:val="fr-FR"/>
              </w:rPr>
              <w:br/>
              <w:t>4- Formation des responsables des AS</w:t>
            </w:r>
          </w:p>
        </w:tc>
        <w:tc>
          <w:tcPr>
            <w:tcW w:w="2260" w:type="dxa"/>
            <w:vMerge w:val="restart"/>
            <w:hideMark/>
          </w:tcPr>
          <w:p w14:paraId="0A75B9D8" w14:textId="4197445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 Nombres de documents mis à jour</w:t>
            </w:r>
            <w:r w:rsidRPr="00211A44">
              <w:rPr>
                <w:rFonts w:asciiTheme="minorHAnsi" w:hAnsiTheme="minorHAnsi" w:cstheme="minorHAnsi"/>
                <w:sz w:val="18"/>
                <w:szCs w:val="18"/>
                <w:lang w:val="fr-FR"/>
              </w:rPr>
              <w:br/>
              <w:t xml:space="preserve">2- Nombre de </w:t>
            </w:r>
            <w:r w:rsidR="002917EE" w:rsidRPr="00211A44">
              <w:rPr>
                <w:rFonts w:asciiTheme="minorHAnsi" w:hAnsiTheme="minorHAnsi" w:cstheme="minorHAnsi"/>
                <w:sz w:val="18"/>
                <w:szCs w:val="18"/>
                <w:lang w:val="fr-FR"/>
              </w:rPr>
              <w:t>Superviseurs</w:t>
            </w:r>
            <w:r w:rsidRPr="00211A44">
              <w:rPr>
                <w:rFonts w:asciiTheme="minorHAnsi" w:hAnsiTheme="minorHAnsi" w:cstheme="minorHAnsi"/>
                <w:sz w:val="18"/>
                <w:szCs w:val="18"/>
                <w:lang w:val="fr-FR"/>
              </w:rPr>
              <w:t xml:space="preserve"> centraux formés</w:t>
            </w:r>
            <w:r w:rsidRPr="00211A44">
              <w:rPr>
                <w:rFonts w:asciiTheme="minorHAnsi" w:hAnsiTheme="minorHAnsi" w:cstheme="minorHAnsi"/>
                <w:sz w:val="18"/>
                <w:szCs w:val="18"/>
                <w:lang w:val="fr-FR"/>
              </w:rPr>
              <w:br/>
              <w:t>3- Nombre d'acteurs régionaux et du DS formés</w:t>
            </w:r>
            <w:r w:rsidRPr="00211A44">
              <w:rPr>
                <w:rFonts w:asciiTheme="minorHAnsi" w:hAnsiTheme="minorHAnsi" w:cstheme="minorHAnsi"/>
                <w:sz w:val="18"/>
                <w:szCs w:val="18"/>
                <w:lang w:val="fr-FR"/>
              </w:rPr>
              <w:br/>
              <w:t>4- Nombre de Responsables d'Aires de Santé formés</w:t>
            </w:r>
          </w:p>
        </w:tc>
        <w:tc>
          <w:tcPr>
            <w:tcW w:w="2135" w:type="dxa"/>
            <w:vMerge w:val="restart"/>
            <w:hideMark/>
          </w:tcPr>
          <w:p w14:paraId="616736C2" w14:textId="563B79D4"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Rapports de formation</w:t>
            </w:r>
            <w:r w:rsidRPr="00211A44">
              <w:rPr>
                <w:rFonts w:asciiTheme="minorHAnsi" w:hAnsiTheme="minorHAnsi" w:cstheme="minorHAnsi"/>
                <w:sz w:val="18"/>
                <w:szCs w:val="18"/>
                <w:lang w:val="fr-FR"/>
              </w:rPr>
              <w:br/>
              <w:t>Attestations de fin de formation (le cas échéant)</w:t>
            </w:r>
          </w:p>
        </w:tc>
        <w:tc>
          <w:tcPr>
            <w:tcW w:w="1884" w:type="dxa"/>
            <w:vMerge w:val="restart"/>
            <w:hideMark/>
          </w:tcPr>
          <w:p w14:paraId="4FAC9F85"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Après la formation</w:t>
            </w:r>
          </w:p>
        </w:tc>
      </w:tr>
      <w:tr w:rsidR="00F93BD7" w:rsidRPr="00211A44" w14:paraId="1FF94DF9" w14:textId="77777777" w:rsidTr="002917EE">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783" w:type="dxa"/>
            <w:vMerge/>
            <w:hideMark/>
          </w:tcPr>
          <w:p w14:paraId="75B10287" w14:textId="77777777" w:rsidR="00F93BD7" w:rsidRPr="00211A44" w:rsidRDefault="00F93BD7" w:rsidP="00EF454E">
            <w:pPr>
              <w:jc w:val="center"/>
              <w:rPr>
                <w:rFonts w:asciiTheme="minorHAnsi" w:hAnsiTheme="minorHAnsi" w:cstheme="minorHAnsi"/>
                <w:b w:val="0"/>
                <w:bCs w:val="0"/>
                <w:sz w:val="18"/>
                <w:szCs w:val="18"/>
                <w:lang w:val="fr-FR"/>
              </w:rPr>
            </w:pPr>
          </w:p>
        </w:tc>
        <w:tc>
          <w:tcPr>
            <w:tcW w:w="1937" w:type="dxa"/>
            <w:vMerge/>
            <w:hideMark/>
          </w:tcPr>
          <w:p w14:paraId="22BAE091"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p>
        </w:tc>
        <w:tc>
          <w:tcPr>
            <w:tcW w:w="1955" w:type="dxa"/>
            <w:hideMark/>
          </w:tcPr>
          <w:p w14:paraId="7645E753" w14:textId="3891DE2C"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 xml:space="preserve">Gestion des Manifestations Post Vaccinales Indésirables (MAPI) et </w:t>
            </w:r>
            <w:r w:rsidR="002917EE" w:rsidRPr="00211A44">
              <w:rPr>
                <w:rFonts w:asciiTheme="minorHAnsi" w:hAnsiTheme="minorHAnsi" w:cstheme="minorHAnsi"/>
                <w:sz w:val="18"/>
                <w:szCs w:val="18"/>
                <w:lang w:val="fr-FR"/>
              </w:rPr>
              <w:t>Évènements</w:t>
            </w:r>
            <w:r w:rsidRPr="00211A44">
              <w:rPr>
                <w:rFonts w:asciiTheme="minorHAnsi" w:hAnsiTheme="minorHAnsi" w:cstheme="minorHAnsi"/>
                <w:sz w:val="18"/>
                <w:szCs w:val="18"/>
                <w:lang w:val="fr-FR"/>
              </w:rPr>
              <w:t xml:space="preserve"> Indésirables d'Intérêt Particulier (EIIP)</w:t>
            </w:r>
          </w:p>
        </w:tc>
        <w:tc>
          <w:tcPr>
            <w:tcW w:w="3075" w:type="dxa"/>
            <w:vMerge/>
            <w:hideMark/>
          </w:tcPr>
          <w:p w14:paraId="72C85462"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p>
        </w:tc>
        <w:tc>
          <w:tcPr>
            <w:tcW w:w="2260" w:type="dxa"/>
            <w:vMerge/>
            <w:hideMark/>
          </w:tcPr>
          <w:p w14:paraId="0A5A2FE9"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p>
        </w:tc>
        <w:tc>
          <w:tcPr>
            <w:tcW w:w="2135" w:type="dxa"/>
            <w:vMerge/>
            <w:hideMark/>
          </w:tcPr>
          <w:p w14:paraId="40ECBE4F"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p>
        </w:tc>
        <w:tc>
          <w:tcPr>
            <w:tcW w:w="1884" w:type="dxa"/>
            <w:vMerge/>
            <w:hideMark/>
          </w:tcPr>
          <w:p w14:paraId="554DAD2C"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p>
        </w:tc>
      </w:tr>
      <w:tr w:rsidR="00F93BD7" w:rsidRPr="00211A44" w14:paraId="708D8EA1" w14:textId="77777777" w:rsidTr="002917EE">
        <w:trPr>
          <w:trHeight w:val="1458"/>
        </w:trPr>
        <w:tc>
          <w:tcPr>
            <w:cnfStyle w:val="001000000000" w:firstRow="0" w:lastRow="0" w:firstColumn="1" w:lastColumn="0" w:oddVBand="0" w:evenVBand="0" w:oddHBand="0" w:evenHBand="0" w:firstRowFirstColumn="0" w:firstRowLastColumn="0" w:lastRowFirstColumn="0" w:lastRowLastColumn="0"/>
            <w:tcW w:w="783" w:type="dxa"/>
            <w:vMerge/>
            <w:hideMark/>
          </w:tcPr>
          <w:p w14:paraId="3A310CE5" w14:textId="77777777" w:rsidR="00F93BD7" w:rsidRPr="00211A44" w:rsidRDefault="00F93BD7" w:rsidP="00EF454E">
            <w:pPr>
              <w:jc w:val="center"/>
              <w:rPr>
                <w:rFonts w:asciiTheme="minorHAnsi" w:hAnsiTheme="minorHAnsi" w:cstheme="minorHAnsi"/>
                <w:b w:val="0"/>
                <w:bCs w:val="0"/>
                <w:sz w:val="18"/>
                <w:szCs w:val="18"/>
                <w:lang w:val="fr-FR"/>
              </w:rPr>
            </w:pPr>
          </w:p>
        </w:tc>
        <w:tc>
          <w:tcPr>
            <w:tcW w:w="1937" w:type="dxa"/>
            <w:hideMark/>
          </w:tcPr>
          <w:p w14:paraId="06C872F4" w14:textId="282C0944"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OS</w:t>
            </w:r>
            <w:r w:rsidR="00840726" w:rsidRPr="00211A44">
              <w:rPr>
                <w:rFonts w:asciiTheme="minorHAnsi" w:hAnsiTheme="minorHAnsi" w:cstheme="minorHAnsi"/>
                <w:sz w:val="18"/>
                <w:szCs w:val="18"/>
                <w:lang w:val="fr-FR"/>
              </w:rPr>
              <w:t>2 :</w:t>
            </w:r>
            <w:r w:rsidRPr="00211A44">
              <w:rPr>
                <w:rFonts w:asciiTheme="minorHAnsi" w:hAnsiTheme="minorHAnsi" w:cstheme="minorHAnsi"/>
                <w:sz w:val="18"/>
                <w:szCs w:val="18"/>
                <w:lang w:val="fr-FR"/>
              </w:rPr>
              <w:t xml:space="preserve"> Informer la communauté et les parents du changement de forme de vaccin contre le Rotavirus</w:t>
            </w:r>
          </w:p>
        </w:tc>
        <w:tc>
          <w:tcPr>
            <w:tcW w:w="1955" w:type="dxa"/>
            <w:hideMark/>
          </w:tcPr>
          <w:p w14:paraId="52EEB23D" w14:textId="3D8DA990"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Information de la communauté et des gardiens d'enfants</w:t>
            </w:r>
          </w:p>
        </w:tc>
        <w:tc>
          <w:tcPr>
            <w:tcW w:w="3075" w:type="dxa"/>
            <w:hideMark/>
          </w:tcPr>
          <w:p w14:paraId="2A389F76" w14:textId="4D0D009F"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1-Rédaction et diffusion d'un communiqué de presse sur le Switch Rota</w:t>
            </w:r>
            <w:r w:rsidRPr="00211A44">
              <w:rPr>
                <w:rFonts w:asciiTheme="minorHAnsi" w:hAnsiTheme="minorHAnsi" w:cstheme="minorHAnsi"/>
                <w:sz w:val="18"/>
                <w:szCs w:val="18"/>
                <w:lang w:val="fr-FR"/>
              </w:rPr>
              <w:br/>
              <w:t>2- Formation du Personnel de santé sur les techniques de CIP</w:t>
            </w:r>
            <w:r w:rsidRPr="00211A44">
              <w:rPr>
                <w:rFonts w:asciiTheme="minorHAnsi" w:hAnsiTheme="minorHAnsi" w:cstheme="minorHAnsi"/>
                <w:sz w:val="18"/>
                <w:szCs w:val="18"/>
                <w:lang w:val="fr-FR"/>
              </w:rPr>
              <w:br/>
              <w:t>3- Production des supports de communication</w:t>
            </w:r>
          </w:p>
        </w:tc>
        <w:tc>
          <w:tcPr>
            <w:tcW w:w="2260" w:type="dxa"/>
            <w:hideMark/>
          </w:tcPr>
          <w:p w14:paraId="594A286A" w14:textId="6325A5FB"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 Nombre de communiqué 2- Nombre de personnels de santé formés</w:t>
            </w:r>
            <w:r w:rsidRPr="00211A44">
              <w:rPr>
                <w:rFonts w:asciiTheme="minorHAnsi" w:hAnsiTheme="minorHAnsi" w:cstheme="minorHAnsi"/>
                <w:sz w:val="18"/>
                <w:szCs w:val="18"/>
                <w:lang w:val="fr-FR"/>
              </w:rPr>
              <w:br/>
              <w:t>3- Nombre de supports produits</w:t>
            </w:r>
          </w:p>
        </w:tc>
        <w:tc>
          <w:tcPr>
            <w:tcW w:w="2135" w:type="dxa"/>
            <w:hideMark/>
          </w:tcPr>
          <w:p w14:paraId="0CFD4D57" w14:textId="556526C5"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 Rapports de diffusion</w:t>
            </w:r>
            <w:r w:rsidRPr="00211A44">
              <w:rPr>
                <w:rFonts w:asciiTheme="minorHAnsi" w:hAnsiTheme="minorHAnsi" w:cstheme="minorHAnsi"/>
                <w:sz w:val="18"/>
                <w:szCs w:val="18"/>
                <w:lang w:val="fr-FR"/>
              </w:rPr>
              <w:br/>
              <w:t>2- Rapports de l'atelier de formation</w:t>
            </w:r>
            <w:r w:rsidRPr="00211A44">
              <w:rPr>
                <w:rFonts w:asciiTheme="minorHAnsi" w:hAnsiTheme="minorHAnsi" w:cstheme="minorHAnsi"/>
                <w:sz w:val="18"/>
                <w:szCs w:val="18"/>
                <w:lang w:val="fr-FR"/>
              </w:rPr>
              <w:br/>
              <w:t>3- supports produits</w:t>
            </w:r>
          </w:p>
        </w:tc>
        <w:tc>
          <w:tcPr>
            <w:tcW w:w="1884" w:type="dxa"/>
            <w:hideMark/>
          </w:tcPr>
          <w:p w14:paraId="6C8CCC7B" w14:textId="6AC77F6C"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 Mensuelle</w:t>
            </w:r>
            <w:r w:rsidRPr="00211A44">
              <w:rPr>
                <w:rFonts w:asciiTheme="minorHAnsi" w:hAnsiTheme="minorHAnsi" w:cstheme="minorHAnsi"/>
                <w:sz w:val="18"/>
                <w:szCs w:val="18"/>
                <w:lang w:val="fr-FR"/>
              </w:rPr>
              <w:br/>
              <w:t>2- Après la formation</w:t>
            </w:r>
            <w:r w:rsidRPr="00211A44">
              <w:rPr>
                <w:rFonts w:asciiTheme="minorHAnsi" w:hAnsiTheme="minorHAnsi" w:cstheme="minorHAnsi"/>
                <w:sz w:val="18"/>
                <w:szCs w:val="18"/>
                <w:lang w:val="fr-FR"/>
              </w:rPr>
              <w:br/>
              <w:t>3- En fin de production</w:t>
            </w:r>
          </w:p>
        </w:tc>
      </w:tr>
      <w:tr w:rsidR="00F93BD7" w:rsidRPr="00211A44" w14:paraId="6893ABAF" w14:textId="77777777" w:rsidTr="002917EE">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783" w:type="dxa"/>
            <w:vMerge/>
            <w:hideMark/>
          </w:tcPr>
          <w:p w14:paraId="01A5B1C0" w14:textId="77777777" w:rsidR="00F93BD7" w:rsidRPr="00211A44" w:rsidRDefault="00F93BD7" w:rsidP="00EF454E">
            <w:pPr>
              <w:jc w:val="center"/>
              <w:rPr>
                <w:rFonts w:asciiTheme="minorHAnsi" w:hAnsiTheme="minorHAnsi" w:cstheme="minorHAnsi"/>
                <w:b w:val="0"/>
                <w:bCs w:val="0"/>
                <w:sz w:val="18"/>
                <w:szCs w:val="18"/>
                <w:lang w:val="fr-FR"/>
              </w:rPr>
            </w:pPr>
          </w:p>
        </w:tc>
        <w:tc>
          <w:tcPr>
            <w:tcW w:w="1937" w:type="dxa"/>
            <w:hideMark/>
          </w:tcPr>
          <w:p w14:paraId="4CA0BE95"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OS3: Mettre à disposition de toutes les formations sanitaires qui vaccinent les doses et les matériels d'injection de vaccin Rotavac</w:t>
            </w:r>
          </w:p>
        </w:tc>
        <w:tc>
          <w:tcPr>
            <w:tcW w:w="1955" w:type="dxa"/>
            <w:hideMark/>
          </w:tcPr>
          <w:p w14:paraId="4DBC3DEF"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Approvisionnement en vaccin et gestion des stocks</w:t>
            </w:r>
          </w:p>
        </w:tc>
        <w:tc>
          <w:tcPr>
            <w:tcW w:w="3075" w:type="dxa"/>
            <w:hideMark/>
          </w:tcPr>
          <w:p w14:paraId="49A0DD07" w14:textId="7EAEC2F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1- Transports des vaccins du GTC-PEV vers les régions</w:t>
            </w:r>
            <w:r w:rsidRPr="00211A44">
              <w:rPr>
                <w:rFonts w:asciiTheme="minorHAnsi" w:hAnsiTheme="minorHAnsi" w:cstheme="minorHAnsi"/>
                <w:sz w:val="18"/>
                <w:szCs w:val="18"/>
                <w:lang w:val="fr-FR"/>
              </w:rPr>
              <w:br/>
              <w:t>2- Approvisionnement des vaccins des régions vers les DS</w:t>
            </w:r>
            <w:r w:rsidRPr="00211A44">
              <w:rPr>
                <w:rFonts w:asciiTheme="minorHAnsi" w:hAnsiTheme="minorHAnsi" w:cstheme="minorHAnsi"/>
                <w:sz w:val="18"/>
                <w:szCs w:val="18"/>
                <w:lang w:val="fr-FR"/>
              </w:rPr>
              <w:br/>
              <w:t>3- Approvisionnement des vaccins des DS vers les AS</w:t>
            </w:r>
          </w:p>
        </w:tc>
        <w:tc>
          <w:tcPr>
            <w:tcW w:w="2260" w:type="dxa"/>
            <w:hideMark/>
          </w:tcPr>
          <w:p w14:paraId="3B4C4244" w14:textId="1DC8CF4D"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 xml:space="preserve">1- Nombre de régions approvisionnées </w:t>
            </w:r>
            <w:r w:rsidRPr="00211A44">
              <w:rPr>
                <w:rFonts w:asciiTheme="minorHAnsi" w:hAnsiTheme="minorHAnsi" w:cstheme="minorHAnsi"/>
                <w:sz w:val="18"/>
                <w:szCs w:val="18"/>
                <w:lang w:val="fr-FR"/>
              </w:rPr>
              <w:br/>
              <w:t>2- Nombre de DS Disposant des Vaccins Rotavac</w:t>
            </w:r>
            <w:r w:rsidRPr="00211A44">
              <w:rPr>
                <w:rFonts w:asciiTheme="minorHAnsi" w:hAnsiTheme="minorHAnsi" w:cstheme="minorHAnsi"/>
                <w:sz w:val="18"/>
                <w:szCs w:val="18"/>
                <w:lang w:val="fr-FR"/>
              </w:rPr>
              <w:br/>
              <w:t>3- Nombre d'AS ayant reçues le vaccin Rotavac</w:t>
            </w:r>
          </w:p>
        </w:tc>
        <w:tc>
          <w:tcPr>
            <w:tcW w:w="2135" w:type="dxa"/>
            <w:hideMark/>
          </w:tcPr>
          <w:p w14:paraId="7796F3AE"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Rapports de livraison</w:t>
            </w:r>
          </w:p>
        </w:tc>
        <w:tc>
          <w:tcPr>
            <w:tcW w:w="1884" w:type="dxa"/>
            <w:noWrap/>
            <w:hideMark/>
          </w:tcPr>
          <w:p w14:paraId="750F5743" w14:textId="77777777" w:rsidR="00F93BD7" w:rsidRPr="00211A44"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Après les livraisons</w:t>
            </w:r>
          </w:p>
        </w:tc>
      </w:tr>
      <w:tr w:rsidR="00F93BD7" w:rsidRPr="00211A44" w14:paraId="4858488E" w14:textId="77777777" w:rsidTr="002917EE">
        <w:trPr>
          <w:trHeight w:val="1099"/>
        </w:trPr>
        <w:tc>
          <w:tcPr>
            <w:cnfStyle w:val="001000000000" w:firstRow="0" w:lastRow="0" w:firstColumn="1" w:lastColumn="0" w:oddVBand="0" w:evenVBand="0" w:oddHBand="0" w:evenHBand="0" w:firstRowFirstColumn="0" w:firstRowLastColumn="0" w:lastRowFirstColumn="0" w:lastRowLastColumn="0"/>
            <w:tcW w:w="783" w:type="dxa"/>
            <w:vMerge/>
            <w:hideMark/>
          </w:tcPr>
          <w:p w14:paraId="042E4CA4" w14:textId="77777777" w:rsidR="00F93BD7" w:rsidRPr="00211A44" w:rsidRDefault="00F93BD7" w:rsidP="00EF454E">
            <w:pPr>
              <w:rPr>
                <w:rFonts w:asciiTheme="minorHAnsi" w:hAnsiTheme="minorHAnsi" w:cstheme="minorHAnsi"/>
                <w:b w:val="0"/>
                <w:bCs w:val="0"/>
                <w:sz w:val="18"/>
                <w:szCs w:val="18"/>
                <w:lang w:val="fr-FR"/>
              </w:rPr>
            </w:pPr>
          </w:p>
        </w:tc>
        <w:tc>
          <w:tcPr>
            <w:tcW w:w="1937" w:type="dxa"/>
            <w:hideMark/>
          </w:tcPr>
          <w:p w14:paraId="7F3EF0E9" w14:textId="2C28C751"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 xml:space="preserve">OS4: Suivre </w:t>
            </w:r>
            <w:r w:rsidR="00EF454E" w:rsidRPr="00211A44">
              <w:rPr>
                <w:rFonts w:asciiTheme="minorHAnsi" w:hAnsiTheme="minorHAnsi" w:cstheme="minorHAnsi"/>
                <w:sz w:val="18"/>
                <w:szCs w:val="18"/>
                <w:lang w:val="fr-FR"/>
              </w:rPr>
              <w:t>les performances</w:t>
            </w:r>
            <w:r w:rsidRPr="00211A44">
              <w:rPr>
                <w:rFonts w:asciiTheme="minorHAnsi" w:hAnsiTheme="minorHAnsi" w:cstheme="minorHAnsi"/>
                <w:sz w:val="18"/>
                <w:szCs w:val="18"/>
                <w:lang w:val="fr-FR"/>
              </w:rPr>
              <w:t xml:space="preserve"> de la vaccination contre le Rotavirus</w:t>
            </w:r>
          </w:p>
        </w:tc>
        <w:tc>
          <w:tcPr>
            <w:tcW w:w="1955" w:type="dxa"/>
            <w:hideMark/>
          </w:tcPr>
          <w:p w14:paraId="2CAD29D6"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Gestion des données et monitoring des performances</w:t>
            </w:r>
          </w:p>
        </w:tc>
        <w:tc>
          <w:tcPr>
            <w:tcW w:w="3075" w:type="dxa"/>
            <w:hideMark/>
          </w:tcPr>
          <w:p w14:paraId="0A2AAEB8"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Suivi de la remontée des données dans le DHIS2</w:t>
            </w:r>
          </w:p>
        </w:tc>
        <w:tc>
          <w:tcPr>
            <w:tcW w:w="2260" w:type="dxa"/>
            <w:hideMark/>
          </w:tcPr>
          <w:p w14:paraId="227D7042"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Taux de perte en Rotavac (10%)</w:t>
            </w:r>
          </w:p>
        </w:tc>
        <w:tc>
          <w:tcPr>
            <w:tcW w:w="2135" w:type="dxa"/>
            <w:hideMark/>
          </w:tcPr>
          <w:p w14:paraId="41485C48"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DHIS2</w:t>
            </w:r>
          </w:p>
        </w:tc>
        <w:tc>
          <w:tcPr>
            <w:tcW w:w="1884" w:type="dxa"/>
            <w:hideMark/>
          </w:tcPr>
          <w:p w14:paraId="10091ADD" w14:textId="77777777" w:rsidR="00F93BD7" w:rsidRPr="00211A44"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fr-FR"/>
              </w:rPr>
            </w:pPr>
            <w:r w:rsidRPr="00211A44">
              <w:rPr>
                <w:rFonts w:asciiTheme="minorHAnsi" w:hAnsiTheme="minorHAnsi" w:cstheme="minorHAnsi"/>
                <w:sz w:val="18"/>
                <w:szCs w:val="18"/>
                <w:lang w:val="fr-FR"/>
              </w:rPr>
              <w:t>Mensuelle</w:t>
            </w:r>
          </w:p>
        </w:tc>
      </w:tr>
    </w:tbl>
    <w:p w14:paraId="518371F9" w14:textId="7B3917D9" w:rsidR="00F07EC8" w:rsidRPr="00211A44" w:rsidRDefault="00F07EC8" w:rsidP="00EF454E">
      <w:pPr>
        <w:rPr>
          <w:rFonts w:asciiTheme="minorHAnsi" w:hAnsiTheme="minorHAnsi" w:cstheme="minorHAnsi"/>
          <w:b/>
          <w:bCs/>
          <w:color w:val="FFFFFF" w:themeColor="background1"/>
          <w:lang w:val="fr-FR"/>
        </w:rPr>
      </w:pPr>
    </w:p>
    <w:sectPr w:rsidR="00F07EC8" w:rsidRPr="00211A44" w:rsidSect="002917EE">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2886" w14:textId="77777777" w:rsidR="000B0658" w:rsidRDefault="000B0658" w:rsidP="00F96AF8">
      <w:r>
        <w:separator/>
      </w:r>
    </w:p>
  </w:endnote>
  <w:endnote w:type="continuationSeparator" w:id="0">
    <w:p w14:paraId="40D2B4B2" w14:textId="77777777" w:rsidR="000B0658" w:rsidRDefault="000B0658" w:rsidP="00F96AF8">
      <w:r>
        <w:continuationSeparator/>
      </w:r>
    </w:p>
  </w:endnote>
  <w:endnote w:type="continuationNotice" w:id="1">
    <w:p w14:paraId="16DB0AB7" w14:textId="77777777" w:rsidR="000B0658" w:rsidRDefault="000B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2530" w14:textId="0895A400" w:rsidR="00E97B10" w:rsidRPr="00ED1149" w:rsidRDefault="00E97B10">
    <w:pPr>
      <w:pStyle w:val="Pieddepage"/>
    </w:pPr>
    <w:r w:rsidRPr="00ED1149">
      <w:rPr>
        <w:noProof/>
        <w:lang w:eastAsia="fr-FR"/>
      </w:rPr>
      <mc:AlternateContent>
        <mc:Choice Requires="wpg">
          <w:drawing>
            <wp:anchor distT="0" distB="0" distL="114300" distR="114300" simplePos="0" relativeHeight="251658240" behindDoc="0" locked="0" layoutInCell="1" allowOverlap="1" wp14:anchorId="1414A5B7" wp14:editId="356B8804">
              <wp:simplePos x="0" y="0"/>
              <wp:positionH relativeFrom="page">
                <wp:posOffset>3546505</wp:posOffset>
              </wp:positionH>
              <wp:positionV relativeFrom="page">
                <wp:posOffset>10049854</wp:posOffset>
              </wp:positionV>
              <wp:extent cx="401640" cy="364389"/>
              <wp:effectExtent l="0" t="0" r="0" b="0"/>
              <wp:wrapNone/>
              <wp:docPr id="19" name="Groupe 19"/>
              <wp:cNvGraphicFramePr/>
              <a:graphic xmlns:a="http://schemas.openxmlformats.org/drawingml/2006/main">
                <a:graphicData uri="http://schemas.microsoft.com/office/word/2010/wordprocessingGroup">
                  <wpg:wgp>
                    <wpg:cNvGrpSpPr/>
                    <wpg:grpSpPr>
                      <a:xfrm>
                        <a:off x="0" y="0"/>
                        <a:ext cx="401640" cy="364389"/>
                        <a:chOff x="0" y="0"/>
                        <a:chExt cx="1005840" cy="1005840"/>
                      </a:xfrm>
                    </wpg:grpSpPr>
                    <wps:wsp>
                      <wps:cNvPr id="18" name="Rectangle 18"/>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orme libre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4328F8CF" w14:textId="77777777" w:rsidR="00E97B10" w:rsidRPr="00E97B10" w:rsidRDefault="00E97B10">
                            <w:pPr>
                              <w:pStyle w:val="Sansinterligne"/>
                              <w:jc w:val="center"/>
                              <w:rPr>
                                <w:b/>
                                <w:color w:val="FFFFFF" w:themeColor="background1"/>
                                <w:spacing w:val="20"/>
                                <w:sz w:val="22"/>
                                <w:szCs w:val="22"/>
                                <w:lang w:val="fr-FR"/>
                              </w:rPr>
                            </w:pPr>
                            <w:r w:rsidRPr="00E97B10">
                              <w:rPr>
                                <w:b/>
                                <w:color w:val="FFFFFF" w:themeColor="background1"/>
                                <w:spacing w:val="20"/>
                                <w:sz w:val="22"/>
                                <w:szCs w:val="22"/>
                                <w:lang w:val="fr-FR"/>
                              </w:rPr>
                              <w:fldChar w:fldCharType="begin"/>
                            </w:r>
                            <w:r w:rsidRPr="00E97B10">
                              <w:rPr>
                                <w:b/>
                                <w:color w:val="FFFFFF" w:themeColor="background1"/>
                                <w:spacing w:val="20"/>
                                <w:sz w:val="22"/>
                                <w:szCs w:val="22"/>
                                <w:lang w:val="fr-FR"/>
                              </w:rPr>
                              <w:instrText xml:space="preserve"> PAGE   \* MERGEFORMAT </w:instrText>
                            </w:r>
                            <w:r w:rsidRPr="00E97B10">
                              <w:rPr>
                                <w:b/>
                                <w:color w:val="FFFFFF" w:themeColor="background1"/>
                                <w:spacing w:val="20"/>
                                <w:sz w:val="22"/>
                                <w:szCs w:val="22"/>
                                <w:lang w:val="fr-FR"/>
                              </w:rPr>
                              <w:fldChar w:fldCharType="separate"/>
                            </w:r>
                            <w:r w:rsidRPr="00E97B10">
                              <w:rPr>
                                <w:b/>
                                <w:noProof/>
                                <w:color w:val="FFFFFF" w:themeColor="background1"/>
                                <w:spacing w:val="20"/>
                                <w:sz w:val="22"/>
                                <w:szCs w:val="22"/>
                                <w:lang w:val="fr-FR"/>
                              </w:rPr>
                              <w:t>2</w:t>
                            </w:r>
                            <w:r w:rsidRPr="00E97B10">
                              <w:rPr>
                                <w:b/>
                                <w:noProof/>
                                <w:color w:val="FFFFFF" w:themeColor="background1"/>
                                <w:spacing w:val="20"/>
                                <w:sz w:val="22"/>
                                <w:szCs w:val="22"/>
                                <w:lang w:val="fr-FR"/>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14A5B7" id="Groupe 19" o:spid="_x0000_s1027" style="position:absolute;margin-left:279.25pt;margin-top:791.35pt;width:31.65pt;height:28.7pt;z-index:251658240;mso-position-horizontal-relative:page;mso-position-vertical-relative:page;mso-width-relative:margin;mso-height-relative:margin" coordsize="10058,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">
              <v:rect id="Rectangle 18" o:spid="_x0000_s1028" style="position:absolute;width:10058;height:10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" filled="f" stroked="f" strokeweight="1pt"/>
              <v:shape id="Forme libre 5" o:spid="_x0000_s1029" style="position:absolute;left:1047;top:1047;width:7874;height:7874;visibility:visible;mso-wrap-style:square;v-text-anchor:middle" coordsize="240,24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&#13;&#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4a66ac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14:paraId="4328F8CF" w14:textId="77777777" w:rsidR="00E97B10" w:rsidRPr="00E97B10" w:rsidRDefault="00E97B10">
                      <w:pPr>
                        <w:pStyle w:val="Sansinterligne"/>
                        <w:jc w:val="center"/>
                        <w:rPr>
                          <w:b/>
                          <w:color w:val="FFFFFF" w:themeColor="background1"/>
                          <w:spacing w:val="20"/>
                          <w:sz w:val="22"/>
                          <w:szCs w:val="22"/>
                          <w:lang w:val="fr-FR"/>
                        </w:rPr>
                      </w:pPr>
                      <w:r w:rsidRPr="00E97B10">
                        <w:rPr>
                          <w:b/>
                          <w:color w:val="FFFFFF" w:themeColor="background1"/>
                          <w:spacing w:val="20"/>
                          <w:sz w:val="22"/>
                          <w:szCs w:val="22"/>
                          <w:lang w:val="fr-FR"/>
                        </w:rPr>
                        <w:fldChar w:fldCharType="begin"/>
                      </w:r>
                      <w:r w:rsidRPr="00E97B10">
                        <w:rPr>
                          <w:b/>
                          <w:color w:val="FFFFFF" w:themeColor="background1"/>
                          <w:spacing w:val="20"/>
                          <w:sz w:val="22"/>
                          <w:szCs w:val="22"/>
                          <w:lang w:val="fr-FR"/>
                        </w:rPr>
                        <w:instrText xml:space="preserve"> PAGE   \* MERGEFORMAT </w:instrText>
                      </w:r>
                      <w:r w:rsidRPr="00E97B10">
                        <w:rPr>
                          <w:b/>
                          <w:color w:val="FFFFFF" w:themeColor="background1"/>
                          <w:spacing w:val="20"/>
                          <w:sz w:val="22"/>
                          <w:szCs w:val="22"/>
                          <w:lang w:val="fr-FR"/>
                        </w:rPr>
                        <w:fldChar w:fldCharType="separate"/>
                      </w:r>
                      <w:r w:rsidRPr="00E97B10">
                        <w:rPr>
                          <w:b/>
                          <w:noProof/>
                          <w:color w:val="FFFFFF" w:themeColor="background1"/>
                          <w:spacing w:val="20"/>
                          <w:sz w:val="22"/>
                          <w:szCs w:val="22"/>
                          <w:lang w:val="fr-FR"/>
                        </w:rPr>
                        <w:t>2</w:t>
                      </w:r>
                      <w:r w:rsidRPr="00E97B10">
                        <w:rPr>
                          <w:b/>
                          <w:noProof/>
                          <w:color w:val="FFFFFF" w:themeColor="background1"/>
                          <w:spacing w:val="20"/>
                          <w:sz w:val="22"/>
                          <w:szCs w:val="22"/>
                          <w:lang w:val="fr-FR"/>
                        </w:rPr>
                        <w:fldChar w:fldCharType="end"/>
                      </w:r>
                    </w:p>
                  </w:txbxContent>
                </v:textbox>
              </v:shape>
              <w10:wrap anchorx="page" anchory="page"/>
            </v:group>
          </w:pict>
        </mc:Fallback>
      </mc:AlternateContent>
    </w:r>
  </w:p>
  <w:p w14:paraId="488E128F" w14:textId="56FED09B" w:rsidR="007B6BFD" w:rsidRDefault="007B6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9996" w14:textId="77777777" w:rsidR="000B0658" w:rsidRDefault="000B0658" w:rsidP="00F96AF8">
      <w:r>
        <w:separator/>
      </w:r>
    </w:p>
  </w:footnote>
  <w:footnote w:type="continuationSeparator" w:id="0">
    <w:p w14:paraId="2D62C8C3" w14:textId="77777777" w:rsidR="000B0658" w:rsidRDefault="000B0658" w:rsidP="00F96AF8">
      <w:r>
        <w:continuationSeparator/>
      </w:r>
    </w:p>
  </w:footnote>
  <w:footnote w:type="continuationNotice" w:id="1">
    <w:p w14:paraId="7E1390BF" w14:textId="77777777" w:rsidR="000B0658" w:rsidRDefault="000B0658"/>
  </w:footnote>
  <w:footnote w:id="2">
    <w:p w14:paraId="42B745B8" w14:textId="0FED773D" w:rsidR="003D6FEE" w:rsidRPr="00BF39DE" w:rsidRDefault="003D6FEE" w:rsidP="003D6FEE">
      <w:pPr>
        <w:pStyle w:val="Notedebasdepage"/>
        <w:rPr>
          <w:lang w:val="fr-FR"/>
        </w:rPr>
      </w:pPr>
      <w:r w:rsidRPr="00BF39DE">
        <w:rPr>
          <w:rStyle w:val="Appelnotedebasdep"/>
          <w:sz w:val="18"/>
          <w:szCs w:val="18"/>
        </w:rPr>
        <w:footnoteRef/>
      </w:r>
      <w:r w:rsidRPr="00BF39DE">
        <w:rPr>
          <w:sz w:val="18"/>
          <w:szCs w:val="18"/>
        </w:rPr>
        <w:t xml:space="preserve"> </w:t>
      </w:r>
      <w:r w:rsidR="007E1298" w:rsidRPr="00BF39DE">
        <w:rPr>
          <w:sz w:val="18"/>
          <w:szCs w:val="18"/>
        </w:rPr>
        <w:t>Étude</w:t>
      </w:r>
      <w:r w:rsidRPr="00BF39DE">
        <w:rPr>
          <w:sz w:val="18"/>
          <w:szCs w:val="18"/>
        </w:rPr>
        <w:t xml:space="preserve"> sur les raisons de refus de la vaccination lors des AVS</w:t>
      </w:r>
      <w:r>
        <w:rPr>
          <w:sz w:val="18"/>
          <w:szCs w:val="18"/>
        </w:rPr>
        <w:t xml:space="preserve"> (MINSANTE/ PEV </w:t>
      </w:r>
      <w:r w:rsidRPr="00BF39DE">
        <w:rPr>
          <w:sz w:val="18"/>
          <w:szCs w:val="18"/>
        </w:rPr>
        <w:t>Février 2021</w:t>
      </w:r>
      <w:r>
        <w:rPr>
          <w:sz w:val="18"/>
          <w:szCs w:val="18"/>
        </w:rPr>
        <w:t>)     Etude sur l’acceptabilité et les logiques des populations à l’introduction du vaccin contre le Covid19 au Cameroun ( MINSANTE/PEV Avril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C0DF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85pt;height:7.85pt" o:bullet="t">
        <v:imagedata r:id="rId1" o:title="msoEE06"/>
      </v:shape>
    </w:pict>
  </w:numPicBullet>
  <w:abstractNum w:abstractNumId="0" w15:restartNumberingAfterBreak="0">
    <w:nsid w:val="15895FC4"/>
    <w:multiLevelType w:val="hybridMultilevel"/>
    <w:tmpl w:val="2A7A0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643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F58A4"/>
    <w:multiLevelType w:val="hybridMultilevel"/>
    <w:tmpl w:val="AEDA6F7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20854EB5"/>
    <w:multiLevelType w:val="hybridMultilevel"/>
    <w:tmpl w:val="310E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835C3"/>
    <w:multiLevelType w:val="hybridMultilevel"/>
    <w:tmpl w:val="7898F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CF226B"/>
    <w:multiLevelType w:val="hybridMultilevel"/>
    <w:tmpl w:val="F650E2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6C1DCE"/>
    <w:multiLevelType w:val="hybridMultilevel"/>
    <w:tmpl w:val="1FF67C3C"/>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A05397"/>
    <w:multiLevelType w:val="hybridMultilevel"/>
    <w:tmpl w:val="14EC0712"/>
    <w:lvl w:ilvl="0" w:tplc="F1BEA21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E94E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6D7C99"/>
    <w:multiLevelType w:val="hybridMultilevel"/>
    <w:tmpl w:val="74962C08"/>
    <w:lvl w:ilvl="0" w:tplc="DD081198">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51E035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223797"/>
    <w:multiLevelType w:val="hybridMultilevel"/>
    <w:tmpl w:val="361C255A"/>
    <w:lvl w:ilvl="0" w:tplc="966ACF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BA69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171B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B71E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14"/>
  </w:num>
  <w:num w:numId="4">
    <w:abstractNumId w:val="10"/>
  </w:num>
  <w:num w:numId="5">
    <w:abstractNumId w:val="4"/>
  </w:num>
  <w:num w:numId="6">
    <w:abstractNumId w:val="11"/>
  </w:num>
  <w:num w:numId="7">
    <w:abstractNumId w:val="6"/>
  </w:num>
  <w:num w:numId="8">
    <w:abstractNumId w:val="2"/>
  </w:num>
  <w:num w:numId="9">
    <w:abstractNumId w:val="7"/>
  </w:num>
  <w:num w:numId="10">
    <w:abstractNumId w:val="8"/>
  </w:num>
  <w:num w:numId="11">
    <w:abstractNumId w:val="13"/>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TQ3NjcxNTM3NTdU0lEKTi0uzszPAykwrQUAekVdUiwAAAA="/>
  </w:docVars>
  <w:rsids>
    <w:rsidRoot w:val="00560502"/>
    <w:rsid w:val="00001690"/>
    <w:rsid w:val="000179E9"/>
    <w:rsid w:val="000262E9"/>
    <w:rsid w:val="000502F7"/>
    <w:rsid w:val="00053AD2"/>
    <w:rsid w:val="000601E7"/>
    <w:rsid w:val="00062DDB"/>
    <w:rsid w:val="0009150A"/>
    <w:rsid w:val="000A1E5F"/>
    <w:rsid w:val="000A5CB8"/>
    <w:rsid w:val="000B0658"/>
    <w:rsid w:val="000E126C"/>
    <w:rsid w:val="000E7A57"/>
    <w:rsid w:val="001362BE"/>
    <w:rsid w:val="00144026"/>
    <w:rsid w:val="00157C6D"/>
    <w:rsid w:val="00164880"/>
    <w:rsid w:val="001655B7"/>
    <w:rsid w:val="0017006F"/>
    <w:rsid w:val="001718AE"/>
    <w:rsid w:val="00176294"/>
    <w:rsid w:val="00191DCF"/>
    <w:rsid w:val="001B4BE7"/>
    <w:rsid w:val="001D1F51"/>
    <w:rsid w:val="001D2B89"/>
    <w:rsid w:val="001E4095"/>
    <w:rsid w:val="00211A44"/>
    <w:rsid w:val="002169C2"/>
    <w:rsid w:val="002411F5"/>
    <w:rsid w:val="002433FE"/>
    <w:rsid w:val="0026403F"/>
    <w:rsid w:val="00277838"/>
    <w:rsid w:val="002917EE"/>
    <w:rsid w:val="002935E2"/>
    <w:rsid w:val="002A5E3A"/>
    <w:rsid w:val="002D2E4F"/>
    <w:rsid w:val="002E112C"/>
    <w:rsid w:val="002E3225"/>
    <w:rsid w:val="002E3C65"/>
    <w:rsid w:val="002F4D8B"/>
    <w:rsid w:val="00315679"/>
    <w:rsid w:val="003203D1"/>
    <w:rsid w:val="00330422"/>
    <w:rsid w:val="00341649"/>
    <w:rsid w:val="00373063"/>
    <w:rsid w:val="00374649"/>
    <w:rsid w:val="003A7498"/>
    <w:rsid w:val="003B694A"/>
    <w:rsid w:val="003C60EE"/>
    <w:rsid w:val="003D6FEE"/>
    <w:rsid w:val="003E1A1A"/>
    <w:rsid w:val="003E7EA9"/>
    <w:rsid w:val="003F0ED2"/>
    <w:rsid w:val="004015E5"/>
    <w:rsid w:val="00415C9B"/>
    <w:rsid w:val="00417EF4"/>
    <w:rsid w:val="00423B14"/>
    <w:rsid w:val="004260D6"/>
    <w:rsid w:val="0044190B"/>
    <w:rsid w:val="00442E22"/>
    <w:rsid w:val="00466880"/>
    <w:rsid w:val="004958BF"/>
    <w:rsid w:val="004F2D08"/>
    <w:rsid w:val="00525216"/>
    <w:rsid w:val="0055147D"/>
    <w:rsid w:val="00554259"/>
    <w:rsid w:val="005600AE"/>
    <w:rsid w:val="00560502"/>
    <w:rsid w:val="00571F7B"/>
    <w:rsid w:val="00594F38"/>
    <w:rsid w:val="005A4363"/>
    <w:rsid w:val="005B260D"/>
    <w:rsid w:val="005D5B3E"/>
    <w:rsid w:val="005F6D5C"/>
    <w:rsid w:val="00611270"/>
    <w:rsid w:val="00612008"/>
    <w:rsid w:val="00635A13"/>
    <w:rsid w:val="00636A13"/>
    <w:rsid w:val="006411A7"/>
    <w:rsid w:val="006461BC"/>
    <w:rsid w:val="00655B0D"/>
    <w:rsid w:val="00663E4A"/>
    <w:rsid w:val="0068651D"/>
    <w:rsid w:val="006A765C"/>
    <w:rsid w:val="006D054C"/>
    <w:rsid w:val="006D2817"/>
    <w:rsid w:val="006E4ED3"/>
    <w:rsid w:val="006F755D"/>
    <w:rsid w:val="007057E6"/>
    <w:rsid w:val="00710CC9"/>
    <w:rsid w:val="00721B36"/>
    <w:rsid w:val="00762BE3"/>
    <w:rsid w:val="00786204"/>
    <w:rsid w:val="007B2A16"/>
    <w:rsid w:val="007B6BFD"/>
    <w:rsid w:val="007C48C0"/>
    <w:rsid w:val="007C58D8"/>
    <w:rsid w:val="007D1599"/>
    <w:rsid w:val="007D37FE"/>
    <w:rsid w:val="007D7E28"/>
    <w:rsid w:val="007E1298"/>
    <w:rsid w:val="008015B5"/>
    <w:rsid w:val="0083515B"/>
    <w:rsid w:val="0084064F"/>
    <w:rsid w:val="00840726"/>
    <w:rsid w:val="00840789"/>
    <w:rsid w:val="00863011"/>
    <w:rsid w:val="008661B7"/>
    <w:rsid w:val="00867DF4"/>
    <w:rsid w:val="00870387"/>
    <w:rsid w:val="008740DE"/>
    <w:rsid w:val="00874403"/>
    <w:rsid w:val="00876462"/>
    <w:rsid w:val="008C4A9E"/>
    <w:rsid w:val="008D5276"/>
    <w:rsid w:val="008E5326"/>
    <w:rsid w:val="008F48CF"/>
    <w:rsid w:val="0093711B"/>
    <w:rsid w:val="00941866"/>
    <w:rsid w:val="00946386"/>
    <w:rsid w:val="00953971"/>
    <w:rsid w:val="009647DF"/>
    <w:rsid w:val="00991B43"/>
    <w:rsid w:val="00992AF7"/>
    <w:rsid w:val="009A291A"/>
    <w:rsid w:val="009A29EC"/>
    <w:rsid w:val="009E44BC"/>
    <w:rsid w:val="009F3C1A"/>
    <w:rsid w:val="00A01630"/>
    <w:rsid w:val="00A120D3"/>
    <w:rsid w:val="00A14478"/>
    <w:rsid w:val="00A32C29"/>
    <w:rsid w:val="00A91CDC"/>
    <w:rsid w:val="00AA2661"/>
    <w:rsid w:val="00AE23AF"/>
    <w:rsid w:val="00AE3081"/>
    <w:rsid w:val="00AE4A4C"/>
    <w:rsid w:val="00AE4ABF"/>
    <w:rsid w:val="00B06E9B"/>
    <w:rsid w:val="00B168DE"/>
    <w:rsid w:val="00B3552E"/>
    <w:rsid w:val="00B527B9"/>
    <w:rsid w:val="00B54FFA"/>
    <w:rsid w:val="00B5762F"/>
    <w:rsid w:val="00B62F38"/>
    <w:rsid w:val="00BC6716"/>
    <w:rsid w:val="00BD54F8"/>
    <w:rsid w:val="00C0454A"/>
    <w:rsid w:val="00C35735"/>
    <w:rsid w:val="00C370E0"/>
    <w:rsid w:val="00C62753"/>
    <w:rsid w:val="00CB006B"/>
    <w:rsid w:val="00CB3730"/>
    <w:rsid w:val="00CD6ED4"/>
    <w:rsid w:val="00CE6A8E"/>
    <w:rsid w:val="00CE77AD"/>
    <w:rsid w:val="00D00425"/>
    <w:rsid w:val="00D1211B"/>
    <w:rsid w:val="00D1458D"/>
    <w:rsid w:val="00D15927"/>
    <w:rsid w:val="00D3593A"/>
    <w:rsid w:val="00D50ADA"/>
    <w:rsid w:val="00D609A1"/>
    <w:rsid w:val="00D67BB3"/>
    <w:rsid w:val="00D7372C"/>
    <w:rsid w:val="00D9323E"/>
    <w:rsid w:val="00DA095E"/>
    <w:rsid w:val="00E070B1"/>
    <w:rsid w:val="00E14CBF"/>
    <w:rsid w:val="00E31E05"/>
    <w:rsid w:val="00E42C8F"/>
    <w:rsid w:val="00E468D6"/>
    <w:rsid w:val="00E53FB5"/>
    <w:rsid w:val="00E639F8"/>
    <w:rsid w:val="00E779F2"/>
    <w:rsid w:val="00E97B10"/>
    <w:rsid w:val="00EA3B28"/>
    <w:rsid w:val="00EB100F"/>
    <w:rsid w:val="00EC6056"/>
    <w:rsid w:val="00ED11B6"/>
    <w:rsid w:val="00EF454E"/>
    <w:rsid w:val="00F03C9E"/>
    <w:rsid w:val="00F07EC8"/>
    <w:rsid w:val="00F10FA7"/>
    <w:rsid w:val="00F457B1"/>
    <w:rsid w:val="00F807C7"/>
    <w:rsid w:val="00F86262"/>
    <w:rsid w:val="00F8762F"/>
    <w:rsid w:val="00F93BD7"/>
    <w:rsid w:val="00F957FD"/>
    <w:rsid w:val="00F96AF8"/>
    <w:rsid w:val="00F96CC0"/>
    <w:rsid w:val="00FA30FF"/>
    <w:rsid w:val="00FA67B4"/>
    <w:rsid w:val="00FD42B4"/>
    <w:rsid w:val="00FD4F19"/>
    <w:rsid w:val="00FD6652"/>
    <w:rsid w:val="00FE24C4"/>
    <w:rsid w:val="00FF5744"/>
    <w:rsid w:val="00FF590C"/>
    <w:rsid w:val="00FF6F62"/>
    <w:rsid w:val="03008567"/>
    <w:rsid w:val="085CC012"/>
    <w:rsid w:val="088AE1EA"/>
    <w:rsid w:val="0D8A2C39"/>
    <w:rsid w:val="0E6098EA"/>
    <w:rsid w:val="14FFF57F"/>
    <w:rsid w:val="21139968"/>
    <w:rsid w:val="2C21EEE0"/>
    <w:rsid w:val="38F72E36"/>
    <w:rsid w:val="39107ECA"/>
    <w:rsid w:val="3EF4A380"/>
    <w:rsid w:val="40CE7A64"/>
    <w:rsid w:val="42F0839C"/>
    <w:rsid w:val="479CB8B9"/>
    <w:rsid w:val="47D5BD6F"/>
    <w:rsid w:val="4E709AB4"/>
    <w:rsid w:val="56365103"/>
    <w:rsid w:val="5FAE6F5F"/>
    <w:rsid w:val="638792C5"/>
    <w:rsid w:val="63FDEB3A"/>
    <w:rsid w:val="7DC1836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88798"/>
  <w15:chartTrackingRefBased/>
  <w15:docId w15:val="{FE33940E-30DC-4457-B421-3CDF7A55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M"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3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8762F"/>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i/>
      <w:iCs/>
      <w:color w:val="224E76" w:themeColor="accent2" w:themeShade="7F"/>
      <w:sz w:val="22"/>
      <w:szCs w:val="22"/>
      <w:lang w:eastAsia="en-US"/>
    </w:rPr>
  </w:style>
  <w:style w:type="paragraph" w:styleId="Titre2">
    <w:name w:val="heading 2"/>
    <w:basedOn w:val="Normal"/>
    <w:next w:val="Normal"/>
    <w:link w:val="Titre2Car"/>
    <w:uiPriority w:val="9"/>
    <w:unhideWhenUsed/>
    <w:qFormat/>
    <w:rsid w:val="00F8762F"/>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i/>
      <w:iCs/>
      <w:color w:val="3476B1" w:themeColor="accent2" w:themeShade="BF"/>
      <w:sz w:val="22"/>
      <w:szCs w:val="22"/>
      <w:lang w:eastAsia="en-US"/>
    </w:rPr>
  </w:style>
  <w:style w:type="paragraph" w:styleId="Titre3">
    <w:name w:val="heading 3"/>
    <w:basedOn w:val="Normal"/>
    <w:next w:val="Normal"/>
    <w:link w:val="Titre3Car"/>
    <w:uiPriority w:val="9"/>
    <w:unhideWhenUsed/>
    <w:qFormat/>
    <w:rsid w:val="00F8762F"/>
    <w:pPr>
      <w:pBdr>
        <w:left w:val="single" w:sz="48" w:space="2" w:color="629DD1" w:themeColor="accent2"/>
        <w:bottom w:val="single" w:sz="4" w:space="0" w:color="629DD1" w:themeColor="accent2"/>
      </w:pBdr>
      <w:spacing w:before="200" w:after="100"/>
      <w:ind w:left="144"/>
      <w:contextualSpacing/>
      <w:outlineLvl w:val="2"/>
    </w:pPr>
    <w:rPr>
      <w:rFonts w:asciiTheme="majorHAnsi" w:eastAsiaTheme="majorEastAsia" w:hAnsiTheme="majorHAnsi" w:cstheme="majorBidi"/>
      <w:b/>
      <w:bCs/>
      <w:i/>
      <w:iCs/>
      <w:color w:val="3476B1" w:themeColor="accent2" w:themeShade="BF"/>
      <w:sz w:val="22"/>
      <w:szCs w:val="22"/>
      <w:lang w:eastAsia="en-US"/>
    </w:rPr>
  </w:style>
  <w:style w:type="paragraph" w:styleId="Titre4">
    <w:name w:val="heading 4"/>
    <w:basedOn w:val="Normal"/>
    <w:next w:val="Normal"/>
    <w:link w:val="Titre4Car"/>
    <w:uiPriority w:val="9"/>
    <w:semiHidden/>
    <w:unhideWhenUsed/>
    <w:qFormat/>
    <w:rsid w:val="00F8762F"/>
    <w:pPr>
      <w:pBdr>
        <w:left w:val="single" w:sz="4" w:space="2" w:color="629DD1" w:themeColor="accent2"/>
        <w:bottom w:val="single" w:sz="4" w:space="2" w:color="629DD1" w:themeColor="accent2"/>
      </w:pBdr>
      <w:spacing w:before="200" w:after="100"/>
      <w:ind w:left="86"/>
      <w:contextualSpacing/>
      <w:outlineLvl w:val="3"/>
    </w:pPr>
    <w:rPr>
      <w:rFonts w:asciiTheme="majorHAnsi" w:eastAsiaTheme="majorEastAsia" w:hAnsiTheme="majorHAnsi" w:cstheme="majorBidi"/>
      <w:b/>
      <w:bCs/>
      <w:i/>
      <w:iCs/>
      <w:color w:val="3476B1" w:themeColor="accent2" w:themeShade="BF"/>
      <w:sz w:val="22"/>
      <w:szCs w:val="22"/>
      <w:lang w:eastAsia="en-US"/>
    </w:rPr>
  </w:style>
  <w:style w:type="paragraph" w:styleId="Titre5">
    <w:name w:val="heading 5"/>
    <w:basedOn w:val="Normal"/>
    <w:next w:val="Normal"/>
    <w:link w:val="Titre5Car"/>
    <w:uiPriority w:val="9"/>
    <w:semiHidden/>
    <w:unhideWhenUsed/>
    <w:qFormat/>
    <w:rsid w:val="00F8762F"/>
    <w:pPr>
      <w:pBdr>
        <w:left w:val="dotted" w:sz="4" w:space="2" w:color="629DD1" w:themeColor="accent2"/>
        <w:bottom w:val="dotted" w:sz="4" w:space="2" w:color="629DD1" w:themeColor="accent2"/>
      </w:pBdr>
      <w:spacing w:before="200" w:after="100"/>
      <w:ind w:left="86"/>
      <w:contextualSpacing/>
      <w:outlineLvl w:val="4"/>
    </w:pPr>
    <w:rPr>
      <w:rFonts w:asciiTheme="majorHAnsi" w:eastAsiaTheme="majorEastAsia" w:hAnsiTheme="majorHAnsi" w:cstheme="majorBidi"/>
      <w:b/>
      <w:bCs/>
      <w:i/>
      <w:iCs/>
      <w:color w:val="3476B1" w:themeColor="accent2" w:themeShade="BF"/>
      <w:sz w:val="22"/>
      <w:szCs w:val="22"/>
      <w:lang w:eastAsia="en-US"/>
    </w:rPr>
  </w:style>
  <w:style w:type="paragraph" w:styleId="Titre6">
    <w:name w:val="heading 6"/>
    <w:basedOn w:val="Normal"/>
    <w:next w:val="Normal"/>
    <w:link w:val="Titre6Car"/>
    <w:uiPriority w:val="9"/>
    <w:semiHidden/>
    <w:unhideWhenUsed/>
    <w:qFormat/>
    <w:rsid w:val="00F8762F"/>
    <w:pPr>
      <w:pBdr>
        <w:bottom w:val="single" w:sz="4" w:space="2" w:color="C0D7EC" w:themeColor="accent2" w:themeTint="66"/>
      </w:pBdr>
      <w:spacing w:before="200" w:after="100"/>
      <w:contextualSpacing/>
      <w:outlineLvl w:val="5"/>
    </w:pPr>
    <w:rPr>
      <w:rFonts w:asciiTheme="majorHAnsi" w:eastAsiaTheme="majorEastAsia" w:hAnsiTheme="majorHAnsi" w:cstheme="majorBidi"/>
      <w:i/>
      <w:iCs/>
      <w:color w:val="3476B1" w:themeColor="accent2" w:themeShade="BF"/>
      <w:sz w:val="22"/>
      <w:szCs w:val="22"/>
      <w:lang w:eastAsia="en-US"/>
    </w:rPr>
  </w:style>
  <w:style w:type="paragraph" w:styleId="Titre7">
    <w:name w:val="heading 7"/>
    <w:basedOn w:val="Normal"/>
    <w:next w:val="Normal"/>
    <w:link w:val="Titre7Car"/>
    <w:uiPriority w:val="9"/>
    <w:semiHidden/>
    <w:unhideWhenUsed/>
    <w:qFormat/>
    <w:rsid w:val="00F8762F"/>
    <w:pPr>
      <w:pBdr>
        <w:bottom w:val="dotted" w:sz="4" w:space="2" w:color="A0C3E3" w:themeColor="accent2" w:themeTint="99"/>
      </w:pBdr>
      <w:spacing w:before="200" w:after="100"/>
      <w:contextualSpacing/>
      <w:outlineLvl w:val="6"/>
    </w:pPr>
    <w:rPr>
      <w:rFonts w:asciiTheme="majorHAnsi" w:eastAsiaTheme="majorEastAsia" w:hAnsiTheme="majorHAnsi" w:cstheme="majorBidi"/>
      <w:i/>
      <w:iCs/>
      <w:color w:val="3476B1" w:themeColor="accent2" w:themeShade="BF"/>
      <w:sz w:val="22"/>
      <w:szCs w:val="22"/>
      <w:lang w:eastAsia="en-US"/>
    </w:rPr>
  </w:style>
  <w:style w:type="paragraph" w:styleId="Titre8">
    <w:name w:val="heading 8"/>
    <w:basedOn w:val="Normal"/>
    <w:next w:val="Normal"/>
    <w:link w:val="Titre8Car"/>
    <w:uiPriority w:val="9"/>
    <w:semiHidden/>
    <w:unhideWhenUsed/>
    <w:qFormat/>
    <w:rsid w:val="00F8762F"/>
    <w:pPr>
      <w:spacing w:before="200" w:after="100"/>
      <w:contextualSpacing/>
      <w:outlineLvl w:val="7"/>
    </w:pPr>
    <w:rPr>
      <w:rFonts w:asciiTheme="majorHAnsi" w:eastAsiaTheme="majorEastAsia" w:hAnsiTheme="majorHAnsi" w:cstheme="majorBidi"/>
      <w:i/>
      <w:iCs/>
      <w:color w:val="629DD1" w:themeColor="accent2"/>
      <w:sz w:val="22"/>
      <w:szCs w:val="22"/>
      <w:lang w:eastAsia="en-US"/>
    </w:rPr>
  </w:style>
  <w:style w:type="paragraph" w:styleId="Titre9">
    <w:name w:val="heading 9"/>
    <w:basedOn w:val="Normal"/>
    <w:next w:val="Normal"/>
    <w:link w:val="Titre9Car"/>
    <w:uiPriority w:val="9"/>
    <w:semiHidden/>
    <w:unhideWhenUsed/>
    <w:qFormat/>
    <w:rsid w:val="00F8762F"/>
    <w:pPr>
      <w:spacing w:before="200" w:after="100"/>
      <w:contextualSpacing/>
      <w:outlineLvl w:val="8"/>
    </w:pPr>
    <w:rPr>
      <w:rFonts w:asciiTheme="majorHAnsi" w:eastAsiaTheme="majorEastAsia" w:hAnsiTheme="majorHAnsi" w:cstheme="majorBidi"/>
      <w:i/>
      <w:iCs/>
      <w:color w:val="629DD1" w:themeColor="accent2"/>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762F"/>
    <w:pPr>
      <w:spacing w:after="200" w:line="288" w:lineRule="auto"/>
      <w:ind w:left="720"/>
      <w:contextualSpacing/>
    </w:pPr>
    <w:rPr>
      <w:rFonts w:asciiTheme="minorHAnsi" w:eastAsiaTheme="minorEastAsia" w:hAnsiTheme="minorHAnsi" w:cstheme="minorBidi"/>
      <w:i/>
      <w:iCs/>
      <w:sz w:val="20"/>
      <w:szCs w:val="20"/>
      <w:lang w:eastAsia="en-US"/>
    </w:rPr>
  </w:style>
  <w:style w:type="paragraph" w:styleId="En-tte">
    <w:name w:val="header"/>
    <w:basedOn w:val="Normal"/>
    <w:link w:val="En-tteC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En-tteCar">
    <w:name w:val="En-tête Car"/>
    <w:basedOn w:val="Policepardfaut"/>
    <w:link w:val="En-tte"/>
    <w:uiPriority w:val="99"/>
    <w:rsid w:val="00F96AF8"/>
  </w:style>
  <w:style w:type="paragraph" w:styleId="Pieddepage">
    <w:name w:val="footer"/>
    <w:basedOn w:val="Normal"/>
    <w:link w:val="PieddepageC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PieddepageCar">
    <w:name w:val="Pied de page Car"/>
    <w:basedOn w:val="Policepardfaut"/>
    <w:link w:val="Pieddepage"/>
    <w:uiPriority w:val="99"/>
    <w:rsid w:val="00F96AF8"/>
  </w:style>
  <w:style w:type="paragraph" w:styleId="Sansinterligne">
    <w:name w:val="No Spacing"/>
    <w:basedOn w:val="Normal"/>
    <w:link w:val="SansinterligneCar"/>
    <w:uiPriority w:val="1"/>
    <w:qFormat/>
    <w:rsid w:val="00F8762F"/>
    <w:rPr>
      <w:rFonts w:asciiTheme="minorHAnsi" w:eastAsiaTheme="minorEastAsia" w:hAnsiTheme="minorHAnsi" w:cstheme="minorBidi"/>
      <w:i/>
      <w:iCs/>
      <w:sz w:val="20"/>
      <w:szCs w:val="20"/>
      <w:lang w:eastAsia="en-US"/>
    </w:rPr>
  </w:style>
  <w:style w:type="character" w:customStyle="1" w:styleId="SansinterligneCar">
    <w:name w:val="Sans interligne Car"/>
    <w:basedOn w:val="Policepardfaut"/>
    <w:link w:val="Sansinterligne"/>
    <w:uiPriority w:val="1"/>
    <w:rsid w:val="00F8762F"/>
    <w:rPr>
      <w:i/>
      <w:iCs/>
      <w:sz w:val="20"/>
      <w:szCs w:val="20"/>
    </w:rPr>
  </w:style>
  <w:style w:type="character" w:customStyle="1" w:styleId="Titre1Car">
    <w:name w:val="Titre 1 Car"/>
    <w:basedOn w:val="Policepardfaut"/>
    <w:link w:val="Titre1"/>
    <w:uiPriority w:val="9"/>
    <w:rsid w:val="00F8762F"/>
    <w:rPr>
      <w:rFonts w:asciiTheme="majorHAnsi" w:eastAsiaTheme="majorEastAsia" w:hAnsiTheme="majorHAnsi" w:cstheme="majorBidi"/>
      <w:b/>
      <w:bCs/>
      <w:i/>
      <w:iCs/>
      <w:color w:val="224E76" w:themeColor="accent2" w:themeShade="7F"/>
      <w:shd w:val="clear" w:color="auto" w:fill="DFEBF5" w:themeFill="accent2" w:themeFillTint="33"/>
    </w:rPr>
  </w:style>
  <w:style w:type="paragraph" w:styleId="En-ttedetabledesmatires">
    <w:name w:val="TOC Heading"/>
    <w:basedOn w:val="Titre1"/>
    <w:next w:val="Normal"/>
    <w:uiPriority w:val="39"/>
    <w:unhideWhenUsed/>
    <w:qFormat/>
    <w:rsid w:val="00F8762F"/>
    <w:pPr>
      <w:outlineLvl w:val="9"/>
    </w:pPr>
  </w:style>
  <w:style w:type="paragraph" w:styleId="TM1">
    <w:name w:val="toc 1"/>
    <w:basedOn w:val="Normal"/>
    <w:next w:val="Normal"/>
    <w:autoRedefine/>
    <w:uiPriority w:val="39"/>
    <w:unhideWhenUsed/>
    <w:rsid w:val="00176294"/>
    <w:pPr>
      <w:spacing w:before="120" w:after="120" w:line="288" w:lineRule="auto"/>
    </w:pPr>
    <w:rPr>
      <w:rFonts w:asciiTheme="minorHAnsi" w:eastAsiaTheme="minorEastAsia" w:hAnsiTheme="minorHAnsi" w:cstheme="minorHAnsi"/>
      <w:b/>
      <w:bCs/>
      <w:i/>
      <w:iCs/>
      <w:caps/>
      <w:sz w:val="20"/>
      <w:szCs w:val="20"/>
      <w:lang w:eastAsia="en-US"/>
    </w:rPr>
  </w:style>
  <w:style w:type="paragraph" w:styleId="TM2">
    <w:name w:val="toc 2"/>
    <w:basedOn w:val="Normal"/>
    <w:next w:val="Normal"/>
    <w:autoRedefine/>
    <w:uiPriority w:val="39"/>
    <w:unhideWhenUsed/>
    <w:rsid w:val="00176294"/>
    <w:pPr>
      <w:spacing w:after="200" w:line="288" w:lineRule="auto"/>
      <w:ind w:left="240"/>
    </w:pPr>
    <w:rPr>
      <w:rFonts w:asciiTheme="minorHAnsi" w:eastAsiaTheme="minorEastAsia" w:hAnsiTheme="minorHAnsi" w:cstheme="minorHAnsi"/>
      <w:i/>
      <w:iCs/>
      <w:smallCaps/>
      <w:sz w:val="20"/>
      <w:szCs w:val="20"/>
      <w:lang w:eastAsia="en-US"/>
    </w:rPr>
  </w:style>
  <w:style w:type="paragraph" w:styleId="TM3">
    <w:name w:val="toc 3"/>
    <w:basedOn w:val="Normal"/>
    <w:next w:val="Normal"/>
    <w:autoRedefine/>
    <w:uiPriority w:val="39"/>
    <w:unhideWhenUsed/>
    <w:rsid w:val="00176294"/>
    <w:pPr>
      <w:spacing w:after="200" w:line="288" w:lineRule="auto"/>
      <w:ind w:left="480"/>
    </w:pPr>
    <w:rPr>
      <w:rFonts w:asciiTheme="minorHAnsi" w:eastAsiaTheme="minorEastAsia" w:hAnsiTheme="minorHAnsi" w:cstheme="minorHAnsi"/>
      <w:sz w:val="20"/>
      <w:szCs w:val="20"/>
      <w:lang w:eastAsia="en-US"/>
    </w:rPr>
  </w:style>
  <w:style w:type="paragraph" w:styleId="TM4">
    <w:name w:val="toc 4"/>
    <w:basedOn w:val="Normal"/>
    <w:next w:val="Normal"/>
    <w:autoRedefine/>
    <w:uiPriority w:val="39"/>
    <w:semiHidden/>
    <w:unhideWhenUsed/>
    <w:rsid w:val="00176294"/>
    <w:pPr>
      <w:spacing w:after="200" w:line="288" w:lineRule="auto"/>
      <w:ind w:left="720"/>
    </w:pPr>
    <w:rPr>
      <w:rFonts w:asciiTheme="minorHAnsi" w:eastAsiaTheme="minorEastAsia" w:hAnsiTheme="minorHAnsi" w:cstheme="minorHAnsi"/>
      <w:i/>
      <w:iCs/>
      <w:sz w:val="18"/>
      <w:szCs w:val="18"/>
      <w:lang w:eastAsia="en-US"/>
    </w:rPr>
  </w:style>
  <w:style w:type="paragraph" w:styleId="TM5">
    <w:name w:val="toc 5"/>
    <w:basedOn w:val="Normal"/>
    <w:next w:val="Normal"/>
    <w:autoRedefine/>
    <w:uiPriority w:val="39"/>
    <w:semiHidden/>
    <w:unhideWhenUsed/>
    <w:rsid w:val="00176294"/>
    <w:pPr>
      <w:spacing w:after="200" w:line="288" w:lineRule="auto"/>
      <w:ind w:left="960"/>
    </w:pPr>
    <w:rPr>
      <w:rFonts w:asciiTheme="minorHAnsi" w:eastAsiaTheme="minorEastAsia" w:hAnsiTheme="minorHAnsi" w:cstheme="minorHAnsi"/>
      <w:i/>
      <w:iCs/>
      <w:sz w:val="18"/>
      <w:szCs w:val="18"/>
      <w:lang w:eastAsia="en-US"/>
    </w:rPr>
  </w:style>
  <w:style w:type="paragraph" w:styleId="TM6">
    <w:name w:val="toc 6"/>
    <w:basedOn w:val="Normal"/>
    <w:next w:val="Normal"/>
    <w:autoRedefine/>
    <w:uiPriority w:val="39"/>
    <w:semiHidden/>
    <w:unhideWhenUsed/>
    <w:rsid w:val="00176294"/>
    <w:pPr>
      <w:spacing w:after="200" w:line="288" w:lineRule="auto"/>
      <w:ind w:left="1200"/>
    </w:pPr>
    <w:rPr>
      <w:rFonts w:asciiTheme="minorHAnsi" w:eastAsiaTheme="minorEastAsia" w:hAnsiTheme="minorHAnsi" w:cstheme="minorHAnsi"/>
      <w:i/>
      <w:iCs/>
      <w:sz w:val="18"/>
      <w:szCs w:val="18"/>
      <w:lang w:eastAsia="en-US"/>
    </w:rPr>
  </w:style>
  <w:style w:type="paragraph" w:styleId="TM7">
    <w:name w:val="toc 7"/>
    <w:basedOn w:val="Normal"/>
    <w:next w:val="Normal"/>
    <w:autoRedefine/>
    <w:uiPriority w:val="39"/>
    <w:semiHidden/>
    <w:unhideWhenUsed/>
    <w:rsid w:val="00176294"/>
    <w:pPr>
      <w:spacing w:after="200" w:line="288" w:lineRule="auto"/>
      <w:ind w:left="1440"/>
    </w:pPr>
    <w:rPr>
      <w:rFonts w:asciiTheme="minorHAnsi" w:eastAsiaTheme="minorEastAsia" w:hAnsiTheme="minorHAnsi" w:cstheme="minorHAnsi"/>
      <w:i/>
      <w:iCs/>
      <w:sz w:val="18"/>
      <w:szCs w:val="18"/>
      <w:lang w:eastAsia="en-US"/>
    </w:rPr>
  </w:style>
  <w:style w:type="paragraph" w:styleId="TM8">
    <w:name w:val="toc 8"/>
    <w:basedOn w:val="Normal"/>
    <w:next w:val="Normal"/>
    <w:autoRedefine/>
    <w:uiPriority w:val="39"/>
    <w:semiHidden/>
    <w:unhideWhenUsed/>
    <w:rsid w:val="00176294"/>
    <w:pPr>
      <w:spacing w:after="200" w:line="288" w:lineRule="auto"/>
      <w:ind w:left="1680"/>
    </w:pPr>
    <w:rPr>
      <w:rFonts w:asciiTheme="minorHAnsi" w:eastAsiaTheme="minorEastAsia" w:hAnsiTheme="minorHAnsi" w:cstheme="minorHAnsi"/>
      <w:i/>
      <w:iCs/>
      <w:sz w:val="18"/>
      <w:szCs w:val="18"/>
      <w:lang w:eastAsia="en-US"/>
    </w:rPr>
  </w:style>
  <w:style w:type="paragraph" w:styleId="TM9">
    <w:name w:val="toc 9"/>
    <w:basedOn w:val="Normal"/>
    <w:next w:val="Normal"/>
    <w:autoRedefine/>
    <w:uiPriority w:val="39"/>
    <w:semiHidden/>
    <w:unhideWhenUsed/>
    <w:rsid w:val="00176294"/>
    <w:pPr>
      <w:spacing w:after="200" w:line="288" w:lineRule="auto"/>
      <w:ind w:left="1920"/>
    </w:pPr>
    <w:rPr>
      <w:rFonts w:asciiTheme="minorHAnsi" w:eastAsiaTheme="minorEastAsia" w:hAnsiTheme="minorHAnsi" w:cstheme="minorHAnsi"/>
      <w:i/>
      <w:iCs/>
      <w:sz w:val="18"/>
      <w:szCs w:val="18"/>
      <w:lang w:eastAsia="en-US"/>
    </w:rPr>
  </w:style>
  <w:style w:type="character" w:customStyle="1" w:styleId="Titre2Car">
    <w:name w:val="Titre 2 Car"/>
    <w:basedOn w:val="Policepardfaut"/>
    <w:link w:val="Titre2"/>
    <w:uiPriority w:val="9"/>
    <w:rsid w:val="00F8762F"/>
    <w:rPr>
      <w:rFonts w:asciiTheme="majorHAnsi" w:eastAsiaTheme="majorEastAsia" w:hAnsiTheme="majorHAnsi" w:cstheme="majorBidi"/>
      <w:b/>
      <w:bCs/>
      <w:i/>
      <w:iCs/>
      <w:color w:val="3476B1" w:themeColor="accent2" w:themeShade="BF"/>
    </w:rPr>
  </w:style>
  <w:style w:type="character" w:customStyle="1" w:styleId="Titre3Car">
    <w:name w:val="Titre 3 Car"/>
    <w:basedOn w:val="Policepardfaut"/>
    <w:link w:val="Titre3"/>
    <w:uiPriority w:val="9"/>
    <w:rsid w:val="00F8762F"/>
    <w:rPr>
      <w:rFonts w:asciiTheme="majorHAnsi" w:eastAsiaTheme="majorEastAsia" w:hAnsiTheme="majorHAnsi" w:cstheme="majorBidi"/>
      <w:b/>
      <w:bCs/>
      <w:i/>
      <w:iCs/>
      <w:color w:val="3476B1" w:themeColor="accent2" w:themeShade="BF"/>
    </w:rPr>
  </w:style>
  <w:style w:type="character" w:customStyle="1" w:styleId="Titre4Car">
    <w:name w:val="Titre 4 Car"/>
    <w:basedOn w:val="Policepardfaut"/>
    <w:link w:val="Titre4"/>
    <w:uiPriority w:val="9"/>
    <w:semiHidden/>
    <w:rsid w:val="00F8762F"/>
    <w:rPr>
      <w:rFonts w:asciiTheme="majorHAnsi" w:eastAsiaTheme="majorEastAsia" w:hAnsiTheme="majorHAnsi" w:cstheme="majorBidi"/>
      <w:b/>
      <w:bCs/>
      <w:i/>
      <w:iCs/>
      <w:color w:val="3476B1" w:themeColor="accent2" w:themeShade="BF"/>
    </w:rPr>
  </w:style>
  <w:style w:type="character" w:customStyle="1" w:styleId="Titre5Car">
    <w:name w:val="Titre 5 Car"/>
    <w:basedOn w:val="Policepardfaut"/>
    <w:link w:val="Titre5"/>
    <w:uiPriority w:val="9"/>
    <w:semiHidden/>
    <w:rsid w:val="00F8762F"/>
    <w:rPr>
      <w:rFonts w:asciiTheme="majorHAnsi" w:eastAsiaTheme="majorEastAsia" w:hAnsiTheme="majorHAnsi" w:cstheme="majorBidi"/>
      <w:b/>
      <w:bCs/>
      <w:i/>
      <w:iCs/>
      <w:color w:val="3476B1" w:themeColor="accent2" w:themeShade="BF"/>
    </w:rPr>
  </w:style>
  <w:style w:type="character" w:customStyle="1" w:styleId="Titre6Car">
    <w:name w:val="Titre 6 Car"/>
    <w:basedOn w:val="Policepardfaut"/>
    <w:link w:val="Titre6"/>
    <w:uiPriority w:val="9"/>
    <w:semiHidden/>
    <w:rsid w:val="00F8762F"/>
    <w:rPr>
      <w:rFonts w:asciiTheme="majorHAnsi" w:eastAsiaTheme="majorEastAsia" w:hAnsiTheme="majorHAnsi" w:cstheme="majorBidi"/>
      <w:i/>
      <w:iCs/>
      <w:color w:val="3476B1" w:themeColor="accent2" w:themeShade="BF"/>
    </w:rPr>
  </w:style>
  <w:style w:type="character" w:customStyle="1" w:styleId="Titre7Car">
    <w:name w:val="Titre 7 Car"/>
    <w:basedOn w:val="Policepardfaut"/>
    <w:link w:val="Titre7"/>
    <w:uiPriority w:val="9"/>
    <w:semiHidden/>
    <w:rsid w:val="00F8762F"/>
    <w:rPr>
      <w:rFonts w:asciiTheme="majorHAnsi" w:eastAsiaTheme="majorEastAsia" w:hAnsiTheme="majorHAnsi" w:cstheme="majorBidi"/>
      <w:i/>
      <w:iCs/>
      <w:color w:val="3476B1" w:themeColor="accent2" w:themeShade="BF"/>
    </w:rPr>
  </w:style>
  <w:style w:type="character" w:customStyle="1" w:styleId="Titre8Car">
    <w:name w:val="Titre 8 Car"/>
    <w:basedOn w:val="Policepardfaut"/>
    <w:link w:val="Titre8"/>
    <w:uiPriority w:val="9"/>
    <w:semiHidden/>
    <w:rsid w:val="00F8762F"/>
    <w:rPr>
      <w:rFonts w:asciiTheme="majorHAnsi" w:eastAsiaTheme="majorEastAsia" w:hAnsiTheme="majorHAnsi" w:cstheme="majorBidi"/>
      <w:i/>
      <w:iCs/>
      <w:color w:val="629DD1" w:themeColor="accent2"/>
    </w:rPr>
  </w:style>
  <w:style w:type="character" w:customStyle="1" w:styleId="Titre9Car">
    <w:name w:val="Titre 9 Car"/>
    <w:basedOn w:val="Policepardfaut"/>
    <w:link w:val="Titre9"/>
    <w:uiPriority w:val="9"/>
    <w:semiHidden/>
    <w:rsid w:val="00F8762F"/>
    <w:rPr>
      <w:rFonts w:asciiTheme="majorHAnsi" w:eastAsiaTheme="majorEastAsia" w:hAnsiTheme="majorHAnsi" w:cstheme="majorBidi"/>
      <w:i/>
      <w:iCs/>
      <w:color w:val="629DD1" w:themeColor="accent2"/>
      <w:sz w:val="20"/>
      <w:szCs w:val="20"/>
    </w:rPr>
  </w:style>
  <w:style w:type="paragraph" w:styleId="Lgende">
    <w:name w:val="caption"/>
    <w:basedOn w:val="Normal"/>
    <w:next w:val="Normal"/>
    <w:uiPriority w:val="35"/>
    <w:unhideWhenUsed/>
    <w:qFormat/>
    <w:rsid w:val="00F8762F"/>
    <w:pPr>
      <w:spacing w:after="200" w:line="288" w:lineRule="auto"/>
    </w:pPr>
    <w:rPr>
      <w:rFonts w:asciiTheme="minorHAnsi" w:eastAsiaTheme="minorEastAsia" w:hAnsiTheme="minorHAnsi" w:cstheme="minorBidi"/>
      <w:b/>
      <w:bCs/>
      <w:i/>
      <w:iCs/>
      <w:color w:val="3476B1" w:themeColor="accent2" w:themeShade="BF"/>
      <w:sz w:val="18"/>
      <w:szCs w:val="18"/>
      <w:lang w:eastAsia="en-US"/>
    </w:rPr>
  </w:style>
  <w:style w:type="paragraph" w:styleId="Titre">
    <w:name w:val="Title"/>
    <w:basedOn w:val="Normal"/>
    <w:next w:val="Normal"/>
    <w:link w:val="TitreCar"/>
    <w:uiPriority w:val="10"/>
    <w:qFormat/>
    <w:rsid w:val="00F8762F"/>
    <w:pPr>
      <w:pBdr>
        <w:top w:val="single" w:sz="48" w:space="0" w:color="629DD1" w:themeColor="accent2"/>
        <w:bottom w:val="single" w:sz="48" w:space="0" w:color="629DD1" w:themeColor="accent2"/>
      </w:pBdr>
      <w:shd w:val="clear" w:color="auto" w:fill="629DD1"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TitreCar">
    <w:name w:val="Titre Car"/>
    <w:basedOn w:val="Policepardfaut"/>
    <w:link w:val="Titre"/>
    <w:uiPriority w:val="10"/>
    <w:rsid w:val="00F8762F"/>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ous-titre">
    <w:name w:val="Subtitle"/>
    <w:basedOn w:val="Normal"/>
    <w:next w:val="Normal"/>
    <w:link w:val="Sous-titreCar"/>
    <w:uiPriority w:val="11"/>
    <w:qFormat/>
    <w:rsid w:val="00F8762F"/>
    <w:pPr>
      <w:pBdr>
        <w:bottom w:val="dotted" w:sz="8" w:space="10" w:color="629DD1" w:themeColor="accent2"/>
      </w:pBdr>
      <w:spacing w:before="200" w:after="900"/>
      <w:jc w:val="center"/>
    </w:pPr>
    <w:rPr>
      <w:rFonts w:asciiTheme="majorHAnsi" w:eastAsiaTheme="majorEastAsia" w:hAnsiTheme="majorHAnsi" w:cstheme="majorBidi"/>
      <w:i/>
      <w:iCs/>
      <w:color w:val="224E76" w:themeColor="accent2" w:themeShade="7F"/>
      <w:lang w:eastAsia="en-US"/>
    </w:rPr>
  </w:style>
  <w:style w:type="character" w:customStyle="1" w:styleId="Sous-titreCar">
    <w:name w:val="Sous-titre Car"/>
    <w:basedOn w:val="Policepardfaut"/>
    <w:link w:val="Sous-titre"/>
    <w:uiPriority w:val="11"/>
    <w:rsid w:val="00F8762F"/>
    <w:rPr>
      <w:rFonts w:asciiTheme="majorHAnsi" w:eastAsiaTheme="majorEastAsia" w:hAnsiTheme="majorHAnsi" w:cstheme="majorBidi"/>
      <w:i/>
      <w:iCs/>
      <w:color w:val="224E76" w:themeColor="accent2" w:themeShade="7F"/>
      <w:sz w:val="24"/>
      <w:szCs w:val="24"/>
    </w:rPr>
  </w:style>
  <w:style w:type="character" w:styleId="lev">
    <w:name w:val="Strong"/>
    <w:uiPriority w:val="22"/>
    <w:qFormat/>
    <w:rsid w:val="00F8762F"/>
    <w:rPr>
      <w:b/>
      <w:bCs/>
      <w:spacing w:val="0"/>
    </w:rPr>
  </w:style>
  <w:style w:type="character" w:styleId="Accentuation">
    <w:name w:val="Emphasis"/>
    <w:uiPriority w:val="20"/>
    <w:qFormat/>
    <w:rsid w:val="00F8762F"/>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Citation">
    <w:name w:val="Quote"/>
    <w:basedOn w:val="Normal"/>
    <w:next w:val="Normal"/>
    <w:link w:val="CitationCar"/>
    <w:uiPriority w:val="29"/>
    <w:qFormat/>
    <w:rsid w:val="00F8762F"/>
    <w:pPr>
      <w:spacing w:after="200" w:line="288" w:lineRule="auto"/>
    </w:pPr>
    <w:rPr>
      <w:rFonts w:asciiTheme="minorHAnsi" w:eastAsiaTheme="minorEastAsia" w:hAnsiTheme="minorHAnsi" w:cstheme="minorBidi"/>
      <w:color w:val="3476B1" w:themeColor="accent2" w:themeShade="BF"/>
      <w:sz w:val="20"/>
      <w:szCs w:val="20"/>
      <w:lang w:eastAsia="en-US"/>
    </w:rPr>
  </w:style>
  <w:style w:type="character" w:customStyle="1" w:styleId="CitationCar">
    <w:name w:val="Citation Car"/>
    <w:basedOn w:val="Policepardfaut"/>
    <w:link w:val="Citation"/>
    <w:uiPriority w:val="29"/>
    <w:rsid w:val="00F8762F"/>
    <w:rPr>
      <w:color w:val="3476B1" w:themeColor="accent2" w:themeShade="BF"/>
      <w:sz w:val="20"/>
      <w:szCs w:val="20"/>
    </w:rPr>
  </w:style>
  <w:style w:type="paragraph" w:styleId="Citationintense">
    <w:name w:val="Intense Quote"/>
    <w:basedOn w:val="Normal"/>
    <w:next w:val="Normal"/>
    <w:link w:val="CitationintenseCar"/>
    <w:uiPriority w:val="30"/>
    <w:qFormat/>
    <w:rsid w:val="00F8762F"/>
    <w:pPr>
      <w:pBdr>
        <w:top w:val="dotted" w:sz="8" w:space="10" w:color="629DD1" w:themeColor="accent2"/>
        <w:bottom w:val="dotted" w:sz="8" w:space="10" w:color="629DD1" w:themeColor="accent2"/>
      </w:pBdr>
      <w:spacing w:after="200" w:line="300" w:lineRule="auto"/>
      <w:ind w:left="2160" w:right="2160"/>
      <w:jc w:val="center"/>
    </w:pPr>
    <w:rPr>
      <w:rFonts w:asciiTheme="majorHAnsi" w:eastAsiaTheme="majorEastAsia" w:hAnsiTheme="majorHAnsi" w:cstheme="majorBidi"/>
      <w:b/>
      <w:bCs/>
      <w:i/>
      <w:iCs/>
      <w:color w:val="629DD1" w:themeColor="accent2"/>
      <w:sz w:val="20"/>
      <w:szCs w:val="20"/>
      <w:lang w:eastAsia="en-US"/>
    </w:rPr>
  </w:style>
  <w:style w:type="character" w:customStyle="1" w:styleId="CitationintenseCar">
    <w:name w:val="Citation intense Car"/>
    <w:basedOn w:val="Policepardfaut"/>
    <w:link w:val="Citationintense"/>
    <w:uiPriority w:val="30"/>
    <w:rsid w:val="00F8762F"/>
    <w:rPr>
      <w:rFonts w:asciiTheme="majorHAnsi" w:eastAsiaTheme="majorEastAsia" w:hAnsiTheme="majorHAnsi" w:cstheme="majorBidi"/>
      <w:b/>
      <w:bCs/>
      <w:i/>
      <w:iCs/>
      <w:color w:val="629DD1" w:themeColor="accent2"/>
      <w:sz w:val="20"/>
      <w:szCs w:val="20"/>
    </w:rPr>
  </w:style>
  <w:style w:type="character" w:styleId="Accentuationlgre">
    <w:name w:val="Subtle Emphasis"/>
    <w:uiPriority w:val="19"/>
    <w:qFormat/>
    <w:rsid w:val="00F8762F"/>
    <w:rPr>
      <w:rFonts w:asciiTheme="majorHAnsi" w:eastAsiaTheme="majorEastAsia" w:hAnsiTheme="majorHAnsi" w:cstheme="majorBidi"/>
      <w:i/>
      <w:iCs/>
      <w:color w:val="629DD1" w:themeColor="accent2"/>
    </w:rPr>
  </w:style>
  <w:style w:type="character" w:styleId="Accentuationintense">
    <w:name w:val="Intense Emphasis"/>
    <w:uiPriority w:val="21"/>
    <w:qFormat/>
    <w:rsid w:val="00F8762F"/>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Rfrencelgre">
    <w:name w:val="Subtle Reference"/>
    <w:uiPriority w:val="31"/>
    <w:qFormat/>
    <w:rsid w:val="00F8762F"/>
    <w:rPr>
      <w:i/>
      <w:iCs/>
      <w:smallCaps/>
      <w:color w:val="629DD1" w:themeColor="accent2"/>
      <w:u w:color="629DD1" w:themeColor="accent2"/>
    </w:rPr>
  </w:style>
  <w:style w:type="character" w:styleId="Rfrenceintense">
    <w:name w:val="Intense Reference"/>
    <w:uiPriority w:val="32"/>
    <w:qFormat/>
    <w:rsid w:val="00F8762F"/>
    <w:rPr>
      <w:b/>
      <w:bCs/>
      <w:i/>
      <w:iCs/>
      <w:smallCaps/>
      <w:color w:val="629DD1" w:themeColor="accent2"/>
      <w:u w:color="629DD1" w:themeColor="accent2"/>
    </w:rPr>
  </w:style>
  <w:style w:type="character" w:styleId="Titredulivre">
    <w:name w:val="Book Title"/>
    <w:uiPriority w:val="33"/>
    <w:qFormat/>
    <w:rsid w:val="00F8762F"/>
    <w:rPr>
      <w:rFonts w:asciiTheme="majorHAnsi" w:eastAsiaTheme="majorEastAsia" w:hAnsiTheme="majorHAnsi" w:cstheme="majorBidi"/>
      <w:b/>
      <w:bCs/>
      <w:i/>
      <w:iCs/>
      <w:smallCaps/>
      <w:color w:val="3476B1" w:themeColor="accent2" w:themeShade="BF"/>
      <w:u w:val="single"/>
    </w:rPr>
  </w:style>
  <w:style w:type="paragraph" w:customStyle="1" w:styleId="PersonalName">
    <w:name w:val="Personal Name"/>
    <w:basedOn w:val="Titre"/>
    <w:rsid w:val="00F8762F"/>
    <w:rPr>
      <w:b/>
      <w:caps/>
      <w:color w:val="000000"/>
      <w:sz w:val="28"/>
      <w:szCs w:val="28"/>
    </w:rPr>
  </w:style>
  <w:style w:type="character" w:styleId="Lienhypertexte">
    <w:name w:val="Hyperlink"/>
    <w:basedOn w:val="Policepardfaut"/>
    <w:uiPriority w:val="99"/>
    <w:unhideWhenUsed/>
    <w:rsid w:val="000A1E5F"/>
    <w:rPr>
      <w:color w:val="9454C3" w:themeColor="hyperlink"/>
      <w:u w:val="single"/>
    </w:rPr>
  </w:style>
  <w:style w:type="paragraph" w:styleId="Rvision">
    <w:name w:val="Revision"/>
    <w:hidden/>
    <w:uiPriority w:val="99"/>
    <w:semiHidden/>
    <w:rsid w:val="00786204"/>
    <w:pPr>
      <w:spacing w:after="0" w:line="240" w:lineRule="auto"/>
    </w:pPr>
    <w:rPr>
      <w:i/>
      <w:iCs/>
      <w:sz w:val="20"/>
      <w:szCs w:val="20"/>
    </w:rPr>
  </w:style>
  <w:style w:type="paragraph" w:styleId="Notedebasdepage">
    <w:name w:val="footnote text"/>
    <w:basedOn w:val="Normal"/>
    <w:link w:val="NotedebasdepageCar"/>
    <w:uiPriority w:val="99"/>
    <w:semiHidden/>
    <w:unhideWhenUsed/>
    <w:rsid w:val="003D6FEE"/>
    <w:rPr>
      <w:rFonts w:asciiTheme="minorHAnsi" w:eastAsiaTheme="minorEastAsia" w:hAnsiTheme="minorHAnsi" w:cstheme="minorBidi"/>
      <w:i/>
      <w:iCs/>
      <w:sz w:val="20"/>
      <w:szCs w:val="20"/>
      <w:lang w:eastAsia="en-US"/>
    </w:rPr>
  </w:style>
  <w:style w:type="character" w:customStyle="1" w:styleId="NotedebasdepageCar">
    <w:name w:val="Note de bas de page Car"/>
    <w:basedOn w:val="Policepardfaut"/>
    <w:link w:val="Notedebasdepage"/>
    <w:uiPriority w:val="99"/>
    <w:semiHidden/>
    <w:rsid w:val="003D6FEE"/>
    <w:rPr>
      <w:i/>
      <w:iCs/>
      <w:sz w:val="20"/>
      <w:szCs w:val="20"/>
    </w:rPr>
  </w:style>
  <w:style w:type="character" w:styleId="Appelnotedebasdep">
    <w:name w:val="footnote reference"/>
    <w:basedOn w:val="Policepardfaut"/>
    <w:uiPriority w:val="99"/>
    <w:semiHidden/>
    <w:unhideWhenUsed/>
    <w:rsid w:val="003D6FEE"/>
    <w:rPr>
      <w:vertAlign w:val="superscript"/>
    </w:rPr>
  </w:style>
  <w:style w:type="paragraph" w:customStyle="1" w:styleId="StyleCorpsdetexte12ptJustifi1">
    <w:name w:val="Style Corps de texte + 12 pt Justifié1"/>
    <w:basedOn w:val="Corpsdetexte"/>
    <w:link w:val="StyleCorpsdetexte12ptJustifi1Car"/>
    <w:rsid w:val="007B2A16"/>
    <w:pPr>
      <w:spacing w:after="0" w:line="360" w:lineRule="auto"/>
    </w:pPr>
    <w:rPr>
      <w:rFonts w:ascii="Times New Roman" w:eastAsia="Times New Roman" w:hAnsi="Times New Roman" w:cs="Times New Roman"/>
      <w:i w:val="0"/>
      <w:iCs w:val="0"/>
      <w:sz w:val="24"/>
      <w:szCs w:val="24"/>
      <w:lang w:val="en-US" w:eastAsia="fr-FR"/>
    </w:rPr>
  </w:style>
  <w:style w:type="character" w:customStyle="1" w:styleId="StyleCorpsdetexte12ptJustifi1Car">
    <w:name w:val="Style Corps de texte + 12 pt Justifié1 Car"/>
    <w:link w:val="StyleCorpsdetexte12ptJustifi1"/>
    <w:rsid w:val="007B2A16"/>
    <w:rPr>
      <w:rFonts w:ascii="Times New Roman" w:eastAsia="Times New Roman" w:hAnsi="Times New Roman" w:cs="Times New Roman"/>
      <w:sz w:val="24"/>
      <w:szCs w:val="24"/>
      <w:lang w:val="en-US" w:eastAsia="fr-FR"/>
    </w:rPr>
  </w:style>
  <w:style w:type="paragraph" w:styleId="Corpsdetexte">
    <w:name w:val="Body Text"/>
    <w:basedOn w:val="Normal"/>
    <w:link w:val="CorpsdetexteCar"/>
    <w:uiPriority w:val="99"/>
    <w:semiHidden/>
    <w:unhideWhenUsed/>
    <w:rsid w:val="007B2A16"/>
    <w:pPr>
      <w:spacing w:after="120" w:line="288" w:lineRule="auto"/>
    </w:pPr>
    <w:rPr>
      <w:rFonts w:asciiTheme="minorHAnsi" w:eastAsiaTheme="minorEastAsia" w:hAnsiTheme="minorHAnsi" w:cstheme="minorBidi"/>
      <w:i/>
      <w:iCs/>
      <w:sz w:val="20"/>
      <w:szCs w:val="20"/>
      <w:lang w:eastAsia="en-US"/>
    </w:rPr>
  </w:style>
  <w:style w:type="character" w:customStyle="1" w:styleId="CorpsdetexteCar">
    <w:name w:val="Corps de texte Car"/>
    <w:basedOn w:val="Policepardfaut"/>
    <w:link w:val="Corpsdetexte"/>
    <w:uiPriority w:val="99"/>
    <w:semiHidden/>
    <w:rsid w:val="007B2A16"/>
    <w:rPr>
      <w:i/>
      <w:iCs/>
      <w:sz w:val="20"/>
      <w:szCs w:val="20"/>
    </w:rPr>
  </w:style>
  <w:style w:type="table" w:styleId="TableauGrille4-Accentuation2">
    <w:name w:val="Grid Table 4 Accent 2"/>
    <w:basedOn w:val="TableauNormal"/>
    <w:uiPriority w:val="49"/>
    <w:rsid w:val="00F93BD7"/>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Marquedecommentaire">
    <w:name w:val="annotation reference"/>
    <w:basedOn w:val="Policepardfaut"/>
    <w:uiPriority w:val="99"/>
    <w:semiHidden/>
    <w:unhideWhenUsed/>
    <w:rsid w:val="002F4D8B"/>
    <w:rPr>
      <w:sz w:val="16"/>
      <w:szCs w:val="16"/>
    </w:rPr>
  </w:style>
  <w:style w:type="paragraph" w:styleId="Commentaire">
    <w:name w:val="annotation text"/>
    <w:basedOn w:val="Normal"/>
    <w:link w:val="CommentaireCar"/>
    <w:uiPriority w:val="99"/>
    <w:semiHidden/>
    <w:unhideWhenUsed/>
    <w:rsid w:val="002F4D8B"/>
    <w:pPr>
      <w:spacing w:after="200"/>
    </w:pPr>
    <w:rPr>
      <w:rFonts w:asciiTheme="minorHAnsi" w:eastAsiaTheme="minorEastAsia" w:hAnsiTheme="minorHAnsi" w:cstheme="minorBidi"/>
      <w:i/>
      <w:iCs/>
      <w:sz w:val="20"/>
      <w:szCs w:val="20"/>
      <w:lang w:eastAsia="en-US"/>
    </w:rPr>
  </w:style>
  <w:style w:type="character" w:customStyle="1" w:styleId="CommentaireCar">
    <w:name w:val="Commentaire Car"/>
    <w:basedOn w:val="Policepardfaut"/>
    <w:link w:val="Commentaire"/>
    <w:uiPriority w:val="99"/>
    <w:semiHidden/>
    <w:rsid w:val="002F4D8B"/>
    <w:rPr>
      <w:i/>
      <w:iCs/>
      <w:sz w:val="20"/>
      <w:szCs w:val="20"/>
    </w:rPr>
  </w:style>
  <w:style w:type="paragraph" w:styleId="Objetducommentaire">
    <w:name w:val="annotation subject"/>
    <w:basedOn w:val="Commentaire"/>
    <w:next w:val="Commentaire"/>
    <w:link w:val="ObjetducommentaireCar"/>
    <w:uiPriority w:val="99"/>
    <w:semiHidden/>
    <w:unhideWhenUsed/>
    <w:rsid w:val="002F4D8B"/>
    <w:rPr>
      <w:b/>
      <w:bCs/>
    </w:rPr>
  </w:style>
  <w:style w:type="character" w:customStyle="1" w:styleId="ObjetducommentaireCar">
    <w:name w:val="Objet du commentaire Car"/>
    <w:basedOn w:val="CommentaireCar"/>
    <w:link w:val="Objetducommentaire"/>
    <w:uiPriority w:val="99"/>
    <w:semiHidden/>
    <w:rsid w:val="002F4D8B"/>
    <w:rPr>
      <w:b/>
      <w:bCs/>
      <w:i/>
      <w:iCs/>
      <w:sz w:val="20"/>
      <w:szCs w:val="20"/>
    </w:rPr>
  </w:style>
  <w:style w:type="table" w:styleId="Tableausimple2">
    <w:name w:val="Plain Table 2"/>
    <w:basedOn w:val="TableauNormal"/>
    <w:uiPriority w:val="42"/>
    <w:rsid w:val="009E44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rsid w:val="009E44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Liste6Couleur-Accentuation1">
    <w:name w:val="List Table 6 Colorful Accent 1"/>
    <w:basedOn w:val="TableauNormal"/>
    <w:uiPriority w:val="51"/>
    <w:rsid w:val="009E44BC"/>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lledutableau">
    <w:name w:val="Table Grid"/>
    <w:basedOn w:val="TableauNormal"/>
    <w:uiPriority w:val="39"/>
    <w:rsid w:val="002E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1">
    <w:name w:val="Grid Table 6 Colorful Accent 1"/>
    <w:basedOn w:val="TableauNormal"/>
    <w:uiPriority w:val="51"/>
    <w:rsid w:val="002E3225"/>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auListe2-Accentuation1">
    <w:name w:val="List Table 2 Accent 1"/>
    <w:basedOn w:val="TableauNormal"/>
    <w:uiPriority w:val="47"/>
    <w:rsid w:val="00AA2661"/>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152">
      <w:bodyDiv w:val="1"/>
      <w:marLeft w:val="0"/>
      <w:marRight w:val="0"/>
      <w:marTop w:val="0"/>
      <w:marBottom w:val="0"/>
      <w:divBdr>
        <w:top w:val="none" w:sz="0" w:space="0" w:color="auto"/>
        <w:left w:val="none" w:sz="0" w:space="0" w:color="auto"/>
        <w:bottom w:val="none" w:sz="0" w:space="0" w:color="auto"/>
        <w:right w:val="none" w:sz="0" w:space="0" w:color="auto"/>
      </w:divBdr>
    </w:div>
    <w:div w:id="296762914">
      <w:bodyDiv w:val="1"/>
      <w:marLeft w:val="0"/>
      <w:marRight w:val="0"/>
      <w:marTop w:val="0"/>
      <w:marBottom w:val="0"/>
      <w:divBdr>
        <w:top w:val="none" w:sz="0" w:space="0" w:color="auto"/>
        <w:left w:val="none" w:sz="0" w:space="0" w:color="auto"/>
        <w:bottom w:val="none" w:sz="0" w:space="0" w:color="auto"/>
        <w:right w:val="none" w:sz="0" w:space="0" w:color="auto"/>
      </w:divBdr>
    </w:div>
    <w:div w:id="420101405">
      <w:bodyDiv w:val="1"/>
      <w:marLeft w:val="0"/>
      <w:marRight w:val="0"/>
      <w:marTop w:val="0"/>
      <w:marBottom w:val="0"/>
      <w:divBdr>
        <w:top w:val="none" w:sz="0" w:space="0" w:color="auto"/>
        <w:left w:val="none" w:sz="0" w:space="0" w:color="auto"/>
        <w:bottom w:val="none" w:sz="0" w:space="0" w:color="auto"/>
        <w:right w:val="none" w:sz="0" w:space="0" w:color="auto"/>
      </w:divBdr>
    </w:div>
    <w:div w:id="521356061">
      <w:bodyDiv w:val="1"/>
      <w:marLeft w:val="0"/>
      <w:marRight w:val="0"/>
      <w:marTop w:val="0"/>
      <w:marBottom w:val="0"/>
      <w:divBdr>
        <w:top w:val="none" w:sz="0" w:space="0" w:color="auto"/>
        <w:left w:val="none" w:sz="0" w:space="0" w:color="auto"/>
        <w:bottom w:val="none" w:sz="0" w:space="0" w:color="auto"/>
        <w:right w:val="none" w:sz="0" w:space="0" w:color="auto"/>
      </w:divBdr>
    </w:div>
    <w:div w:id="593320935">
      <w:bodyDiv w:val="1"/>
      <w:marLeft w:val="0"/>
      <w:marRight w:val="0"/>
      <w:marTop w:val="0"/>
      <w:marBottom w:val="0"/>
      <w:divBdr>
        <w:top w:val="none" w:sz="0" w:space="0" w:color="auto"/>
        <w:left w:val="none" w:sz="0" w:space="0" w:color="auto"/>
        <w:bottom w:val="none" w:sz="0" w:space="0" w:color="auto"/>
        <w:right w:val="none" w:sz="0" w:space="0" w:color="auto"/>
      </w:divBdr>
    </w:div>
    <w:div w:id="616452539">
      <w:bodyDiv w:val="1"/>
      <w:marLeft w:val="0"/>
      <w:marRight w:val="0"/>
      <w:marTop w:val="0"/>
      <w:marBottom w:val="0"/>
      <w:divBdr>
        <w:top w:val="none" w:sz="0" w:space="0" w:color="auto"/>
        <w:left w:val="none" w:sz="0" w:space="0" w:color="auto"/>
        <w:bottom w:val="none" w:sz="0" w:space="0" w:color="auto"/>
        <w:right w:val="none" w:sz="0" w:space="0" w:color="auto"/>
      </w:divBdr>
    </w:div>
    <w:div w:id="972172711">
      <w:bodyDiv w:val="1"/>
      <w:marLeft w:val="0"/>
      <w:marRight w:val="0"/>
      <w:marTop w:val="0"/>
      <w:marBottom w:val="0"/>
      <w:divBdr>
        <w:top w:val="none" w:sz="0" w:space="0" w:color="auto"/>
        <w:left w:val="none" w:sz="0" w:space="0" w:color="auto"/>
        <w:bottom w:val="none" w:sz="0" w:space="0" w:color="auto"/>
        <w:right w:val="none" w:sz="0" w:space="0" w:color="auto"/>
      </w:divBdr>
    </w:div>
    <w:div w:id="1262452296">
      <w:bodyDiv w:val="1"/>
      <w:marLeft w:val="0"/>
      <w:marRight w:val="0"/>
      <w:marTop w:val="0"/>
      <w:marBottom w:val="0"/>
      <w:divBdr>
        <w:top w:val="none" w:sz="0" w:space="0" w:color="auto"/>
        <w:left w:val="none" w:sz="0" w:space="0" w:color="auto"/>
        <w:bottom w:val="none" w:sz="0" w:space="0" w:color="auto"/>
        <w:right w:val="none" w:sz="0" w:space="0" w:color="auto"/>
      </w:divBdr>
    </w:div>
    <w:div w:id="14722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GAVI-438364776-954273</_dlc_DocId>
    <_dlc_DocIdUrl xmlns="55894003-98dc-4f3e-8669-85b90bdbcc8c">
      <Url>https://gavinet.sharepoint.com/teams/PAP/srp/_layouts/15/DocIdRedir.aspx?ID=GAVI-438364776-954273</Url>
      <Description>GAVI-438364776-954273</Description>
    </_dlc_DocIdUrl>
    <lcf76f155ced4ddcb4097134ff3c332f xmlns="5c2490db-6e42-4989-a0fb-d6ff54a6a7d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828CAE40-B11F-4561-8593-DCE07A113F7F}">
  <ds:schemaRefs>
    <ds:schemaRef ds:uri="http://schemas.microsoft.com/sharepoint/v3/contenttype/forms"/>
  </ds:schemaRefs>
</ds:datastoreItem>
</file>

<file path=customXml/itemProps2.xml><?xml version="1.0" encoding="utf-8"?>
<ds:datastoreItem xmlns:ds="http://schemas.openxmlformats.org/officeDocument/2006/customXml" ds:itemID="{D573E915-0B5B-49D4-A807-D46DF2C52946}">
  <ds:schemaRefs>
    <ds:schemaRef ds:uri="http://schemas.microsoft.com/sharepoint/events"/>
  </ds:schemaRefs>
</ds:datastoreItem>
</file>

<file path=customXml/itemProps3.xml><?xml version="1.0" encoding="utf-8"?>
<ds:datastoreItem xmlns:ds="http://schemas.openxmlformats.org/officeDocument/2006/customXml" ds:itemID="{D43FADF1-C257-464A-BDEA-3F7A1A806D21}">
  <ds:schemaRefs>
    <ds:schemaRef ds:uri="http://schemas.openxmlformats.org/officeDocument/2006/bibliography"/>
  </ds:schemaRefs>
</ds:datastoreItem>
</file>

<file path=customXml/itemProps4.xml><?xml version="1.0" encoding="utf-8"?>
<ds:datastoreItem xmlns:ds="http://schemas.openxmlformats.org/officeDocument/2006/customXml" ds:itemID="{C7C6A5CC-DBFB-4485-B0E8-496FEE7F435E}">
  <ds:schemaRefs>
    <ds:schemaRef ds:uri="http://schemas.microsoft.com/office/2006/metadata/properties"/>
    <ds:schemaRef ds:uri="http://schemas.microsoft.com/office/infopath/2007/PartnerControls"/>
    <ds:schemaRef ds:uri="d0706217-df7c-4bf4-936d-b09aa3b837af"/>
    <ds:schemaRef ds:uri="a0d399e1-4586-4335-9383-7d9098bfc9ba"/>
    <ds:schemaRef ds:uri="700359ba-e36c-422a-9925-ddada98091a9"/>
  </ds:schemaRefs>
</ds:datastoreItem>
</file>

<file path=customXml/itemProps5.xml><?xml version="1.0" encoding="utf-8"?>
<ds:datastoreItem xmlns:ds="http://schemas.openxmlformats.org/officeDocument/2006/customXml" ds:itemID="{7440D387-F3A0-41C0-B668-C2AEEB5EA7B4}"/>
</file>

<file path=customXml/itemProps6.xml><?xml version="1.0" encoding="utf-8"?>
<ds:datastoreItem xmlns:ds="http://schemas.openxmlformats.org/officeDocument/2006/customXml" ds:itemID="{8E0FC893-99B7-43D3-8A94-64FFA2C023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4465</Words>
  <Characters>24563</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28971</CharactersWithSpaces>
  <SharedDoc>false</SharedDoc>
  <HLinks>
    <vt:vector size="138" baseType="variant">
      <vt:variant>
        <vt:i4>1900600</vt:i4>
      </vt:variant>
      <vt:variant>
        <vt:i4>134</vt:i4>
      </vt:variant>
      <vt:variant>
        <vt:i4>0</vt:i4>
      </vt:variant>
      <vt:variant>
        <vt:i4>5</vt:i4>
      </vt:variant>
      <vt:variant>
        <vt:lpwstr/>
      </vt:variant>
      <vt:variant>
        <vt:lpwstr>_Toc97130907</vt:lpwstr>
      </vt:variant>
      <vt:variant>
        <vt:i4>1835064</vt:i4>
      </vt:variant>
      <vt:variant>
        <vt:i4>128</vt:i4>
      </vt:variant>
      <vt:variant>
        <vt:i4>0</vt:i4>
      </vt:variant>
      <vt:variant>
        <vt:i4>5</vt:i4>
      </vt:variant>
      <vt:variant>
        <vt:lpwstr/>
      </vt:variant>
      <vt:variant>
        <vt:lpwstr>_Toc97130906</vt:lpwstr>
      </vt:variant>
      <vt:variant>
        <vt:i4>2031672</vt:i4>
      </vt:variant>
      <vt:variant>
        <vt:i4>122</vt:i4>
      </vt:variant>
      <vt:variant>
        <vt:i4>0</vt:i4>
      </vt:variant>
      <vt:variant>
        <vt:i4>5</vt:i4>
      </vt:variant>
      <vt:variant>
        <vt:lpwstr/>
      </vt:variant>
      <vt:variant>
        <vt:lpwstr>_Toc97130905</vt:lpwstr>
      </vt:variant>
      <vt:variant>
        <vt:i4>1966136</vt:i4>
      </vt:variant>
      <vt:variant>
        <vt:i4>116</vt:i4>
      </vt:variant>
      <vt:variant>
        <vt:i4>0</vt:i4>
      </vt:variant>
      <vt:variant>
        <vt:i4>5</vt:i4>
      </vt:variant>
      <vt:variant>
        <vt:lpwstr/>
      </vt:variant>
      <vt:variant>
        <vt:lpwstr>_Toc97130904</vt:lpwstr>
      </vt:variant>
      <vt:variant>
        <vt:i4>1638456</vt:i4>
      </vt:variant>
      <vt:variant>
        <vt:i4>110</vt:i4>
      </vt:variant>
      <vt:variant>
        <vt:i4>0</vt:i4>
      </vt:variant>
      <vt:variant>
        <vt:i4>5</vt:i4>
      </vt:variant>
      <vt:variant>
        <vt:lpwstr/>
      </vt:variant>
      <vt:variant>
        <vt:lpwstr>_Toc97130903</vt:lpwstr>
      </vt:variant>
      <vt:variant>
        <vt:i4>1572920</vt:i4>
      </vt:variant>
      <vt:variant>
        <vt:i4>104</vt:i4>
      </vt:variant>
      <vt:variant>
        <vt:i4>0</vt:i4>
      </vt:variant>
      <vt:variant>
        <vt:i4>5</vt:i4>
      </vt:variant>
      <vt:variant>
        <vt:lpwstr/>
      </vt:variant>
      <vt:variant>
        <vt:lpwstr>_Toc97130902</vt:lpwstr>
      </vt:variant>
      <vt:variant>
        <vt:i4>1769528</vt:i4>
      </vt:variant>
      <vt:variant>
        <vt:i4>98</vt:i4>
      </vt:variant>
      <vt:variant>
        <vt:i4>0</vt:i4>
      </vt:variant>
      <vt:variant>
        <vt:i4>5</vt:i4>
      </vt:variant>
      <vt:variant>
        <vt:lpwstr/>
      </vt:variant>
      <vt:variant>
        <vt:lpwstr>_Toc97130901</vt:lpwstr>
      </vt:variant>
      <vt:variant>
        <vt:i4>1703992</vt:i4>
      </vt:variant>
      <vt:variant>
        <vt:i4>92</vt:i4>
      </vt:variant>
      <vt:variant>
        <vt:i4>0</vt:i4>
      </vt:variant>
      <vt:variant>
        <vt:i4>5</vt:i4>
      </vt:variant>
      <vt:variant>
        <vt:lpwstr/>
      </vt:variant>
      <vt:variant>
        <vt:lpwstr>_Toc97130900</vt:lpwstr>
      </vt:variant>
      <vt:variant>
        <vt:i4>1179697</vt:i4>
      </vt:variant>
      <vt:variant>
        <vt:i4>86</vt:i4>
      </vt:variant>
      <vt:variant>
        <vt:i4>0</vt:i4>
      </vt:variant>
      <vt:variant>
        <vt:i4>5</vt:i4>
      </vt:variant>
      <vt:variant>
        <vt:lpwstr/>
      </vt:variant>
      <vt:variant>
        <vt:lpwstr>_Toc97130899</vt:lpwstr>
      </vt:variant>
      <vt:variant>
        <vt:i4>1245233</vt:i4>
      </vt:variant>
      <vt:variant>
        <vt:i4>80</vt:i4>
      </vt:variant>
      <vt:variant>
        <vt:i4>0</vt:i4>
      </vt:variant>
      <vt:variant>
        <vt:i4>5</vt:i4>
      </vt:variant>
      <vt:variant>
        <vt:lpwstr/>
      </vt:variant>
      <vt:variant>
        <vt:lpwstr>_Toc97130898</vt:lpwstr>
      </vt:variant>
      <vt:variant>
        <vt:i4>1835057</vt:i4>
      </vt:variant>
      <vt:variant>
        <vt:i4>74</vt:i4>
      </vt:variant>
      <vt:variant>
        <vt:i4>0</vt:i4>
      </vt:variant>
      <vt:variant>
        <vt:i4>5</vt:i4>
      </vt:variant>
      <vt:variant>
        <vt:lpwstr/>
      </vt:variant>
      <vt:variant>
        <vt:lpwstr>_Toc97130897</vt:lpwstr>
      </vt:variant>
      <vt:variant>
        <vt:i4>1900593</vt:i4>
      </vt:variant>
      <vt:variant>
        <vt:i4>68</vt:i4>
      </vt:variant>
      <vt:variant>
        <vt:i4>0</vt:i4>
      </vt:variant>
      <vt:variant>
        <vt:i4>5</vt:i4>
      </vt:variant>
      <vt:variant>
        <vt:lpwstr/>
      </vt:variant>
      <vt:variant>
        <vt:lpwstr>_Toc97130896</vt:lpwstr>
      </vt:variant>
      <vt:variant>
        <vt:i4>1966129</vt:i4>
      </vt:variant>
      <vt:variant>
        <vt:i4>62</vt:i4>
      </vt:variant>
      <vt:variant>
        <vt:i4>0</vt:i4>
      </vt:variant>
      <vt:variant>
        <vt:i4>5</vt:i4>
      </vt:variant>
      <vt:variant>
        <vt:lpwstr/>
      </vt:variant>
      <vt:variant>
        <vt:lpwstr>_Toc97130895</vt:lpwstr>
      </vt:variant>
      <vt:variant>
        <vt:i4>2031665</vt:i4>
      </vt:variant>
      <vt:variant>
        <vt:i4>56</vt:i4>
      </vt:variant>
      <vt:variant>
        <vt:i4>0</vt:i4>
      </vt:variant>
      <vt:variant>
        <vt:i4>5</vt:i4>
      </vt:variant>
      <vt:variant>
        <vt:lpwstr/>
      </vt:variant>
      <vt:variant>
        <vt:lpwstr>_Toc97130894</vt:lpwstr>
      </vt:variant>
      <vt:variant>
        <vt:i4>1572913</vt:i4>
      </vt:variant>
      <vt:variant>
        <vt:i4>50</vt:i4>
      </vt:variant>
      <vt:variant>
        <vt:i4>0</vt:i4>
      </vt:variant>
      <vt:variant>
        <vt:i4>5</vt:i4>
      </vt:variant>
      <vt:variant>
        <vt:lpwstr/>
      </vt:variant>
      <vt:variant>
        <vt:lpwstr>_Toc97130893</vt:lpwstr>
      </vt:variant>
      <vt:variant>
        <vt:i4>1638449</vt:i4>
      </vt:variant>
      <vt:variant>
        <vt:i4>44</vt:i4>
      </vt:variant>
      <vt:variant>
        <vt:i4>0</vt:i4>
      </vt:variant>
      <vt:variant>
        <vt:i4>5</vt:i4>
      </vt:variant>
      <vt:variant>
        <vt:lpwstr/>
      </vt:variant>
      <vt:variant>
        <vt:lpwstr>_Toc97130892</vt:lpwstr>
      </vt:variant>
      <vt:variant>
        <vt:i4>1703985</vt:i4>
      </vt:variant>
      <vt:variant>
        <vt:i4>38</vt:i4>
      </vt:variant>
      <vt:variant>
        <vt:i4>0</vt:i4>
      </vt:variant>
      <vt:variant>
        <vt:i4>5</vt:i4>
      </vt:variant>
      <vt:variant>
        <vt:lpwstr/>
      </vt:variant>
      <vt:variant>
        <vt:lpwstr>_Toc97130891</vt:lpwstr>
      </vt:variant>
      <vt:variant>
        <vt:i4>1769521</vt:i4>
      </vt:variant>
      <vt:variant>
        <vt:i4>32</vt:i4>
      </vt:variant>
      <vt:variant>
        <vt:i4>0</vt:i4>
      </vt:variant>
      <vt:variant>
        <vt:i4>5</vt:i4>
      </vt:variant>
      <vt:variant>
        <vt:lpwstr/>
      </vt:variant>
      <vt:variant>
        <vt:lpwstr>_Toc97130890</vt:lpwstr>
      </vt:variant>
      <vt:variant>
        <vt:i4>1179696</vt:i4>
      </vt:variant>
      <vt:variant>
        <vt:i4>26</vt:i4>
      </vt:variant>
      <vt:variant>
        <vt:i4>0</vt:i4>
      </vt:variant>
      <vt:variant>
        <vt:i4>5</vt:i4>
      </vt:variant>
      <vt:variant>
        <vt:lpwstr/>
      </vt:variant>
      <vt:variant>
        <vt:lpwstr>_Toc97130889</vt:lpwstr>
      </vt:variant>
      <vt:variant>
        <vt:i4>1245232</vt:i4>
      </vt:variant>
      <vt:variant>
        <vt:i4>20</vt:i4>
      </vt:variant>
      <vt:variant>
        <vt:i4>0</vt:i4>
      </vt:variant>
      <vt:variant>
        <vt:i4>5</vt:i4>
      </vt:variant>
      <vt:variant>
        <vt:lpwstr/>
      </vt:variant>
      <vt:variant>
        <vt:lpwstr>_Toc97130888</vt:lpwstr>
      </vt:variant>
      <vt:variant>
        <vt:i4>1835056</vt:i4>
      </vt:variant>
      <vt:variant>
        <vt:i4>14</vt:i4>
      </vt:variant>
      <vt:variant>
        <vt:i4>0</vt:i4>
      </vt:variant>
      <vt:variant>
        <vt:i4>5</vt:i4>
      </vt:variant>
      <vt:variant>
        <vt:lpwstr/>
      </vt:variant>
      <vt:variant>
        <vt:lpwstr>_Toc97130887</vt:lpwstr>
      </vt:variant>
      <vt:variant>
        <vt:i4>1900592</vt:i4>
      </vt:variant>
      <vt:variant>
        <vt:i4>8</vt:i4>
      </vt:variant>
      <vt:variant>
        <vt:i4>0</vt:i4>
      </vt:variant>
      <vt:variant>
        <vt:i4>5</vt:i4>
      </vt:variant>
      <vt:variant>
        <vt:lpwstr/>
      </vt:variant>
      <vt:variant>
        <vt:lpwstr>_Toc97130886</vt:lpwstr>
      </vt:variant>
      <vt:variant>
        <vt:i4>1966128</vt:i4>
      </vt:variant>
      <vt:variant>
        <vt:i4>2</vt:i4>
      </vt:variant>
      <vt:variant>
        <vt:i4>0</vt:i4>
      </vt:variant>
      <vt:variant>
        <vt:i4>5</vt:i4>
      </vt:variant>
      <vt:variant>
        <vt:lpwstr/>
      </vt:variant>
      <vt:variant>
        <vt:lpwstr>_Toc97130885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TCHOKFE NDOULA Shalom</dc:creator>
  <cp:keywords/>
  <dc:description/>
  <cp:lastModifiedBy>Dr TCHOKFE NDOULA Shalom</cp:lastModifiedBy>
  <cp:revision>25</cp:revision>
  <dcterms:created xsi:type="dcterms:W3CDTF">2022-03-04T14:20:00Z</dcterms:created>
  <dcterms:modified xsi:type="dcterms:W3CDTF">2022-03-07T18:15:00Z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630bf445-1dfe-498e-9d87-cf75b7a329fc</vt:lpwstr>
  </property>
  <property fmtid="{D5CDD505-2E9C-101B-9397-08002B2CF9AE}" pid="4" name="MSIP_Label_0a957285-7815-485a-9751-5b273b784ad5_Enabled">
    <vt:lpwstr>true</vt:lpwstr>
  </property>
  <property fmtid="{D5CDD505-2E9C-101B-9397-08002B2CF9AE}" pid="5" name="MSIP_Label_0a957285-7815-485a-9751-5b273b784ad5_SetDate">
    <vt:lpwstr>2022-03-03T19:27:39Z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7e6a5636-721f-4163-b6f6-e4d1737aeab7</vt:lpwstr>
  </property>
  <property fmtid="{D5CDD505-2E9C-101B-9397-08002B2CF9AE}" pid="10" name="MSIP_Label_0a957285-7815-485a-9751-5b273b784ad5_ContentBits">
    <vt:lpwstr>0</vt:lpwstr>
  </property>
</Properties>
</file>