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6C0F" w:rsidP="00FC4A11" w:rsidRDefault="00356C0F" w14:paraId="51F1B6B5" w14:textId="77777777">
      <w:pPr>
        <w:pStyle w:val="Titre1"/>
        <w:spacing w:before="0" w:after="0" w:line="300" w:lineRule="exact"/>
        <w:rPr>
          <w:b/>
          <w:color w:val="70AD47" w:themeColor="accent6"/>
          <w:sz w:val="24"/>
          <w:lang w:val="en-GB"/>
        </w:rPr>
      </w:pPr>
    </w:p>
    <w:p w:rsidRPr="00F362F4" w:rsidR="00F362F4" w:rsidP="00F362F4" w:rsidRDefault="00F362F4" w14:paraId="40FB2D19" w14:textId="77777777">
      <w:pPr>
        <w:rPr>
          <w:lang w:val="en-GB"/>
        </w:rPr>
      </w:pPr>
    </w:p>
    <w:p w:rsidRPr="002C0581" w:rsidR="00EA0E8B" w:rsidP="00FC4A11" w:rsidRDefault="00EA0E8B" w14:paraId="7EFDEEC5" w14:textId="77777777">
      <w:pPr>
        <w:pStyle w:val="Titre1"/>
        <w:spacing w:before="0" w:after="0" w:line="340" w:lineRule="exact"/>
        <w:rPr>
          <w:b/>
          <w:color w:val="70AD47" w:themeColor="accent6"/>
          <w:sz w:val="24"/>
        </w:rPr>
      </w:pPr>
      <w:r>
        <w:rPr>
          <w:b/>
          <w:color w:val="70AD47" w:themeColor="accent6"/>
          <w:sz w:val="24"/>
        </w:rPr>
        <w:t>MODELE</w:t>
      </w:r>
    </w:p>
    <w:p w:rsidRPr="006615A7" w:rsidR="000301CD" w:rsidP="00FC4A11" w:rsidRDefault="000301CD" w14:paraId="6EBE01D6" w14:textId="77777777">
      <w:pPr>
        <w:spacing w:line="300" w:lineRule="exact"/>
        <w:rPr>
          <w:b/>
          <w:color w:val="4472C4" w:themeColor="accent1"/>
          <w:sz w:val="36"/>
          <w:szCs w:val="36"/>
        </w:rPr>
      </w:pPr>
    </w:p>
    <w:p w:rsidRPr="00B177EC" w:rsidR="00B177EC" w:rsidP="00B177EC" w:rsidRDefault="00BD297B" w14:paraId="0A595BC4" w14:textId="77777777">
      <w:pPr>
        <w:spacing w:line="300" w:lineRule="exact"/>
        <w:jc w:val="center"/>
        <w:rPr>
          <w:b/>
          <w:color w:val="4472C4" w:themeColor="accent1"/>
          <w:sz w:val="32"/>
          <w:szCs w:val="32"/>
        </w:rPr>
      </w:pPr>
      <w:r w:rsidRPr="00BD297B">
        <w:rPr>
          <w:b/>
          <w:color w:val="4472C4" w:themeColor="accent1"/>
          <w:sz w:val="32"/>
        </w:rPr>
        <w:t>Mauritanie</w:t>
      </w:r>
    </w:p>
    <w:p w:rsidRPr="006615A7" w:rsidR="00B177EC" w:rsidP="00FC4A11" w:rsidRDefault="00B177EC" w14:paraId="21222CC5" w14:textId="77777777">
      <w:pPr>
        <w:spacing w:line="300" w:lineRule="exact"/>
        <w:rPr>
          <w:b/>
          <w:color w:val="4472C4" w:themeColor="accent1"/>
          <w:sz w:val="36"/>
          <w:szCs w:val="36"/>
        </w:rPr>
      </w:pPr>
    </w:p>
    <w:p w:rsidR="00EA7614" w:rsidP="002C42E8" w:rsidRDefault="000301CD" w14:paraId="371C4EBE" w14:textId="77777777">
      <w:pPr>
        <w:spacing w:line="300" w:lineRule="exact"/>
        <w:jc w:val="center"/>
        <w:rPr>
          <w:b/>
          <w:color w:val="4471C4"/>
          <w:sz w:val="32"/>
          <w:szCs w:val="32"/>
        </w:rPr>
      </w:pPr>
      <w:r>
        <w:rPr>
          <w:b/>
          <w:color w:val="4471C4"/>
          <w:sz w:val="32"/>
        </w:rPr>
        <w:t>Justification de l'assistance pays ciblée du Cadre d'engagement des partenaires</w:t>
      </w:r>
    </w:p>
    <w:p w:rsidRPr="000301CD" w:rsidR="00EA7614" w:rsidP="002C42E8" w:rsidRDefault="000301CD" w14:paraId="5405AC4F" w14:textId="3BFB3E96">
      <w:pPr>
        <w:spacing w:line="300" w:lineRule="exact"/>
        <w:jc w:val="center"/>
        <w:rPr>
          <w:bCs/>
          <w:color w:val="808080" w:themeColor="background1" w:themeShade="80"/>
          <w:sz w:val="32"/>
          <w:szCs w:val="32"/>
        </w:rPr>
      </w:pPr>
      <w:r>
        <w:rPr>
          <w:b/>
          <w:color w:val="4472C4" w:themeColor="accent1"/>
          <w:sz w:val="32"/>
        </w:rPr>
        <w:t xml:space="preserve">pour la </w:t>
      </w:r>
      <w:r w:rsidR="00F31056">
        <w:rPr>
          <w:b/>
          <w:color w:val="4472C4" w:themeColor="accent1"/>
          <w:sz w:val="32"/>
        </w:rPr>
        <w:t>planification</w:t>
      </w:r>
      <w:r w:rsidR="00F31056">
        <w:rPr>
          <w:b/>
          <w:color w:val="4471C4"/>
          <w:sz w:val="32"/>
        </w:rPr>
        <w:t xml:space="preserve"> pluriannuelle</w:t>
      </w:r>
      <w:r>
        <w:rPr>
          <w:b/>
          <w:color w:val="4471C4"/>
          <w:sz w:val="32"/>
        </w:rPr>
        <w:t xml:space="preserve"> 2022-2025 </w:t>
      </w:r>
    </w:p>
    <w:p w:rsidRPr="006615A7" w:rsidR="000301CD" w:rsidP="00FC4A11" w:rsidRDefault="000301CD" w14:paraId="78B03201" w14:textId="77777777">
      <w:pPr>
        <w:spacing w:line="300" w:lineRule="exact"/>
        <w:rPr>
          <w:bCs/>
          <w:color w:val="808080" w:themeColor="background1" w:themeShade="80"/>
        </w:rPr>
      </w:pPr>
    </w:p>
    <w:p w:rsidR="000D0267" w:rsidP="00FC4A11" w:rsidRDefault="00322FAC" w14:paraId="1A7B525E" w14:textId="77777777">
      <w:pPr>
        <w:spacing w:line="300" w:lineRule="exact"/>
        <w:rPr>
          <w:bCs/>
          <w:color w:val="808080" w:themeColor="background1" w:themeShade="80"/>
        </w:rPr>
      </w:pPr>
      <w:r>
        <w:rPr>
          <w:color w:val="808080" w:themeColor="background1" w:themeShade="80"/>
        </w:rPr>
        <w:t xml:space="preserve">Utilisez ce modèle pour créer un argumentaire servant à contextualiser votre plan d'assistance pays ciblée pour la durée prévue et à montrer comment le soutien demandé à Gavi va vous aider à atteindre vos objectifs de vaccination.  </w:t>
      </w:r>
    </w:p>
    <w:p w:rsidRPr="00072D93" w:rsidR="00056DDF" w:rsidP="00FC4A11" w:rsidRDefault="00056DDF" w14:paraId="08139953" w14:textId="77777777">
      <w:pPr>
        <w:spacing w:line="300" w:lineRule="exact"/>
        <w:rPr>
          <w:bCs/>
          <w:color w:val="808080" w:themeColor="background1" w:themeShade="80"/>
        </w:rPr>
      </w:pPr>
    </w:p>
    <w:p w:rsidRPr="0065351E" w:rsidR="001C1D82" w:rsidP="00056DDF" w:rsidRDefault="00056DDF" w14:paraId="72EDA8F7" w14:textId="77777777">
      <w:pPr>
        <w:spacing w:line="300" w:lineRule="exact"/>
        <w:ind w:left="426"/>
        <w:rPr>
          <w:i/>
          <w:color w:val="808080" w:themeColor="background1" w:themeShade="80"/>
        </w:rPr>
      </w:pPr>
      <w:r>
        <w:rPr>
          <w:i/>
          <w:color w:val="808080" w:themeColor="background1" w:themeShade="80"/>
        </w:rPr>
        <w:t>(Rempli par Gavi)</w:t>
      </w:r>
    </w:p>
    <w:tbl>
      <w:tblPr>
        <w:tblStyle w:val="Grilledutableau"/>
        <w:tblW w:w="9067" w:type="dxa"/>
        <w:shd w:val="clear" w:color="auto" w:fill="FFFFFF" w:themeFill="background1"/>
        <w:tblLook w:val="04A0" w:firstRow="1" w:lastRow="0" w:firstColumn="1" w:lastColumn="0" w:noHBand="0" w:noVBand="1"/>
      </w:tblPr>
      <w:tblGrid>
        <w:gridCol w:w="2185"/>
        <w:gridCol w:w="787"/>
        <w:gridCol w:w="4961"/>
        <w:gridCol w:w="1134"/>
      </w:tblGrid>
      <w:tr w:rsidR="00FB048D" w:rsidTr="004C6B53" w14:paraId="1B4766EA" w14:textId="77777777">
        <w:tc>
          <w:tcPr>
            <w:tcW w:w="2185" w:type="dxa"/>
            <w:shd w:val="clear" w:color="auto" w:fill="DEEAF6" w:themeFill="accent5" w:themeFillTint="33"/>
          </w:tcPr>
          <w:p w:rsidRPr="00372D1F" w:rsidR="00FB048D" w:rsidP="00FC4A11" w:rsidRDefault="00FB048D" w14:paraId="22780531" w14:textId="77777777">
            <w:pPr>
              <w:spacing w:line="300" w:lineRule="exact"/>
              <w:rPr>
                <w:b/>
              </w:rPr>
            </w:pPr>
            <w:r>
              <w:rPr>
                <w:b/>
              </w:rPr>
              <w:t>Enveloppe totale</w:t>
            </w:r>
          </w:p>
        </w:tc>
        <w:tc>
          <w:tcPr>
            <w:tcW w:w="5748" w:type="dxa"/>
            <w:gridSpan w:val="2"/>
            <w:shd w:val="clear" w:color="auto" w:fill="DEEAF6" w:themeFill="accent5" w:themeFillTint="33"/>
          </w:tcPr>
          <w:p w:rsidRPr="00372D1F" w:rsidR="00FB048D" w:rsidP="00FC4A11" w:rsidRDefault="00FB048D" w14:paraId="716BED35" w14:textId="77777777">
            <w:pPr>
              <w:spacing w:line="300" w:lineRule="exact"/>
              <w:rPr>
                <w:b/>
              </w:rPr>
            </w:pPr>
            <w:r>
              <w:rPr>
                <w:b/>
              </w:rPr>
              <w:t>Allocation indicative pour 2022-202</w:t>
            </w:r>
            <w:r w:rsidR="00B0586C">
              <w:rPr>
                <w:b/>
              </w:rPr>
              <w:t>3</w:t>
            </w:r>
          </w:p>
        </w:tc>
        <w:tc>
          <w:tcPr>
            <w:tcW w:w="1134" w:type="dxa"/>
            <w:shd w:val="clear" w:color="auto" w:fill="DEEAF6" w:themeFill="accent5" w:themeFillTint="33"/>
          </w:tcPr>
          <w:p w:rsidRPr="00372D1F" w:rsidR="00FB048D" w:rsidP="00FC4A11" w:rsidRDefault="00FB048D" w14:paraId="5478043C" w14:textId="77777777">
            <w:pPr>
              <w:spacing w:line="300" w:lineRule="exact"/>
              <w:rPr>
                <w:b/>
              </w:rPr>
            </w:pPr>
            <w:r>
              <w:rPr>
                <w:b/>
              </w:rPr>
              <w:t>%</w:t>
            </w:r>
          </w:p>
        </w:tc>
      </w:tr>
      <w:tr w:rsidR="00FB048D" w:rsidTr="004C6B53" w14:paraId="3719D0DA" w14:textId="77777777">
        <w:tc>
          <w:tcPr>
            <w:tcW w:w="2185" w:type="dxa"/>
            <w:vMerge w:val="restart"/>
            <w:shd w:val="clear" w:color="auto" w:fill="FFFFFF" w:themeFill="background1"/>
          </w:tcPr>
          <w:p w:rsidRPr="00821AEB" w:rsidR="00FB048D" w:rsidP="00FC4A11" w:rsidRDefault="009838DE" w14:paraId="1D43CED1" w14:textId="77777777">
            <w:pPr>
              <w:spacing w:line="300" w:lineRule="exact"/>
              <w:rPr>
                <w:bCs/>
                <w:color w:val="808080" w:themeColor="background1" w:themeShade="80"/>
              </w:rPr>
            </w:pPr>
            <w:r>
              <w:rPr>
                <w:color w:val="808080" w:themeColor="background1" w:themeShade="80"/>
              </w:rPr>
              <w:t>1'388’104</w:t>
            </w:r>
            <w:r w:rsidRPr="00821AEB" w:rsidR="00FB048D">
              <w:rPr>
                <w:color w:val="808080" w:themeColor="background1" w:themeShade="80"/>
              </w:rPr>
              <w:t>USD</w:t>
            </w:r>
          </w:p>
        </w:tc>
        <w:tc>
          <w:tcPr>
            <w:tcW w:w="787" w:type="dxa"/>
            <w:shd w:val="clear" w:color="auto" w:fill="E2EFD9" w:themeFill="accent6" w:themeFillTint="33"/>
          </w:tcPr>
          <w:p w:rsidRPr="00821AEB" w:rsidR="00FB048D" w:rsidP="00FC4A11" w:rsidRDefault="00FB048D" w14:paraId="4D61D70E" w14:textId="77777777">
            <w:pPr>
              <w:spacing w:line="300" w:lineRule="exact"/>
              <w:rPr>
                <w:b/>
              </w:rPr>
            </w:pPr>
            <w:r w:rsidRPr="00821AEB">
              <w:rPr>
                <w:b/>
              </w:rPr>
              <w:t>2022</w:t>
            </w:r>
          </w:p>
        </w:tc>
        <w:tc>
          <w:tcPr>
            <w:tcW w:w="4961" w:type="dxa"/>
            <w:shd w:val="clear" w:color="auto" w:fill="E2EFD9" w:themeFill="accent6" w:themeFillTint="33"/>
          </w:tcPr>
          <w:p w:rsidRPr="00821AEB" w:rsidR="00FB048D" w:rsidP="00FC4A11" w:rsidRDefault="009838DE" w14:paraId="3D841797" w14:textId="72F24110">
            <w:pPr>
              <w:spacing w:line="300" w:lineRule="exact"/>
              <w:rPr>
                <w:color w:val="808080" w:themeColor="background1" w:themeShade="80"/>
              </w:rPr>
            </w:pPr>
            <w:r>
              <w:rPr>
                <w:color w:val="808080" w:themeColor="background1" w:themeShade="80"/>
              </w:rPr>
              <w:t>6</w:t>
            </w:r>
            <w:r w:rsidR="000757BB">
              <w:rPr>
                <w:color w:val="808080" w:themeColor="background1" w:themeShade="80"/>
              </w:rPr>
              <w:t>50</w:t>
            </w:r>
            <w:r w:rsidR="00B63D9D">
              <w:rPr>
                <w:color w:val="808080" w:themeColor="background1" w:themeShade="80"/>
              </w:rPr>
              <w:t>’</w:t>
            </w:r>
            <w:r w:rsidR="000757BB">
              <w:rPr>
                <w:color w:val="808080" w:themeColor="background1" w:themeShade="80"/>
              </w:rPr>
              <w:t>000</w:t>
            </w:r>
            <w:r w:rsidRPr="00821AEB" w:rsidR="00503BC7">
              <w:rPr>
                <w:color w:val="808080" w:themeColor="background1" w:themeShade="80"/>
              </w:rPr>
              <w:t>USD</w:t>
            </w:r>
          </w:p>
        </w:tc>
        <w:tc>
          <w:tcPr>
            <w:tcW w:w="1134" w:type="dxa"/>
            <w:shd w:val="clear" w:color="auto" w:fill="E2EFD9" w:themeFill="accent6" w:themeFillTint="33"/>
          </w:tcPr>
          <w:p w:rsidR="00FB048D" w:rsidP="00FC4A11" w:rsidRDefault="00B0586C" w14:paraId="0F89DE17" w14:textId="209F034D">
            <w:pPr>
              <w:spacing w:line="300" w:lineRule="exact"/>
              <w:rPr>
                <w:bCs/>
                <w:color w:val="808080" w:themeColor="background1" w:themeShade="80"/>
                <w:lang w:val="en-GB"/>
              </w:rPr>
            </w:pPr>
            <w:r>
              <w:rPr>
                <w:bCs/>
                <w:color w:val="808080" w:themeColor="background1" w:themeShade="80"/>
                <w:lang w:val="en-GB"/>
              </w:rPr>
              <w:t>4</w:t>
            </w:r>
            <w:r w:rsidR="000757BB">
              <w:rPr>
                <w:bCs/>
                <w:color w:val="808080" w:themeColor="background1" w:themeShade="80"/>
                <w:lang w:val="en-GB"/>
              </w:rPr>
              <w:t>6</w:t>
            </w:r>
            <w:r>
              <w:rPr>
                <w:bCs/>
                <w:color w:val="808080" w:themeColor="background1" w:themeShade="80"/>
                <w:lang w:val="en-GB"/>
              </w:rPr>
              <w:t>.</w:t>
            </w:r>
            <w:r w:rsidR="000757BB">
              <w:rPr>
                <w:bCs/>
                <w:color w:val="808080" w:themeColor="background1" w:themeShade="80"/>
                <w:lang w:val="en-GB"/>
              </w:rPr>
              <w:t>83</w:t>
            </w:r>
            <w:r w:rsidR="007609C9">
              <w:rPr>
                <w:bCs/>
                <w:color w:val="808080" w:themeColor="background1" w:themeShade="80"/>
                <w:lang w:val="en-GB"/>
              </w:rPr>
              <w:t>%</w:t>
            </w:r>
          </w:p>
        </w:tc>
      </w:tr>
      <w:tr w:rsidR="00487399" w:rsidTr="00821AEB" w14:paraId="647797ED" w14:textId="77777777">
        <w:trPr>
          <w:trHeight w:val="233"/>
        </w:trPr>
        <w:tc>
          <w:tcPr>
            <w:tcW w:w="2185" w:type="dxa"/>
            <w:vMerge/>
          </w:tcPr>
          <w:p w:rsidRPr="00821AEB" w:rsidR="00487399" w:rsidP="00FC4A11" w:rsidRDefault="00487399" w14:paraId="746E1362" w14:textId="77777777">
            <w:pPr>
              <w:spacing w:line="300" w:lineRule="exact"/>
              <w:rPr>
                <w:bCs/>
                <w:color w:val="808080" w:themeColor="background1" w:themeShade="80"/>
                <w:lang w:val="en-GB"/>
              </w:rPr>
            </w:pPr>
          </w:p>
        </w:tc>
        <w:tc>
          <w:tcPr>
            <w:tcW w:w="787" w:type="dxa"/>
            <w:shd w:val="clear" w:color="auto" w:fill="E2EFD9" w:themeFill="accent6" w:themeFillTint="33"/>
          </w:tcPr>
          <w:p w:rsidRPr="00821AEB" w:rsidR="00487399" w:rsidP="00FC4A11" w:rsidRDefault="00487399" w14:paraId="3DEA8EC9" w14:textId="77777777">
            <w:pPr>
              <w:spacing w:line="300" w:lineRule="exact"/>
              <w:rPr>
                <w:b/>
              </w:rPr>
            </w:pPr>
            <w:r w:rsidRPr="00821AEB">
              <w:rPr>
                <w:b/>
              </w:rPr>
              <w:t>2023</w:t>
            </w:r>
          </w:p>
        </w:tc>
        <w:tc>
          <w:tcPr>
            <w:tcW w:w="4961" w:type="dxa"/>
            <w:shd w:val="clear" w:color="auto" w:fill="E2EFD9" w:themeFill="accent6" w:themeFillTint="33"/>
          </w:tcPr>
          <w:p w:rsidRPr="00821AEB" w:rsidR="00487399" w:rsidP="00FC4A11" w:rsidRDefault="00057967" w14:paraId="6A749C58" w14:textId="5FED2B5C">
            <w:pPr>
              <w:spacing w:line="300" w:lineRule="exact"/>
              <w:rPr>
                <w:color w:val="808080" w:themeColor="background1" w:themeShade="80"/>
              </w:rPr>
            </w:pPr>
            <w:r>
              <w:rPr>
                <w:color w:val="808080" w:themeColor="background1" w:themeShade="80"/>
              </w:rPr>
              <w:t>7</w:t>
            </w:r>
            <w:r w:rsidR="000757BB">
              <w:rPr>
                <w:color w:val="808080" w:themeColor="background1" w:themeShade="80"/>
              </w:rPr>
              <w:t>38</w:t>
            </w:r>
            <w:r w:rsidR="00B63D9D">
              <w:rPr>
                <w:color w:val="808080" w:themeColor="background1" w:themeShade="80"/>
              </w:rPr>
              <w:t>’</w:t>
            </w:r>
            <w:r w:rsidR="000757BB">
              <w:rPr>
                <w:color w:val="808080" w:themeColor="background1" w:themeShade="80"/>
              </w:rPr>
              <w:t>104</w:t>
            </w:r>
            <w:r w:rsidRPr="00821AEB" w:rsidR="00487399">
              <w:rPr>
                <w:color w:val="808080" w:themeColor="background1" w:themeShade="80"/>
              </w:rPr>
              <w:t>USD</w:t>
            </w:r>
          </w:p>
        </w:tc>
        <w:tc>
          <w:tcPr>
            <w:tcW w:w="1134" w:type="dxa"/>
            <w:shd w:val="clear" w:color="auto" w:fill="E2EFD9" w:themeFill="accent6" w:themeFillTint="33"/>
          </w:tcPr>
          <w:p w:rsidR="00487399" w:rsidP="00FC4A11" w:rsidRDefault="00B0586C" w14:paraId="169EC851" w14:textId="4F9C59B2">
            <w:pPr>
              <w:spacing w:line="300" w:lineRule="exact"/>
              <w:rPr>
                <w:bCs/>
                <w:color w:val="808080" w:themeColor="background1" w:themeShade="80"/>
                <w:lang w:val="en-GB"/>
              </w:rPr>
            </w:pPr>
            <w:r>
              <w:rPr>
                <w:bCs/>
                <w:color w:val="808080" w:themeColor="background1" w:themeShade="80"/>
                <w:lang w:val="en-GB"/>
              </w:rPr>
              <w:t>5</w:t>
            </w:r>
            <w:r w:rsidR="000757BB">
              <w:rPr>
                <w:bCs/>
                <w:color w:val="808080" w:themeColor="background1" w:themeShade="80"/>
                <w:lang w:val="en-GB"/>
              </w:rPr>
              <w:t>3.17</w:t>
            </w:r>
            <w:r w:rsidR="00996F4A">
              <w:rPr>
                <w:bCs/>
                <w:color w:val="808080" w:themeColor="background1" w:themeShade="80"/>
                <w:lang w:val="en-GB"/>
              </w:rPr>
              <w:t>%</w:t>
            </w:r>
          </w:p>
        </w:tc>
      </w:tr>
    </w:tbl>
    <w:p w:rsidR="00A47FCF" w:rsidP="00FC4A11" w:rsidRDefault="00A47FCF" w14:paraId="5B0C4A65" w14:textId="77777777">
      <w:pPr>
        <w:spacing w:line="300" w:lineRule="exact"/>
        <w:rPr>
          <w:bCs/>
          <w:color w:val="808080" w:themeColor="background1" w:themeShade="80"/>
          <w:lang w:val="en-GB"/>
        </w:rPr>
      </w:pPr>
    </w:p>
    <w:p w:rsidR="00650EB6" w:rsidP="00CE1F57" w:rsidRDefault="00FB7375" w14:paraId="018EE2BB" w14:textId="77777777">
      <w:pPr>
        <w:pStyle w:val="Paragraphedeliste"/>
        <w:numPr>
          <w:ilvl w:val="0"/>
          <w:numId w:val="4"/>
        </w:numPr>
        <w:spacing w:line="300" w:lineRule="exact"/>
        <w:ind w:left="426"/>
        <w:rPr>
          <w:b/>
          <w:color w:val="84C650"/>
          <w:sz w:val="26"/>
          <w:szCs w:val="26"/>
        </w:rPr>
      </w:pPr>
      <w:r>
        <w:rPr>
          <w:b/>
          <w:color w:val="70AD47" w:themeColor="accent6"/>
          <w:sz w:val="26"/>
        </w:rPr>
        <w:t>Principaux objectifs du PEV et difficultés/goulots d'étranglement connus (0,5 page)</w:t>
      </w:r>
    </w:p>
    <w:p w:rsidRPr="006615A7" w:rsidR="000E69CF" w:rsidP="00FC4A11" w:rsidRDefault="000E69CF" w14:paraId="619CD1D6" w14:textId="77777777">
      <w:pPr>
        <w:spacing w:line="300" w:lineRule="exact"/>
        <w:rPr>
          <w:bCs/>
          <w:color w:val="808080" w:themeColor="background1" w:themeShade="80"/>
        </w:rPr>
      </w:pP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650EB6" w:rsidTr="00294171" w14:paraId="7E9B6B12" w14:textId="77777777">
        <w:tc>
          <w:tcPr>
            <w:tcW w:w="9192" w:type="dxa"/>
            <w:tcBorders>
              <w:bottom w:val="single" w:color="auto" w:sz="6" w:space="0"/>
            </w:tcBorders>
            <w:shd w:val="clear" w:color="auto" w:fill="F2F2F2" w:themeFill="background1" w:themeFillShade="F2"/>
          </w:tcPr>
          <w:p w:rsidRPr="00650EB6" w:rsidR="00650EB6" w:rsidP="00871FCF" w:rsidRDefault="00650EB6" w14:paraId="582AD788" w14:textId="309CD876">
            <w:pPr>
              <w:spacing w:line="300" w:lineRule="exact"/>
              <w:rPr>
                <w:b/>
                <w:i/>
                <w:iCs/>
                <w:color w:val="000000" w:themeColor="text1"/>
                <w:sz w:val="20"/>
                <w:szCs w:val="20"/>
              </w:rPr>
            </w:pPr>
            <w:r>
              <w:rPr>
                <w:b/>
                <w:i/>
                <w:sz w:val="20"/>
              </w:rPr>
              <w:t>1.1</w:t>
            </w:r>
            <w:r>
              <w:rPr>
                <w:b/>
                <w:i/>
                <w:sz w:val="20"/>
              </w:rPr>
              <w:tab/>
            </w:r>
            <w:r>
              <w:rPr>
                <w:b/>
                <w:i/>
                <w:sz w:val="20"/>
              </w:rPr>
              <w:t xml:space="preserve">Veuillez indiquer tout contexte national qui est important pour comprendre la vision du pays et la demande d'assistance pays ciblée de Gavi. Quels effets spécifiques ces facteurs </w:t>
            </w:r>
            <w:r w:rsidR="004C15D1">
              <w:rPr>
                <w:b/>
                <w:i/>
                <w:sz w:val="20"/>
              </w:rPr>
              <w:t>ont-ils</w:t>
            </w:r>
            <w:r>
              <w:rPr>
                <w:b/>
                <w:i/>
                <w:sz w:val="20"/>
              </w:rPr>
              <w:t xml:space="preserve"> sur le programme national de </w:t>
            </w:r>
            <w:r w:rsidR="00F31056">
              <w:rPr>
                <w:b/>
                <w:i/>
                <w:sz w:val="20"/>
              </w:rPr>
              <w:t>vaccination ?</w:t>
            </w:r>
          </w:p>
        </w:tc>
      </w:tr>
      <w:tr w:rsidR="00650EB6" w:rsidTr="00294171" w14:paraId="49633B33" w14:textId="77777777">
        <w:tc>
          <w:tcPr>
            <w:tcW w:w="9192" w:type="dxa"/>
            <w:tcBorders>
              <w:top w:val="single" w:color="auto" w:sz="6" w:space="0"/>
              <w:left w:val="single" w:color="auto" w:sz="6" w:space="0"/>
              <w:bottom w:val="single" w:color="auto" w:sz="6" w:space="0"/>
              <w:right w:val="single" w:color="auto" w:sz="6" w:space="0"/>
            </w:tcBorders>
          </w:tcPr>
          <w:p w:rsidRPr="007B3149" w:rsidR="00E70E65" w:rsidP="007B3149" w:rsidRDefault="00C52B90" w14:paraId="2B679C9C" w14:textId="0FB56C15">
            <w:pPr>
              <w:spacing w:line="300" w:lineRule="exact"/>
              <w:jc w:val="both"/>
            </w:pPr>
            <w:r w:rsidRPr="007B3149">
              <w:t xml:space="preserve">Malgré une volonté politique manifeste </w:t>
            </w:r>
            <w:r w:rsidRPr="007B3149" w:rsidR="00042691">
              <w:t>exprimée par le Gouvernement à travers</w:t>
            </w:r>
            <w:r w:rsidRPr="007B3149">
              <w:t xml:space="preserve"> son engagement administratif et financier en faveur de la vaccination (inscription de ligne budgétaire pour la vaccination dans le budget de l’Etat, paiements dans les délais des cofinancements pour les nouveaux vaccins</w:t>
            </w:r>
            <w:r w:rsidRPr="007B3149" w:rsidR="00042691">
              <w:t xml:space="preserve">, </w:t>
            </w:r>
            <w:r w:rsidRPr="007B3149">
              <w:t xml:space="preserve">implication des autorités administratives territoriales </w:t>
            </w:r>
            <w:r w:rsidRPr="007B3149" w:rsidR="00782448">
              <w:t>dans les campagnes de vaccination</w:t>
            </w:r>
            <w:r w:rsidRPr="007B3149">
              <w:t>…)</w:t>
            </w:r>
            <w:r w:rsidRPr="007B3149" w:rsidR="00042691">
              <w:t xml:space="preserve">, </w:t>
            </w:r>
            <w:r w:rsidRPr="007B3149" w:rsidR="00782448">
              <w:t>les taux de couverture vaccinale pour le PEV systématique sont encore en deçà des objectifs assignés</w:t>
            </w:r>
            <w:r w:rsidRPr="007B3149" w:rsidR="00042691">
              <w:t>. Cette situation ne permet</w:t>
            </w:r>
            <w:r w:rsidRPr="007B3149" w:rsidR="00782448">
              <w:t xml:space="preserve"> pas de protéger </w:t>
            </w:r>
            <w:r w:rsidRPr="007B3149" w:rsidR="00042691">
              <w:t xml:space="preserve">la population </w:t>
            </w:r>
            <w:r w:rsidRPr="007B3149" w:rsidR="00782448">
              <w:t xml:space="preserve">contre la survenue éventuelle d’épidémies </w:t>
            </w:r>
            <w:r w:rsidRPr="007B3149" w:rsidR="007E6384">
              <w:t xml:space="preserve">de maladies évitables par la vaccination </w:t>
            </w:r>
            <w:r w:rsidRPr="007B3149" w:rsidR="00782448">
              <w:t xml:space="preserve">comme la rougeole, la poliomyélite, la coqueluche. </w:t>
            </w:r>
            <w:r w:rsidRPr="007B3149" w:rsidR="00042691">
              <w:t>Aussi, l</w:t>
            </w:r>
            <w:r w:rsidRPr="007B3149" w:rsidR="00782448">
              <w:t xml:space="preserve">e PPAC qui était en cours (2016-2020) est arrivé à expiration et n’a pas encore été réactualisé. </w:t>
            </w:r>
            <w:r w:rsidRPr="007B3149" w:rsidR="00042691">
              <w:t xml:space="preserve">La stratégie nationale d’immunisation n’a pas </w:t>
            </w:r>
            <w:r w:rsidRPr="007B3149" w:rsidR="00F31056">
              <w:t>encore</w:t>
            </w:r>
            <w:r w:rsidRPr="007B3149" w:rsidR="00042691">
              <w:t xml:space="preserve"> été élaborée. </w:t>
            </w:r>
            <w:r w:rsidRPr="007B3149" w:rsidR="007E6384">
              <w:t>Les structures institutionnelles de pilotage du PEV ne sont pas toutes en place, comme le CCIA, le NITAG</w:t>
            </w:r>
            <w:r w:rsidRPr="007B3149" w:rsidR="00274B0F">
              <w:t>, les comités de gestion au niveau opérationnel,</w:t>
            </w:r>
            <w:r w:rsidRPr="007B3149" w:rsidR="007E6384">
              <w:t xml:space="preserve"> etc…</w:t>
            </w:r>
            <w:r w:rsidR="00F81DF3">
              <w:t xml:space="preserve"> </w:t>
            </w:r>
            <w:r w:rsidRPr="007B3149" w:rsidR="00257466">
              <w:t>Le PEV</w:t>
            </w:r>
            <w:r w:rsidRPr="007B3149" w:rsidR="00782448">
              <w:t xml:space="preserve"> n’a pas encore </w:t>
            </w:r>
            <w:r w:rsidRPr="007B3149" w:rsidR="00257466">
              <w:t>élaboré</w:t>
            </w:r>
            <w:r w:rsidRPr="007B3149" w:rsidR="00782448">
              <w:t xml:space="preserve"> une stratégie adaptée au contexte pour atteindre les enfants ‘zéro doses’ et sous-vaccinés. </w:t>
            </w:r>
            <w:r w:rsidRPr="007B3149" w:rsidR="00257466">
              <w:t>Il</w:t>
            </w:r>
            <w:r w:rsidRPr="007B3149" w:rsidR="00042691">
              <w:t xml:space="preserve"> n’a pas </w:t>
            </w:r>
            <w:r w:rsidRPr="007B3149" w:rsidR="00257466">
              <w:t xml:space="preserve">mené </w:t>
            </w:r>
            <w:r w:rsidRPr="007B3149" w:rsidR="00042691">
              <w:t>une évaluation récente de la gestion efficace des vaccins permettant d’améliorer l’approvisionnement en vaccins.</w:t>
            </w:r>
            <w:r w:rsidRPr="007B3149" w:rsidR="00257466">
              <w:t xml:space="preserve"> Il est important de noter que l</w:t>
            </w:r>
            <w:r w:rsidRPr="007B3149" w:rsidR="00042691">
              <w:t>e PEV actuellement manque de ressources humaines qualifiées aux niveaux central et régional. Ce manque</w:t>
            </w:r>
            <w:r w:rsidRPr="007B3149" w:rsidR="00EC0A1A">
              <w:t xml:space="preserve"> de ressources humaines limite</w:t>
            </w:r>
            <w:r w:rsidRPr="007B3149" w:rsidR="00042691">
              <w:t xml:space="preserve"> les capacités d’élaboration des documents de politique et de guides </w:t>
            </w:r>
            <w:r w:rsidRPr="007B3149" w:rsidR="00042691">
              <w:lastRenderedPageBreak/>
              <w:t>techniques ainsi que les capacités de suivi, de supervision</w:t>
            </w:r>
            <w:r w:rsidRPr="007B3149" w:rsidR="00257466">
              <w:t xml:space="preserve">, </w:t>
            </w:r>
            <w:r w:rsidRPr="007B3149" w:rsidR="00042691">
              <w:t>de renforcement des compétences</w:t>
            </w:r>
            <w:r w:rsidRPr="007B3149" w:rsidR="00257466">
              <w:t xml:space="preserve"> et de génération de la demande</w:t>
            </w:r>
            <w:r w:rsidRPr="007B3149" w:rsidR="00042691">
              <w:t>.</w:t>
            </w:r>
          </w:p>
          <w:p w:rsidRPr="007B3149" w:rsidR="00D16C54" w:rsidP="007B3149" w:rsidRDefault="00D16C54" w14:paraId="40EFC4F1" w14:textId="33134D96">
            <w:pPr>
              <w:spacing w:line="300" w:lineRule="exact"/>
              <w:jc w:val="both"/>
            </w:pPr>
            <w:r w:rsidRPr="007B3149">
              <w:t xml:space="preserve">En outre, </w:t>
            </w:r>
            <w:r w:rsidRPr="007B3149" w:rsidR="008C2E39">
              <w:t>l</w:t>
            </w:r>
            <w:r w:rsidRPr="007B3149" w:rsidR="008F22C9">
              <w:t>es services de vaccination ont enregistré des pertu</w:t>
            </w:r>
            <w:r w:rsidRPr="007B3149" w:rsidR="009E1F31">
              <w:t>rbations</w:t>
            </w:r>
            <w:r w:rsidRPr="007B3149" w:rsidR="004C36CB">
              <w:t xml:space="preserve"> dans l’offre de la vaccination</w:t>
            </w:r>
            <w:r w:rsidRPr="007B3149" w:rsidR="009E1F31">
              <w:t xml:space="preserve"> durant la </w:t>
            </w:r>
            <w:r w:rsidRPr="007B3149" w:rsidR="003A5234">
              <w:t>pandémie</w:t>
            </w:r>
            <w:r w:rsidR="003A5234">
              <w:t xml:space="preserve"> de </w:t>
            </w:r>
            <w:r w:rsidRPr="007B3149" w:rsidR="009E1F31">
              <w:t>Covid</w:t>
            </w:r>
            <w:r w:rsidRPr="007B3149" w:rsidR="00A96ED6">
              <w:t>19</w:t>
            </w:r>
            <w:r w:rsidRPr="007B3149" w:rsidR="00F35B25">
              <w:t xml:space="preserve"> (2020-2021)</w:t>
            </w:r>
            <w:r w:rsidRPr="007B3149" w:rsidR="00A96ED6">
              <w:t xml:space="preserve">, ce qui </w:t>
            </w:r>
            <w:r w:rsidRPr="007B3149" w:rsidR="00713E3C">
              <w:t>a</w:t>
            </w:r>
            <w:r w:rsidR="00F31056">
              <w:t xml:space="preserve"> </w:t>
            </w:r>
            <w:r w:rsidRPr="007B3149" w:rsidR="00FE5346">
              <w:t xml:space="preserve">entrainé une chute des couvertures vaccinales durant cette </w:t>
            </w:r>
            <w:r w:rsidRPr="007B3149" w:rsidR="00F35B25">
              <w:t>période.</w:t>
            </w:r>
          </w:p>
        </w:tc>
      </w:tr>
    </w:tbl>
    <w:p w:rsidRPr="006615A7" w:rsidR="000759BE" w:rsidP="00FC4A11" w:rsidRDefault="000759BE" w14:paraId="7EE2F1B5" w14:textId="77777777">
      <w:pPr>
        <w:spacing w:line="300" w:lineRule="exact"/>
        <w:rPr>
          <w:bCs/>
          <w:color w:val="808080" w:themeColor="background1" w:themeShade="80"/>
        </w:rPr>
      </w:pPr>
    </w:p>
    <w:p w:rsidRPr="00372D1F" w:rsidR="004E4361" w:rsidP="00CE1F57" w:rsidRDefault="004E4361" w14:paraId="635FB951" w14:textId="77777777">
      <w:pPr>
        <w:pStyle w:val="Paragraphedeliste"/>
        <w:numPr>
          <w:ilvl w:val="0"/>
          <w:numId w:val="4"/>
        </w:numPr>
        <w:spacing w:line="300" w:lineRule="exact"/>
        <w:ind w:left="426"/>
        <w:rPr>
          <w:b/>
          <w:bCs/>
          <w:color w:val="84C650"/>
          <w:sz w:val="26"/>
          <w:szCs w:val="26"/>
        </w:rPr>
      </w:pPr>
      <w:r>
        <w:rPr>
          <w:b/>
          <w:color w:val="70AD47" w:themeColor="accent6"/>
          <w:sz w:val="26"/>
        </w:rPr>
        <w:t>Besoins actuels en AT de votre système de vaccination (1-2 pages)</w:t>
      </w:r>
    </w:p>
    <w:p w:rsidRPr="00D93986" w:rsidR="0095370A" w:rsidP="00E50185" w:rsidRDefault="00EC2EA5" w14:paraId="6A554F56" w14:textId="77777777">
      <w:pPr>
        <w:pStyle w:val="Paragraphedeliste"/>
        <w:spacing w:line="300" w:lineRule="exact"/>
        <w:ind w:left="142"/>
        <w:rPr>
          <w:b/>
          <w:i/>
          <w:sz w:val="20"/>
          <w:szCs w:val="20"/>
        </w:rPr>
      </w:pPr>
      <w:r>
        <w:rPr>
          <w:b/>
          <w:i/>
          <w:sz w:val="20"/>
        </w:rPr>
        <w:t xml:space="preserve">Veuillez indiquer l'allocation prévue de l'assistance pays ciblée du Cadre d'engagement des partenaires par domaine d'investissement et objectif de haut niveau. Les domaines d'investissement soutenus par Gavi et une liste des objectifs sont disponibles, pour information, dans les </w:t>
      </w:r>
      <w:hyperlink w:history="1" r:id="rId13">
        <w:r>
          <w:rPr>
            <w:rStyle w:val="Lienhypertexte"/>
            <w:b/>
            <w:i/>
            <w:sz w:val="20"/>
          </w:rPr>
          <w:t>Directives sur le financement des programmes</w:t>
        </w:r>
      </w:hyperlink>
      <w:r>
        <w:rPr>
          <w:b/>
          <w:i/>
          <w:sz w:val="20"/>
        </w:rPr>
        <w:t xml:space="preserve"> de Gavi. Le pays peut planifier pour la durée restante de son actuelle subvention de RSS</w:t>
      </w:r>
    </w:p>
    <w:p w:rsidRPr="006615A7" w:rsidR="007F2F8B" w:rsidP="00372D1F" w:rsidRDefault="007F2F8B" w14:paraId="65D17A32" w14:textId="77777777">
      <w:pPr>
        <w:pStyle w:val="Paragraphedeliste"/>
        <w:spacing w:line="300" w:lineRule="exact"/>
        <w:ind w:left="426"/>
        <w:rPr>
          <w:i/>
          <w:color w:val="808080" w:themeColor="background1" w:themeShade="80"/>
        </w:rPr>
      </w:pPr>
    </w:p>
    <w:p w:rsidRPr="006C63B1" w:rsidR="00655D56" w:rsidP="00372D1F" w:rsidRDefault="00372D1F" w14:paraId="3049B5D8" w14:textId="77777777">
      <w:pPr>
        <w:pStyle w:val="Paragraphedeliste"/>
        <w:spacing w:line="300" w:lineRule="exact"/>
        <w:ind w:left="426"/>
        <w:rPr>
          <w:i/>
          <w:color w:val="808080" w:themeColor="background1" w:themeShade="80"/>
        </w:rPr>
      </w:pPr>
      <w:r>
        <w:rPr>
          <w:i/>
          <w:color w:val="808080" w:themeColor="background1" w:themeShade="80"/>
        </w:rPr>
        <w:t>(N'hésitez pas à ajouter des lignes, si nécessaire)</w:t>
      </w:r>
    </w:p>
    <w:tbl>
      <w:tblPr>
        <w:tblW w:w="10065" w:type="dxa"/>
        <w:tblInd w:w="-436" w:type="dxa"/>
        <w:tblCellMar>
          <w:left w:w="70" w:type="dxa"/>
          <w:right w:w="70" w:type="dxa"/>
        </w:tblCellMar>
        <w:tblLook w:val="04A0" w:firstRow="1" w:lastRow="0" w:firstColumn="1" w:lastColumn="0" w:noHBand="0" w:noVBand="1"/>
      </w:tblPr>
      <w:tblGrid>
        <w:gridCol w:w="2373"/>
        <w:gridCol w:w="3870"/>
        <w:gridCol w:w="8"/>
        <w:gridCol w:w="2113"/>
        <w:gridCol w:w="1701"/>
      </w:tblGrid>
      <w:tr w:rsidRPr="009D6104" w:rsidR="009D6104" w:rsidTr="72834430" w14:paraId="0097D2B6" w14:textId="77777777">
        <w:trPr>
          <w:trHeight w:val="645"/>
        </w:trPr>
        <w:tc>
          <w:tcPr>
            <w:tcW w:w="6251" w:type="dxa"/>
            <w:gridSpan w:val="3"/>
            <w:tcBorders>
              <w:top w:val="single" w:color="auto" w:sz="8" w:space="0"/>
              <w:left w:val="single" w:color="auto" w:sz="8" w:space="0"/>
              <w:bottom w:val="single" w:color="auto" w:sz="8" w:space="0"/>
              <w:right w:val="single" w:color="000000" w:themeColor="text1" w:sz="8" w:space="0"/>
            </w:tcBorders>
            <w:shd w:val="clear" w:color="auto" w:fill="DEEAF6" w:themeFill="accent5" w:themeFillTint="33"/>
            <w:tcMar/>
            <w:vAlign w:val="center"/>
            <w:hideMark/>
          </w:tcPr>
          <w:p w:rsidRPr="003A5234" w:rsidR="009D6104" w:rsidP="009D6104" w:rsidRDefault="009D6104" w14:paraId="7AC563E5" w14:textId="77777777">
            <w:pPr>
              <w:spacing w:line="240" w:lineRule="auto"/>
              <w:rPr>
                <w:rFonts w:eastAsia="Times New Roman"/>
                <w:b/>
                <w:bCs/>
                <w:color w:val="222222"/>
                <w:lang w:eastAsia="fr-FR"/>
              </w:rPr>
            </w:pPr>
            <w:r w:rsidRPr="003A5234">
              <w:rPr>
                <w:rFonts w:eastAsia="Times New Roman"/>
                <w:b/>
                <w:bCs/>
                <w:color w:val="222222"/>
                <w:lang w:eastAsia="fr-FR"/>
              </w:rPr>
              <w:t>Plan de haut niveau</w:t>
            </w:r>
          </w:p>
        </w:tc>
        <w:tc>
          <w:tcPr>
            <w:tcW w:w="2113" w:type="dxa"/>
            <w:tcBorders>
              <w:top w:val="single" w:color="auto" w:sz="8" w:space="0"/>
              <w:left w:val="nil"/>
              <w:bottom w:val="single" w:color="auto" w:sz="8" w:space="0"/>
              <w:right w:val="single" w:color="auto" w:sz="8" w:space="0"/>
            </w:tcBorders>
            <w:shd w:val="clear" w:color="auto" w:fill="DEEAF6" w:themeFill="accent5" w:themeFillTint="33"/>
            <w:tcMar/>
            <w:vAlign w:val="center"/>
            <w:hideMark/>
          </w:tcPr>
          <w:p w:rsidRPr="003A5234" w:rsidR="009D6104" w:rsidP="009D6104" w:rsidRDefault="009D6104" w14:paraId="01964CBE" w14:textId="77777777">
            <w:pPr>
              <w:spacing w:line="240" w:lineRule="auto"/>
              <w:rPr>
                <w:rFonts w:eastAsia="Times New Roman"/>
                <w:b/>
                <w:bCs/>
                <w:color w:val="000000"/>
                <w:lang w:eastAsia="fr-FR"/>
              </w:rPr>
            </w:pPr>
            <w:r w:rsidRPr="003A5234">
              <w:rPr>
                <w:rFonts w:eastAsia="Times New Roman"/>
                <w:b/>
                <w:bCs/>
                <w:color w:val="000000"/>
                <w:lang w:eastAsia="fr-FR"/>
              </w:rPr>
              <w:t>Budget (USD)</w:t>
            </w:r>
          </w:p>
        </w:tc>
        <w:tc>
          <w:tcPr>
            <w:tcW w:w="1701" w:type="dxa"/>
            <w:tcBorders>
              <w:top w:val="single" w:color="auto" w:sz="8" w:space="0"/>
              <w:left w:val="nil"/>
              <w:bottom w:val="single" w:color="auto" w:sz="8" w:space="0"/>
              <w:right w:val="single" w:color="auto" w:sz="8" w:space="0"/>
            </w:tcBorders>
            <w:shd w:val="clear" w:color="auto" w:fill="DEEAF6" w:themeFill="accent5" w:themeFillTint="33"/>
            <w:tcMar/>
            <w:vAlign w:val="center"/>
            <w:hideMark/>
          </w:tcPr>
          <w:p w:rsidRPr="003A5234" w:rsidR="009D6104" w:rsidP="009D6104" w:rsidRDefault="009D6104" w14:paraId="7E0AD4EF" w14:textId="77777777">
            <w:pPr>
              <w:spacing w:line="240" w:lineRule="auto"/>
              <w:rPr>
                <w:rFonts w:eastAsia="Times New Roman"/>
                <w:b/>
                <w:bCs/>
                <w:color w:val="000000"/>
                <w:lang w:eastAsia="fr-FR"/>
              </w:rPr>
            </w:pPr>
            <w:r w:rsidRPr="003A5234">
              <w:rPr>
                <w:rFonts w:eastAsia="Times New Roman"/>
                <w:b/>
                <w:bCs/>
                <w:color w:val="000000"/>
                <w:lang w:eastAsia="fr-FR"/>
              </w:rPr>
              <w:t>%</w:t>
            </w:r>
          </w:p>
        </w:tc>
      </w:tr>
      <w:tr w:rsidRPr="009D6104" w:rsidR="009D6104" w:rsidTr="72834430" w14:paraId="2F85016A" w14:textId="77777777">
        <w:trPr>
          <w:trHeight w:val="495"/>
        </w:trPr>
        <w:tc>
          <w:tcPr>
            <w:tcW w:w="6251" w:type="dxa"/>
            <w:gridSpan w:val="3"/>
            <w:tcBorders>
              <w:top w:val="single" w:color="auto" w:sz="8" w:space="0"/>
              <w:left w:val="single" w:color="auto" w:sz="8" w:space="0"/>
              <w:bottom w:val="single" w:color="auto" w:sz="8" w:space="0"/>
              <w:right w:val="single" w:color="000000" w:themeColor="text1" w:sz="8" w:space="0"/>
            </w:tcBorders>
            <w:shd w:val="clear" w:color="auto" w:fill="E2EFD9" w:themeFill="accent6" w:themeFillTint="33"/>
            <w:tcMar/>
            <w:vAlign w:val="center"/>
            <w:hideMark/>
          </w:tcPr>
          <w:p w:rsidRPr="003A5234" w:rsidR="009D6104" w:rsidP="009D6104" w:rsidRDefault="009D6104" w14:paraId="5B7B2EC3" w14:textId="77777777">
            <w:pPr>
              <w:spacing w:line="240" w:lineRule="auto"/>
              <w:jc w:val="right"/>
              <w:rPr>
                <w:rFonts w:eastAsia="Times New Roman"/>
                <w:b/>
                <w:bCs/>
                <w:color w:val="000000"/>
                <w:lang w:eastAsia="fr-FR"/>
              </w:rPr>
            </w:pPr>
            <w:r w:rsidRPr="003A5234">
              <w:rPr>
                <w:rFonts w:eastAsia="Times New Roman"/>
                <w:b/>
                <w:bCs/>
                <w:color w:val="000000"/>
                <w:lang w:eastAsia="fr-FR"/>
              </w:rPr>
              <w:t>2022</w:t>
            </w:r>
          </w:p>
        </w:tc>
        <w:tc>
          <w:tcPr>
            <w:tcW w:w="2113" w:type="dxa"/>
            <w:tcBorders>
              <w:top w:val="nil"/>
              <w:left w:val="nil"/>
              <w:bottom w:val="single" w:color="auto" w:sz="8" w:space="0"/>
              <w:right w:val="single" w:color="auto" w:sz="8" w:space="0"/>
            </w:tcBorders>
            <w:shd w:val="clear" w:color="auto" w:fill="E2EFD9" w:themeFill="accent6" w:themeFillTint="33"/>
            <w:tcMar/>
            <w:vAlign w:val="center"/>
            <w:hideMark/>
          </w:tcPr>
          <w:p w:rsidRPr="003A5234" w:rsidR="009D6104" w:rsidP="009D6104" w:rsidRDefault="009D6104" w14:paraId="1FBDD3D9" w14:textId="77777777">
            <w:pPr>
              <w:spacing w:line="240" w:lineRule="auto"/>
              <w:jc w:val="right"/>
              <w:rPr>
                <w:rFonts w:eastAsia="Times New Roman"/>
                <w:color w:val="808080"/>
                <w:lang w:eastAsia="fr-FR"/>
              </w:rPr>
            </w:pPr>
            <w:r w:rsidRPr="003A5234">
              <w:rPr>
                <w:rFonts w:eastAsia="Times New Roman"/>
                <w:color w:val="808080"/>
                <w:lang w:val="en-GB" w:eastAsia="fr-FR"/>
              </w:rPr>
              <w:t> </w:t>
            </w:r>
          </w:p>
        </w:tc>
        <w:tc>
          <w:tcPr>
            <w:tcW w:w="1701" w:type="dxa"/>
            <w:tcBorders>
              <w:top w:val="nil"/>
              <w:left w:val="nil"/>
              <w:bottom w:val="single" w:color="auto" w:sz="8" w:space="0"/>
              <w:right w:val="single" w:color="auto" w:sz="8" w:space="0"/>
            </w:tcBorders>
            <w:shd w:val="clear" w:color="auto" w:fill="E2EFD9" w:themeFill="accent6" w:themeFillTint="33"/>
            <w:tcMar/>
            <w:vAlign w:val="center"/>
            <w:hideMark/>
          </w:tcPr>
          <w:p w:rsidRPr="003A5234" w:rsidR="009D6104" w:rsidP="009D6104" w:rsidRDefault="009D6104" w14:paraId="5074E514" w14:textId="77777777">
            <w:pPr>
              <w:spacing w:line="240" w:lineRule="auto"/>
              <w:jc w:val="right"/>
              <w:rPr>
                <w:rFonts w:eastAsia="Times New Roman"/>
                <w:color w:val="808080"/>
                <w:lang w:eastAsia="fr-FR"/>
              </w:rPr>
            </w:pPr>
            <w:r w:rsidRPr="003A5234">
              <w:rPr>
                <w:rFonts w:eastAsia="Times New Roman"/>
                <w:color w:val="808080"/>
                <w:lang w:val="en-GB" w:eastAsia="fr-FR"/>
              </w:rPr>
              <w:t> </w:t>
            </w:r>
          </w:p>
        </w:tc>
      </w:tr>
      <w:tr w:rsidRPr="009D6104" w:rsidR="009D6104" w:rsidTr="72834430" w14:paraId="79F5D2DA" w14:textId="77777777">
        <w:trPr>
          <w:trHeight w:val="1275"/>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A106FD" w14:paraId="1C940E7C" w14:textId="67171C9D">
            <w:pPr>
              <w:spacing w:line="240" w:lineRule="auto"/>
              <w:rPr>
                <w:rFonts w:eastAsia="Times New Roman"/>
                <w:color w:val="808080"/>
                <w:lang w:eastAsia="fr-FR"/>
              </w:rPr>
            </w:pPr>
            <w:r w:rsidRPr="003A5234">
              <w:rPr>
                <w:rFonts w:eastAsia="Times New Roman"/>
                <w:color w:val="808080"/>
                <w:lang w:eastAsia="fr-FR"/>
              </w:rPr>
              <w:t>Suivi/Evaluation</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76FC6FC1" w14:textId="77777777">
            <w:pPr>
              <w:spacing w:line="240" w:lineRule="auto"/>
              <w:rPr>
                <w:rFonts w:eastAsia="Times New Roman"/>
                <w:color w:val="808080"/>
                <w:lang w:eastAsia="fr-FR"/>
              </w:rPr>
            </w:pPr>
            <w:r w:rsidRPr="003A5234">
              <w:rPr>
                <w:rFonts w:eastAsia="Times New Roman"/>
                <w:color w:val="808080"/>
                <w:lang w:eastAsia="fr-FR"/>
              </w:rPr>
              <w:t>Renforcer les capacités de suivi-évaluation et de surveillance épidémiologique dans les zones d'intervention et au niveau national</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4D582E9B" w14:textId="60CEBD6C">
            <w:pPr>
              <w:spacing w:line="240" w:lineRule="auto"/>
              <w:jc w:val="right"/>
              <w:rPr>
                <w:rFonts w:eastAsia="Times New Roman"/>
                <w:color w:val="808080"/>
                <w:lang w:eastAsia="fr-FR"/>
              </w:rPr>
            </w:pPr>
            <w:r w:rsidRPr="003A5234">
              <w:rPr>
                <w:rFonts w:eastAsia="Times New Roman"/>
                <w:color w:val="808080"/>
                <w:lang w:eastAsia="fr-FR"/>
              </w:rPr>
              <w:t>150.000</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643028" w14:paraId="4B00D4F0" w14:textId="4A59A4EF">
            <w:pPr>
              <w:spacing w:line="240" w:lineRule="auto"/>
              <w:jc w:val="right"/>
              <w:rPr>
                <w:rFonts w:eastAsia="Times New Roman"/>
                <w:color w:val="808080"/>
                <w:lang w:eastAsia="fr-FR"/>
              </w:rPr>
            </w:pPr>
            <w:r w:rsidRPr="003A5234">
              <w:rPr>
                <w:rFonts w:eastAsia="Times New Roman"/>
                <w:color w:val="808080"/>
                <w:lang w:eastAsia="fr-FR"/>
              </w:rPr>
              <w:t>23</w:t>
            </w:r>
            <w:r w:rsidRPr="003A5234" w:rsidR="009D6104">
              <w:rPr>
                <w:rFonts w:eastAsia="Times New Roman"/>
                <w:color w:val="808080"/>
                <w:lang w:eastAsia="fr-FR"/>
              </w:rPr>
              <w:t>%</w:t>
            </w:r>
          </w:p>
        </w:tc>
      </w:tr>
      <w:tr w:rsidRPr="009D6104" w:rsidR="009D6104" w:rsidTr="72834430" w14:paraId="2FDC0C67" w14:textId="77777777">
        <w:trPr>
          <w:trHeight w:val="1275"/>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A106FD" w14:paraId="66A6E2F7" w14:textId="22A9E694">
            <w:pPr>
              <w:spacing w:line="240" w:lineRule="auto"/>
              <w:rPr>
                <w:rFonts w:eastAsia="Times New Roman"/>
                <w:color w:val="808080"/>
                <w:lang w:eastAsia="fr-FR"/>
              </w:rPr>
            </w:pPr>
            <w:r w:rsidRPr="003A5234">
              <w:rPr>
                <w:rFonts w:eastAsia="Times New Roman"/>
                <w:color w:val="808080"/>
                <w:lang w:eastAsia="fr-FR"/>
              </w:rPr>
              <w:t>Ressources Humaines</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2B5DFB9E" w14:textId="77777777">
            <w:pPr>
              <w:spacing w:line="240" w:lineRule="auto"/>
              <w:rPr>
                <w:rFonts w:eastAsia="Times New Roman"/>
                <w:color w:val="808080"/>
                <w:lang w:eastAsia="fr-FR"/>
              </w:rPr>
            </w:pPr>
            <w:r w:rsidRPr="003A5234">
              <w:rPr>
                <w:rFonts w:eastAsia="Times New Roman"/>
                <w:color w:val="808080"/>
                <w:lang w:eastAsia="fr-FR"/>
              </w:rPr>
              <w:t>Renforcer la disponibilité de RH compétentes dans les zones d'intervention et les structures de coordination au niveau central</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4F8AA6BA" w14:textId="6EF7C497">
            <w:pPr>
              <w:spacing w:line="240" w:lineRule="auto"/>
              <w:jc w:val="right"/>
              <w:rPr>
                <w:rFonts w:eastAsia="Times New Roman"/>
                <w:color w:val="808080"/>
                <w:lang w:eastAsia="fr-FR"/>
              </w:rPr>
            </w:pPr>
            <w:r w:rsidRPr="003A5234">
              <w:rPr>
                <w:rFonts w:eastAsia="Times New Roman"/>
                <w:color w:val="808080"/>
                <w:lang w:eastAsia="fr-FR"/>
              </w:rPr>
              <w:t>150.000</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643028" w14:paraId="152B0E9B" w14:textId="77C52C57">
            <w:pPr>
              <w:spacing w:line="240" w:lineRule="auto"/>
              <w:jc w:val="right"/>
              <w:rPr>
                <w:rFonts w:eastAsia="Times New Roman"/>
                <w:color w:val="808080"/>
                <w:lang w:eastAsia="fr-FR"/>
              </w:rPr>
            </w:pPr>
            <w:r w:rsidRPr="003A5234">
              <w:rPr>
                <w:rFonts w:eastAsia="Times New Roman"/>
                <w:color w:val="808080"/>
                <w:lang w:eastAsia="fr-FR"/>
              </w:rPr>
              <w:t>23</w:t>
            </w:r>
            <w:r w:rsidRPr="003A5234" w:rsidR="009D6104">
              <w:rPr>
                <w:rFonts w:eastAsia="Times New Roman"/>
                <w:color w:val="808080"/>
                <w:lang w:eastAsia="fr-FR"/>
              </w:rPr>
              <w:t>%</w:t>
            </w:r>
          </w:p>
        </w:tc>
      </w:tr>
      <w:tr w:rsidRPr="009D6104" w:rsidR="009D6104" w:rsidTr="72834430" w14:paraId="60612053" w14:textId="77777777">
        <w:trPr>
          <w:trHeight w:val="1590"/>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A106FD" w14:paraId="27D498D2" w14:textId="6C2DE76F">
            <w:pPr>
              <w:spacing w:line="240" w:lineRule="auto"/>
              <w:rPr>
                <w:rFonts w:eastAsia="Times New Roman"/>
                <w:color w:val="808080"/>
                <w:lang w:eastAsia="fr-FR"/>
              </w:rPr>
            </w:pPr>
            <w:r w:rsidRPr="003A5234">
              <w:rPr>
                <w:rFonts w:eastAsia="Times New Roman"/>
                <w:color w:val="808080"/>
                <w:lang w:eastAsia="fr-FR"/>
              </w:rPr>
              <w:t>Gestion financière et P</w:t>
            </w:r>
            <w:r w:rsidRPr="003A5234" w:rsidR="00BE1E60">
              <w:rPr>
                <w:rFonts w:eastAsia="Times New Roman"/>
                <w:color w:val="808080"/>
                <w:lang w:eastAsia="fr-FR"/>
              </w:rPr>
              <w:t>a</w:t>
            </w:r>
            <w:r w:rsidRPr="003A5234">
              <w:rPr>
                <w:rFonts w:eastAsia="Times New Roman"/>
                <w:color w:val="808080"/>
                <w:lang w:eastAsia="fr-FR"/>
              </w:rPr>
              <w:t xml:space="preserve">rticipation </w:t>
            </w:r>
            <w:r w:rsidRPr="003A5234" w:rsidR="003A5234">
              <w:rPr>
                <w:rFonts w:eastAsia="Times New Roman"/>
                <w:color w:val="808080"/>
                <w:lang w:eastAsia="fr-FR"/>
              </w:rPr>
              <w:t>Communautaire</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21F77C1E" w14:textId="77777777">
            <w:pPr>
              <w:spacing w:line="240" w:lineRule="auto"/>
              <w:rPr>
                <w:rFonts w:eastAsia="Times New Roman"/>
                <w:color w:val="808080"/>
                <w:lang w:eastAsia="fr-FR"/>
              </w:rPr>
            </w:pPr>
            <w:r w:rsidRPr="003A5234">
              <w:rPr>
                <w:rFonts w:eastAsia="Times New Roman"/>
                <w:color w:val="808080"/>
                <w:lang w:eastAsia="fr-FR"/>
              </w:rPr>
              <w:t>Renforcer la participation communautaire et la transparence dans la gestion financière et technique des systèmes de santé dans la zone d'intervention</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2E615DD8" w14:textId="323DDA4E">
            <w:pPr>
              <w:spacing w:line="240" w:lineRule="auto"/>
              <w:jc w:val="right"/>
              <w:rPr>
                <w:rFonts w:eastAsia="Times New Roman"/>
                <w:color w:val="808080"/>
                <w:lang w:eastAsia="fr-FR"/>
              </w:rPr>
            </w:pPr>
            <w:r w:rsidRPr="003A5234">
              <w:rPr>
                <w:rFonts w:eastAsia="Times New Roman"/>
                <w:color w:val="808080"/>
                <w:lang w:eastAsia="fr-FR"/>
              </w:rPr>
              <w:t>150.000</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643028" w14:paraId="685A043A" w14:textId="6C0DA3C9">
            <w:pPr>
              <w:spacing w:line="240" w:lineRule="auto"/>
              <w:jc w:val="right"/>
              <w:rPr>
                <w:rFonts w:eastAsia="Times New Roman"/>
                <w:color w:val="808080"/>
                <w:lang w:eastAsia="fr-FR"/>
              </w:rPr>
            </w:pPr>
            <w:r w:rsidRPr="003A5234">
              <w:rPr>
                <w:rFonts w:eastAsia="Times New Roman"/>
                <w:color w:val="808080"/>
                <w:lang w:eastAsia="fr-FR"/>
              </w:rPr>
              <w:t>23</w:t>
            </w:r>
            <w:r w:rsidRPr="003A5234" w:rsidR="009D6104">
              <w:rPr>
                <w:rFonts w:eastAsia="Times New Roman"/>
                <w:color w:val="808080"/>
                <w:lang w:eastAsia="fr-FR"/>
              </w:rPr>
              <w:t>%</w:t>
            </w:r>
          </w:p>
        </w:tc>
      </w:tr>
      <w:tr w:rsidRPr="009D6104" w:rsidR="009D6104" w:rsidTr="72834430" w14:paraId="5FE75EB9" w14:textId="77777777">
        <w:trPr>
          <w:trHeight w:val="1590"/>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BE1E60" w14:paraId="092208A4" w14:textId="38146E82">
            <w:pPr>
              <w:spacing w:line="240" w:lineRule="auto"/>
              <w:rPr>
                <w:rFonts w:eastAsia="Times New Roman"/>
                <w:color w:val="808080"/>
                <w:lang w:eastAsia="fr-FR"/>
              </w:rPr>
            </w:pPr>
            <w:r w:rsidRPr="003A5234">
              <w:rPr>
                <w:rFonts w:eastAsia="Times New Roman"/>
                <w:color w:val="808080"/>
                <w:lang w:eastAsia="fr-FR"/>
              </w:rPr>
              <w:t>Prestation des services</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79B2320C" w14:textId="65A06F70">
            <w:pPr>
              <w:spacing w:line="240" w:lineRule="auto"/>
              <w:rPr>
                <w:rFonts w:eastAsia="Times New Roman"/>
                <w:color w:val="808080"/>
                <w:lang w:eastAsia="fr-FR"/>
              </w:rPr>
            </w:pPr>
            <w:r w:rsidRPr="003A5234">
              <w:rPr>
                <w:rFonts w:eastAsia="Times New Roman"/>
                <w:color w:val="808080"/>
                <w:lang w:eastAsia="fr-FR"/>
              </w:rPr>
              <w:t>Renforcer la couverture des services de santé de base y compris la vaccination, selon l’approche ACD, dans les zones d'intervention</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4436F896" w14:textId="09ECA926">
            <w:pPr>
              <w:spacing w:line="240" w:lineRule="auto"/>
              <w:jc w:val="right"/>
              <w:rPr>
                <w:rFonts w:eastAsia="Times New Roman"/>
                <w:color w:val="808080"/>
                <w:lang w:eastAsia="fr-FR"/>
              </w:rPr>
            </w:pPr>
            <w:r w:rsidRPr="003A5234">
              <w:rPr>
                <w:rFonts w:eastAsia="Times New Roman"/>
                <w:color w:val="808080"/>
                <w:lang w:eastAsia="fr-FR"/>
              </w:rPr>
              <w:t>200.000</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643028" w14:paraId="0BEB60A5" w14:textId="316E6567">
            <w:pPr>
              <w:spacing w:line="240" w:lineRule="auto"/>
              <w:jc w:val="right"/>
              <w:rPr>
                <w:rFonts w:eastAsia="Times New Roman"/>
                <w:color w:val="808080"/>
                <w:lang w:eastAsia="fr-FR"/>
              </w:rPr>
            </w:pPr>
            <w:r w:rsidRPr="003A5234">
              <w:rPr>
                <w:rFonts w:eastAsia="Times New Roman"/>
                <w:color w:val="808080"/>
                <w:lang w:eastAsia="fr-FR"/>
              </w:rPr>
              <w:t>31</w:t>
            </w:r>
            <w:r w:rsidRPr="003A5234" w:rsidR="009D6104">
              <w:rPr>
                <w:rFonts w:eastAsia="Times New Roman"/>
                <w:color w:val="808080"/>
                <w:lang w:eastAsia="fr-FR"/>
              </w:rPr>
              <w:t>%</w:t>
            </w:r>
          </w:p>
        </w:tc>
      </w:tr>
      <w:tr w:rsidRPr="009D6104" w:rsidR="009D6104" w:rsidTr="72834430" w14:paraId="6252E64A" w14:textId="77777777">
        <w:trPr>
          <w:trHeight w:val="330"/>
        </w:trPr>
        <w:tc>
          <w:tcPr>
            <w:tcW w:w="6251" w:type="dxa"/>
            <w:gridSpan w:val="3"/>
            <w:tcBorders>
              <w:top w:val="single" w:color="auto" w:sz="8" w:space="0"/>
              <w:left w:val="single" w:color="auto" w:sz="8" w:space="0"/>
              <w:bottom w:val="single" w:color="auto" w:sz="8" w:space="0"/>
              <w:right w:val="single" w:color="000000" w:themeColor="text1" w:sz="8" w:space="0"/>
            </w:tcBorders>
            <w:shd w:val="clear" w:color="auto" w:fill="E2EFD9" w:themeFill="accent6" w:themeFillTint="33"/>
            <w:tcMar/>
            <w:vAlign w:val="center"/>
            <w:hideMark/>
          </w:tcPr>
          <w:p w:rsidRPr="003A5234" w:rsidR="009D6104" w:rsidP="009D6104" w:rsidRDefault="009D6104" w14:paraId="4A29D5AB" w14:textId="77777777">
            <w:pPr>
              <w:spacing w:line="240" w:lineRule="auto"/>
              <w:jc w:val="right"/>
              <w:rPr>
                <w:rFonts w:eastAsia="Times New Roman"/>
                <w:b/>
                <w:bCs/>
                <w:color w:val="000000"/>
                <w:lang w:eastAsia="fr-FR"/>
              </w:rPr>
            </w:pPr>
            <w:r w:rsidRPr="003A5234">
              <w:rPr>
                <w:rFonts w:eastAsia="Times New Roman"/>
                <w:b/>
                <w:bCs/>
                <w:color w:val="000000"/>
                <w:lang w:eastAsia="fr-FR"/>
              </w:rPr>
              <w:t>2023</w:t>
            </w:r>
          </w:p>
        </w:tc>
        <w:tc>
          <w:tcPr>
            <w:tcW w:w="2113" w:type="dxa"/>
            <w:tcBorders>
              <w:top w:val="nil"/>
              <w:left w:val="nil"/>
              <w:bottom w:val="single" w:color="auto" w:sz="8" w:space="0"/>
              <w:right w:val="single" w:color="auto" w:sz="8" w:space="0"/>
            </w:tcBorders>
            <w:shd w:val="clear" w:color="auto" w:fill="E2EFD9" w:themeFill="accent6" w:themeFillTint="33"/>
            <w:tcMar/>
            <w:vAlign w:val="center"/>
            <w:hideMark/>
          </w:tcPr>
          <w:p w:rsidRPr="003A5234" w:rsidR="009D6104" w:rsidP="009D6104" w:rsidRDefault="009D6104" w14:paraId="41F6E1A1" w14:textId="77777777">
            <w:pPr>
              <w:spacing w:line="240" w:lineRule="auto"/>
              <w:jc w:val="right"/>
              <w:rPr>
                <w:rFonts w:eastAsia="Times New Roman"/>
                <w:b/>
                <w:bCs/>
                <w:color w:val="222222"/>
                <w:lang w:eastAsia="fr-FR"/>
              </w:rPr>
            </w:pPr>
            <w:r w:rsidRPr="003A5234">
              <w:rPr>
                <w:rFonts w:eastAsia="Times New Roman"/>
                <w:b/>
                <w:bCs/>
                <w:color w:val="222222"/>
                <w:lang w:val="en-GB" w:eastAsia="fr-FR"/>
              </w:rPr>
              <w:t> </w:t>
            </w:r>
          </w:p>
        </w:tc>
        <w:tc>
          <w:tcPr>
            <w:tcW w:w="1701" w:type="dxa"/>
            <w:tcBorders>
              <w:top w:val="nil"/>
              <w:left w:val="nil"/>
              <w:bottom w:val="single" w:color="auto" w:sz="8" w:space="0"/>
              <w:right w:val="single" w:color="auto" w:sz="8" w:space="0"/>
            </w:tcBorders>
            <w:shd w:val="clear" w:color="auto" w:fill="E2EFD9" w:themeFill="accent6" w:themeFillTint="33"/>
            <w:tcMar/>
            <w:vAlign w:val="center"/>
            <w:hideMark/>
          </w:tcPr>
          <w:p w:rsidRPr="003A5234" w:rsidR="009D6104" w:rsidP="009D6104" w:rsidRDefault="009D6104" w14:paraId="373AB588" w14:textId="77777777">
            <w:pPr>
              <w:spacing w:line="240" w:lineRule="auto"/>
              <w:jc w:val="right"/>
              <w:rPr>
                <w:rFonts w:eastAsia="Times New Roman"/>
                <w:b/>
                <w:bCs/>
                <w:color w:val="222222"/>
                <w:lang w:eastAsia="fr-FR"/>
              </w:rPr>
            </w:pPr>
            <w:r w:rsidRPr="003A5234">
              <w:rPr>
                <w:rFonts w:eastAsia="Times New Roman"/>
                <w:b/>
                <w:bCs/>
                <w:color w:val="222222"/>
                <w:lang w:val="en-GB" w:eastAsia="fr-FR"/>
              </w:rPr>
              <w:t> </w:t>
            </w:r>
          </w:p>
        </w:tc>
      </w:tr>
      <w:tr w:rsidRPr="009D6104" w:rsidR="009D6104" w:rsidTr="72834430" w14:paraId="6A352BBD" w14:textId="77777777">
        <w:trPr>
          <w:trHeight w:val="1275"/>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BE1E60" w14:paraId="21599474" w14:textId="0829BDF4">
            <w:pPr>
              <w:spacing w:line="240" w:lineRule="auto"/>
              <w:rPr>
                <w:rFonts w:eastAsia="Times New Roman"/>
                <w:color w:val="808080"/>
                <w:lang w:eastAsia="fr-FR"/>
              </w:rPr>
            </w:pPr>
            <w:r w:rsidRPr="003A5234">
              <w:rPr>
                <w:rFonts w:eastAsia="Times New Roman"/>
                <w:color w:val="808080"/>
                <w:lang w:eastAsia="fr-FR"/>
              </w:rPr>
              <w:t>Ressources Humaines</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04A0EB61" w14:textId="77777777">
            <w:pPr>
              <w:spacing w:line="240" w:lineRule="auto"/>
              <w:rPr>
                <w:rFonts w:eastAsia="Times New Roman"/>
                <w:color w:val="808080"/>
                <w:lang w:eastAsia="fr-FR"/>
              </w:rPr>
            </w:pPr>
            <w:r w:rsidRPr="003A5234">
              <w:rPr>
                <w:rFonts w:eastAsia="Times New Roman"/>
                <w:color w:val="808080"/>
                <w:lang w:eastAsia="fr-FR"/>
              </w:rPr>
              <w:t>Renforcer la disponibilité de RH compétentes dans les zones d'intervention et les structures de coordination au niveau central</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2C72956C" w14:textId="5721BCDE">
            <w:pPr>
              <w:spacing w:line="240" w:lineRule="auto"/>
              <w:jc w:val="right"/>
              <w:rPr>
                <w:rFonts w:eastAsia="Times New Roman"/>
                <w:color w:val="808080"/>
                <w:lang w:eastAsia="fr-FR"/>
              </w:rPr>
            </w:pPr>
            <w:r w:rsidRPr="003A5234">
              <w:rPr>
                <w:rFonts w:eastAsia="Times New Roman"/>
                <w:color w:val="808080"/>
                <w:lang w:eastAsia="fr-FR"/>
              </w:rPr>
              <w:t>250.000</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643028" w14:paraId="42DB1804" w14:textId="5620B002">
            <w:pPr>
              <w:spacing w:line="240" w:lineRule="auto"/>
              <w:jc w:val="right"/>
              <w:rPr>
                <w:rFonts w:eastAsia="Times New Roman"/>
                <w:color w:val="808080"/>
                <w:lang w:eastAsia="fr-FR"/>
              </w:rPr>
            </w:pPr>
            <w:r w:rsidRPr="003A5234">
              <w:rPr>
                <w:rFonts w:eastAsia="Times New Roman"/>
                <w:color w:val="808080"/>
                <w:lang w:eastAsia="fr-FR"/>
              </w:rPr>
              <w:t>3</w:t>
            </w:r>
            <w:r w:rsidRPr="003A5234" w:rsidR="009C128C">
              <w:rPr>
                <w:rFonts w:eastAsia="Times New Roman"/>
                <w:color w:val="808080"/>
                <w:lang w:eastAsia="fr-FR"/>
              </w:rPr>
              <w:t>4</w:t>
            </w:r>
            <w:r w:rsidRPr="003A5234" w:rsidR="009D6104">
              <w:rPr>
                <w:rFonts w:eastAsia="Times New Roman"/>
                <w:color w:val="808080"/>
                <w:lang w:eastAsia="fr-FR"/>
              </w:rPr>
              <w:t>%</w:t>
            </w:r>
          </w:p>
        </w:tc>
      </w:tr>
      <w:tr w:rsidRPr="009D6104" w:rsidR="009D6104" w:rsidTr="72834430" w14:paraId="66BFAEE0" w14:textId="77777777">
        <w:trPr>
          <w:trHeight w:val="1590"/>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14DBED25" w14:textId="77777777">
            <w:pPr>
              <w:spacing w:line="240" w:lineRule="auto"/>
              <w:rPr>
                <w:rFonts w:eastAsia="Times New Roman"/>
                <w:color w:val="808080"/>
                <w:lang w:eastAsia="fr-FR"/>
              </w:rPr>
            </w:pPr>
            <w:r w:rsidRPr="003A5234">
              <w:rPr>
                <w:rFonts w:eastAsia="Times New Roman"/>
                <w:color w:val="808080"/>
                <w:lang w:eastAsia="fr-FR"/>
              </w:rPr>
              <w:lastRenderedPageBreak/>
              <w:t>Domaine d'investissement</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5425651B" w14:textId="77777777">
            <w:pPr>
              <w:spacing w:line="240" w:lineRule="auto"/>
              <w:rPr>
                <w:rFonts w:eastAsia="Times New Roman"/>
                <w:color w:val="808080"/>
                <w:lang w:eastAsia="fr-FR"/>
              </w:rPr>
            </w:pPr>
            <w:r w:rsidRPr="003A5234">
              <w:rPr>
                <w:rFonts w:eastAsia="Times New Roman"/>
                <w:color w:val="808080"/>
                <w:lang w:eastAsia="fr-FR"/>
              </w:rPr>
              <w:t>Renforcer la participation communautaire et la transparence dans la gestion financière et technique des systèmes de santé dans la zone d'intervention</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39A48D48" w14:textId="445774FA">
            <w:pPr>
              <w:spacing w:line="240" w:lineRule="auto"/>
              <w:jc w:val="right"/>
              <w:rPr>
                <w:rFonts w:eastAsia="Times New Roman"/>
                <w:color w:val="808080"/>
                <w:lang w:eastAsia="fr-FR"/>
              </w:rPr>
            </w:pPr>
            <w:r w:rsidRPr="003A5234">
              <w:rPr>
                <w:rFonts w:eastAsia="Times New Roman"/>
                <w:color w:val="808080"/>
                <w:lang w:eastAsia="fr-FR"/>
              </w:rPr>
              <w:t>150.000</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C128C" w14:paraId="78CCE024" w14:textId="1B94CFEB">
            <w:pPr>
              <w:spacing w:line="240" w:lineRule="auto"/>
              <w:jc w:val="right"/>
              <w:rPr>
                <w:rFonts w:eastAsia="Times New Roman"/>
                <w:color w:val="808080"/>
                <w:lang w:eastAsia="fr-FR"/>
              </w:rPr>
            </w:pPr>
            <w:r w:rsidRPr="003A5234">
              <w:rPr>
                <w:rFonts w:eastAsia="Times New Roman"/>
                <w:color w:val="808080"/>
                <w:lang w:eastAsia="fr-FR"/>
              </w:rPr>
              <w:t>20</w:t>
            </w:r>
            <w:r w:rsidRPr="003A5234" w:rsidR="00036441">
              <w:rPr>
                <w:rFonts w:eastAsia="Times New Roman"/>
                <w:color w:val="808080"/>
                <w:lang w:eastAsia="fr-FR"/>
              </w:rPr>
              <w:t xml:space="preserve"> </w:t>
            </w:r>
            <w:r w:rsidRPr="003A5234" w:rsidR="009D6104">
              <w:rPr>
                <w:rFonts w:eastAsia="Times New Roman"/>
                <w:color w:val="808080"/>
                <w:lang w:eastAsia="fr-FR"/>
              </w:rPr>
              <w:t>%</w:t>
            </w:r>
          </w:p>
        </w:tc>
      </w:tr>
      <w:tr w:rsidRPr="009D6104" w:rsidR="009D6104" w:rsidTr="72834430" w14:paraId="214653A3" w14:textId="77777777">
        <w:trPr>
          <w:trHeight w:val="1590"/>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BE1E60" w14:paraId="62A4B37F" w14:textId="02E03B56">
            <w:pPr>
              <w:spacing w:line="240" w:lineRule="auto"/>
              <w:rPr>
                <w:rFonts w:eastAsia="Times New Roman"/>
                <w:color w:val="808080"/>
                <w:lang w:eastAsia="fr-FR"/>
              </w:rPr>
            </w:pPr>
            <w:r w:rsidRPr="003A5234">
              <w:rPr>
                <w:rFonts w:eastAsia="Times New Roman"/>
                <w:color w:val="808080"/>
                <w:lang w:eastAsia="fr-FR"/>
              </w:rPr>
              <w:t xml:space="preserve">Gestion financière et Participation </w:t>
            </w:r>
            <w:r w:rsidRPr="003A5234" w:rsidR="003A5234">
              <w:rPr>
                <w:rFonts w:eastAsia="Times New Roman"/>
                <w:color w:val="808080"/>
                <w:lang w:eastAsia="fr-FR"/>
              </w:rPr>
              <w:t>Communautaire</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6386ED18" w14:textId="00A71BBB">
            <w:pPr>
              <w:spacing w:line="240" w:lineRule="auto"/>
              <w:rPr>
                <w:rFonts w:eastAsia="Times New Roman"/>
                <w:color w:val="808080"/>
                <w:lang w:eastAsia="fr-FR"/>
              </w:rPr>
            </w:pPr>
            <w:r w:rsidRPr="003A5234">
              <w:rPr>
                <w:rFonts w:eastAsia="Times New Roman"/>
                <w:color w:val="808080"/>
                <w:lang w:eastAsia="fr-FR"/>
              </w:rPr>
              <w:t>Renforcer la couverture des services de santé de base y compris la vaccination, selon l’approche ACD, dans les zones d'intervention</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4A42A961" w14:textId="6A2F7CF9">
            <w:pPr>
              <w:spacing w:line="240" w:lineRule="auto"/>
              <w:jc w:val="right"/>
              <w:rPr>
                <w:rFonts w:eastAsia="Times New Roman"/>
                <w:color w:val="808080"/>
                <w:lang w:eastAsia="fr-FR"/>
              </w:rPr>
            </w:pPr>
            <w:r w:rsidRPr="003A5234">
              <w:rPr>
                <w:rFonts w:eastAsia="Times New Roman"/>
                <w:color w:val="808080"/>
                <w:lang w:eastAsia="fr-FR"/>
              </w:rPr>
              <w:t>150.000</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C128C" w14:paraId="7A68CB25" w14:textId="48363C7C">
            <w:pPr>
              <w:spacing w:line="240" w:lineRule="auto"/>
              <w:jc w:val="right"/>
              <w:rPr>
                <w:rFonts w:eastAsia="Times New Roman"/>
                <w:color w:val="808080"/>
                <w:lang w:eastAsia="fr-FR"/>
              </w:rPr>
            </w:pPr>
            <w:r w:rsidRPr="003A5234">
              <w:rPr>
                <w:rFonts w:eastAsia="Times New Roman"/>
                <w:color w:val="808080"/>
                <w:lang w:eastAsia="fr-FR"/>
              </w:rPr>
              <w:t>20</w:t>
            </w:r>
            <w:r w:rsidRPr="003A5234" w:rsidR="00036441">
              <w:rPr>
                <w:rFonts w:eastAsia="Times New Roman"/>
                <w:color w:val="808080"/>
                <w:lang w:eastAsia="fr-FR"/>
              </w:rPr>
              <w:t xml:space="preserve"> </w:t>
            </w:r>
            <w:r w:rsidRPr="003A5234" w:rsidR="009D6104">
              <w:rPr>
                <w:rFonts w:eastAsia="Times New Roman"/>
                <w:color w:val="808080"/>
                <w:lang w:eastAsia="fr-FR"/>
              </w:rPr>
              <w:t>%</w:t>
            </w:r>
          </w:p>
        </w:tc>
      </w:tr>
      <w:tr w:rsidRPr="009D6104" w:rsidR="009D6104" w:rsidTr="72834430" w14:paraId="61F94FC5" w14:textId="77777777">
        <w:trPr>
          <w:trHeight w:val="960"/>
        </w:trPr>
        <w:tc>
          <w:tcPr>
            <w:tcW w:w="2373" w:type="dxa"/>
            <w:tcBorders>
              <w:top w:val="nil"/>
              <w:left w:val="single" w:color="auto" w:sz="8" w:space="0"/>
              <w:bottom w:val="single" w:color="auto" w:sz="8" w:space="0"/>
              <w:right w:val="single" w:color="auto" w:sz="8" w:space="0"/>
            </w:tcBorders>
            <w:shd w:val="clear" w:color="auto" w:fill="FFFFFF" w:themeFill="background1"/>
            <w:tcMar/>
            <w:vAlign w:val="center"/>
            <w:hideMark/>
          </w:tcPr>
          <w:p w:rsidRPr="003A5234" w:rsidR="009D6104" w:rsidP="009D6104" w:rsidRDefault="00BE1E60" w14:paraId="22035E2C" w14:textId="6F50F801">
            <w:pPr>
              <w:spacing w:line="240" w:lineRule="auto"/>
              <w:rPr>
                <w:rFonts w:eastAsia="Times New Roman"/>
                <w:color w:val="808080"/>
                <w:lang w:eastAsia="fr-FR"/>
              </w:rPr>
            </w:pPr>
            <w:r w:rsidRPr="003A5234">
              <w:rPr>
                <w:rFonts w:eastAsia="Times New Roman"/>
                <w:color w:val="808080"/>
                <w:lang w:eastAsia="fr-FR"/>
              </w:rPr>
              <w:t>Prestation des services</w:t>
            </w:r>
          </w:p>
        </w:tc>
        <w:tc>
          <w:tcPr>
            <w:tcW w:w="3870"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76407C2C" w14:textId="77777777">
            <w:pPr>
              <w:spacing w:line="240" w:lineRule="auto"/>
              <w:rPr>
                <w:rFonts w:eastAsia="Times New Roman"/>
                <w:color w:val="808080"/>
                <w:lang w:eastAsia="fr-FR"/>
              </w:rPr>
            </w:pPr>
            <w:r w:rsidRPr="003A5234">
              <w:rPr>
                <w:rFonts w:eastAsia="Times New Roman"/>
                <w:color w:val="808080"/>
                <w:lang w:eastAsia="fr-FR"/>
              </w:rPr>
              <w:t>Accroitre l’utilisation des services de santé par la stimulation de la demande.</w:t>
            </w:r>
          </w:p>
        </w:tc>
        <w:tc>
          <w:tcPr>
            <w:tcW w:w="2121" w:type="dxa"/>
            <w:gridSpan w:val="2"/>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D6104" w14:paraId="22E89B0C" w14:textId="673A9FA8">
            <w:pPr>
              <w:spacing w:line="240" w:lineRule="auto"/>
              <w:jc w:val="right"/>
              <w:rPr>
                <w:rFonts w:eastAsia="Times New Roman"/>
                <w:color w:val="808080"/>
                <w:lang w:eastAsia="fr-FR"/>
              </w:rPr>
            </w:pPr>
            <w:r w:rsidRPr="003A5234">
              <w:rPr>
                <w:rFonts w:eastAsia="Times New Roman"/>
                <w:color w:val="808080"/>
                <w:lang w:eastAsia="fr-FR"/>
              </w:rPr>
              <w:t>188</w:t>
            </w:r>
            <w:r w:rsidRPr="003A5234" w:rsidR="00C17731">
              <w:rPr>
                <w:rFonts w:eastAsia="Times New Roman"/>
                <w:color w:val="808080"/>
                <w:lang w:eastAsia="fr-FR"/>
              </w:rPr>
              <w:t>.</w:t>
            </w:r>
            <w:r w:rsidRPr="003A5234">
              <w:rPr>
                <w:rFonts w:eastAsia="Times New Roman"/>
                <w:color w:val="808080"/>
                <w:lang w:eastAsia="fr-FR"/>
              </w:rPr>
              <w:t>104</w:t>
            </w:r>
          </w:p>
        </w:tc>
        <w:tc>
          <w:tcPr>
            <w:tcW w:w="1701" w:type="dxa"/>
            <w:tcBorders>
              <w:top w:val="nil"/>
              <w:left w:val="nil"/>
              <w:bottom w:val="single" w:color="auto" w:sz="8" w:space="0"/>
              <w:right w:val="single" w:color="auto" w:sz="8" w:space="0"/>
            </w:tcBorders>
            <w:shd w:val="clear" w:color="auto" w:fill="FFFFFF" w:themeFill="background1"/>
            <w:tcMar/>
            <w:vAlign w:val="center"/>
            <w:hideMark/>
          </w:tcPr>
          <w:p w:rsidRPr="003A5234" w:rsidR="009D6104" w:rsidP="009D6104" w:rsidRDefault="009C128C" w14:paraId="5090E6F6" w14:textId="1CBEA5CD">
            <w:pPr>
              <w:spacing w:line="240" w:lineRule="auto"/>
              <w:jc w:val="right"/>
              <w:rPr>
                <w:rFonts w:eastAsia="Times New Roman"/>
                <w:color w:val="808080"/>
                <w:lang w:eastAsia="fr-FR"/>
              </w:rPr>
            </w:pPr>
            <w:r w:rsidRPr="003A5234">
              <w:rPr>
                <w:rFonts w:eastAsia="Times New Roman"/>
                <w:color w:val="808080"/>
                <w:lang w:eastAsia="fr-FR"/>
              </w:rPr>
              <w:t>2</w:t>
            </w:r>
            <w:r w:rsidRPr="003A5234" w:rsidR="00036441">
              <w:rPr>
                <w:rFonts w:eastAsia="Times New Roman"/>
                <w:color w:val="808080"/>
                <w:lang w:eastAsia="fr-FR"/>
              </w:rPr>
              <w:t>6</w:t>
            </w:r>
            <w:r w:rsidRPr="003A5234" w:rsidR="009D6104">
              <w:rPr>
                <w:rFonts w:eastAsia="Times New Roman"/>
                <w:color w:val="808080"/>
                <w:lang w:eastAsia="fr-FR"/>
              </w:rPr>
              <w:t>%</w:t>
            </w:r>
          </w:p>
        </w:tc>
      </w:tr>
    </w:tbl>
    <w:tbl>
      <w:tblPr>
        <w:tblStyle w:val="Grilledutableau"/>
        <w:tblpPr w:leftFromText="180" w:rightFromText="180" w:vertAnchor="text" w:horzAnchor="margin" w:tblpXSpec="center" w:tblpY="1"/>
        <w:tblW w:w="1018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185"/>
      </w:tblGrid>
      <w:tr w:rsidR="004025A4" w:rsidTr="004025A4" w14:paraId="44390BC9" w14:textId="77777777">
        <w:tc>
          <w:tcPr>
            <w:tcW w:w="10185" w:type="dxa"/>
            <w:tcBorders>
              <w:bottom w:val="single" w:color="auto" w:sz="4" w:space="0"/>
            </w:tcBorders>
            <w:shd w:val="clear" w:color="auto" w:fill="F2F2F2" w:themeFill="background1" w:themeFillShade="F2"/>
          </w:tcPr>
          <w:p w:rsidRPr="00B614D7" w:rsidR="004025A4" w:rsidP="004025A4" w:rsidRDefault="004025A4" w14:paraId="523E89CB" w14:textId="77777777">
            <w:pPr>
              <w:spacing w:line="300" w:lineRule="exact"/>
              <w:rPr>
                <w:b/>
                <w:bCs/>
                <w:i/>
                <w:iCs/>
                <w:sz w:val="20"/>
                <w:szCs w:val="20"/>
              </w:rPr>
            </w:pPr>
            <w:r>
              <w:rPr>
                <w:b/>
                <w:i/>
                <w:sz w:val="20"/>
              </w:rPr>
              <w:t>2.1</w:t>
            </w:r>
            <w:r>
              <w:rPr>
                <w:b/>
                <w:i/>
                <w:sz w:val="20"/>
              </w:rPr>
              <w:tab/>
            </w:r>
            <w:r>
              <w:rPr>
                <w:b/>
                <w:i/>
                <w:sz w:val="20"/>
              </w:rPr>
              <w:t>Veuillez indiquer et décrire les besoins d'AT actuels de votre système de vaccination, tels qu'harmonisés avec les investissements effectués par le gouvernement, Gavi et les donateurs bilatéraux/multilatéraux. Vos réponses fourniront le contexte et la justification de l'assistance pays ciblée de Gavi. Veuillez noter explicitement la durée du soutien demandé</w:t>
            </w:r>
          </w:p>
        </w:tc>
      </w:tr>
      <w:tr w:rsidR="004025A4" w:rsidTr="004025A4" w14:paraId="63E83459" w14:textId="77777777">
        <w:tc>
          <w:tcPr>
            <w:tcW w:w="10185" w:type="dxa"/>
            <w:tcBorders>
              <w:top w:val="single" w:color="auto" w:sz="4" w:space="0"/>
              <w:left w:val="single" w:color="auto" w:sz="4" w:space="0"/>
              <w:bottom w:val="single" w:color="auto" w:sz="4" w:space="0"/>
              <w:right w:val="single" w:color="auto" w:sz="4" w:space="0"/>
            </w:tcBorders>
          </w:tcPr>
          <w:p w:rsidRPr="003C178D" w:rsidR="004025A4" w:rsidP="00F81DF3" w:rsidRDefault="004025A4" w14:paraId="5B85EC18" w14:textId="77777777">
            <w:pPr>
              <w:spacing w:line="300" w:lineRule="exact"/>
              <w:jc w:val="both"/>
            </w:pPr>
            <w:r w:rsidRPr="003C178D">
              <w:t>Le PEV aura besoin d’une assistance technique pour appuyer la mise en œuvre des activités suivantes :</w:t>
            </w:r>
          </w:p>
          <w:p w:rsidRPr="003C178D" w:rsidR="004025A4" w:rsidP="00F81DF3" w:rsidRDefault="004025A4" w14:paraId="3BBF38E6" w14:textId="77777777">
            <w:pPr>
              <w:spacing w:line="300" w:lineRule="exact"/>
              <w:jc w:val="both"/>
            </w:pPr>
            <w:r w:rsidRPr="003C178D">
              <w:t>1.Elaboration de la stratégie nationale d’immunisation (NIS)</w:t>
            </w:r>
          </w:p>
          <w:p w:rsidRPr="003C178D" w:rsidR="004025A4" w:rsidP="00F81DF3" w:rsidRDefault="004025A4" w14:paraId="5DF5C310" w14:textId="278902F2">
            <w:pPr>
              <w:spacing w:line="300" w:lineRule="exact"/>
              <w:jc w:val="both"/>
            </w:pPr>
            <w:r w:rsidRPr="003C178D">
              <w:t xml:space="preserve">2. </w:t>
            </w:r>
            <w:r>
              <w:t>Mise en œuvre de l’</w:t>
            </w:r>
            <w:r w:rsidR="00F81DF3">
              <w:t>évaluation</w:t>
            </w:r>
            <w:r>
              <w:t xml:space="preserve"> de la GEV, et le plan de son </w:t>
            </w:r>
            <w:r w:rsidR="00F81DF3">
              <w:t>amélioration</w:t>
            </w:r>
            <w:r>
              <w:t xml:space="preserve">, </w:t>
            </w:r>
            <w:r w:rsidR="00F81DF3">
              <w:t>m</w:t>
            </w:r>
            <w:r>
              <w:t>ise en œuvre de la cartographie de température de toutes les chambres froides au moins une fois par an</w:t>
            </w:r>
            <w:r w:rsidR="00F81DF3">
              <w:t>, r</w:t>
            </w:r>
            <w:r>
              <w:t>éactualisation de l’inventaire national des équipements de chaine de froid</w:t>
            </w:r>
          </w:p>
          <w:p w:rsidRPr="003C178D" w:rsidR="004025A4" w:rsidP="00F81DF3" w:rsidRDefault="004025A4" w14:paraId="38491860" w14:textId="75339A98">
            <w:pPr>
              <w:spacing w:line="300" w:lineRule="exact"/>
              <w:jc w:val="both"/>
            </w:pPr>
            <w:r w:rsidRPr="003C178D">
              <w:t>3.Elaboration des textes réglementaires pour la mise en place des structures de pilotage du</w:t>
            </w:r>
            <w:r w:rsidR="00F81DF3">
              <w:t xml:space="preserve"> </w:t>
            </w:r>
            <w:r w:rsidRPr="003C178D">
              <w:t>programme à tous les niveaux (CCIA, NITAG, COGES</w:t>
            </w:r>
            <w:r>
              <w:t>)</w:t>
            </w:r>
          </w:p>
          <w:p w:rsidRPr="003C178D" w:rsidR="004025A4" w:rsidP="00F81DF3" w:rsidRDefault="004025A4" w14:paraId="6738F35D" w14:textId="068C2FE2">
            <w:pPr>
              <w:spacing w:line="300" w:lineRule="exact"/>
              <w:jc w:val="both"/>
            </w:pPr>
            <w:r w:rsidRPr="003C178D">
              <w:t xml:space="preserve">4. </w:t>
            </w:r>
            <w:r>
              <w:t xml:space="preserve">Mise en œuvre de la </w:t>
            </w:r>
            <w:r w:rsidR="00F81DF3">
              <w:t>stratégie</w:t>
            </w:r>
            <w:r>
              <w:t xml:space="preserve"> TIP (</w:t>
            </w:r>
            <w:proofErr w:type="spellStart"/>
            <w:r w:rsidRPr="00F81DF3">
              <w:rPr>
                <w:i/>
                <w:iCs/>
              </w:rPr>
              <w:t>tailoring</w:t>
            </w:r>
            <w:proofErr w:type="spellEnd"/>
            <w:r w:rsidRPr="00F81DF3">
              <w:rPr>
                <w:i/>
                <w:iCs/>
              </w:rPr>
              <w:t xml:space="preserve"> Immunization programs</w:t>
            </w:r>
            <w:r>
              <w:t xml:space="preserve">), dans le cadre de l’atteinte des enfants </w:t>
            </w:r>
            <w:r w:rsidR="00F81DF3">
              <w:t>zéro</w:t>
            </w:r>
            <w:r>
              <w:t xml:space="preserve"> dose, et sous vaccinés, </w:t>
            </w:r>
          </w:p>
          <w:p w:rsidRPr="003C178D" w:rsidR="004025A4" w:rsidP="00F81DF3" w:rsidRDefault="004025A4" w14:paraId="0EDD247C" w14:textId="77777777">
            <w:pPr>
              <w:spacing w:line="300" w:lineRule="exact"/>
              <w:jc w:val="both"/>
            </w:pPr>
            <w:r w:rsidRPr="003C178D">
              <w:t xml:space="preserve">5. </w:t>
            </w:r>
            <w:r>
              <w:t>E</w:t>
            </w:r>
            <w:r w:rsidRPr="003C178D">
              <w:t>laboration/Actualisation de la stratégie de communication pour le PEV</w:t>
            </w:r>
          </w:p>
          <w:p w:rsidRPr="003C178D" w:rsidR="004025A4" w:rsidP="00F81DF3" w:rsidRDefault="004025A4" w14:paraId="54CD5986" w14:textId="2753A234">
            <w:pPr>
              <w:spacing w:line="300" w:lineRule="exact"/>
              <w:jc w:val="both"/>
            </w:pPr>
            <w:r w:rsidRPr="003C178D">
              <w:t xml:space="preserve">6. Mise en œuvre de la stratégie </w:t>
            </w:r>
            <w:r>
              <w:t xml:space="preserve">opérationnelle </w:t>
            </w:r>
            <w:r w:rsidRPr="003C178D">
              <w:t xml:space="preserve">nationale </w:t>
            </w:r>
            <w:r>
              <w:t xml:space="preserve">de la </w:t>
            </w:r>
            <w:r w:rsidR="00F81DF3">
              <w:t xml:space="preserve">vaccination </w:t>
            </w:r>
            <w:r w:rsidRPr="003C178D" w:rsidR="00F81DF3">
              <w:t>au</w:t>
            </w:r>
            <w:r w:rsidRPr="003C178D">
              <w:t xml:space="preserve"> niveau des </w:t>
            </w:r>
            <w:proofErr w:type="spellStart"/>
            <w:r w:rsidRPr="003C178D">
              <w:t>Moughataa</w:t>
            </w:r>
            <w:r w:rsidR="00F81DF3">
              <w:t>s</w:t>
            </w:r>
            <w:proofErr w:type="spellEnd"/>
            <w:r w:rsidR="00F81DF3">
              <w:t xml:space="preserve"> </w:t>
            </w:r>
            <w:r>
              <w:t xml:space="preserve">(districts) </w:t>
            </w:r>
            <w:r w:rsidRPr="003C178D">
              <w:t>prioritaires à travers le déploiement de consultants nationaux au niveau régional/district,</w:t>
            </w:r>
          </w:p>
          <w:p w:rsidRPr="003C178D" w:rsidR="004025A4" w:rsidP="00F81DF3" w:rsidRDefault="004025A4" w14:paraId="64F05786" w14:textId="77777777">
            <w:pPr>
              <w:spacing w:line="300" w:lineRule="exact"/>
              <w:jc w:val="both"/>
            </w:pPr>
            <w:r w:rsidRPr="003C178D">
              <w:t xml:space="preserve">7. Mise en œuvre des stratégies </w:t>
            </w:r>
            <w:r>
              <w:t xml:space="preserve">communautaires et </w:t>
            </w:r>
            <w:r w:rsidRPr="003C178D">
              <w:t>de communication et génération de la demande au niveau des zones prioritaires pour la recherche des enfants ’zéro doses et ‘sous-vaccinés’</w:t>
            </w:r>
            <w:r>
              <w:t xml:space="preserve"> </w:t>
            </w:r>
            <w:r w:rsidRPr="003C178D">
              <w:t xml:space="preserve">à travers les organisations locales et fonctionnelles de la société civile </w:t>
            </w:r>
            <w:r>
              <w:t>(TIP)</w:t>
            </w:r>
          </w:p>
          <w:p w:rsidRPr="003C178D" w:rsidR="004025A4" w:rsidP="00F81DF3" w:rsidRDefault="004025A4" w14:paraId="735A9475" w14:textId="63C889AA">
            <w:pPr>
              <w:spacing w:line="300" w:lineRule="exact"/>
              <w:jc w:val="both"/>
            </w:pPr>
            <w:r w:rsidRPr="003C178D">
              <w:t xml:space="preserve">8. Renforcement des capacités des médecins chefs des </w:t>
            </w:r>
            <w:proofErr w:type="spellStart"/>
            <w:r w:rsidRPr="003C178D">
              <w:t>Moughataa</w:t>
            </w:r>
            <w:r w:rsidR="003A5234">
              <w:t>s</w:t>
            </w:r>
            <w:proofErr w:type="spellEnd"/>
            <w:r w:rsidRPr="003C178D">
              <w:t xml:space="preserve"> (MCM) et des Points focaux régionaux et de </w:t>
            </w:r>
            <w:proofErr w:type="spellStart"/>
            <w:r w:rsidRPr="003C178D">
              <w:t>Moughataa</w:t>
            </w:r>
            <w:proofErr w:type="spellEnd"/>
            <w:r w:rsidRPr="003C178D">
              <w:t xml:space="preserve"> à travers les cours MLM</w:t>
            </w:r>
            <w:r>
              <w:t xml:space="preserve"> (</w:t>
            </w:r>
            <w:proofErr w:type="spellStart"/>
            <w:r>
              <w:t>Mid</w:t>
            </w:r>
            <w:proofErr w:type="spellEnd"/>
            <w:r>
              <w:t xml:space="preserve"> </w:t>
            </w:r>
            <w:proofErr w:type="spellStart"/>
            <w:r>
              <w:t>Level</w:t>
            </w:r>
            <w:proofErr w:type="spellEnd"/>
            <w:r>
              <w:t xml:space="preserve"> Management)</w:t>
            </w:r>
          </w:p>
          <w:p w:rsidRPr="003C178D" w:rsidR="004025A4" w:rsidP="00F81DF3" w:rsidRDefault="004025A4" w14:paraId="74FE321B" w14:textId="77777777">
            <w:pPr>
              <w:spacing w:line="300" w:lineRule="exact"/>
              <w:jc w:val="both"/>
            </w:pPr>
            <w:r w:rsidRPr="003C178D">
              <w:t xml:space="preserve">9. Renforcement des capacités des responsables de la vaccination au niveau des unités de vaccination </w:t>
            </w:r>
            <w:r>
              <w:t>dans les</w:t>
            </w:r>
            <w:r w:rsidRPr="003C178D">
              <w:t xml:space="preserve"> wilayas prioritaires (cours PEV en pratique)</w:t>
            </w:r>
          </w:p>
          <w:p w:rsidRPr="003C178D" w:rsidR="004025A4" w:rsidP="00F81DF3" w:rsidRDefault="004025A4" w14:paraId="56D51B56" w14:textId="5E6B5C14">
            <w:pPr>
              <w:spacing w:line="300" w:lineRule="exact"/>
              <w:jc w:val="both"/>
            </w:pPr>
            <w:r w:rsidRPr="003C178D">
              <w:t xml:space="preserve">10. Mise en œuvre de l’approche </w:t>
            </w:r>
            <w:proofErr w:type="spellStart"/>
            <w:r w:rsidRPr="003C178D">
              <w:t>Tailoring</w:t>
            </w:r>
            <w:proofErr w:type="spellEnd"/>
            <w:r w:rsidRPr="003C178D">
              <w:t xml:space="preserve"> Immunization programs (TIP)</w:t>
            </w:r>
            <w:r>
              <w:t xml:space="preserve"> et l’approche Atteindre chaque enfant révisée (ACD/ACE</w:t>
            </w:r>
            <w:r w:rsidR="00D94759">
              <w:t>)</w:t>
            </w:r>
          </w:p>
          <w:p w:rsidRPr="003C178D" w:rsidR="004025A4" w:rsidP="00F81DF3" w:rsidRDefault="004025A4" w14:paraId="488690E0" w14:textId="77777777">
            <w:pPr>
              <w:spacing w:line="300" w:lineRule="exact"/>
              <w:jc w:val="both"/>
            </w:pPr>
            <w:r w:rsidRPr="003C178D">
              <w:t>11. Elaboration d’un plan de continuité des services de vaccination systématique dans le contexte de la covid19</w:t>
            </w:r>
          </w:p>
          <w:p w:rsidRPr="003C178D" w:rsidR="004025A4" w:rsidP="00F81DF3" w:rsidRDefault="004025A4" w14:paraId="6D70CB05" w14:textId="77777777">
            <w:pPr>
              <w:spacing w:line="300" w:lineRule="exact"/>
              <w:jc w:val="both"/>
            </w:pPr>
            <w:r w:rsidRPr="003C178D">
              <w:t>12. Mise en œuvre du plan d’amélioration des données y compris l’utilisation du DHIS2</w:t>
            </w:r>
          </w:p>
          <w:p w:rsidR="004025A4" w:rsidP="00D94759" w:rsidRDefault="004025A4" w14:paraId="1B29835E" w14:textId="1F561BAC">
            <w:pPr>
              <w:spacing w:line="300" w:lineRule="exact"/>
              <w:jc w:val="both"/>
            </w:pPr>
            <w:r w:rsidRPr="003C178D">
              <w:lastRenderedPageBreak/>
              <w:t xml:space="preserve">13. Suivi des aspects logistiques et formation des chargés de la logistique au niveau central et au niveau des wilayas </w:t>
            </w:r>
            <w:r>
              <w:t xml:space="preserve">(régions) </w:t>
            </w:r>
            <w:r w:rsidRPr="003C178D">
              <w:t xml:space="preserve">et </w:t>
            </w:r>
            <w:proofErr w:type="spellStart"/>
            <w:r w:rsidRPr="003C178D">
              <w:t>Moughataa</w:t>
            </w:r>
            <w:r w:rsidR="003A5234">
              <w:t>s</w:t>
            </w:r>
            <w:proofErr w:type="spellEnd"/>
            <w:r>
              <w:t xml:space="preserve"> (districts)</w:t>
            </w:r>
          </w:p>
          <w:p w:rsidR="004025A4" w:rsidP="00D94759" w:rsidRDefault="004025A4" w14:paraId="22A16D10" w14:textId="15D843EA">
            <w:pPr>
              <w:spacing w:line="300" w:lineRule="exact"/>
              <w:jc w:val="both"/>
            </w:pPr>
            <w:r>
              <w:t>14. Introduction des vaccins RR2, et VPI2, et autres vaccins éventuels</w:t>
            </w:r>
          </w:p>
          <w:p w:rsidR="00D94759" w:rsidP="00D94759" w:rsidRDefault="004025A4" w14:paraId="533FEE7B" w14:textId="60B28BC2">
            <w:pPr>
              <w:spacing w:line="300" w:lineRule="exact"/>
              <w:jc w:val="both"/>
            </w:pPr>
            <w:r>
              <w:t>15. Elaboration et mise en œuvre d’un plan de maintenance du PEV</w:t>
            </w:r>
          </w:p>
          <w:p w:rsidR="00D94759" w:rsidP="004025A4" w:rsidRDefault="00D94759" w14:paraId="3C04AD21" w14:textId="77777777">
            <w:pPr>
              <w:spacing w:line="300" w:lineRule="exact"/>
              <w:rPr>
                <w:rStyle w:val="normaltextrun"/>
                <w:color w:val="000000" w:themeColor="text1"/>
                <w:u w:val="single"/>
                <w:shd w:val="clear" w:color="auto" w:fill="FFFFFF"/>
              </w:rPr>
            </w:pPr>
          </w:p>
          <w:p w:rsidR="004025A4" w:rsidP="004025A4" w:rsidRDefault="004025A4" w14:paraId="3B891ADC" w14:textId="77777777">
            <w:pPr>
              <w:spacing w:line="300" w:lineRule="exact"/>
              <w:rPr>
                <w:rStyle w:val="normaltextrun"/>
                <w:color w:val="000000" w:themeColor="text1"/>
                <w:u w:val="single"/>
                <w:shd w:val="clear" w:color="auto" w:fill="FFFFFF"/>
                <w:lang w:val="fr-CH"/>
              </w:rPr>
            </w:pPr>
            <w:r w:rsidRPr="00036441">
              <w:rPr>
                <w:rStyle w:val="normaltextrun"/>
                <w:color w:val="000000" w:themeColor="text1"/>
                <w:u w:val="single"/>
                <w:shd w:val="clear" w:color="auto" w:fill="FFFFFF"/>
                <w:lang w:val="fr-CH"/>
              </w:rPr>
              <w:t>La présente AT est programmée du 1</w:t>
            </w:r>
            <w:r w:rsidRPr="00036441">
              <w:rPr>
                <w:rStyle w:val="normaltextrun"/>
                <w:color w:val="000000" w:themeColor="text1"/>
                <w:sz w:val="17"/>
                <w:szCs w:val="17"/>
                <w:u w:val="single"/>
                <w:shd w:val="clear" w:color="auto" w:fill="FFFFFF"/>
                <w:vertAlign w:val="superscript"/>
                <w:lang w:val="fr-CH"/>
              </w:rPr>
              <w:t>er</w:t>
            </w:r>
            <w:r w:rsidRPr="00036441">
              <w:rPr>
                <w:rStyle w:val="normaltextrun"/>
                <w:color w:val="000000" w:themeColor="text1"/>
                <w:u w:val="single"/>
                <w:shd w:val="clear" w:color="auto" w:fill="FFFFFF"/>
                <w:lang w:val="fr-CH"/>
              </w:rPr>
              <w:t xml:space="preserve"> Octobre 2022 au 31 Décembre 2023</w:t>
            </w:r>
          </w:p>
          <w:p w:rsidRPr="00E52430" w:rsidR="00D94759" w:rsidP="004025A4" w:rsidRDefault="00D94759" w14:paraId="25E1D655" w14:textId="5EA00267">
            <w:pPr>
              <w:spacing w:line="300" w:lineRule="exact"/>
              <w:rPr>
                <w:color w:val="92D050"/>
              </w:rPr>
            </w:pPr>
          </w:p>
        </w:tc>
      </w:tr>
      <w:tr w:rsidR="004025A4" w:rsidTr="004025A4" w14:paraId="67B019B8" w14:textId="77777777">
        <w:tc>
          <w:tcPr>
            <w:tcW w:w="10185" w:type="dxa"/>
            <w:tcBorders>
              <w:top w:val="single" w:color="auto" w:sz="4" w:space="0"/>
              <w:bottom w:val="single" w:color="auto" w:sz="4" w:space="0"/>
            </w:tcBorders>
            <w:shd w:val="clear" w:color="auto" w:fill="F2F2F2" w:themeFill="background1" w:themeFillShade="F2"/>
          </w:tcPr>
          <w:p w:rsidRPr="00D277C6" w:rsidR="004025A4" w:rsidP="004025A4" w:rsidRDefault="004025A4" w14:paraId="5E2D2062" w14:textId="77777777">
            <w:pPr>
              <w:pStyle w:val="Paragraphedeliste"/>
              <w:numPr>
                <w:ilvl w:val="1"/>
                <w:numId w:val="4"/>
              </w:numPr>
              <w:spacing w:line="300" w:lineRule="exact"/>
              <w:ind w:left="316" w:hanging="316"/>
              <w:rPr>
                <w:b/>
                <w:bCs/>
                <w:i/>
                <w:iCs/>
                <w:sz w:val="20"/>
                <w:szCs w:val="20"/>
              </w:rPr>
            </w:pPr>
            <w:r>
              <w:rPr>
                <w:b/>
                <w:i/>
                <w:sz w:val="20"/>
              </w:rPr>
              <w:lastRenderedPageBreak/>
              <w:t xml:space="preserve">Comment l'assistance pays ciblée requise promeut-elle la mission de Gavi 5.0 </w:t>
            </w:r>
            <w:r w:rsidRPr="00D277C6">
              <w:rPr>
                <w:b/>
                <w:i/>
                <w:sz w:val="20"/>
              </w:rPr>
              <w:t>par contexte national, en insistant sur :</w:t>
            </w:r>
          </w:p>
          <w:p w:rsidRPr="00D277C6" w:rsidR="004025A4" w:rsidP="004025A4" w:rsidRDefault="004025A4" w14:paraId="04403894" w14:textId="77777777">
            <w:pPr>
              <w:pStyle w:val="Paragraphedeliste"/>
              <w:numPr>
                <w:ilvl w:val="0"/>
                <w:numId w:val="5"/>
              </w:numPr>
              <w:spacing w:line="300" w:lineRule="exact"/>
              <w:ind w:left="741"/>
              <w:rPr>
                <w:b/>
                <w:bCs/>
                <w:i/>
                <w:iCs/>
                <w:sz w:val="20"/>
                <w:szCs w:val="20"/>
              </w:rPr>
            </w:pPr>
            <w:r w:rsidRPr="00D277C6">
              <w:rPr>
                <w:b/>
                <w:i/>
                <w:sz w:val="20"/>
              </w:rPr>
              <w:t>l'identification et l'atteinte des enfants et des communautés zéro dose et systématiquement oubliés ;</w:t>
            </w:r>
          </w:p>
          <w:p w:rsidRPr="00D277C6" w:rsidR="004025A4" w:rsidP="004025A4" w:rsidRDefault="004025A4" w14:paraId="2EC74B9A" w14:textId="77777777">
            <w:pPr>
              <w:pStyle w:val="Paragraphedeliste"/>
              <w:numPr>
                <w:ilvl w:val="0"/>
                <w:numId w:val="5"/>
              </w:numPr>
              <w:spacing w:line="300" w:lineRule="exact"/>
              <w:ind w:left="741"/>
              <w:rPr>
                <w:b/>
                <w:bCs/>
                <w:i/>
                <w:iCs/>
                <w:sz w:val="20"/>
                <w:szCs w:val="20"/>
              </w:rPr>
            </w:pPr>
            <w:r w:rsidRPr="00D277C6">
              <w:rPr>
                <w:b/>
                <w:i/>
                <w:sz w:val="20"/>
              </w:rPr>
              <w:t>l'amélioration du compte-rendu des stocks et de la gestion des vaccins au niveau infranational ;</w:t>
            </w:r>
          </w:p>
          <w:p w:rsidRPr="00D277C6" w:rsidR="004025A4" w:rsidP="004025A4" w:rsidRDefault="004025A4" w14:paraId="2EAC1183" w14:textId="77777777">
            <w:pPr>
              <w:pStyle w:val="Paragraphedeliste"/>
              <w:numPr>
                <w:ilvl w:val="0"/>
                <w:numId w:val="5"/>
              </w:numPr>
              <w:spacing w:line="300" w:lineRule="exact"/>
              <w:ind w:left="741"/>
              <w:rPr>
                <w:b/>
                <w:bCs/>
                <w:i/>
                <w:iCs/>
                <w:sz w:val="20"/>
                <w:szCs w:val="20"/>
              </w:rPr>
            </w:pPr>
            <w:r w:rsidRPr="00D277C6">
              <w:rPr>
                <w:b/>
                <w:i/>
                <w:sz w:val="20"/>
              </w:rPr>
              <w:t>le renforcement du leadership, de la gestion et de la coordination, comprenant l'utilisation de données pour la prise de décision ;</w:t>
            </w:r>
          </w:p>
          <w:p w:rsidRPr="00D277C6" w:rsidR="004025A4" w:rsidP="004025A4" w:rsidRDefault="004025A4" w14:paraId="1A289BC5" w14:textId="77777777">
            <w:pPr>
              <w:pStyle w:val="Paragraphedeliste"/>
              <w:numPr>
                <w:ilvl w:val="0"/>
                <w:numId w:val="5"/>
              </w:numPr>
              <w:spacing w:line="300" w:lineRule="exact"/>
              <w:ind w:left="741"/>
              <w:rPr>
                <w:b/>
                <w:i/>
                <w:sz w:val="20"/>
                <w:szCs w:val="20"/>
              </w:rPr>
            </w:pPr>
            <w:r w:rsidRPr="00D277C6">
              <w:rPr>
                <w:b/>
                <w:i/>
                <w:sz w:val="20"/>
              </w:rPr>
              <w:t>l'introduction et le déploiement à large échelle des vaccins ;</w:t>
            </w:r>
          </w:p>
          <w:p w:rsidRPr="00544D9B" w:rsidR="004025A4" w:rsidP="004025A4" w:rsidRDefault="004025A4" w14:paraId="22EC8B7E" w14:textId="77777777">
            <w:pPr>
              <w:pStyle w:val="Paragraphedeliste"/>
              <w:numPr>
                <w:ilvl w:val="0"/>
                <w:numId w:val="5"/>
              </w:numPr>
              <w:spacing w:line="300" w:lineRule="exact"/>
              <w:ind w:left="741"/>
              <w:rPr>
                <w:b/>
                <w:i/>
                <w:sz w:val="20"/>
                <w:szCs w:val="20"/>
              </w:rPr>
            </w:pPr>
            <w:r w:rsidRPr="00D277C6">
              <w:rPr>
                <w:b/>
                <w:i/>
                <w:sz w:val="20"/>
              </w:rPr>
              <w:t>la viabilité des programmes.</w:t>
            </w:r>
          </w:p>
        </w:tc>
      </w:tr>
      <w:tr w:rsidRPr="006A272B" w:rsidR="004025A4" w:rsidTr="004025A4" w14:paraId="719B07FD" w14:textId="77777777">
        <w:tc>
          <w:tcPr>
            <w:tcW w:w="10185" w:type="dxa"/>
            <w:tcBorders>
              <w:top w:val="single" w:color="auto" w:sz="4" w:space="0"/>
              <w:left w:val="single" w:color="auto" w:sz="4" w:space="0"/>
              <w:bottom w:val="single" w:color="auto" w:sz="4" w:space="0"/>
              <w:right w:val="single" w:color="auto" w:sz="4" w:space="0"/>
            </w:tcBorders>
          </w:tcPr>
          <w:p w:rsidRPr="005A679F" w:rsidR="004025A4" w:rsidP="00D94759" w:rsidRDefault="004025A4" w14:paraId="69D7837B" w14:textId="3CA886D1">
            <w:pPr>
              <w:spacing w:line="300" w:lineRule="exact"/>
              <w:jc w:val="both"/>
            </w:pPr>
            <w:r w:rsidRPr="005A679F">
              <w:t xml:space="preserve">L’Assistance Technique de Gavi va venir en soutien à la mise en œuvre du financement RSS en cours de reprogrammation et qui vise à doter la Mauritanie de moyens nécessaires pour atteindre des niveaux de couverture vaccinale satisfaisants tout en visant particulièrement à réduire les poches d’enfants zéro dose. Dans cette optique, l’AT vient renforcer la stratégie globale du PEV qui va de pair avec celle de GAVI et qui permettra de mettre en place un plan concerté de financement via le FPP en 2023. Ainsi : </w:t>
            </w:r>
          </w:p>
          <w:p w:rsidRPr="005A679F" w:rsidR="004025A4" w:rsidP="00D94759" w:rsidRDefault="004025A4" w14:paraId="0BDBE525" w14:textId="1378969A">
            <w:pPr>
              <w:pStyle w:val="Paragraphedeliste"/>
              <w:numPr>
                <w:ilvl w:val="0"/>
                <w:numId w:val="15"/>
              </w:numPr>
              <w:spacing w:line="300" w:lineRule="exact"/>
              <w:jc w:val="both"/>
            </w:pPr>
            <w:r w:rsidRPr="005A679F">
              <w:t>L’AT apportera un appui dans l’élaboration des plans opérationnels de relance du PEV au niveau régional/district, leur mise en œuvre, et suivi évaluation,</w:t>
            </w:r>
          </w:p>
          <w:p w:rsidRPr="005A679F" w:rsidR="004025A4" w:rsidP="00D94759" w:rsidRDefault="004025A4" w14:paraId="0DF27FA8" w14:textId="5C523EEE">
            <w:pPr>
              <w:pStyle w:val="Paragraphedeliste"/>
              <w:numPr>
                <w:ilvl w:val="0"/>
                <w:numId w:val="15"/>
              </w:numPr>
              <w:spacing w:line="300" w:lineRule="exact"/>
              <w:jc w:val="both"/>
            </w:pPr>
            <w:r w:rsidRPr="005A679F">
              <w:t>L’AT va aider à la mise en place d’un réseau communautaire et son suivi et encadrement pour la recherche active et la vaccination des enfants ‘zéro doses’ et sous vaccinés.</w:t>
            </w:r>
          </w:p>
          <w:p w:rsidRPr="005A679F" w:rsidR="004025A4" w:rsidP="00D94759" w:rsidRDefault="004025A4" w14:paraId="2B1800E3" w14:textId="2496101C">
            <w:pPr>
              <w:pStyle w:val="Paragraphedeliste"/>
              <w:numPr>
                <w:ilvl w:val="0"/>
                <w:numId w:val="15"/>
              </w:numPr>
              <w:spacing w:line="300" w:lineRule="exact"/>
              <w:jc w:val="both"/>
            </w:pPr>
            <w:r w:rsidRPr="005A679F">
              <w:t xml:space="preserve">L’AT va appuyer la formation et le suivi des personnels au niveau opérationnel en charge des aspects logistiques, en mettant l’emphase sur l’utilisation de l’outil SMT. Elle assurera avec le PEV le suivi des approvisionnements en vaccins des wilayas et des </w:t>
            </w:r>
            <w:proofErr w:type="spellStart"/>
            <w:r w:rsidRPr="005A679F">
              <w:t>Moughataa</w:t>
            </w:r>
            <w:proofErr w:type="spellEnd"/>
            <w:r w:rsidRPr="005A679F">
              <w:t xml:space="preserve">. </w:t>
            </w:r>
          </w:p>
          <w:p w:rsidRPr="005A679F" w:rsidR="004025A4" w:rsidP="00D94759" w:rsidRDefault="004025A4" w14:paraId="52E6C86D" w14:textId="17C837DF">
            <w:pPr>
              <w:pStyle w:val="Paragraphedeliste"/>
              <w:numPr>
                <w:ilvl w:val="0"/>
                <w:numId w:val="15"/>
              </w:numPr>
              <w:spacing w:line="300" w:lineRule="exact"/>
              <w:jc w:val="both"/>
            </w:pPr>
            <w:r w:rsidRPr="005A679F">
              <w:t>Elle contribuera au suivi des introductions de nouveaux vaccins et à l’évaluation de ces introductions.</w:t>
            </w:r>
          </w:p>
          <w:p w:rsidRPr="005A679F" w:rsidR="00D94759" w:rsidP="00D94759" w:rsidRDefault="004025A4" w14:paraId="3B068A53" w14:textId="77777777">
            <w:pPr>
              <w:pStyle w:val="Paragraphedeliste"/>
              <w:numPr>
                <w:ilvl w:val="0"/>
                <w:numId w:val="15"/>
              </w:numPr>
              <w:spacing w:line="300" w:lineRule="exact"/>
              <w:jc w:val="both"/>
            </w:pPr>
            <w:r w:rsidRPr="005A679F">
              <w:t xml:space="preserve">L’AT va appuyer la mise en place des organes de leadership et de coordination comme le CCIA et le NITAG en proposant des textes réglementaires et des </w:t>
            </w:r>
            <w:proofErr w:type="spellStart"/>
            <w:r w:rsidRPr="005A679F">
              <w:t>TdR</w:t>
            </w:r>
            <w:proofErr w:type="spellEnd"/>
          </w:p>
          <w:p w:rsidRPr="005A679F" w:rsidR="004025A4" w:rsidP="00D94759" w:rsidRDefault="004025A4" w14:paraId="7AA3CDC5" w14:textId="1CA32D1E">
            <w:pPr>
              <w:pStyle w:val="Paragraphedeliste"/>
              <w:numPr>
                <w:ilvl w:val="0"/>
                <w:numId w:val="15"/>
              </w:numPr>
              <w:spacing w:line="300" w:lineRule="exact"/>
              <w:jc w:val="both"/>
            </w:pPr>
            <w:r w:rsidRPr="005A679F">
              <w:t>L’AT contribuera à la formation en cours MLM des MCM pour outiller ces responsables à bien gérer le PEV au niveau intermédiaire</w:t>
            </w:r>
          </w:p>
          <w:p w:rsidRPr="005A679F" w:rsidR="004025A4" w:rsidP="004025A4" w:rsidRDefault="004025A4" w14:paraId="31F3F0E8" w14:textId="2BA0C76F">
            <w:pPr>
              <w:spacing w:line="300" w:lineRule="exact"/>
            </w:pPr>
            <w:r w:rsidRPr="005A679F">
              <w:t xml:space="preserve">Cette AT sera localisée au niveau central, au niveau des </w:t>
            </w:r>
            <w:r w:rsidRPr="005A679F" w:rsidR="00D94759">
              <w:t>régions</w:t>
            </w:r>
            <w:r w:rsidRPr="005A679F">
              <w:t>/wilayas et des districts/</w:t>
            </w:r>
            <w:proofErr w:type="spellStart"/>
            <w:r w:rsidRPr="005A679F">
              <w:t>moughataas</w:t>
            </w:r>
            <w:proofErr w:type="spellEnd"/>
            <w:r w:rsidRPr="005A679F">
              <w:t xml:space="preserve">, à travers l’appui des consultants recrutés pour le niveau </w:t>
            </w:r>
            <w:r w:rsidRPr="005A679F" w:rsidR="00D94759">
              <w:t>opérationnel</w:t>
            </w:r>
          </w:p>
          <w:p w:rsidRPr="00E52430" w:rsidR="00D94759" w:rsidP="004025A4" w:rsidRDefault="00D94759" w14:paraId="7919E60A" w14:textId="4C2491A3">
            <w:pPr>
              <w:spacing w:line="300" w:lineRule="exact"/>
            </w:pPr>
          </w:p>
        </w:tc>
      </w:tr>
      <w:tr w:rsidR="004025A4" w:rsidTr="004025A4" w14:paraId="6902045E" w14:textId="77777777">
        <w:tc>
          <w:tcPr>
            <w:tcW w:w="10185" w:type="dxa"/>
            <w:tcBorders>
              <w:top w:val="single" w:color="auto" w:sz="4" w:space="0"/>
              <w:bottom w:val="single" w:color="auto" w:sz="4" w:space="0"/>
            </w:tcBorders>
            <w:shd w:val="clear" w:color="auto" w:fill="F2F2F2" w:themeFill="background1" w:themeFillShade="F2"/>
          </w:tcPr>
          <w:p w:rsidRPr="00CF3BC4" w:rsidR="004025A4" w:rsidP="004025A4" w:rsidRDefault="004025A4" w14:paraId="638E6693" w14:textId="77777777">
            <w:pPr>
              <w:pStyle w:val="Paragraphedeliste"/>
              <w:spacing w:line="300" w:lineRule="exact"/>
              <w:ind w:left="0"/>
              <w:rPr>
                <w:b/>
                <w:bCs/>
                <w:i/>
                <w:iCs/>
                <w:color w:val="000000" w:themeColor="text1"/>
                <w:sz w:val="20"/>
                <w:szCs w:val="20"/>
              </w:rPr>
            </w:pPr>
            <w:r>
              <w:rPr>
                <w:b/>
                <w:i/>
                <w:sz w:val="20"/>
              </w:rPr>
              <w:t>2.3</w:t>
            </w:r>
            <w:r>
              <w:rPr>
                <w:b/>
                <w:i/>
                <w:sz w:val="20"/>
              </w:rPr>
              <w:tab/>
            </w:r>
            <w:r>
              <w:rPr>
                <w:b/>
                <w:i/>
                <w:sz w:val="20"/>
              </w:rPr>
              <w:t xml:space="preserve">Comment utiliserez-vous les nouvelles introductions de vaccins et les campagnes prévues pendant cette période pour renforcer encore les domaines indiqués à la question 2.2? </w:t>
            </w:r>
          </w:p>
        </w:tc>
      </w:tr>
      <w:tr w:rsidRPr="006A272B" w:rsidR="004025A4" w:rsidTr="004025A4" w14:paraId="2049B0FE" w14:textId="77777777">
        <w:tc>
          <w:tcPr>
            <w:tcW w:w="10185" w:type="dxa"/>
            <w:tcBorders>
              <w:top w:val="single" w:color="auto" w:sz="4" w:space="0"/>
              <w:left w:val="single" w:color="auto" w:sz="4" w:space="0"/>
              <w:bottom w:val="single" w:color="auto" w:sz="4" w:space="0"/>
              <w:right w:val="single" w:color="auto" w:sz="4" w:space="0"/>
            </w:tcBorders>
          </w:tcPr>
          <w:p w:rsidR="004025A4" w:rsidP="005A679F" w:rsidRDefault="004025A4" w14:paraId="0D6E8ABB" w14:textId="536A17D1">
            <w:pPr>
              <w:spacing w:line="300" w:lineRule="exact"/>
              <w:jc w:val="both"/>
            </w:pPr>
            <w:r>
              <w:t>Durant cette période il est prévu</w:t>
            </w:r>
            <w:r w:rsidR="005A679F">
              <w:t xml:space="preserve"> </w:t>
            </w:r>
            <w:r>
              <w:t xml:space="preserve">l’introduction de RR2 et VPI2. </w:t>
            </w:r>
            <w:r>
              <w:br/>
            </w:r>
            <w:r>
              <w:t xml:space="preserve">Ces introductions seront l’occasion d’un renforcement des compétences des personnels, de l’amélioration de la gestion logistique des vaccins et équipements de la chaine de froid et se feront grâce au soutien technique des partenaires du PEV, notamment OMS et UNICEF ainsi que les partenaires et </w:t>
            </w:r>
            <w:proofErr w:type="spellStart"/>
            <w:r>
              <w:t>OSCs</w:t>
            </w:r>
            <w:proofErr w:type="spellEnd"/>
            <w:r>
              <w:t xml:space="preserve"> sur le terrain. Le travail sur les </w:t>
            </w:r>
            <w:r w:rsidR="005A679F">
              <w:t>Zéro</w:t>
            </w:r>
            <w:r>
              <w:t xml:space="preserve"> dose qui est prévu avec l’AT permettra de </w:t>
            </w:r>
            <w:r>
              <w:lastRenderedPageBreak/>
              <w:t xml:space="preserve">maximiser l’étendue et l’impact de ces </w:t>
            </w:r>
            <w:r w:rsidR="005A679F">
              <w:t>introductions. Il</w:t>
            </w:r>
            <w:r>
              <w:t xml:space="preserve"> permettra également de toucher le maximum d’enfants pour </w:t>
            </w:r>
            <w:r w:rsidR="005A679F">
              <w:t>améliorer</w:t>
            </w:r>
            <w:r>
              <w:t xml:space="preserve"> l’équité,</w:t>
            </w:r>
            <w:r w:rsidR="005A679F">
              <w:t xml:space="preserve"> </w:t>
            </w:r>
            <w:r>
              <w:t xml:space="preserve">et </w:t>
            </w:r>
            <w:r w:rsidR="00E065DC">
              <w:t xml:space="preserve">permettra le rattrapage des </w:t>
            </w:r>
            <w:r>
              <w:t>enfants non touchés par les premières doses RR et VPI.</w:t>
            </w:r>
          </w:p>
          <w:p w:rsidR="004025A4" w:rsidP="004025A4" w:rsidRDefault="004025A4" w14:paraId="5CCA2E96" w14:textId="77777777">
            <w:pPr>
              <w:spacing w:line="300" w:lineRule="exact"/>
            </w:pPr>
            <w:r>
              <w:t xml:space="preserve">Elle apportera également la consolidation des acquis de la vaccination au-delà de la </w:t>
            </w:r>
            <w:r w:rsidR="00E065DC">
              <w:t>première</w:t>
            </w:r>
            <w:r>
              <w:t xml:space="preserve"> année de vie et de la vaccination de l’adulte (RR2, VPI2 ,HPV, vaccination anti-covid-19 …)</w:t>
            </w:r>
          </w:p>
          <w:p w:rsidRPr="006615A7" w:rsidR="00E065DC" w:rsidP="004025A4" w:rsidRDefault="00E065DC" w14:paraId="64CCCFB8" w14:textId="7792FB93">
            <w:pPr>
              <w:spacing w:line="300" w:lineRule="exact"/>
            </w:pPr>
          </w:p>
        </w:tc>
      </w:tr>
      <w:tr w:rsidR="004025A4" w:rsidTr="004025A4" w14:paraId="477770DB" w14:textId="77777777">
        <w:tc>
          <w:tcPr>
            <w:tcW w:w="10185" w:type="dxa"/>
            <w:tcBorders>
              <w:top w:val="single" w:color="auto" w:sz="4" w:space="0"/>
              <w:bottom w:val="single" w:color="auto" w:sz="4" w:space="0"/>
            </w:tcBorders>
            <w:shd w:val="clear" w:color="auto" w:fill="F2F2F2" w:themeFill="background1" w:themeFillShade="F2"/>
          </w:tcPr>
          <w:p w:rsidR="004025A4" w:rsidP="004025A4" w:rsidRDefault="004025A4" w14:paraId="4617D05F" w14:textId="77777777">
            <w:pPr>
              <w:spacing w:line="300" w:lineRule="exact"/>
              <w:rPr>
                <w:b/>
                <w:i/>
                <w:iCs/>
                <w:color w:val="000000" w:themeColor="text1"/>
                <w:sz w:val="20"/>
                <w:szCs w:val="20"/>
              </w:rPr>
            </w:pPr>
            <w:r>
              <w:rPr>
                <w:b/>
                <w:i/>
                <w:color w:val="000000" w:themeColor="text1"/>
                <w:sz w:val="20"/>
              </w:rPr>
              <w:lastRenderedPageBreak/>
              <w:t>2.4</w:t>
            </w:r>
            <w:r>
              <w:rPr>
                <w:b/>
                <w:i/>
                <w:color w:val="000000" w:themeColor="text1"/>
                <w:sz w:val="20"/>
              </w:rPr>
              <w:tab/>
            </w:r>
            <w:r>
              <w:rPr>
                <w:b/>
                <w:i/>
                <w:color w:val="000000" w:themeColor="text1"/>
                <w:sz w:val="20"/>
              </w:rPr>
              <w:t xml:space="preserve">Décrivez comment l'assistance pays ciblée aidera à rétablir les services de vaccination systématique et toutes les autres activités de redressement liées à la Covid-19. </w:t>
            </w:r>
          </w:p>
          <w:p w:rsidRPr="0041751A" w:rsidR="004025A4" w:rsidP="004025A4" w:rsidRDefault="004025A4" w14:paraId="1AA1AD06" w14:textId="77777777">
            <w:pPr>
              <w:spacing w:line="300" w:lineRule="exact"/>
              <w:rPr>
                <w:b/>
                <w:bCs/>
                <w:i/>
                <w:iCs/>
                <w:color w:val="70AD47" w:themeColor="accent6"/>
                <w:sz w:val="20"/>
                <w:szCs w:val="20"/>
              </w:rPr>
            </w:pPr>
            <w:r>
              <w:rPr>
                <w:i/>
                <w:sz w:val="20"/>
              </w:rPr>
              <w:t xml:space="preserve">Veuillez indiquer toute réallocation liée à la Covid-19 qui pourrait avoir eu lieu pour les fonds d'assistance pays ciblée précédents (le cas échéant); cette réallocation reste-t-elle pertinente pour cette proposition? </w:t>
            </w:r>
          </w:p>
        </w:tc>
      </w:tr>
      <w:tr w:rsidR="004025A4" w:rsidTr="004025A4" w14:paraId="51E650FF" w14:textId="77777777">
        <w:tc>
          <w:tcPr>
            <w:tcW w:w="10185" w:type="dxa"/>
            <w:tcBorders>
              <w:top w:val="single" w:color="auto" w:sz="4" w:space="0"/>
              <w:left w:val="single" w:color="auto" w:sz="4" w:space="0"/>
              <w:bottom w:val="single" w:color="auto" w:sz="4" w:space="0"/>
              <w:right w:val="single" w:color="auto" w:sz="4" w:space="0"/>
            </w:tcBorders>
          </w:tcPr>
          <w:p w:rsidR="004025A4" w:rsidP="00E065DC" w:rsidRDefault="004025A4" w14:paraId="4C316BCE" w14:textId="7AB294FF">
            <w:pPr>
              <w:spacing w:line="300" w:lineRule="exact"/>
              <w:jc w:val="both"/>
            </w:pPr>
            <w:r>
              <w:t>La Mauritanie a été fortement impactée par la pandémie covid19 et les services de vaccination de routine ont souffert d’une baisse notable de fréquentation qui s’est traduite par une baisse des couvertures au niveau national. Cela étant, le pays a été en mesure dès 2021 de lancer des campagnes polio et VPH et d’introduire la 2</w:t>
            </w:r>
            <w:r w:rsidRPr="00723DA7">
              <w:rPr>
                <w:vertAlign w:val="superscript"/>
              </w:rPr>
              <w:t>ème</w:t>
            </w:r>
            <w:r>
              <w:t xml:space="preserve"> dose VPH avec un grand succès. Les campagnes de masse de vaccination contre la covid 19 se font concomitamment avec son introduction progressive dans les activités de vaccination systématique de routine et ce dans l’ensemble du pays. L’AT travaillera donc dans ce cadre pour renforcer les liens entre la vaccination de routine et la vaccination contre la covid 19. L’AT tirera les leçons apprises de l’introduction du vaccin ant</w:t>
            </w:r>
            <w:r w:rsidR="00E065DC">
              <w:t>i</w:t>
            </w:r>
            <w:r>
              <w:t xml:space="preserve"> </w:t>
            </w:r>
            <w:r w:rsidR="00E27F2F">
              <w:t>VPH</w:t>
            </w:r>
            <w:r>
              <w:t xml:space="preserve"> pour mieux assurer le succès de l’intégration dans la routine de la vaccination contre la covid19.</w:t>
            </w:r>
          </w:p>
          <w:p w:rsidR="004025A4" w:rsidP="00E065DC" w:rsidRDefault="004025A4" w14:paraId="1F01AD68" w14:textId="05A4DEEF">
            <w:pPr>
              <w:spacing w:line="300" w:lineRule="exact"/>
              <w:jc w:val="both"/>
            </w:pPr>
            <w:r w:rsidRPr="00723DA7">
              <w:t xml:space="preserve">L’AT va aider à l’élaboration d’un plan de continuité des services et elle </w:t>
            </w:r>
            <w:r w:rsidRPr="00723DA7" w:rsidR="00E065DC">
              <w:t>appuiera</w:t>
            </w:r>
            <w:r w:rsidRPr="00723DA7">
              <w:t xml:space="preserve"> également la mise en œuvre des activités de riposte contre la covid19. </w:t>
            </w:r>
            <w:r>
              <w:t>Puisque l’AT est liée au RSS qui vise à maximiser la vaccination de routine, elle participera activement à maintenir, restaurer et renforcer la routine avec l’ensemble des points indiqués en 2.1</w:t>
            </w:r>
          </w:p>
          <w:p w:rsidRPr="00723DA7" w:rsidR="004025A4" w:rsidP="00E065DC" w:rsidRDefault="004025A4" w14:paraId="1E663404" w14:textId="7DB3B29E">
            <w:pPr>
              <w:spacing w:line="300" w:lineRule="exact"/>
              <w:jc w:val="both"/>
            </w:pPr>
            <w:r>
              <w:t xml:space="preserve">Enfin, l’AT sera autant que nécessaire délocalisée au niveau des régions et districts cibles, ce qui permettra d’avoir un impact </w:t>
            </w:r>
            <w:r w:rsidR="00E27F2F">
              <w:t>significatif sur</w:t>
            </w:r>
            <w:r>
              <w:t xml:space="preserve"> des populations </w:t>
            </w:r>
            <w:r w:rsidR="00E27F2F">
              <w:t>concernées</w:t>
            </w:r>
            <w:r>
              <w:t xml:space="preserve">. </w:t>
            </w:r>
          </w:p>
        </w:tc>
      </w:tr>
      <w:tr w:rsidR="004025A4" w:rsidTr="004025A4" w14:paraId="1AFBB6F3" w14:textId="77777777">
        <w:tc>
          <w:tcPr>
            <w:tcW w:w="10185" w:type="dxa"/>
            <w:tcBorders>
              <w:top w:val="single" w:color="auto" w:sz="4" w:space="0"/>
              <w:bottom w:val="single" w:color="auto" w:sz="4" w:space="0"/>
            </w:tcBorders>
            <w:shd w:val="clear" w:color="auto" w:fill="F2F2F2" w:themeFill="background1" w:themeFillShade="F2"/>
          </w:tcPr>
          <w:p w:rsidRPr="00777960" w:rsidR="004025A4" w:rsidP="004025A4" w:rsidRDefault="004025A4" w14:paraId="0BBE34C9" w14:textId="77777777">
            <w:pPr>
              <w:spacing w:line="300" w:lineRule="exact"/>
              <w:rPr>
                <w:bCs/>
                <w:i/>
                <w:iCs/>
                <w:sz w:val="20"/>
                <w:szCs w:val="20"/>
              </w:rPr>
            </w:pPr>
            <w:r>
              <w:rPr>
                <w:b/>
                <w:i/>
                <w:color w:val="000000" w:themeColor="text1"/>
                <w:sz w:val="20"/>
              </w:rPr>
              <w:t>2.5</w:t>
            </w:r>
            <w:r>
              <w:rPr>
                <w:b/>
                <w:i/>
                <w:color w:val="000000" w:themeColor="text1"/>
                <w:sz w:val="20"/>
              </w:rPr>
              <w:tab/>
            </w:r>
            <w:r w:rsidRPr="004C140F">
              <w:rPr>
                <w:b/>
                <w:i/>
                <w:color w:val="000000" w:themeColor="text1"/>
                <w:sz w:val="20"/>
              </w:rPr>
              <w:t>Décrivez</w:t>
            </w:r>
            <w:r>
              <w:rPr>
                <w:b/>
                <w:i/>
                <w:color w:val="000000" w:themeColor="text1"/>
                <w:sz w:val="20"/>
              </w:rPr>
              <w:t xml:space="preserve"> comment l'assistance pays ciblée identifiera ou surmontera les obstacles </w:t>
            </w:r>
            <w:r w:rsidRPr="003D06ED">
              <w:rPr>
                <w:b/>
                <w:i/>
                <w:color w:val="000000" w:themeColor="text1"/>
                <w:sz w:val="20"/>
              </w:rPr>
              <w:t xml:space="preserve">liés au genre </w:t>
            </w:r>
            <w:r>
              <w:rPr>
                <w:b/>
                <w:i/>
                <w:color w:val="000000" w:themeColor="text1"/>
                <w:sz w:val="20"/>
              </w:rPr>
              <w:t>déjà connus ou d'autres obstacles pour les activités de vaccination. Veuillez indiquer comment chaque partenaire peut aider à y faire face.</w:t>
            </w:r>
          </w:p>
        </w:tc>
      </w:tr>
      <w:tr w:rsidR="004025A4" w:rsidTr="004025A4" w14:paraId="280326B4" w14:textId="77777777">
        <w:trPr>
          <w:trHeight w:val="103"/>
        </w:trPr>
        <w:tc>
          <w:tcPr>
            <w:tcW w:w="10185" w:type="dxa"/>
            <w:tcBorders>
              <w:top w:val="single" w:color="auto" w:sz="4" w:space="0"/>
              <w:left w:val="single" w:color="auto" w:sz="4" w:space="0"/>
              <w:bottom w:val="single" w:color="auto" w:sz="4" w:space="0"/>
              <w:right w:val="single" w:color="auto" w:sz="4" w:space="0"/>
            </w:tcBorders>
            <w:shd w:val="clear" w:color="auto" w:fill="auto"/>
          </w:tcPr>
          <w:p w:rsidRPr="00E27F2F" w:rsidR="004025A4" w:rsidP="00E27F2F" w:rsidRDefault="004025A4" w14:paraId="45A63708" w14:textId="4D90AF3D">
            <w:pPr>
              <w:spacing w:line="300" w:lineRule="exact"/>
              <w:jc w:val="both"/>
            </w:pPr>
            <w:r w:rsidRPr="00E27F2F">
              <w:t xml:space="preserve">L’assistance technique </w:t>
            </w:r>
            <w:r w:rsidRPr="00E27F2F" w:rsidR="00E27F2F">
              <w:t>appuiera</w:t>
            </w:r>
            <w:r w:rsidRPr="00E27F2F">
              <w:t xml:space="preserve"> la recherche des enfants </w:t>
            </w:r>
            <w:r w:rsidRPr="00E27F2F" w:rsidR="00E27F2F">
              <w:t>zéro</w:t>
            </w:r>
            <w:r w:rsidRPr="00E27F2F">
              <w:t xml:space="preserve"> dose et sous vaccinés afin d’assurer l’équité. L’AT assurera l’analyse des données de vaccination par sexe et identifiera les mesures idoines afin de rendre accessibles les vaccins à tous. </w:t>
            </w:r>
          </w:p>
          <w:p w:rsidRPr="00E27F2F" w:rsidR="004025A4" w:rsidP="004025A4" w:rsidRDefault="004025A4" w14:paraId="149A14F0" w14:textId="77777777">
            <w:pPr>
              <w:spacing w:line="300" w:lineRule="exact"/>
            </w:pPr>
          </w:p>
          <w:p w:rsidRPr="00E27F2F" w:rsidR="004025A4" w:rsidP="00E27F2F" w:rsidRDefault="004025A4" w14:paraId="7621E54B" w14:textId="0B7A5C39">
            <w:pPr>
              <w:spacing w:line="300" w:lineRule="exact"/>
              <w:jc w:val="both"/>
            </w:pPr>
            <w:r w:rsidRPr="00E27F2F">
              <w:t xml:space="preserve">Pour surmonter les obstacles, et atteindre les enfants </w:t>
            </w:r>
            <w:r w:rsidRPr="00E27F2F" w:rsidR="00E27F2F">
              <w:t>zéro</w:t>
            </w:r>
            <w:r w:rsidRPr="00E27F2F">
              <w:t xml:space="preserve"> dose et sous vaccinés, l’AT utilisera des </w:t>
            </w:r>
            <w:r w:rsidRPr="00E27F2F" w:rsidR="00E27F2F">
              <w:t>stratégies</w:t>
            </w:r>
            <w:r w:rsidRPr="00E27F2F">
              <w:t xml:space="preserve"> basées sur les </w:t>
            </w:r>
            <w:r w:rsidRPr="00E27F2F" w:rsidR="00E27F2F">
              <w:t>évidences</w:t>
            </w:r>
            <w:r w:rsidRPr="00E27F2F">
              <w:t>, et adaptées au contexte local :</w:t>
            </w:r>
          </w:p>
          <w:p w:rsidRPr="00E27F2F" w:rsidR="004025A4" w:rsidP="00E27F2F" w:rsidRDefault="004025A4" w14:paraId="0D667199" w14:textId="77777777">
            <w:pPr>
              <w:spacing w:line="300" w:lineRule="exact"/>
              <w:jc w:val="both"/>
            </w:pPr>
            <w:r w:rsidRPr="00E27F2F">
              <w:t>Plus spécifiquement, l’approche TIP (</w:t>
            </w:r>
            <w:proofErr w:type="spellStart"/>
            <w:r w:rsidRPr="00E27F2F">
              <w:rPr>
                <w:i/>
                <w:iCs/>
              </w:rPr>
              <w:t>tailoring</w:t>
            </w:r>
            <w:proofErr w:type="spellEnd"/>
            <w:r w:rsidRPr="00E27F2F">
              <w:rPr>
                <w:i/>
                <w:iCs/>
              </w:rPr>
              <w:t xml:space="preserve"> </w:t>
            </w:r>
            <w:proofErr w:type="spellStart"/>
            <w:r w:rsidRPr="00E27F2F">
              <w:rPr>
                <w:i/>
                <w:iCs/>
              </w:rPr>
              <w:t>immunization</w:t>
            </w:r>
            <w:proofErr w:type="spellEnd"/>
            <w:r w:rsidRPr="00E27F2F">
              <w:rPr>
                <w:i/>
                <w:iCs/>
              </w:rPr>
              <w:t xml:space="preserve"> program</w:t>
            </w:r>
            <w:r w:rsidRPr="00E27F2F">
              <w:t>) à travers un paquet d’interventions/activités :</w:t>
            </w:r>
          </w:p>
          <w:p w:rsidRPr="00E27F2F" w:rsidR="004025A4" w:rsidP="004025A4" w:rsidRDefault="004025A4" w14:paraId="2E20BE18" w14:textId="77777777">
            <w:pPr>
              <w:pStyle w:val="Paragraphedeliste"/>
              <w:numPr>
                <w:ilvl w:val="0"/>
                <w:numId w:val="10"/>
              </w:numPr>
              <w:spacing w:after="160" w:line="259" w:lineRule="auto"/>
              <w:ind w:left="0"/>
            </w:pPr>
            <w:r w:rsidRPr="00E27F2F">
              <w:rPr>
                <w:b/>
                <w:bCs/>
              </w:rPr>
              <w:t>Promotion de la demande</w:t>
            </w:r>
          </w:p>
          <w:p w:rsidRPr="00E27F2F" w:rsidR="004025A4" w:rsidP="004025A4" w:rsidRDefault="004025A4" w14:paraId="39296B72" w14:textId="77777777">
            <w:pPr>
              <w:pStyle w:val="Paragraphedeliste"/>
              <w:numPr>
                <w:ilvl w:val="0"/>
                <w:numId w:val="8"/>
              </w:numPr>
              <w:spacing w:after="160" w:line="259" w:lineRule="auto"/>
              <w:ind w:left="360"/>
            </w:pPr>
            <w:r w:rsidRPr="00E27F2F">
              <w:t>L’implication de la communauté</w:t>
            </w:r>
          </w:p>
          <w:p w:rsidRPr="00E27F2F" w:rsidR="004025A4" w:rsidP="004025A4" w:rsidRDefault="004025A4" w14:paraId="050BCE42" w14:textId="77777777">
            <w:pPr>
              <w:pStyle w:val="Paragraphedeliste"/>
              <w:numPr>
                <w:ilvl w:val="1"/>
                <w:numId w:val="8"/>
              </w:numPr>
              <w:spacing w:after="160" w:line="259" w:lineRule="auto"/>
              <w:ind w:left="1080"/>
            </w:pPr>
            <w:r w:rsidRPr="00E27F2F">
              <w:t xml:space="preserve">Leaders communautaires </w:t>
            </w:r>
          </w:p>
          <w:p w:rsidRPr="00E27F2F" w:rsidR="004025A4" w:rsidP="004025A4" w:rsidRDefault="004025A4" w14:paraId="30F46549" w14:textId="77777777">
            <w:pPr>
              <w:pStyle w:val="Paragraphedeliste"/>
              <w:numPr>
                <w:ilvl w:val="1"/>
                <w:numId w:val="8"/>
              </w:numPr>
              <w:spacing w:after="160" w:line="259" w:lineRule="auto"/>
              <w:ind w:left="1080"/>
            </w:pPr>
            <w:r w:rsidRPr="00E27F2F">
              <w:t xml:space="preserve">OSC </w:t>
            </w:r>
          </w:p>
          <w:p w:rsidRPr="00E27F2F" w:rsidR="004025A4" w:rsidP="004025A4" w:rsidRDefault="004025A4" w14:paraId="2ADE7AE9" w14:textId="77777777">
            <w:pPr>
              <w:pStyle w:val="Paragraphedeliste"/>
              <w:numPr>
                <w:ilvl w:val="1"/>
                <w:numId w:val="8"/>
              </w:numPr>
              <w:spacing w:after="160" w:line="259" w:lineRule="auto"/>
              <w:ind w:left="1080"/>
            </w:pPr>
            <w:r w:rsidRPr="00E27F2F">
              <w:t>Relais communautaires</w:t>
            </w:r>
          </w:p>
          <w:p w:rsidRPr="00E27F2F" w:rsidR="004025A4" w:rsidP="004025A4" w:rsidRDefault="004025A4" w14:paraId="341E0ADF" w14:textId="77777777">
            <w:pPr>
              <w:pStyle w:val="Paragraphedeliste"/>
              <w:numPr>
                <w:ilvl w:val="0"/>
                <w:numId w:val="8"/>
              </w:numPr>
              <w:spacing w:after="160" w:line="259" w:lineRule="auto"/>
              <w:ind w:left="360"/>
            </w:pPr>
            <w:r w:rsidRPr="00E27F2F">
              <w:t>Renforcement de la communication</w:t>
            </w:r>
          </w:p>
          <w:p w:rsidRPr="00E27F2F" w:rsidR="004025A4" w:rsidP="004025A4" w:rsidRDefault="004025A4" w14:paraId="7F93D8C3" w14:textId="77777777">
            <w:pPr>
              <w:pStyle w:val="Paragraphedeliste"/>
              <w:numPr>
                <w:ilvl w:val="1"/>
                <w:numId w:val="8"/>
              </w:numPr>
              <w:spacing w:after="160" w:line="259" w:lineRule="auto"/>
              <w:ind w:left="1080"/>
            </w:pPr>
            <w:r w:rsidRPr="00E27F2F">
              <w:t>Intensification de la communication interpersonnelle,</w:t>
            </w:r>
          </w:p>
          <w:p w:rsidRPr="00E27F2F" w:rsidR="004025A4" w:rsidP="004025A4" w:rsidRDefault="004025A4" w14:paraId="65EFA32E" w14:textId="77777777">
            <w:pPr>
              <w:pStyle w:val="Paragraphedeliste"/>
              <w:numPr>
                <w:ilvl w:val="1"/>
                <w:numId w:val="8"/>
              </w:numPr>
              <w:spacing w:after="160" w:line="259" w:lineRule="auto"/>
              <w:ind w:left="1080"/>
            </w:pPr>
            <w:r w:rsidRPr="00E27F2F">
              <w:t>Mise en place et généralisation des supports de communication</w:t>
            </w:r>
          </w:p>
          <w:p w:rsidRPr="00E27F2F" w:rsidR="004025A4" w:rsidP="004025A4" w:rsidRDefault="004025A4" w14:paraId="3553FCBE" w14:textId="77777777">
            <w:pPr>
              <w:pStyle w:val="Paragraphedeliste"/>
              <w:numPr>
                <w:ilvl w:val="1"/>
                <w:numId w:val="8"/>
              </w:numPr>
              <w:spacing w:after="160" w:line="259" w:lineRule="auto"/>
              <w:ind w:left="1080"/>
            </w:pPr>
            <w:r w:rsidRPr="00E27F2F">
              <w:lastRenderedPageBreak/>
              <w:t xml:space="preserve">Le plaidoyer </w:t>
            </w:r>
          </w:p>
          <w:p w:rsidRPr="00E27F2F" w:rsidR="004025A4" w:rsidP="004025A4" w:rsidRDefault="004025A4" w14:paraId="7213E77A" w14:textId="77777777">
            <w:pPr>
              <w:pStyle w:val="Paragraphedeliste"/>
              <w:numPr>
                <w:ilvl w:val="1"/>
                <w:numId w:val="8"/>
              </w:numPr>
              <w:spacing w:after="160" w:line="259" w:lineRule="auto"/>
              <w:ind w:left="1080"/>
            </w:pPr>
            <w:r w:rsidRPr="00E27F2F">
              <w:t xml:space="preserve">Renforcement de la sensibilisation et la mobilisation sociale </w:t>
            </w:r>
          </w:p>
          <w:p w:rsidRPr="00E27F2F" w:rsidR="004025A4" w:rsidP="004025A4" w:rsidRDefault="004025A4" w14:paraId="00A42717" w14:textId="77777777">
            <w:pPr>
              <w:pStyle w:val="Paragraphedeliste"/>
              <w:numPr>
                <w:ilvl w:val="1"/>
                <w:numId w:val="8"/>
              </w:numPr>
              <w:spacing w:after="160" w:line="259" w:lineRule="auto"/>
              <w:ind w:left="1080"/>
            </w:pPr>
            <w:r w:rsidRPr="00E27F2F">
              <w:t xml:space="preserve">Optimisation du rôle des OSC </w:t>
            </w:r>
          </w:p>
          <w:p w:rsidRPr="00E27F2F" w:rsidR="004025A4" w:rsidP="004025A4" w:rsidRDefault="004025A4" w14:paraId="347C42E5" w14:textId="77777777">
            <w:pPr>
              <w:pStyle w:val="Paragraphedeliste"/>
              <w:ind w:left="360"/>
            </w:pPr>
          </w:p>
          <w:p w:rsidRPr="00E27F2F" w:rsidR="004025A4" w:rsidP="004025A4" w:rsidRDefault="004025A4" w14:paraId="1E1F251C" w14:textId="77777777">
            <w:pPr>
              <w:pStyle w:val="Paragraphedeliste"/>
              <w:numPr>
                <w:ilvl w:val="0"/>
                <w:numId w:val="10"/>
              </w:numPr>
              <w:spacing w:after="160" w:line="259" w:lineRule="auto"/>
              <w:ind w:left="0"/>
              <w:rPr>
                <w:b/>
                <w:bCs/>
              </w:rPr>
            </w:pPr>
            <w:r w:rsidRPr="00E27F2F">
              <w:rPr>
                <w:b/>
                <w:bCs/>
              </w:rPr>
              <w:t>Amélioration de l’offre</w:t>
            </w:r>
          </w:p>
          <w:p w:rsidRPr="00E27F2F" w:rsidR="004025A4" w:rsidP="004025A4" w:rsidRDefault="004025A4" w14:paraId="2BDF60F4" w14:textId="77777777">
            <w:pPr>
              <w:pStyle w:val="Paragraphedeliste"/>
              <w:numPr>
                <w:ilvl w:val="0"/>
                <w:numId w:val="9"/>
              </w:numPr>
              <w:spacing w:after="160" w:line="259" w:lineRule="auto"/>
              <w:ind w:left="360"/>
            </w:pPr>
            <w:r w:rsidRPr="00E27F2F">
              <w:t xml:space="preserve">Cartographie claire des zones </w:t>
            </w:r>
          </w:p>
          <w:p w:rsidRPr="00E27F2F" w:rsidR="004025A4" w:rsidP="004025A4" w:rsidRDefault="004025A4" w14:paraId="33972E32" w14:textId="77777777">
            <w:pPr>
              <w:pStyle w:val="Paragraphedeliste"/>
              <w:numPr>
                <w:ilvl w:val="0"/>
                <w:numId w:val="9"/>
              </w:numPr>
              <w:spacing w:after="160" w:line="259" w:lineRule="auto"/>
              <w:ind w:left="360"/>
            </w:pPr>
            <w:r w:rsidRPr="00E27F2F">
              <w:t xml:space="preserve">Détermination des zones prioritaires </w:t>
            </w:r>
          </w:p>
          <w:p w:rsidRPr="00E27F2F" w:rsidR="004025A4" w:rsidP="004025A4" w:rsidRDefault="004025A4" w14:paraId="49D4032D" w14:textId="77777777">
            <w:pPr>
              <w:pStyle w:val="Paragraphedeliste"/>
              <w:numPr>
                <w:ilvl w:val="0"/>
                <w:numId w:val="9"/>
              </w:numPr>
              <w:spacing w:after="160" w:line="259" w:lineRule="auto"/>
              <w:ind w:left="360"/>
            </w:pPr>
            <w:r w:rsidRPr="00E27F2F">
              <w:t>Amélioration de l’accès aux services de vaccination</w:t>
            </w:r>
          </w:p>
          <w:p w:rsidRPr="00E27F2F" w:rsidR="004025A4" w:rsidP="004025A4" w:rsidRDefault="004025A4" w14:paraId="658AB0B9" w14:textId="77777777">
            <w:pPr>
              <w:pStyle w:val="Paragraphedeliste"/>
              <w:numPr>
                <w:ilvl w:val="1"/>
                <w:numId w:val="9"/>
              </w:numPr>
              <w:spacing w:after="160" w:line="259" w:lineRule="auto"/>
              <w:ind w:left="1080"/>
            </w:pPr>
            <w:r w:rsidRPr="00E27F2F">
              <w:t>Création des sites de vaccination temporaires dans les zones éloignées avec des jours fixes par semaine</w:t>
            </w:r>
          </w:p>
          <w:p w:rsidRPr="00E27F2F" w:rsidR="004025A4" w:rsidP="004025A4" w:rsidRDefault="004025A4" w14:paraId="14AA836C" w14:textId="77777777">
            <w:pPr>
              <w:pStyle w:val="Paragraphedeliste"/>
              <w:numPr>
                <w:ilvl w:val="1"/>
                <w:numId w:val="9"/>
              </w:numPr>
              <w:spacing w:after="160" w:line="259" w:lineRule="auto"/>
              <w:ind w:left="1080"/>
            </w:pPr>
            <w:r w:rsidRPr="00E27F2F">
              <w:t>Implication du secteur privé avec convention claire sur la gratuité</w:t>
            </w:r>
          </w:p>
          <w:p w:rsidRPr="00E27F2F" w:rsidR="004025A4" w:rsidP="004025A4" w:rsidRDefault="004025A4" w14:paraId="6C809462" w14:textId="77777777">
            <w:pPr>
              <w:pStyle w:val="Paragraphedeliste"/>
              <w:numPr>
                <w:ilvl w:val="1"/>
                <w:numId w:val="9"/>
              </w:numPr>
              <w:spacing w:after="160" w:line="259" w:lineRule="auto"/>
              <w:ind w:left="1080"/>
            </w:pPr>
            <w:r w:rsidRPr="00E27F2F">
              <w:t>Organisation des activités avancées régulières</w:t>
            </w:r>
          </w:p>
          <w:p w:rsidRPr="00E27F2F" w:rsidR="004025A4" w:rsidP="004025A4" w:rsidRDefault="004025A4" w14:paraId="1BC95EC0" w14:textId="77777777">
            <w:pPr>
              <w:pStyle w:val="Paragraphedeliste"/>
              <w:numPr>
                <w:ilvl w:val="1"/>
                <w:numId w:val="9"/>
              </w:numPr>
              <w:spacing w:after="160" w:line="259" w:lineRule="auto"/>
              <w:ind w:left="1080"/>
            </w:pPr>
            <w:r w:rsidRPr="00E27F2F">
              <w:t xml:space="preserve">Acquisition des moyens de transport (véhicules de service) </w:t>
            </w:r>
          </w:p>
          <w:p w:rsidRPr="00E27F2F" w:rsidR="004025A4" w:rsidP="004025A4" w:rsidRDefault="004025A4" w14:paraId="1744BC00" w14:textId="77777777">
            <w:pPr>
              <w:pStyle w:val="Paragraphedeliste"/>
              <w:numPr>
                <w:ilvl w:val="1"/>
                <w:numId w:val="9"/>
              </w:numPr>
              <w:spacing w:after="160" w:line="259" w:lineRule="auto"/>
              <w:ind w:left="1080"/>
            </w:pPr>
            <w:r w:rsidRPr="00E27F2F">
              <w:t xml:space="preserve">Appuie dans la création des nouvelles structures de santé dans les zones reculées avec des locaux adaptés aux besoins  </w:t>
            </w:r>
          </w:p>
          <w:p w:rsidRPr="00E27F2F" w:rsidR="004025A4" w:rsidP="004025A4" w:rsidRDefault="004025A4" w14:paraId="42ED1415" w14:textId="77777777">
            <w:pPr>
              <w:pStyle w:val="Paragraphedeliste"/>
              <w:numPr>
                <w:ilvl w:val="0"/>
                <w:numId w:val="9"/>
              </w:numPr>
              <w:spacing w:after="160" w:line="259" w:lineRule="auto"/>
              <w:ind w:left="360"/>
            </w:pPr>
            <w:r w:rsidRPr="00E27F2F">
              <w:t xml:space="preserve">Approvisionnement adéquat en vaccins et matériel de vaccination pour assurer la disponibilité permanente des intrants et éviter le gaspillage </w:t>
            </w:r>
          </w:p>
          <w:p w:rsidRPr="00E27F2F" w:rsidR="004025A4" w:rsidP="004025A4" w:rsidRDefault="004025A4" w14:paraId="1C28396E" w14:textId="77777777">
            <w:pPr>
              <w:pStyle w:val="Paragraphedeliste"/>
              <w:numPr>
                <w:ilvl w:val="0"/>
                <w:numId w:val="9"/>
              </w:numPr>
              <w:spacing w:after="160" w:line="259" w:lineRule="auto"/>
              <w:ind w:left="360"/>
            </w:pPr>
            <w:r w:rsidRPr="00E27F2F">
              <w:t>Mobilisation des ressources nécessaires</w:t>
            </w:r>
          </w:p>
          <w:p w:rsidRPr="00E27F2F" w:rsidR="004025A4" w:rsidP="004025A4" w:rsidRDefault="004025A4" w14:paraId="4E2FF598" w14:textId="77777777">
            <w:pPr>
              <w:pStyle w:val="Paragraphedeliste"/>
              <w:numPr>
                <w:ilvl w:val="0"/>
                <w:numId w:val="9"/>
              </w:numPr>
              <w:spacing w:after="160" w:line="259" w:lineRule="auto"/>
              <w:ind w:left="360"/>
            </w:pPr>
            <w:r w:rsidRPr="00E27F2F">
              <w:t>Adaptation des locaux de prestation de service et d’attente</w:t>
            </w:r>
          </w:p>
          <w:p w:rsidRPr="00E27F2F" w:rsidR="004025A4" w:rsidP="004025A4" w:rsidRDefault="004025A4" w14:paraId="20EDB0BF" w14:textId="77777777">
            <w:pPr>
              <w:pStyle w:val="Paragraphedeliste"/>
              <w:numPr>
                <w:ilvl w:val="0"/>
                <w:numId w:val="9"/>
              </w:numPr>
              <w:spacing w:after="160" w:line="259" w:lineRule="auto"/>
              <w:ind w:left="360"/>
            </w:pPr>
            <w:r w:rsidRPr="00E27F2F">
              <w:t>Instauration d’un système de motivation (ex. un prix)</w:t>
            </w:r>
          </w:p>
          <w:p w:rsidRPr="00E27F2F" w:rsidR="004025A4" w:rsidP="004025A4" w:rsidRDefault="004025A4" w14:paraId="59A251C6" w14:textId="77777777">
            <w:pPr>
              <w:pStyle w:val="Paragraphedeliste"/>
              <w:numPr>
                <w:ilvl w:val="0"/>
                <w:numId w:val="9"/>
              </w:numPr>
              <w:spacing w:after="160" w:line="259" w:lineRule="auto"/>
              <w:ind w:left="360"/>
            </w:pPr>
            <w:r w:rsidRPr="00E27F2F">
              <w:t>Le suivi et la relance des enfants non vaccinés</w:t>
            </w:r>
          </w:p>
          <w:p w:rsidRPr="00E27F2F" w:rsidR="004025A4" w:rsidP="004025A4" w:rsidRDefault="004025A4" w14:paraId="4327F039" w14:textId="77777777">
            <w:pPr>
              <w:pStyle w:val="Paragraphedeliste"/>
              <w:numPr>
                <w:ilvl w:val="0"/>
                <w:numId w:val="9"/>
              </w:numPr>
              <w:spacing w:after="160" w:line="259" w:lineRule="auto"/>
              <w:ind w:left="360"/>
            </w:pPr>
            <w:r w:rsidRPr="00E27F2F">
              <w:t xml:space="preserve">Avoir une fiche ménage à renseigner sur le quartier de résidence </w:t>
            </w:r>
            <w:proofErr w:type="spellStart"/>
            <w:r w:rsidRPr="00E27F2F">
              <w:t>Moughataa</w:t>
            </w:r>
            <w:proofErr w:type="spellEnd"/>
          </w:p>
          <w:p w:rsidRPr="00E27F2F" w:rsidR="004025A4" w:rsidP="004025A4" w:rsidRDefault="004025A4" w14:paraId="6E3785A2" w14:textId="77777777">
            <w:pPr>
              <w:pStyle w:val="Paragraphedeliste"/>
              <w:ind w:left="360"/>
            </w:pPr>
          </w:p>
          <w:p w:rsidRPr="00E27F2F" w:rsidR="004025A4" w:rsidP="004025A4" w:rsidRDefault="004025A4" w14:paraId="630E8A44" w14:textId="77777777">
            <w:pPr>
              <w:pStyle w:val="Paragraphedeliste"/>
              <w:numPr>
                <w:ilvl w:val="0"/>
                <w:numId w:val="10"/>
              </w:numPr>
              <w:spacing w:after="160" w:line="259" w:lineRule="auto"/>
              <w:ind w:left="0"/>
              <w:rPr>
                <w:b/>
                <w:bCs/>
              </w:rPr>
            </w:pPr>
            <w:r w:rsidRPr="00E27F2F">
              <w:rPr>
                <w:b/>
                <w:bCs/>
              </w:rPr>
              <w:t>Renforcement des capacités des prestataires</w:t>
            </w:r>
          </w:p>
          <w:p w:rsidRPr="00E27F2F" w:rsidR="004025A4" w:rsidP="004025A4" w:rsidRDefault="004025A4" w14:paraId="3FDB3AA1" w14:textId="77777777">
            <w:pPr>
              <w:pStyle w:val="Paragraphedeliste"/>
              <w:ind w:left="876"/>
              <w:rPr>
                <w:b/>
                <w:bCs/>
              </w:rPr>
            </w:pPr>
          </w:p>
          <w:p w:rsidRPr="00E27F2F" w:rsidR="004025A4" w:rsidP="004025A4" w:rsidRDefault="004025A4" w14:paraId="586509DA" w14:textId="77777777">
            <w:pPr>
              <w:pStyle w:val="Paragraphedeliste"/>
              <w:numPr>
                <w:ilvl w:val="0"/>
                <w:numId w:val="9"/>
              </w:numPr>
              <w:spacing w:after="160" w:line="259" w:lineRule="auto"/>
              <w:ind w:left="360"/>
            </w:pPr>
            <w:r w:rsidRPr="00E27F2F">
              <w:t>La formation continue du personnel de vaccination sur tous les aspects de gestion du programme :</w:t>
            </w:r>
          </w:p>
          <w:p w:rsidRPr="00E27F2F" w:rsidR="004025A4" w:rsidP="004025A4" w:rsidRDefault="004025A4" w14:paraId="3737E875" w14:textId="77777777">
            <w:pPr>
              <w:pStyle w:val="Paragraphedeliste"/>
              <w:numPr>
                <w:ilvl w:val="1"/>
                <w:numId w:val="9"/>
              </w:numPr>
              <w:spacing w:after="160" w:line="259" w:lineRule="auto"/>
              <w:ind w:left="1080"/>
            </w:pPr>
            <w:r w:rsidRPr="00E27F2F">
              <w:t xml:space="preserve">Les techniques de l’administration et manipulation des vaccins </w:t>
            </w:r>
          </w:p>
          <w:p w:rsidRPr="00E27F2F" w:rsidR="004025A4" w:rsidP="004025A4" w:rsidRDefault="004025A4" w14:paraId="76DD986F" w14:textId="77777777">
            <w:pPr>
              <w:pStyle w:val="Paragraphedeliste"/>
              <w:numPr>
                <w:ilvl w:val="1"/>
                <w:numId w:val="9"/>
              </w:numPr>
              <w:spacing w:after="160" w:line="259" w:lineRule="auto"/>
              <w:ind w:left="1080"/>
            </w:pPr>
            <w:r w:rsidRPr="00E27F2F">
              <w:t>La gestion des stocks des vaccins et consommables</w:t>
            </w:r>
          </w:p>
          <w:p w:rsidRPr="00E27F2F" w:rsidR="004025A4" w:rsidP="004025A4" w:rsidRDefault="004025A4" w14:paraId="2E2DC28D" w14:textId="77777777">
            <w:pPr>
              <w:pStyle w:val="Paragraphedeliste"/>
              <w:numPr>
                <w:ilvl w:val="1"/>
                <w:numId w:val="9"/>
              </w:numPr>
              <w:spacing w:after="160" w:line="259" w:lineRule="auto"/>
              <w:ind w:left="1080"/>
            </w:pPr>
            <w:r w:rsidRPr="00E27F2F">
              <w:t xml:space="preserve">Le suivi de l’ECF </w:t>
            </w:r>
          </w:p>
          <w:p w:rsidRPr="00E27F2F" w:rsidR="004025A4" w:rsidP="004025A4" w:rsidRDefault="004025A4" w14:paraId="2C8D682D" w14:textId="77777777">
            <w:pPr>
              <w:pStyle w:val="Paragraphedeliste"/>
              <w:numPr>
                <w:ilvl w:val="1"/>
                <w:numId w:val="9"/>
              </w:numPr>
              <w:spacing w:after="160" w:line="259" w:lineRule="auto"/>
              <w:ind w:left="1080"/>
            </w:pPr>
            <w:r w:rsidRPr="00E27F2F">
              <w:t>L’enregistrement, l’archivage et le rapportage des données</w:t>
            </w:r>
          </w:p>
          <w:p w:rsidRPr="00E27F2F" w:rsidR="004025A4" w:rsidP="004025A4" w:rsidRDefault="004025A4" w14:paraId="47E24EBA" w14:textId="77777777">
            <w:pPr>
              <w:pStyle w:val="Paragraphedeliste"/>
              <w:numPr>
                <w:ilvl w:val="1"/>
                <w:numId w:val="9"/>
              </w:numPr>
              <w:spacing w:after="160" w:line="259" w:lineRule="auto"/>
              <w:ind w:left="1080"/>
            </w:pPr>
            <w:r w:rsidRPr="00E27F2F">
              <w:t>L’utilisation correcte de l’ensemble des outils de collecte et de gestion des données</w:t>
            </w:r>
          </w:p>
          <w:p w:rsidRPr="00E27F2F" w:rsidR="004025A4" w:rsidP="004025A4" w:rsidRDefault="004025A4" w14:paraId="4FF3213E" w14:textId="77777777">
            <w:pPr>
              <w:pStyle w:val="Paragraphedeliste"/>
              <w:numPr>
                <w:ilvl w:val="1"/>
                <w:numId w:val="9"/>
              </w:numPr>
              <w:spacing w:after="160" w:line="259" w:lineRule="auto"/>
              <w:ind w:left="1080"/>
            </w:pPr>
            <w:r w:rsidRPr="00E27F2F">
              <w:t>Le monitorage et le calcul des indicateurs essentiels</w:t>
            </w:r>
          </w:p>
          <w:p w:rsidRPr="00E27F2F" w:rsidR="004025A4" w:rsidP="004025A4" w:rsidRDefault="004025A4" w14:paraId="3D4F220A" w14:textId="77777777">
            <w:pPr>
              <w:pStyle w:val="Paragraphedeliste"/>
              <w:numPr>
                <w:ilvl w:val="1"/>
                <w:numId w:val="9"/>
              </w:numPr>
              <w:spacing w:after="160" w:line="259" w:lineRule="auto"/>
              <w:ind w:left="1080"/>
            </w:pPr>
            <w:r w:rsidRPr="00E27F2F">
              <w:t>La communication interpersonnelle</w:t>
            </w:r>
          </w:p>
          <w:p w:rsidRPr="00E27F2F" w:rsidR="004025A4" w:rsidP="004025A4" w:rsidRDefault="004025A4" w14:paraId="1FD99D4C" w14:textId="77777777">
            <w:pPr>
              <w:pStyle w:val="Paragraphedeliste"/>
              <w:numPr>
                <w:ilvl w:val="0"/>
                <w:numId w:val="9"/>
              </w:numPr>
              <w:spacing w:after="160" w:line="259" w:lineRule="auto"/>
              <w:ind w:left="360"/>
            </w:pPr>
            <w:r w:rsidRPr="00E27F2F">
              <w:t xml:space="preserve">Le renforcement et la régularité de la supervision à tous les niveaux </w:t>
            </w:r>
          </w:p>
          <w:p w:rsidRPr="00E27F2F" w:rsidR="004025A4" w:rsidP="004025A4" w:rsidRDefault="004025A4" w14:paraId="7A7420E8" w14:textId="77777777">
            <w:pPr>
              <w:pStyle w:val="Paragraphedeliste"/>
              <w:numPr>
                <w:ilvl w:val="0"/>
                <w:numId w:val="9"/>
              </w:numPr>
              <w:spacing w:after="160" w:line="259" w:lineRule="auto"/>
              <w:ind w:left="360"/>
            </w:pPr>
            <w:r w:rsidRPr="00E27F2F">
              <w:t xml:space="preserve">La complétude et la promptitude dans la transmission des rapports </w:t>
            </w:r>
          </w:p>
          <w:p w:rsidRPr="00E27F2F" w:rsidR="004025A4" w:rsidP="004025A4" w:rsidRDefault="004025A4" w14:paraId="541F5C3E" w14:textId="77777777">
            <w:pPr>
              <w:pStyle w:val="Paragraphedeliste"/>
              <w:numPr>
                <w:ilvl w:val="0"/>
                <w:numId w:val="9"/>
              </w:numPr>
              <w:spacing w:after="160" w:line="259" w:lineRule="auto"/>
              <w:ind w:left="360"/>
            </w:pPr>
            <w:r w:rsidRPr="00E27F2F">
              <w:t xml:space="preserve">La mise en place du matériel informatique, </w:t>
            </w:r>
          </w:p>
          <w:p w:rsidRPr="00E27F2F" w:rsidR="004025A4" w:rsidP="004025A4" w:rsidRDefault="004025A4" w14:paraId="52228905" w14:textId="77777777">
            <w:pPr>
              <w:pStyle w:val="Paragraphedeliste"/>
              <w:numPr>
                <w:ilvl w:val="0"/>
                <w:numId w:val="9"/>
              </w:numPr>
              <w:spacing w:after="160" w:line="259" w:lineRule="auto"/>
              <w:ind w:left="360"/>
            </w:pPr>
            <w:r w:rsidRPr="00E27F2F">
              <w:t xml:space="preserve">Le renforcement de la motivation du personnel </w:t>
            </w:r>
          </w:p>
          <w:p w:rsidRPr="00E27F2F" w:rsidR="004025A4" w:rsidP="004025A4" w:rsidRDefault="004025A4" w14:paraId="11EF5E22" w14:textId="77777777">
            <w:pPr>
              <w:pStyle w:val="Paragraphedeliste"/>
              <w:numPr>
                <w:ilvl w:val="0"/>
                <w:numId w:val="9"/>
              </w:numPr>
              <w:spacing w:after="160" w:line="259" w:lineRule="auto"/>
              <w:ind w:left="360"/>
            </w:pPr>
            <w:r w:rsidRPr="00E27F2F">
              <w:t xml:space="preserve">La disponibilité permanente des outils </w:t>
            </w:r>
          </w:p>
          <w:p w:rsidRPr="00E27F2F" w:rsidR="004025A4" w:rsidP="004025A4" w:rsidRDefault="004025A4" w14:paraId="26FB059C" w14:textId="77777777">
            <w:pPr>
              <w:pStyle w:val="Paragraphedeliste"/>
              <w:numPr>
                <w:ilvl w:val="0"/>
                <w:numId w:val="9"/>
              </w:numPr>
              <w:spacing w:after="160" w:line="259" w:lineRule="auto"/>
              <w:ind w:left="360"/>
            </w:pPr>
            <w:r w:rsidRPr="00E27F2F">
              <w:t>L’instauration d’un système de stabilisation du personnel</w:t>
            </w:r>
          </w:p>
          <w:p w:rsidRPr="00E27F2F" w:rsidR="004025A4" w:rsidP="004025A4" w:rsidRDefault="004025A4" w14:paraId="0713018D" w14:textId="77777777">
            <w:pPr>
              <w:pStyle w:val="Paragraphedeliste"/>
              <w:numPr>
                <w:ilvl w:val="0"/>
                <w:numId w:val="10"/>
              </w:numPr>
              <w:spacing w:after="160" w:line="259" w:lineRule="auto"/>
              <w:ind w:left="0"/>
              <w:rPr>
                <w:b/>
                <w:bCs/>
              </w:rPr>
            </w:pPr>
            <w:r w:rsidRPr="00E27F2F">
              <w:rPr>
                <w:b/>
                <w:bCs/>
              </w:rPr>
              <w:t xml:space="preserve">Mesures de soutien aux ménages pour promouvoir la vaccination </w:t>
            </w:r>
          </w:p>
          <w:p w:rsidRPr="00E27F2F" w:rsidR="004025A4" w:rsidP="004025A4" w:rsidRDefault="004025A4" w14:paraId="7F2F2375" w14:textId="77777777">
            <w:pPr>
              <w:pStyle w:val="Paragraphedeliste"/>
              <w:numPr>
                <w:ilvl w:val="0"/>
                <w:numId w:val="8"/>
              </w:numPr>
              <w:spacing w:after="160" w:line="240" w:lineRule="auto"/>
              <w:ind w:left="360"/>
              <w:jc w:val="both"/>
            </w:pPr>
            <w:r w:rsidRPr="00E27F2F">
              <w:t>Exiger la carte de vaccination pour avoir l’appui social de TAAZOUR (soutien financier aux ménages en extrême pauvreté)</w:t>
            </w:r>
          </w:p>
          <w:p w:rsidRPr="00E27F2F" w:rsidR="004025A4" w:rsidP="004025A4" w:rsidRDefault="004025A4" w14:paraId="4E704A45" w14:textId="77777777">
            <w:pPr>
              <w:pStyle w:val="Paragraphedeliste"/>
              <w:numPr>
                <w:ilvl w:val="0"/>
                <w:numId w:val="8"/>
              </w:numPr>
              <w:spacing w:after="160" w:line="240" w:lineRule="auto"/>
              <w:ind w:left="360"/>
              <w:jc w:val="both"/>
            </w:pPr>
            <w:r w:rsidRPr="00E27F2F">
              <w:t xml:space="preserve">Instaurer un système de rappel des parents en retard </w:t>
            </w:r>
          </w:p>
          <w:p w:rsidRPr="00E27F2F" w:rsidR="004025A4" w:rsidP="004025A4" w:rsidRDefault="004025A4" w14:paraId="44DE2231" w14:textId="77777777">
            <w:pPr>
              <w:pStyle w:val="Paragraphedeliste"/>
              <w:numPr>
                <w:ilvl w:val="0"/>
                <w:numId w:val="8"/>
              </w:numPr>
              <w:spacing w:after="160" w:line="240" w:lineRule="auto"/>
              <w:ind w:left="360"/>
              <w:jc w:val="both"/>
            </w:pPr>
            <w:r w:rsidRPr="00E27F2F">
              <w:t>Une bonne organisation de la prestation de services pour limiter le temps d’attente et les occasions manquées</w:t>
            </w:r>
          </w:p>
          <w:p w:rsidRPr="00E27F2F" w:rsidR="004025A4" w:rsidP="004025A4" w:rsidRDefault="004025A4" w14:paraId="18D28593" w14:textId="77777777">
            <w:pPr>
              <w:pStyle w:val="Paragraphedeliste"/>
              <w:numPr>
                <w:ilvl w:val="0"/>
                <w:numId w:val="8"/>
              </w:numPr>
              <w:spacing w:after="160" w:line="240" w:lineRule="auto"/>
              <w:ind w:left="360"/>
              <w:jc w:val="both"/>
            </w:pPr>
            <w:r w:rsidRPr="00E27F2F">
              <w:t>Impliquer les hommes d’affaires,</w:t>
            </w:r>
          </w:p>
          <w:p w:rsidRPr="00E27F2F" w:rsidR="004025A4" w:rsidP="004025A4" w:rsidRDefault="004025A4" w14:paraId="5F5B0EB9" w14:textId="77777777">
            <w:pPr>
              <w:pStyle w:val="Paragraphedeliste"/>
              <w:numPr>
                <w:ilvl w:val="0"/>
                <w:numId w:val="8"/>
              </w:numPr>
              <w:spacing w:after="160" w:line="240" w:lineRule="auto"/>
              <w:ind w:left="360"/>
              <w:jc w:val="both"/>
            </w:pPr>
            <w:r w:rsidRPr="00E27F2F">
              <w:lastRenderedPageBreak/>
              <w:t>Rendre la vaccination obligatoire à travers des conditions claires</w:t>
            </w:r>
          </w:p>
          <w:p w:rsidRPr="00E27F2F" w:rsidR="004025A4" w:rsidP="004025A4" w:rsidRDefault="004025A4" w14:paraId="4350C37F" w14:textId="77777777">
            <w:pPr>
              <w:pStyle w:val="Paragraphedeliste"/>
              <w:numPr>
                <w:ilvl w:val="0"/>
                <w:numId w:val="8"/>
              </w:numPr>
              <w:spacing w:after="160" w:line="240" w:lineRule="auto"/>
              <w:ind w:left="360"/>
              <w:jc w:val="both"/>
            </w:pPr>
            <w:r w:rsidRPr="00E27F2F">
              <w:t>Implication des chefs de quartiers</w:t>
            </w:r>
          </w:p>
          <w:p w:rsidRPr="00E27F2F" w:rsidR="004025A4" w:rsidP="004025A4" w:rsidRDefault="004025A4" w14:paraId="0C68B562" w14:textId="77777777">
            <w:pPr>
              <w:pStyle w:val="Paragraphedeliste"/>
              <w:numPr>
                <w:ilvl w:val="0"/>
                <w:numId w:val="8"/>
              </w:numPr>
              <w:spacing w:after="160" w:line="240" w:lineRule="auto"/>
              <w:ind w:left="360"/>
              <w:jc w:val="both"/>
            </w:pPr>
            <w:r w:rsidRPr="00E27F2F">
              <w:t>AGR pour les familles pauvres</w:t>
            </w:r>
          </w:p>
        </w:tc>
      </w:tr>
      <w:tr w:rsidR="004025A4" w:rsidTr="004025A4" w14:paraId="747B1EBF" w14:textId="77777777">
        <w:tc>
          <w:tcPr>
            <w:tcW w:w="10185" w:type="dxa"/>
            <w:tcBorders>
              <w:top w:val="single" w:color="auto" w:sz="4" w:space="0"/>
              <w:bottom w:val="single" w:color="auto" w:sz="4" w:space="0"/>
            </w:tcBorders>
            <w:shd w:val="clear" w:color="auto" w:fill="F2F2F2" w:themeFill="background1" w:themeFillShade="F2"/>
          </w:tcPr>
          <w:p w:rsidRPr="008C7464" w:rsidR="004025A4" w:rsidP="004025A4" w:rsidRDefault="004025A4" w14:paraId="1BF0806A" w14:textId="77777777">
            <w:pPr>
              <w:spacing w:line="300" w:lineRule="exact"/>
              <w:rPr>
                <w:b/>
                <w:bCs/>
                <w:color w:val="92D050"/>
              </w:rPr>
            </w:pPr>
            <w:r>
              <w:rPr>
                <w:b/>
                <w:i/>
                <w:sz w:val="20"/>
              </w:rPr>
              <w:lastRenderedPageBreak/>
              <w:t>2.6</w:t>
            </w:r>
            <w:r>
              <w:rPr>
                <w:b/>
                <w:i/>
                <w:sz w:val="20"/>
              </w:rPr>
              <w:tab/>
            </w:r>
            <w:r>
              <w:rPr>
                <w:b/>
                <w:i/>
                <w:sz w:val="20"/>
              </w:rPr>
              <w:t>Veuillez décrire comment vous avez hiérarchisé les interventions à soutenir par Gavi dans le cadre de l'assistance pays ciblée requise.</w:t>
            </w:r>
          </w:p>
        </w:tc>
      </w:tr>
      <w:tr w:rsidR="004025A4" w:rsidTr="004025A4" w14:paraId="62E64104" w14:textId="77777777">
        <w:tc>
          <w:tcPr>
            <w:tcW w:w="10185" w:type="dxa"/>
            <w:tcBorders>
              <w:top w:val="single" w:color="auto" w:sz="4" w:space="0"/>
              <w:left w:val="single" w:color="auto" w:sz="4" w:space="0"/>
              <w:bottom w:val="single" w:color="auto" w:sz="4" w:space="0"/>
              <w:right w:val="single" w:color="auto" w:sz="4" w:space="0"/>
            </w:tcBorders>
          </w:tcPr>
          <w:p w:rsidRPr="00723DA7" w:rsidR="004025A4" w:rsidP="004025A4" w:rsidRDefault="004025A4" w14:paraId="32578717" w14:textId="5C61F915">
            <w:pPr>
              <w:spacing w:line="300" w:lineRule="exact"/>
              <w:jc w:val="both"/>
            </w:pPr>
            <w:r w:rsidRPr="00723DA7">
              <w:t xml:space="preserve">Les interventions ont été </w:t>
            </w:r>
            <w:r w:rsidRPr="00723DA7" w:rsidR="004813B1">
              <w:t>hiérarchisées</w:t>
            </w:r>
            <w:r w:rsidRPr="00723DA7">
              <w:t xml:space="preserve"> en prenant en compte l’équité (</w:t>
            </w:r>
            <w:r w:rsidRPr="00723DA7" w:rsidR="004813B1">
              <w:t>zéro</w:t>
            </w:r>
            <w:r w:rsidRPr="00723DA7">
              <w:t xml:space="preserve"> dose) et l’accessibilité. Les interventions prioritaires sont celles qui permettent de </w:t>
            </w:r>
            <w:r w:rsidRPr="00723DA7" w:rsidR="004813B1">
              <w:t>récupérer</w:t>
            </w:r>
            <w:r w:rsidRPr="00723DA7">
              <w:t xml:space="preserve"> tous ceux qui sont à la marge, et celles relatives au renforcement des compétences des personnels. </w:t>
            </w:r>
            <w:r w:rsidRPr="00036441">
              <w:rPr>
                <w:color w:val="000000" w:themeColor="text1"/>
              </w:rPr>
              <w:t xml:space="preserve">A ce niveau, l’assistance technique veillera au respect de ces principes en collaboration avec les </w:t>
            </w:r>
            <w:r w:rsidRPr="00036441" w:rsidR="004813B1">
              <w:rPr>
                <w:color w:val="000000" w:themeColor="text1"/>
              </w:rPr>
              <w:t>consultants</w:t>
            </w:r>
            <w:r w:rsidRPr="00036441">
              <w:rPr>
                <w:color w:val="000000" w:themeColor="text1"/>
              </w:rPr>
              <w:t xml:space="preserve"> locaux du RSS et les responsables administratifs et sanitaires au niveau décentralisé. Cette assistance rendra compte au PEV des actions entreprises et des résultats obtenus.</w:t>
            </w:r>
          </w:p>
        </w:tc>
      </w:tr>
    </w:tbl>
    <w:p w:rsidR="007172E8" w:rsidRDefault="007172E8" w14:paraId="18C2EAFB" w14:textId="6B152A3B"/>
    <w:p w:rsidR="009E4A29" w:rsidRDefault="009E4A29" w14:paraId="2601FDEA" w14:textId="77777777"/>
    <w:p w:rsidRPr="00264FC1" w:rsidR="007172E8" w:rsidP="00CE1F57" w:rsidRDefault="007172E8" w14:paraId="08BD4E8B" w14:textId="77777777">
      <w:pPr>
        <w:pStyle w:val="Paragraphedeliste"/>
        <w:numPr>
          <w:ilvl w:val="0"/>
          <w:numId w:val="4"/>
        </w:numPr>
        <w:spacing w:line="300" w:lineRule="exact"/>
        <w:ind w:left="426"/>
        <w:rPr>
          <w:b/>
          <w:bCs/>
          <w:color w:val="70AD47" w:themeColor="accent6"/>
          <w:sz w:val="26"/>
          <w:szCs w:val="26"/>
        </w:rPr>
      </w:pPr>
      <w:r>
        <w:rPr>
          <w:b/>
          <w:color w:val="70AD47" w:themeColor="accent6"/>
          <w:sz w:val="26"/>
        </w:rPr>
        <w:t>Diversification des partenaires (0,5 page)</w:t>
      </w:r>
    </w:p>
    <w:tbl>
      <w:tblPr>
        <w:tblStyle w:val="Grilledutableau"/>
        <w:tblW w:w="10206"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206"/>
      </w:tblGrid>
      <w:tr w:rsidR="00E80A44" w:rsidTr="004813B1" w14:paraId="40777894" w14:textId="77777777">
        <w:trPr>
          <w:trHeight w:val="846"/>
        </w:trPr>
        <w:tc>
          <w:tcPr>
            <w:tcW w:w="10206" w:type="dxa"/>
            <w:shd w:val="clear" w:color="auto" w:fill="F2F2F2" w:themeFill="background1" w:themeFillShade="F2"/>
          </w:tcPr>
          <w:p w:rsidR="00E80A44" w:rsidP="00E80A44" w:rsidRDefault="006D3657" w14:paraId="617AD62D" w14:textId="77777777">
            <w:pPr>
              <w:spacing w:line="300" w:lineRule="exact"/>
              <w:rPr>
                <w:color w:val="92D050"/>
              </w:rPr>
            </w:pPr>
            <w:r>
              <w:rPr>
                <w:b/>
                <w:i/>
                <w:color w:val="000000" w:themeColor="text1"/>
                <w:sz w:val="20"/>
              </w:rPr>
              <w:t>3.1</w:t>
            </w:r>
            <w:r>
              <w:rPr>
                <w:b/>
                <w:i/>
                <w:color w:val="000000" w:themeColor="text1"/>
                <w:sz w:val="20"/>
              </w:rPr>
              <w:tab/>
            </w:r>
            <w:r>
              <w:rPr>
                <w:b/>
                <w:i/>
                <w:color w:val="000000" w:themeColor="text1"/>
                <w:sz w:val="20"/>
              </w:rPr>
              <w:t xml:space="preserve">Décrivez quels partenaires vous avez déjà </w:t>
            </w:r>
            <w:proofErr w:type="spellStart"/>
            <w:r w:rsidR="006615A7">
              <w:rPr>
                <w:b/>
                <w:i/>
                <w:color w:val="000000" w:themeColor="text1"/>
                <w:sz w:val="20"/>
              </w:rPr>
              <w:t>resensés</w:t>
            </w:r>
            <w:proofErr w:type="spellEnd"/>
            <w:r>
              <w:rPr>
                <w:b/>
                <w:i/>
                <w:color w:val="000000" w:themeColor="text1"/>
                <w:sz w:val="20"/>
              </w:rPr>
              <w:t>, y compris les partenaires de l'Alliance et les partenaires élargis (dont les partenaires mondiaux, les partenaires locaux et les OSC), afin de soutenir la mise en œuvre des activités?</w:t>
            </w:r>
            <w:r>
              <w:rPr>
                <w:b/>
                <w:i/>
                <w:sz w:val="20"/>
              </w:rPr>
              <w:t xml:space="preserve"> (Référez-vous aux </w:t>
            </w:r>
            <w:hyperlink w:history="1" r:id="rId14">
              <w:r>
                <w:rPr>
                  <w:rStyle w:val="Lienhypertexte"/>
                  <w:b/>
                  <w:i/>
                  <w:sz w:val="20"/>
                </w:rPr>
                <w:t>Directives sur l'assistance pays ciblée du Cadre d'engagement des partenaires pour la planification pluriannuelle 2022-2025</w:t>
              </w:r>
            </w:hyperlink>
            <w:r>
              <w:rPr>
                <w:b/>
                <w:i/>
                <w:sz w:val="20"/>
              </w:rPr>
              <w:t xml:space="preserve">, pour </w:t>
            </w:r>
            <w:proofErr w:type="spellStart"/>
            <w:r w:rsidRPr="00D248D8" w:rsidR="00D248D8">
              <w:rPr>
                <w:b/>
                <w:i/>
                <w:sz w:val="20"/>
              </w:rPr>
              <w:t>connaître</w:t>
            </w:r>
            <w:r w:rsidR="00D248D8">
              <w:rPr>
                <w:b/>
                <w:i/>
                <w:sz w:val="20"/>
              </w:rPr>
              <w:t>le</w:t>
            </w:r>
            <w:r>
              <w:rPr>
                <w:b/>
                <w:i/>
                <w:sz w:val="20"/>
              </w:rPr>
              <w:t>type</w:t>
            </w:r>
            <w:proofErr w:type="spellEnd"/>
            <w:r>
              <w:rPr>
                <w:b/>
                <w:i/>
                <w:sz w:val="20"/>
              </w:rPr>
              <w:t xml:space="preserve"> d'institutions considérées comme des partenaires mondiaux ou locaux et des OSC)</w:t>
            </w:r>
          </w:p>
        </w:tc>
      </w:tr>
      <w:tr w:rsidR="00520598" w:rsidTr="004813B1" w14:paraId="65793BFD" w14:textId="77777777">
        <w:tc>
          <w:tcPr>
            <w:tcW w:w="10206" w:type="dxa"/>
            <w:tcBorders>
              <w:top w:val="single" w:color="auto" w:sz="4" w:space="0"/>
              <w:left w:val="single" w:color="auto" w:sz="4" w:space="0"/>
              <w:bottom w:val="single" w:color="auto" w:sz="4" w:space="0"/>
              <w:right w:val="single" w:color="auto" w:sz="4" w:space="0"/>
            </w:tcBorders>
          </w:tcPr>
          <w:p w:rsidRPr="00723DA7" w:rsidR="009B2647" w:rsidP="009B2647" w:rsidRDefault="0032644E" w14:paraId="4259A5C0" w14:textId="45DD2BAE">
            <w:pPr>
              <w:spacing w:line="300" w:lineRule="exact"/>
            </w:pPr>
            <w:r w:rsidRPr="00723DA7">
              <w:t>OMS</w:t>
            </w:r>
            <w:r w:rsidRPr="00723DA7" w:rsidR="004813B1">
              <w:t xml:space="preserve"> : Organisation</w:t>
            </w:r>
            <w:r w:rsidRPr="00723DA7">
              <w:t xml:space="preserve"> Mondiale de la Santé </w:t>
            </w:r>
          </w:p>
          <w:p w:rsidRPr="00723DA7" w:rsidR="009B2647" w:rsidP="009B2647" w:rsidRDefault="004813B1" w14:paraId="04388461" w14:textId="24BE9BAE">
            <w:pPr>
              <w:spacing w:line="300" w:lineRule="exact"/>
            </w:pPr>
            <w:r w:rsidRPr="00723DA7">
              <w:t>UNICEF :</w:t>
            </w:r>
            <w:r>
              <w:t xml:space="preserve"> </w:t>
            </w:r>
            <w:r w:rsidRPr="00723DA7" w:rsidR="0032644E">
              <w:t>Fond</w:t>
            </w:r>
            <w:r>
              <w:t xml:space="preserve"> </w:t>
            </w:r>
            <w:r w:rsidRPr="00723DA7" w:rsidR="0032644E">
              <w:t>des Nations Uni</w:t>
            </w:r>
            <w:r w:rsidR="00543665">
              <w:t>e</w:t>
            </w:r>
            <w:r w:rsidRPr="00723DA7" w:rsidR="0032644E">
              <w:t>s pou</w:t>
            </w:r>
            <w:r w:rsidR="00543665">
              <w:t>r</w:t>
            </w:r>
            <w:r w:rsidRPr="00723DA7" w:rsidR="0032644E">
              <w:t xml:space="preserve"> l’Enfance </w:t>
            </w:r>
          </w:p>
          <w:p w:rsidRPr="00723DA7" w:rsidR="009B2647" w:rsidP="009B2647" w:rsidRDefault="0032644E" w14:paraId="073B379C" w14:textId="03CD3FBB">
            <w:pPr>
              <w:spacing w:line="300" w:lineRule="exact"/>
            </w:pPr>
            <w:r w:rsidRPr="00723DA7">
              <w:t xml:space="preserve">AMP Afrique : Agence de </w:t>
            </w:r>
            <w:r w:rsidRPr="00723DA7" w:rsidR="004813B1">
              <w:t>Médecine</w:t>
            </w:r>
            <w:r w:rsidR="004813B1">
              <w:t xml:space="preserve"> </w:t>
            </w:r>
            <w:r w:rsidRPr="00723DA7">
              <w:t xml:space="preserve">Preventive Afrique </w:t>
            </w:r>
          </w:p>
          <w:p w:rsidRPr="00723DA7" w:rsidR="00B82A5C" w:rsidP="009B2647" w:rsidRDefault="004813B1" w14:paraId="05D12242" w14:textId="74A5E558">
            <w:pPr>
              <w:spacing w:line="300" w:lineRule="exact"/>
              <w:rPr>
                <w:lang w:val="en-US"/>
              </w:rPr>
            </w:pPr>
            <w:r w:rsidRPr="00723DA7">
              <w:rPr>
                <w:lang w:val="en-US"/>
              </w:rPr>
              <w:t>HEASCO:</w:t>
            </w:r>
            <w:r w:rsidRPr="00723DA7" w:rsidR="0032644E">
              <w:rPr>
                <w:lang w:val="en-US"/>
              </w:rPr>
              <w:t xml:space="preserve"> Health Studies and Consulting Office</w:t>
            </w:r>
          </w:p>
          <w:p w:rsidRPr="00723DA7" w:rsidR="009B2647" w:rsidP="009B2647" w:rsidRDefault="0032644E" w14:paraId="431BF580" w14:textId="77777777">
            <w:pPr>
              <w:spacing w:line="300" w:lineRule="exact"/>
            </w:pPr>
            <w:proofErr w:type="spellStart"/>
            <w:r w:rsidRPr="00723DA7">
              <w:t>Vacnet</w:t>
            </w:r>
            <w:proofErr w:type="spellEnd"/>
          </w:p>
          <w:p w:rsidRPr="00723DA7" w:rsidR="005527E0" w:rsidP="009B2647" w:rsidRDefault="0032644E" w14:paraId="22A5F9D5" w14:textId="77777777">
            <w:pPr>
              <w:spacing w:line="300" w:lineRule="exact"/>
            </w:pPr>
            <w:r w:rsidRPr="00723DA7">
              <w:t>ALIMA</w:t>
            </w:r>
          </w:p>
          <w:p w:rsidRPr="00723DA7" w:rsidR="00197A4D" w:rsidP="009B2647" w:rsidRDefault="0032644E" w14:paraId="546E1B0C" w14:textId="77777777">
            <w:pPr>
              <w:spacing w:line="300" w:lineRule="exact"/>
            </w:pPr>
            <w:r w:rsidRPr="00723DA7">
              <w:t>AMPF (Association Mauritanienne pour la promotion de la famille)</w:t>
            </w:r>
          </w:p>
          <w:p w:rsidRPr="00723DA7" w:rsidR="009B2647" w:rsidP="009B2647" w:rsidRDefault="0032644E" w14:paraId="1F107DD1" w14:textId="0B28672C">
            <w:pPr>
              <w:spacing w:line="300" w:lineRule="exact"/>
            </w:pPr>
            <w:r w:rsidRPr="00723DA7">
              <w:t xml:space="preserve">ADFFE : Association pour le </w:t>
            </w:r>
            <w:r w:rsidRPr="00723DA7" w:rsidR="004813B1">
              <w:t>Développement</w:t>
            </w:r>
            <w:r w:rsidRPr="00723DA7">
              <w:t xml:space="preserve"> de la Famille</w:t>
            </w:r>
            <w:r w:rsidR="004813B1">
              <w:t xml:space="preserve">, </w:t>
            </w:r>
            <w:r w:rsidRPr="00723DA7">
              <w:t>Femme et Enfant</w:t>
            </w:r>
          </w:p>
          <w:p w:rsidRPr="00723DA7" w:rsidR="005B44AB" w:rsidP="009B2647" w:rsidRDefault="0032644E" w14:paraId="56B78853" w14:textId="77777777">
            <w:pPr>
              <w:spacing w:line="300" w:lineRule="exact"/>
            </w:pPr>
            <w:r w:rsidRPr="00723DA7">
              <w:t>Produire sans Complexe : Education Citoyen</w:t>
            </w:r>
          </w:p>
          <w:p w:rsidRPr="00723DA7" w:rsidR="009B2647" w:rsidP="009B2647" w:rsidRDefault="0032644E" w14:paraId="59F5CA58" w14:textId="77777777">
            <w:pPr>
              <w:spacing w:line="300" w:lineRule="exact"/>
            </w:pPr>
            <w:r w:rsidRPr="00723DA7">
              <w:t>GLOBE</w:t>
            </w:r>
          </w:p>
          <w:p w:rsidRPr="00723DA7" w:rsidR="005527E0" w:rsidP="009B2647" w:rsidRDefault="0032644E" w14:paraId="456064EA" w14:textId="77777777">
            <w:pPr>
              <w:spacing w:line="300" w:lineRule="exact"/>
            </w:pPr>
            <w:r w:rsidRPr="00723DA7">
              <w:t>Action DEV</w:t>
            </w:r>
          </w:p>
          <w:p w:rsidR="009B2647" w:rsidP="009B2647" w:rsidRDefault="0032644E" w14:paraId="1E0C41C5" w14:textId="580D5496">
            <w:pPr>
              <w:spacing w:line="300" w:lineRule="exact"/>
            </w:pPr>
            <w:proofErr w:type="spellStart"/>
            <w:r w:rsidRPr="00723DA7">
              <w:t>ONGs</w:t>
            </w:r>
            <w:proofErr w:type="spellEnd"/>
            <w:r w:rsidRPr="00723DA7">
              <w:t xml:space="preserve"> locales dans les </w:t>
            </w:r>
            <w:proofErr w:type="spellStart"/>
            <w:r w:rsidR="004025A4">
              <w:t>M</w:t>
            </w:r>
            <w:r w:rsidRPr="00723DA7">
              <w:t>oughataas</w:t>
            </w:r>
            <w:proofErr w:type="spellEnd"/>
            <w:r w:rsidR="00AB3FC0">
              <w:t xml:space="preserve"> (districts)</w:t>
            </w:r>
          </w:p>
          <w:p w:rsidRPr="00723DA7" w:rsidR="001D1459" w:rsidP="009B2647" w:rsidRDefault="001D1459" w14:paraId="4C2B8D99" w14:textId="3FC70A5D">
            <w:pPr>
              <w:spacing w:line="300" w:lineRule="exact"/>
            </w:pPr>
            <w:r>
              <w:t>INRSP (</w:t>
            </w:r>
            <w:r w:rsidR="004813B1">
              <w:t>Institut</w:t>
            </w:r>
            <w:r>
              <w:t xml:space="preserve"> National de Recherche en Santé P</w:t>
            </w:r>
            <w:r w:rsidR="004025A4">
              <w:t>u</w:t>
            </w:r>
            <w:r>
              <w:t>blique)</w:t>
            </w:r>
          </w:p>
          <w:p w:rsidRPr="006615A7" w:rsidR="00520598" w:rsidP="004B632A" w:rsidRDefault="00520598" w14:paraId="5743F776" w14:textId="77777777">
            <w:pPr>
              <w:spacing w:line="300" w:lineRule="exact"/>
              <w:rPr>
                <w:color w:val="92D050"/>
              </w:rPr>
            </w:pPr>
          </w:p>
        </w:tc>
      </w:tr>
      <w:tr w:rsidR="00520598" w:rsidTr="004813B1" w14:paraId="37BDBC40" w14:textId="77777777">
        <w:trPr>
          <w:trHeight w:val="620"/>
        </w:trPr>
        <w:tc>
          <w:tcPr>
            <w:tcW w:w="10206" w:type="dxa"/>
            <w:shd w:val="clear" w:color="auto" w:fill="F2F2F2" w:themeFill="background1" w:themeFillShade="F2"/>
          </w:tcPr>
          <w:p w:rsidRPr="00520598" w:rsidR="00520598" w:rsidP="57C08CD4" w:rsidRDefault="00520598" w14:paraId="76FF35BE" w14:textId="77777777">
            <w:pPr>
              <w:spacing w:line="300" w:lineRule="exact"/>
              <w:rPr>
                <w:b/>
                <w:bCs/>
                <w:i/>
                <w:iCs/>
                <w:color w:val="000000" w:themeColor="text1"/>
                <w:sz w:val="20"/>
                <w:szCs w:val="20"/>
              </w:rPr>
            </w:pPr>
            <w:r>
              <w:rPr>
                <w:b/>
                <w:i/>
                <w:sz w:val="20"/>
              </w:rPr>
              <w:t>3.2</w:t>
            </w:r>
            <w:r>
              <w:rPr>
                <w:b/>
                <w:i/>
                <w:sz w:val="20"/>
              </w:rPr>
              <w:tab/>
            </w:r>
            <w:r>
              <w:rPr>
                <w:b/>
                <w:i/>
                <w:sz w:val="20"/>
              </w:rPr>
              <w:t>Veuillez indiquer exactement comment vous envisagez de collaborer avec des partenaires locaux</w:t>
            </w:r>
            <w:r w:rsidR="00996F4A">
              <w:rPr>
                <w:b/>
                <w:i/>
                <w:sz w:val="20"/>
              </w:rPr>
              <w:t>.</w:t>
            </w:r>
          </w:p>
        </w:tc>
      </w:tr>
      <w:tr w:rsidR="00E80A44" w:rsidTr="004813B1" w14:paraId="5F3BF701" w14:textId="77777777">
        <w:tc>
          <w:tcPr>
            <w:tcW w:w="10206" w:type="dxa"/>
            <w:tcBorders>
              <w:top w:val="single" w:color="auto" w:sz="4" w:space="0"/>
              <w:left w:val="single" w:color="auto" w:sz="4" w:space="0"/>
              <w:bottom w:val="single" w:color="auto" w:sz="4" w:space="0"/>
              <w:right w:val="single" w:color="auto" w:sz="4" w:space="0"/>
            </w:tcBorders>
          </w:tcPr>
          <w:p w:rsidRPr="00723DA7" w:rsidR="005527E0" w:rsidP="005527E0" w:rsidRDefault="0032644E" w14:paraId="04EBB167" w14:textId="51E57477">
            <w:pPr>
              <w:spacing w:line="300" w:lineRule="exact"/>
              <w:jc w:val="both"/>
            </w:pPr>
            <w:r w:rsidRPr="00723DA7">
              <w:t xml:space="preserve">Des contrats seront signés avec les partenaires locaux </w:t>
            </w:r>
            <w:r w:rsidR="00313A98">
              <w:t xml:space="preserve">pour la mise en œuvre d’activités spécifiques pour lesquelles le PEV estime qu’ils ont un avantage comparatif particulier. </w:t>
            </w:r>
            <w:r w:rsidR="00E83F7E">
              <w:t xml:space="preserve">Il s’agit </w:t>
            </w:r>
            <w:r w:rsidR="000A7D21">
              <w:t xml:space="preserve">notamment des activités en lien direct avec les communautés, de communication, de suivi, </w:t>
            </w:r>
            <w:r w:rsidR="007A6441">
              <w:t>de relais d’information.</w:t>
            </w:r>
          </w:p>
          <w:p w:rsidR="00AB3FC0" w:rsidP="005527E0" w:rsidRDefault="0032644E" w14:paraId="61018133" w14:textId="48118419">
            <w:pPr>
              <w:spacing w:line="300" w:lineRule="exact"/>
              <w:jc w:val="both"/>
            </w:pPr>
            <w:r w:rsidRPr="00723DA7">
              <w:t xml:space="preserve">Les partenaires locaux à travers leurs relais </w:t>
            </w:r>
            <w:r w:rsidRPr="00723DA7" w:rsidR="004813B1">
              <w:t>communautaires, les</w:t>
            </w:r>
            <w:r w:rsidRPr="00723DA7">
              <w:t xml:space="preserve"> ASC</w:t>
            </w:r>
            <w:r w:rsidR="008330D5">
              <w:t xml:space="preserve">, </w:t>
            </w:r>
            <w:r w:rsidRPr="00723DA7">
              <w:t>d</w:t>
            </w:r>
            <w:r w:rsidR="007A6441">
              <w:t xml:space="preserve">evront ainsi </w:t>
            </w:r>
            <w:r w:rsidRPr="00723DA7">
              <w:t>s’</w:t>
            </w:r>
            <w:r w:rsidRPr="00723DA7" w:rsidR="004813B1">
              <w:t>acquitter</w:t>
            </w:r>
            <w:r w:rsidRPr="00723DA7">
              <w:t xml:space="preserve"> des activités </w:t>
            </w:r>
            <w:r w:rsidRPr="00723DA7" w:rsidR="008330D5">
              <w:t>communautaires, animer</w:t>
            </w:r>
            <w:r w:rsidRPr="00723DA7">
              <w:t xml:space="preserve"> des s</w:t>
            </w:r>
            <w:r w:rsidR="00AB3FC0">
              <w:t>é</w:t>
            </w:r>
            <w:r w:rsidRPr="00723DA7">
              <w:t xml:space="preserve">ances de sensibilisation communautaire sur les </w:t>
            </w:r>
            <w:r w:rsidRPr="00723DA7" w:rsidR="008330D5">
              <w:t>th</w:t>
            </w:r>
            <w:r w:rsidR="008330D5">
              <w:t>è</w:t>
            </w:r>
            <w:r w:rsidRPr="00723DA7" w:rsidR="008330D5">
              <w:t>mes</w:t>
            </w:r>
            <w:r w:rsidRPr="00723DA7">
              <w:t xml:space="preserve"> tels que </w:t>
            </w:r>
          </w:p>
          <w:p w:rsidR="00AB3FC0" w:rsidP="00AB3FC0" w:rsidRDefault="008330D5" w14:paraId="11C677FE" w14:textId="468A70AD">
            <w:pPr>
              <w:pStyle w:val="Paragraphedeliste"/>
              <w:numPr>
                <w:ilvl w:val="0"/>
                <w:numId w:val="6"/>
              </w:numPr>
              <w:spacing w:line="300" w:lineRule="exact"/>
              <w:jc w:val="both"/>
            </w:pPr>
            <w:r w:rsidRPr="00723DA7">
              <w:t>L’importance</w:t>
            </w:r>
            <w:r w:rsidRPr="00723DA7" w:rsidR="0032644E">
              <w:t xml:space="preserve"> de la vaccination </w:t>
            </w:r>
          </w:p>
          <w:p w:rsidRPr="00723DA7" w:rsidR="00185C2D" w:rsidP="00723DA7" w:rsidRDefault="008330D5" w14:paraId="4A3AB1E9" w14:textId="63D0DE31">
            <w:pPr>
              <w:pStyle w:val="Paragraphedeliste"/>
              <w:numPr>
                <w:ilvl w:val="0"/>
                <w:numId w:val="6"/>
              </w:numPr>
              <w:spacing w:line="300" w:lineRule="exact"/>
              <w:jc w:val="both"/>
            </w:pPr>
            <w:r w:rsidRPr="00723DA7">
              <w:lastRenderedPageBreak/>
              <w:t>Le</w:t>
            </w:r>
            <w:r w:rsidRPr="00723DA7" w:rsidR="0032644E">
              <w:t xml:space="preserve"> respect du calendrier vaccinal</w:t>
            </w:r>
            <w:r w:rsidR="00AB3FC0">
              <w:t>.</w:t>
            </w:r>
            <w:r>
              <w:t xml:space="preserve"> </w:t>
            </w:r>
            <w:r w:rsidRPr="00723DA7" w:rsidR="0032644E">
              <w:t xml:space="preserve">La recherche active des enfants </w:t>
            </w:r>
            <w:r w:rsidRPr="00723DA7">
              <w:t>zéro</w:t>
            </w:r>
            <w:r w:rsidRPr="00723DA7" w:rsidR="0032644E">
              <w:t xml:space="preserve"> doses et </w:t>
            </w:r>
            <w:r w:rsidR="00AB3FC0">
              <w:t>d</w:t>
            </w:r>
            <w:r w:rsidRPr="00723DA7" w:rsidR="0032644E">
              <w:t xml:space="preserve">es enfants sous vaccinées </w:t>
            </w:r>
          </w:p>
          <w:p w:rsidRPr="00723DA7" w:rsidR="005527E0" w:rsidP="008330D5" w:rsidRDefault="0032644E" w14:paraId="48C821E5" w14:textId="69A2387C">
            <w:pPr>
              <w:spacing w:line="300" w:lineRule="exact"/>
              <w:jc w:val="both"/>
            </w:pPr>
            <w:r w:rsidRPr="00723DA7">
              <w:t>Une bonne collaboration avec les infirmiers chef</w:t>
            </w:r>
            <w:r w:rsidR="009E4A29">
              <w:t>s</w:t>
            </w:r>
            <w:r w:rsidRPr="00723DA7">
              <w:t xml:space="preserve"> de postes dans la recherche et l’orientation des enfants non et sous vaccinés vers les structures sanitaires</w:t>
            </w:r>
            <w:r w:rsidR="007A6441">
              <w:t xml:space="preserve"> sera </w:t>
            </w:r>
            <w:r w:rsidR="001040F0">
              <w:t>men</w:t>
            </w:r>
            <w:r w:rsidR="007A6441">
              <w:t>é</w:t>
            </w:r>
            <w:r w:rsidR="00C128D3">
              <w:t xml:space="preserve">e à travers une AT délocalisée au niveau des Wilayas et </w:t>
            </w:r>
            <w:proofErr w:type="spellStart"/>
            <w:r w:rsidR="00C128D3">
              <w:t>Moughataas</w:t>
            </w:r>
            <w:proofErr w:type="spellEnd"/>
            <w:r w:rsidR="00C128D3">
              <w:t xml:space="preserve"> cibles</w:t>
            </w:r>
          </w:p>
          <w:p w:rsidRPr="00723DA7" w:rsidR="005527E0" w:rsidP="008330D5" w:rsidRDefault="0032644E" w14:paraId="40C91766" w14:textId="2AF52315">
            <w:pPr>
              <w:spacing w:line="300" w:lineRule="exact"/>
              <w:jc w:val="both"/>
            </w:pPr>
            <w:r w:rsidRPr="00723DA7">
              <w:t xml:space="preserve">La surveillance </w:t>
            </w:r>
            <w:r w:rsidRPr="00723DA7" w:rsidR="008330D5">
              <w:t>épidémiologique</w:t>
            </w:r>
            <w:r w:rsidRPr="00723DA7">
              <w:t xml:space="preserve"> communautaire </w:t>
            </w:r>
            <w:r w:rsidR="00C128D3">
              <w:t>sera également un sujet que l’AT prendra en charge</w:t>
            </w:r>
          </w:p>
          <w:p w:rsidR="00D31E98" w:rsidP="008330D5" w:rsidRDefault="00D31E98" w14:paraId="1B3B0F6E" w14:textId="77777777">
            <w:pPr>
              <w:spacing w:line="300" w:lineRule="exact"/>
              <w:jc w:val="both"/>
            </w:pPr>
          </w:p>
          <w:p w:rsidR="002832A6" w:rsidP="008330D5" w:rsidRDefault="00D31E98" w14:paraId="43CBB6D1" w14:textId="33B1A695">
            <w:pPr>
              <w:spacing w:line="300" w:lineRule="exact"/>
              <w:jc w:val="both"/>
            </w:pPr>
            <w:r>
              <w:t>Le suiv</w:t>
            </w:r>
            <w:r w:rsidR="002B13E1">
              <w:t>i</w:t>
            </w:r>
            <w:r>
              <w:t xml:space="preserve"> de l’assistance technique </w:t>
            </w:r>
            <w:r w:rsidR="000A0EF8">
              <w:t xml:space="preserve">se fera </w:t>
            </w:r>
            <w:proofErr w:type="spellStart"/>
            <w:r w:rsidR="000A0EF8">
              <w:t>a</w:t>
            </w:r>
            <w:proofErr w:type="spellEnd"/>
            <w:r w:rsidR="000A0EF8">
              <w:t xml:space="preserve"> travers </w:t>
            </w:r>
            <w:r w:rsidR="005C720F">
              <w:t xml:space="preserve">des </w:t>
            </w:r>
            <w:r w:rsidR="00DA7543">
              <w:t>revues/</w:t>
            </w:r>
            <w:r w:rsidR="008330D5">
              <w:t>évaluations</w:t>
            </w:r>
            <w:r w:rsidR="000D52BA">
              <w:t xml:space="preserve"> </w:t>
            </w:r>
            <w:r w:rsidR="008330D5">
              <w:t>trimestrielles</w:t>
            </w:r>
            <w:r w:rsidR="000D52BA">
              <w:t xml:space="preserve"> </w:t>
            </w:r>
            <w:r w:rsidR="00B10130">
              <w:t>de la mise en œuvre</w:t>
            </w:r>
            <w:r w:rsidR="002B13E1">
              <w:t xml:space="preserve"> des activités planifiées</w:t>
            </w:r>
            <w:r w:rsidR="002628C0">
              <w:t xml:space="preserve"> avec les organisations internationales, </w:t>
            </w:r>
            <w:r w:rsidR="00372B34">
              <w:t xml:space="preserve">les </w:t>
            </w:r>
            <w:proofErr w:type="spellStart"/>
            <w:r w:rsidR="00372B34">
              <w:t>ONG</w:t>
            </w:r>
            <w:r w:rsidR="00D46A8C">
              <w:t>s</w:t>
            </w:r>
            <w:proofErr w:type="spellEnd"/>
            <w:r w:rsidR="00372B34">
              <w:t xml:space="preserve"> impliquées, et autres parties prenantes. </w:t>
            </w:r>
          </w:p>
          <w:p w:rsidR="002832A6" w:rsidP="008330D5" w:rsidRDefault="002832A6" w14:paraId="7931512E" w14:textId="77777777">
            <w:pPr>
              <w:spacing w:line="300" w:lineRule="exact"/>
              <w:jc w:val="both"/>
            </w:pPr>
          </w:p>
          <w:p w:rsidR="00D31E98" w:rsidP="008330D5" w:rsidRDefault="002832A6" w14:paraId="74044912" w14:textId="0A01CCA0">
            <w:pPr>
              <w:spacing w:line="300" w:lineRule="exact"/>
              <w:jc w:val="both"/>
            </w:pPr>
            <w:r>
              <w:t xml:space="preserve">Ces revues </w:t>
            </w:r>
            <w:r w:rsidR="008330D5">
              <w:t>trimestrielles</w:t>
            </w:r>
            <w:r w:rsidR="00666544">
              <w:t xml:space="preserve"> </w:t>
            </w:r>
            <w:r w:rsidR="00C12AF4">
              <w:t>seront organisées</w:t>
            </w:r>
            <w:r w:rsidR="00666544">
              <w:t xml:space="preserve"> </w:t>
            </w:r>
            <w:r w:rsidR="002330B4">
              <w:t xml:space="preserve">par </w:t>
            </w:r>
            <w:r w:rsidR="00B36ECF">
              <w:t>une structure qui sera mise en place</w:t>
            </w:r>
            <w:r w:rsidR="002330B4">
              <w:t xml:space="preserve"> </w:t>
            </w:r>
            <w:r w:rsidR="00B36ECF">
              <w:t xml:space="preserve">(type </w:t>
            </w:r>
            <w:r w:rsidR="00654A25">
              <w:t>CCIA</w:t>
            </w:r>
            <w:r w:rsidR="003F1F03">
              <w:t>)</w:t>
            </w:r>
            <w:r w:rsidR="002330B4">
              <w:t xml:space="preserve">, et en coordination </w:t>
            </w:r>
            <w:r w:rsidR="00463EDE">
              <w:t xml:space="preserve">avec les acteurs du niveau </w:t>
            </w:r>
            <w:r w:rsidR="008330D5">
              <w:t>opérationnel</w:t>
            </w:r>
            <w:r w:rsidR="00463EDE">
              <w:t xml:space="preserve"> (DRS, médecins c</w:t>
            </w:r>
            <w:r w:rsidR="00AA1555">
              <w:t xml:space="preserve">hefs des </w:t>
            </w:r>
            <w:proofErr w:type="spellStart"/>
            <w:r w:rsidR="00AA1555">
              <w:t>moughataas</w:t>
            </w:r>
            <w:proofErr w:type="spellEnd"/>
            <w:r w:rsidR="00AA1555">
              <w:t>).</w:t>
            </w:r>
          </w:p>
          <w:p w:rsidRPr="00723DA7" w:rsidR="00D31E98" w:rsidP="005527E0" w:rsidRDefault="00D31E98" w14:paraId="63741F03" w14:textId="77777777">
            <w:pPr>
              <w:spacing w:line="300" w:lineRule="exact"/>
              <w:jc w:val="both"/>
            </w:pPr>
          </w:p>
          <w:p w:rsidRPr="006615A7" w:rsidR="00E80A44" w:rsidP="00E80A44" w:rsidRDefault="00E80A44" w14:paraId="78D6B072" w14:textId="77777777">
            <w:pPr>
              <w:spacing w:line="300" w:lineRule="exact"/>
              <w:rPr>
                <w:color w:val="92D050"/>
              </w:rPr>
            </w:pPr>
          </w:p>
        </w:tc>
      </w:tr>
      <w:tr w:rsidR="38F5364C" w:rsidTr="004813B1" w14:paraId="3359F340" w14:textId="77777777">
        <w:tc>
          <w:tcPr>
            <w:tcW w:w="10206" w:type="dxa"/>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2F92698C" w:rsidP="704B32F1" w:rsidRDefault="3D5C2947" w14:paraId="1A7FC94B" w14:textId="1F49C924">
            <w:pPr>
              <w:spacing w:line="300" w:lineRule="exact"/>
              <w:rPr>
                <w:b/>
                <w:bCs/>
                <w:i/>
                <w:iCs/>
                <w:color w:val="000000" w:themeColor="text1"/>
                <w:sz w:val="20"/>
                <w:szCs w:val="20"/>
              </w:rPr>
            </w:pPr>
            <w:r>
              <w:rPr>
                <w:b/>
                <w:i/>
                <w:color w:val="000000" w:themeColor="text1"/>
                <w:sz w:val="20"/>
              </w:rPr>
              <w:lastRenderedPageBreak/>
              <w:t>3.3</w:t>
            </w:r>
            <w:r>
              <w:rPr>
                <w:b/>
                <w:i/>
                <w:color w:val="000000" w:themeColor="text1"/>
                <w:sz w:val="20"/>
              </w:rPr>
              <w:tab/>
            </w:r>
            <w:r>
              <w:rPr>
                <w:b/>
                <w:i/>
                <w:color w:val="000000" w:themeColor="text1"/>
                <w:sz w:val="20"/>
              </w:rPr>
              <w:t xml:space="preserve">Veuillez indiquer l'allocation d'assistance pays ciblée aux partenaires locaux (uniquement) et décrire l'approche que vous utiliserez pour respecter la recommandation d'allouer 30% de l'assistance pays ciblée à des partenaires locaux au cours de la période de 2022-2025. </w:t>
            </w:r>
            <w:r>
              <w:rPr>
                <w:i/>
                <w:sz w:val="20"/>
              </w:rPr>
              <w:t xml:space="preserve">Prière de vous reporter à la Section 2.3 (3. </w:t>
            </w:r>
            <w:r w:rsidR="008330D5">
              <w:rPr>
                <w:i/>
                <w:sz w:val="20"/>
              </w:rPr>
              <w:t xml:space="preserve">Recensement </w:t>
            </w:r>
            <w:r>
              <w:rPr>
                <w:i/>
                <w:sz w:val="20"/>
              </w:rPr>
              <w:t>des partenaires) des Directives de planification de l'assistance pays ciblée du Cadre d'engagement des partenaires pour de plus amples informations.</w:t>
            </w:r>
          </w:p>
        </w:tc>
      </w:tr>
      <w:tr w:rsidR="38F5364C" w:rsidTr="004813B1" w14:paraId="658C3985" w14:textId="77777777">
        <w:tc>
          <w:tcPr>
            <w:tcW w:w="10206" w:type="dxa"/>
            <w:tcBorders>
              <w:top w:val="single" w:color="auto" w:sz="4" w:space="0"/>
              <w:left w:val="single" w:color="auto" w:sz="4" w:space="0"/>
              <w:bottom w:val="single" w:color="auto" w:sz="4" w:space="0"/>
              <w:right w:val="single" w:color="auto" w:sz="4" w:space="0"/>
            </w:tcBorders>
          </w:tcPr>
          <w:p w:rsidR="38F5364C" w:rsidP="008330D5" w:rsidRDefault="005527E0" w14:paraId="1CD5B026" w14:textId="77777777">
            <w:pPr>
              <w:spacing w:line="300" w:lineRule="exact"/>
              <w:jc w:val="both"/>
            </w:pPr>
            <w:r>
              <w:t xml:space="preserve">L’allocation d’assistance respectera le niveau de 30% au profit des partenaires locaux. Un recensement de ces partenaires sera fait et une évaluation de leurs performances précédentes permettra de faire la sélection sur la base d’un processus transparent prenant en compte des critères déterminés à l’avance. </w:t>
            </w:r>
          </w:p>
          <w:p w:rsidRPr="006615A7" w:rsidR="009A0B00" w:rsidP="008330D5" w:rsidRDefault="009A0B00" w14:paraId="4CD369BC" w14:textId="38B6808E">
            <w:pPr>
              <w:spacing w:line="300" w:lineRule="exact"/>
              <w:jc w:val="both"/>
            </w:pPr>
            <w:r>
              <w:t xml:space="preserve">Le PEV accorde une grande importance à renforcer son réseau de partenaires locaux tout en </w:t>
            </w:r>
            <w:r w:rsidR="00DD49E7">
              <w:t>contribuant au renforcement des capacités des structures locales au niveau des régions et districts</w:t>
            </w:r>
            <w:r w:rsidR="00FE77AD">
              <w:t xml:space="preserve">. Les partenariats actuels sont trop faibles et </w:t>
            </w:r>
            <w:r w:rsidR="00876109">
              <w:t xml:space="preserve">cela pénalise l’appropriation par tous les échelons de la pyramide des priorités du PEV autour du </w:t>
            </w:r>
            <w:r w:rsidR="001A41BA">
              <w:t xml:space="preserve">soutien à la routine et à la lutte contre la sous vaccination. </w:t>
            </w:r>
            <w:r w:rsidR="0016173A">
              <w:t>L’AT permettra de structurer ce réseau notamment dans le cadre d</w:t>
            </w:r>
            <w:r w:rsidR="005F2018">
              <w:t xml:space="preserve">u travail sur </w:t>
            </w:r>
            <w:r w:rsidR="0016173A">
              <w:t xml:space="preserve">la </w:t>
            </w:r>
            <w:r w:rsidRPr="0016173A" w:rsidR="0016173A">
              <w:t>stratégie nationale d’immunisation</w:t>
            </w:r>
            <w:r w:rsidR="0016173A">
              <w:t>, la mise en place des structures de pilotage du programme à tous les niveaux (CCIA, NITAG, COGES)</w:t>
            </w:r>
            <w:r w:rsidR="005F2018">
              <w:t xml:space="preserve"> ou l’é</w:t>
            </w:r>
            <w:r w:rsidR="0016173A">
              <w:t xml:space="preserve">laboration d’une stratégie </w:t>
            </w:r>
            <w:r w:rsidR="008330D5">
              <w:t>adaptée</w:t>
            </w:r>
            <w:r w:rsidR="0016173A">
              <w:t xml:space="preserve"> pour l’atteinte des </w:t>
            </w:r>
            <w:r w:rsidR="008330D5">
              <w:t>enfants zéro</w:t>
            </w:r>
            <w:r w:rsidR="005F2018">
              <w:t xml:space="preserve"> dose tels que prévu</w:t>
            </w:r>
            <w:r w:rsidR="00666544">
              <w:t>e</w:t>
            </w:r>
            <w:r w:rsidR="005F2018">
              <w:t xml:space="preserve"> par l’AT.</w:t>
            </w:r>
          </w:p>
        </w:tc>
      </w:tr>
      <w:tr w:rsidR="009F19F8" w:rsidTr="004813B1" w14:paraId="1FA7AD5D" w14:textId="77777777">
        <w:tc>
          <w:tcPr>
            <w:tcW w:w="10206" w:type="dxa"/>
            <w:tcBorders>
              <w:top w:val="single" w:color="FFFFFF" w:themeColor="background1" w:sz="4" w:space="0"/>
              <w:left w:val="none" w:color="FFFFFF" w:themeColor="background1" w:sz="4" w:space="0"/>
              <w:bottom w:val="single" w:color="auto" w:sz="4" w:space="0"/>
              <w:right w:val="none" w:color="FFFFFF" w:themeColor="background1" w:sz="4" w:space="0"/>
            </w:tcBorders>
            <w:shd w:val="clear" w:color="auto" w:fill="F2F2F2" w:themeFill="background1" w:themeFillShade="F2"/>
          </w:tcPr>
          <w:p w:rsidR="009F19F8" w:rsidP="00752CEA" w:rsidRDefault="009F19F8" w14:paraId="4F87968E" w14:textId="645BD517">
            <w:pPr>
              <w:spacing w:line="300" w:lineRule="exact"/>
              <w:rPr>
                <w:b/>
                <w:bCs/>
                <w:i/>
                <w:iCs/>
                <w:color w:val="000000" w:themeColor="text1"/>
                <w:sz w:val="20"/>
                <w:szCs w:val="20"/>
              </w:rPr>
            </w:pPr>
            <w:r>
              <w:rPr>
                <w:b/>
                <w:i/>
                <w:color w:val="000000" w:themeColor="text1"/>
                <w:sz w:val="20"/>
              </w:rPr>
              <w:t>3.4</w:t>
            </w:r>
            <w:r>
              <w:rPr>
                <w:b/>
                <w:i/>
                <w:color w:val="000000" w:themeColor="text1"/>
                <w:sz w:val="20"/>
              </w:rPr>
              <w:tab/>
            </w:r>
            <w:r w:rsidRPr="00F104A0">
              <w:rPr>
                <w:b/>
                <w:i/>
                <w:color w:val="000000" w:themeColor="text1"/>
                <w:sz w:val="20"/>
              </w:rPr>
              <w:t>Veuillez noter l'allocation</w:t>
            </w:r>
            <w:r w:rsidRPr="00880860">
              <w:rPr>
                <w:b/>
                <w:i/>
                <w:color w:val="000000" w:themeColor="text1"/>
                <w:sz w:val="20"/>
              </w:rPr>
              <w:t xml:space="preserve"> d'assistance</w:t>
            </w:r>
            <w:r>
              <w:rPr>
                <w:b/>
                <w:i/>
                <w:color w:val="000000" w:themeColor="text1"/>
                <w:sz w:val="20"/>
              </w:rPr>
              <w:t xml:space="preserve"> pays ciblée aux OSC uniquement (qu'il s'agisse de partenaires </w:t>
            </w:r>
            <w:r w:rsidRPr="006E3CBA" w:rsidR="006E3CBA">
              <w:rPr>
                <w:b/>
                <w:i/>
                <w:color w:val="000000" w:themeColor="text1"/>
                <w:sz w:val="20"/>
              </w:rPr>
              <w:t>mondiaux</w:t>
            </w:r>
            <w:r w:rsidR="004F171D">
              <w:rPr>
                <w:b/>
                <w:i/>
                <w:color w:val="000000" w:themeColor="text1"/>
                <w:sz w:val="20"/>
              </w:rPr>
              <w:t xml:space="preserve"> </w:t>
            </w:r>
            <w:r>
              <w:rPr>
                <w:b/>
                <w:i/>
                <w:color w:val="000000" w:themeColor="text1"/>
                <w:sz w:val="20"/>
              </w:rPr>
              <w:t xml:space="preserve">ou de partenaires </w:t>
            </w:r>
            <w:r w:rsidR="00DC1FD3">
              <w:rPr>
                <w:b/>
                <w:i/>
                <w:color w:val="000000" w:themeColor="text1"/>
                <w:sz w:val="20"/>
              </w:rPr>
              <w:t xml:space="preserve">locaux </w:t>
            </w:r>
            <w:r>
              <w:rPr>
                <w:b/>
                <w:i/>
                <w:color w:val="000000" w:themeColor="text1"/>
                <w:sz w:val="20"/>
              </w:rPr>
              <w:t xml:space="preserve">élargis) et décrire l'approche que vous utiliserez pour respecter l'exigence d'allouer 10% des plafonds d'assistance pays ciblée, de financement accélérateur de l'équité et de RSS à la mise en œuvre des OSC (p. ex., si moins de 10% du financement de l'assistance pays ciblée sont alloués aux OSC, indiquez comment cela sera compensé aux OSC par l'allocation de RSS et le financement accélérateur de l'équité).  </w:t>
            </w:r>
            <w:r>
              <w:rPr>
                <w:i/>
                <w:sz w:val="20"/>
              </w:rPr>
              <w:t xml:space="preserve">Prière de vous reporter à la Section 2.3 (3. </w:t>
            </w:r>
            <w:r w:rsidR="004F171D">
              <w:rPr>
                <w:i/>
                <w:sz w:val="20"/>
              </w:rPr>
              <w:t xml:space="preserve">Recensement </w:t>
            </w:r>
            <w:r>
              <w:rPr>
                <w:i/>
                <w:sz w:val="20"/>
              </w:rPr>
              <w:t>des partenaires) des Directives de planification de l'assistance pays ciblée du Cadre d'engagement des partenaires pour de plus amples informations.</w:t>
            </w:r>
          </w:p>
        </w:tc>
      </w:tr>
      <w:tr w:rsidR="009F19F8" w:rsidTr="004813B1" w14:paraId="23A0221F" w14:textId="77777777">
        <w:tc>
          <w:tcPr>
            <w:tcW w:w="10206" w:type="dxa"/>
            <w:tcBorders>
              <w:top w:val="single" w:color="auto" w:sz="4" w:space="0"/>
              <w:left w:val="single" w:color="auto" w:sz="4" w:space="0"/>
              <w:bottom w:val="single" w:color="auto" w:sz="4" w:space="0"/>
              <w:right w:val="single" w:color="auto" w:sz="4" w:space="0"/>
            </w:tcBorders>
          </w:tcPr>
          <w:p w:rsidRPr="006615A7" w:rsidR="009F19F8" w:rsidP="004F171D" w:rsidRDefault="005527E0" w14:paraId="7EB29236" w14:textId="77777777">
            <w:pPr>
              <w:spacing w:line="300" w:lineRule="exact"/>
              <w:jc w:val="both"/>
            </w:pPr>
            <w:r>
              <w:t xml:space="preserve">L’allocation d’assistance respectera le niveau de </w:t>
            </w:r>
            <w:r w:rsidR="008E4F54">
              <w:t>1</w:t>
            </w:r>
            <w:r>
              <w:t xml:space="preserve">0% au profit des </w:t>
            </w:r>
            <w:r w:rsidR="008E4F54">
              <w:t>OSC</w:t>
            </w:r>
            <w:r>
              <w:t xml:space="preserve">. Un recensement de ces </w:t>
            </w:r>
            <w:proofErr w:type="spellStart"/>
            <w:r w:rsidR="008E4F54">
              <w:t>OSC</w:t>
            </w:r>
            <w:r>
              <w:t>s</w:t>
            </w:r>
            <w:proofErr w:type="spellEnd"/>
            <w:r>
              <w:t xml:space="preserve"> sera fait et une évaluation de leurs performances précédentes permettra de faire la sélection sur la base d’un processus transparent prenant en compte des critères déterminés à l’avance.</w:t>
            </w:r>
          </w:p>
        </w:tc>
      </w:tr>
    </w:tbl>
    <w:p w:rsidR="001B5003" w:rsidP="00372D1F" w:rsidRDefault="001B5003" w14:paraId="5149C685" w14:textId="77777777">
      <w:pPr>
        <w:pStyle w:val="Paragraphedeliste"/>
        <w:spacing w:line="300" w:lineRule="exact"/>
        <w:ind w:left="0"/>
        <w:jc w:val="right"/>
        <w:rPr>
          <w:b/>
          <w:color w:val="70AD47" w:themeColor="accent6"/>
          <w:sz w:val="26"/>
          <w:szCs w:val="26"/>
        </w:rPr>
      </w:pPr>
    </w:p>
    <w:p w:rsidR="001B5003" w:rsidRDefault="001B5003" w14:paraId="1651AC31" w14:textId="77777777">
      <w:pPr>
        <w:spacing w:after="160" w:line="259" w:lineRule="auto"/>
        <w:rPr>
          <w:b/>
          <w:color w:val="70AD47" w:themeColor="accent6"/>
          <w:sz w:val="26"/>
          <w:szCs w:val="26"/>
        </w:rPr>
      </w:pPr>
      <w:r>
        <w:rPr>
          <w:b/>
          <w:color w:val="70AD47" w:themeColor="accent6"/>
          <w:sz w:val="26"/>
          <w:szCs w:val="26"/>
        </w:rPr>
        <w:br w:type="page"/>
      </w:r>
    </w:p>
    <w:p w:rsidRPr="009F19F8" w:rsidR="00372D1F" w:rsidP="00372D1F" w:rsidRDefault="00372D1F" w14:paraId="56479F67" w14:textId="77777777">
      <w:pPr>
        <w:pStyle w:val="Paragraphedeliste"/>
        <w:spacing w:line="300" w:lineRule="exact"/>
        <w:ind w:left="0"/>
        <w:jc w:val="right"/>
        <w:rPr>
          <w:b/>
          <w:color w:val="70AD47" w:themeColor="accent6"/>
          <w:sz w:val="26"/>
          <w:szCs w:val="26"/>
        </w:rPr>
      </w:pPr>
    </w:p>
    <w:p w:rsidRPr="0033192A" w:rsidR="009F0292" w:rsidP="00CE1F57" w:rsidRDefault="009F0292" w14:paraId="14BB16D3" w14:textId="77777777">
      <w:pPr>
        <w:pStyle w:val="Paragraphedeliste"/>
        <w:numPr>
          <w:ilvl w:val="0"/>
          <w:numId w:val="4"/>
        </w:numPr>
        <w:spacing w:line="300" w:lineRule="exact"/>
        <w:rPr>
          <w:b/>
          <w:color w:val="84C650"/>
          <w:sz w:val="26"/>
          <w:szCs w:val="26"/>
        </w:rPr>
      </w:pPr>
      <w:r>
        <w:rPr>
          <w:b/>
          <w:color w:val="70AD47" w:themeColor="accent6"/>
          <w:sz w:val="26"/>
        </w:rPr>
        <w:t xml:space="preserve">Enseignements tirés </w:t>
      </w:r>
      <w:r w:rsidRPr="00880860" w:rsidR="00880860">
        <w:rPr>
          <w:b/>
          <w:color w:val="70AD47" w:themeColor="accent6"/>
          <w:sz w:val="26"/>
        </w:rPr>
        <w:t xml:space="preserve">de l'expérience passée en matière d'assistance technique </w:t>
      </w:r>
      <w:r>
        <w:rPr>
          <w:b/>
          <w:color w:val="70AD47" w:themeColor="accent6"/>
          <w:sz w:val="26"/>
        </w:rPr>
        <w:t>(0,5 page)</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9F0292" w:rsidTr="00DD391A" w14:paraId="60C43947" w14:textId="77777777">
        <w:tc>
          <w:tcPr>
            <w:tcW w:w="9192" w:type="dxa"/>
            <w:tcBorders>
              <w:bottom w:val="single" w:color="auto" w:sz="4" w:space="0"/>
            </w:tcBorders>
            <w:shd w:val="clear" w:color="auto" w:fill="F2F2F2" w:themeFill="background1" w:themeFillShade="F2"/>
          </w:tcPr>
          <w:p w:rsidRPr="00B614D7" w:rsidR="009F0292" w:rsidP="00871FCF" w:rsidRDefault="0033192A" w14:paraId="68675F69" w14:textId="77777777">
            <w:pPr>
              <w:spacing w:line="300" w:lineRule="exact"/>
              <w:rPr>
                <w:b/>
                <w:bCs/>
                <w:color w:val="92D050"/>
              </w:rPr>
            </w:pPr>
            <w:r>
              <w:rPr>
                <w:b/>
                <w:i/>
                <w:color w:val="000000" w:themeColor="text1"/>
                <w:sz w:val="20"/>
              </w:rPr>
              <w:t>4.1</w:t>
            </w:r>
            <w:r>
              <w:rPr>
                <w:b/>
                <w:i/>
                <w:color w:val="000000" w:themeColor="text1"/>
                <w:sz w:val="20"/>
              </w:rPr>
              <w:tab/>
            </w:r>
            <w:r>
              <w:rPr>
                <w:b/>
                <w:i/>
                <w:color w:val="000000" w:themeColor="text1"/>
                <w:sz w:val="20"/>
              </w:rPr>
              <w:t xml:space="preserve">Veuillez expliquer comment le plan d'assistance pays ciblée s'appuiera sur la performance passée, les enseignements tirés et les meilleures pratiques des activités d'assistance pays ciblée de votre précédent plan d'assistance pays ciblée, dont les contributions au programme national et le renforcement des connaissances/capacités, et comment cela a été pris en compte dans la présente planification et hiérarchisation de l'assistance pays ciblée. </w:t>
            </w:r>
          </w:p>
        </w:tc>
      </w:tr>
      <w:tr w:rsidR="009F0292" w:rsidTr="00DD391A" w14:paraId="32FA295F" w14:textId="77777777">
        <w:tc>
          <w:tcPr>
            <w:tcW w:w="9192" w:type="dxa"/>
            <w:tcBorders>
              <w:top w:val="single" w:color="auto" w:sz="4" w:space="0"/>
              <w:left w:val="single" w:color="auto" w:sz="4" w:space="0"/>
              <w:bottom w:val="single" w:color="auto" w:sz="4" w:space="0"/>
              <w:right w:val="single" w:color="auto" w:sz="4" w:space="0"/>
            </w:tcBorders>
          </w:tcPr>
          <w:p w:rsidRPr="004F171D" w:rsidR="009F0292" w:rsidP="004F171D" w:rsidRDefault="0032644E" w14:paraId="62D6357A" w14:textId="77777777">
            <w:pPr>
              <w:spacing w:line="300" w:lineRule="exact"/>
              <w:jc w:val="both"/>
            </w:pPr>
            <w:r w:rsidRPr="004F171D">
              <w:t>Les expériences passées ont montré que quasiment seules les organisations internationales ont contribué au développement du PEV à travers le TCA. Ce TCA veillera à une implication effective et adéquate de partenaires locaux et des OSC.</w:t>
            </w:r>
          </w:p>
          <w:p w:rsidRPr="004F171D" w:rsidR="00DE273F" w:rsidP="004F171D" w:rsidRDefault="00DE273F" w14:paraId="4ECE7D9C" w14:textId="77777777">
            <w:pPr>
              <w:spacing w:line="300" w:lineRule="exact"/>
              <w:jc w:val="both"/>
            </w:pPr>
          </w:p>
          <w:p w:rsidRPr="004F171D" w:rsidR="00DE273F" w:rsidP="004F171D" w:rsidRDefault="00AE5E31" w14:paraId="62B59FEA" w14:textId="000E4463">
            <w:pPr>
              <w:spacing w:line="300" w:lineRule="exact"/>
              <w:jc w:val="both"/>
            </w:pPr>
            <w:r w:rsidRPr="004F171D">
              <w:t>Grace aux financement</w:t>
            </w:r>
            <w:r w:rsidRPr="004F171D" w:rsidR="00095E0D">
              <w:t xml:space="preserve">s TCA, </w:t>
            </w:r>
            <w:r w:rsidRPr="004F171D" w:rsidR="00181769">
              <w:t xml:space="preserve">l’OMS a mis en </w:t>
            </w:r>
            <w:r w:rsidRPr="004F171D" w:rsidR="004D326C">
              <w:t xml:space="preserve">œuvre un </w:t>
            </w:r>
            <w:r w:rsidRPr="004F171D" w:rsidR="00D204E6">
              <w:t>ensemble d’activités</w:t>
            </w:r>
            <w:r w:rsidRPr="004F171D" w:rsidR="00666544">
              <w:t xml:space="preserve"> </w:t>
            </w:r>
            <w:r w:rsidRPr="004F171D" w:rsidR="008D544B">
              <w:t>essentielles</w:t>
            </w:r>
            <w:r w:rsidRPr="004F171D" w:rsidR="00666544">
              <w:t xml:space="preserve"> à</w:t>
            </w:r>
            <w:r w:rsidRPr="004F171D" w:rsidR="00D965D2">
              <w:t xml:space="preserve"> la</w:t>
            </w:r>
            <w:r w:rsidRPr="004F171D" w:rsidR="00AD36CF">
              <w:t xml:space="preserve"> lutte contre les maladies </w:t>
            </w:r>
            <w:r w:rsidRPr="004F171D" w:rsidR="004F171D">
              <w:t>évitables</w:t>
            </w:r>
            <w:r w:rsidRPr="004F171D" w:rsidR="00AD36CF">
              <w:t xml:space="preserve"> par la vaccinatio</w:t>
            </w:r>
            <w:r w:rsidRPr="004F171D" w:rsidR="004D326C">
              <w:t>n</w:t>
            </w:r>
            <w:r w:rsidRPr="004F171D" w:rsidR="00F46A57">
              <w:t xml:space="preserve">, </w:t>
            </w:r>
            <w:r w:rsidRPr="004F171D" w:rsidR="00666544">
              <w:t>notamment</w:t>
            </w:r>
            <w:r w:rsidRPr="004F171D" w:rsidR="003D0058">
              <w:t> :</w:t>
            </w:r>
            <w:r w:rsidRPr="004F171D" w:rsidR="00F46A57">
              <w:t> :</w:t>
            </w:r>
          </w:p>
          <w:p w:rsidRPr="004F171D" w:rsidR="00F46A57" w:rsidP="004F171D" w:rsidRDefault="00E94389" w14:paraId="6CC4B078" w14:textId="5A910193">
            <w:pPr>
              <w:pStyle w:val="Paragraphedeliste"/>
              <w:numPr>
                <w:ilvl w:val="0"/>
                <w:numId w:val="11"/>
              </w:numPr>
              <w:spacing w:line="300" w:lineRule="exact"/>
              <w:jc w:val="both"/>
            </w:pPr>
            <w:r w:rsidRPr="004F171D">
              <w:t>Réalisation d’une revue approfondie de la qualité des données</w:t>
            </w:r>
            <w:r w:rsidRPr="004F171D" w:rsidR="00663345">
              <w:t>, suivi de l’élaboration d’un</w:t>
            </w:r>
            <w:r w:rsidRPr="004F171D" w:rsidR="00F655B4">
              <w:t xml:space="preserve"> plan d’</w:t>
            </w:r>
            <w:r w:rsidRPr="004F171D" w:rsidR="004F171D">
              <w:t>amélioration</w:t>
            </w:r>
            <w:r w:rsidRPr="004F171D" w:rsidR="00F655B4">
              <w:t xml:space="preserve"> de la qualité des données de la vaccination</w:t>
            </w:r>
            <w:r w:rsidRPr="004F171D" w:rsidR="0037503A">
              <w:t>, et l’introduction du DHIS2</w:t>
            </w:r>
            <w:r w:rsidRPr="004F171D" w:rsidR="00B46F4E">
              <w:t>,</w:t>
            </w:r>
          </w:p>
          <w:p w:rsidRPr="004F171D" w:rsidR="0037503A" w:rsidP="004F171D" w:rsidRDefault="00B46F4E" w14:paraId="50B2CAFA" w14:textId="77777777">
            <w:pPr>
              <w:pStyle w:val="Paragraphedeliste"/>
              <w:numPr>
                <w:ilvl w:val="0"/>
                <w:numId w:val="11"/>
              </w:numPr>
              <w:spacing w:line="300" w:lineRule="exact"/>
              <w:jc w:val="both"/>
            </w:pPr>
            <w:r w:rsidRPr="004F171D">
              <w:t xml:space="preserve">Introduction de l’approche </w:t>
            </w:r>
            <w:proofErr w:type="spellStart"/>
            <w:r w:rsidRPr="004F171D">
              <w:t>Tailoring</w:t>
            </w:r>
            <w:proofErr w:type="spellEnd"/>
            <w:r w:rsidRPr="004F171D">
              <w:t xml:space="preserve"> Immunisation Programs (TIP)</w:t>
            </w:r>
            <w:r w:rsidRPr="004F171D" w:rsidR="0077777E">
              <w:t>,</w:t>
            </w:r>
          </w:p>
          <w:p w:rsidRPr="004F171D" w:rsidR="009823C5" w:rsidP="004F171D" w:rsidRDefault="008F5ABF" w14:paraId="7621BB7F" w14:textId="100E9C0C">
            <w:pPr>
              <w:pStyle w:val="Paragraphedeliste"/>
              <w:numPr>
                <w:ilvl w:val="0"/>
                <w:numId w:val="11"/>
              </w:numPr>
              <w:spacing w:line="300" w:lineRule="exact"/>
              <w:jc w:val="both"/>
            </w:pPr>
            <w:r w:rsidRPr="004F171D">
              <w:t xml:space="preserve">Formation du personnel </w:t>
            </w:r>
            <w:r w:rsidRPr="004F171D" w:rsidR="00601385">
              <w:t xml:space="preserve">PEV sur la vaccination dans les </w:t>
            </w:r>
            <w:r w:rsidRPr="004F171D" w:rsidR="004F171D">
              <w:t>régions</w:t>
            </w:r>
            <w:r w:rsidRPr="004F171D" w:rsidR="00601385">
              <w:t xml:space="preserve"> prioritaires,</w:t>
            </w:r>
          </w:p>
          <w:p w:rsidRPr="004F171D" w:rsidR="00601385" w:rsidP="004F171D" w:rsidRDefault="000D51E6" w14:paraId="0722FFCF" w14:textId="77777777">
            <w:pPr>
              <w:pStyle w:val="Paragraphedeliste"/>
              <w:numPr>
                <w:ilvl w:val="0"/>
                <w:numId w:val="11"/>
              </w:numPr>
              <w:spacing w:line="300" w:lineRule="exact"/>
              <w:jc w:val="both"/>
            </w:pPr>
            <w:r w:rsidRPr="004F171D">
              <w:t xml:space="preserve">Réalisations des supervisions formatives </w:t>
            </w:r>
            <w:r w:rsidRPr="004F171D" w:rsidR="004B4D28">
              <w:t>trimestrielles dans les wilayas/</w:t>
            </w:r>
            <w:proofErr w:type="spellStart"/>
            <w:r w:rsidRPr="004F171D" w:rsidR="004B4D28">
              <w:t>moughataas</w:t>
            </w:r>
            <w:proofErr w:type="spellEnd"/>
            <w:r w:rsidRPr="004F171D" w:rsidR="004B4D28">
              <w:t xml:space="preserve"> a faibles couvertures vaccinales</w:t>
            </w:r>
            <w:r w:rsidRPr="004F171D" w:rsidR="007013C4">
              <w:t>,</w:t>
            </w:r>
          </w:p>
          <w:p w:rsidRPr="004F171D" w:rsidR="007013C4" w:rsidP="004F171D" w:rsidRDefault="007013C4" w14:paraId="64BC67A9" w14:textId="0C0435CE">
            <w:pPr>
              <w:pStyle w:val="Paragraphedeliste"/>
              <w:numPr>
                <w:ilvl w:val="0"/>
                <w:numId w:val="11"/>
              </w:numPr>
              <w:spacing w:line="300" w:lineRule="exact"/>
              <w:jc w:val="both"/>
            </w:pPr>
            <w:r w:rsidRPr="004F171D">
              <w:t>Introduction des vaccins (RR</w:t>
            </w:r>
            <w:r w:rsidRPr="004F171D" w:rsidR="003C407D">
              <w:t>/</w:t>
            </w:r>
            <w:r w:rsidRPr="004F171D" w:rsidR="004F171D">
              <w:t>première</w:t>
            </w:r>
            <w:r w:rsidRPr="004F171D" w:rsidR="003C407D">
              <w:t xml:space="preserve"> dose), et HPV (</w:t>
            </w:r>
            <w:r w:rsidRPr="004F171D" w:rsidR="004F171D">
              <w:t>première</w:t>
            </w:r>
            <w:r w:rsidRPr="004F171D" w:rsidR="003C407D">
              <w:t xml:space="preserve"> et deuxième dose) dans le PEV de routine</w:t>
            </w:r>
            <w:r w:rsidRPr="004F171D" w:rsidR="00D65349">
              <w:t>,</w:t>
            </w:r>
            <w:r w:rsidRPr="004F171D" w:rsidR="00F04166">
              <w:t xml:space="preserve"> nvpo2/riposte Polio</w:t>
            </w:r>
          </w:p>
          <w:p w:rsidRPr="004F171D" w:rsidR="00185C2D" w:rsidP="004F171D" w:rsidRDefault="0032644E" w14:paraId="2AE1B8D4" w14:textId="0A68AED0">
            <w:pPr>
              <w:pStyle w:val="Paragraphedeliste"/>
              <w:numPr>
                <w:ilvl w:val="0"/>
                <w:numId w:val="11"/>
              </w:numPr>
              <w:autoSpaceDE w:val="0"/>
              <w:autoSpaceDN w:val="0"/>
              <w:adjustRightInd w:val="0"/>
              <w:spacing w:line="240" w:lineRule="auto"/>
              <w:jc w:val="both"/>
            </w:pPr>
            <w:r w:rsidRPr="004F171D">
              <w:rPr>
                <w:rFonts w:eastAsiaTheme="minorHAnsi"/>
                <w:lang w:eastAsia="en-US"/>
              </w:rPr>
              <w:t xml:space="preserve">Finalisation et soumission annuelle du joint report </w:t>
            </w:r>
            <w:proofErr w:type="spellStart"/>
            <w:r w:rsidRPr="004F171D">
              <w:rPr>
                <w:rFonts w:eastAsiaTheme="minorHAnsi"/>
                <w:lang w:eastAsia="en-US"/>
              </w:rPr>
              <w:t>form</w:t>
            </w:r>
            <w:proofErr w:type="spellEnd"/>
            <w:r w:rsidRPr="004F171D">
              <w:rPr>
                <w:rFonts w:eastAsiaTheme="minorHAnsi"/>
                <w:lang w:eastAsia="en-US"/>
              </w:rPr>
              <w:t xml:space="preserve"> (JRF), L’analyse du risque polio pour les quatre trimestres de  chaque année (S1, S2, S3, S4), l’analyse hebdomadaire de la base de données des PFA et de la Rougeole/Rubéole, et l’analyse mensuelle de la base de données du PEV de routine, L’évaluation conjointe GAVI/évaluation multipartite: Il s’agit d’une évaluation annuelle, nationale et multipartite de la progression de mise en </w:t>
            </w:r>
            <w:r w:rsidRPr="004F171D" w:rsidR="004F171D">
              <w:rPr>
                <w:rFonts w:eastAsiaTheme="minorHAnsi"/>
                <w:lang w:eastAsia="en-US"/>
              </w:rPr>
              <w:t>œuvre</w:t>
            </w:r>
            <w:r w:rsidRPr="004F171D">
              <w:rPr>
                <w:rFonts w:eastAsiaTheme="minorHAnsi"/>
                <w:lang w:eastAsia="en-US"/>
              </w:rPr>
              <w:t xml:space="preserve"> et de la performance du soutien de Gavi au pays et de sa contribution à l'amélioration des résultats en matière de vaccination,</w:t>
            </w:r>
          </w:p>
          <w:p w:rsidRPr="004F171D" w:rsidR="00D65349" w:rsidP="004F171D" w:rsidRDefault="007F45E2" w14:paraId="307C6F37" w14:textId="41C22932">
            <w:pPr>
              <w:pStyle w:val="Paragraphedeliste"/>
              <w:numPr>
                <w:ilvl w:val="0"/>
                <w:numId w:val="11"/>
              </w:numPr>
              <w:spacing w:line="300" w:lineRule="exact"/>
              <w:jc w:val="both"/>
            </w:pPr>
            <w:r w:rsidRPr="004F171D">
              <w:t xml:space="preserve">Elaboration du plan national de </w:t>
            </w:r>
            <w:r w:rsidRPr="004F171D" w:rsidR="004F171D">
              <w:t>déploiement</w:t>
            </w:r>
            <w:r w:rsidRPr="004F171D">
              <w:t xml:space="preserve"> des </w:t>
            </w:r>
            <w:r w:rsidRPr="004F171D" w:rsidR="00755216">
              <w:t xml:space="preserve">vaccins covid19, outils techniques </w:t>
            </w:r>
            <w:r w:rsidRPr="004F171D" w:rsidR="000B2984">
              <w:t xml:space="preserve">de la vaccination covid19, formation du personnel impliqué dans la mise en œuvre </w:t>
            </w:r>
            <w:r w:rsidRPr="004F171D" w:rsidR="003C2E1A">
              <w:t>de la vaccination covid19, mise en œuvre de six campagnes de vaccination covid19</w:t>
            </w:r>
            <w:r w:rsidRPr="004F171D" w:rsidR="008C164D">
              <w:t>,</w:t>
            </w:r>
          </w:p>
          <w:p w:rsidRPr="004F171D" w:rsidR="008C164D" w:rsidP="004F171D" w:rsidRDefault="008C164D" w14:paraId="30C34E6C" w14:textId="01BD1DD2">
            <w:pPr>
              <w:pStyle w:val="Paragraphedeliste"/>
              <w:numPr>
                <w:ilvl w:val="0"/>
                <w:numId w:val="11"/>
              </w:numPr>
              <w:spacing w:line="300" w:lineRule="exact"/>
              <w:jc w:val="both"/>
            </w:pPr>
            <w:r w:rsidRPr="004F171D">
              <w:t>Réalisation d’une étude d’impact du covid19</w:t>
            </w:r>
            <w:r w:rsidRPr="004F171D" w:rsidR="007B39D0">
              <w:t xml:space="preserve"> sur les services de santé essentiels, y compris la vaccination,</w:t>
            </w:r>
          </w:p>
          <w:p w:rsidRPr="004F171D" w:rsidR="00843723" w:rsidP="004F171D" w:rsidRDefault="00843723" w14:paraId="4F2DA721" w14:textId="392ABD8D">
            <w:pPr>
              <w:spacing w:line="300" w:lineRule="exact"/>
              <w:ind w:left="360"/>
              <w:jc w:val="both"/>
            </w:pPr>
            <w:r w:rsidRPr="004F171D">
              <w:t>Le recrutement des consultants nationaux</w:t>
            </w:r>
            <w:r w:rsidRPr="004F171D" w:rsidR="00A75434">
              <w:t>/OMS</w:t>
            </w:r>
            <w:r w:rsidRPr="004F171D">
              <w:t xml:space="preserve">, et leur </w:t>
            </w:r>
            <w:r w:rsidRPr="004F171D" w:rsidR="004F171D">
              <w:t>déploiement</w:t>
            </w:r>
            <w:r w:rsidRPr="004F171D" w:rsidR="008723A7">
              <w:t xml:space="preserve"> au niveau </w:t>
            </w:r>
            <w:r w:rsidRPr="004F171D" w:rsidR="004F171D">
              <w:t>opérationnel</w:t>
            </w:r>
            <w:r w:rsidRPr="004F171D" w:rsidR="008723A7">
              <w:t xml:space="preserve"> a été </w:t>
            </w:r>
            <w:r w:rsidRPr="004F171D" w:rsidR="0019550A">
              <w:t xml:space="preserve">une </w:t>
            </w:r>
            <w:r w:rsidRPr="004F171D" w:rsidR="004F171D">
              <w:t>expérience</w:t>
            </w:r>
            <w:r w:rsidRPr="004F171D" w:rsidR="0019550A">
              <w:t xml:space="preserve"> très </w:t>
            </w:r>
            <w:r w:rsidRPr="004F171D" w:rsidR="004F171D">
              <w:t>prometteuse</w:t>
            </w:r>
            <w:r w:rsidRPr="004F171D" w:rsidR="0019550A">
              <w:t xml:space="preserve">, et qui a permis d’obtenir des résultats tangibles </w:t>
            </w:r>
            <w:proofErr w:type="spellStart"/>
            <w:r w:rsidRPr="004F171D" w:rsidR="0019550A">
              <w:t xml:space="preserve">au </w:t>
            </w:r>
            <w:r w:rsidRPr="004F171D" w:rsidR="004F171D">
              <w:t>delà</w:t>
            </w:r>
            <w:proofErr w:type="spellEnd"/>
            <w:r w:rsidRPr="004F171D" w:rsidR="0019550A">
              <w:t xml:space="preserve"> </w:t>
            </w:r>
            <w:r w:rsidRPr="004F171D" w:rsidR="00310A64">
              <w:t>de la vaccination de routine (covid1</w:t>
            </w:r>
            <w:r w:rsidRPr="004F171D" w:rsidR="006D6956">
              <w:t>9)</w:t>
            </w:r>
            <w:r w:rsidRPr="004F171D" w:rsidR="00A75434">
              <w:t> ;</w:t>
            </w:r>
          </w:p>
          <w:p w:rsidRPr="004F171D" w:rsidR="008B5A04" w:rsidP="004F171D" w:rsidRDefault="008B5A04" w14:paraId="663F78F6" w14:textId="0C53AB4E">
            <w:pPr>
              <w:spacing w:line="300" w:lineRule="exact"/>
              <w:jc w:val="both"/>
            </w:pPr>
          </w:p>
          <w:p w:rsidRPr="004F171D" w:rsidR="008B5A04" w:rsidP="004F171D" w:rsidRDefault="008B5A04" w14:paraId="1CE8F1DD" w14:textId="604FEF47">
            <w:pPr>
              <w:jc w:val="both"/>
            </w:pPr>
            <w:r w:rsidRPr="004F171D">
              <w:t>Grâce à la subvention TCA/PEF, l’Unicef a apporté une assistance technique dans les domaines où il a un avantage comparatif et une valeur ajoutée :</w:t>
            </w:r>
          </w:p>
          <w:p w:rsidRPr="004F171D" w:rsidR="008B5A04" w:rsidP="004F171D" w:rsidRDefault="008B5A04" w14:paraId="2F935C97" w14:textId="77777777">
            <w:pPr>
              <w:pStyle w:val="Paragraphedeliste"/>
              <w:numPr>
                <w:ilvl w:val="0"/>
                <w:numId w:val="12"/>
              </w:numPr>
              <w:spacing w:after="160" w:line="259" w:lineRule="auto"/>
              <w:jc w:val="both"/>
            </w:pPr>
            <w:r w:rsidRPr="004F171D">
              <w:rPr>
                <w:b/>
                <w:bCs/>
              </w:rPr>
              <w:t xml:space="preserve">Dans le domaine de l’amélioration de la couverture vaccinale , l’analyse de l’équité , l’approche atteindre chaque district , communauté et enfant et la réduction des </w:t>
            </w:r>
            <w:r w:rsidRPr="004F171D">
              <w:rPr>
                <w:b/>
                <w:bCs/>
              </w:rPr>
              <w:lastRenderedPageBreak/>
              <w:t>enfants zéro dose et enfant incomplètement vacciné</w:t>
            </w:r>
            <w:r w:rsidRPr="004F171D">
              <w:t xml:space="preserve"> L’Unicef a apporté au ministère de la santé dans la conception , la mise en œuvre et l’évaluation d’un pilote des 5 districts les moins performant par la mise en œuvre de l’approche classique de l’ACD avec ses 5 composantes , l’extension de ce pilote au niveau régional  sur 5 autres districts avec une analyse de l’équité vaccinale sur la base de l’analyse des goulots d’étranglements du model de </w:t>
            </w:r>
            <w:proofErr w:type="spellStart"/>
            <w:r w:rsidRPr="004F171D">
              <w:t>Tanahashi</w:t>
            </w:r>
            <w:proofErr w:type="spellEnd"/>
            <w:r w:rsidRPr="004F171D">
              <w:t xml:space="preserve"> et la cartographie des populations marginales  et qui a évolué vers une approche de vaccination urbaine avec l’appui de groupe de jeunes pour la sensibilisation et actuellement vers une approche de réduction des enfants zéro dose à Nouakchott combinant l’ensemble des approches expérimentée et leçons apprises sur la base d’approche communautaire intégrée à d’autres interventions ( campagne de dépistage de malnutrition et distribution vit A, protection sociale, cash transfert , campagne COVID-19) fait intervenir les 6 consultants VM et C4D , les consultants ACD et COVAX en plus de l’Immunization </w:t>
            </w:r>
            <w:proofErr w:type="spellStart"/>
            <w:r w:rsidRPr="004F171D">
              <w:t>officer</w:t>
            </w:r>
            <w:proofErr w:type="spellEnd"/>
            <w:r w:rsidRPr="004F171D">
              <w:t xml:space="preserve"> et le </w:t>
            </w:r>
            <w:proofErr w:type="spellStart"/>
            <w:r w:rsidRPr="004F171D">
              <w:t>Health</w:t>
            </w:r>
            <w:proofErr w:type="spellEnd"/>
            <w:r w:rsidRPr="004F171D">
              <w:t xml:space="preserve"> Manager et </w:t>
            </w:r>
            <w:proofErr w:type="spellStart"/>
            <w:r w:rsidRPr="004F171D">
              <w:t>Specialist</w:t>
            </w:r>
            <w:proofErr w:type="spellEnd"/>
            <w:r w:rsidRPr="004F171D">
              <w:t xml:space="preserve"> en communication  </w:t>
            </w:r>
          </w:p>
          <w:p w:rsidRPr="004F171D" w:rsidR="008B5A04" w:rsidP="004F171D" w:rsidRDefault="008B5A04" w14:paraId="4353DFC4" w14:textId="39C55699">
            <w:pPr>
              <w:pStyle w:val="Paragraphedeliste"/>
              <w:numPr>
                <w:ilvl w:val="0"/>
                <w:numId w:val="12"/>
              </w:numPr>
              <w:spacing w:after="160" w:line="259" w:lineRule="auto"/>
              <w:jc w:val="both"/>
            </w:pPr>
            <w:r w:rsidRPr="004F171D">
              <w:rPr>
                <w:b/>
                <w:bCs/>
              </w:rPr>
              <w:t>La promotion de la demand</w:t>
            </w:r>
            <w:r w:rsidRPr="004F171D" w:rsidR="00F31056">
              <w:rPr>
                <w:b/>
                <w:bCs/>
              </w:rPr>
              <w:t>e</w:t>
            </w:r>
            <w:r w:rsidRPr="004F171D">
              <w:t> : un processus de formation, supervision et de coaching en communication interpersonnel a été mis en place en accompagnement du pilote ACD qui a pu former les agents vaccinateurs et leurs superviseurs dans un processus de coaching qui permet de renforcer les compétences des vaccinateurs à améliorer les connaissances des parents d’enfants sur l’importance de la vaccination et briser les barrières et obstacles à l’accès de la vaccination. Appui aux introductions des vaccins et à la sensibilisation et mobilisations sociales au moment des campagnes en plus du renforcement des compétences des vaccinateurs.</w:t>
            </w:r>
          </w:p>
          <w:p w:rsidRPr="004F171D" w:rsidR="008B5A04" w:rsidP="004F171D" w:rsidRDefault="008B5A04" w14:paraId="03BC284D" w14:textId="77777777">
            <w:pPr>
              <w:pStyle w:val="Paragraphedeliste"/>
              <w:numPr>
                <w:ilvl w:val="0"/>
                <w:numId w:val="12"/>
              </w:numPr>
              <w:spacing w:after="160" w:line="259" w:lineRule="auto"/>
              <w:jc w:val="both"/>
            </w:pPr>
            <w:r w:rsidRPr="004F171D">
              <w:rPr>
                <w:b/>
                <w:bCs/>
              </w:rPr>
              <w:t>Appui à la chaine d’approvisionnement et chaine de froid et la logistique des vaccins</w:t>
            </w:r>
            <w:r w:rsidRPr="004F171D">
              <w:t xml:space="preserve"> : </w:t>
            </w:r>
          </w:p>
          <w:p w:rsidRPr="004F171D" w:rsidR="008B5A04" w:rsidP="004F171D" w:rsidRDefault="008B5A04" w14:paraId="6462D5B5" w14:textId="77777777">
            <w:pPr>
              <w:pStyle w:val="Paragraphedeliste"/>
              <w:numPr>
                <w:ilvl w:val="0"/>
                <w:numId w:val="13"/>
              </w:numPr>
              <w:spacing w:after="160" w:line="259" w:lineRule="auto"/>
              <w:jc w:val="both"/>
            </w:pPr>
            <w:r w:rsidRPr="004F171D">
              <w:t>Inventaire des équipements de chaine de froids annuel</w:t>
            </w:r>
          </w:p>
          <w:p w:rsidRPr="004F171D" w:rsidR="008B5A04" w:rsidP="004F171D" w:rsidRDefault="008B5A04" w14:paraId="3EAD6263" w14:textId="77777777">
            <w:pPr>
              <w:pStyle w:val="Paragraphedeliste"/>
              <w:numPr>
                <w:ilvl w:val="0"/>
                <w:numId w:val="13"/>
              </w:numPr>
              <w:spacing w:after="160" w:line="259" w:lineRule="auto"/>
              <w:jc w:val="both"/>
            </w:pPr>
            <w:proofErr w:type="spellStart"/>
            <w:r w:rsidRPr="004F171D">
              <w:t>Forecast</w:t>
            </w:r>
            <w:proofErr w:type="spellEnd"/>
            <w:r w:rsidRPr="004F171D">
              <w:t xml:space="preserve"> annuel et suivi du plan d’approvisionnement des vaccins de routine </w:t>
            </w:r>
          </w:p>
          <w:p w:rsidRPr="004F171D" w:rsidR="008B5A04" w:rsidP="004F171D" w:rsidRDefault="008B5A04" w14:paraId="1CA43D71" w14:textId="77777777">
            <w:pPr>
              <w:pStyle w:val="Paragraphedeliste"/>
              <w:numPr>
                <w:ilvl w:val="0"/>
                <w:numId w:val="13"/>
              </w:numPr>
              <w:spacing w:after="160" w:line="259" w:lineRule="auto"/>
              <w:jc w:val="both"/>
            </w:pPr>
            <w:r w:rsidRPr="004F171D">
              <w:t>Analyse de capacité de stockage et identification de GAP et besoins</w:t>
            </w:r>
          </w:p>
          <w:p w:rsidRPr="004F171D" w:rsidR="008B5A04" w:rsidP="004F171D" w:rsidRDefault="008B5A04" w14:paraId="63D5EAD8" w14:textId="77777777">
            <w:pPr>
              <w:pStyle w:val="Paragraphedeliste"/>
              <w:numPr>
                <w:ilvl w:val="0"/>
                <w:numId w:val="13"/>
              </w:numPr>
              <w:spacing w:after="160" w:line="259" w:lineRule="auto"/>
              <w:jc w:val="both"/>
            </w:pPr>
            <w:r w:rsidRPr="004F171D">
              <w:t xml:space="preserve">Projet CCEOP : Documents de soumission élaborés :  coordination, suivi et exécution de plan opérationnel de déploiements des équipent et finalisation du projet </w:t>
            </w:r>
          </w:p>
          <w:p w:rsidRPr="004F171D" w:rsidR="008B5A04" w:rsidP="004F171D" w:rsidRDefault="008B5A04" w14:paraId="209F55A9" w14:textId="77777777">
            <w:pPr>
              <w:pStyle w:val="Paragraphedeliste"/>
              <w:numPr>
                <w:ilvl w:val="0"/>
                <w:numId w:val="13"/>
              </w:numPr>
              <w:spacing w:after="160" w:line="259" w:lineRule="auto"/>
              <w:jc w:val="both"/>
            </w:pPr>
            <w:r w:rsidRPr="004F171D">
              <w:t xml:space="preserve">Mécanisme de maintenance préventive des équipements de chaines de froid communautaire </w:t>
            </w:r>
          </w:p>
          <w:p w:rsidRPr="004F171D" w:rsidR="008B5A04" w:rsidP="004F171D" w:rsidRDefault="008B5A04" w14:paraId="1BA5EB2B" w14:textId="77777777">
            <w:pPr>
              <w:pStyle w:val="Paragraphedeliste"/>
              <w:numPr>
                <w:ilvl w:val="0"/>
                <w:numId w:val="13"/>
              </w:numPr>
              <w:spacing w:after="160" w:line="259" w:lineRule="auto"/>
              <w:jc w:val="both"/>
            </w:pPr>
            <w:r w:rsidRPr="004F171D">
              <w:t>Mise en œuvre du plan de maintenance et missions de maintenance</w:t>
            </w:r>
          </w:p>
          <w:p w:rsidRPr="004F171D" w:rsidR="008B5A04" w:rsidP="004F171D" w:rsidRDefault="008B5A04" w14:paraId="473BA1FE" w14:textId="77777777">
            <w:pPr>
              <w:pStyle w:val="Paragraphedeliste"/>
              <w:numPr>
                <w:ilvl w:val="0"/>
                <w:numId w:val="13"/>
              </w:numPr>
              <w:spacing w:after="160" w:line="259" w:lineRule="auto"/>
              <w:jc w:val="both"/>
            </w:pPr>
            <w:r w:rsidRPr="004F171D">
              <w:t>Appui à la GEV et réalisation d’auto-évaluation régionale kiffa</w:t>
            </w:r>
          </w:p>
          <w:p w:rsidRPr="004F171D" w:rsidR="008B5A04" w:rsidP="004F171D" w:rsidRDefault="008B5A04" w14:paraId="55C27127" w14:textId="77777777">
            <w:pPr>
              <w:pStyle w:val="Paragraphedeliste"/>
              <w:numPr>
                <w:ilvl w:val="0"/>
                <w:numId w:val="13"/>
              </w:numPr>
              <w:spacing w:after="160" w:line="259" w:lineRule="auto"/>
              <w:jc w:val="both"/>
            </w:pPr>
            <w:r w:rsidRPr="004F171D">
              <w:t xml:space="preserve">Exécution des recommandations du plan d’amélioration de la GEV : manuel des procédures opérationnelles normalisées et formations en logistique et supervision des dépôts régionaux des vaccins </w:t>
            </w:r>
          </w:p>
          <w:p w:rsidRPr="004F171D" w:rsidR="008B5A04" w:rsidP="004F171D" w:rsidRDefault="008B5A04" w14:paraId="1F7BC3E1" w14:textId="77777777">
            <w:pPr>
              <w:pStyle w:val="Paragraphedeliste"/>
              <w:numPr>
                <w:ilvl w:val="0"/>
                <w:numId w:val="13"/>
              </w:numPr>
              <w:spacing w:after="160" w:line="259" w:lineRule="auto"/>
              <w:jc w:val="both"/>
            </w:pPr>
            <w:r w:rsidRPr="004F171D">
              <w:t>Cartographies des chambres froides du PEV et la chambre froide de kiffa</w:t>
            </w:r>
          </w:p>
          <w:p w:rsidRPr="004F171D" w:rsidR="008B5A04" w:rsidP="004F171D" w:rsidRDefault="008B5A04" w14:paraId="6A1658FD" w14:textId="1081F85E">
            <w:pPr>
              <w:pStyle w:val="Paragraphedeliste"/>
              <w:numPr>
                <w:ilvl w:val="0"/>
                <w:numId w:val="13"/>
              </w:numPr>
              <w:spacing w:after="160" w:line="259" w:lineRule="auto"/>
              <w:jc w:val="both"/>
            </w:pPr>
            <w:r w:rsidRPr="004F171D">
              <w:t xml:space="preserve">Elaboration </w:t>
            </w:r>
            <w:r w:rsidR="004F171D">
              <w:t>d’</w:t>
            </w:r>
            <w:r w:rsidRPr="004F171D">
              <w:t xml:space="preserve">un plan de gestion des déchets de la vaccination et appui de l’installation de 15 incinérateurs </w:t>
            </w:r>
          </w:p>
          <w:p w:rsidRPr="004F171D" w:rsidR="008B5A04" w:rsidP="004F171D" w:rsidRDefault="008B5A04" w14:paraId="7660E256" w14:textId="77777777">
            <w:pPr>
              <w:pStyle w:val="Paragraphedeliste"/>
              <w:numPr>
                <w:ilvl w:val="0"/>
                <w:numId w:val="13"/>
              </w:numPr>
              <w:spacing w:after="160" w:line="259" w:lineRule="auto"/>
              <w:jc w:val="both"/>
            </w:pPr>
            <w:r w:rsidRPr="004F171D">
              <w:t xml:space="preserve">Élaboration de </w:t>
            </w:r>
            <w:proofErr w:type="spellStart"/>
            <w:r w:rsidRPr="004F171D">
              <w:t>proposal</w:t>
            </w:r>
            <w:proofErr w:type="spellEnd"/>
            <w:r w:rsidRPr="004F171D">
              <w:t xml:space="preserve"> pour l’acquisition d’équipement dans le cadre du fonds japonais, HAC et USAID pour améliorer la chaine de froid et la capacité de stockage </w:t>
            </w:r>
          </w:p>
          <w:p w:rsidRPr="004F171D" w:rsidR="008B5A04" w:rsidP="004F171D" w:rsidRDefault="008B5A04" w14:paraId="7DD7E3D1" w14:textId="155E0F70">
            <w:pPr>
              <w:pStyle w:val="Paragraphedeliste"/>
              <w:numPr>
                <w:ilvl w:val="0"/>
                <w:numId w:val="12"/>
              </w:numPr>
              <w:spacing w:after="160" w:line="259" w:lineRule="auto"/>
              <w:jc w:val="both"/>
            </w:pPr>
            <w:r w:rsidRPr="004F171D">
              <w:t xml:space="preserve">Dans le cadre de l’appui de gestion du programme l’Unicef a apporté son appui par Acquisition de Matériels de sécurité et de protection du personnel et du matériel bureautique, Appui à multiplication des outils de gestion et communication, appui aux Ateliers internationaux et renforcement direct des nouveaux staffs du PEV </w:t>
            </w:r>
          </w:p>
          <w:p w:rsidRPr="004F171D" w:rsidR="008B5A04" w:rsidP="004F171D" w:rsidRDefault="008B5A04" w14:paraId="5E4BBC64" w14:textId="77777777">
            <w:pPr>
              <w:pStyle w:val="Paragraphedeliste"/>
              <w:numPr>
                <w:ilvl w:val="0"/>
                <w:numId w:val="12"/>
              </w:numPr>
              <w:spacing w:after="160" w:line="259" w:lineRule="auto"/>
              <w:jc w:val="both"/>
            </w:pPr>
            <w:r w:rsidRPr="004F171D">
              <w:rPr>
                <w:b/>
                <w:bCs/>
              </w:rPr>
              <w:lastRenderedPageBreak/>
              <w:t>L’appui de l’introduction des nouveaux vaccins et les AVS,</w:t>
            </w:r>
            <w:r w:rsidRPr="004F171D">
              <w:t xml:space="preserve"> l’Unicef apporte son expertise dans la communication et mobilisation sociale et dans la logistique des vaccins et des chaines d froid et gestion de déchets </w:t>
            </w:r>
          </w:p>
          <w:p w:rsidRPr="004F171D" w:rsidR="008B5A04" w:rsidP="004F171D" w:rsidRDefault="008B5A04" w14:paraId="1A871EB9" w14:textId="77777777">
            <w:pPr>
              <w:pStyle w:val="Paragraphedeliste"/>
              <w:numPr>
                <w:ilvl w:val="0"/>
                <w:numId w:val="14"/>
              </w:numPr>
              <w:spacing w:after="160" w:line="259" w:lineRule="auto"/>
              <w:jc w:val="both"/>
            </w:pPr>
            <w:r w:rsidRPr="004F171D">
              <w:t xml:space="preserve">Appui à l’introduction du HPV et RR Appui à la lutte contre la pandémie COVID-19 et l’acquisition des équipements de chaines de froid et suivi des commandes </w:t>
            </w:r>
          </w:p>
          <w:p w:rsidRPr="004F171D" w:rsidR="008B5A04" w:rsidP="004F171D" w:rsidRDefault="008B5A04" w14:paraId="4CB2633E" w14:textId="77777777">
            <w:pPr>
              <w:pStyle w:val="Paragraphedeliste"/>
              <w:numPr>
                <w:ilvl w:val="0"/>
                <w:numId w:val="14"/>
              </w:numPr>
              <w:spacing w:after="160" w:line="259" w:lineRule="auto"/>
              <w:jc w:val="both"/>
            </w:pPr>
            <w:r w:rsidRPr="004F171D">
              <w:t xml:space="preserve">Appui à l’acquisition des vaccins anti-covid-19 et le suivi des stock et l’analyse de couverture vaccinale </w:t>
            </w:r>
          </w:p>
          <w:p w:rsidRPr="004F171D" w:rsidR="008B5A04" w:rsidP="004F171D" w:rsidRDefault="008B5A04" w14:paraId="729618AA" w14:textId="77777777">
            <w:pPr>
              <w:pStyle w:val="Paragraphedeliste"/>
              <w:numPr>
                <w:ilvl w:val="0"/>
                <w:numId w:val="14"/>
              </w:numPr>
              <w:spacing w:after="160" w:line="259" w:lineRule="auto"/>
              <w:jc w:val="both"/>
            </w:pPr>
            <w:r w:rsidRPr="004F171D">
              <w:t xml:space="preserve"> Appui à l’estimation des besoins et quantification et plan d’approvisionnements des vaccins covid-19</w:t>
            </w:r>
          </w:p>
          <w:p w:rsidRPr="004F171D" w:rsidR="008B5A04" w:rsidP="004F171D" w:rsidRDefault="008B5A04" w14:paraId="033D151E" w14:textId="77777777">
            <w:pPr>
              <w:pStyle w:val="Paragraphedeliste"/>
              <w:numPr>
                <w:ilvl w:val="0"/>
                <w:numId w:val="14"/>
              </w:numPr>
              <w:spacing w:after="160" w:line="259" w:lineRule="auto"/>
              <w:jc w:val="both"/>
            </w:pPr>
            <w:r w:rsidRPr="004F171D">
              <w:t xml:space="preserve"> Appui aux déploiements des vaccins et aux organisations des campagnes</w:t>
            </w:r>
          </w:p>
          <w:p w:rsidRPr="004F171D" w:rsidR="008B5A04" w:rsidP="004F171D" w:rsidRDefault="008B5A04" w14:paraId="595FCDFA" w14:textId="77777777">
            <w:pPr>
              <w:pStyle w:val="Paragraphedeliste"/>
              <w:numPr>
                <w:ilvl w:val="0"/>
                <w:numId w:val="14"/>
              </w:numPr>
              <w:spacing w:after="160" w:line="259" w:lineRule="auto"/>
              <w:jc w:val="both"/>
            </w:pPr>
            <w:r w:rsidRPr="004F171D">
              <w:t xml:space="preserve">Elaboration de manuel de procédures opérationnelles standards des vaccins </w:t>
            </w:r>
          </w:p>
          <w:p w:rsidRPr="004F171D" w:rsidR="008B5A04" w:rsidP="004F171D" w:rsidRDefault="008B5A04" w14:paraId="4B6DE4DC" w14:textId="77777777">
            <w:pPr>
              <w:pStyle w:val="Paragraphedeliste"/>
              <w:numPr>
                <w:ilvl w:val="0"/>
                <w:numId w:val="14"/>
              </w:numPr>
              <w:spacing w:after="160" w:line="259" w:lineRule="auto"/>
              <w:jc w:val="both"/>
            </w:pPr>
            <w:r w:rsidRPr="004F171D">
              <w:t xml:space="preserve"> Appui à la campagne de riposte contre l’épidémie PVDV2C par le Nvpo2 y compris les documents de soumission et les 2 passages </w:t>
            </w:r>
          </w:p>
          <w:p w:rsidRPr="004F171D" w:rsidR="00185C2D" w:rsidP="004F171D" w:rsidRDefault="00584407" w14:paraId="6F8FB131" w14:textId="26BEB01E">
            <w:pPr>
              <w:autoSpaceDE w:val="0"/>
              <w:autoSpaceDN w:val="0"/>
              <w:adjustRightInd w:val="0"/>
              <w:spacing w:line="240" w:lineRule="auto"/>
              <w:jc w:val="both"/>
              <w:rPr>
                <w:rFonts w:eastAsiaTheme="minorHAnsi"/>
                <w:lang w:eastAsia="en-US"/>
              </w:rPr>
            </w:pPr>
            <w:r w:rsidRPr="004F171D">
              <w:rPr>
                <w:rFonts w:eastAsiaTheme="minorHAnsi"/>
                <w:lang w:eastAsia="en-US"/>
              </w:rPr>
              <w:t xml:space="preserve">La mise en </w:t>
            </w:r>
            <w:r w:rsidRPr="004F171D" w:rsidR="00F31056">
              <w:rPr>
                <w:rFonts w:eastAsiaTheme="minorHAnsi"/>
                <w:lang w:eastAsia="en-US"/>
              </w:rPr>
              <w:t>œuvre</w:t>
            </w:r>
            <w:r w:rsidRPr="004F171D">
              <w:rPr>
                <w:rFonts w:eastAsiaTheme="minorHAnsi"/>
                <w:lang w:eastAsia="en-US"/>
              </w:rPr>
              <w:t xml:space="preserve"> des activités TCA a permis de doter le PEV des capacités techniques et</w:t>
            </w:r>
            <w:r w:rsidRPr="004F171D" w:rsidR="00666544">
              <w:rPr>
                <w:rFonts w:eastAsiaTheme="minorHAnsi"/>
                <w:lang w:eastAsia="en-US"/>
              </w:rPr>
              <w:t xml:space="preserve"> </w:t>
            </w:r>
            <w:r w:rsidRPr="004F171D">
              <w:rPr>
                <w:rFonts w:eastAsiaTheme="minorHAnsi"/>
                <w:lang w:eastAsia="en-US"/>
              </w:rPr>
              <w:t>managériales solides, lui permettant de répondre efficacement aux besoins du ministère de la santé, de renforcer l’immunisation de routine, y compris la surveillance des maladies du PEV, les données de routine et de la surveillance, former le personnel impliqué dans la vaccination, et par conséquent doter le ministère de la santé d’une capacité accrue dans la lutte contre les maladies évitables par la vaccination.</w:t>
            </w:r>
          </w:p>
          <w:p w:rsidRPr="00723DA7" w:rsidR="00584407" w:rsidP="00584407" w:rsidRDefault="00584407" w14:paraId="768DA4DA" w14:textId="77777777">
            <w:pPr>
              <w:spacing w:line="300" w:lineRule="exact"/>
              <w:rPr>
                <w:rFonts w:ascii="Times New Roman" w:hAnsi="Times New Roman" w:cs="Times New Roman"/>
                <w:sz w:val="24"/>
                <w:szCs w:val="24"/>
              </w:rPr>
            </w:pPr>
          </w:p>
        </w:tc>
      </w:tr>
    </w:tbl>
    <w:p w:rsidRPr="006615A7" w:rsidR="009F0292" w:rsidP="00372D1F" w:rsidRDefault="009F0292" w14:paraId="4211E3D3" w14:textId="77777777">
      <w:pPr>
        <w:pStyle w:val="Paragraphedeliste"/>
        <w:spacing w:line="300" w:lineRule="exact"/>
        <w:ind w:left="0"/>
        <w:jc w:val="right"/>
        <w:rPr>
          <w:b/>
          <w:color w:val="70AD47" w:themeColor="accent6"/>
          <w:sz w:val="26"/>
          <w:szCs w:val="26"/>
        </w:rPr>
      </w:pPr>
    </w:p>
    <w:p w:rsidRPr="00A957C9" w:rsidR="00610D71" w:rsidP="00CE1F57" w:rsidRDefault="003F0221" w14:paraId="435DE5FA" w14:textId="77777777">
      <w:pPr>
        <w:pStyle w:val="Paragraphedeliste"/>
        <w:numPr>
          <w:ilvl w:val="0"/>
          <w:numId w:val="4"/>
        </w:numPr>
        <w:spacing w:line="300" w:lineRule="exact"/>
        <w:rPr>
          <w:b/>
          <w:bCs/>
          <w:color w:val="84C650"/>
          <w:sz w:val="26"/>
          <w:szCs w:val="26"/>
        </w:rPr>
      </w:pPr>
      <w:r>
        <w:rPr>
          <w:b/>
          <w:color w:val="70AD47" w:themeColor="accent6"/>
          <w:sz w:val="26"/>
        </w:rPr>
        <w:t>Harmonisation du plan One TCA avec les investissements de Gavi planifiés pour le futur (0,5 page)</w:t>
      </w:r>
    </w:p>
    <w:tbl>
      <w:tblPr>
        <w:tblStyle w:val="Grilledutableau"/>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192"/>
      </w:tblGrid>
      <w:tr w:rsidR="00A957C9" w:rsidTr="005F26FC" w14:paraId="047914B1" w14:textId="77777777">
        <w:tc>
          <w:tcPr>
            <w:tcW w:w="9192" w:type="dxa"/>
            <w:tcBorders>
              <w:bottom w:val="single" w:color="auto" w:sz="4" w:space="0"/>
            </w:tcBorders>
            <w:shd w:val="clear" w:color="auto" w:fill="F2F2F2" w:themeFill="background1" w:themeFillShade="F2"/>
          </w:tcPr>
          <w:p w:rsidRPr="00CF3BC4" w:rsidR="00A957C9" w:rsidP="00FC4A11" w:rsidRDefault="007476F9" w14:paraId="044C76E0" w14:textId="068A73B5">
            <w:pPr>
              <w:pStyle w:val="Paragraphedeliste"/>
              <w:spacing w:line="300" w:lineRule="exact"/>
              <w:ind w:left="0"/>
              <w:rPr>
                <w:b/>
                <w:bCs/>
                <w:i/>
                <w:iCs/>
                <w:color w:val="84C650"/>
                <w:sz w:val="26"/>
                <w:szCs w:val="26"/>
              </w:rPr>
            </w:pPr>
            <w:r>
              <w:rPr>
                <w:b/>
                <w:i/>
                <w:sz w:val="20"/>
              </w:rPr>
              <w:t>5.1</w:t>
            </w:r>
            <w:r>
              <w:rPr>
                <w:b/>
                <w:i/>
                <w:sz w:val="20"/>
              </w:rPr>
              <w:tab/>
            </w:r>
            <w:r>
              <w:rPr>
                <w:b/>
                <w:i/>
                <w:sz w:val="20"/>
              </w:rPr>
              <w:t xml:space="preserve">Veuillez dresser la liste de tous les futurs investissements de Gavi déjà prévus (p. ex. soutien </w:t>
            </w:r>
            <w:r w:rsidR="00F31056">
              <w:rPr>
                <w:b/>
                <w:i/>
                <w:sz w:val="20"/>
              </w:rPr>
              <w:t>aux</w:t>
            </w:r>
            <w:r w:rsidRPr="004927B0" w:rsidR="00F31056">
              <w:rPr>
                <w:b/>
                <w:i/>
                <w:sz w:val="20"/>
              </w:rPr>
              <w:t xml:space="preserve"> nouveaux</w:t>
            </w:r>
            <w:r>
              <w:rPr>
                <w:b/>
                <w:i/>
                <w:sz w:val="20"/>
              </w:rPr>
              <w:t xml:space="preserve"> vaccins, POECF) qui requerraient un soutien d'AT au cours de la période planifiée, y compris le processus de planification de l'ensemble du portefeuille, et décrivez comment le plan d'assistance pays ciblée sera harmonisé avec les investissements planifiés actuels et/ou futurs de Gavi.</w:t>
            </w:r>
          </w:p>
        </w:tc>
      </w:tr>
      <w:tr w:rsidRPr="006A272B" w:rsidR="00A957C9" w:rsidTr="005F26FC" w14:paraId="7CE8B257" w14:textId="77777777">
        <w:trPr>
          <w:trHeight w:val="50"/>
        </w:trPr>
        <w:tc>
          <w:tcPr>
            <w:tcW w:w="9192" w:type="dxa"/>
            <w:tcBorders>
              <w:top w:val="single" w:color="auto" w:sz="4" w:space="0"/>
              <w:left w:val="single" w:color="auto" w:sz="4" w:space="0"/>
              <w:bottom w:val="single" w:color="auto" w:sz="4" w:space="0"/>
              <w:right w:val="single" w:color="auto" w:sz="4" w:space="0"/>
            </w:tcBorders>
          </w:tcPr>
          <w:p w:rsidR="008B200D" w:rsidP="004F171D" w:rsidRDefault="008B200D" w14:paraId="341B8F50" w14:textId="366DB07C">
            <w:pPr>
              <w:spacing w:line="300" w:lineRule="exact"/>
              <w:jc w:val="both"/>
            </w:pPr>
            <w:r>
              <w:t>La Mauritanie dispose d’un financement RSS qui est en cours de reprogrammation pour prendre en compte les nouvelles orientations de Gavi 5.0</w:t>
            </w:r>
            <w:r w:rsidR="001040F0">
              <w:t xml:space="preserve"> </w:t>
            </w:r>
            <w:r w:rsidR="00B102B5">
              <w:t xml:space="preserve">pour la période 2022-2023 </w:t>
            </w:r>
            <w:r w:rsidR="00A6009D">
              <w:t>et dont l’AT</w:t>
            </w:r>
            <w:r w:rsidR="00B102B5">
              <w:t xml:space="preserve"> présentée ici</w:t>
            </w:r>
            <w:r w:rsidR="004A338B">
              <w:t xml:space="preserve"> viendra renforcer les aspects techniques notamment la recherche des enfants </w:t>
            </w:r>
            <w:r w:rsidR="00F31056">
              <w:t>zéro</w:t>
            </w:r>
            <w:r w:rsidR="004A338B">
              <w:t xml:space="preserve"> dose, la </w:t>
            </w:r>
            <w:r w:rsidR="004F171D">
              <w:t>redynamisation de</w:t>
            </w:r>
            <w:r w:rsidR="004A338B">
              <w:t xml:space="preserve"> la routine et les aspects de coordination au niveau national et local. </w:t>
            </w:r>
            <w:r w:rsidR="00831ED4">
              <w:t>Grâce à l’AT, le PEV et ses partenaires pourr</w:t>
            </w:r>
            <w:r w:rsidR="00502817">
              <w:t>ont</w:t>
            </w:r>
            <w:r w:rsidR="00831ED4">
              <w:t xml:space="preserve"> lancer d’ici la fin de l’année</w:t>
            </w:r>
            <w:r w:rsidR="00E25245">
              <w:t xml:space="preserve"> le processus du FPP qui liera le nouveau RSS, le CCEOP, le EAF </w:t>
            </w:r>
            <w:r w:rsidR="00DF5315">
              <w:t xml:space="preserve">dans une théorie du changement qui sera développée </w:t>
            </w:r>
            <w:r w:rsidR="00F27C80">
              <w:t>avec</w:t>
            </w:r>
            <w:r w:rsidR="00D34918">
              <w:t xml:space="preserve"> l’AT. </w:t>
            </w:r>
            <w:r w:rsidR="00971E68">
              <w:t xml:space="preserve">Les financements disponibles </w:t>
            </w:r>
            <w:r w:rsidR="007C4A9D">
              <w:t>avec Gavi 5.0 seront donc directement orientés par l’AT</w:t>
            </w:r>
            <w:r w:rsidR="00470357">
              <w:t xml:space="preserve">, grâce à l’analyse </w:t>
            </w:r>
            <w:r w:rsidR="00F31056">
              <w:t>zéro</w:t>
            </w:r>
            <w:r w:rsidR="00470357">
              <w:t xml:space="preserve"> dose notamment</w:t>
            </w:r>
            <w:r w:rsidR="007C4A9D">
              <w:t xml:space="preserve">. Aussi, les financements Covid importants avec </w:t>
            </w:r>
            <w:r w:rsidR="004F171D">
              <w:t xml:space="preserve">les fonds </w:t>
            </w:r>
            <w:r w:rsidR="007C4A9D">
              <w:t>CDS</w:t>
            </w:r>
            <w:r w:rsidR="00304870">
              <w:t xml:space="preserve"> seront aussi bénéficiaires</w:t>
            </w:r>
            <w:r w:rsidR="00615861">
              <w:t xml:space="preserve"> de l’AT puisqu</w:t>
            </w:r>
            <w:r w:rsidR="00470357">
              <w:t>e le PEV a la volonté de</w:t>
            </w:r>
            <w:r w:rsidR="00EB5CD4">
              <w:t xml:space="preserve"> faire en sorte que </w:t>
            </w:r>
            <w:r w:rsidR="00502817">
              <w:t>l’</w:t>
            </w:r>
            <w:r w:rsidR="00EB5CD4">
              <w:t xml:space="preserve">approche covid et </w:t>
            </w:r>
            <w:r w:rsidR="00502817">
              <w:t xml:space="preserve">la </w:t>
            </w:r>
            <w:r w:rsidR="00EB5CD4">
              <w:t>routine se retrouve</w:t>
            </w:r>
            <w:r w:rsidR="00502817">
              <w:t>nt</w:t>
            </w:r>
            <w:r w:rsidR="00EB5CD4">
              <w:t xml:space="preserve"> dans une stratégie revue</w:t>
            </w:r>
            <w:r w:rsidR="004F171D">
              <w:t>.</w:t>
            </w:r>
          </w:p>
          <w:p w:rsidRPr="006615A7" w:rsidR="00257321" w:rsidP="00FC4A11" w:rsidRDefault="00257321" w14:paraId="0DC5EB83" w14:textId="185AA1DC">
            <w:pPr>
              <w:spacing w:line="300" w:lineRule="exact"/>
            </w:pPr>
          </w:p>
        </w:tc>
      </w:tr>
    </w:tbl>
    <w:p w:rsidRPr="006615A7" w:rsidR="0090123D" w:rsidP="00FC4A11" w:rsidRDefault="0090123D" w14:paraId="060EA4D3" w14:textId="77777777">
      <w:pPr>
        <w:spacing w:line="300" w:lineRule="exact"/>
        <w:rPr>
          <w:b/>
          <w:color w:val="70AD47" w:themeColor="accent6"/>
          <w:sz w:val="26"/>
          <w:szCs w:val="26"/>
        </w:rPr>
      </w:pPr>
    </w:p>
    <w:p w:rsidRPr="006615A7" w:rsidR="00AB4B2D" w:rsidP="00DE4BB0" w:rsidRDefault="00672E21" w14:paraId="7AD5F7CF" w14:textId="77777777">
      <w:pPr>
        <w:pStyle w:val="Paragraphedeliste"/>
        <w:numPr>
          <w:ilvl w:val="0"/>
          <w:numId w:val="4"/>
        </w:numPr>
        <w:spacing w:line="300" w:lineRule="exact"/>
        <w:ind w:left="426"/>
      </w:pPr>
      <w:r>
        <w:rPr>
          <w:b/>
          <w:color w:val="70AD47" w:themeColor="accent6"/>
          <w:sz w:val="26"/>
        </w:rPr>
        <w:t>Suivi de l'assistance pays ciblée (1 page)</w:t>
      </w:r>
    </w:p>
    <w:tbl>
      <w:tblPr>
        <w:tblStyle w:val="Grilledutableau"/>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14"/>
      </w:tblGrid>
      <w:tr w:rsidRPr="00A957C9" w:rsidR="00A957C9" w:rsidTr="007612C6" w14:paraId="33353822" w14:textId="77777777">
        <w:tc>
          <w:tcPr>
            <w:tcW w:w="9214" w:type="dxa"/>
            <w:tcBorders>
              <w:bottom w:val="single" w:color="auto" w:sz="4" w:space="0"/>
            </w:tcBorders>
            <w:shd w:val="clear" w:color="auto" w:fill="F2F2F2" w:themeFill="background1" w:themeFillShade="F2"/>
          </w:tcPr>
          <w:p w:rsidRPr="00A957C9" w:rsidR="00AB4B2D" w:rsidP="00FC4A11" w:rsidRDefault="0023395F" w14:paraId="7D90B323" w14:textId="68003C54">
            <w:pPr>
              <w:pStyle w:val="Paragraphedeliste"/>
              <w:spacing w:line="300" w:lineRule="exact"/>
              <w:ind w:left="0"/>
              <w:rPr>
                <w:b/>
                <w:sz w:val="26"/>
                <w:szCs w:val="26"/>
              </w:rPr>
            </w:pPr>
            <w:r>
              <w:rPr>
                <w:b/>
                <w:i/>
                <w:sz w:val="20"/>
              </w:rPr>
              <w:t>6.1</w:t>
            </w:r>
            <w:r>
              <w:rPr>
                <w:b/>
                <w:i/>
                <w:sz w:val="20"/>
              </w:rPr>
              <w:tab/>
            </w:r>
            <w:r>
              <w:rPr>
                <w:b/>
                <w:i/>
                <w:sz w:val="20"/>
              </w:rPr>
              <w:t xml:space="preserve">Veuillez fournir une description du mécanisme national d'assistance pays ciblée pour suivre et retracer les progrès de la mise en œuvre et générer les résultats du plan d'assistance pays ciblée dans leur ensemble. Comment ces informations seront-elles </w:t>
            </w:r>
            <w:r>
              <w:rPr>
                <w:b/>
                <w:bCs/>
                <w:i/>
                <w:sz w:val="20"/>
              </w:rPr>
              <w:t>utilisées</w:t>
            </w:r>
            <w:r>
              <w:rPr>
                <w:b/>
                <w:i/>
                <w:sz w:val="20"/>
              </w:rPr>
              <w:t xml:space="preserve"> pour ajuster </w:t>
            </w:r>
            <w:r>
              <w:rPr>
                <w:b/>
                <w:i/>
                <w:sz w:val="20"/>
              </w:rPr>
              <w:lastRenderedPageBreak/>
              <w:t xml:space="preserve">et améliorer la mise en œuvre du programme ? A quelle fréquence les données sont-elles revues et utilisées et qui sera responsable de garantir que cette revue et cet apprentissage ont </w:t>
            </w:r>
            <w:r w:rsidR="00F31056">
              <w:rPr>
                <w:b/>
                <w:i/>
                <w:sz w:val="20"/>
              </w:rPr>
              <w:t>lieu ?</w:t>
            </w:r>
          </w:p>
        </w:tc>
      </w:tr>
      <w:tr w:rsidRPr="00230219" w:rsidR="00A957C9" w:rsidTr="007612C6" w14:paraId="6036A503" w14:textId="77777777">
        <w:tc>
          <w:tcPr>
            <w:tcW w:w="9214" w:type="dxa"/>
            <w:tcBorders>
              <w:top w:val="single" w:color="auto" w:sz="4" w:space="0"/>
              <w:left w:val="single" w:color="auto" w:sz="4" w:space="0"/>
              <w:bottom w:val="single" w:color="auto" w:sz="4" w:space="0"/>
              <w:right w:val="single" w:color="auto" w:sz="4" w:space="0"/>
            </w:tcBorders>
          </w:tcPr>
          <w:p w:rsidR="00257321" w:rsidP="004F171D" w:rsidRDefault="00257321" w14:paraId="1BB731EB" w14:textId="6C174053">
            <w:pPr>
              <w:spacing w:line="300" w:lineRule="exact"/>
              <w:jc w:val="both"/>
            </w:pPr>
            <w:r>
              <w:lastRenderedPageBreak/>
              <w:t>Le PEV organisera une réunion trimestrielle pour assurer le suivi et les éval</w:t>
            </w:r>
            <w:r w:rsidR="00643DBD">
              <w:t xml:space="preserve">uations de la mise en </w:t>
            </w:r>
            <w:r w:rsidR="00F31056">
              <w:t>œuvre</w:t>
            </w:r>
            <w:r w:rsidR="00643DBD">
              <w:t xml:space="preserve"> de l’assistance technique :</w:t>
            </w:r>
          </w:p>
          <w:p w:rsidR="00643DBD" w:rsidP="004F171D" w:rsidRDefault="00643DBD" w14:paraId="5E02B55F" w14:textId="4B98FBFF">
            <w:pPr>
              <w:spacing w:line="300" w:lineRule="exact"/>
              <w:jc w:val="both"/>
            </w:pPr>
            <w:r>
              <w:t xml:space="preserve">1. Au niveau opérationnel les COGES et les </w:t>
            </w:r>
            <w:r w:rsidR="00F31056">
              <w:t>Médecins</w:t>
            </w:r>
            <w:r>
              <w:t xml:space="preserve"> chefs de </w:t>
            </w:r>
            <w:proofErr w:type="spellStart"/>
            <w:r w:rsidR="00F31056">
              <w:t>Moughataa</w:t>
            </w:r>
            <w:proofErr w:type="spellEnd"/>
            <w:r>
              <w:t xml:space="preserve"> doivent envoyer un rapport trimestriel </w:t>
            </w:r>
            <w:r w:rsidR="00F31056">
              <w:t>relatif</w:t>
            </w:r>
            <w:r>
              <w:t xml:space="preserve"> aux activités et là l’évaluation des OSC et des partenaires locaux. </w:t>
            </w:r>
          </w:p>
          <w:p w:rsidR="00643DBD" w:rsidP="004F171D" w:rsidRDefault="00643DBD" w14:paraId="28F4F5C6" w14:textId="77777777">
            <w:pPr>
              <w:spacing w:line="300" w:lineRule="exact"/>
              <w:jc w:val="both"/>
            </w:pPr>
            <w:r>
              <w:t xml:space="preserve">2. Au niveau central chaque partenaire local devra envoyer un rapport trimestriel au PEV sur les activités qu’il a menées. </w:t>
            </w:r>
          </w:p>
          <w:p w:rsidR="002128BC" w:rsidP="004F171D" w:rsidRDefault="00643DBD" w14:paraId="588574DC" w14:textId="47083297">
            <w:pPr>
              <w:spacing w:line="300" w:lineRule="exact"/>
              <w:jc w:val="both"/>
            </w:pPr>
            <w:r>
              <w:t xml:space="preserve">3. En ce qui concerne les organisations internationales elles doivent également envoyer au PEV un rapport trimestriel comportant les activités </w:t>
            </w:r>
            <w:r w:rsidR="00E3597E">
              <w:t xml:space="preserve">mises en </w:t>
            </w:r>
            <w:r w:rsidR="00F31056">
              <w:t>œuvre</w:t>
            </w:r>
            <w:r>
              <w:t xml:space="preserve"> dans le cadre de ce TCA.</w:t>
            </w:r>
          </w:p>
          <w:p w:rsidR="00BA648D" w:rsidP="004F171D" w:rsidRDefault="00BA648D" w14:paraId="12E10426" w14:textId="77777777">
            <w:pPr>
              <w:spacing w:line="300" w:lineRule="exact"/>
              <w:jc w:val="both"/>
            </w:pPr>
          </w:p>
          <w:p w:rsidR="00643DBD" w:rsidP="004F171D" w:rsidRDefault="00BA648D" w14:paraId="5D68F2AE" w14:textId="2089933D">
            <w:pPr>
              <w:spacing w:line="300" w:lineRule="exact"/>
              <w:jc w:val="both"/>
            </w:pPr>
            <w:r>
              <w:t xml:space="preserve">En plus, des indicateurs de performances </w:t>
            </w:r>
            <w:r w:rsidR="00E26149">
              <w:t xml:space="preserve">seront élaborés et feront l’objet d’un suivi </w:t>
            </w:r>
            <w:r w:rsidR="00F31056">
              <w:t>régulier</w:t>
            </w:r>
            <w:r w:rsidR="00546627">
              <w:t xml:space="preserve">, et de </w:t>
            </w:r>
            <w:proofErr w:type="spellStart"/>
            <w:r w:rsidR="00546627">
              <w:t>reporting</w:t>
            </w:r>
            <w:proofErr w:type="spellEnd"/>
            <w:r w:rsidR="00847B98">
              <w:t>. Les KPI propos</w:t>
            </w:r>
            <w:r w:rsidR="00A91E5B">
              <w:t>és sont les suivants :</w:t>
            </w:r>
          </w:p>
          <w:p w:rsidR="00A91E5B" w:rsidP="004F171D" w:rsidRDefault="00A91E5B" w14:paraId="1E32E4FD" w14:textId="77777777">
            <w:pPr>
              <w:spacing w:line="300" w:lineRule="exact"/>
              <w:jc w:val="both"/>
            </w:pPr>
          </w:p>
          <w:p w:rsidR="00A91E5B" w:rsidP="004F171D" w:rsidRDefault="00A97261" w14:paraId="21878758" w14:textId="58E25078">
            <w:pPr>
              <w:pStyle w:val="Paragraphedeliste"/>
              <w:numPr>
                <w:ilvl w:val="0"/>
                <w:numId w:val="7"/>
              </w:numPr>
              <w:spacing w:line="300" w:lineRule="exact"/>
              <w:jc w:val="both"/>
            </w:pPr>
            <w:r>
              <w:t xml:space="preserve">La </w:t>
            </w:r>
            <w:r w:rsidR="00F31056">
              <w:t>stratégie</w:t>
            </w:r>
            <w:r>
              <w:t xml:space="preserve"> nationale d’immunisation </w:t>
            </w:r>
            <w:r w:rsidR="00EB2FC8">
              <w:t>(NIS) élaboré et validé</w:t>
            </w:r>
            <w:r w:rsidR="006A1F4D">
              <w:t>,</w:t>
            </w:r>
          </w:p>
          <w:p w:rsidR="006A1F4D" w:rsidP="004F171D" w:rsidRDefault="00EB2FC8" w14:paraId="675FEEBE" w14:textId="72FFF09A">
            <w:pPr>
              <w:pStyle w:val="Paragraphedeliste"/>
              <w:numPr>
                <w:ilvl w:val="0"/>
                <w:numId w:val="7"/>
              </w:numPr>
              <w:spacing w:line="300" w:lineRule="exact"/>
              <w:jc w:val="both"/>
            </w:pPr>
            <w:r>
              <w:t>L</w:t>
            </w:r>
            <w:r w:rsidR="004226D5">
              <w:t>’</w:t>
            </w:r>
            <w:r w:rsidR="00F31056">
              <w:t>évaluation</w:t>
            </w:r>
            <w:r w:rsidR="004226D5">
              <w:t xml:space="preserve"> de la</w:t>
            </w:r>
            <w:r>
              <w:t xml:space="preserve"> GEV</w:t>
            </w:r>
            <w:r w:rsidR="008F467E">
              <w:t xml:space="preserve"> est </w:t>
            </w:r>
            <w:r w:rsidR="004F171D">
              <w:t>réalisée et</w:t>
            </w:r>
            <w:r w:rsidR="00101E9E">
              <w:t xml:space="preserve"> son plan d’</w:t>
            </w:r>
            <w:r w:rsidR="00F31056">
              <w:t>amélioration finalisée</w:t>
            </w:r>
            <w:r w:rsidR="006A1F4D">
              <w:t>,</w:t>
            </w:r>
          </w:p>
          <w:p w:rsidR="00E1121A" w:rsidP="004F171D" w:rsidRDefault="006A1F4D" w14:paraId="6656DC91" w14:textId="4FA82077">
            <w:pPr>
              <w:pStyle w:val="Paragraphedeliste"/>
              <w:numPr>
                <w:ilvl w:val="0"/>
                <w:numId w:val="7"/>
              </w:numPr>
              <w:spacing w:line="300" w:lineRule="exact"/>
              <w:jc w:val="both"/>
            </w:pPr>
            <w:r>
              <w:t xml:space="preserve">Les textes </w:t>
            </w:r>
            <w:r w:rsidR="00F31056">
              <w:t xml:space="preserve">règlementaires </w:t>
            </w:r>
            <w:r w:rsidR="00BF203E">
              <w:t xml:space="preserve">pour la mise en place des </w:t>
            </w:r>
            <w:r w:rsidR="0007461A">
              <w:t>organes de pilotage du PEV</w:t>
            </w:r>
            <w:r w:rsidR="007B7F5F">
              <w:t xml:space="preserve"> élaborés et validés, et les organes </w:t>
            </w:r>
            <w:r w:rsidR="00230C99">
              <w:t xml:space="preserve">de pilotages (CCIA, NITAG, </w:t>
            </w:r>
            <w:r w:rsidR="00BF49D4">
              <w:t>et COGES) mis en place</w:t>
            </w:r>
            <w:r w:rsidR="004F5784">
              <w:t>,</w:t>
            </w:r>
          </w:p>
          <w:p w:rsidR="007A51C7" w:rsidP="004F171D" w:rsidRDefault="00E1121A" w14:paraId="2D5895F2" w14:textId="318738D9">
            <w:pPr>
              <w:pStyle w:val="Paragraphedeliste"/>
              <w:numPr>
                <w:ilvl w:val="0"/>
                <w:numId w:val="7"/>
              </w:numPr>
              <w:spacing w:line="300" w:lineRule="exact"/>
              <w:jc w:val="both"/>
            </w:pPr>
            <w:r>
              <w:t xml:space="preserve">La </w:t>
            </w:r>
            <w:r w:rsidR="00F31056">
              <w:t>stratégie</w:t>
            </w:r>
            <w:r w:rsidR="001040F0">
              <w:t xml:space="preserve"> </w:t>
            </w:r>
            <w:r w:rsidR="00BF34E5">
              <w:t xml:space="preserve">nationale </w:t>
            </w:r>
            <w:r w:rsidR="002B5E39">
              <w:t xml:space="preserve">de vaccination des enfants </w:t>
            </w:r>
            <w:r w:rsidR="00F31056">
              <w:t>zéro</w:t>
            </w:r>
            <w:r w:rsidR="002B5E39">
              <w:t xml:space="preserve"> dose et sous vaccinés </w:t>
            </w:r>
            <w:r w:rsidR="007A51C7">
              <w:t xml:space="preserve">élaboré, et </w:t>
            </w:r>
            <w:r w:rsidR="00F31056">
              <w:t>implémenté</w:t>
            </w:r>
            <w:r w:rsidR="007A51C7">
              <w:t xml:space="preserve"> dans les zones cibles,</w:t>
            </w:r>
          </w:p>
          <w:p w:rsidR="00B97FC6" w:rsidP="004F171D" w:rsidRDefault="005F0730" w14:paraId="3A7D34A3" w14:textId="2B9C97BA">
            <w:pPr>
              <w:pStyle w:val="Paragraphedeliste"/>
              <w:numPr>
                <w:ilvl w:val="0"/>
                <w:numId w:val="7"/>
              </w:numPr>
              <w:spacing w:line="300" w:lineRule="exact"/>
              <w:jc w:val="both"/>
            </w:pPr>
            <w:r>
              <w:t xml:space="preserve">La </w:t>
            </w:r>
            <w:r w:rsidR="00F31056">
              <w:t>stratégie</w:t>
            </w:r>
            <w:r>
              <w:t xml:space="preserve"> de communication </w:t>
            </w:r>
            <w:r w:rsidR="005E6464">
              <w:t xml:space="preserve">du PEV </w:t>
            </w:r>
            <w:r w:rsidR="007D0B28">
              <w:t>élaboré</w:t>
            </w:r>
          </w:p>
          <w:p w:rsidR="00804F9F" w:rsidP="004F171D" w:rsidRDefault="001D0F56" w14:paraId="7059353E" w14:textId="706D180D">
            <w:pPr>
              <w:pStyle w:val="Paragraphedeliste"/>
              <w:numPr>
                <w:ilvl w:val="0"/>
                <w:numId w:val="7"/>
              </w:numPr>
              <w:spacing w:line="300" w:lineRule="exact"/>
              <w:jc w:val="both"/>
            </w:pPr>
            <w:r>
              <w:t xml:space="preserve">La </w:t>
            </w:r>
            <w:r w:rsidR="00F31056">
              <w:t>stratégie</w:t>
            </w:r>
            <w:r>
              <w:t xml:space="preserve"> nationale d’</w:t>
            </w:r>
            <w:r w:rsidR="00F31056">
              <w:t>immunisation implémentée</w:t>
            </w:r>
            <w:r>
              <w:t xml:space="preserve"> dans les </w:t>
            </w:r>
            <w:proofErr w:type="spellStart"/>
            <w:r w:rsidR="00F31056">
              <w:t>Moughataa</w:t>
            </w:r>
            <w:proofErr w:type="spellEnd"/>
            <w:r>
              <w:t>/</w:t>
            </w:r>
            <w:r w:rsidR="00F31056">
              <w:t>régions</w:t>
            </w:r>
            <w:r>
              <w:t xml:space="preserve"> prioritaires </w:t>
            </w:r>
            <w:r w:rsidR="00804F9F">
              <w:t xml:space="preserve">avec l’appui des consultants nationaux </w:t>
            </w:r>
            <w:r w:rsidR="00F31056">
              <w:t>déployés</w:t>
            </w:r>
            <w:r w:rsidR="00804F9F">
              <w:t>,</w:t>
            </w:r>
          </w:p>
          <w:p w:rsidR="00EB2FC8" w:rsidP="004F171D" w:rsidRDefault="00B34818" w14:paraId="295C782C" w14:textId="5FBE2859">
            <w:pPr>
              <w:pStyle w:val="Paragraphedeliste"/>
              <w:numPr>
                <w:ilvl w:val="0"/>
                <w:numId w:val="7"/>
              </w:numPr>
              <w:spacing w:line="300" w:lineRule="exact"/>
              <w:jc w:val="both"/>
            </w:pPr>
            <w:r>
              <w:t>L</w:t>
            </w:r>
            <w:r w:rsidRPr="003C178D">
              <w:t xml:space="preserve">es stratégies de communication et </w:t>
            </w:r>
            <w:r w:rsidRPr="003C178D" w:rsidR="00F31056">
              <w:t>génération</w:t>
            </w:r>
            <w:r w:rsidRPr="003C178D">
              <w:t xml:space="preserve"> de la demande au niveau des zones prioritaires pour la recherche des enfants ’</w:t>
            </w:r>
            <w:r w:rsidRPr="003C178D" w:rsidR="00F31056">
              <w:t>zéro</w:t>
            </w:r>
            <w:r w:rsidRPr="003C178D">
              <w:t xml:space="preserve"> doses et ‘sous-vaccinés’ à travers les organisations locales et fonctionnelles de la société </w:t>
            </w:r>
            <w:r w:rsidRPr="003C178D" w:rsidR="00F31056">
              <w:t>civile</w:t>
            </w:r>
            <w:r w:rsidR="00F31056">
              <w:t xml:space="preserve"> implémentées</w:t>
            </w:r>
            <w:r w:rsidR="009B3CA0">
              <w:t>,</w:t>
            </w:r>
          </w:p>
          <w:p w:rsidR="009B3CA0" w:rsidP="004F171D" w:rsidRDefault="00DC748B" w14:paraId="5B7AF225" w14:textId="5536DFEF">
            <w:pPr>
              <w:pStyle w:val="Paragraphedeliste"/>
              <w:numPr>
                <w:ilvl w:val="0"/>
                <w:numId w:val="7"/>
              </w:numPr>
              <w:spacing w:line="300" w:lineRule="exact"/>
              <w:jc w:val="both"/>
            </w:pPr>
            <w:r>
              <w:t xml:space="preserve">Organisation des </w:t>
            </w:r>
            <w:r w:rsidR="00E74C62">
              <w:t xml:space="preserve">formations des cours MLM au profit des médecins chefs des 63 </w:t>
            </w:r>
            <w:proofErr w:type="spellStart"/>
            <w:r w:rsidR="00F31056">
              <w:t>Moughataa</w:t>
            </w:r>
            <w:proofErr w:type="spellEnd"/>
            <w:r w:rsidR="00E74C62">
              <w:t>, et 15 points focaux régionaux,</w:t>
            </w:r>
          </w:p>
          <w:p w:rsidR="00E74C62" w:rsidP="004F171D" w:rsidRDefault="005B47B2" w14:paraId="16A85E32" w14:textId="5BC6853B">
            <w:pPr>
              <w:pStyle w:val="Paragraphedeliste"/>
              <w:numPr>
                <w:ilvl w:val="0"/>
                <w:numId w:val="7"/>
              </w:numPr>
              <w:spacing w:line="300" w:lineRule="exact"/>
              <w:jc w:val="both"/>
            </w:pPr>
            <w:r w:rsidRPr="00230219">
              <w:t xml:space="preserve">L’approche </w:t>
            </w:r>
            <w:r w:rsidRPr="00230219" w:rsidR="00230219">
              <w:t>TIP (</w:t>
            </w:r>
            <w:proofErr w:type="spellStart"/>
            <w:r w:rsidRPr="00230219" w:rsidR="00230219">
              <w:t>tailoring</w:t>
            </w:r>
            <w:proofErr w:type="spellEnd"/>
            <w:r w:rsidR="00F31056">
              <w:t xml:space="preserve"> </w:t>
            </w:r>
            <w:r w:rsidRPr="00230219" w:rsidR="00230219">
              <w:t>Immunization p</w:t>
            </w:r>
            <w:r w:rsidRPr="00723DA7" w:rsidR="0032644E">
              <w:t xml:space="preserve">rogram) est mise </w:t>
            </w:r>
            <w:r w:rsidRPr="00F31056" w:rsidR="00F31056">
              <w:t>en</w:t>
            </w:r>
            <w:r w:rsidR="00F31056">
              <w:t xml:space="preserve"> œuvre</w:t>
            </w:r>
            <w:r w:rsidR="00230219">
              <w:t xml:space="preserve"> dans les </w:t>
            </w:r>
            <w:r w:rsidR="00F31056">
              <w:t>zones</w:t>
            </w:r>
            <w:r w:rsidR="00230219">
              <w:t xml:space="preserve"> cibles,</w:t>
            </w:r>
          </w:p>
          <w:p w:rsidR="00F13F05" w:rsidP="004F171D" w:rsidRDefault="00F13F05" w14:paraId="54325517" w14:textId="77777777">
            <w:pPr>
              <w:pStyle w:val="Paragraphedeliste"/>
              <w:numPr>
                <w:ilvl w:val="0"/>
                <w:numId w:val="7"/>
              </w:numPr>
              <w:spacing w:line="300" w:lineRule="exact"/>
              <w:jc w:val="both"/>
            </w:pPr>
            <w:r>
              <w:t xml:space="preserve">Le </w:t>
            </w:r>
            <w:r w:rsidRPr="003C178D">
              <w:t>plan de continuité des services de vaccination systématique dans le contexte de la covid19</w:t>
            </w:r>
            <w:r>
              <w:t>est élaboré et validé,</w:t>
            </w:r>
          </w:p>
          <w:p w:rsidR="00F13F05" w:rsidP="004F171D" w:rsidRDefault="00F13F05" w14:paraId="29F744A6" w14:textId="77777777">
            <w:pPr>
              <w:pStyle w:val="Paragraphedeliste"/>
              <w:numPr>
                <w:ilvl w:val="0"/>
                <w:numId w:val="7"/>
              </w:numPr>
              <w:spacing w:line="300" w:lineRule="exact"/>
              <w:jc w:val="both"/>
            </w:pPr>
            <w:r>
              <w:t xml:space="preserve">Le </w:t>
            </w:r>
            <w:r w:rsidRPr="003C178D">
              <w:t xml:space="preserve">plan d’amélioration </w:t>
            </w:r>
            <w:r>
              <w:t xml:space="preserve">de la qualité </w:t>
            </w:r>
            <w:r w:rsidRPr="003C178D">
              <w:t>des données</w:t>
            </w:r>
            <w:r w:rsidR="009D59EA">
              <w:t xml:space="preserve"> est mis en œuvre,</w:t>
            </w:r>
          </w:p>
          <w:p w:rsidR="00786EC6" w:rsidP="004F171D" w:rsidRDefault="00786EC6" w14:paraId="0E11605C" w14:textId="77777777">
            <w:pPr>
              <w:pStyle w:val="Paragraphedeliste"/>
              <w:numPr>
                <w:ilvl w:val="0"/>
                <w:numId w:val="7"/>
              </w:numPr>
              <w:spacing w:line="300" w:lineRule="exact"/>
              <w:jc w:val="both"/>
            </w:pPr>
            <w:r>
              <w:t xml:space="preserve">Le personnel du PEV en charge </w:t>
            </w:r>
            <w:r w:rsidR="00A77983">
              <w:t>de la logistique est formé</w:t>
            </w:r>
            <w:r w:rsidR="00B44DA0">
              <w:t>,</w:t>
            </w:r>
          </w:p>
          <w:p w:rsidR="00185C2D" w:rsidP="00723DA7" w:rsidRDefault="00B44DA0" w14:paraId="4BAA6AE9" w14:textId="77777777">
            <w:pPr>
              <w:pStyle w:val="Paragraphedeliste"/>
              <w:numPr>
                <w:ilvl w:val="0"/>
                <w:numId w:val="7"/>
              </w:numPr>
              <w:spacing w:line="300" w:lineRule="exact"/>
            </w:pPr>
            <w:r>
              <w:t xml:space="preserve">Les vaccins RR2, et VPI2 sont introduit dans </w:t>
            </w:r>
            <w:r w:rsidR="004E0031">
              <w:t>le PEV de routine,</w:t>
            </w:r>
          </w:p>
          <w:p w:rsidRPr="00F13F05" w:rsidR="00643DBD" w:rsidP="00643DBD" w:rsidRDefault="00643DBD" w14:paraId="63D43D0A" w14:textId="77777777">
            <w:pPr>
              <w:spacing w:line="300" w:lineRule="exact"/>
            </w:pPr>
          </w:p>
        </w:tc>
      </w:tr>
    </w:tbl>
    <w:p w:rsidRPr="00230219" w:rsidR="007612C6" w:rsidP="00FC4A11" w:rsidRDefault="007612C6" w14:paraId="2B655203" w14:textId="77777777">
      <w:pPr>
        <w:spacing w:line="300" w:lineRule="exact"/>
      </w:pPr>
    </w:p>
    <w:sectPr w:rsidRPr="00230219" w:rsidR="007612C6" w:rsidSect="007612C6">
      <w:headerReference w:type="even" r:id="rId15"/>
      <w:headerReference w:type="default" r:id="rId16"/>
      <w:footerReference w:type="even" r:id="rId17"/>
      <w:footerReference w:type="default" r:id="rId18"/>
      <w:headerReference w:type="first" r:id="rId19"/>
      <w:footerReference w:type="first" r:id="rId20"/>
      <w:pgSz w:w="12240" w:h="15840" w:orient="portrait"/>
      <w:pgMar w:top="1440" w:right="1608"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0026" w:rsidP="00431CA9" w:rsidRDefault="00800026" w14:paraId="037B1953" w14:textId="77777777">
      <w:pPr>
        <w:spacing w:line="240" w:lineRule="auto"/>
      </w:pPr>
      <w:r>
        <w:separator/>
      </w:r>
    </w:p>
  </w:endnote>
  <w:endnote w:type="continuationSeparator" w:id="0">
    <w:p w:rsidR="00800026" w:rsidP="00431CA9" w:rsidRDefault="00800026" w14:paraId="7243CDC7" w14:textId="77777777">
      <w:pPr>
        <w:spacing w:line="240" w:lineRule="auto"/>
      </w:pPr>
      <w:r>
        <w:continuationSeparator/>
      </w:r>
    </w:p>
  </w:endnote>
  <w:endnote w:type="continuationNotice" w:id="1">
    <w:p w:rsidR="00800026" w:rsidRDefault="00800026" w14:paraId="0D69592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7321" w:rsidRDefault="00257321" w14:paraId="3BF65D0D" w14:textId="777777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69279477"/>
      <w:docPartObj>
        <w:docPartGallery w:val="Page Numbers (Bottom of Page)"/>
        <w:docPartUnique/>
      </w:docPartObj>
    </w:sdtPr>
    <w:sdtEndPr>
      <w:rPr>
        <w:noProof/>
      </w:rPr>
    </w:sdtEndPr>
    <w:sdtContent>
      <w:p w:rsidR="00257321" w:rsidRDefault="0032644E" w14:paraId="79EE5D7C" w14:textId="77777777">
        <w:pPr>
          <w:pStyle w:val="Pieddepage"/>
        </w:pPr>
        <w:r w:rsidRPr="00DA777C">
          <w:rPr>
            <w:sz w:val="20"/>
          </w:rPr>
          <w:fldChar w:fldCharType="begin"/>
        </w:r>
        <w:r w:rsidRPr="00DA777C" w:rsidR="00257321">
          <w:rPr>
            <w:sz w:val="20"/>
          </w:rPr>
          <w:instrText xml:space="preserve"> PAGE   \* MERGEFORMAT </w:instrText>
        </w:r>
        <w:r w:rsidRPr="00DA777C">
          <w:rPr>
            <w:sz w:val="20"/>
          </w:rPr>
          <w:fldChar w:fldCharType="separate"/>
        </w:r>
        <w:r w:rsidR="001040F0">
          <w:rPr>
            <w:noProof/>
            <w:sz w:val="20"/>
          </w:rPr>
          <w:t>11</w:t>
        </w:r>
        <w:r w:rsidRPr="00DA777C">
          <w:rPr>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7321" w:rsidRDefault="00257321" w14:paraId="728D1B7C"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0026" w:rsidP="00431CA9" w:rsidRDefault="00800026" w14:paraId="4F7B5E94" w14:textId="77777777">
      <w:pPr>
        <w:spacing w:line="240" w:lineRule="auto"/>
      </w:pPr>
      <w:r>
        <w:separator/>
      </w:r>
    </w:p>
  </w:footnote>
  <w:footnote w:type="continuationSeparator" w:id="0">
    <w:p w:rsidR="00800026" w:rsidP="00431CA9" w:rsidRDefault="00800026" w14:paraId="4A359BD4" w14:textId="77777777">
      <w:pPr>
        <w:spacing w:line="240" w:lineRule="auto"/>
      </w:pPr>
      <w:r>
        <w:continuationSeparator/>
      </w:r>
    </w:p>
  </w:footnote>
  <w:footnote w:type="continuationNotice" w:id="1">
    <w:p w:rsidR="00800026" w:rsidRDefault="00800026" w14:paraId="1828A78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7321" w:rsidRDefault="00257321" w14:paraId="7DDD5D5A"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00257321" w:rsidRDefault="00502817" w14:paraId="02B0BCB5" w14:textId="45A9EB90">
    <w:pPr>
      <w:pStyle w:val="En-tte"/>
    </w:pPr>
    <w:r>
      <w:rPr>
        <w:noProof/>
      </w:rPr>
      <mc:AlternateContent>
        <mc:Choice Requires="wps">
          <w:drawing>
            <wp:anchor distT="0" distB="0" distL="114300" distR="114300" simplePos="0" relativeHeight="251658243" behindDoc="0" locked="0" layoutInCell="1" allowOverlap="1" wp14:anchorId="03C86613" wp14:editId="7D3A6E64">
              <wp:simplePos x="0" y="0"/>
              <wp:positionH relativeFrom="page">
                <wp:posOffset>1466215</wp:posOffset>
              </wp:positionH>
              <wp:positionV relativeFrom="topMargin">
                <wp:posOffset>52070</wp:posOffset>
              </wp:positionV>
              <wp:extent cx="6319520" cy="7943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520" cy="794385"/>
                      </a:xfrm>
                      <a:prstGeom prst="rect">
                        <a:avLst/>
                      </a:prstGeom>
                      <a:noFill/>
                      <a:ln>
                        <a:noFill/>
                      </a:ln>
                    </wps:spPr>
                    <wps:txbx>
                      <w:txbxContent>
                        <w:p w:rsidR="00257321" w:rsidP="00055BF9" w:rsidRDefault="00257321" w14:paraId="3C9E7393" w14:textId="77777777">
                          <w:pPr>
                            <w:rPr>
                              <w:b/>
                              <w:bCs/>
                              <w:color w:val="0070C0"/>
                              <w:sz w:val="24"/>
                              <w:szCs w:val="24"/>
                            </w:rPr>
                          </w:pPr>
                          <w:r>
                            <w:rPr>
                              <w:b/>
                              <w:color w:val="0070C0"/>
                              <w:sz w:val="24"/>
                            </w:rPr>
                            <w:t xml:space="preserve">Justification de l'assistance pays ciblée du Cadre d'engagement des partenaires  </w:t>
                          </w:r>
                        </w:p>
                        <w:p w:rsidRPr="00C4436D" w:rsidR="00257321" w:rsidP="00055BF9" w:rsidRDefault="00257321" w14:paraId="25C4AE16" w14:textId="77777777">
                          <w:pPr>
                            <w:rPr>
                              <w:color w:val="0070C0"/>
                            </w:rPr>
                          </w:pPr>
                          <w:r>
                            <w:rPr>
                              <w:color w:val="0070C0"/>
                            </w:rPr>
                            <w:t>Avril 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w14:anchorId="10A3CAC4">
            <v:shapetype id="_x0000_t202" coordsize="21600,21600" o:spt="202" path="m,l,21600r21600,l21600,xe" w14:anchorId="03C86613">
              <v:stroke joinstyle="miter"/>
              <v:path gradientshapeok="t" o:connecttype="rect"/>
            </v:shapetype>
            <v:shape id="Text Box 2" style="position:absolute;margin-left:115.45pt;margin-top:4.1pt;width:497.6pt;height:62.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middl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">
              <v:textbox>
                <w:txbxContent>
                  <w:p w:rsidR="00257321" w:rsidP="00055BF9" w:rsidRDefault="00257321" w14:paraId="53D00C38" w14:textId="77777777">
                    <w:pPr>
                      <w:rPr>
                        <w:b/>
                        <w:bCs/>
                        <w:color w:val="0070C0"/>
                        <w:sz w:val="24"/>
                        <w:szCs w:val="24"/>
                      </w:rPr>
                    </w:pPr>
                    <w:r>
                      <w:rPr>
                        <w:b/>
                        <w:color w:val="0070C0"/>
                        <w:sz w:val="24"/>
                      </w:rPr>
                      <w:t xml:space="preserve">Justification de l'assistance pays ciblée du Cadre d'engagement des partenaires  </w:t>
                    </w:r>
                  </w:p>
                  <w:p w:rsidRPr="00C4436D" w:rsidR="00257321" w:rsidP="00055BF9" w:rsidRDefault="00257321" w14:paraId="7C7BE9AA" w14:textId="77777777">
                    <w:pPr>
                      <w:rPr>
                        <w:color w:val="0070C0"/>
                      </w:rPr>
                    </w:pPr>
                    <w:r>
                      <w:rPr>
                        <w:color w:val="0070C0"/>
                      </w:rPr>
                      <w:t>Avril 2022</w:t>
                    </w:r>
                  </w:p>
                </w:txbxContent>
              </v:textbox>
              <w10:wrap anchorx="page" anchory="margin"/>
            </v:shape>
          </w:pict>
        </mc:Fallback>
      </mc:AlternateContent>
    </w:r>
    <w:r>
      <w:rPr>
        <w:noProof/>
      </w:rPr>
      <mc:AlternateContent>
        <mc:Choice Requires="wps">
          <w:drawing>
            <wp:anchor distT="0" distB="0" distL="114297" distR="114297" simplePos="0" relativeHeight="251658242" behindDoc="0" locked="0" layoutInCell="1" allowOverlap="1" wp14:anchorId="3A00A16C" wp14:editId="5A48874F">
              <wp:simplePos x="0" y="0"/>
              <wp:positionH relativeFrom="column">
                <wp:posOffset>551179</wp:posOffset>
              </wp:positionH>
              <wp:positionV relativeFrom="page">
                <wp:posOffset>197485</wp:posOffset>
              </wp:positionV>
              <wp:extent cx="0" cy="439420"/>
              <wp:effectExtent l="0" t="0" r="19050" b="1778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39420"/>
                      </a:xfrm>
                      <a:prstGeom prst="line">
                        <a:avLst/>
                      </a:prstGeom>
                      <a:ln w="9525"/>
                    </wps:spPr>
                    <wps:style>
                      <a:lnRef idx="3">
                        <a:schemeClr val="accent5"/>
                      </a:lnRef>
                      <a:fillRef idx="0">
                        <a:schemeClr val="accent5"/>
                      </a:fillRef>
                      <a:effectRef idx="2">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w14:anchorId="51428764">
            <v:line id="Connecteur droit 1" style="position:absolute;z-index:25165824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page;mso-width-percent:0;mso-height-percent:0;mso-width-relative:page;mso-height-relative:page" o:spid="_x0000_s1026" strokecolor="#5b9bd5 [3208]" from="43.4pt,15.55pt" to="43.4pt,50.15pt" w14:anchorId="32C0C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">
              <v:stroke joinstyle="miter"/>
              <o:lock v:ext="edit" shapetype="f"/>
              <w10:wrap anchory="page"/>
            </v:line>
          </w:pict>
        </mc:Fallback>
      </mc:AlternateContent>
    </w:r>
    <w:r>
      <w:rPr>
        <w:noProof/>
      </w:rPr>
      <mc:AlternateContent>
        <mc:Choice Requires="wps">
          <w:drawing>
            <wp:anchor distT="0" distB="0" distL="114300" distR="114300" simplePos="0" relativeHeight="251658240" behindDoc="1" locked="0" layoutInCell="1" allowOverlap="1" wp14:anchorId="453D80C1" wp14:editId="70440D5B">
              <wp:simplePos x="0" y="0"/>
              <wp:positionH relativeFrom="page">
                <wp:align>right</wp:align>
              </wp:positionH>
              <wp:positionV relativeFrom="page">
                <wp:posOffset>-259080</wp:posOffset>
              </wp:positionV>
              <wp:extent cx="7771765" cy="1119505"/>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1765" cy="1119505"/>
                      </a:xfrm>
                      <a:prstGeom prst="rect">
                        <a:avLst/>
                      </a:prstGeom>
                      <a:solidFill>
                        <a:srgbClr val="F2F2F1"/>
                      </a:solidFill>
                      <a:ln w="6350" cap="flat" cmpd="sng" algn="ctr">
                        <a:noFill/>
                        <a:prstDash val="solid"/>
                        <a:miter lim="800000"/>
                      </a:ln>
                      <a:effectLst/>
                    </wps:spPr>
                    <wps:txbx>
                      <w:txbxContent>
                        <w:p w:rsidR="00257321" w:rsidP="00892432" w:rsidRDefault="00257321" w14:paraId="0328AF07"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DBED0B0">
            <v:rect id="Rectangle 8" style="position:absolute;margin-left:560.75pt;margin-top:-20.4pt;width:611.95pt;height:88.1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spid="_x0000_s1027" fillcolor="#f2f2f1" stroked="f" strokeweight=".5pt" w14:anchorId="453D80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">
              <v:textbox>
                <w:txbxContent>
                  <w:p w:rsidR="00257321" w:rsidP="00892432" w:rsidRDefault="00257321" w14:paraId="672A6659" w14:textId="77777777">
                    <w:pPr>
                      <w:jc w:val="center"/>
                    </w:pPr>
                  </w:p>
                </w:txbxContent>
              </v:textbox>
              <w10:wrap anchorx="page" anchory="page"/>
            </v:rect>
          </w:pict>
        </mc:Fallback>
      </mc:AlternateContent>
    </w:r>
    <w:r w:rsidR="00257321">
      <w:rPr>
        <w:noProof/>
        <w:lang w:eastAsia="fr-FR"/>
      </w:rPr>
      <w:drawing>
        <wp:anchor distT="0" distB="0" distL="114300" distR="114300" simplePos="0" relativeHeight="251658241" behindDoc="1" locked="0" layoutInCell="1" allowOverlap="1" wp14:anchorId="638141C1" wp14:editId="70C47A8D">
          <wp:simplePos x="0" y="0"/>
          <wp:positionH relativeFrom="margin">
            <wp:posOffset>-687687</wp:posOffset>
          </wp:positionH>
          <wp:positionV relativeFrom="page">
            <wp:posOffset>191153</wp:posOffset>
          </wp:positionV>
          <wp:extent cx="1186180" cy="439420"/>
          <wp:effectExtent l="0" t="0" r="0" b="5080"/>
          <wp:wrapTight wrapText="bothSides">
            <wp:wrapPolygon edited="0">
              <wp:start x="15495" y="0"/>
              <wp:lineTo x="2313" y="3121"/>
              <wp:lineTo x="0" y="4370"/>
              <wp:lineTo x="0" y="9988"/>
              <wp:lineTo x="925" y="19977"/>
              <wp:lineTo x="925" y="21225"/>
              <wp:lineTo x="18501" y="21225"/>
              <wp:lineTo x="19889" y="19977"/>
              <wp:lineTo x="21276" y="13110"/>
              <wp:lineTo x="21276" y="7491"/>
              <wp:lineTo x="20120" y="1873"/>
              <wp:lineTo x="18964" y="0"/>
              <wp:lineTo x="15495"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0297" t="21860" r="10744" b="21696"/>
                  <a:stretch/>
                </pic:blipFill>
                <pic:spPr bwMode="auto">
                  <a:xfrm>
                    <a:off x="0" y="0"/>
                    <a:ext cx="1186180" cy="439420"/>
                  </a:xfrm>
                  <a:prstGeom prst="rect">
                    <a:avLst/>
                  </a:prstGeom>
                  <a:ln>
                    <a:noFill/>
                  </a:ln>
                  <a:extLst>
                    <a:ext uri="{53640926-AAD7-44D8-BBD7-CCE9431645EC}">
                      <a14:shadowObscured xmlns:a14="http://schemas.microsoft.com/office/drawing/2010/main"/>
                    </a:ext>
                  </a:ex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7321" w:rsidRDefault="00257321" w14:paraId="3DA62435"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A67"/>
    <w:multiLevelType w:val="hybridMultilevel"/>
    <w:tmpl w:val="7D08F826"/>
    <w:lvl w:ilvl="0" w:tplc="040C0001">
      <w:start w:val="1"/>
      <w:numFmt w:val="bullet"/>
      <w:lvlText w:val=""/>
      <w:lvlJc w:val="left"/>
      <w:pPr>
        <w:ind w:left="1080" w:hanging="360"/>
      </w:pPr>
      <w:rPr>
        <w:rFonts w:hint="default" w:ascii="Symbol" w:hAnsi="Symbol"/>
      </w:rPr>
    </w:lvl>
    <w:lvl w:ilvl="1" w:tplc="040C0003">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1" w15:restartNumberingAfterBreak="0">
    <w:nsid w:val="0CF9521E"/>
    <w:multiLevelType w:val="hybridMultilevel"/>
    <w:tmpl w:val="B5109E50"/>
    <w:lvl w:ilvl="0" w:tplc="8E4C8C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D77166"/>
    <w:multiLevelType w:val="hybridMultilevel"/>
    <w:tmpl w:val="6ED0BE0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184B1CC4"/>
    <w:multiLevelType w:val="hybridMultilevel"/>
    <w:tmpl w:val="7BE469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E2D61B6"/>
    <w:multiLevelType w:val="hybridMultilevel"/>
    <w:tmpl w:val="8B7EF21A"/>
    <w:lvl w:ilvl="0" w:tplc="71FC4C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FC45C2"/>
    <w:multiLevelType w:val="hybridMultilevel"/>
    <w:tmpl w:val="352C677C"/>
    <w:lvl w:ilvl="0" w:tplc="C4B4C7D8">
      <w:start w:val="13"/>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52D31B0"/>
    <w:multiLevelType w:val="multilevel"/>
    <w:tmpl w:val="0DE68E2A"/>
    <w:styleLink w:val="CurrentList3"/>
    <w:lvl w:ilvl="0">
      <w:start w:val="1"/>
      <w:numFmt w:val="none"/>
      <w:lvlText w:val="3."/>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A284B8D"/>
    <w:multiLevelType w:val="multilevel"/>
    <w:tmpl w:val="899CCA90"/>
    <w:styleLink w:val="CurrentList2"/>
    <w:lvl w:ilvl="0">
      <w:start w:val="1"/>
      <w:numFmt w:val="decimal"/>
      <w:lvlText w:val="%1."/>
      <w:lvlJc w:val="left"/>
      <w:pPr>
        <w:ind w:left="360" w:hanging="360"/>
      </w:pPr>
      <w:rPr>
        <w:rFonts w:hint="default"/>
      </w:rPr>
    </w:lvl>
    <w:lvl w:ilvl="1">
      <w:start w:val="1"/>
      <w:numFmt w:val="none"/>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AA4665E"/>
    <w:multiLevelType w:val="hybridMultilevel"/>
    <w:tmpl w:val="EE5A928E"/>
    <w:lvl w:ilvl="0" w:tplc="040C0001">
      <w:start w:val="1"/>
      <w:numFmt w:val="bullet"/>
      <w:lvlText w:val=""/>
      <w:lvlJc w:val="left"/>
      <w:pPr>
        <w:ind w:left="1080" w:hanging="360"/>
      </w:pPr>
      <w:rPr>
        <w:rFonts w:hint="default" w:ascii="Symbol" w:hAnsi="Symbol"/>
      </w:rPr>
    </w:lvl>
    <w:lvl w:ilvl="1" w:tplc="040C0003">
      <w:start w:val="1"/>
      <w:numFmt w:val="bullet"/>
      <w:lvlText w:val="o"/>
      <w:lvlJc w:val="left"/>
      <w:pPr>
        <w:ind w:left="1800" w:hanging="360"/>
      </w:pPr>
      <w:rPr>
        <w:rFonts w:hint="default" w:ascii="Courier New" w:hAnsi="Courier New" w:cs="Courier New"/>
      </w:rPr>
    </w:lvl>
    <w:lvl w:ilvl="2" w:tplc="040C0005" w:tentative="1">
      <w:start w:val="1"/>
      <w:numFmt w:val="bullet"/>
      <w:lvlText w:val=""/>
      <w:lvlJc w:val="left"/>
      <w:pPr>
        <w:ind w:left="2520" w:hanging="360"/>
      </w:pPr>
      <w:rPr>
        <w:rFonts w:hint="default" w:ascii="Wingdings" w:hAnsi="Wingdings"/>
      </w:rPr>
    </w:lvl>
    <w:lvl w:ilvl="3" w:tplc="040C0001" w:tentative="1">
      <w:start w:val="1"/>
      <w:numFmt w:val="bullet"/>
      <w:lvlText w:val=""/>
      <w:lvlJc w:val="left"/>
      <w:pPr>
        <w:ind w:left="3240" w:hanging="360"/>
      </w:pPr>
      <w:rPr>
        <w:rFonts w:hint="default" w:ascii="Symbol" w:hAnsi="Symbol"/>
      </w:rPr>
    </w:lvl>
    <w:lvl w:ilvl="4" w:tplc="040C0003" w:tentative="1">
      <w:start w:val="1"/>
      <w:numFmt w:val="bullet"/>
      <w:lvlText w:val="o"/>
      <w:lvlJc w:val="left"/>
      <w:pPr>
        <w:ind w:left="3960" w:hanging="360"/>
      </w:pPr>
      <w:rPr>
        <w:rFonts w:hint="default" w:ascii="Courier New" w:hAnsi="Courier New" w:cs="Courier New"/>
      </w:rPr>
    </w:lvl>
    <w:lvl w:ilvl="5" w:tplc="040C0005" w:tentative="1">
      <w:start w:val="1"/>
      <w:numFmt w:val="bullet"/>
      <w:lvlText w:val=""/>
      <w:lvlJc w:val="left"/>
      <w:pPr>
        <w:ind w:left="4680" w:hanging="360"/>
      </w:pPr>
      <w:rPr>
        <w:rFonts w:hint="default" w:ascii="Wingdings" w:hAnsi="Wingdings"/>
      </w:rPr>
    </w:lvl>
    <w:lvl w:ilvl="6" w:tplc="040C0001" w:tentative="1">
      <w:start w:val="1"/>
      <w:numFmt w:val="bullet"/>
      <w:lvlText w:val=""/>
      <w:lvlJc w:val="left"/>
      <w:pPr>
        <w:ind w:left="5400" w:hanging="360"/>
      </w:pPr>
      <w:rPr>
        <w:rFonts w:hint="default" w:ascii="Symbol" w:hAnsi="Symbol"/>
      </w:rPr>
    </w:lvl>
    <w:lvl w:ilvl="7" w:tplc="040C0003" w:tentative="1">
      <w:start w:val="1"/>
      <w:numFmt w:val="bullet"/>
      <w:lvlText w:val="o"/>
      <w:lvlJc w:val="left"/>
      <w:pPr>
        <w:ind w:left="6120" w:hanging="360"/>
      </w:pPr>
      <w:rPr>
        <w:rFonts w:hint="default" w:ascii="Courier New" w:hAnsi="Courier New" w:cs="Courier New"/>
      </w:rPr>
    </w:lvl>
    <w:lvl w:ilvl="8" w:tplc="040C0005" w:tentative="1">
      <w:start w:val="1"/>
      <w:numFmt w:val="bullet"/>
      <w:lvlText w:val=""/>
      <w:lvlJc w:val="left"/>
      <w:pPr>
        <w:ind w:left="6840" w:hanging="360"/>
      </w:pPr>
      <w:rPr>
        <w:rFonts w:hint="default" w:ascii="Wingdings" w:hAnsi="Wingdings"/>
      </w:rPr>
    </w:lvl>
  </w:abstractNum>
  <w:abstractNum w:abstractNumId="9" w15:restartNumberingAfterBreak="0">
    <w:nsid w:val="3C792C0F"/>
    <w:multiLevelType w:val="multilevel"/>
    <w:tmpl w:val="295ABEB2"/>
    <w:lvl w:ilvl="0">
      <w:start w:val="1"/>
      <w:numFmt w:val="decimal"/>
      <w:lvlText w:val="%1."/>
      <w:lvlJc w:val="left"/>
      <w:pPr>
        <w:ind w:left="502" w:hanging="360"/>
      </w:pPr>
      <w:rPr>
        <w:rFonts w:hint="default"/>
        <w:b/>
        <w:bCs/>
        <w:color w:val="70AD47" w:themeColor="accent6"/>
        <w:sz w:val="24"/>
        <w:szCs w:val="24"/>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0" w15:restartNumberingAfterBreak="0">
    <w:nsid w:val="45947172"/>
    <w:multiLevelType w:val="hybridMultilevel"/>
    <w:tmpl w:val="F014E662"/>
    <w:lvl w:ilvl="0" w:tplc="04090001">
      <w:start w:val="1"/>
      <w:numFmt w:val="bullet"/>
      <w:lvlText w:val=""/>
      <w:lvlJc w:val="left"/>
      <w:pPr>
        <w:ind w:left="4897" w:hanging="360"/>
      </w:pPr>
      <w:rPr>
        <w:rFonts w:hint="default" w:ascii="Symbol" w:hAnsi="Symbol"/>
      </w:rPr>
    </w:lvl>
    <w:lvl w:ilvl="1" w:tplc="04090003" w:tentative="1">
      <w:start w:val="1"/>
      <w:numFmt w:val="bullet"/>
      <w:lvlText w:val="o"/>
      <w:lvlJc w:val="left"/>
      <w:pPr>
        <w:ind w:left="2000" w:hanging="360"/>
      </w:pPr>
      <w:rPr>
        <w:rFonts w:hint="default" w:ascii="Courier New" w:hAnsi="Courier New" w:cs="Courier New"/>
      </w:rPr>
    </w:lvl>
    <w:lvl w:ilvl="2" w:tplc="04090005" w:tentative="1">
      <w:start w:val="1"/>
      <w:numFmt w:val="bullet"/>
      <w:lvlText w:val=""/>
      <w:lvlJc w:val="left"/>
      <w:pPr>
        <w:ind w:left="2720" w:hanging="360"/>
      </w:pPr>
      <w:rPr>
        <w:rFonts w:hint="default" w:ascii="Wingdings" w:hAnsi="Wingdings"/>
      </w:rPr>
    </w:lvl>
    <w:lvl w:ilvl="3" w:tplc="04090001" w:tentative="1">
      <w:start w:val="1"/>
      <w:numFmt w:val="bullet"/>
      <w:lvlText w:val=""/>
      <w:lvlJc w:val="left"/>
      <w:pPr>
        <w:ind w:left="3440" w:hanging="360"/>
      </w:pPr>
      <w:rPr>
        <w:rFonts w:hint="default" w:ascii="Symbol" w:hAnsi="Symbol"/>
      </w:rPr>
    </w:lvl>
    <w:lvl w:ilvl="4" w:tplc="04090003" w:tentative="1">
      <w:start w:val="1"/>
      <w:numFmt w:val="bullet"/>
      <w:lvlText w:val="o"/>
      <w:lvlJc w:val="left"/>
      <w:pPr>
        <w:ind w:left="4160" w:hanging="360"/>
      </w:pPr>
      <w:rPr>
        <w:rFonts w:hint="default" w:ascii="Courier New" w:hAnsi="Courier New" w:cs="Courier New"/>
      </w:rPr>
    </w:lvl>
    <w:lvl w:ilvl="5" w:tplc="04090005" w:tentative="1">
      <w:start w:val="1"/>
      <w:numFmt w:val="bullet"/>
      <w:lvlText w:val=""/>
      <w:lvlJc w:val="left"/>
      <w:pPr>
        <w:ind w:left="4880" w:hanging="360"/>
      </w:pPr>
      <w:rPr>
        <w:rFonts w:hint="default" w:ascii="Wingdings" w:hAnsi="Wingdings"/>
      </w:rPr>
    </w:lvl>
    <w:lvl w:ilvl="6" w:tplc="04090001" w:tentative="1">
      <w:start w:val="1"/>
      <w:numFmt w:val="bullet"/>
      <w:lvlText w:val=""/>
      <w:lvlJc w:val="left"/>
      <w:pPr>
        <w:ind w:left="5600" w:hanging="360"/>
      </w:pPr>
      <w:rPr>
        <w:rFonts w:hint="default" w:ascii="Symbol" w:hAnsi="Symbol"/>
      </w:rPr>
    </w:lvl>
    <w:lvl w:ilvl="7" w:tplc="04090003" w:tentative="1">
      <w:start w:val="1"/>
      <w:numFmt w:val="bullet"/>
      <w:lvlText w:val="o"/>
      <w:lvlJc w:val="left"/>
      <w:pPr>
        <w:ind w:left="6320" w:hanging="360"/>
      </w:pPr>
      <w:rPr>
        <w:rFonts w:hint="default" w:ascii="Courier New" w:hAnsi="Courier New" w:cs="Courier New"/>
      </w:rPr>
    </w:lvl>
    <w:lvl w:ilvl="8" w:tplc="04090005" w:tentative="1">
      <w:start w:val="1"/>
      <w:numFmt w:val="bullet"/>
      <w:lvlText w:val=""/>
      <w:lvlJc w:val="left"/>
      <w:pPr>
        <w:ind w:left="7040" w:hanging="360"/>
      </w:pPr>
      <w:rPr>
        <w:rFonts w:hint="default" w:ascii="Wingdings" w:hAnsi="Wingdings"/>
      </w:rPr>
    </w:lvl>
  </w:abstractNum>
  <w:abstractNum w:abstractNumId="11" w15:restartNumberingAfterBreak="0">
    <w:nsid w:val="555E319A"/>
    <w:multiLevelType w:val="hybridMultilevel"/>
    <w:tmpl w:val="8C2A9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23A59"/>
    <w:multiLevelType w:val="hybridMultilevel"/>
    <w:tmpl w:val="CC94D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937F8F"/>
    <w:multiLevelType w:val="hybridMultilevel"/>
    <w:tmpl w:val="FA3C6E52"/>
    <w:lvl w:ilvl="0" w:tplc="8CE84142">
      <w:start w:val="15"/>
      <w:numFmt w:val="bullet"/>
      <w:lvlText w:val="-"/>
      <w:lvlJc w:val="left"/>
      <w:pPr>
        <w:ind w:left="720" w:hanging="360"/>
      </w:pPr>
      <w:rPr>
        <w:rFonts w:hint="default" w:ascii="Arial" w:hAnsi="Arial" w:eastAsia="Arial"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77B77A0"/>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4762924">
    <w:abstractNumId w:val="14"/>
  </w:num>
  <w:num w:numId="2" w16cid:durableId="1306279978">
    <w:abstractNumId w:val="7"/>
  </w:num>
  <w:num w:numId="3" w16cid:durableId="62340062">
    <w:abstractNumId w:val="6"/>
  </w:num>
  <w:num w:numId="4" w16cid:durableId="1067537902">
    <w:abstractNumId w:val="9"/>
  </w:num>
  <w:num w:numId="5" w16cid:durableId="1131362590">
    <w:abstractNumId w:val="10"/>
  </w:num>
  <w:num w:numId="6" w16cid:durableId="1495297555">
    <w:abstractNumId w:val="5"/>
  </w:num>
  <w:num w:numId="7" w16cid:durableId="541753029">
    <w:abstractNumId w:val="11"/>
  </w:num>
  <w:num w:numId="8" w16cid:durableId="1831480669">
    <w:abstractNumId w:val="8"/>
  </w:num>
  <w:num w:numId="9" w16cid:durableId="57946496">
    <w:abstractNumId w:val="0"/>
  </w:num>
  <w:num w:numId="10" w16cid:durableId="2111774591">
    <w:abstractNumId w:val="4"/>
  </w:num>
  <w:num w:numId="11" w16cid:durableId="314840750">
    <w:abstractNumId w:val="12"/>
  </w:num>
  <w:num w:numId="12" w16cid:durableId="924219004">
    <w:abstractNumId w:val="1"/>
  </w:num>
  <w:num w:numId="13" w16cid:durableId="753404904">
    <w:abstractNumId w:val="3"/>
  </w:num>
  <w:num w:numId="14" w16cid:durableId="1196236968">
    <w:abstractNumId w:val="2"/>
  </w:num>
  <w:num w:numId="15" w16cid:durableId="1888956226">
    <w:abstractNumId w:val="13"/>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szAwNQGSlqamlko6SsGpxcWZ+XkgBYaWtQC5HfxoLQAAAA=="/>
  </w:docVars>
  <w:rsids>
    <w:rsidRoot w:val="00BD4BCE"/>
    <w:rsid w:val="0000025F"/>
    <w:rsid w:val="0000278E"/>
    <w:rsid w:val="00002CAE"/>
    <w:rsid w:val="00002D07"/>
    <w:rsid w:val="00003862"/>
    <w:rsid w:val="0000542A"/>
    <w:rsid w:val="0000599F"/>
    <w:rsid w:val="00005F0A"/>
    <w:rsid w:val="0000717A"/>
    <w:rsid w:val="00007EAE"/>
    <w:rsid w:val="0001063F"/>
    <w:rsid w:val="00011B02"/>
    <w:rsid w:val="00011B86"/>
    <w:rsid w:val="0001244B"/>
    <w:rsid w:val="00012FFC"/>
    <w:rsid w:val="00014AFF"/>
    <w:rsid w:val="00014F67"/>
    <w:rsid w:val="00015D31"/>
    <w:rsid w:val="00016A9B"/>
    <w:rsid w:val="00016C3F"/>
    <w:rsid w:val="00017DD0"/>
    <w:rsid w:val="00017FBF"/>
    <w:rsid w:val="00020272"/>
    <w:rsid w:val="00023D98"/>
    <w:rsid w:val="00024F57"/>
    <w:rsid w:val="000251A6"/>
    <w:rsid w:val="00025589"/>
    <w:rsid w:val="00025BBE"/>
    <w:rsid w:val="00025C70"/>
    <w:rsid w:val="000260FA"/>
    <w:rsid w:val="00027322"/>
    <w:rsid w:val="00027D74"/>
    <w:rsid w:val="000301CD"/>
    <w:rsid w:val="00030751"/>
    <w:rsid w:val="000313E1"/>
    <w:rsid w:val="00031A36"/>
    <w:rsid w:val="0003251B"/>
    <w:rsid w:val="00034931"/>
    <w:rsid w:val="000357F6"/>
    <w:rsid w:val="00036441"/>
    <w:rsid w:val="000369C9"/>
    <w:rsid w:val="00037694"/>
    <w:rsid w:val="000378BB"/>
    <w:rsid w:val="000400A6"/>
    <w:rsid w:val="00040A2E"/>
    <w:rsid w:val="00041E9B"/>
    <w:rsid w:val="00042592"/>
    <w:rsid w:val="00042691"/>
    <w:rsid w:val="0004304D"/>
    <w:rsid w:val="000439C4"/>
    <w:rsid w:val="00043A07"/>
    <w:rsid w:val="00044437"/>
    <w:rsid w:val="000449D1"/>
    <w:rsid w:val="000449DE"/>
    <w:rsid w:val="00051114"/>
    <w:rsid w:val="000511DA"/>
    <w:rsid w:val="0005232A"/>
    <w:rsid w:val="00052358"/>
    <w:rsid w:val="000529E3"/>
    <w:rsid w:val="000538E2"/>
    <w:rsid w:val="00053C8E"/>
    <w:rsid w:val="00054939"/>
    <w:rsid w:val="00054E05"/>
    <w:rsid w:val="000558B1"/>
    <w:rsid w:val="00055A30"/>
    <w:rsid w:val="00055BF9"/>
    <w:rsid w:val="00056DDF"/>
    <w:rsid w:val="00057967"/>
    <w:rsid w:val="00060071"/>
    <w:rsid w:val="00060794"/>
    <w:rsid w:val="00061950"/>
    <w:rsid w:val="0006207D"/>
    <w:rsid w:val="000629D3"/>
    <w:rsid w:val="00063358"/>
    <w:rsid w:val="000660A3"/>
    <w:rsid w:val="0006633A"/>
    <w:rsid w:val="0006639D"/>
    <w:rsid w:val="000663B9"/>
    <w:rsid w:val="00066A17"/>
    <w:rsid w:val="00066E42"/>
    <w:rsid w:val="00067D86"/>
    <w:rsid w:val="00071836"/>
    <w:rsid w:val="00071E35"/>
    <w:rsid w:val="000728A2"/>
    <w:rsid w:val="000728B2"/>
    <w:rsid w:val="00072D93"/>
    <w:rsid w:val="000731C0"/>
    <w:rsid w:val="0007461A"/>
    <w:rsid w:val="000757BB"/>
    <w:rsid w:val="000759BE"/>
    <w:rsid w:val="00076373"/>
    <w:rsid w:val="000779B1"/>
    <w:rsid w:val="00077FE0"/>
    <w:rsid w:val="0008165C"/>
    <w:rsid w:val="0008192A"/>
    <w:rsid w:val="000820EE"/>
    <w:rsid w:val="000824B5"/>
    <w:rsid w:val="000840D7"/>
    <w:rsid w:val="0008474E"/>
    <w:rsid w:val="00084999"/>
    <w:rsid w:val="00085506"/>
    <w:rsid w:val="00085C9D"/>
    <w:rsid w:val="0008622F"/>
    <w:rsid w:val="0008793A"/>
    <w:rsid w:val="00090755"/>
    <w:rsid w:val="00091225"/>
    <w:rsid w:val="000915AC"/>
    <w:rsid w:val="0009314C"/>
    <w:rsid w:val="000941CC"/>
    <w:rsid w:val="00094439"/>
    <w:rsid w:val="00094A3D"/>
    <w:rsid w:val="00095E0D"/>
    <w:rsid w:val="000A0EF8"/>
    <w:rsid w:val="000A22D4"/>
    <w:rsid w:val="000A2B1A"/>
    <w:rsid w:val="000A2FAE"/>
    <w:rsid w:val="000A3E9E"/>
    <w:rsid w:val="000A3F37"/>
    <w:rsid w:val="000A4B39"/>
    <w:rsid w:val="000A5C09"/>
    <w:rsid w:val="000A6141"/>
    <w:rsid w:val="000A6514"/>
    <w:rsid w:val="000A6AC3"/>
    <w:rsid w:val="000A7C47"/>
    <w:rsid w:val="000A7D21"/>
    <w:rsid w:val="000B0314"/>
    <w:rsid w:val="000B1003"/>
    <w:rsid w:val="000B136D"/>
    <w:rsid w:val="000B179D"/>
    <w:rsid w:val="000B2984"/>
    <w:rsid w:val="000B4252"/>
    <w:rsid w:val="000B519F"/>
    <w:rsid w:val="000B57CE"/>
    <w:rsid w:val="000B6F36"/>
    <w:rsid w:val="000B7057"/>
    <w:rsid w:val="000B752A"/>
    <w:rsid w:val="000B7B44"/>
    <w:rsid w:val="000C00DA"/>
    <w:rsid w:val="000C1057"/>
    <w:rsid w:val="000C118A"/>
    <w:rsid w:val="000C25DD"/>
    <w:rsid w:val="000C25E7"/>
    <w:rsid w:val="000C5A6A"/>
    <w:rsid w:val="000C7FB1"/>
    <w:rsid w:val="000D0267"/>
    <w:rsid w:val="000D048D"/>
    <w:rsid w:val="000D3849"/>
    <w:rsid w:val="000D4A27"/>
    <w:rsid w:val="000D4C0C"/>
    <w:rsid w:val="000D4C95"/>
    <w:rsid w:val="000D51E6"/>
    <w:rsid w:val="000D52BA"/>
    <w:rsid w:val="000D5DEA"/>
    <w:rsid w:val="000D5E7B"/>
    <w:rsid w:val="000D7667"/>
    <w:rsid w:val="000E08AF"/>
    <w:rsid w:val="000E092B"/>
    <w:rsid w:val="000E0FA6"/>
    <w:rsid w:val="000E16B2"/>
    <w:rsid w:val="000E28EF"/>
    <w:rsid w:val="000E2A0C"/>
    <w:rsid w:val="000E387E"/>
    <w:rsid w:val="000E45DD"/>
    <w:rsid w:val="000E5047"/>
    <w:rsid w:val="000E5E39"/>
    <w:rsid w:val="000E6346"/>
    <w:rsid w:val="000E68BF"/>
    <w:rsid w:val="000E69CF"/>
    <w:rsid w:val="000E6BC0"/>
    <w:rsid w:val="000F1AA4"/>
    <w:rsid w:val="000F309B"/>
    <w:rsid w:val="000F34D2"/>
    <w:rsid w:val="000F494D"/>
    <w:rsid w:val="000F4B25"/>
    <w:rsid w:val="000F51E0"/>
    <w:rsid w:val="000F62B5"/>
    <w:rsid w:val="000F7405"/>
    <w:rsid w:val="000F74FF"/>
    <w:rsid w:val="000F7CEA"/>
    <w:rsid w:val="0010039E"/>
    <w:rsid w:val="00100A48"/>
    <w:rsid w:val="00101E9E"/>
    <w:rsid w:val="00102BA3"/>
    <w:rsid w:val="00102D7C"/>
    <w:rsid w:val="001040F0"/>
    <w:rsid w:val="001052BA"/>
    <w:rsid w:val="0010613E"/>
    <w:rsid w:val="00106608"/>
    <w:rsid w:val="00106CE4"/>
    <w:rsid w:val="001072A0"/>
    <w:rsid w:val="00107D9F"/>
    <w:rsid w:val="00111F9B"/>
    <w:rsid w:val="00112041"/>
    <w:rsid w:val="00112228"/>
    <w:rsid w:val="00112852"/>
    <w:rsid w:val="0011324C"/>
    <w:rsid w:val="0011340A"/>
    <w:rsid w:val="001135FC"/>
    <w:rsid w:val="001151E8"/>
    <w:rsid w:val="001151FB"/>
    <w:rsid w:val="00115DB0"/>
    <w:rsid w:val="00116509"/>
    <w:rsid w:val="001167EE"/>
    <w:rsid w:val="00120084"/>
    <w:rsid w:val="00120220"/>
    <w:rsid w:val="00120AAE"/>
    <w:rsid w:val="00122D7B"/>
    <w:rsid w:val="0012478F"/>
    <w:rsid w:val="00125F79"/>
    <w:rsid w:val="0012677A"/>
    <w:rsid w:val="00131DD0"/>
    <w:rsid w:val="00131FD5"/>
    <w:rsid w:val="00133193"/>
    <w:rsid w:val="001360DB"/>
    <w:rsid w:val="00136630"/>
    <w:rsid w:val="001409AB"/>
    <w:rsid w:val="00140BF0"/>
    <w:rsid w:val="001416C5"/>
    <w:rsid w:val="00142231"/>
    <w:rsid w:val="0014327F"/>
    <w:rsid w:val="00143CCE"/>
    <w:rsid w:val="0014527F"/>
    <w:rsid w:val="00146789"/>
    <w:rsid w:val="001472C1"/>
    <w:rsid w:val="001477C4"/>
    <w:rsid w:val="00147F9B"/>
    <w:rsid w:val="00150D82"/>
    <w:rsid w:val="0015170E"/>
    <w:rsid w:val="00151B12"/>
    <w:rsid w:val="001543AD"/>
    <w:rsid w:val="00155110"/>
    <w:rsid w:val="00156637"/>
    <w:rsid w:val="00156B31"/>
    <w:rsid w:val="00160C34"/>
    <w:rsid w:val="00161593"/>
    <w:rsid w:val="00161737"/>
    <w:rsid w:val="0016173A"/>
    <w:rsid w:val="00162C55"/>
    <w:rsid w:val="00162F02"/>
    <w:rsid w:val="001634CF"/>
    <w:rsid w:val="00163B04"/>
    <w:rsid w:val="00163F8E"/>
    <w:rsid w:val="0016435C"/>
    <w:rsid w:val="001651AF"/>
    <w:rsid w:val="001665A3"/>
    <w:rsid w:val="00166D25"/>
    <w:rsid w:val="001708D2"/>
    <w:rsid w:val="001711B8"/>
    <w:rsid w:val="0017125B"/>
    <w:rsid w:val="00171C81"/>
    <w:rsid w:val="00171FC5"/>
    <w:rsid w:val="0017292E"/>
    <w:rsid w:val="00173991"/>
    <w:rsid w:val="00174D23"/>
    <w:rsid w:val="00175B5E"/>
    <w:rsid w:val="00180F6B"/>
    <w:rsid w:val="00181769"/>
    <w:rsid w:val="00181B12"/>
    <w:rsid w:val="001821EA"/>
    <w:rsid w:val="001822DB"/>
    <w:rsid w:val="00182F5F"/>
    <w:rsid w:val="00183082"/>
    <w:rsid w:val="00183CE0"/>
    <w:rsid w:val="00184FFA"/>
    <w:rsid w:val="00185093"/>
    <w:rsid w:val="001850E7"/>
    <w:rsid w:val="00185112"/>
    <w:rsid w:val="00185924"/>
    <w:rsid w:val="00185C2D"/>
    <w:rsid w:val="00186FF8"/>
    <w:rsid w:val="001903BE"/>
    <w:rsid w:val="0019040A"/>
    <w:rsid w:val="00190C9A"/>
    <w:rsid w:val="00190D29"/>
    <w:rsid w:val="00191568"/>
    <w:rsid w:val="00191597"/>
    <w:rsid w:val="001919B1"/>
    <w:rsid w:val="001921A9"/>
    <w:rsid w:val="001925CC"/>
    <w:rsid w:val="00192FE8"/>
    <w:rsid w:val="001930A7"/>
    <w:rsid w:val="00193633"/>
    <w:rsid w:val="00194067"/>
    <w:rsid w:val="00194786"/>
    <w:rsid w:val="0019550A"/>
    <w:rsid w:val="0019681F"/>
    <w:rsid w:val="0019737F"/>
    <w:rsid w:val="00197A4D"/>
    <w:rsid w:val="00197BA9"/>
    <w:rsid w:val="001A02AA"/>
    <w:rsid w:val="001A1634"/>
    <w:rsid w:val="001A2B4F"/>
    <w:rsid w:val="001A2BBC"/>
    <w:rsid w:val="001A2C5C"/>
    <w:rsid w:val="001A378C"/>
    <w:rsid w:val="001A4060"/>
    <w:rsid w:val="001A41BA"/>
    <w:rsid w:val="001A42A3"/>
    <w:rsid w:val="001A63F2"/>
    <w:rsid w:val="001A6804"/>
    <w:rsid w:val="001A69D7"/>
    <w:rsid w:val="001A701E"/>
    <w:rsid w:val="001B0284"/>
    <w:rsid w:val="001B032E"/>
    <w:rsid w:val="001B0487"/>
    <w:rsid w:val="001B0F6A"/>
    <w:rsid w:val="001B12D7"/>
    <w:rsid w:val="001B197D"/>
    <w:rsid w:val="001B19F2"/>
    <w:rsid w:val="001B2DC5"/>
    <w:rsid w:val="001B31AC"/>
    <w:rsid w:val="001B5003"/>
    <w:rsid w:val="001B6E82"/>
    <w:rsid w:val="001B7196"/>
    <w:rsid w:val="001B790D"/>
    <w:rsid w:val="001C1877"/>
    <w:rsid w:val="001C1D82"/>
    <w:rsid w:val="001C2586"/>
    <w:rsid w:val="001C259F"/>
    <w:rsid w:val="001C2745"/>
    <w:rsid w:val="001C3904"/>
    <w:rsid w:val="001C3A94"/>
    <w:rsid w:val="001C3D34"/>
    <w:rsid w:val="001C3EC1"/>
    <w:rsid w:val="001C406E"/>
    <w:rsid w:val="001C467D"/>
    <w:rsid w:val="001C4DB8"/>
    <w:rsid w:val="001C6DBF"/>
    <w:rsid w:val="001C77D7"/>
    <w:rsid w:val="001D04CB"/>
    <w:rsid w:val="001D0F56"/>
    <w:rsid w:val="001D1459"/>
    <w:rsid w:val="001D1572"/>
    <w:rsid w:val="001D18B0"/>
    <w:rsid w:val="001D3CC6"/>
    <w:rsid w:val="001D4CBA"/>
    <w:rsid w:val="001D540C"/>
    <w:rsid w:val="001D591E"/>
    <w:rsid w:val="001D5ACA"/>
    <w:rsid w:val="001D5C6A"/>
    <w:rsid w:val="001D6E9E"/>
    <w:rsid w:val="001E1AB1"/>
    <w:rsid w:val="001E1B7F"/>
    <w:rsid w:val="001E1C11"/>
    <w:rsid w:val="001E1E64"/>
    <w:rsid w:val="001E3FED"/>
    <w:rsid w:val="001E6363"/>
    <w:rsid w:val="001E7090"/>
    <w:rsid w:val="001E7F8D"/>
    <w:rsid w:val="001F1286"/>
    <w:rsid w:val="001F3298"/>
    <w:rsid w:val="001F56B2"/>
    <w:rsid w:val="001F5945"/>
    <w:rsid w:val="001F7004"/>
    <w:rsid w:val="001F7B86"/>
    <w:rsid w:val="001F7E34"/>
    <w:rsid w:val="0020034E"/>
    <w:rsid w:val="00203B04"/>
    <w:rsid w:val="00204900"/>
    <w:rsid w:val="00205130"/>
    <w:rsid w:val="00206145"/>
    <w:rsid w:val="00206C09"/>
    <w:rsid w:val="002074A9"/>
    <w:rsid w:val="002079BE"/>
    <w:rsid w:val="00207BBE"/>
    <w:rsid w:val="002101DE"/>
    <w:rsid w:val="0021041D"/>
    <w:rsid w:val="00211712"/>
    <w:rsid w:val="002117C8"/>
    <w:rsid w:val="002128BC"/>
    <w:rsid w:val="00212F37"/>
    <w:rsid w:val="002132C3"/>
    <w:rsid w:val="002137EC"/>
    <w:rsid w:val="00213F13"/>
    <w:rsid w:val="00214406"/>
    <w:rsid w:val="00214B69"/>
    <w:rsid w:val="00214CAA"/>
    <w:rsid w:val="002157CF"/>
    <w:rsid w:val="0021646F"/>
    <w:rsid w:val="00217C23"/>
    <w:rsid w:val="002205D1"/>
    <w:rsid w:val="002214F0"/>
    <w:rsid w:val="0022163D"/>
    <w:rsid w:val="00222FD0"/>
    <w:rsid w:val="00224526"/>
    <w:rsid w:val="0022530F"/>
    <w:rsid w:val="00225EDA"/>
    <w:rsid w:val="002274E0"/>
    <w:rsid w:val="002279A5"/>
    <w:rsid w:val="00227BBB"/>
    <w:rsid w:val="00230219"/>
    <w:rsid w:val="0023057A"/>
    <w:rsid w:val="0023071D"/>
    <w:rsid w:val="00230C99"/>
    <w:rsid w:val="00232758"/>
    <w:rsid w:val="0023299A"/>
    <w:rsid w:val="002330B4"/>
    <w:rsid w:val="0023395F"/>
    <w:rsid w:val="00235256"/>
    <w:rsid w:val="00235947"/>
    <w:rsid w:val="0023766B"/>
    <w:rsid w:val="002430BB"/>
    <w:rsid w:val="00244787"/>
    <w:rsid w:val="00245E87"/>
    <w:rsid w:val="00246A98"/>
    <w:rsid w:val="002510AA"/>
    <w:rsid w:val="002511DA"/>
    <w:rsid w:val="002518B4"/>
    <w:rsid w:val="00253B51"/>
    <w:rsid w:val="00254FF2"/>
    <w:rsid w:val="00255484"/>
    <w:rsid w:val="00255A57"/>
    <w:rsid w:val="002571F1"/>
    <w:rsid w:val="00257321"/>
    <w:rsid w:val="00257466"/>
    <w:rsid w:val="00257A1B"/>
    <w:rsid w:val="00260780"/>
    <w:rsid w:val="00260AE6"/>
    <w:rsid w:val="00261C06"/>
    <w:rsid w:val="00261E2E"/>
    <w:rsid w:val="00262241"/>
    <w:rsid w:val="002628C0"/>
    <w:rsid w:val="00262983"/>
    <w:rsid w:val="00263283"/>
    <w:rsid w:val="00263335"/>
    <w:rsid w:val="002639F3"/>
    <w:rsid w:val="00263D91"/>
    <w:rsid w:val="00264286"/>
    <w:rsid w:val="00264C96"/>
    <w:rsid w:val="00264FC1"/>
    <w:rsid w:val="002659D4"/>
    <w:rsid w:val="00266089"/>
    <w:rsid w:val="00267ABF"/>
    <w:rsid w:val="00267D2E"/>
    <w:rsid w:val="002703E1"/>
    <w:rsid w:val="00270AE6"/>
    <w:rsid w:val="00270FC9"/>
    <w:rsid w:val="002733FB"/>
    <w:rsid w:val="00273B72"/>
    <w:rsid w:val="00274298"/>
    <w:rsid w:val="00274B0F"/>
    <w:rsid w:val="00274F89"/>
    <w:rsid w:val="0027606E"/>
    <w:rsid w:val="002768B0"/>
    <w:rsid w:val="00276FD7"/>
    <w:rsid w:val="00277729"/>
    <w:rsid w:val="0028001A"/>
    <w:rsid w:val="00280B5B"/>
    <w:rsid w:val="00281416"/>
    <w:rsid w:val="00282C24"/>
    <w:rsid w:val="00282E76"/>
    <w:rsid w:val="002832A6"/>
    <w:rsid w:val="002840C8"/>
    <w:rsid w:val="00284412"/>
    <w:rsid w:val="00284A22"/>
    <w:rsid w:val="002857C1"/>
    <w:rsid w:val="002859B6"/>
    <w:rsid w:val="00285A19"/>
    <w:rsid w:val="00285B59"/>
    <w:rsid w:val="00285B73"/>
    <w:rsid w:val="002901E0"/>
    <w:rsid w:val="00291921"/>
    <w:rsid w:val="00291E7D"/>
    <w:rsid w:val="00292233"/>
    <w:rsid w:val="00293BA5"/>
    <w:rsid w:val="00294171"/>
    <w:rsid w:val="00294306"/>
    <w:rsid w:val="00294C50"/>
    <w:rsid w:val="00296E78"/>
    <w:rsid w:val="00297346"/>
    <w:rsid w:val="002977CA"/>
    <w:rsid w:val="00297D0F"/>
    <w:rsid w:val="002A0F02"/>
    <w:rsid w:val="002A2C17"/>
    <w:rsid w:val="002A44A9"/>
    <w:rsid w:val="002A46AE"/>
    <w:rsid w:val="002A4F84"/>
    <w:rsid w:val="002A5CBE"/>
    <w:rsid w:val="002A5CE7"/>
    <w:rsid w:val="002A791F"/>
    <w:rsid w:val="002B0630"/>
    <w:rsid w:val="002B0C61"/>
    <w:rsid w:val="002B13E1"/>
    <w:rsid w:val="002B1AC5"/>
    <w:rsid w:val="002B1B80"/>
    <w:rsid w:val="002B3ECA"/>
    <w:rsid w:val="002B3F4A"/>
    <w:rsid w:val="002B5E39"/>
    <w:rsid w:val="002B6243"/>
    <w:rsid w:val="002B63B0"/>
    <w:rsid w:val="002B6D64"/>
    <w:rsid w:val="002B6DCF"/>
    <w:rsid w:val="002C00AC"/>
    <w:rsid w:val="002C0185"/>
    <w:rsid w:val="002C0581"/>
    <w:rsid w:val="002C0F5F"/>
    <w:rsid w:val="002C1CAC"/>
    <w:rsid w:val="002C2EF7"/>
    <w:rsid w:val="002C3C49"/>
    <w:rsid w:val="002C3CE1"/>
    <w:rsid w:val="002C42E8"/>
    <w:rsid w:val="002C6AD3"/>
    <w:rsid w:val="002C6F61"/>
    <w:rsid w:val="002C728E"/>
    <w:rsid w:val="002C73F5"/>
    <w:rsid w:val="002D1416"/>
    <w:rsid w:val="002D31D5"/>
    <w:rsid w:val="002D479C"/>
    <w:rsid w:val="002D5862"/>
    <w:rsid w:val="002D6BED"/>
    <w:rsid w:val="002D7B91"/>
    <w:rsid w:val="002E03AD"/>
    <w:rsid w:val="002E0882"/>
    <w:rsid w:val="002E0983"/>
    <w:rsid w:val="002E0A55"/>
    <w:rsid w:val="002E0E7D"/>
    <w:rsid w:val="002E3451"/>
    <w:rsid w:val="002E38C1"/>
    <w:rsid w:val="002E5FF8"/>
    <w:rsid w:val="002E652B"/>
    <w:rsid w:val="002E71FA"/>
    <w:rsid w:val="002F5CD9"/>
    <w:rsid w:val="002F61AD"/>
    <w:rsid w:val="002F62C0"/>
    <w:rsid w:val="002F736A"/>
    <w:rsid w:val="002F7947"/>
    <w:rsid w:val="002F799C"/>
    <w:rsid w:val="00301307"/>
    <w:rsid w:val="0030149C"/>
    <w:rsid w:val="00301F75"/>
    <w:rsid w:val="003036DC"/>
    <w:rsid w:val="003043B2"/>
    <w:rsid w:val="00304870"/>
    <w:rsid w:val="00304ACD"/>
    <w:rsid w:val="00305562"/>
    <w:rsid w:val="003060DE"/>
    <w:rsid w:val="00306D02"/>
    <w:rsid w:val="00306F64"/>
    <w:rsid w:val="00306F8D"/>
    <w:rsid w:val="00307D24"/>
    <w:rsid w:val="0031007B"/>
    <w:rsid w:val="0031009F"/>
    <w:rsid w:val="00310A64"/>
    <w:rsid w:val="0031153A"/>
    <w:rsid w:val="003124F7"/>
    <w:rsid w:val="00313A98"/>
    <w:rsid w:val="00314A20"/>
    <w:rsid w:val="00315E25"/>
    <w:rsid w:val="003161B5"/>
    <w:rsid w:val="00316220"/>
    <w:rsid w:val="00316DE0"/>
    <w:rsid w:val="00317A88"/>
    <w:rsid w:val="00317ECE"/>
    <w:rsid w:val="0032033D"/>
    <w:rsid w:val="00320689"/>
    <w:rsid w:val="00321652"/>
    <w:rsid w:val="00322A79"/>
    <w:rsid w:val="00322FAC"/>
    <w:rsid w:val="003239B9"/>
    <w:rsid w:val="0032454D"/>
    <w:rsid w:val="00325B21"/>
    <w:rsid w:val="0032644E"/>
    <w:rsid w:val="003268D0"/>
    <w:rsid w:val="00330401"/>
    <w:rsid w:val="00330C0F"/>
    <w:rsid w:val="00330C65"/>
    <w:rsid w:val="0033136F"/>
    <w:rsid w:val="00331590"/>
    <w:rsid w:val="0033192A"/>
    <w:rsid w:val="003325BE"/>
    <w:rsid w:val="0033266B"/>
    <w:rsid w:val="00332ACA"/>
    <w:rsid w:val="00332E3F"/>
    <w:rsid w:val="003333A3"/>
    <w:rsid w:val="00334629"/>
    <w:rsid w:val="00334887"/>
    <w:rsid w:val="00334BDE"/>
    <w:rsid w:val="00336291"/>
    <w:rsid w:val="0034188F"/>
    <w:rsid w:val="00342070"/>
    <w:rsid w:val="003427FA"/>
    <w:rsid w:val="00342EB5"/>
    <w:rsid w:val="00343A42"/>
    <w:rsid w:val="003449D6"/>
    <w:rsid w:val="00344FEB"/>
    <w:rsid w:val="003452F4"/>
    <w:rsid w:val="00346234"/>
    <w:rsid w:val="00346802"/>
    <w:rsid w:val="0034776E"/>
    <w:rsid w:val="003503D1"/>
    <w:rsid w:val="00351BE9"/>
    <w:rsid w:val="00352AE9"/>
    <w:rsid w:val="00352FA5"/>
    <w:rsid w:val="003536EC"/>
    <w:rsid w:val="00353728"/>
    <w:rsid w:val="0035504E"/>
    <w:rsid w:val="003556B2"/>
    <w:rsid w:val="00356B27"/>
    <w:rsid w:val="00356C0F"/>
    <w:rsid w:val="00356CDE"/>
    <w:rsid w:val="00357A29"/>
    <w:rsid w:val="00360703"/>
    <w:rsid w:val="00360B97"/>
    <w:rsid w:val="00364218"/>
    <w:rsid w:val="003649C6"/>
    <w:rsid w:val="00364C4B"/>
    <w:rsid w:val="003658FC"/>
    <w:rsid w:val="00367AE5"/>
    <w:rsid w:val="00367BF6"/>
    <w:rsid w:val="003707B5"/>
    <w:rsid w:val="00372B34"/>
    <w:rsid w:val="00372C37"/>
    <w:rsid w:val="00372D1F"/>
    <w:rsid w:val="003741E6"/>
    <w:rsid w:val="0037484A"/>
    <w:rsid w:val="0037503A"/>
    <w:rsid w:val="003753AB"/>
    <w:rsid w:val="0037595F"/>
    <w:rsid w:val="0037615E"/>
    <w:rsid w:val="003814E6"/>
    <w:rsid w:val="003816F7"/>
    <w:rsid w:val="00381F32"/>
    <w:rsid w:val="003822DF"/>
    <w:rsid w:val="00382DB2"/>
    <w:rsid w:val="00383F2B"/>
    <w:rsid w:val="00383FD8"/>
    <w:rsid w:val="00385206"/>
    <w:rsid w:val="00385FED"/>
    <w:rsid w:val="003873AF"/>
    <w:rsid w:val="00387639"/>
    <w:rsid w:val="003901C3"/>
    <w:rsid w:val="003905D3"/>
    <w:rsid w:val="00390EC4"/>
    <w:rsid w:val="0039120B"/>
    <w:rsid w:val="003914E6"/>
    <w:rsid w:val="00392496"/>
    <w:rsid w:val="00393332"/>
    <w:rsid w:val="00393D45"/>
    <w:rsid w:val="00393E88"/>
    <w:rsid w:val="0039400D"/>
    <w:rsid w:val="003940CD"/>
    <w:rsid w:val="003954DD"/>
    <w:rsid w:val="0039559A"/>
    <w:rsid w:val="003957C0"/>
    <w:rsid w:val="00395D29"/>
    <w:rsid w:val="00396A81"/>
    <w:rsid w:val="00397AF0"/>
    <w:rsid w:val="00397BD4"/>
    <w:rsid w:val="003A0D3A"/>
    <w:rsid w:val="003A1BAB"/>
    <w:rsid w:val="003A28B9"/>
    <w:rsid w:val="003A5234"/>
    <w:rsid w:val="003A55C8"/>
    <w:rsid w:val="003A583B"/>
    <w:rsid w:val="003A59EB"/>
    <w:rsid w:val="003A678D"/>
    <w:rsid w:val="003A7036"/>
    <w:rsid w:val="003A7614"/>
    <w:rsid w:val="003B1B93"/>
    <w:rsid w:val="003B1E3B"/>
    <w:rsid w:val="003B2284"/>
    <w:rsid w:val="003B2419"/>
    <w:rsid w:val="003B28B9"/>
    <w:rsid w:val="003B4433"/>
    <w:rsid w:val="003B4A72"/>
    <w:rsid w:val="003B5750"/>
    <w:rsid w:val="003B5C01"/>
    <w:rsid w:val="003B5FC8"/>
    <w:rsid w:val="003B66D3"/>
    <w:rsid w:val="003C048B"/>
    <w:rsid w:val="003C13C9"/>
    <w:rsid w:val="003C178D"/>
    <w:rsid w:val="003C19A5"/>
    <w:rsid w:val="003C19FE"/>
    <w:rsid w:val="003C2E1A"/>
    <w:rsid w:val="003C407D"/>
    <w:rsid w:val="003C5E20"/>
    <w:rsid w:val="003C66EE"/>
    <w:rsid w:val="003C6773"/>
    <w:rsid w:val="003C77E0"/>
    <w:rsid w:val="003D0058"/>
    <w:rsid w:val="003D0156"/>
    <w:rsid w:val="003D0473"/>
    <w:rsid w:val="003D06ED"/>
    <w:rsid w:val="003D0D8C"/>
    <w:rsid w:val="003D16BF"/>
    <w:rsid w:val="003D215D"/>
    <w:rsid w:val="003D2384"/>
    <w:rsid w:val="003D2828"/>
    <w:rsid w:val="003D4323"/>
    <w:rsid w:val="003D545D"/>
    <w:rsid w:val="003E1E0B"/>
    <w:rsid w:val="003E289A"/>
    <w:rsid w:val="003E28A0"/>
    <w:rsid w:val="003E3C72"/>
    <w:rsid w:val="003E52F0"/>
    <w:rsid w:val="003F0221"/>
    <w:rsid w:val="003F0CF3"/>
    <w:rsid w:val="003F129C"/>
    <w:rsid w:val="003F1471"/>
    <w:rsid w:val="003F1888"/>
    <w:rsid w:val="003F1F03"/>
    <w:rsid w:val="003F27C4"/>
    <w:rsid w:val="003F29B4"/>
    <w:rsid w:val="003F3455"/>
    <w:rsid w:val="003F3D2A"/>
    <w:rsid w:val="003F3F50"/>
    <w:rsid w:val="003F54AE"/>
    <w:rsid w:val="003F62C8"/>
    <w:rsid w:val="003F7001"/>
    <w:rsid w:val="004010B7"/>
    <w:rsid w:val="004023A3"/>
    <w:rsid w:val="0040248D"/>
    <w:rsid w:val="004025A4"/>
    <w:rsid w:val="004029DD"/>
    <w:rsid w:val="0040326D"/>
    <w:rsid w:val="004034F2"/>
    <w:rsid w:val="004039BD"/>
    <w:rsid w:val="00406338"/>
    <w:rsid w:val="00406DAA"/>
    <w:rsid w:val="0041092A"/>
    <w:rsid w:val="00412BE5"/>
    <w:rsid w:val="00412CF3"/>
    <w:rsid w:val="004145FE"/>
    <w:rsid w:val="00414627"/>
    <w:rsid w:val="004151A0"/>
    <w:rsid w:val="004161CC"/>
    <w:rsid w:val="0041751A"/>
    <w:rsid w:val="00420376"/>
    <w:rsid w:val="00421904"/>
    <w:rsid w:val="004226D5"/>
    <w:rsid w:val="00423711"/>
    <w:rsid w:val="00423A70"/>
    <w:rsid w:val="00423DFC"/>
    <w:rsid w:val="004240CD"/>
    <w:rsid w:val="00424360"/>
    <w:rsid w:val="004249A7"/>
    <w:rsid w:val="00424A13"/>
    <w:rsid w:val="00425A3C"/>
    <w:rsid w:val="004264ED"/>
    <w:rsid w:val="00426D6B"/>
    <w:rsid w:val="00427165"/>
    <w:rsid w:val="00430089"/>
    <w:rsid w:val="0043175C"/>
    <w:rsid w:val="00431CA9"/>
    <w:rsid w:val="004327BC"/>
    <w:rsid w:val="004333D4"/>
    <w:rsid w:val="00433D48"/>
    <w:rsid w:val="00434C26"/>
    <w:rsid w:val="004400C8"/>
    <w:rsid w:val="00440F54"/>
    <w:rsid w:val="004435AF"/>
    <w:rsid w:val="00444495"/>
    <w:rsid w:val="00444F75"/>
    <w:rsid w:val="0044620A"/>
    <w:rsid w:val="00447140"/>
    <w:rsid w:val="0044714D"/>
    <w:rsid w:val="00451FC2"/>
    <w:rsid w:val="00452C3B"/>
    <w:rsid w:val="00453430"/>
    <w:rsid w:val="004534BC"/>
    <w:rsid w:val="00453CB5"/>
    <w:rsid w:val="00454285"/>
    <w:rsid w:val="0045439E"/>
    <w:rsid w:val="0045525C"/>
    <w:rsid w:val="00455E02"/>
    <w:rsid w:val="0045621C"/>
    <w:rsid w:val="004574D6"/>
    <w:rsid w:val="00457A16"/>
    <w:rsid w:val="0046030E"/>
    <w:rsid w:val="0046062C"/>
    <w:rsid w:val="00460674"/>
    <w:rsid w:val="00460A66"/>
    <w:rsid w:val="004616D0"/>
    <w:rsid w:val="00463C66"/>
    <w:rsid w:val="00463EDE"/>
    <w:rsid w:val="00464113"/>
    <w:rsid w:val="00465598"/>
    <w:rsid w:val="00466DBC"/>
    <w:rsid w:val="00467357"/>
    <w:rsid w:val="00467632"/>
    <w:rsid w:val="00470005"/>
    <w:rsid w:val="00470357"/>
    <w:rsid w:val="004718A7"/>
    <w:rsid w:val="00471A7D"/>
    <w:rsid w:val="00471B91"/>
    <w:rsid w:val="00472199"/>
    <w:rsid w:val="00472667"/>
    <w:rsid w:val="00472FB1"/>
    <w:rsid w:val="004745FD"/>
    <w:rsid w:val="0047570D"/>
    <w:rsid w:val="00477627"/>
    <w:rsid w:val="00480B35"/>
    <w:rsid w:val="004813B1"/>
    <w:rsid w:val="0048253E"/>
    <w:rsid w:val="00482A9D"/>
    <w:rsid w:val="00482E7C"/>
    <w:rsid w:val="0048306F"/>
    <w:rsid w:val="00483273"/>
    <w:rsid w:val="0048350E"/>
    <w:rsid w:val="004843BC"/>
    <w:rsid w:val="004849BD"/>
    <w:rsid w:val="00484FFF"/>
    <w:rsid w:val="00485F2C"/>
    <w:rsid w:val="00486519"/>
    <w:rsid w:val="0048676E"/>
    <w:rsid w:val="00486A4E"/>
    <w:rsid w:val="00486FE9"/>
    <w:rsid w:val="00487399"/>
    <w:rsid w:val="00487E95"/>
    <w:rsid w:val="004905F8"/>
    <w:rsid w:val="004927B0"/>
    <w:rsid w:val="00493B22"/>
    <w:rsid w:val="00493FAD"/>
    <w:rsid w:val="00494980"/>
    <w:rsid w:val="00495278"/>
    <w:rsid w:val="00495355"/>
    <w:rsid w:val="004954E9"/>
    <w:rsid w:val="00496961"/>
    <w:rsid w:val="00497815"/>
    <w:rsid w:val="004979CC"/>
    <w:rsid w:val="004A0005"/>
    <w:rsid w:val="004A0816"/>
    <w:rsid w:val="004A1511"/>
    <w:rsid w:val="004A2F87"/>
    <w:rsid w:val="004A338B"/>
    <w:rsid w:val="004A4825"/>
    <w:rsid w:val="004A4D76"/>
    <w:rsid w:val="004A6165"/>
    <w:rsid w:val="004B2172"/>
    <w:rsid w:val="004B47C0"/>
    <w:rsid w:val="004B4BBC"/>
    <w:rsid w:val="004B4D28"/>
    <w:rsid w:val="004B632A"/>
    <w:rsid w:val="004B7F95"/>
    <w:rsid w:val="004C0594"/>
    <w:rsid w:val="004C0A98"/>
    <w:rsid w:val="004C140F"/>
    <w:rsid w:val="004C158F"/>
    <w:rsid w:val="004C15D1"/>
    <w:rsid w:val="004C1E1C"/>
    <w:rsid w:val="004C36CB"/>
    <w:rsid w:val="004C3B98"/>
    <w:rsid w:val="004C5FEA"/>
    <w:rsid w:val="004C6B53"/>
    <w:rsid w:val="004C7286"/>
    <w:rsid w:val="004C728C"/>
    <w:rsid w:val="004D044B"/>
    <w:rsid w:val="004D0C16"/>
    <w:rsid w:val="004D1017"/>
    <w:rsid w:val="004D14AB"/>
    <w:rsid w:val="004D2D29"/>
    <w:rsid w:val="004D326C"/>
    <w:rsid w:val="004D3289"/>
    <w:rsid w:val="004D3E3C"/>
    <w:rsid w:val="004D43C1"/>
    <w:rsid w:val="004D4AB2"/>
    <w:rsid w:val="004D4F17"/>
    <w:rsid w:val="004D4F34"/>
    <w:rsid w:val="004D5408"/>
    <w:rsid w:val="004D6C66"/>
    <w:rsid w:val="004D7715"/>
    <w:rsid w:val="004D7AF2"/>
    <w:rsid w:val="004E0031"/>
    <w:rsid w:val="004E088E"/>
    <w:rsid w:val="004E1A4F"/>
    <w:rsid w:val="004E2247"/>
    <w:rsid w:val="004E2955"/>
    <w:rsid w:val="004E2AE6"/>
    <w:rsid w:val="004E356B"/>
    <w:rsid w:val="004E4361"/>
    <w:rsid w:val="004E467F"/>
    <w:rsid w:val="004E4DD0"/>
    <w:rsid w:val="004E4F5B"/>
    <w:rsid w:val="004E5A90"/>
    <w:rsid w:val="004E6249"/>
    <w:rsid w:val="004E6CFE"/>
    <w:rsid w:val="004E6E54"/>
    <w:rsid w:val="004E734B"/>
    <w:rsid w:val="004F0591"/>
    <w:rsid w:val="004F0A8F"/>
    <w:rsid w:val="004F1203"/>
    <w:rsid w:val="004F1423"/>
    <w:rsid w:val="004F171D"/>
    <w:rsid w:val="004F3B7A"/>
    <w:rsid w:val="004F3C18"/>
    <w:rsid w:val="004F42B6"/>
    <w:rsid w:val="004F450A"/>
    <w:rsid w:val="004F4B1C"/>
    <w:rsid w:val="004F5784"/>
    <w:rsid w:val="004F5915"/>
    <w:rsid w:val="004F6829"/>
    <w:rsid w:val="00500509"/>
    <w:rsid w:val="00500E2A"/>
    <w:rsid w:val="0050279C"/>
    <w:rsid w:val="00502817"/>
    <w:rsid w:val="00503BC7"/>
    <w:rsid w:val="00504F79"/>
    <w:rsid w:val="00505896"/>
    <w:rsid w:val="005062C6"/>
    <w:rsid w:val="00506684"/>
    <w:rsid w:val="005067E6"/>
    <w:rsid w:val="00506BCC"/>
    <w:rsid w:val="00507313"/>
    <w:rsid w:val="005074D3"/>
    <w:rsid w:val="005077A3"/>
    <w:rsid w:val="005101DC"/>
    <w:rsid w:val="005113A3"/>
    <w:rsid w:val="00511402"/>
    <w:rsid w:val="0051199B"/>
    <w:rsid w:val="005134D4"/>
    <w:rsid w:val="00513C55"/>
    <w:rsid w:val="0051581E"/>
    <w:rsid w:val="00516796"/>
    <w:rsid w:val="00516B63"/>
    <w:rsid w:val="0051704F"/>
    <w:rsid w:val="00520598"/>
    <w:rsid w:val="00520D45"/>
    <w:rsid w:val="0052112C"/>
    <w:rsid w:val="00522400"/>
    <w:rsid w:val="005224B0"/>
    <w:rsid w:val="005232B1"/>
    <w:rsid w:val="005243A8"/>
    <w:rsid w:val="005244E2"/>
    <w:rsid w:val="005248FE"/>
    <w:rsid w:val="00525F66"/>
    <w:rsid w:val="0053127B"/>
    <w:rsid w:val="005314B0"/>
    <w:rsid w:val="00531545"/>
    <w:rsid w:val="00532C21"/>
    <w:rsid w:val="00532C23"/>
    <w:rsid w:val="0053378F"/>
    <w:rsid w:val="00534259"/>
    <w:rsid w:val="00534F85"/>
    <w:rsid w:val="00535915"/>
    <w:rsid w:val="00535E76"/>
    <w:rsid w:val="00535EBD"/>
    <w:rsid w:val="005369FC"/>
    <w:rsid w:val="00536C3A"/>
    <w:rsid w:val="005374BC"/>
    <w:rsid w:val="0053755B"/>
    <w:rsid w:val="00540197"/>
    <w:rsid w:val="00540A06"/>
    <w:rsid w:val="00543665"/>
    <w:rsid w:val="00543846"/>
    <w:rsid w:val="00544D9B"/>
    <w:rsid w:val="00544DBF"/>
    <w:rsid w:val="00545688"/>
    <w:rsid w:val="00546627"/>
    <w:rsid w:val="005472AB"/>
    <w:rsid w:val="00547752"/>
    <w:rsid w:val="0054784D"/>
    <w:rsid w:val="00550B90"/>
    <w:rsid w:val="005516FE"/>
    <w:rsid w:val="00551D5F"/>
    <w:rsid w:val="005527E0"/>
    <w:rsid w:val="00553C62"/>
    <w:rsid w:val="0055427F"/>
    <w:rsid w:val="00554377"/>
    <w:rsid w:val="00554633"/>
    <w:rsid w:val="00554C81"/>
    <w:rsid w:val="00555A71"/>
    <w:rsid w:val="0055632E"/>
    <w:rsid w:val="0056073B"/>
    <w:rsid w:val="00561317"/>
    <w:rsid w:val="005640D8"/>
    <w:rsid w:val="00564856"/>
    <w:rsid w:val="0056512C"/>
    <w:rsid w:val="005654A4"/>
    <w:rsid w:val="005656E2"/>
    <w:rsid w:val="00565B2C"/>
    <w:rsid w:val="00565DD4"/>
    <w:rsid w:val="00565E37"/>
    <w:rsid w:val="005663CD"/>
    <w:rsid w:val="005672DA"/>
    <w:rsid w:val="0056779A"/>
    <w:rsid w:val="00571E26"/>
    <w:rsid w:val="00573627"/>
    <w:rsid w:val="00573C30"/>
    <w:rsid w:val="0057409D"/>
    <w:rsid w:val="005747C1"/>
    <w:rsid w:val="005747F6"/>
    <w:rsid w:val="0057527F"/>
    <w:rsid w:val="005757FA"/>
    <w:rsid w:val="00577B41"/>
    <w:rsid w:val="00580063"/>
    <w:rsid w:val="00580F57"/>
    <w:rsid w:val="00581E16"/>
    <w:rsid w:val="00582122"/>
    <w:rsid w:val="0058345B"/>
    <w:rsid w:val="005838AC"/>
    <w:rsid w:val="00583F1E"/>
    <w:rsid w:val="00584407"/>
    <w:rsid w:val="00584D15"/>
    <w:rsid w:val="00584D47"/>
    <w:rsid w:val="005857FE"/>
    <w:rsid w:val="00585AE8"/>
    <w:rsid w:val="00585D4A"/>
    <w:rsid w:val="00585E34"/>
    <w:rsid w:val="0058636E"/>
    <w:rsid w:val="0058661C"/>
    <w:rsid w:val="005876B5"/>
    <w:rsid w:val="00587F41"/>
    <w:rsid w:val="0059098F"/>
    <w:rsid w:val="00592554"/>
    <w:rsid w:val="00593006"/>
    <w:rsid w:val="005930E9"/>
    <w:rsid w:val="00593487"/>
    <w:rsid w:val="00593828"/>
    <w:rsid w:val="005939B8"/>
    <w:rsid w:val="00594771"/>
    <w:rsid w:val="00594DFE"/>
    <w:rsid w:val="005954F8"/>
    <w:rsid w:val="00596004"/>
    <w:rsid w:val="00596B8C"/>
    <w:rsid w:val="00597698"/>
    <w:rsid w:val="005A073C"/>
    <w:rsid w:val="005A0AD4"/>
    <w:rsid w:val="005A0B38"/>
    <w:rsid w:val="005A108B"/>
    <w:rsid w:val="005A2CF2"/>
    <w:rsid w:val="005A341E"/>
    <w:rsid w:val="005A37E3"/>
    <w:rsid w:val="005A38B5"/>
    <w:rsid w:val="005A5036"/>
    <w:rsid w:val="005A53C2"/>
    <w:rsid w:val="005A5414"/>
    <w:rsid w:val="005A6518"/>
    <w:rsid w:val="005A6689"/>
    <w:rsid w:val="005A679F"/>
    <w:rsid w:val="005B010D"/>
    <w:rsid w:val="005B054F"/>
    <w:rsid w:val="005B0899"/>
    <w:rsid w:val="005B154B"/>
    <w:rsid w:val="005B2B1A"/>
    <w:rsid w:val="005B340A"/>
    <w:rsid w:val="005B3633"/>
    <w:rsid w:val="005B3B45"/>
    <w:rsid w:val="005B4481"/>
    <w:rsid w:val="005B44AB"/>
    <w:rsid w:val="005B46BB"/>
    <w:rsid w:val="005B47B2"/>
    <w:rsid w:val="005B5997"/>
    <w:rsid w:val="005C0DFC"/>
    <w:rsid w:val="005C0EB2"/>
    <w:rsid w:val="005C15CE"/>
    <w:rsid w:val="005C22EA"/>
    <w:rsid w:val="005C25AF"/>
    <w:rsid w:val="005C2A9E"/>
    <w:rsid w:val="005C3EFD"/>
    <w:rsid w:val="005C4118"/>
    <w:rsid w:val="005C4ADC"/>
    <w:rsid w:val="005C6289"/>
    <w:rsid w:val="005C674B"/>
    <w:rsid w:val="005C720F"/>
    <w:rsid w:val="005C7DAE"/>
    <w:rsid w:val="005D02A2"/>
    <w:rsid w:val="005D0971"/>
    <w:rsid w:val="005D0F9E"/>
    <w:rsid w:val="005D20D8"/>
    <w:rsid w:val="005D23B7"/>
    <w:rsid w:val="005D520B"/>
    <w:rsid w:val="005D6304"/>
    <w:rsid w:val="005D694A"/>
    <w:rsid w:val="005D752C"/>
    <w:rsid w:val="005E0072"/>
    <w:rsid w:val="005E0593"/>
    <w:rsid w:val="005E0C17"/>
    <w:rsid w:val="005E1B90"/>
    <w:rsid w:val="005E2A50"/>
    <w:rsid w:val="005E2B5E"/>
    <w:rsid w:val="005E4B32"/>
    <w:rsid w:val="005E54E1"/>
    <w:rsid w:val="005E55F4"/>
    <w:rsid w:val="005E5647"/>
    <w:rsid w:val="005E564C"/>
    <w:rsid w:val="005E639D"/>
    <w:rsid w:val="005E6464"/>
    <w:rsid w:val="005E728F"/>
    <w:rsid w:val="005E77C8"/>
    <w:rsid w:val="005F0001"/>
    <w:rsid w:val="005F0401"/>
    <w:rsid w:val="005F04C5"/>
    <w:rsid w:val="005F0730"/>
    <w:rsid w:val="005F0DDE"/>
    <w:rsid w:val="005F0F57"/>
    <w:rsid w:val="005F1B86"/>
    <w:rsid w:val="005F1E73"/>
    <w:rsid w:val="005F2018"/>
    <w:rsid w:val="005F2060"/>
    <w:rsid w:val="005F26FC"/>
    <w:rsid w:val="005F3F6B"/>
    <w:rsid w:val="005F478A"/>
    <w:rsid w:val="005F59D5"/>
    <w:rsid w:val="005F644C"/>
    <w:rsid w:val="005F6AD5"/>
    <w:rsid w:val="005F77C5"/>
    <w:rsid w:val="005F793E"/>
    <w:rsid w:val="00600378"/>
    <w:rsid w:val="00601385"/>
    <w:rsid w:val="0060363A"/>
    <w:rsid w:val="006037F8"/>
    <w:rsid w:val="00603CB9"/>
    <w:rsid w:val="006071F2"/>
    <w:rsid w:val="00607CB7"/>
    <w:rsid w:val="00610D71"/>
    <w:rsid w:val="00610E21"/>
    <w:rsid w:val="00610E68"/>
    <w:rsid w:val="00611995"/>
    <w:rsid w:val="00611D39"/>
    <w:rsid w:val="00611F92"/>
    <w:rsid w:val="006123B0"/>
    <w:rsid w:val="00613368"/>
    <w:rsid w:val="00614F7D"/>
    <w:rsid w:val="0061573A"/>
    <w:rsid w:val="00615861"/>
    <w:rsid w:val="00615B5C"/>
    <w:rsid w:val="00617429"/>
    <w:rsid w:val="00620417"/>
    <w:rsid w:val="0062156F"/>
    <w:rsid w:val="00621D99"/>
    <w:rsid w:val="00623B11"/>
    <w:rsid w:val="006251FE"/>
    <w:rsid w:val="006258BD"/>
    <w:rsid w:val="00625987"/>
    <w:rsid w:val="00625E52"/>
    <w:rsid w:val="0062744B"/>
    <w:rsid w:val="00627F55"/>
    <w:rsid w:val="006303D1"/>
    <w:rsid w:val="00630859"/>
    <w:rsid w:val="00630A26"/>
    <w:rsid w:val="00632F5E"/>
    <w:rsid w:val="00634874"/>
    <w:rsid w:val="00635575"/>
    <w:rsid w:val="006361FF"/>
    <w:rsid w:val="00636C2A"/>
    <w:rsid w:val="00636D45"/>
    <w:rsid w:val="006371B7"/>
    <w:rsid w:val="00640091"/>
    <w:rsid w:val="0064099D"/>
    <w:rsid w:val="00641187"/>
    <w:rsid w:val="006412E7"/>
    <w:rsid w:val="00641B37"/>
    <w:rsid w:val="00643028"/>
    <w:rsid w:val="0064338F"/>
    <w:rsid w:val="0064386B"/>
    <w:rsid w:val="00643AAD"/>
    <w:rsid w:val="00643DBD"/>
    <w:rsid w:val="00643F51"/>
    <w:rsid w:val="00645F0B"/>
    <w:rsid w:val="00646422"/>
    <w:rsid w:val="00646BBB"/>
    <w:rsid w:val="006504C3"/>
    <w:rsid w:val="00650576"/>
    <w:rsid w:val="00650EB6"/>
    <w:rsid w:val="00652197"/>
    <w:rsid w:val="00652297"/>
    <w:rsid w:val="00652E87"/>
    <w:rsid w:val="0065351E"/>
    <w:rsid w:val="006541C8"/>
    <w:rsid w:val="00654A25"/>
    <w:rsid w:val="00654BBD"/>
    <w:rsid w:val="00655D56"/>
    <w:rsid w:val="0065655B"/>
    <w:rsid w:val="00656ECA"/>
    <w:rsid w:val="00657ECE"/>
    <w:rsid w:val="006615A7"/>
    <w:rsid w:val="006615C2"/>
    <w:rsid w:val="00661FAD"/>
    <w:rsid w:val="00662ACF"/>
    <w:rsid w:val="00663345"/>
    <w:rsid w:val="00664DD8"/>
    <w:rsid w:val="00665CC3"/>
    <w:rsid w:val="00666544"/>
    <w:rsid w:val="00667C35"/>
    <w:rsid w:val="00670384"/>
    <w:rsid w:val="00670738"/>
    <w:rsid w:val="00670D75"/>
    <w:rsid w:val="00671D7C"/>
    <w:rsid w:val="00672E21"/>
    <w:rsid w:val="00672E58"/>
    <w:rsid w:val="0067359C"/>
    <w:rsid w:val="00673D74"/>
    <w:rsid w:val="00673E18"/>
    <w:rsid w:val="00674452"/>
    <w:rsid w:val="0067510C"/>
    <w:rsid w:val="006753F3"/>
    <w:rsid w:val="00675EF3"/>
    <w:rsid w:val="00675F76"/>
    <w:rsid w:val="00676509"/>
    <w:rsid w:val="006771AB"/>
    <w:rsid w:val="00680245"/>
    <w:rsid w:val="00680F5A"/>
    <w:rsid w:val="00682F34"/>
    <w:rsid w:val="00682FE0"/>
    <w:rsid w:val="006837CE"/>
    <w:rsid w:val="00684504"/>
    <w:rsid w:val="00685B65"/>
    <w:rsid w:val="006868B9"/>
    <w:rsid w:val="00687CD8"/>
    <w:rsid w:val="006904AE"/>
    <w:rsid w:val="00691302"/>
    <w:rsid w:val="00691486"/>
    <w:rsid w:val="00691A7C"/>
    <w:rsid w:val="00692022"/>
    <w:rsid w:val="00692D14"/>
    <w:rsid w:val="00694DE8"/>
    <w:rsid w:val="00695034"/>
    <w:rsid w:val="006972FB"/>
    <w:rsid w:val="00697AD0"/>
    <w:rsid w:val="00697EED"/>
    <w:rsid w:val="006A0128"/>
    <w:rsid w:val="006A0DD8"/>
    <w:rsid w:val="006A1097"/>
    <w:rsid w:val="006A11FB"/>
    <w:rsid w:val="006A1424"/>
    <w:rsid w:val="006A1F4D"/>
    <w:rsid w:val="006A256E"/>
    <w:rsid w:val="006A272B"/>
    <w:rsid w:val="006A403F"/>
    <w:rsid w:val="006A458E"/>
    <w:rsid w:val="006A4C71"/>
    <w:rsid w:val="006A5757"/>
    <w:rsid w:val="006A5966"/>
    <w:rsid w:val="006A5CF1"/>
    <w:rsid w:val="006A659D"/>
    <w:rsid w:val="006A79C5"/>
    <w:rsid w:val="006B090C"/>
    <w:rsid w:val="006B0F9B"/>
    <w:rsid w:val="006B1FBD"/>
    <w:rsid w:val="006B237E"/>
    <w:rsid w:val="006B4EDC"/>
    <w:rsid w:val="006B4F8F"/>
    <w:rsid w:val="006B7C73"/>
    <w:rsid w:val="006C01EA"/>
    <w:rsid w:val="006C10B8"/>
    <w:rsid w:val="006C1146"/>
    <w:rsid w:val="006C1ABF"/>
    <w:rsid w:val="006C1E0D"/>
    <w:rsid w:val="006C2E7C"/>
    <w:rsid w:val="006C39BF"/>
    <w:rsid w:val="006C41D0"/>
    <w:rsid w:val="006C47A8"/>
    <w:rsid w:val="006C566A"/>
    <w:rsid w:val="006C63B1"/>
    <w:rsid w:val="006C6B4C"/>
    <w:rsid w:val="006C700E"/>
    <w:rsid w:val="006D01E1"/>
    <w:rsid w:val="006D1F74"/>
    <w:rsid w:val="006D33BA"/>
    <w:rsid w:val="006D3657"/>
    <w:rsid w:val="006D37EB"/>
    <w:rsid w:val="006D4530"/>
    <w:rsid w:val="006D49D3"/>
    <w:rsid w:val="006D4F0A"/>
    <w:rsid w:val="006D5892"/>
    <w:rsid w:val="006D647D"/>
    <w:rsid w:val="006D6956"/>
    <w:rsid w:val="006D6D84"/>
    <w:rsid w:val="006D7656"/>
    <w:rsid w:val="006D76FF"/>
    <w:rsid w:val="006E0314"/>
    <w:rsid w:val="006E0F0D"/>
    <w:rsid w:val="006E2714"/>
    <w:rsid w:val="006E3A34"/>
    <w:rsid w:val="006E3CBA"/>
    <w:rsid w:val="006E44BE"/>
    <w:rsid w:val="006E52F6"/>
    <w:rsid w:val="006E7767"/>
    <w:rsid w:val="006E788B"/>
    <w:rsid w:val="006F39D8"/>
    <w:rsid w:val="006F3C12"/>
    <w:rsid w:val="006F61B1"/>
    <w:rsid w:val="006F6339"/>
    <w:rsid w:val="00700CC3"/>
    <w:rsid w:val="0070125B"/>
    <w:rsid w:val="007013C4"/>
    <w:rsid w:val="00702895"/>
    <w:rsid w:val="00704813"/>
    <w:rsid w:val="0070520E"/>
    <w:rsid w:val="007054E6"/>
    <w:rsid w:val="00706DEC"/>
    <w:rsid w:val="007114C3"/>
    <w:rsid w:val="007122E8"/>
    <w:rsid w:val="007132AB"/>
    <w:rsid w:val="007134F7"/>
    <w:rsid w:val="00713E3C"/>
    <w:rsid w:val="0071439C"/>
    <w:rsid w:val="007172E8"/>
    <w:rsid w:val="00717EEB"/>
    <w:rsid w:val="007203BA"/>
    <w:rsid w:val="00722948"/>
    <w:rsid w:val="00722F56"/>
    <w:rsid w:val="00723DA7"/>
    <w:rsid w:val="00723F80"/>
    <w:rsid w:val="00725AA6"/>
    <w:rsid w:val="00727B9A"/>
    <w:rsid w:val="00727D92"/>
    <w:rsid w:val="007319F9"/>
    <w:rsid w:val="00731B29"/>
    <w:rsid w:val="007327EA"/>
    <w:rsid w:val="0073302E"/>
    <w:rsid w:val="007330BC"/>
    <w:rsid w:val="00734900"/>
    <w:rsid w:val="00734C99"/>
    <w:rsid w:val="007353BF"/>
    <w:rsid w:val="00735D79"/>
    <w:rsid w:val="00736B6D"/>
    <w:rsid w:val="0074043C"/>
    <w:rsid w:val="007419F1"/>
    <w:rsid w:val="00741EDB"/>
    <w:rsid w:val="00743B3F"/>
    <w:rsid w:val="007454E0"/>
    <w:rsid w:val="00746130"/>
    <w:rsid w:val="00746E5E"/>
    <w:rsid w:val="007476F9"/>
    <w:rsid w:val="00750687"/>
    <w:rsid w:val="00750C4F"/>
    <w:rsid w:val="00751093"/>
    <w:rsid w:val="00752561"/>
    <w:rsid w:val="00752CEA"/>
    <w:rsid w:val="007530C5"/>
    <w:rsid w:val="00753754"/>
    <w:rsid w:val="00753F43"/>
    <w:rsid w:val="007544B9"/>
    <w:rsid w:val="00754731"/>
    <w:rsid w:val="007548E6"/>
    <w:rsid w:val="00755216"/>
    <w:rsid w:val="00755728"/>
    <w:rsid w:val="007557B1"/>
    <w:rsid w:val="00755F05"/>
    <w:rsid w:val="00756692"/>
    <w:rsid w:val="00756954"/>
    <w:rsid w:val="00756B11"/>
    <w:rsid w:val="00756C4E"/>
    <w:rsid w:val="00756F59"/>
    <w:rsid w:val="0075753A"/>
    <w:rsid w:val="007609C9"/>
    <w:rsid w:val="00760AA6"/>
    <w:rsid w:val="00760FCB"/>
    <w:rsid w:val="00761232"/>
    <w:rsid w:val="007612C6"/>
    <w:rsid w:val="007612EC"/>
    <w:rsid w:val="00761962"/>
    <w:rsid w:val="0076309A"/>
    <w:rsid w:val="00764768"/>
    <w:rsid w:val="007663ED"/>
    <w:rsid w:val="00766585"/>
    <w:rsid w:val="007665AF"/>
    <w:rsid w:val="007668AA"/>
    <w:rsid w:val="007711D9"/>
    <w:rsid w:val="00771DA0"/>
    <w:rsid w:val="00771FC9"/>
    <w:rsid w:val="00773AA4"/>
    <w:rsid w:val="00773F49"/>
    <w:rsid w:val="00773F9D"/>
    <w:rsid w:val="00775AC8"/>
    <w:rsid w:val="00775FA2"/>
    <w:rsid w:val="00776B79"/>
    <w:rsid w:val="007770F8"/>
    <w:rsid w:val="007771F1"/>
    <w:rsid w:val="00777596"/>
    <w:rsid w:val="0077777E"/>
    <w:rsid w:val="00777960"/>
    <w:rsid w:val="00780382"/>
    <w:rsid w:val="00780650"/>
    <w:rsid w:val="007822E6"/>
    <w:rsid w:val="00782448"/>
    <w:rsid w:val="007828C0"/>
    <w:rsid w:val="00785EC4"/>
    <w:rsid w:val="007860B6"/>
    <w:rsid w:val="00786EC6"/>
    <w:rsid w:val="00787014"/>
    <w:rsid w:val="007906EB"/>
    <w:rsid w:val="00791188"/>
    <w:rsid w:val="007920FE"/>
    <w:rsid w:val="0079410B"/>
    <w:rsid w:val="0079577C"/>
    <w:rsid w:val="00797CEE"/>
    <w:rsid w:val="007A01FE"/>
    <w:rsid w:val="007A03B7"/>
    <w:rsid w:val="007A0BE8"/>
    <w:rsid w:val="007A1201"/>
    <w:rsid w:val="007A140D"/>
    <w:rsid w:val="007A286E"/>
    <w:rsid w:val="007A2907"/>
    <w:rsid w:val="007A3140"/>
    <w:rsid w:val="007A3D9B"/>
    <w:rsid w:val="007A3FC1"/>
    <w:rsid w:val="007A51C7"/>
    <w:rsid w:val="007A5471"/>
    <w:rsid w:val="007A5A29"/>
    <w:rsid w:val="007A6441"/>
    <w:rsid w:val="007A68ED"/>
    <w:rsid w:val="007A7B07"/>
    <w:rsid w:val="007B008C"/>
    <w:rsid w:val="007B0489"/>
    <w:rsid w:val="007B0839"/>
    <w:rsid w:val="007B0B7F"/>
    <w:rsid w:val="007B138C"/>
    <w:rsid w:val="007B2DAD"/>
    <w:rsid w:val="007B3149"/>
    <w:rsid w:val="007B32A9"/>
    <w:rsid w:val="007B39D0"/>
    <w:rsid w:val="007B3D50"/>
    <w:rsid w:val="007B42BF"/>
    <w:rsid w:val="007B4D35"/>
    <w:rsid w:val="007B53D1"/>
    <w:rsid w:val="007B57CE"/>
    <w:rsid w:val="007B6820"/>
    <w:rsid w:val="007B693C"/>
    <w:rsid w:val="007B6CDD"/>
    <w:rsid w:val="007B7F5F"/>
    <w:rsid w:val="007C037E"/>
    <w:rsid w:val="007C0B45"/>
    <w:rsid w:val="007C1739"/>
    <w:rsid w:val="007C1FA0"/>
    <w:rsid w:val="007C4006"/>
    <w:rsid w:val="007C4268"/>
    <w:rsid w:val="007C4A9D"/>
    <w:rsid w:val="007C5785"/>
    <w:rsid w:val="007C5BD8"/>
    <w:rsid w:val="007C635F"/>
    <w:rsid w:val="007C6488"/>
    <w:rsid w:val="007D092D"/>
    <w:rsid w:val="007D0B28"/>
    <w:rsid w:val="007D192B"/>
    <w:rsid w:val="007D22B4"/>
    <w:rsid w:val="007D2836"/>
    <w:rsid w:val="007D28B7"/>
    <w:rsid w:val="007D3491"/>
    <w:rsid w:val="007D354C"/>
    <w:rsid w:val="007D3D6D"/>
    <w:rsid w:val="007D48DC"/>
    <w:rsid w:val="007D5474"/>
    <w:rsid w:val="007E04D4"/>
    <w:rsid w:val="007E2A2A"/>
    <w:rsid w:val="007E38FB"/>
    <w:rsid w:val="007E45E5"/>
    <w:rsid w:val="007E5321"/>
    <w:rsid w:val="007E6384"/>
    <w:rsid w:val="007F0C16"/>
    <w:rsid w:val="007F0EE6"/>
    <w:rsid w:val="007F1297"/>
    <w:rsid w:val="007F129C"/>
    <w:rsid w:val="007F2F8B"/>
    <w:rsid w:val="007F45E2"/>
    <w:rsid w:val="007F5746"/>
    <w:rsid w:val="007F67C7"/>
    <w:rsid w:val="007F6CEF"/>
    <w:rsid w:val="007F6E37"/>
    <w:rsid w:val="00800026"/>
    <w:rsid w:val="00800B08"/>
    <w:rsid w:val="00801057"/>
    <w:rsid w:val="00801224"/>
    <w:rsid w:val="0080146B"/>
    <w:rsid w:val="0080167C"/>
    <w:rsid w:val="00801A72"/>
    <w:rsid w:val="00801AFB"/>
    <w:rsid w:val="0080260C"/>
    <w:rsid w:val="00802DCD"/>
    <w:rsid w:val="00802ECA"/>
    <w:rsid w:val="00803DC8"/>
    <w:rsid w:val="00804F18"/>
    <w:rsid w:val="00804F9F"/>
    <w:rsid w:val="00806832"/>
    <w:rsid w:val="008071BE"/>
    <w:rsid w:val="0080767E"/>
    <w:rsid w:val="0081033F"/>
    <w:rsid w:val="00810AF0"/>
    <w:rsid w:val="00813F4B"/>
    <w:rsid w:val="00814B4D"/>
    <w:rsid w:val="0081613E"/>
    <w:rsid w:val="00817047"/>
    <w:rsid w:val="008177A2"/>
    <w:rsid w:val="0082176F"/>
    <w:rsid w:val="0082199C"/>
    <w:rsid w:val="00821AEB"/>
    <w:rsid w:val="008237C2"/>
    <w:rsid w:val="00824777"/>
    <w:rsid w:val="00824AA9"/>
    <w:rsid w:val="00825A5E"/>
    <w:rsid w:val="00826985"/>
    <w:rsid w:val="00826D88"/>
    <w:rsid w:val="00830620"/>
    <w:rsid w:val="00830DDC"/>
    <w:rsid w:val="00831282"/>
    <w:rsid w:val="00831638"/>
    <w:rsid w:val="00831ED4"/>
    <w:rsid w:val="00831FA5"/>
    <w:rsid w:val="0083230A"/>
    <w:rsid w:val="008323B2"/>
    <w:rsid w:val="008330D5"/>
    <w:rsid w:val="008341B6"/>
    <w:rsid w:val="00834E25"/>
    <w:rsid w:val="00834F37"/>
    <w:rsid w:val="008361E1"/>
    <w:rsid w:val="00836211"/>
    <w:rsid w:val="00836389"/>
    <w:rsid w:val="00840B93"/>
    <w:rsid w:val="0084111C"/>
    <w:rsid w:val="0084226D"/>
    <w:rsid w:val="00843074"/>
    <w:rsid w:val="00843723"/>
    <w:rsid w:val="00844137"/>
    <w:rsid w:val="008447E6"/>
    <w:rsid w:val="00845548"/>
    <w:rsid w:val="00845CF8"/>
    <w:rsid w:val="0084686E"/>
    <w:rsid w:val="00846A75"/>
    <w:rsid w:val="00847933"/>
    <w:rsid w:val="00847B98"/>
    <w:rsid w:val="0085019F"/>
    <w:rsid w:val="008502A9"/>
    <w:rsid w:val="0085070C"/>
    <w:rsid w:val="0085207D"/>
    <w:rsid w:val="00852796"/>
    <w:rsid w:val="0085341F"/>
    <w:rsid w:val="00853875"/>
    <w:rsid w:val="0085389A"/>
    <w:rsid w:val="00854111"/>
    <w:rsid w:val="00854489"/>
    <w:rsid w:val="008551A7"/>
    <w:rsid w:val="00855992"/>
    <w:rsid w:val="0085754C"/>
    <w:rsid w:val="00860039"/>
    <w:rsid w:val="008606B9"/>
    <w:rsid w:val="00861752"/>
    <w:rsid w:val="00861B69"/>
    <w:rsid w:val="00861D56"/>
    <w:rsid w:val="00862143"/>
    <w:rsid w:val="00863767"/>
    <w:rsid w:val="00863A24"/>
    <w:rsid w:val="00863A71"/>
    <w:rsid w:val="00865136"/>
    <w:rsid w:val="00865910"/>
    <w:rsid w:val="00865EE9"/>
    <w:rsid w:val="008660D4"/>
    <w:rsid w:val="00866AE8"/>
    <w:rsid w:val="00867151"/>
    <w:rsid w:val="00870E1D"/>
    <w:rsid w:val="00871DA2"/>
    <w:rsid w:val="00871FCF"/>
    <w:rsid w:val="008721B8"/>
    <w:rsid w:val="008723A7"/>
    <w:rsid w:val="008750A5"/>
    <w:rsid w:val="00876030"/>
    <w:rsid w:val="00876109"/>
    <w:rsid w:val="008779D5"/>
    <w:rsid w:val="0088037D"/>
    <w:rsid w:val="00880860"/>
    <w:rsid w:val="00881023"/>
    <w:rsid w:val="008810FA"/>
    <w:rsid w:val="00881396"/>
    <w:rsid w:val="00881459"/>
    <w:rsid w:val="0088199F"/>
    <w:rsid w:val="00883710"/>
    <w:rsid w:val="00883783"/>
    <w:rsid w:val="008837F3"/>
    <w:rsid w:val="008839F8"/>
    <w:rsid w:val="00884A05"/>
    <w:rsid w:val="00885E2E"/>
    <w:rsid w:val="0088750B"/>
    <w:rsid w:val="008902E6"/>
    <w:rsid w:val="008907D5"/>
    <w:rsid w:val="00890C73"/>
    <w:rsid w:val="00891051"/>
    <w:rsid w:val="00892432"/>
    <w:rsid w:val="00892829"/>
    <w:rsid w:val="00893A30"/>
    <w:rsid w:val="008940AB"/>
    <w:rsid w:val="00894285"/>
    <w:rsid w:val="0089522A"/>
    <w:rsid w:val="00895FD3"/>
    <w:rsid w:val="008966DB"/>
    <w:rsid w:val="008975C2"/>
    <w:rsid w:val="008A13A1"/>
    <w:rsid w:val="008A5244"/>
    <w:rsid w:val="008A79C9"/>
    <w:rsid w:val="008B200D"/>
    <w:rsid w:val="008B2F8A"/>
    <w:rsid w:val="008B3B43"/>
    <w:rsid w:val="008B3BA6"/>
    <w:rsid w:val="008B3F7B"/>
    <w:rsid w:val="008B5064"/>
    <w:rsid w:val="008B5523"/>
    <w:rsid w:val="008B5A04"/>
    <w:rsid w:val="008C164D"/>
    <w:rsid w:val="008C2E39"/>
    <w:rsid w:val="008C2F6D"/>
    <w:rsid w:val="008C343B"/>
    <w:rsid w:val="008C4702"/>
    <w:rsid w:val="008C50F9"/>
    <w:rsid w:val="008C5969"/>
    <w:rsid w:val="008C5B93"/>
    <w:rsid w:val="008C63F3"/>
    <w:rsid w:val="008C6A16"/>
    <w:rsid w:val="008C7464"/>
    <w:rsid w:val="008C753C"/>
    <w:rsid w:val="008D0700"/>
    <w:rsid w:val="008D1187"/>
    <w:rsid w:val="008D13DC"/>
    <w:rsid w:val="008D19E6"/>
    <w:rsid w:val="008D24DC"/>
    <w:rsid w:val="008D2934"/>
    <w:rsid w:val="008D34C1"/>
    <w:rsid w:val="008D3F16"/>
    <w:rsid w:val="008D3F8B"/>
    <w:rsid w:val="008D4BE6"/>
    <w:rsid w:val="008D4C22"/>
    <w:rsid w:val="008D544B"/>
    <w:rsid w:val="008D64C9"/>
    <w:rsid w:val="008D7F55"/>
    <w:rsid w:val="008E1249"/>
    <w:rsid w:val="008E14DB"/>
    <w:rsid w:val="008E1B0F"/>
    <w:rsid w:val="008E21D7"/>
    <w:rsid w:val="008E2600"/>
    <w:rsid w:val="008E29B9"/>
    <w:rsid w:val="008E30ED"/>
    <w:rsid w:val="008E3202"/>
    <w:rsid w:val="008E4F54"/>
    <w:rsid w:val="008E517E"/>
    <w:rsid w:val="008E5757"/>
    <w:rsid w:val="008E6030"/>
    <w:rsid w:val="008E6274"/>
    <w:rsid w:val="008F22C9"/>
    <w:rsid w:val="008F3180"/>
    <w:rsid w:val="008F35C0"/>
    <w:rsid w:val="008F3634"/>
    <w:rsid w:val="008F421E"/>
    <w:rsid w:val="008F422C"/>
    <w:rsid w:val="008F467E"/>
    <w:rsid w:val="008F50F8"/>
    <w:rsid w:val="008F56BC"/>
    <w:rsid w:val="008F5ABF"/>
    <w:rsid w:val="008F6B3C"/>
    <w:rsid w:val="0090123D"/>
    <w:rsid w:val="009017D7"/>
    <w:rsid w:val="00903D2C"/>
    <w:rsid w:val="00905BB2"/>
    <w:rsid w:val="00906672"/>
    <w:rsid w:val="00906989"/>
    <w:rsid w:val="00906DF0"/>
    <w:rsid w:val="00907DB1"/>
    <w:rsid w:val="009102E2"/>
    <w:rsid w:val="00911E33"/>
    <w:rsid w:val="009133D1"/>
    <w:rsid w:val="00914FFD"/>
    <w:rsid w:val="00915114"/>
    <w:rsid w:val="009151C0"/>
    <w:rsid w:val="009213AB"/>
    <w:rsid w:val="0092449D"/>
    <w:rsid w:val="0092482D"/>
    <w:rsid w:val="0092551E"/>
    <w:rsid w:val="00925949"/>
    <w:rsid w:val="00925F5B"/>
    <w:rsid w:val="00925F94"/>
    <w:rsid w:val="0092713F"/>
    <w:rsid w:val="00927712"/>
    <w:rsid w:val="009304BF"/>
    <w:rsid w:val="009307D7"/>
    <w:rsid w:val="00930E42"/>
    <w:rsid w:val="00930E5E"/>
    <w:rsid w:val="009311BA"/>
    <w:rsid w:val="00931DE6"/>
    <w:rsid w:val="009330ED"/>
    <w:rsid w:val="009342E6"/>
    <w:rsid w:val="00934393"/>
    <w:rsid w:val="00934ACE"/>
    <w:rsid w:val="00935177"/>
    <w:rsid w:val="00936CAE"/>
    <w:rsid w:val="0094128B"/>
    <w:rsid w:val="009433FD"/>
    <w:rsid w:val="00943C34"/>
    <w:rsid w:val="00945993"/>
    <w:rsid w:val="0094628D"/>
    <w:rsid w:val="00946312"/>
    <w:rsid w:val="009469F4"/>
    <w:rsid w:val="00946C49"/>
    <w:rsid w:val="0095142E"/>
    <w:rsid w:val="0095370A"/>
    <w:rsid w:val="0095469D"/>
    <w:rsid w:val="00955158"/>
    <w:rsid w:val="009552CA"/>
    <w:rsid w:val="00955361"/>
    <w:rsid w:val="009569EF"/>
    <w:rsid w:val="00957085"/>
    <w:rsid w:val="009630EA"/>
    <w:rsid w:val="00963AC6"/>
    <w:rsid w:val="00964265"/>
    <w:rsid w:val="0096492D"/>
    <w:rsid w:val="00964BBB"/>
    <w:rsid w:val="00964C87"/>
    <w:rsid w:val="00964E07"/>
    <w:rsid w:val="00965030"/>
    <w:rsid w:val="0096631A"/>
    <w:rsid w:val="009667C4"/>
    <w:rsid w:val="00966ADA"/>
    <w:rsid w:val="00966BB1"/>
    <w:rsid w:val="00967CFF"/>
    <w:rsid w:val="009714C8"/>
    <w:rsid w:val="00971806"/>
    <w:rsid w:val="00971B8A"/>
    <w:rsid w:val="00971E68"/>
    <w:rsid w:val="00972AF4"/>
    <w:rsid w:val="009731D8"/>
    <w:rsid w:val="00974727"/>
    <w:rsid w:val="0097530B"/>
    <w:rsid w:val="009756EF"/>
    <w:rsid w:val="00977070"/>
    <w:rsid w:val="009771ED"/>
    <w:rsid w:val="009772C9"/>
    <w:rsid w:val="0097775F"/>
    <w:rsid w:val="009802A0"/>
    <w:rsid w:val="0098207C"/>
    <w:rsid w:val="009823C5"/>
    <w:rsid w:val="009829EE"/>
    <w:rsid w:val="009834B5"/>
    <w:rsid w:val="009838DE"/>
    <w:rsid w:val="00983DD2"/>
    <w:rsid w:val="0098415C"/>
    <w:rsid w:val="00984606"/>
    <w:rsid w:val="00984A76"/>
    <w:rsid w:val="00985BDE"/>
    <w:rsid w:val="00985D25"/>
    <w:rsid w:val="00987611"/>
    <w:rsid w:val="009912B7"/>
    <w:rsid w:val="00991DD9"/>
    <w:rsid w:val="009924CF"/>
    <w:rsid w:val="00992659"/>
    <w:rsid w:val="009928DD"/>
    <w:rsid w:val="00993015"/>
    <w:rsid w:val="009933D1"/>
    <w:rsid w:val="0099431C"/>
    <w:rsid w:val="00994470"/>
    <w:rsid w:val="009948E5"/>
    <w:rsid w:val="00994D6A"/>
    <w:rsid w:val="00994E9B"/>
    <w:rsid w:val="00996F4A"/>
    <w:rsid w:val="009A0033"/>
    <w:rsid w:val="009A0B00"/>
    <w:rsid w:val="009A13B4"/>
    <w:rsid w:val="009A19DB"/>
    <w:rsid w:val="009A1E47"/>
    <w:rsid w:val="009A2150"/>
    <w:rsid w:val="009A2D50"/>
    <w:rsid w:val="009A3C28"/>
    <w:rsid w:val="009A49B5"/>
    <w:rsid w:val="009A5EFC"/>
    <w:rsid w:val="009A5F3B"/>
    <w:rsid w:val="009B031B"/>
    <w:rsid w:val="009B07F0"/>
    <w:rsid w:val="009B1228"/>
    <w:rsid w:val="009B1BC4"/>
    <w:rsid w:val="009B1FAA"/>
    <w:rsid w:val="009B21B5"/>
    <w:rsid w:val="009B2647"/>
    <w:rsid w:val="009B3CA0"/>
    <w:rsid w:val="009B3DBB"/>
    <w:rsid w:val="009B3E37"/>
    <w:rsid w:val="009B5438"/>
    <w:rsid w:val="009B5502"/>
    <w:rsid w:val="009B7A42"/>
    <w:rsid w:val="009B7CDD"/>
    <w:rsid w:val="009C08E7"/>
    <w:rsid w:val="009C0B87"/>
    <w:rsid w:val="009C128C"/>
    <w:rsid w:val="009C1BB4"/>
    <w:rsid w:val="009C20B6"/>
    <w:rsid w:val="009C292C"/>
    <w:rsid w:val="009C2DB2"/>
    <w:rsid w:val="009C4A4F"/>
    <w:rsid w:val="009C62B6"/>
    <w:rsid w:val="009C7A5E"/>
    <w:rsid w:val="009C7A68"/>
    <w:rsid w:val="009C7BFC"/>
    <w:rsid w:val="009D01A4"/>
    <w:rsid w:val="009D07BA"/>
    <w:rsid w:val="009D0A48"/>
    <w:rsid w:val="009D1051"/>
    <w:rsid w:val="009D1E3E"/>
    <w:rsid w:val="009D2454"/>
    <w:rsid w:val="009D263A"/>
    <w:rsid w:val="009D2DBE"/>
    <w:rsid w:val="009D46F1"/>
    <w:rsid w:val="009D4A7C"/>
    <w:rsid w:val="009D4A88"/>
    <w:rsid w:val="009D59EA"/>
    <w:rsid w:val="009D6104"/>
    <w:rsid w:val="009D68F5"/>
    <w:rsid w:val="009D6E90"/>
    <w:rsid w:val="009D7988"/>
    <w:rsid w:val="009D7AE5"/>
    <w:rsid w:val="009E04F1"/>
    <w:rsid w:val="009E1A7E"/>
    <w:rsid w:val="009E1C0C"/>
    <w:rsid w:val="009E1F31"/>
    <w:rsid w:val="009E251F"/>
    <w:rsid w:val="009E385D"/>
    <w:rsid w:val="009E4A29"/>
    <w:rsid w:val="009E57DA"/>
    <w:rsid w:val="009E5993"/>
    <w:rsid w:val="009E671B"/>
    <w:rsid w:val="009E67A7"/>
    <w:rsid w:val="009E78AA"/>
    <w:rsid w:val="009F0292"/>
    <w:rsid w:val="009F08ED"/>
    <w:rsid w:val="009F1795"/>
    <w:rsid w:val="009F19F8"/>
    <w:rsid w:val="009F3923"/>
    <w:rsid w:val="009F4958"/>
    <w:rsid w:val="009F6873"/>
    <w:rsid w:val="009F7930"/>
    <w:rsid w:val="00A00119"/>
    <w:rsid w:val="00A03A9E"/>
    <w:rsid w:val="00A03D2C"/>
    <w:rsid w:val="00A03E8B"/>
    <w:rsid w:val="00A04AAF"/>
    <w:rsid w:val="00A0555C"/>
    <w:rsid w:val="00A05A7D"/>
    <w:rsid w:val="00A06E5B"/>
    <w:rsid w:val="00A07150"/>
    <w:rsid w:val="00A0721C"/>
    <w:rsid w:val="00A106FD"/>
    <w:rsid w:val="00A107FA"/>
    <w:rsid w:val="00A1289D"/>
    <w:rsid w:val="00A13F0F"/>
    <w:rsid w:val="00A14542"/>
    <w:rsid w:val="00A1573C"/>
    <w:rsid w:val="00A204F4"/>
    <w:rsid w:val="00A20860"/>
    <w:rsid w:val="00A213CA"/>
    <w:rsid w:val="00A22BA9"/>
    <w:rsid w:val="00A23E9F"/>
    <w:rsid w:val="00A26549"/>
    <w:rsid w:val="00A266E6"/>
    <w:rsid w:val="00A26F75"/>
    <w:rsid w:val="00A27921"/>
    <w:rsid w:val="00A27B13"/>
    <w:rsid w:val="00A3055C"/>
    <w:rsid w:val="00A30624"/>
    <w:rsid w:val="00A31D8E"/>
    <w:rsid w:val="00A31F0D"/>
    <w:rsid w:val="00A32072"/>
    <w:rsid w:val="00A32F7B"/>
    <w:rsid w:val="00A334A7"/>
    <w:rsid w:val="00A33919"/>
    <w:rsid w:val="00A3485F"/>
    <w:rsid w:val="00A34FBD"/>
    <w:rsid w:val="00A35879"/>
    <w:rsid w:val="00A362B8"/>
    <w:rsid w:val="00A36389"/>
    <w:rsid w:val="00A36B96"/>
    <w:rsid w:val="00A37A8C"/>
    <w:rsid w:val="00A4007B"/>
    <w:rsid w:val="00A40C69"/>
    <w:rsid w:val="00A42713"/>
    <w:rsid w:val="00A44774"/>
    <w:rsid w:val="00A47FCF"/>
    <w:rsid w:val="00A50132"/>
    <w:rsid w:val="00A5400A"/>
    <w:rsid w:val="00A5444F"/>
    <w:rsid w:val="00A5480B"/>
    <w:rsid w:val="00A571CB"/>
    <w:rsid w:val="00A5791E"/>
    <w:rsid w:val="00A6009D"/>
    <w:rsid w:val="00A61551"/>
    <w:rsid w:val="00A61D95"/>
    <w:rsid w:val="00A6230C"/>
    <w:rsid w:val="00A641D3"/>
    <w:rsid w:val="00A64E34"/>
    <w:rsid w:val="00A7018F"/>
    <w:rsid w:val="00A70C81"/>
    <w:rsid w:val="00A7282C"/>
    <w:rsid w:val="00A73334"/>
    <w:rsid w:val="00A733BF"/>
    <w:rsid w:val="00A73C91"/>
    <w:rsid w:val="00A75434"/>
    <w:rsid w:val="00A77372"/>
    <w:rsid w:val="00A77983"/>
    <w:rsid w:val="00A80397"/>
    <w:rsid w:val="00A81F6C"/>
    <w:rsid w:val="00A82597"/>
    <w:rsid w:val="00A82901"/>
    <w:rsid w:val="00A8339B"/>
    <w:rsid w:val="00A8620B"/>
    <w:rsid w:val="00A90E6D"/>
    <w:rsid w:val="00A9157A"/>
    <w:rsid w:val="00A919E9"/>
    <w:rsid w:val="00A91E5B"/>
    <w:rsid w:val="00A93EDB"/>
    <w:rsid w:val="00A94C10"/>
    <w:rsid w:val="00A95102"/>
    <w:rsid w:val="00A957C9"/>
    <w:rsid w:val="00A95F01"/>
    <w:rsid w:val="00A96ED6"/>
    <w:rsid w:val="00A971D1"/>
    <w:rsid w:val="00A97226"/>
    <w:rsid w:val="00A97261"/>
    <w:rsid w:val="00A9737C"/>
    <w:rsid w:val="00A97735"/>
    <w:rsid w:val="00AA12AB"/>
    <w:rsid w:val="00AA1505"/>
    <w:rsid w:val="00AA1555"/>
    <w:rsid w:val="00AA22E2"/>
    <w:rsid w:val="00AA32F8"/>
    <w:rsid w:val="00AA39CC"/>
    <w:rsid w:val="00AA41A0"/>
    <w:rsid w:val="00AA543E"/>
    <w:rsid w:val="00AA5E54"/>
    <w:rsid w:val="00AA6EB5"/>
    <w:rsid w:val="00AB3458"/>
    <w:rsid w:val="00AB3FC0"/>
    <w:rsid w:val="00AB4AEE"/>
    <w:rsid w:val="00AB4B2D"/>
    <w:rsid w:val="00AB5B93"/>
    <w:rsid w:val="00AB6B19"/>
    <w:rsid w:val="00AB7056"/>
    <w:rsid w:val="00AB7F9F"/>
    <w:rsid w:val="00AC1D96"/>
    <w:rsid w:val="00AC1F31"/>
    <w:rsid w:val="00AC3BD9"/>
    <w:rsid w:val="00AC55EB"/>
    <w:rsid w:val="00AC7583"/>
    <w:rsid w:val="00AC783B"/>
    <w:rsid w:val="00AD0A42"/>
    <w:rsid w:val="00AD10CE"/>
    <w:rsid w:val="00AD17F8"/>
    <w:rsid w:val="00AD2EDF"/>
    <w:rsid w:val="00AD36CF"/>
    <w:rsid w:val="00AD4720"/>
    <w:rsid w:val="00AD5447"/>
    <w:rsid w:val="00AD656C"/>
    <w:rsid w:val="00AE07B9"/>
    <w:rsid w:val="00AE2304"/>
    <w:rsid w:val="00AE241B"/>
    <w:rsid w:val="00AE2D4D"/>
    <w:rsid w:val="00AE43EB"/>
    <w:rsid w:val="00AE4947"/>
    <w:rsid w:val="00AE5E31"/>
    <w:rsid w:val="00AE6DF2"/>
    <w:rsid w:val="00AF0472"/>
    <w:rsid w:val="00AF0863"/>
    <w:rsid w:val="00AF103C"/>
    <w:rsid w:val="00AF226A"/>
    <w:rsid w:val="00AF4BE7"/>
    <w:rsid w:val="00AF78DB"/>
    <w:rsid w:val="00B00290"/>
    <w:rsid w:val="00B00A2A"/>
    <w:rsid w:val="00B00E22"/>
    <w:rsid w:val="00B00F4C"/>
    <w:rsid w:val="00B015EE"/>
    <w:rsid w:val="00B01B27"/>
    <w:rsid w:val="00B0235E"/>
    <w:rsid w:val="00B037E3"/>
    <w:rsid w:val="00B040AC"/>
    <w:rsid w:val="00B05758"/>
    <w:rsid w:val="00B0575F"/>
    <w:rsid w:val="00B0585F"/>
    <w:rsid w:val="00B0586C"/>
    <w:rsid w:val="00B05E8E"/>
    <w:rsid w:val="00B05FD7"/>
    <w:rsid w:val="00B06122"/>
    <w:rsid w:val="00B07323"/>
    <w:rsid w:val="00B07701"/>
    <w:rsid w:val="00B07B94"/>
    <w:rsid w:val="00B10130"/>
    <w:rsid w:val="00B102B5"/>
    <w:rsid w:val="00B10AB6"/>
    <w:rsid w:val="00B10FF1"/>
    <w:rsid w:val="00B127C8"/>
    <w:rsid w:val="00B13769"/>
    <w:rsid w:val="00B1393A"/>
    <w:rsid w:val="00B153E5"/>
    <w:rsid w:val="00B16600"/>
    <w:rsid w:val="00B177EC"/>
    <w:rsid w:val="00B20514"/>
    <w:rsid w:val="00B224F9"/>
    <w:rsid w:val="00B22F29"/>
    <w:rsid w:val="00B237F9"/>
    <w:rsid w:val="00B247AA"/>
    <w:rsid w:val="00B272F2"/>
    <w:rsid w:val="00B276DA"/>
    <w:rsid w:val="00B27A76"/>
    <w:rsid w:val="00B27DEC"/>
    <w:rsid w:val="00B29BBB"/>
    <w:rsid w:val="00B30348"/>
    <w:rsid w:val="00B315AD"/>
    <w:rsid w:val="00B330AE"/>
    <w:rsid w:val="00B3364C"/>
    <w:rsid w:val="00B33C79"/>
    <w:rsid w:val="00B34599"/>
    <w:rsid w:val="00B34818"/>
    <w:rsid w:val="00B36B73"/>
    <w:rsid w:val="00B36ECF"/>
    <w:rsid w:val="00B4070C"/>
    <w:rsid w:val="00B41597"/>
    <w:rsid w:val="00B42E72"/>
    <w:rsid w:val="00B43CE1"/>
    <w:rsid w:val="00B43DEC"/>
    <w:rsid w:val="00B43F39"/>
    <w:rsid w:val="00B44DA0"/>
    <w:rsid w:val="00B45BEE"/>
    <w:rsid w:val="00B46F4E"/>
    <w:rsid w:val="00B47A21"/>
    <w:rsid w:val="00B47FEA"/>
    <w:rsid w:val="00B519E1"/>
    <w:rsid w:val="00B5279A"/>
    <w:rsid w:val="00B5323A"/>
    <w:rsid w:val="00B53AA3"/>
    <w:rsid w:val="00B55BE7"/>
    <w:rsid w:val="00B56B46"/>
    <w:rsid w:val="00B56D41"/>
    <w:rsid w:val="00B57375"/>
    <w:rsid w:val="00B57E22"/>
    <w:rsid w:val="00B60765"/>
    <w:rsid w:val="00B614D7"/>
    <w:rsid w:val="00B61754"/>
    <w:rsid w:val="00B61EB7"/>
    <w:rsid w:val="00B628BF"/>
    <w:rsid w:val="00B629E6"/>
    <w:rsid w:val="00B631B0"/>
    <w:rsid w:val="00B63D9D"/>
    <w:rsid w:val="00B64A9D"/>
    <w:rsid w:val="00B664EF"/>
    <w:rsid w:val="00B70E7E"/>
    <w:rsid w:val="00B71A5B"/>
    <w:rsid w:val="00B735BA"/>
    <w:rsid w:val="00B7388D"/>
    <w:rsid w:val="00B738B0"/>
    <w:rsid w:val="00B741D0"/>
    <w:rsid w:val="00B74ED5"/>
    <w:rsid w:val="00B74F8E"/>
    <w:rsid w:val="00B7503B"/>
    <w:rsid w:val="00B76951"/>
    <w:rsid w:val="00B80406"/>
    <w:rsid w:val="00B80521"/>
    <w:rsid w:val="00B80F5B"/>
    <w:rsid w:val="00B81CA4"/>
    <w:rsid w:val="00B82A5C"/>
    <w:rsid w:val="00B8308C"/>
    <w:rsid w:val="00B8351A"/>
    <w:rsid w:val="00B83554"/>
    <w:rsid w:val="00B85287"/>
    <w:rsid w:val="00B87772"/>
    <w:rsid w:val="00B87DEF"/>
    <w:rsid w:val="00B90616"/>
    <w:rsid w:val="00B91314"/>
    <w:rsid w:val="00B91F37"/>
    <w:rsid w:val="00B920A1"/>
    <w:rsid w:val="00B92D45"/>
    <w:rsid w:val="00B9327B"/>
    <w:rsid w:val="00B9516E"/>
    <w:rsid w:val="00B954F8"/>
    <w:rsid w:val="00B95590"/>
    <w:rsid w:val="00B962BB"/>
    <w:rsid w:val="00B96C1A"/>
    <w:rsid w:val="00B96E0F"/>
    <w:rsid w:val="00B97FC6"/>
    <w:rsid w:val="00BA0EF3"/>
    <w:rsid w:val="00BA2282"/>
    <w:rsid w:val="00BA2633"/>
    <w:rsid w:val="00BA38C9"/>
    <w:rsid w:val="00BA47C3"/>
    <w:rsid w:val="00BA5928"/>
    <w:rsid w:val="00BA5D62"/>
    <w:rsid w:val="00BA5FC7"/>
    <w:rsid w:val="00BA648D"/>
    <w:rsid w:val="00BA6719"/>
    <w:rsid w:val="00BA72E0"/>
    <w:rsid w:val="00BB3C52"/>
    <w:rsid w:val="00BB46C4"/>
    <w:rsid w:val="00BB4710"/>
    <w:rsid w:val="00BB4D47"/>
    <w:rsid w:val="00BB59CD"/>
    <w:rsid w:val="00BB5A9F"/>
    <w:rsid w:val="00BB600C"/>
    <w:rsid w:val="00BB6BB7"/>
    <w:rsid w:val="00BB7DFC"/>
    <w:rsid w:val="00BB7F65"/>
    <w:rsid w:val="00BC022A"/>
    <w:rsid w:val="00BC14BC"/>
    <w:rsid w:val="00BC1F75"/>
    <w:rsid w:val="00BC3D1C"/>
    <w:rsid w:val="00BC43FB"/>
    <w:rsid w:val="00BC5667"/>
    <w:rsid w:val="00BC5CF9"/>
    <w:rsid w:val="00BC6114"/>
    <w:rsid w:val="00BD0046"/>
    <w:rsid w:val="00BD0839"/>
    <w:rsid w:val="00BD0DBA"/>
    <w:rsid w:val="00BD172E"/>
    <w:rsid w:val="00BD1DE9"/>
    <w:rsid w:val="00BD1FEE"/>
    <w:rsid w:val="00BD237D"/>
    <w:rsid w:val="00BD297B"/>
    <w:rsid w:val="00BD2F19"/>
    <w:rsid w:val="00BD3894"/>
    <w:rsid w:val="00BD3BE4"/>
    <w:rsid w:val="00BD4BCE"/>
    <w:rsid w:val="00BD4E5D"/>
    <w:rsid w:val="00BD4EFD"/>
    <w:rsid w:val="00BD5EF9"/>
    <w:rsid w:val="00BD62EA"/>
    <w:rsid w:val="00BD6671"/>
    <w:rsid w:val="00BD7134"/>
    <w:rsid w:val="00BE01DD"/>
    <w:rsid w:val="00BE0DA0"/>
    <w:rsid w:val="00BE1E60"/>
    <w:rsid w:val="00BE2AB1"/>
    <w:rsid w:val="00BE411F"/>
    <w:rsid w:val="00BE4270"/>
    <w:rsid w:val="00BE5C69"/>
    <w:rsid w:val="00BE66F8"/>
    <w:rsid w:val="00BE715D"/>
    <w:rsid w:val="00BE7CDD"/>
    <w:rsid w:val="00BF04C1"/>
    <w:rsid w:val="00BF203E"/>
    <w:rsid w:val="00BF26E3"/>
    <w:rsid w:val="00BF2ABC"/>
    <w:rsid w:val="00BF34E5"/>
    <w:rsid w:val="00BF431C"/>
    <w:rsid w:val="00BF442C"/>
    <w:rsid w:val="00BF49D4"/>
    <w:rsid w:val="00BF4A4B"/>
    <w:rsid w:val="00BF4D04"/>
    <w:rsid w:val="00BF6818"/>
    <w:rsid w:val="00BF6BFF"/>
    <w:rsid w:val="00C007F4"/>
    <w:rsid w:val="00C01C22"/>
    <w:rsid w:val="00C058BA"/>
    <w:rsid w:val="00C06BE6"/>
    <w:rsid w:val="00C078E2"/>
    <w:rsid w:val="00C07A6F"/>
    <w:rsid w:val="00C07B99"/>
    <w:rsid w:val="00C1185B"/>
    <w:rsid w:val="00C128D3"/>
    <w:rsid w:val="00C12AF4"/>
    <w:rsid w:val="00C12C54"/>
    <w:rsid w:val="00C14E8F"/>
    <w:rsid w:val="00C1617F"/>
    <w:rsid w:val="00C17731"/>
    <w:rsid w:val="00C21E0A"/>
    <w:rsid w:val="00C21F4F"/>
    <w:rsid w:val="00C2241D"/>
    <w:rsid w:val="00C22B50"/>
    <w:rsid w:val="00C235A7"/>
    <w:rsid w:val="00C24068"/>
    <w:rsid w:val="00C24424"/>
    <w:rsid w:val="00C245E7"/>
    <w:rsid w:val="00C25AE2"/>
    <w:rsid w:val="00C26435"/>
    <w:rsid w:val="00C26B13"/>
    <w:rsid w:val="00C30EA5"/>
    <w:rsid w:val="00C31E67"/>
    <w:rsid w:val="00C327B6"/>
    <w:rsid w:val="00C32FE5"/>
    <w:rsid w:val="00C33B48"/>
    <w:rsid w:val="00C33EE7"/>
    <w:rsid w:val="00C3495D"/>
    <w:rsid w:val="00C34D1D"/>
    <w:rsid w:val="00C34D52"/>
    <w:rsid w:val="00C36406"/>
    <w:rsid w:val="00C36489"/>
    <w:rsid w:val="00C36C18"/>
    <w:rsid w:val="00C372DD"/>
    <w:rsid w:val="00C3792E"/>
    <w:rsid w:val="00C37D6C"/>
    <w:rsid w:val="00C42CE1"/>
    <w:rsid w:val="00C43795"/>
    <w:rsid w:val="00C44092"/>
    <w:rsid w:val="00C4436D"/>
    <w:rsid w:val="00C44856"/>
    <w:rsid w:val="00C47384"/>
    <w:rsid w:val="00C4790D"/>
    <w:rsid w:val="00C47E15"/>
    <w:rsid w:val="00C503CA"/>
    <w:rsid w:val="00C509D9"/>
    <w:rsid w:val="00C517A1"/>
    <w:rsid w:val="00C52B90"/>
    <w:rsid w:val="00C5322D"/>
    <w:rsid w:val="00C544F6"/>
    <w:rsid w:val="00C5465C"/>
    <w:rsid w:val="00C55C42"/>
    <w:rsid w:val="00C567F1"/>
    <w:rsid w:val="00C56F79"/>
    <w:rsid w:val="00C577A1"/>
    <w:rsid w:val="00C577EF"/>
    <w:rsid w:val="00C600CF"/>
    <w:rsid w:val="00C60296"/>
    <w:rsid w:val="00C60546"/>
    <w:rsid w:val="00C637F3"/>
    <w:rsid w:val="00C64508"/>
    <w:rsid w:val="00C6514E"/>
    <w:rsid w:val="00C705BD"/>
    <w:rsid w:val="00C70BE6"/>
    <w:rsid w:val="00C722AA"/>
    <w:rsid w:val="00C7272D"/>
    <w:rsid w:val="00C74683"/>
    <w:rsid w:val="00C75F46"/>
    <w:rsid w:val="00C77EAA"/>
    <w:rsid w:val="00C824AD"/>
    <w:rsid w:val="00C8328F"/>
    <w:rsid w:val="00C8352F"/>
    <w:rsid w:val="00C8399B"/>
    <w:rsid w:val="00C86A98"/>
    <w:rsid w:val="00C86FD5"/>
    <w:rsid w:val="00C905CF"/>
    <w:rsid w:val="00C90697"/>
    <w:rsid w:val="00C90AA3"/>
    <w:rsid w:val="00C91EB2"/>
    <w:rsid w:val="00C9212F"/>
    <w:rsid w:val="00C932C9"/>
    <w:rsid w:val="00C934B5"/>
    <w:rsid w:val="00C93788"/>
    <w:rsid w:val="00C9453B"/>
    <w:rsid w:val="00C95FE6"/>
    <w:rsid w:val="00C96033"/>
    <w:rsid w:val="00C97F61"/>
    <w:rsid w:val="00CA07E1"/>
    <w:rsid w:val="00CA07EB"/>
    <w:rsid w:val="00CA2465"/>
    <w:rsid w:val="00CA3612"/>
    <w:rsid w:val="00CA3E7A"/>
    <w:rsid w:val="00CA4D5E"/>
    <w:rsid w:val="00CA6B8C"/>
    <w:rsid w:val="00CB111D"/>
    <w:rsid w:val="00CB1544"/>
    <w:rsid w:val="00CB1764"/>
    <w:rsid w:val="00CB1BE3"/>
    <w:rsid w:val="00CB1F78"/>
    <w:rsid w:val="00CB2C02"/>
    <w:rsid w:val="00CB2E8F"/>
    <w:rsid w:val="00CB33B5"/>
    <w:rsid w:val="00CB38A5"/>
    <w:rsid w:val="00CB3F26"/>
    <w:rsid w:val="00CB4531"/>
    <w:rsid w:val="00CB4A35"/>
    <w:rsid w:val="00CB5C26"/>
    <w:rsid w:val="00CB6930"/>
    <w:rsid w:val="00CB6D26"/>
    <w:rsid w:val="00CB72C7"/>
    <w:rsid w:val="00CB7C93"/>
    <w:rsid w:val="00CC05EA"/>
    <w:rsid w:val="00CC0BDF"/>
    <w:rsid w:val="00CC2B39"/>
    <w:rsid w:val="00CC33F7"/>
    <w:rsid w:val="00CC34D7"/>
    <w:rsid w:val="00CC4071"/>
    <w:rsid w:val="00CC6703"/>
    <w:rsid w:val="00CC6960"/>
    <w:rsid w:val="00CC726B"/>
    <w:rsid w:val="00CD0801"/>
    <w:rsid w:val="00CD099E"/>
    <w:rsid w:val="00CD166C"/>
    <w:rsid w:val="00CD1A34"/>
    <w:rsid w:val="00CD1C0A"/>
    <w:rsid w:val="00CD1F99"/>
    <w:rsid w:val="00CD323D"/>
    <w:rsid w:val="00CD3E63"/>
    <w:rsid w:val="00CD4C26"/>
    <w:rsid w:val="00CD54EB"/>
    <w:rsid w:val="00CD598D"/>
    <w:rsid w:val="00CE0D54"/>
    <w:rsid w:val="00CE180C"/>
    <w:rsid w:val="00CE1F57"/>
    <w:rsid w:val="00CE2E2F"/>
    <w:rsid w:val="00CE3BD9"/>
    <w:rsid w:val="00CE3BF7"/>
    <w:rsid w:val="00CE4793"/>
    <w:rsid w:val="00CE5E0B"/>
    <w:rsid w:val="00CE610A"/>
    <w:rsid w:val="00CE643F"/>
    <w:rsid w:val="00CE6445"/>
    <w:rsid w:val="00CE6886"/>
    <w:rsid w:val="00CE7301"/>
    <w:rsid w:val="00CF3BC4"/>
    <w:rsid w:val="00CF47BD"/>
    <w:rsid w:val="00CF5598"/>
    <w:rsid w:val="00CF60FF"/>
    <w:rsid w:val="00D00CCD"/>
    <w:rsid w:val="00D02684"/>
    <w:rsid w:val="00D02A57"/>
    <w:rsid w:val="00D04EFA"/>
    <w:rsid w:val="00D05B3C"/>
    <w:rsid w:val="00D06096"/>
    <w:rsid w:val="00D110D7"/>
    <w:rsid w:val="00D117EE"/>
    <w:rsid w:val="00D11C6B"/>
    <w:rsid w:val="00D124FC"/>
    <w:rsid w:val="00D13E22"/>
    <w:rsid w:val="00D146BA"/>
    <w:rsid w:val="00D14702"/>
    <w:rsid w:val="00D15CB4"/>
    <w:rsid w:val="00D16C54"/>
    <w:rsid w:val="00D17E32"/>
    <w:rsid w:val="00D204E6"/>
    <w:rsid w:val="00D20DCB"/>
    <w:rsid w:val="00D20DF4"/>
    <w:rsid w:val="00D2109B"/>
    <w:rsid w:val="00D21A5D"/>
    <w:rsid w:val="00D226CD"/>
    <w:rsid w:val="00D229FB"/>
    <w:rsid w:val="00D22E59"/>
    <w:rsid w:val="00D23EB7"/>
    <w:rsid w:val="00D248D8"/>
    <w:rsid w:val="00D24AF6"/>
    <w:rsid w:val="00D26F3F"/>
    <w:rsid w:val="00D277C6"/>
    <w:rsid w:val="00D312C1"/>
    <w:rsid w:val="00D31784"/>
    <w:rsid w:val="00D31E98"/>
    <w:rsid w:val="00D33290"/>
    <w:rsid w:val="00D338B0"/>
    <w:rsid w:val="00D344CB"/>
    <w:rsid w:val="00D3460D"/>
    <w:rsid w:val="00D34918"/>
    <w:rsid w:val="00D353AF"/>
    <w:rsid w:val="00D359F1"/>
    <w:rsid w:val="00D35D47"/>
    <w:rsid w:val="00D369A3"/>
    <w:rsid w:val="00D37417"/>
    <w:rsid w:val="00D374B6"/>
    <w:rsid w:val="00D407BD"/>
    <w:rsid w:val="00D41E9E"/>
    <w:rsid w:val="00D430A2"/>
    <w:rsid w:val="00D44D03"/>
    <w:rsid w:val="00D44FBD"/>
    <w:rsid w:val="00D4535D"/>
    <w:rsid w:val="00D45AF2"/>
    <w:rsid w:val="00D4639E"/>
    <w:rsid w:val="00D46A8C"/>
    <w:rsid w:val="00D46FFE"/>
    <w:rsid w:val="00D47702"/>
    <w:rsid w:val="00D503CB"/>
    <w:rsid w:val="00D5081F"/>
    <w:rsid w:val="00D533B6"/>
    <w:rsid w:val="00D53E62"/>
    <w:rsid w:val="00D542F2"/>
    <w:rsid w:val="00D5485E"/>
    <w:rsid w:val="00D54AE9"/>
    <w:rsid w:val="00D558A5"/>
    <w:rsid w:val="00D5697F"/>
    <w:rsid w:val="00D57494"/>
    <w:rsid w:val="00D57AF5"/>
    <w:rsid w:val="00D57F9D"/>
    <w:rsid w:val="00D5C6D6"/>
    <w:rsid w:val="00D60262"/>
    <w:rsid w:val="00D603BC"/>
    <w:rsid w:val="00D60E8C"/>
    <w:rsid w:val="00D61381"/>
    <w:rsid w:val="00D634C1"/>
    <w:rsid w:val="00D65349"/>
    <w:rsid w:val="00D67985"/>
    <w:rsid w:val="00D706E5"/>
    <w:rsid w:val="00D71E33"/>
    <w:rsid w:val="00D72665"/>
    <w:rsid w:val="00D739D5"/>
    <w:rsid w:val="00D740FF"/>
    <w:rsid w:val="00D77813"/>
    <w:rsid w:val="00D77BD9"/>
    <w:rsid w:val="00D810A9"/>
    <w:rsid w:val="00D812A2"/>
    <w:rsid w:val="00D81EE2"/>
    <w:rsid w:val="00D8344B"/>
    <w:rsid w:val="00D8419A"/>
    <w:rsid w:val="00D86723"/>
    <w:rsid w:val="00D8693B"/>
    <w:rsid w:val="00D86950"/>
    <w:rsid w:val="00D86FD6"/>
    <w:rsid w:val="00D8775C"/>
    <w:rsid w:val="00D87A24"/>
    <w:rsid w:val="00D87E53"/>
    <w:rsid w:val="00D90799"/>
    <w:rsid w:val="00D921B6"/>
    <w:rsid w:val="00D93986"/>
    <w:rsid w:val="00D94759"/>
    <w:rsid w:val="00D95683"/>
    <w:rsid w:val="00D965D2"/>
    <w:rsid w:val="00D9703F"/>
    <w:rsid w:val="00D9723A"/>
    <w:rsid w:val="00DA0D20"/>
    <w:rsid w:val="00DA3133"/>
    <w:rsid w:val="00DA3172"/>
    <w:rsid w:val="00DA43B8"/>
    <w:rsid w:val="00DA488C"/>
    <w:rsid w:val="00DA4C59"/>
    <w:rsid w:val="00DA6323"/>
    <w:rsid w:val="00DA650B"/>
    <w:rsid w:val="00DA6EA4"/>
    <w:rsid w:val="00DA7543"/>
    <w:rsid w:val="00DA777C"/>
    <w:rsid w:val="00DA7E56"/>
    <w:rsid w:val="00DB14B3"/>
    <w:rsid w:val="00DB2D75"/>
    <w:rsid w:val="00DB3EDA"/>
    <w:rsid w:val="00DB41DD"/>
    <w:rsid w:val="00DB594A"/>
    <w:rsid w:val="00DB6CFE"/>
    <w:rsid w:val="00DB7620"/>
    <w:rsid w:val="00DC0C9D"/>
    <w:rsid w:val="00DC1A8D"/>
    <w:rsid w:val="00DC1FD3"/>
    <w:rsid w:val="00DC26D7"/>
    <w:rsid w:val="00DC271B"/>
    <w:rsid w:val="00DC2D5A"/>
    <w:rsid w:val="00DC3133"/>
    <w:rsid w:val="00DC403E"/>
    <w:rsid w:val="00DC4D30"/>
    <w:rsid w:val="00DC748B"/>
    <w:rsid w:val="00DC7614"/>
    <w:rsid w:val="00DC791F"/>
    <w:rsid w:val="00DD045F"/>
    <w:rsid w:val="00DD1A2A"/>
    <w:rsid w:val="00DD2766"/>
    <w:rsid w:val="00DD2899"/>
    <w:rsid w:val="00DD391A"/>
    <w:rsid w:val="00DD49E7"/>
    <w:rsid w:val="00DD55D2"/>
    <w:rsid w:val="00DD56F7"/>
    <w:rsid w:val="00DD5888"/>
    <w:rsid w:val="00DD6A66"/>
    <w:rsid w:val="00DD7030"/>
    <w:rsid w:val="00DE0688"/>
    <w:rsid w:val="00DE0955"/>
    <w:rsid w:val="00DE0E02"/>
    <w:rsid w:val="00DE166A"/>
    <w:rsid w:val="00DE24F0"/>
    <w:rsid w:val="00DE273F"/>
    <w:rsid w:val="00DE3352"/>
    <w:rsid w:val="00DE3474"/>
    <w:rsid w:val="00DE4592"/>
    <w:rsid w:val="00DE4627"/>
    <w:rsid w:val="00DE4BB0"/>
    <w:rsid w:val="00DE4D0F"/>
    <w:rsid w:val="00DE4D1D"/>
    <w:rsid w:val="00DE5AFD"/>
    <w:rsid w:val="00DE5E3E"/>
    <w:rsid w:val="00DE6F78"/>
    <w:rsid w:val="00DF12FC"/>
    <w:rsid w:val="00DF310C"/>
    <w:rsid w:val="00DF32DC"/>
    <w:rsid w:val="00DF5315"/>
    <w:rsid w:val="00DF5364"/>
    <w:rsid w:val="00DF5556"/>
    <w:rsid w:val="00DF5786"/>
    <w:rsid w:val="00DF620C"/>
    <w:rsid w:val="00DF666C"/>
    <w:rsid w:val="00DF6BD8"/>
    <w:rsid w:val="00DF76B5"/>
    <w:rsid w:val="00E00C2F"/>
    <w:rsid w:val="00E019BA"/>
    <w:rsid w:val="00E02B9C"/>
    <w:rsid w:val="00E03DAD"/>
    <w:rsid w:val="00E040FC"/>
    <w:rsid w:val="00E047E9"/>
    <w:rsid w:val="00E04E95"/>
    <w:rsid w:val="00E05650"/>
    <w:rsid w:val="00E0590A"/>
    <w:rsid w:val="00E065D7"/>
    <w:rsid w:val="00E065DC"/>
    <w:rsid w:val="00E06C83"/>
    <w:rsid w:val="00E10AB9"/>
    <w:rsid w:val="00E1116B"/>
    <w:rsid w:val="00E1121A"/>
    <w:rsid w:val="00E11E27"/>
    <w:rsid w:val="00E125AC"/>
    <w:rsid w:val="00E13397"/>
    <w:rsid w:val="00E14236"/>
    <w:rsid w:val="00E14E31"/>
    <w:rsid w:val="00E152B4"/>
    <w:rsid w:val="00E165B4"/>
    <w:rsid w:val="00E168EC"/>
    <w:rsid w:val="00E20111"/>
    <w:rsid w:val="00E21200"/>
    <w:rsid w:val="00E215C4"/>
    <w:rsid w:val="00E2368E"/>
    <w:rsid w:val="00E25245"/>
    <w:rsid w:val="00E26149"/>
    <w:rsid w:val="00E27DDF"/>
    <w:rsid w:val="00E27F2F"/>
    <w:rsid w:val="00E301B9"/>
    <w:rsid w:val="00E31CCA"/>
    <w:rsid w:val="00E334DD"/>
    <w:rsid w:val="00E3372F"/>
    <w:rsid w:val="00E350B1"/>
    <w:rsid w:val="00E35401"/>
    <w:rsid w:val="00E3597E"/>
    <w:rsid w:val="00E36C1A"/>
    <w:rsid w:val="00E36CD4"/>
    <w:rsid w:val="00E4061F"/>
    <w:rsid w:val="00E40D15"/>
    <w:rsid w:val="00E411A6"/>
    <w:rsid w:val="00E41678"/>
    <w:rsid w:val="00E42186"/>
    <w:rsid w:val="00E42B24"/>
    <w:rsid w:val="00E4501E"/>
    <w:rsid w:val="00E4535E"/>
    <w:rsid w:val="00E45644"/>
    <w:rsid w:val="00E45B47"/>
    <w:rsid w:val="00E45BF0"/>
    <w:rsid w:val="00E4643C"/>
    <w:rsid w:val="00E47E48"/>
    <w:rsid w:val="00E50185"/>
    <w:rsid w:val="00E50B01"/>
    <w:rsid w:val="00E50D7D"/>
    <w:rsid w:val="00E52430"/>
    <w:rsid w:val="00E5302A"/>
    <w:rsid w:val="00E5405A"/>
    <w:rsid w:val="00E54974"/>
    <w:rsid w:val="00E54F0E"/>
    <w:rsid w:val="00E5596D"/>
    <w:rsid w:val="00E559E2"/>
    <w:rsid w:val="00E55CFA"/>
    <w:rsid w:val="00E560BA"/>
    <w:rsid w:val="00E57E81"/>
    <w:rsid w:val="00E6011C"/>
    <w:rsid w:val="00E604F9"/>
    <w:rsid w:val="00E612D0"/>
    <w:rsid w:val="00E61C2A"/>
    <w:rsid w:val="00E62FE0"/>
    <w:rsid w:val="00E646CA"/>
    <w:rsid w:val="00E64A9E"/>
    <w:rsid w:val="00E65BFB"/>
    <w:rsid w:val="00E66C80"/>
    <w:rsid w:val="00E671D7"/>
    <w:rsid w:val="00E6756F"/>
    <w:rsid w:val="00E707CA"/>
    <w:rsid w:val="00E7088E"/>
    <w:rsid w:val="00E70E65"/>
    <w:rsid w:val="00E72955"/>
    <w:rsid w:val="00E730C9"/>
    <w:rsid w:val="00E7392A"/>
    <w:rsid w:val="00E74843"/>
    <w:rsid w:val="00E749E3"/>
    <w:rsid w:val="00E74BD5"/>
    <w:rsid w:val="00E74C62"/>
    <w:rsid w:val="00E74D02"/>
    <w:rsid w:val="00E74E32"/>
    <w:rsid w:val="00E75139"/>
    <w:rsid w:val="00E761FE"/>
    <w:rsid w:val="00E77DE7"/>
    <w:rsid w:val="00E802EF"/>
    <w:rsid w:val="00E80A44"/>
    <w:rsid w:val="00E81B5A"/>
    <w:rsid w:val="00E82CF0"/>
    <w:rsid w:val="00E83F7E"/>
    <w:rsid w:val="00E85E40"/>
    <w:rsid w:val="00E86A94"/>
    <w:rsid w:val="00E870AB"/>
    <w:rsid w:val="00E87819"/>
    <w:rsid w:val="00E90265"/>
    <w:rsid w:val="00E903C4"/>
    <w:rsid w:val="00E903FA"/>
    <w:rsid w:val="00E90615"/>
    <w:rsid w:val="00E91C65"/>
    <w:rsid w:val="00E940B9"/>
    <w:rsid w:val="00E94389"/>
    <w:rsid w:val="00E9452A"/>
    <w:rsid w:val="00E94841"/>
    <w:rsid w:val="00E94D13"/>
    <w:rsid w:val="00E95219"/>
    <w:rsid w:val="00EA0CEE"/>
    <w:rsid w:val="00EA0E8B"/>
    <w:rsid w:val="00EA1792"/>
    <w:rsid w:val="00EA1FEC"/>
    <w:rsid w:val="00EA335A"/>
    <w:rsid w:val="00EA3669"/>
    <w:rsid w:val="00EA4DE2"/>
    <w:rsid w:val="00EA552E"/>
    <w:rsid w:val="00EA5601"/>
    <w:rsid w:val="00EA70FD"/>
    <w:rsid w:val="00EA7614"/>
    <w:rsid w:val="00EA76B2"/>
    <w:rsid w:val="00EB0A8B"/>
    <w:rsid w:val="00EB2414"/>
    <w:rsid w:val="00EB2FC8"/>
    <w:rsid w:val="00EB3BA9"/>
    <w:rsid w:val="00EB437B"/>
    <w:rsid w:val="00EB52EA"/>
    <w:rsid w:val="00EB5619"/>
    <w:rsid w:val="00EB5CD4"/>
    <w:rsid w:val="00EB65C1"/>
    <w:rsid w:val="00EB74F8"/>
    <w:rsid w:val="00EB769C"/>
    <w:rsid w:val="00EC0A18"/>
    <w:rsid w:val="00EC0A1A"/>
    <w:rsid w:val="00EC1023"/>
    <w:rsid w:val="00EC2386"/>
    <w:rsid w:val="00EC26AC"/>
    <w:rsid w:val="00EC2702"/>
    <w:rsid w:val="00EC2A95"/>
    <w:rsid w:val="00EC2EA5"/>
    <w:rsid w:val="00EC339A"/>
    <w:rsid w:val="00EC3600"/>
    <w:rsid w:val="00EC3A56"/>
    <w:rsid w:val="00EC3DE8"/>
    <w:rsid w:val="00EC5390"/>
    <w:rsid w:val="00EC589D"/>
    <w:rsid w:val="00EC5FA8"/>
    <w:rsid w:val="00EC6BB0"/>
    <w:rsid w:val="00EC7215"/>
    <w:rsid w:val="00EC7231"/>
    <w:rsid w:val="00EC7322"/>
    <w:rsid w:val="00ED0818"/>
    <w:rsid w:val="00ED081D"/>
    <w:rsid w:val="00ED1252"/>
    <w:rsid w:val="00ED1332"/>
    <w:rsid w:val="00ED2634"/>
    <w:rsid w:val="00ED2A79"/>
    <w:rsid w:val="00ED6218"/>
    <w:rsid w:val="00ED6C0E"/>
    <w:rsid w:val="00ED6D3A"/>
    <w:rsid w:val="00ED6DE9"/>
    <w:rsid w:val="00ED7158"/>
    <w:rsid w:val="00ED7372"/>
    <w:rsid w:val="00EE13B6"/>
    <w:rsid w:val="00EE1563"/>
    <w:rsid w:val="00EE2AA0"/>
    <w:rsid w:val="00EE42A3"/>
    <w:rsid w:val="00EE4729"/>
    <w:rsid w:val="00EE566A"/>
    <w:rsid w:val="00EE5EF0"/>
    <w:rsid w:val="00EF03AD"/>
    <w:rsid w:val="00EF113D"/>
    <w:rsid w:val="00EF23F6"/>
    <w:rsid w:val="00EF263B"/>
    <w:rsid w:val="00EF2FBD"/>
    <w:rsid w:val="00EF41C8"/>
    <w:rsid w:val="00EF4894"/>
    <w:rsid w:val="00EF52EE"/>
    <w:rsid w:val="00EF53C3"/>
    <w:rsid w:val="00EF56A6"/>
    <w:rsid w:val="00EF7B57"/>
    <w:rsid w:val="00F005FE"/>
    <w:rsid w:val="00F00D89"/>
    <w:rsid w:val="00F02CD4"/>
    <w:rsid w:val="00F04166"/>
    <w:rsid w:val="00F05612"/>
    <w:rsid w:val="00F0655E"/>
    <w:rsid w:val="00F10203"/>
    <w:rsid w:val="00F104A0"/>
    <w:rsid w:val="00F10DE4"/>
    <w:rsid w:val="00F12878"/>
    <w:rsid w:val="00F13976"/>
    <w:rsid w:val="00F13F05"/>
    <w:rsid w:val="00F14791"/>
    <w:rsid w:val="00F171DD"/>
    <w:rsid w:val="00F173AF"/>
    <w:rsid w:val="00F2096C"/>
    <w:rsid w:val="00F20A4E"/>
    <w:rsid w:val="00F20DC1"/>
    <w:rsid w:val="00F21D2A"/>
    <w:rsid w:val="00F233E7"/>
    <w:rsid w:val="00F23535"/>
    <w:rsid w:val="00F23ECB"/>
    <w:rsid w:val="00F24B6B"/>
    <w:rsid w:val="00F24F07"/>
    <w:rsid w:val="00F257BF"/>
    <w:rsid w:val="00F2661D"/>
    <w:rsid w:val="00F27C80"/>
    <w:rsid w:val="00F308AB"/>
    <w:rsid w:val="00F31056"/>
    <w:rsid w:val="00F31F21"/>
    <w:rsid w:val="00F34BAC"/>
    <w:rsid w:val="00F35B25"/>
    <w:rsid w:val="00F35D4E"/>
    <w:rsid w:val="00F362F4"/>
    <w:rsid w:val="00F36B32"/>
    <w:rsid w:val="00F37079"/>
    <w:rsid w:val="00F3721F"/>
    <w:rsid w:val="00F4071E"/>
    <w:rsid w:val="00F43296"/>
    <w:rsid w:val="00F443BD"/>
    <w:rsid w:val="00F45522"/>
    <w:rsid w:val="00F46409"/>
    <w:rsid w:val="00F464AE"/>
    <w:rsid w:val="00F466B8"/>
    <w:rsid w:val="00F46A57"/>
    <w:rsid w:val="00F47DA8"/>
    <w:rsid w:val="00F50774"/>
    <w:rsid w:val="00F50E6F"/>
    <w:rsid w:val="00F53489"/>
    <w:rsid w:val="00F5445C"/>
    <w:rsid w:val="00F54926"/>
    <w:rsid w:val="00F54B62"/>
    <w:rsid w:val="00F54B76"/>
    <w:rsid w:val="00F54C32"/>
    <w:rsid w:val="00F55034"/>
    <w:rsid w:val="00F55D6B"/>
    <w:rsid w:val="00F5697C"/>
    <w:rsid w:val="00F574D5"/>
    <w:rsid w:val="00F60448"/>
    <w:rsid w:val="00F605F9"/>
    <w:rsid w:val="00F6082D"/>
    <w:rsid w:val="00F61481"/>
    <w:rsid w:val="00F61C33"/>
    <w:rsid w:val="00F62E65"/>
    <w:rsid w:val="00F6367E"/>
    <w:rsid w:val="00F64903"/>
    <w:rsid w:val="00F655B4"/>
    <w:rsid w:val="00F6583C"/>
    <w:rsid w:val="00F6622C"/>
    <w:rsid w:val="00F6689B"/>
    <w:rsid w:val="00F6698C"/>
    <w:rsid w:val="00F67578"/>
    <w:rsid w:val="00F6770F"/>
    <w:rsid w:val="00F67EDF"/>
    <w:rsid w:val="00F70423"/>
    <w:rsid w:val="00F70D0E"/>
    <w:rsid w:val="00F7103C"/>
    <w:rsid w:val="00F72137"/>
    <w:rsid w:val="00F723F1"/>
    <w:rsid w:val="00F726D5"/>
    <w:rsid w:val="00F72705"/>
    <w:rsid w:val="00F73FF8"/>
    <w:rsid w:val="00F74481"/>
    <w:rsid w:val="00F75612"/>
    <w:rsid w:val="00F76935"/>
    <w:rsid w:val="00F76A64"/>
    <w:rsid w:val="00F80A5F"/>
    <w:rsid w:val="00F80A7D"/>
    <w:rsid w:val="00F81DF3"/>
    <w:rsid w:val="00F82AF0"/>
    <w:rsid w:val="00F847FF"/>
    <w:rsid w:val="00F84AE8"/>
    <w:rsid w:val="00F84C56"/>
    <w:rsid w:val="00F85295"/>
    <w:rsid w:val="00F90324"/>
    <w:rsid w:val="00F91B66"/>
    <w:rsid w:val="00F93606"/>
    <w:rsid w:val="00F9472A"/>
    <w:rsid w:val="00F97889"/>
    <w:rsid w:val="00FA04B1"/>
    <w:rsid w:val="00FA0AC0"/>
    <w:rsid w:val="00FA0D06"/>
    <w:rsid w:val="00FA0F24"/>
    <w:rsid w:val="00FA12BF"/>
    <w:rsid w:val="00FA1982"/>
    <w:rsid w:val="00FA19C2"/>
    <w:rsid w:val="00FA23AF"/>
    <w:rsid w:val="00FA2E0E"/>
    <w:rsid w:val="00FA6F69"/>
    <w:rsid w:val="00FA7F9E"/>
    <w:rsid w:val="00FB048D"/>
    <w:rsid w:val="00FB065F"/>
    <w:rsid w:val="00FB0963"/>
    <w:rsid w:val="00FB18F4"/>
    <w:rsid w:val="00FB3569"/>
    <w:rsid w:val="00FB4334"/>
    <w:rsid w:val="00FB7375"/>
    <w:rsid w:val="00FC0679"/>
    <w:rsid w:val="00FC2518"/>
    <w:rsid w:val="00FC27E9"/>
    <w:rsid w:val="00FC2E1B"/>
    <w:rsid w:val="00FC42D7"/>
    <w:rsid w:val="00FC4A11"/>
    <w:rsid w:val="00FC5A9E"/>
    <w:rsid w:val="00FC6A27"/>
    <w:rsid w:val="00FC6D6F"/>
    <w:rsid w:val="00FC76F6"/>
    <w:rsid w:val="00FD05CA"/>
    <w:rsid w:val="00FD27FA"/>
    <w:rsid w:val="00FD2B4C"/>
    <w:rsid w:val="00FD397F"/>
    <w:rsid w:val="00FD4292"/>
    <w:rsid w:val="00FD5008"/>
    <w:rsid w:val="00FD6F4C"/>
    <w:rsid w:val="00FD778D"/>
    <w:rsid w:val="00FE1BC9"/>
    <w:rsid w:val="00FE2A60"/>
    <w:rsid w:val="00FE5346"/>
    <w:rsid w:val="00FE53B0"/>
    <w:rsid w:val="00FE670E"/>
    <w:rsid w:val="00FE6B67"/>
    <w:rsid w:val="00FE7562"/>
    <w:rsid w:val="00FE77AD"/>
    <w:rsid w:val="00FF00C8"/>
    <w:rsid w:val="00FF02BB"/>
    <w:rsid w:val="00FF0674"/>
    <w:rsid w:val="00FF0C52"/>
    <w:rsid w:val="00FF1750"/>
    <w:rsid w:val="00FF19D7"/>
    <w:rsid w:val="00FF19EE"/>
    <w:rsid w:val="00FF1D71"/>
    <w:rsid w:val="00FF2C35"/>
    <w:rsid w:val="00FF31C1"/>
    <w:rsid w:val="00FF45B2"/>
    <w:rsid w:val="00FF460F"/>
    <w:rsid w:val="00FF6184"/>
    <w:rsid w:val="00FF7A65"/>
    <w:rsid w:val="00FF7F4C"/>
    <w:rsid w:val="0127F11C"/>
    <w:rsid w:val="0144117D"/>
    <w:rsid w:val="01940749"/>
    <w:rsid w:val="01DA9506"/>
    <w:rsid w:val="01DCF0E0"/>
    <w:rsid w:val="02177440"/>
    <w:rsid w:val="0236C2C0"/>
    <w:rsid w:val="0266E86B"/>
    <w:rsid w:val="027BEC80"/>
    <w:rsid w:val="029B7D7B"/>
    <w:rsid w:val="02A8B731"/>
    <w:rsid w:val="02D09E76"/>
    <w:rsid w:val="030F1F19"/>
    <w:rsid w:val="032BA92C"/>
    <w:rsid w:val="03672A75"/>
    <w:rsid w:val="03DFD29E"/>
    <w:rsid w:val="041D2136"/>
    <w:rsid w:val="0427137D"/>
    <w:rsid w:val="04594EF3"/>
    <w:rsid w:val="0463215A"/>
    <w:rsid w:val="04828E15"/>
    <w:rsid w:val="04B63F4F"/>
    <w:rsid w:val="05FDC2CB"/>
    <w:rsid w:val="0632FCD2"/>
    <w:rsid w:val="063CF83E"/>
    <w:rsid w:val="06446B8C"/>
    <w:rsid w:val="064E8E3F"/>
    <w:rsid w:val="0651C982"/>
    <w:rsid w:val="065C64F9"/>
    <w:rsid w:val="06F60DDE"/>
    <w:rsid w:val="075533B5"/>
    <w:rsid w:val="077D115B"/>
    <w:rsid w:val="07F90ED3"/>
    <w:rsid w:val="0828BE6B"/>
    <w:rsid w:val="083F98C7"/>
    <w:rsid w:val="08473C56"/>
    <w:rsid w:val="0861878D"/>
    <w:rsid w:val="08783D74"/>
    <w:rsid w:val="09367DE7"/>
    <w:rsid w:val="096C65D7"/>
    <w:rsid w:val="09752946"/>
    <w:rsid w:val="09A0FF0A"/>
    <w:rsid w:val="09BE687E"/>
    <w:rsid w:val="0AF88E2F"/>
    <w:rsid w:val="0B103690"/>
    <w:rsid w:val="0B1054CB"/>
    <w:rsid w:val="0C391661"/>
    <w:rsid w:val="0CE6C6D2"/>
    <w:rsid w:val="0D172931"/>
    <w:rsid w:val="0D2BFA75"/>
    <w:rsid w:val="0D440878"/>
    <w:rsid w:val="0E3F1FAF"/>
    <w:rsid w:val="0EC0BC2F"/>
    <w:rsid w:val="0F5FCC5D"/>
    <w:rsid w:val="0F8D0193"/>
    <w:rsid w:val="0FA4A511"/>
    <w:rsid w:val="1030F000"/>
    <w:rsid w:val="10559C24"/>
    <w:rsid w:val="10AF8292"/>
    <w:rsid w:val="10C77BFF"/>
    <w:rsid w:val="1139A341"/>
    <w:rsid w:val="1158F1C1"/>
    <w:rsid w:val="116124E4"/>
    <w:rsid w:val="117E7BF5"/>
    <w:rsid w:val="11F07066"/>
    <w:rsid w:val="1299CAFF"/>
    <w:rsid w:val="12D59147"/>
    <w:rsid w:val="1332C8A5"/>
    <w:rsid w:val="13C97C32"/>
    <w:rsid w:val="144B18B2"/>
    <w:rsid w:val="14E9B95B"/>
    <w:rsid w:val="154E6E4F"/>
    <w:rsid w:val="156C709F"/>
    <w:rsid w:val="1573F883"/>
    <w:rsid w:val="15A86953"/>
    <w:rsid w:val="16208AC0"/>
    <w:rsid w:val="167ED604"/>
    <w:rsid w:val="16ABD386"/>
    <w:rsid w:val="16B1DDD1"/>
    <w:rsid w:val="16C06816"/>
    <w:rsid w:val="184080AA"/>
    <w:rsid w:val="1840E64C"/>
    <w:rsid w:val="1866ACA6"/>
    <w:rsid w:val="18779747"/>
    <w:rsid w:val="188FB6D3"/>
    <w:rsid w:val="18943C20"/>
    <w:rsid w:val="1924054C"/>
    <w:rsid w:val="1B04300A"/>
    <w:rsid w:val="1BD4C1B7"/>
    <w:rsid w:val="1BE46828"/>
    <w:rsid w:val="1CFDA188"/>
    <w:rsid w:val="1DE8DF7D"/>
    <w:rsid w:val="1DF06761"/>
    <w:rsid w:val="1E81FB5E"/>
    <w:rsid w:val="1E918394"/>
    <w:rsid w:val="1EDB86DD"/>
    <w:rsid w:val="1EE640CD"/>
    <w:rsid w:val="1F133E4F"/>
    <w:rsid w:val="1F540A14"/>
    <w:rsid w:val="203C32B6"/>
    <w:rsid w:val="203E8FC7"/>
    <w:rsid w:val="207B20C2"/>
    <w:rsid w:val="208DB2D3"/>
    <w:rsid w:val="213597B1"/>
    <w:rsid w:val="2173EF7E"/>
    <w:rsid w:val="21E5E3EF"/>
    <w:rsid w:val="22BC50A0"/>
    <w:rsid w:val="232472AA"/>
    <w:rsid w:val="2335B85F"/>
    <w:rsid w:val="2335EB30"/>
    <w:rsid w:val="23572F85"/>
    <w:rsid w:val="236D47B3"/>
    <w:rsid w:val="237907D3"/>
    <w:rsid w:val="23BCAC80"/>
    <w:rsid w:val="23BFBAD3"/>
    <w:rsid w:val="23DF278E"/>
    <w:rsid w:val="2429D5E3"/>
    <w:rsid w:val="250C2A66"/>
    <w:rsid w:val="2516F8EC"/>
    <w:rsid w:val="252924B2"/>
    <w:rsid w:val="25639E99"/>
    <w:rsid w:val="25AE62FB"/>
    <w:rsid w:val="261A631F"/>
    <w:rsid w:val="26333270"/>
    <w:rsid w:val="26A179E0"/>
    <w:rsid w:val="272CB665"/>
    <w:rsid w:val="273E812F"/>
    <w:rsid w:val="27CA4ED3"/>
    <w:rsid w:val="27D4A41C"/>
    <w:rsid w:val="27D4B8B2"/>
    <w:rsid w:val="280C3370"/>
    <w:rsid w:val="28ED1264"/>
    <w:rsid w:val="291D19D4"/>
    <w:rsid w:val="293C868F"/>
    <w:rsid w:val="298F0E45"/>
    <w:rsid w:val="29B2029C"/>
    <w:rsid w:val="2AFBC1F9"/>
    <w:rsid w:val="2B7DB66D"/>
    <w:rsid w:val="2BB2273D"/>
    <w:rsid w:val="2CB22C93"/>
    <w:rsid w:val="2CE28EF2"/>
    <w:rsid w:val="2D4DBAEA"/>
    <w:rsid w:val="2D53791D"/>
    <w:rsid w:val="2DBFE9CA"/>
    <w:rsid w:val="2DD127E1"/>
    <w:rsid w:val="2DECACDD"/>
    <w:rsid w:val="2E4AA436"/>
    <w:rsid w:val="2E626AD2"/>
    <w:rsid w:val="2F013E8A"/>
    <w:rsid w:val="2F0F00E9"/>
    <w:rsid w:val="2F3ECA62"/>
    <w:rsid w:val="2F829A74"/>
    <w:rsid w:val="2F92698C"/>
    <w:rsid w:val="2FA6FAD3"/>
    <w:rsid w:val="2FBA86FB"/>
    <w:rsid w:val="2FD46499"/>
    <w:rsid w:val="3004A8BD"/>
    <w:rsid w:val="30FA96BF"/>
    <w:rsid w:val="313196FF"/>
    <w:rsid w:val="317034FA"/>
    <w:rsid w:val="320BA99E"/>
    <w:rsid w:val="3228E1AD"/>
    <w:rsid w:val="3257E760"/>
    <w:rsid w:val="32818005"/>
    <w:rsid w:val="32A6E661"/>
    <w:rsid w:val="32C492C3"/>
    <w:rsid w:val="32C64423"/>
    <w:rsid w:val="32DC4290"/>
    <w:rsid w:val="32FA64E2"/>
    <w:rsid w:val="3323B89A"/>
    <w:rsid w:val="334A73EE"/>
    <w:rsid w:val="337AB4A9"/>
    <w:rsid w:val="33FA254B"/>
    <w:rsid w:val="348BB948"/>
    <w:rsid w:val="34D5F597"/>
    <w:rsid w:val="351CFC39"/>
    <w:rsid w:val="35251529"/>
    <w:rsid w:val="353FA472"/>
    <w:rsid w:val="35772A0E"/>
    <w:rsid w:val="35A43028"/>
    <w:rsid w:val="35AE58AD"/>
    <w:rsid w:val="35D3FC2F"/>
    <w:rsid w:val="364610DD"/>
    <w:rsid w:val="36484DB1"/>
    <w:rsid w:val="364D96BF"/>
    <w:rsid w:val="3684DEAC"/>
    <w:rsid w:val="369A68DD"/>
    <w:rsid w:val="36F6E7B3"/>
    <w:rsid w:val="3720DB47"/>
    <w:rsid w:val="3738652F"/>
    <w:rsid w:val="373F886C"/>
    <w:rsid w:val="37907C02"/>
    <w:rsid w:val="379D2EB9"/>
    <w:rsid w:val="3864AB4C"/>
    <w:rsid w:val="38A08456"/>
    <w:rsid w:val="38F5364C"/>
    <w:rsid w:val="393FA91A"/>
    <w:rsid w:val="3957844C"/>
    <w:rsid w:val="3957A287"/>
    <w:rsid w:val="3978D72C"/>
    <w:rsid w:val="39D0EC0B"/>
    <w:rsid w:val="3A5B0CBA"/>
    <w:rsid w:val="3AEC4FAB"/>
    <w:rsid w:val="3B290834"/>
    <w:rsid w:val="3B7329F6"/>
    <w:rsid w:val="3B744F4B"/>
    <w:rsid w:val="3B9296B1"/>
    <w:rsid w:val="3C8C4D9D"/>
    <w:rsid w:val="3C96157A"/>
    <w:rsid w:val="3CEBA27B"/>
    <w:rsid w:val="3D5C2947"/>
    <w:rsid w:val="3D773EBE"/>
    <w:rsid w:val="3DC66899"/>
    <w:rsid w:val="3F26D7BE"/>
    <w:rsid w:val="3F367E2F"/>
    <w:rsid w:val="3FA02142"/>
    <w:rsid w:val="3FB838EA"/>
    <w:rsid w:val="4007DEA5"/>
    <w:rsid w:val="401848B5"/>
    <w:rsid w:val="403F1335"/>
    <w:rsid w:val="409348AA"/>
    <w:rsid w:val="40D0A732"/>
    <w:rsid w:val="41427D68"/>
    <w:rsid w:val="417A1661"/>
    <w:rsid w:val="418E7E7B"/>
    <w:rsid w:val="41E3999B"/>
    <w:rsid w:val="4251D70C"/>
    <w:rsid w:val="42AA5FDB"/>
    <w:rsid w:val="42EC4CDC"/>
    <w:rsid w:val="4368BE89"/>
    <w:rsid w:val="43ADCA0E"/>
    <w:rsid w:val="43C7895C"/>
    <w:rsid w:val="4464B56E"/>
    <w:rsid w:val="44C623C0"/>
    <w:rsid w:val="454889BA"/>
    <w:rsid w:val="4584277F"/>
    <w:rsid w:val="45F10F96"/>
    <w:rsid w:val="460E66A7"/>
    <w:rsid w:val="46236731"/>
    <w:rsid w:val="465AD0E4"/>
    <w:rsid w:val="4672FD22"/>
    <w:rsid w:val="4687CE66"/>
    <w:rsid w:val="47313D95"/>
    <w:rsid w:val="4731522B"/>
    <w:rsid w:val="47372111"/>
    <w:rsid w:val="47AA9BAF"/>
    <w:rsid w:val="47B8361B"/>
    <w:rsid w:val="47FD2D0A"/>
    <w:rsid w:val="4822846D"/>
    <w:rsid w:val="485A31FC"/>
    <w:rsid w:val="48716051"/>
    <w:rsid w:val="48844D83"/>
    <w:rsid w:val="4920188E"/>
    <w:rsid w:val="49204B5F"/>
    <w:rsid w:val="49618003"/>
    <w:rsid w:val="4991EEC4"/>
    <w:rsid w:val="4995988E"/>
    <w:rsid w:val="49B15B7F"/>
    <w:rsid w:val="49B17015"/>
    <w:rsid w:val="4A0B5683"/>
    <w:rsid w:val="4ACBB049"/>
    <w:rsid w:val="4ADA4FE6"/>
    <w:rsid w:val="4B6BE3E3"/>
    <w:rsid w:val="4C07D5A0"/>
    <w:rsid w:val="4C122AE9"/>
    <w:rsid w:val="4C33BF82"/>
    <w:rsid w:val="4C64C5FC"/>
    <w:rsid w:val="4D1920AB"/>
    <w:rsid w:val="4D255023"/>
    <w:rsid w:val="4D7A5F71"/>
    <w:rsid w:val="4D9F5029"/>
    <w:rsid w:val="4E0D1B47"/>
    <w:rsid w:val="4E4DD800"/>
    <w:rsid w:val="4E53A0F5"/>
    <w:rsid w:val="4E6BC79A"/>
    <w:rsid w:val="4E7D5954"/>
    <w:rsid w:val="4EAA4240"/>
    <w:rsid w:val="4F791A6C"/>
    <w:rsid w:val="4FDAA9F5"/>
    <w:rsid w:val="5034A4F9"/>
    <w:rsid w:val="50F60D95"/>
    <w:rsid w:val="50F99924"/>
    <w:rsid w:val="519CBA3D"/>
    <w:rsid w:val="51C1DECF"/>
    <w:rsid w:val="51C4D427"/>
    <w:rsid w:val="520E5DA2"/>
    <w:rsid w:val="52EC6866"/>
    <w:rsid w:val="530A5E2C"/>
    <w:rsid w:val="53BB553F"/>
    <w:rsid w:val="53C8B335"/>
    <w:rsid w:val="53D02683"/>
    <w:rsid w:val="53E83486"/>
    <w:rsid w:val="54155043"/>
    <w:rsid w:val="546EE41D"/>
    <w:rsid w:val="54A69334"/>
    <w:rsid w:val="54D390B6"/>
    <w:rsid w:val="54F30D77"/>
    <w:rsid w:val="54FFB2C5"/>
    <w:rsid w:val="55533545"/>
    <w:rsid w:val="563B4058"/>
    <w:rsid w:val="5641A138"/>
    <w:rsid w:val="56B7E395"/>
    <w:rsid w:val="56BAC590"/>
    <w:rsid w:val="571F3DD0"/>
    <w:rsid w:val="574C3B52"/>
    <w:rsid w:val="575F896E"/>
    <w:rsid w:val="576BA80D"/>
    <w:rsid w:val="5783D44B"/>
    <w:rsid w:val="57913241"/>
    <w:rsid w:val="57C08CD4"/>
    <w:rsid w:val="57ED5785"/>
    <w:rsid w:val="57F3D7E7"/>
    <w:rsid w:val="5842BCAC"/>
    <w:rsid w:val="590951B3"/>
    <w:rsid w:val="59760802"/>
    <w:rsid w:val="599806A7"/>
    <w:rsid w:val="599A63B8"/>
    <w:rsid w:val="599FACC6"/>
    <w:rsid w:val="5B41B7E0"/>
    <w:rsid w:val="5B61249B"/>
    <w:rsid w:val="5B613931"/>
    <w:rsid w:val="5B75EBFC"/>
    <w:rsid w:val="5BCB9128"/>
    <w:rsid w:val="5C91BF21"/>
    <w:rsid w:val="5C984008"/>
    <w:rsid w:val="5D125766"/>
    <w:rsid w:val="5D1B8EC4"/>
    <w:rsid w:val="5D3AFB7F"/>
    <w:rsid w:val="5E06CCB9"/>
    <w:rsid w:val="5E36274C"/>
    <w:rsid w:val="5E6EEEC3"/>
    <w:rsid w:val="5EBDB819"/>
    <w:rsid w:val="5EE4ACB8"/>
    <w:rsid w:val="5F14D263"/>
    <w:rsid w:val="5F25C82E"/>
    <w:rsid w:val="5F46CE48"/>
    <w:rsid w:val="5F50341F"/>
    <w:rsid w:val="5F7E886E"/>
    <w:rsid w:val="5FC9B185"/>
    <w:rsid w:val="6015146D"/>
    <w:rsid w:val="601BC825"/>
    <w:rsid w:val="6056A67F"/>
    <w:rsid w:val="6130780D"/>
    <w:rsid w:val="6140FE6A"/>
    <w:rsid w:val="61852A03"/>
    <w:rsid w:val="6206E4BE"/>
    <w:rsid w:val="623B4BE9"/>
    <w:rsid w:val="62985A80"/>
    <w:rsid w:val="62CB2E14"/>
    <w:rsid w:val="62EAE236"/>
    <w:rsid w:val="630A6387"/>
    <w:rsid w:val="640DD48E"/>
    <w:rsid w:val="6422BD39"/>
    <w:rsid w:val="64431148"/>
    <w:rsid w:val="6508E4F1"/>
    <w:rsid w:val="651F76D7"/>
    <w:rsid w:val="656ED8A1"/>
    <w:rsid w:val="65BF7CB9"/>
    <w:rsid w:val="65E467DF"/>
    <w:rsid w:val="667195E1"/>
    <w:rsid w:val="66D4B2B9"/>
    <w:rsid w:val="66E7D212"/>
    <w:rsid w:val="6718AA4D"/>
    <w:rsid w:val="672CC901"/>
    <w:rsid w:val="67D63830"/>
    <w:rsid w:val="67F89A3B"/>
    <w:rsid w:val="67FAF74C"/>
    <w:rsid w:val="6800405A"/>
    <w:rsid w:val="680B29DD"/>
    <w:rsid w:val="68378847"/>
    <w:rsid w:val="6860BC45"/>
    <w:rsid w:val="68A88974"/>
    <w:rsid w:val="68A9914E"/>
    <w:rsid w:val="696AF9EA"/>
    <w:rsid w:val="69C4F4EE"/>
    <w:rsid w:val="69D9E46D"/>
    <w:rsid w:val="6A83539C"/>
    <w:rsid w:val="6A945C6F"/>
    <w:rsid w:val="6AD2F957"/>
    <w:rsid w:val="6BBA349A"/>
    <w:rsid w:val="6BC37658"/>
    <w:rsid w:val="6C796364"/>
    <w:rsid w:val="6CA20334"/>
    <w:rsid w:val="6CDAC9DC"/>
    <w:rsid w:val="6D037186"/>
    <w:rsid w:val="6D06986E"/>
    <w:rsid w:val="6D5D6C8A"/>
    <w:rsid w:val="6D8014C3"/>
    <w:rsid w:val="6D9AF02B"/>
    <w:rsid w:val="6DF4912E"/>
    <w:rsid w:val="6E0F0EDC"/>
    <w:rsid w:val="6EAA8C57"/>
    <w:rsid w:val="6EE0B1B3"/>
    <w:rsid w:val="6F6440F0"/>
    <w:rsid w:val="6F74C70F"/>
    <w:rsid w:val="6F83A406"/>
    <w:rsid w:val="6F991F6F"/>
    <w:rsid w:val="6FCBE018"/>
    <w:rsid w:val="7010A436"/>
    <w:rsid w:val="704B32F1"/>
    <w:rsid w:val="7077662A"/>
    <w:rsid w:val="707EA580"/>
    <w:rsid w:val="709B298C"/>
    <w:rsid w:val="70E710E7"/>
    <w:rsid w:val="71608D3C"/>
    <w:rsid w:val="71906CB9"/>
    <w:rsid w:val="71AAC337"/>
    <w:rsid w:val="71AC7497"/>
    <w:rsid w:val="71FC5847"/>
    <w:rsid w:val="71FFC529"/>
    <w:rsid w:val="7221E27B"/>
    <w:rsid w:val="72834430"/>
    <w:rsid w:val="7292111C"/>
    <w:rsid w:val="72B3583D"/>
    <w:rsid w:val="72D2C4F8"/>
    <w:rsid w:val="73254CAE"/>
    <w:rsid w:val="732C2A6F"/>
    <w:rsid w:val="732CBFFC"/>
    <w:rsid w:val="73503969"/>
    <w:rsid w:val="73911A01"/>
    <w:rsid w:val="73B6E0AB"/>
    <w:rsid w:val="73EE2898"/>
    <w:rsid w:val="742EB407"/>
    <w:rsid w:val="747553EF"/>
    <w:rsid w:val="74EED044"/>
    <w:rsid w:val="7607E5DB"/>
    <w:rsid w:val="761E95A3"/>
    <w:rsid w:val="766A1BCF"/>
    <w:rsid w:val="76744F65"/>
    <w:rsid w:val="772A4A8A"/>
    <w:rsid w:val="773A68C8"/>
    <w:rsid w:val="775AF02C"/>
    <w:rsid w:val="77E0E29F"/>
    <w:rsid w:val="77E3A526"/>
    <w:rsid w:val="77F135ED"/>
    <w:rsid w:val="7842D083"/>
    <w:rsid w:val="785234BA"/>
    <w:rsid w:val="789148F7"/>
    <w:rsid w:val="78AA4B8D"/>
    <w:rsid w:val="78C60F07"/>
    <w:rsid w:val="78D113A2"/>
    <w:rsid w:val="792BD304"/>
    <w:rsid w:val="79637FC5"/>
    <w:rsid w:val="799AE726"/>
    <w:rsid w:val="799DC7E8"/>
    <w:rsid w:val="79DFDE15"/>
    <w:rsid w:val="7A214860"/>
    <w:rsid w:val="7A410FB3"/>
    <w:rsid w:val="7A5978A5"/>
    <w:rsid w:val="7B177C64"/>
    <w:rsid w:val="7B1AC306"/>
    <w:rsid w:val="7B250C5A"/>
    <w:rsid w:val="7B2FE556"/>
    <w:rsid w:val="7B6363BF"/>
    <w:rsid w:val="7B74BE0A"/>
    <w:rsid w:val="7BC12847"/>
    <w:rsid w:val="7BDCE014"/>
    <w:rsid w:val="7C116F33"/>
    <w:rsid w:val="7CF18FFC"/>
    <w:rsid w:val="7E93CDE7"/>
    <w:rsid w:val="7EB33AA2"/>
    <w:rsid w:val="7ED346FA"/>
    <w:rsid w:val="7F6A3A98"/>
    <w:rsid w:val="7FB6A4D5"/>
    <w:rsid w:val="7FCED113"/>
    <w:rsid w:val="7FDE8C1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0BE2E"/>
  <w15:docId w15:val="{A9C1D4B6-D888-4146-83CD-310AE3EA71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D4BCE"/>
    <w:pPr>
      <w:spacing w:after="0" w:line="276" w:lineRule="auto"/>
    </w:pPr>
    <w:rPr>
      <w:rFonts w:ascii="Arial" w:hAnsi="Arial" w:eastAsia="Arial" w:cs="Arial"/>
      <w:lang w:eastAsia="en-GB"/>
    </w:rPr>
  </w:style>
  <w:style w:type="paragraph" w:styleId="Titre1">
    <w:name w:val="heading 1"/>
    <w:basedOn w:val="Normal"/>
    <w:next w:val="Normal"/>
    <w:link w:val="Titre1Car"/>
    <w:uiPriority w:val="9"/>
    <w:qFormat/>
    <w:rsid w:val="00BD4BCE"/>
    <w:pPr>
      <w:keepNext/>
      <w:keepLines/>
      <w:spacing w:before="400" w:after="120"/>
      <w:outlineLvl w:val="0"/>
    </w:pPr>
    <w:rPr>
      <w:sz w:val="40"/>
      <w:szCs w:val="40"/>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Titre1Car" w:customStyle="1">
    <w:name w:val="Titre 1 Car"/>
    <w:basedOn w:val="Policepardfaut"/>
    <w:link w:val="Titre1"/>
    <w:uiPriority w:val="9"/>
    <w:rsid w:val="00BD4BCE"/>
    <w:rPr>
      <w:rFonts w:ascii="Arial" w:hAnsi="Arial" w:eastAsia="Arial" w:cs="Arial"/>
      <w:sz w:val="40"/>
      <w:szCs w:val="40"/>
      <w:lang w:val="fr-FR" w:eastAsia="en-GB"/>
    </w:rPr>
  </w:style>
  <w:style w:type="paragraph" w:styleId="Commentaire">
    <w:name w:val="annotation text"/>
    <w:basedOn w:val="Normal"/>
    <w:link w:val="CommentaireCar"/>
    <w:uiPriority w:val="99"/>
    <w:unhideWhenUsed/>
    <w:rsid w:val="00BD4BCE"/>
    <w:pPr>
      <w:spacing w:line="240" w:lineRule="auto"/>
    </w:pPr>
    <w:rPr>
      <w:sz w:val="20"/>
      <w:szCs w:val="20"/>
    </w:rPr>
  </w:style>
  <w:style w:type="character" w:styleId="CommentaireCar" w:customStyle="1">
    <w:name w:val="Commentaire Car"/>
    <w:basedOn w:val="Policepardfaut"/>
    <w:link w:val="Commentaire"/>
    <w:uiPriority w:val="99"/>
    <w:rsid w:val="00BD4BCE"/>
    <w:rPr>
      <w:rFonts w:ascii="Arial" w:hAnsi="Arial" w:eastAsia="Arial" w:cs="Arial"/>
      <w:sz w:val="20"/>
      <w:szCs w:val="20"/>
      <w:lang w:val="fr-FR" w:eastAsia="en-GB"/>
    </w:rPr>
  </w:style>
  <w:style w:type="character" w:styleId="Marquedecommentaire">
    <w:name w:val="annotation reference"/>
    <w:basedOn w:val="Policepardfaut"/>
    <w:uiPriority w:val="99"/>
    <w:semiHidden/>
    <w:unhideWhenUsed/>
    <w:rsid w:val="00BD4BCE"/>
    <w:rPr>
      <w:sz w:val="16"/>
      <w:szCs w:val="16"/>
    </w:rPr>
  </w:style>
  <w:style w:type="paragraph" w:styleId="paragraph" w:customStyle="1">
    <w:name w:val="paragraph"/>
    <w:basedOn w:val="Normal"/>
    <w:rsid w:val="00BD4BCE"/>
    <w:pPr>
      <w:spacing w:before="100" w:beforeAutospacing="1" w:after="100" w:afterAutospacing="1" w:line="240" w:lineRule="auto"/>
    </w:pPr>
    <w:rPr>
      <w:rFonts w:ascii="Times New Roman" w:hAnsi="Times New Roman" w:eastAsia="Times New Roman" w:cs="Times New Roman"/>
      <w:sz w:val="24"/>
      <w:szCs w:val="24"/>
      <w:lang w:eastAsia="en-US"/>
    </w:rPr>
  </w:style>
  <w:style w:type="character" w:styleId="normaltextrun" w:customStyle="1">
    <w:name w:val="normaltextrun"/>
    <w:basedOn w:val="Policepardfaut"/>
    <w:rsid w:val="00BD4BCE"/>
  </w:style>
  <w:style w:type="character" w:styleId="eop" w:customStyle="1">
    <w:name w:val="eop"/>
    <w:basedOn w:val="Policepardfaut"/>
    <w:rsid w:val="00BD4BCE"/>
  </w:style>
  <w:style w:type="character" w:styleId="spellingerror" w:customStyle="1">
    <w:name w:val="spellingerror"/>
    <w:basedOn w:val="Policepardfaut"/>
    <w:rsid w:val="00BD4BCE"/>
  </w:style>
  <w:style w:type="paragraph" w:styleId="En-tte">
    <w:name w:val="header"/>
    <w:basedOn w:val="Normal"/>
    <w:link w:val="En-tteCar"/>
    <w:uiPriority w:val="99"/>
    <w:unhideWhenUsed/>
    <w:rsid w:val="00431CA9"/>
    <w:pPr>
      <w:tabs>
        <w:tab w:val="center" w:pos="4680"/>
        <w:tab w:val="right" w:pos="9360"/>
      </w:tabs>
      <w:spacing w:line="240" w:lineRule="auto"/>
    </w:pPr>
  </w:style>
  <w:style w:type="character" w:styleId="En-tteCar" w:customStyle="1">
    <w:name w:val="En-tête Car"/>
    <w:basedOn w:val="Policepardfaut"/>
    <w:link w:val="En-tte"/>
    <w:uiPriority w:val="99"/>
    <w:rsid w:val="00431CA9"/>
    <w:rPr>
      <w:rFonts w:ascii="Arial" w:hAnsi="Arial" w:eastAsia="Arial" w:cs="Arial"/>
      <w:lang w:val="fr-FR" w:eastAsia="en-GB"/>
    </w:rPr>
  </w:style>
  <w:style w:type="paragraph" w:styleId="Pieddepage">
    <w:name w:val="footer"/>
    <w:basedOn w:val="Normal"/>
    <w:link w:val="PieddepageCar"/>
    <w:uiPriority w:val="99"/>
    <w:unhideWhenUsed/>
    <w:rsid w:val="00431CA9"/>
    <w:pPr>
      <w:tabs>
        <w:tab w:val="center" w:pos="4680"/>
        <w:tab w:val="right" w:pos="9360"/>
      </w:tabs>
      <w:spacing w:line="240" w:lineRule="auto"/>
    </w:pPr>
  </w:style>
  <w:style w:type="character" w:styleId="PieddepageCar" w:customStyle="1">
    <w:name w:val="Pied de page Car"/>
    <w:basedOn w:val="Policepardfaut"/>
    <w:link w:val="Pieddepage"/>
    <w:uiPriority w:val="99"/>
    <w:rsid w:val="00431CA9"/>
    <w:rPr>
      <w:rFonts w:ascii="Arial" w:hAnsi="Arial" w:eastAsia="Arial" w:cs="Arial"/>
      <w:lang w:val="fr-FR" w:eastAsia="en-GB"/>
    </w:rPr>
  </w:style>
  <w:style w:type="paragraph" w:styleId="Paragraphedeliste">
    <w:name w:val="List Paragraph"/>
    <w:aliases w:val="Citation List,references,Bullet Points,Liste Paragraf,List Bullet-OpsManual,Table of contents numbered,List Paragraph Char Char,List Paragraph1,Bullets,Graphic,Resume Title,Ha,Text,Use Case List Paragraph,Proposal Bullet List,bl"/>
    <w:basedOn w:val="Normal"/>
    <w:link w:val="ParagraphedelisteCar"/>
    <w:uiPriority w:val="34"/>
    <w:qFormat/>
    <w:rsid w:val="000B7B44"/>
    <w:pPr>
      <w:ind w:left="720"/>
      <w:contextualSpacing/>
    </w:pPr>
  </w:style>
  <w:style w:type="paragraph" w:styleId="Objetducommentaire">
    <w:name w:val="annotation subject"/>
    <w:basedOn w:val="Commentaire"/>
    <w:next w:val="Commentaire"/>
    <w:link w:val="ObjetducommentaireCar"/>
    <w:uiPriority w:val="99"/>
    <w:semiHidden/>
    <w:unhideWhenUsed/>
    <w:rsid w:val="007A3FC1"/>
    <w:rPr>
      <w:b/>
      <w:bCs/>
    </w:rPr>
  </w:style>
  <w:style w:type="character" w:styleId="ObjetducommentaireCar" w:customStyle="1">
    <w:name w:val="Objet du commentaire Car"/>
    <w:basedOn w:val="CommentaireCar"/>
    <w:link w:val="Objetducommentaire"/>
    <w:uiPriority w:val="99"/>
    <w:semiHidden/>
    <w:rsid w:val="007A3FC1"/>
    <w:rPr>
      <w:rFonts w:ascii="Arial" w:hAnsi="Arial" w:eastAsia="Arial" w:cs="Arial"/>
      <w:b/>
      <w:bCs/>
      <w:sz w:val="20"/>
      <w:szCs w:val="20"/>
      <w:lang w:val="fr-FR" w:eastAsia="en-GB"/>
    </w:rPr>
  </w:style>
  <w:style w:type="table" w:styleId="Grilledutableau">
    <w:name w:val="Table Grid"/>
    <w:basedOn w:val="TableauNormal"/>
    <w:uiPriority w:val="39"/>
    <w:rsid w:val="001850E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ragraphedelisteCar" w:customStyle="1">
    <w:name w:val="Paragraphe de liste Car"/>
    <w:aliases w:val="Citation List Car,references Car,Bullet Points Car,Liste Paragraf Car,List Bullet-OpsManual Car,Table of contents numbered Car,List Paragraph Char Char Car,List Paragraph1 Car,Bullets Car,Graphic Car,Resume Title Car,Ha Car"/>
    <w:link w:val="Paragraphedeliste"/>
    <w:uiPriority w:val="34"/>
    <w:qFormat/>
    <w:locked/>
    <w:rsid w:val="00AA32F8"/>
    <w:rPr>
      <w:rFonts w:ascii="Arial" w:hAnsi="Arial" w:eastAsia="Arial" w:cs="Arial"/>
      <w:lang w:val="fr-FR" w:eastAsia="en-GB"/>
    </w:rPr>
  </w:style>
  <w:style w:type="character" w:styleId="Mention1" w:customStyle="1">
    <w:name w:val="Mention1"/>
    <w:basedOn w:val="Policepardfaut"/>
    <w:uiPriority w:val="99"/>
    <w:unhideWhenUsed/>
    <w:rsid w:val="00AA32F8"/>
    <w:rPr>
      <w:color w:val="2B579A"/>
      <w:shd w:val="clear" w:color="auto" w:fill="E6E6E6"/>
    </w:rPr>
  </w:style>
  <w:style w:type="character" w:styleId="UnresolvedMention1" w:customStyle="1">
    <w:name w:val="Unresolved Mention1"/>
    <w:basedOn w:val="Policepardfaut"/>
    <w:uiPriority w:val="99"/>
    <w:unhideWhenUsed/>
    <w:rsid w:val="00806832"/>
    <w:rPr>
      <w:color w:val="605E5C"/>
      <w:shd w:val="clear" w:color="auto" w:fill="E1DFDD"/>
    </w:rPr>
  </w:style>
  <w:style w:type="paragraph" w:styleId="Titre">
    <w:name w:val="Title"/>
    <w:basedOn w:val="Normal"/>
    <w:link w:val="TitreCar"/>
    <w:uiPriority w:val="10"/>
    <w:qFormat/>
    <w:rsid w:val="00806832"/>
    <w:pPr>
      <w:spacing w:before="240" w:after="60" w:line="240" w:lineRule="auto"/>
      <w:jc w:val="center"/>
      <w:outlineLvl w:val="0"/>
    </w:pPr>
    <w:rPr>
      <w:rFonts w:eastAsia="MS Mincho"/>
      <w:b/>
      <w:bCs/>
      <w:kern w:val="28"/>
      <w:sz w:val="32"/>
      <w:szCs w:val="32"/>
      <w:lang w:eastAsia="ja-JP"/>
    </w:rPr>
  </w:style>
  <w:style w:type="character" w:styleId="TitreCar" w:customStyle="1">
    <w:name w:val="Titre Car"/>
    <w:basedOn w:val="Policepardfaut"/>
    <w:link w:val="Titre"/>
    <w:uiPriority w:val="10"/>
    <w:rsid w:val="00806832"/>
    <w:rPr>
      <w:rFonts w:ascii="Arial" w:hAnsi="Arial" w:eastAsia="MS Mincho" w:cs="Arial"/>
      <w:b/>
      <w:bCs/>
      <w:kern w:val="28"/>
      <w:sz w:val="32"/>
      <w:szCs w:val="32"/>
      <w:lang w:eastAsia="ja-JP"/>
    </w:rPr>
  </w:style>
  <w:style w:type="paragraph" w:styleId="Rvision">
    <w:name w:val="Revision"/>
    <w:hidden/>
    <w:uiPriority w:val="99"/>
    <w:semiHidden/>
    <w:rsid w:val="002518B4"/>
    <w:pPr>
      <w:spacing w:after="0" w:line="240" w:lineRule="auto"/>
    </w:pPr>
    <w:rPr>
      <w:rFonts w:ascii="Arial" w:hAnsi="Arial" w:eastAsia="Arial" w:cs="Arial"/>
      <w:lang w:eastAsia="en-GB"/>
    </w:rPr>
  </w:style>
  <w:style w:type="character" w:styleId="Lienhypertexte">
    <w:name w:val="Hyperlink"/>
    <w:basedOn w:val="Policepardfaut"/>
    <w:uiPriority w:val="99"/>
    <w:unhideWhenUsed/>
    <w:rsid w:val="00775AC8"/>
    <w:rPr>
      <w:color w:val="0563C1" w:themeColor="hyperlink"/>
      <w:u w:val="single"/>
    </w:rPr>
  </w:style>
  <w:style w:type="character" w:styleId="Lienhypertextesuivivisit">
    <w:name w:val="FollowedHyperlink"/>
    <w:basedOn w:val="Policepardfaut"/>
    <w:uiPriority w:val="99"/>
    <w:semiHidden/>
    <w:unhideWhenUsed/>
    <w:rsid w:val="0032033D"/>
    <w:rPr>
      <w:color w:val="954F72" w:themeColor="followedHyperlink"/>
      <w:u w:val="single"/>
    </w:rPr>
  </w:style>
  <w:style w:type="paragraph" w:styleId="NormalWeb">
    <w:name w:val="Normal (Web)"/>
    <w:basedOn w:val="Normal"/>
    <w:uiPriority w:val="99"/>
    <w:semiHidden/>
    <w:unhideWhenUsed/>
    <w:rsid w:val="003427FA"/>
    <w:pPr>
      <w:spacing w:before="100" w:beforeAutospacing="1" w:after="100" w:afterAutospacing="1" w:line="240" w:lineRule="auto"/>
    </w:pPr>
    <w:rPr>
      <w:rFonts w:ascii="Times New Roman" w:hAnsi="Times New Roman" w:eastAsia="Times New Roman" w:cs="Times New Roman"/>
      <w:sz w:val="24"/>
      <w:szCs w:val="24"/>
    </w:rPr>
  </w:style>
  <w:style w:type="numbering" w:styleId="CurrentList1" w:customStyle="1">
    <w:name w:val="Current List1"/>
    <w:uiPriority w:val="99"/>
    <w:rsid w:val="004E4361"/>
    <w:pPr>
      <w:numPr>
        <w:numId w:val="1"/>
      </w:numPr>
    </w:pPr>
  </w:style>
  <w:style w:type="numbering" w:styleId="CurrentList2" w:customStyle="1">
    <w:name w:val="Current List2"/>
    <w:uiPriority w:val="99"/>
    <w:rsid w:val="00F73FF8"/>
    <w:pPr>
      <w:numPr>
        <w:numId w:val="2"/>
      </w:numPr>
    </w:pPr>
  </w:style>
  <w:style w:type="numbering" w:styleId="CurrentList3" w:customStyle="1">
    <w:name w:val="Current List3"/>
    <w:uiPriority w:val="99"/>
    <w:rsid w:val="001E1C11"/>
    <w:pPr>
      <w:numPr>
        <w:numId w:val="3"/>
      </w:numPr>
    </w:pPr>
  </w:style>
  <w:style w:type="paragraph" w:styleId="Sansinterligne">
    <w:name w:val="No Spacing"/>
    <w:uiPriority w:val="1"/>
    <w:qFormat/>
    <w:rsid w:val="00284A22"/>
    <w:pPr>
      <w:spacing w:after="0" w:line="240" w:lineRule="auto"/>
    </w:pPr>
    <w:rPr>
      <w:rFonts w:ascii="Arial" w:hAnsi="Arial" w:eastAsia="Arial" w:cs="Arial"/>
      <w:lang w:eastAsia="en-GB"/>
    </w:rPr>
  </w:style>
  <w:style w:type="paragraph" w:styleId="Notedebasdepage">
    <w:name w:val="footnote text"/>
    <w:basedOn w:val="Normal"/>
    <w:link w:val="NotedebasdepageCar"/>
    <w:uiPriority w:val="99"/>
    <w:semiHidden/>
    <w:unhideWhenUsed/>
    <w:rsid w:val="00D77BD9"/>
    <w:pPr>
      <w:spacing w:line="240" w:lineRule="auto"/>
    </w:pPr>
    <w:rPr>
      <w:sz w:val="20"/>
      <w:szCs w:val="20"/>
    </w:rPr>
  </w:style>
  <w:style w:type="character" w:styleId="NotedebasdepageCar" w:customStyle="1">
    <w:name w:val="Note de bas de page Car"/>
    <w:basedOn w:val="Policepardfaut"/>
    <w:link w:val="Notedebasdepage"/>
    <w:uiPriority w:val="99"/>
    <w:semiHidden/>
    <w:rsid w:val="00D77BD9"/>
    <w:rPr>
      <w:rFonts w:ascii="Arial" w:hAnsi="Arial" w:eastAsia="Arial" w:cs="Arial"/>
      <w:sz w:val="20"/>
      <w:szCs w:val="20"/>
      <w:lang w:val="fr-FR" w:eastAsia="en-GB"/>
    </w:rPr>
  </w:style>
  <w:style w:type="character" w:styleId="Appelnotedebasdep">
    <w:name w:val="footnote reference"/>
    <w:basedOn w:val="Policepardfaut"/>
    <w:uiPriority w:val="99"/>
    <w:semiHidden/>
    <w:unhideWhenUsed/>
    <w:rsid w:val="00D77BD9"/>
    <w:rPr>
      <w:vertAlign w:val="superscript"/>
    </w:rPr>
  </w:style>
  <w:style w:type="paragraph" w:styleId="Textedebulles">
    <w:name w:val="Balloon Text"/>
    <w:basedOn w:val="Normal"/>
    <w:link w:val="TextedebullesCar"/>
    <w:uiPriority w:val="99"/>
    <w:semiHidden/>
    <w:unhideWhenUsed/>
    <w:rsid w:val="007E6384"/>
    <w:pPr>
      <w:spacing w:line="240" w:lineRule="auto"/>
    </w:pPr>
    <w:rPr>
      <w:rFonts w:ascii="Tahoma" w:hAnsi="Tahoma" w:cs="Tahoma"/>
      <w:sz w:val="16"/>
      <w:szCs w:val="16"/>
    </w:rPr>
  </w:style>
  <w:style w:type="character" w:styleId="TextedebullesCar" w:customStyle="1">
    <w:name w:val="Texte de bulles Car"/>
    <w:basedOn w:val="Policepardfaut"/>
    <w:link w:val="Textedebulles"/>
    <w:uiPriority w:val="99"/>
    <w:semiHidden/>
    <w:rsid w:val="007E6384"/>
    <w:rPr>
      <w:rFonts w:ascii="Tahoma" w:hAnsi="Tahoma" w:eastAsia="Arial"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1528">
      <w:bodyDiv w:val="1"/>
      <w:marLeft w:val="0"/>
      <w:marRight w:val="0"/>
      <w:marTop w:val="0"/>
      <w:marBottom w:val="0"/>
      <w:divBdr>
        <w:top w:val="none" w:sz="0" w:space="0" w:color="auto"/>
        <w:left w:val="none" w:sz="0" w:space="0" w:color="auto"/>
        <w:bottom w:val="none" w:sz="0" w:space="0" w:color="auto"/>
        <w:right w:val="none" w:sz="0" w:space="0" w:color="auto"/>
      </w:divBdr>
    </w:div>
    <w:div w:id="559102086">
      <w:bodyDiv w:val="1"/>
      <w:marLeft w:val="0"/>
      <w:marRight w:val="0"/>
      <w:marTop w:val="0"/>
      <w:marBottom w:val="0"/>
      <w:divBdr>
        <w:top w:val="none" w:sz="0" w:space="0" w:color="auto"/>
        <w:left w:val="none" w:sz="0" w:space="0" w:color="auto"/>
        <w:bottom w:val="none" w:sz="0" w:space="0" w:color="auto"/>
        <w:right w:val="none" w:sz="0" w:space="0" w:color="auto"/>
      </w:divBdr>
      <w:divsChild>
        <w:div w:id="778570844">
          <w:marLeft w:val="446"/>
          <w:marRight w:val="0"/>
          <w:marTop w:val="0"/>
          <w:marBottom w:val="0"/>
          <w:divBdr>
            <w:top w:val="none" w:sz="0" w:space="0" w:color="auto"/>
            <w:left w:val="none" w:sz="0" w:space="0" w:color="auto"/>
            <w:bottom w:val="none" w:sz="0" w:space="0" w:color="auto"/>
            <w:right w:val="none" w:sz="0" w:space="0" w:color="auto"/>
          </w:divBdr>
        </w:div>
        <w:div w:id="2123526703">
          <w:marLeft w:val="446"/>
          <w:marRight w:val="0"/>
          <w:marTop w:val="0"/>
          <w:marBottom w:val="0"/>
          <w:divBdr>
            <w:top w:val="none" w:sz="0" w:space="0" w:color="auto"/>
            <w:left w:val="none" w:sz="0" w:space="0" w:color="auto"/>
            <w:bottom w:val="none" w:sz="0" w:space="0" w:color="auto"/>
            <w:right w:val="none" w:sz="0" w:space="0" w:color="auto"/>
          </w:divBdr>
        </w:div>
      </w:divsChild>
    </w:div>
    <w:div w:id="634679841">
      <w:bodyDiv w:val="1"/>
      <w:marLeft w:val="0"/>
      <w:marRight w:val="0"/>
      <w:marTop w:val="0"/>
      <w:marBottom w:val="0"/>
      <w:divBdr>
        <w:top w:val="none" w:sz="0" w:space="0" w:color="auto"/>
        <w:left w:val="none" w:sz="0" w:space="0" w:color="auto"/>
        <w:bottom w:val="none" w:sz="0" w:space="0" w:color="auto"/>
        <w:right w:val="none" w:sz="0" w:space="0" w:color="auto"/>
      </w:divBdr>
    </w:div>
    <w:div w:id="714697641">
      <w:bodyDiv w:val="1"/>
      <w:marLeft w:val="0"/>
      <w:marRight w:val="0"/>
      <w:marTop w:val="0"/>
      <w:marBottom w:val="0"/>
      <w:divBdr>
        <w:top w:val="none" w:sz="0" w:space="0" w:color="auto"/>
        <w:left w:val="none" w:sz="0" w:space="0" w:color="auto"/>
        <w:bottom w:val="none" w:sz="0" w:space="0" w:color="auto"/>
        <w:right w:val="none" w:sz="0" w:space="0" w:color="auto"/>
      </w:divBdr>
      <w:divsChild>
        <w:div w:id="485634332">
          <w:marLeft w:val="547"/>
          <w:marRight w:val="0"/>
          <w:marTop w:val="0"/>
          <w:marBottom w:val="0"/>
          <w:divBdr>
            <w:top w:val="none" w:sz="0" w:space="0" w:color="auto"/>
            <w:left w:val="none" w:sz="0" w:space="0" w:color="auto"/>
            <w:bottom w:val="none" w:sz="0" w:space="0" w:color="auto"/>
            <w:right w:val="none" w:sz="0" w:space="0" w:color="auto"/>
          </w:divBdr>
        </w:div>
        <w:div w:id="832451658">
          <w:marLeft w:val="547"/>
          <w:marRight w:val="0"/>
          <w:marTop w:val="0"/>
          <w:marBottom w:val="0"/>
          <w:divBdr>
            <w:top w:val="none" w:sz="0" w:space="0" w:color="auto"/>
            <w:left w:val="none" w:sz="0" w:space="0" w:color="auto"/>
            <w:bottom w:val="none" w:sz="0" w:space="0" w:color="auto"/>
            <w:right w:val="none" w:sz="0" w:space="0" w:color="auto"/>
          </w:divBdr>
        </w:div>
        <w:div w:id="1220674050">
          <w:marLeft w:val="547"/>
          <w:marRight w:val="0"/>
          <w:marTop w:val="0"/>
          <w:marBottom w:val="0"/>
          <w:divBdr>
            <w:top w:val="none" w:sz="0" w:space="0" w:color="auto"/>
            <w:left w:val="none" w:sz="0" w:space="0" w:color="auto"/>
            <w:bottom w:val="none" w:sz="0" w:space="0" w:color="auto"/>
            <w:right w:val="none" w:sz="0" w:space="0" w:color="auto"/>
          </w:divBdr>
        </w:div>
        <w:div w:id="1766029581">
          <w:marLeft w:val="547"/>
          <w:marRight w:val="0"/>
          <w:marTop w:val="0"/>
          <w:marBottom w:val="0"/>
          <w:divBdr>
            <w:top w:val="none" w:sz="0" w:space="0" w:color="auto"/>
            <w:left w:val="none" w:sz="0" w:space="0" w:color="auto"/>
            <w:bottom w:val="none" w:sz="0" w:space="0" w:color="auto"/>
            <w:right w:val="none" w:sz="0" w:space="0" w:color="auto"/>
          </w:divBdr>
        </w:div>
        <w:div w:id="2067297246">
          <w:marLeft w:val="547"/>
          <w:marRight w:val="0"/>
          <w:marTop w:val="0"/>
          <w:marBottom w:val="0"/>
          <w:divBdr>
            <w:top w:val="none" w:sz="0" w:space="0" w:color="auto"/>
            <w:left w:val="none" w:sz="0" w:space="0" w:color="auto"/>
            <w:bottom w:val="none" w:sz="0" w:space="0" w:color="auto"/>
            <w:right w:val="none" w:sz="0" w:space="0" w:color="auto"/>
          </w:divBdr>
        </w:div>
      </w:divsChild>
    </w:div>
    <w:div w:id="1332954873">
      <w:bodyDiv w:val="1"/>
      <w:marLeft w:val="0"/>
      <w:marRight w:val="0"/>
      <w:marTop w:val="0"/>
      <w:marBottom w:val="0"/>
      <w:divBdr>
        <w:top w:val="none" w:sz="0" w:space="0" w:color="auto"/>
        <w:left w:val="none" w:sz="0" w:space="0" w:color="auto"/>
        <w:bottom w:val="none" w:sz="0" w:space="0" w:color="auto"/>
        <w:right w:val="none" w:sz="0" w:space="0" w:color="auto"/>
      </w:divBdr>
    </w:div>
    <w:div w:id="1539397317">
      <w:bodyDiv w:val="1"/>
      <w:marLeft w:val="0"/>
      <w:marRight w:val="0"/>
      <w:marTop w:val="0"/>
      <w:marBottom w:val="0"/>
      <w:divBdr>
        <w:top w:val="none" w:sz="0" w:space="0" w:color="auto"/>
        <w:left w:val="none" w:sz="0" w:space="0" w:color="auto"/>
        <w:bottom w:val="none" w:sz="0" w:space="0" w:color="auto"/>
        <w:right w:val="none" w:sz="0" w:space="0" w:color="auto"/>
      </w:divBdr>
      <w:divsChild>
        <w:div w:id="572273363">
          <w:marLeft w:val="0"/>
          <w:marRight w:val="0"/>
          <w:marTop w:val="0"/>
          <w:marBottom w:val="0"/>
          <w:divBdr>
            <w:top w:val="none" w:sz="0" w:space="0" w:color="auto"/>
            <w:left w:val="none" w:sz="0" w:space="0" w:color="auto"/>
            <w:bottom w:val="none" w:sz="0" w:space="0" w:color="auto"/>
            <w:right w:val="none" w:sz="0" w:space="0" w:color="auto"/>
          </w:divBdr>
          <w:divsChild>
            <w:div w:id="37357810">
              <w:marLeft w:val="0"/>
              <w:marRight w:val="0"/>
              <w:marTop w:val="0"/>
              <w:marBottom w:val="0"/>
              <w:divBdr>
                <w:top w:val="none" w:sz="0" w:space="0" w:color="auto"/>
                <w:left w:val="none" w:sz="0" w:space="0" w:color="auto"/>
                <w:bottom w:val="none" w:sz="0" w:space="0" w:color="auto"/>
                <w:right w:val="none" w:sz="0" w:space="0" w:color="auto"/>
              </w:divBdr>
              <w:divsChild>
                <w:div w:id="2144106564">
                  <w:marLeft w:val="0"/>
                  <w:marRight w:val="0"/>
                  <w:marTop w:val="0"/>
                  <w:marBottom w:val="0"/>
                  <w:divBdr>
                    <w:top w:val="none" w:sz="0" w:space="0" w:color="auto"/>
                    <w:left w:val="none" w:sz="0" w:space="0" w:color="auto"/>
                    <w:bottom w:val="none" w:sz="0" w:space="0" w:color="auto"/>
                    <w:right w:val="none" w:sz="0" w:space="0" w:color="auto"/>
                  </w:divBdr>
                </w:div>
              </w:divsChild>
            </w:div>
            <w:div w:id="478692110">
              <w:marLeft w:val="0"/>
              <w:marRight w:val="0"/>
              <w:marTop w:val="0"/>
              <w:marBottom w:val="0"/>
              <w:divBdr>
                <w:top w:val="none" w:sz="0" w:space="0" w:color="auto"/>
                <w:left w:val="none" w:sz="0" w:space="0" w:color="auto"/>
                <w:bottom w:val="none" w:sz="0" w:space="0" w:color="auto"/>
                <w:right w:val="none" w:sz="0" w:space="0" w:color="auto"/>
              </w:divBdr>
              <w:divsChild>
                <w:div w:id="866674073">
                  <w:marLeft w:val="0"/>
                  <w:marRight w:val="0"/>
                  <w:marTop w:val="0"/>
                  <w:marBottom w:val="0"/>
                  <w:divBdr>
                    <w:top w:val="none" w:sz="0" w:space="0" w:color="auto"/>
                    <w:left w:val="none" w:sz="0" w:space="0" w:color="auto"/>
                    <w:bottom w:val="none" w:sz="0" w:space="0" w:color="auto"/>
                    <w:right w:val="none" w:sz="0" w:space="0" w:color="auto"/>
                  </w:divBdr>
                </w:div>
                <w:div w:id="908659193">
                  <w:marLeft w:val="0"/>
                  <w:marRight w:val="0"/>
                  <w:marTop w:val="0"/>
                  <w:marBottom w:val="0"/>
                  <w:divBdr>
                    <w:top w:val="none" w:sz="0" w:space="0" w:color="auto"/>
                    <w:left w:val="none" w:sz="0" w:space="0" w:color="auto"/>
                    <w:bottom w:val="none" w:sz="0" w:space="0" w:color="auto"/>
                    <w:right w:val="none" w:sz="0" w:space="0" w:color="auto"/>
                  </w:divBdr>
                </w:div>
              </w:divsChild>
            </w:div>
            <w:div w:id="563680221">
              <w:marLeft w:val="0"/>
              <w:marRight w:val="0"/>
              <w:marTop w:val="0"/>
              <w:marBottom w:val="0"/>
              <w:divBdr>
                <w:top w:val="none" w:sz="0" w:space="0" w:color="auto"/>
                <w:left w:val="none" w:sz="0" w:space="0" w:color="auto"/>
                <w:bottom w:val="none" w:sz="0" w:space="0" w:color="auto"/>
                <w:right w:val="none" w:sz="0" w:space="0" w:color="auto"/>
              </w:divBdr>
              <w:divsChild>
                <w:div w:id="1096101502">
                  <w:marLeft w:val="0"/>
                  <w:marRight w:val="0"/>
                  <w:marTop w:val="0"/>
                  <w:marBottom w:val="0"/>
                  <w:divBdr>
                    <w:top w:val="none" w:sz="0" w:space="0" w:color="auto"/>
                    <w:left w:val="none" w:sz="0" w:space="0" w:color="auto"/>
                    <w:bottom w:val="none" w:sz="0" w:space="0" w:color="auto"/>
                    <w:right w:val="none" w:sz="0" w:space="0" w:color="auto"/>
                  </w:divBdr>
                </w:div>
              </w:divsChild>
            </w:div>
            <w:div w:id="862061366">
              <w:marLeft w:val="0"/>
              <w:marRight w:val="0"/>
              <w:marTop w:val="0"/>
              <w:marBottom w:val="0"/>
              <w:divBdr>
                <w:top w:val="none" w:sz="0" w:space="0" w:color="auto"/>
                <w:left w:val="none" w:sz="0" w:space="0" w:color="auto"/>
                <w:bottom w:val="none" w:sz="0" w:space="0" w:color="auto"/>
                <w:right w:val="none" w:sz="0" w:space="0" w:color="auto"/>
              </w:divBdr>
              <w:divsChild>
                <w:div w:id="811171557">
                  <w:marLeft w:val="0"/>
                  <w:marRight w:val="0"/>
                  <w:marTop w:val="0"/>
                  <w:marBottom w:val="0"/>
                  <w:divBdr>
                    <w:top w:val="none" w:sz="0" w:space="0" w:color="auto"/>
                    <w:left w:val="none" w:sz="0" w:space="0" w:color="auto"/>
                    <w:bottom w:val="none" w:sz="0" w:space="0" w:color="auto"/>
                    <w:right w:val="none" w:sz="0" w:space="0" w:color="auto"/>
                  </w:divBdr>
                </w:div>
              </w:divsChild>
            </w:div>
            <w:div w:id="1411927330">
              <w:marLeft w:val="0"/>
              <w:marRight w:val="0"/>
              <w:marTop w:val="0"/>
              <w:marBottom w:val="0"/>
              <w:divBdr>
                <w:top w:val="none" w:sz="0" w:space="0" w:color="auto"/>
                <w:left w:val="none" w:sz="0" w:space="0" w:color="auto"/>
                <w:bottom w:val="none" w:sz="0" w:space="0" w:color="auto"/>
                <w:right w:val="none" w:sz="0" w:space="0" w:color="auto"/>
              </w:divBdr>
              <w:divsChild>
                <w:div w:id="287396759">
                  <w:marLeft w:val="0"/>
                  <w:marRight w:val="0"/>
                  <w:marTop w:val="0"/>
                  <w:marBottom w:val="0"/>
                  <w:divBdr>
                    <w:top w:val="none" w:sz="0" w:space="0" w:color="auto"/>
                    <w:left w:val="none" w:sz="0" w:space="0" w:color="auto"/>
                    <w:bottom w:val="none" w:sz="0" w:space="0" w:color="auto"/>
                    <w:right w:val="none" w:sz="0" w:space="0" w:color="auto"/>
                  </w:divBdr>
                </w:div>
                <w:div w:id="1500923814">
                  <w:marLeft w:val="0"/>
                  <w:marRight w:val="0"/>
                  <w:marTop w:val="0"/>
                  <w:marBottom w:val="0"/>
                  <w:divBdr>
                    <w:top w:val="none" w:sz="0" w:space="0" w:color="auto"/>
                    <w:left w:val="none" w:sz="0" w:space="0" w:color="auto"/>
                    <w:bottom w:val="none" w:sz="0" w:space="0" w:color="auto"/>
                    <w:right w:val="none" w:sz="0" w:space="0" w:color="auto"/>
                  </w:divBdr>
                </w:div>
              </w:divsChild>
            </w:div>
            <w:div w:id="2097747082">
              <w:marLeft w:val="0"/>
              <w:marRight w:val="0"/>
              <w:marTop w:val="0"/>
              <w:marBottom w:val="0"/>
              <w:divBdr>
                <w:top w:val="none" w:sz="0" w:space="0" w:color="auto"/>
                <w:left w:val="none" w:sz="0" w:space="0" w:color="auto"/>
                <w:bottom w:val="none" w:sz="0" w:space="0" w:color="auto"/>
                <w:right w:val="none" w:sz="0" w:space="0" w:color="auto"/>
              </w:divBdr>
              <w:divsChild>
                <w:div w:id="2123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2618">
      <w:bodyDiv w:val="1"/>
      <w:marLeft w:val="0"/>
      <w:marRight w:val="0"/>
      <w:marTop w:val="0"/>
      <w:marBottom w:val="0"/>
      <w:divBdr>
        <w:top w:val="none" w:sz="0" w:space="0" w:color="auto"/>
        <w:left w:val="none" w:sz="0" w:space="0" w:color="auto"/>
        <w:bottom w:val="none" w:sz="0" w:space="0" w:color="auto"/>
        <w:right w:val="none" w:sz="0" w:space="0" w:color="auto"/>
      </w:divBdr>
    </w:div>
    <w:div w:id="1666397156">
      <w:bodyDiv w:val="1"/>
      <w:marLeft w:val="0"/>
      <w:marRight w:val="0"/>
      <w:marTop w:val="0"/>
      <w:marBottom w:val="0"/>
      <w:divBdr>
        <w:top w:val="none" w:sz="0" w:space="0" w:color="auto"/>
        <w:left w:val="none" w:sz="0" w:space="0" w:color="auto"/>
        <w:bottom w:val="none" w:sz="0" w:space="0" w:color="auto"/>
        <w:right w:val="none" w:sz="0" w:space="0" w:color="auto"/>
      </w:divBdr>
      <w:divsChild>
        <w:div w:id="1621034601">
          <w:marLeft w:val="0"/>
          <w:marRight w:val="0"/>
          <w:marTop w:val="0"/>
          <w:marBottom w:val="0"/>
          <w:divBdr>
            <w:top w:val="none" w:sz="0" w:space="0" w:color="auto"/>
            <w:left w:val="none" w:sz="0" w:space="0" w:color="auto"/>
            <w:bottom w:val="none" w:sz="0" w:space="0" w:color="auto"/>
            <w:right w:val="none" w:sz="0" w:space="0" w:color="auto"/>
          </w:divBdr>
        </w:div>
      </w:divsChild>
    </w:div>
    <w:div w:id="1706101029">
      <w:bodyDiv w:val="1"/>
      <w:marLeft w:val="0"/>
      <w:marRight w:val="0"/>
      <w:marTop w:val="0"/>
      <w:marBottom w:val="0"/>
      <w:divBdr>
        <w:top w:val="none" w:sz="0" w:space="0" w:color="auto"/>
        <w:left w:val="none" w:sz="0" w:space="0" w:color="auto"/>
        <w:bottom w:val="none" w:sz="0" w:space="0" w:color="auto"/>
        <w:right w:val="none" w:sz="0" w:space="0" w:color="auto"/>
      </w:divBdr>
      <w:divsChild>
        <w:div w:id="309098310">
          <w:marLeft w:val="0"/>
          <w:marRight w:val="0"/>
          <w:marTop w:val="0"/>
          <w:marBottom w:val="0"/>
          <w:divBdr>
            <w:top w:val="none" w:sz="0" w:space="0" w:color="auto"/>
            <w:left w:val="none" w:sz="0" w:space="0" w:color="auto"/>
            <w:bottom w:val="none" w:sz="0" w:space="0" w:color="auto"/>
            <w:right w:val="none" w:sz="0" w:space="0" w:color="auto"/>
          </w:divBdr>
          <w:divsChild>
            <w:div w:id="239684054">
              <w:marLeft w:val="0"/>
              <w:marRight w:val="0"/>
              <w:marTop w:val="0"/>
              <w:marBottom w:val="0"/>
              <w:divBdr>
                <w:top w:val="none" w:sz="0" w:space="0" w:color="auto"/>
                <w:left w:val="none" w:sz="0" w:space="0" w:color="auto"/>
                <w:bottom w:val="none" w:sz="0" w:space="0" w:color="auto"/>
                <w:right w:val="none" w:sz="0" w:space="0" w:color="auto"/>
              </w:divBdr>
              <w:divsChild>
                <w:div w:id="1331443089">
                  <w:marLeft w:val="0"/>
                  <w:marRight w:val="0"/>
                  <w:marTop w:val="0"/>
                  <w:marBottom w:val="0"/>
                  <w:divBdr>
                    <w:top w:val="none" w:sz="0" w:space="0" w:color="auto"/>
                    <w:left w:val="none" w:sz="0" w:space="0" w:color="auto"/>
                    <w:bottom w:val="none" w:sz="0" w:space="0" w:color="auto"/>
                    <w:right w:val="none" w:sz="0" w:space="0" w:color="auto"/>
                  </w:divBdr>
                </w:div>
              </w:divsChild>
            </w:div>
            <w:div w:id="879901245">
              <w:marLeft w:val="0"/>
              <w:marRight w:val="0"/>
              <w:marTop w:val="0"/>
              <w:marBottom w:val="0"/>
              <w:divBdr>
                <w:top w:val="none" w:sz="0" w:space="0" w:color="auto"/>
                <w:left w:val="none" w:sz="0" w:space="0" w:color="auto"/>
                <w:bottom w:val="none" w:sz="0" w:space="0" w:color="auto"/>
                <w:right w:val="none" w:sz="0" w:space="0" w:color="auto"/>
              </w:divBdr>
              <w:divsChild>
                <w:div w:id="584648199">
                  <w:marLeft w:val="0"/>
                  <w:marRight w:val="0"/>
                  <w:marTop w:val="0"/>
                  <w:marBottom w:val="0"/>
                  <w:divBdr>
                    <w:top w:val="none" w:sz="0" w:space="0" w:color="auto"/>
                    <w:left w:val="none" w:sz="0" w:space="0" w:color="auto"/>
                    <w:bottom w:val="none" w:sz="0" w:space="0" w:color="auto"/>
                    <w:right w:val="none" w:sz="0" w:space="0" w:color="auto"/>
                  </w:divBdr>
                </w:div>
                <w:div w:id="1619753760">
                  <w:marLeft w:val="0"/>
                  <w:marRight w:val="0"/>
                  <w:marTop w:val="0"/>
                  <w:marBottom w:val="0"/>
                  <w:divBdr>
                    <w:top w:val="none" w:sz="0" w:space="0" w:color="auto"/>
                    <w:left w:val="none" w:sz="0" w:space="0" w:color="auto"/>
                    <w:bottom w:val="none" w:sz="0" w:space="0" w:color="auto"/>
                    <w:right w:val="none" w:sz="0" w:space="0" w:color="auto"/>
                  </w:divBdr>
                </w:div>
              </w:divsChild>
            </w:div>
            <w:div w:id="1192648869">
              <w:marLeft w:val="0"/>
              <w:marRight w:val="0"/>
              <w:marTop w:val="0"/>
              <w:marBottom w:val="0"/>
              <w:divBdr>
                <w:top w:val="none" w:sz="0" w:space="0" w:color="auto"/>
                <w:left w:val="none" w:sz="0" w:space="0" w:color="auto"/>
                <w:bottom w:val="none" w:sz="0" w:space="0" w:color="auto"/>
                <w:right w:val="none" w:sz="0" w:space="0" w:color="auto"/>
              </w:divBdr>
              <w:divsChild>
                <w:div w:id="1102336681">
                  <w:marLeft w:val="0"/>
                  <w:marRight w:val="0"/>
                  <w:marTop w:val="0"/>
                  <w:marBottom w:val="0"/>
                  <w:divBdr>
                    <w:top w:val="none" w:sz="0" w:space="0" w:color="auto"/>
                    <w:left w:val="none" w:sz="0" w:space="0" w:color="auto"/>
                    <w:bottom w:val="none" w:sz="0" w:space="0" w:color="auto"/>
                    <w:right w:val="none" w:sz="0" w:space="0" w:color="auto"/>
                  </w:divBdr>
                </w:div>
              </w:divsChild>
            </w:div>
            <w:div w:id="1455521570">
              <w:marLeft w:val="0"/>
              <w:marRight w:val="0"/>
              <w:marTop w:val="0"/>
              <w:marBottom w:val="0"/>
              <w:divBdr>
                <w:top w:val="none" w:sz="0" w:space="0" w:color="auto"/>
                <w:left w:val="none" w:sz="0" w:space="0" w:color="auto"/>
                <w:bottom w:val="none" w:sz="0" w:space="0" w:color="auto"/>
                <w:right w:val="none" w:sz="0" w:space="0" w:color="auto"/>
              </w:divBdr>
              <w:divsChild>
                <w:div w:id="21977477">
                  <w:marLeft w:val="0"/>
                  <w:marRight w:val="0"/>
                  <w:marTop w:val="0"/>
                  <w:marBottom w:val="0"/>
                  <w:divBdr>
                    <w:top w:val="none" w:sz="0" w:space="0" w:color="auto"/>
                    <w:left w:val="none" w:sz="0" w:space="0" w:color="auto"/>
                    <w:bottom w:val="none" w:sz="0" w:space="0" w:color="auto"/>
                    <w:right w:val="none" w:sz="0" w:space="0" w:color="auto"/>
                  </w:divBdr>
                </w:div>
              </w:divsChild>
            </w:div>
            <w:div w:id="1835871347">
              <w:marLeft w:val="0"/>
              <w:marRight w:val="0"/>
              <w:marTop w:val="0"/>
              <w:marBottom w:val="0"/>
              <w:divBdr>
                <w:top w:val="none" w:sz="0" w:space="0" w:color="auto"/>
                <w:left w:val="none" w:sz="0" w:space="0" w:color="auto"/>
                <w:bottom w:val="none" w:sz="0" w:space="0" w:color="auto"/>
                <w:right w:val="none" w:sz="0" w:space="0" w:color="auto"/>
              </w:divBdr>
              <w:divsChild>
                <w:div w:id="219098264">
                  <w:marLeft w:val="0"/>
                  <w:marRight w:val="0"/>
                  <w:marTop w:val="0"/>
                  <w:marBottom w:val="0"/>
                  <w:divBdr>
                    <w:top w:val="none" w:sz="0" w:space="0" w:color="auto"/>
                    <w:left w:val="none" w:sz="0" w:space="0" w:color="auto"/>
                    <w:bottom w:val="none" w:sz="0" w:space="0" w:color="auto"/>
                    <w:right w:val="none" w:sz="0" w:space="0" w:color="auto"/>
                  </w:divBdr>
                </w:div>
                <w:div w:id="1577786666">
                  <w:marLeft w:val="0"/>
                  <w:marRight w:val="0"/>
                  <w:marTop w:val="0"/>
                  <w:marBottom w:val="0"/>
                  <w:divBdr>
                    <w:top w:val="none" w:sz="0" w:space="0" w:color="auto"/>
                    <w:left w:val="none" w:sz="0" w:space="0" w:color="auto"/>
                    <w:bottom w:val="none" w:sz="0" w:space="0" w:color="auto"/>
                    <w:right w:val="none" w:sz="0" w:space="0" w:color="auto"/>
                  </w:divBdr>
                </w:div>
              </w:divsChild>
            </w:div>
            <w:div w:id="2061131726">
              <w:marLeft w:val="0"/>
              <w:marRight w:val="0"/>
              <w:marTop w:val="0"/>
              <w:marBottom w:val="0"/>
              <w:divBdr>
                <w:top w:val="none" w:sz="0" w:space="0" w:color="auto"/>
                <w:left w:val="none" w:sz="0" w:space="0" w:color="auto"/>
                <w:bottom w:val="none" w:sz="0" w:space="0" w:color="auto"/>
                <w:right w:val="none" w:sz="0" w:space="0" w:color="auto"/>
              </w:divBdr>
              <w:divsChild>
                <w:div w:id="7884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92265">
      <w:bodyDiv w:val="1"/>
      <w:marLeft w:val="0"/>
      <w:marRight w:val="0"/>
      <w:marTop w:val="0"/>
      <w:marBottom w:val="0"/>
      <w:divBdr>
        <w:top w:val="none" w:sz="0" w:space="0" w:color="auto"/>
        <w:left w:val="none" w:sz="0" w:space="0" w:color="auto"/>
        <w:bottom w:val="none" w:sz="0" w:space="0" w:color="auto"/>
        <w:right w:val="none" w:sz="0" w:space="0" w:color="auto"/>
      </w:divBdr>
      <w:divsChild>
        <w:div w:id="1488981156">
          <w:marLeft w:val="0"/>
          <w:marRight w:val="0"/>
          <w:marTop w:val="0"/>
          <w:marBottom w:val="0"/>
          <w:divBdr>
            <w:top w:val="none" w:sz="0" w:space="0" w:color="auto"/>
            <w:left w:val="none" w:sz="0" w:space="0" w:color="auto"/>
            <w:bottom w:val="none" w:sz="0" w:space="0" w:color="auto"/>
            <w:right w:val="none" w:sz="0" w:space="0" w:color="auto"/>
          </w:divBdr>
        </w:div>
      </w:divsChild>
    </w:div>
    <w:div w:id="2014138299">
      <w:bodyDiv w:val="1"/>
      <w:marLeft w:val="0"/>
      <w:marRight w:val="0"/>
      <w:marTop w:val="0"/>
      <w:marBottom w:val="0"/>
      <w:divBdr>
        <w:top w:val="none" w:sz="0" w:space="0" w:color="auto"/>
        <w:left w:val="none" w:sz="0" w:space="0" w:color="auto"/>
        <w:bottom w:val="none" w:sz="0" w:space="0" w:color="auto"/>
        <w:right w:val="none" w:sz="0" w:space="0" w:color="auto"/>
      </w:divBdr>
    </w:div>
    <w:div w:id="21040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www.gavi.org/fr/actualites/librarie-de-documents/directives-de-financement-du-programme-gavi"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1.xml" Id="rId15" /><Relationship Type="http://schemas.microsoft.com/office/2019/05/relationships/documenttasks" Target="documenttasks/documenttasks1.xml" Id="rId23" /><Relationship Type="http://schemas.openxmlformats.org/officeDocument/2006/relationships/webSettings" Target="webSetting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gavi.org/sites/default/files/support/Directives-assistance-technique-pays.pdf" TargetMode="External" Id="rId14" /><Relationship Type="http://schemas.openxmlformats.org/officeDocument/2006/relationships/theme" Target="theme/theme1.xml" Id="rId22" /><Relationship Type="http://schemas.openxmlformats.org/officeDocument/2006/relationships/glossaryDocument" Target="glossary/document.xml" Id="Rde5853eb8b5d42b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3C8DD-7982-43B9-B1AB-BA3DB70F9F30}">
    <t:Anchor>
      <t:Comment id="1598432536"/>
    </t:Anchor>
    <t:History>
      <t:Event id="{150CC8DA-67DB-4E73-AB3C-B8ABB2F2B172}" time="2021-07-28T10:36:11.111Z">
        <t:Attribution userId="S::ssingh@gavi.org::3c2f2231-3942-4bb8-9d90-8435c098fb31" userProvider="AD" userName="Smita Singh"/>
        <t:Anchor>
          <t:Comment id="98129769"/>
        </t:Anchor>
        <t:Create/>
      </t:Event>
      <t:Event id="{153BB033-02ED-47D3-BFE0-04FA1F5241FF}" time="2021-07-28T10:36:11.111Z">
        <t:Attribution userId="S::ssingh@gavi.org::3c2f2231-3942-4bb8-9d90-8435c098fb31" userProvider="AD" userName="Smita Singh"/>
        <t:Anchor>
          <t:Comment id="98129769"/>
        </t:Anchor>
        <t:Assign userId="S::rsoundardjee@gavi.org::c337124f-86db-4ef7-b062-924dc22f0008" userProvider="AD" userName="Riswana Soundardjee"/>
      </t:Event>
      <t:Event id="{BC8A21B9-3DBD-46D2-8062-54407F6CE020}" time="2021-07-28T10:36:11.111Z">
        <t:Attribution userId="S::ssingh@gavi.org::3c2f2231-3942-4bb8-9d90-8435c098fb31" userProvider="AD" userName="Smita Singh"/>
        <t:Anchor>
          <t:Comment id="98129769"/>
        </t:Anchor>
        <t:SetTitle title="@Riswana Soundardjee I've expanded this - does it looks okay now?"/>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1fbf880-2cba-42e2-a5fd-864450c2ace6}"/>
      </w:docPartPr>
      <w:docPartBody>
        <w:p w14:paraId="4495F178">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93cb0222-e980-4273-ad97-85dba3159c09" ContentTypeId="0x0101009954897F3EE3CC4ABB9FB9EDAC9CDEBC"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0706217-df7c-4bf4-936d-b09aa3b837af" xsi:nil="true"/>
    <_dlc_DocId xmlns="55894003-98dc-4f3e-8669-85b90bdbcc8c">GAVI-438364776-957368</_dlc_DocId>
    <_dlc_DocIdUrl xmlns="55894003-98dc-4f3e-8669-85b90bdbcc8c">
      <Url>https://gavinet.sharepoint.com/teams/PAP/srp/_layouts/15/DocIdRedir.aspx?ID=GAVI-438364776-957368</Url>
      <Description>GAVI-438364776-957368</Description>
    </_dlc_DocIdUrl>
    <lcf76f155ced4ddcb4097134ff3c332f xmlns="5c2490db-6e42-4989-a0fb-d6ff54a6a7de">
      <Terms xmlns="http://schemas.microsoft.com/office/infopath/2007/PartnerControls"/>
    </lcf76f155ced4ddcb4097134ff3c332f>
  </documentManagement>
</p:properties>
</file>

<file path=customXml/item6.xml><?xml version="1.0" encoding="utf-8"?>
<ct:contentTypeSchema xmlns:ct="http://schemas.microsoft.com/office/2006/metadata/contentType" xmlns:ma="http://schemas.microsoft.com/office/2006/metadata/properties/metaAttributes" ct:_="" ma:_="" ma:contentTypeName="Gavi Document" ma:contentTypeID="0x0101009954897F3EE3CC4ABB9FB9EDAC9CDEBC0061E92A44B5DD2545AEF000129C25E859" ma:contentTypeVersion="211" ma:contentTypeDescription="Gavi Document content type " ma:contentTypeScope="" ma:versionID="3b0b85d5947ea24f0c0956fc47bdb498">
  <xsd:schema xmlns:xsd="http://www.w3.org/2001/XMLSchema" xmlns:xs="http://www.w3.org/2001/XMLSchema" xmlns:p="http://schemas.microsoft.com/office/2006/metadata/properties" xmlns:ns2="d0706217-df7c-4bf4-936d-b09aa3b837af" xmlns:ns3="55894003-98dc-4f3e-8669-85b90bdbcc8c" xmlns:ns4="5c2490db-6e42-4989-a0fb-d6ff54a6a7de" targetNamespace="http://schemas.microsoft.com/office/2006/metadata/properties" ma:root="true" ma:fieldsID="b24f44a081ec587cada9ab9c1fee1689" ns2:_="" ns3:_="" ns4:_="">
    <xsd:import namespace="d0706217-df7c-4bf4-936d-b09aa3b837af"/>
    <xsd:import namespace="55894003-98dc-4f3e-8669-85b90bdbcc8c"/>
    <xsd:import namespace="5c2490db-6e42-4989-a0fb-d6ff54a6a7de"/>
    <xsd:element name="properties">
      <xsd:complexType>
        <xsd:sequence>
          <xsd:element name="documentManagement">
            <xsd:complexType>
              <xsd:all>
                <xsd:element ref="ns2:TaxCatchAll" minOccurs="0"/>
                <xsd:element ref="ns3:_dlc_DocId" minOccurs="0"/>
                <xsd:element ref="ns3:_dlc_DocIdUrl" minOccurs="0"/>
                <xsd:element ref="ns3:_dlc_DocIdPersistId" minOccurs="0"/>
                <xsd:element ref="ns2:TaxCatchAllLabel"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6217-df7c-4bf4-936d-b09aa3b837af" elementFormDefault="qualified">
    <xsd:import namespace="http://schemas.microsoft.com/office/2006/documentManagement/types"/>
    <xsd:import namespace="http://schemas.microsoft.com/office/infopath/2007/PartnerControls"/>
    <xsd:element name="TaxCatchAll" ma:index="5" nillable="true" ma:displayName="Taxonomy Catch All Column" ma:description="" ma:hidden="true" ma:list="{c405dbff-886d-494b-bfcb-83b334e9f606}" ma:internalName="TaxCatchAll" ma:showField="CatchAllData" ma:web="55894003-98dc-4f3e-8669-85b90bdbcc8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c405dbff-886d-494b-bfcb-83b334e9f606}" ma:internalName="TaxCatchAllLabel" ma:readOnly="true" ma:showField="CatchAllDataLabel" ma:web="55894003-98dc-4f3e-8669-85b90bdbcc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894003-98dc-4f3e-8669-85b90bdbcc8c"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dexed="true"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c2490db-6e42-4989-a0fb-d6ff54a6a7de" elementFormDefault="qualified">
    <xsd:import namespace="http://schemas.microsoft.com/office/2006/documentManagement/types"/>
    <xsd:import namespace="http://schemas.microsoft.com/office/infopath/2007/PartnerControls"/>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cb0222-e980-4273-ad97-85dba3159c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28A578-D6CE-4B46-9B14-9ECAFD982273}">
  <ds:schemaRefs>
    <ds:schemaRef ds:uri="Microsoft.SharePoint.Taxonomy.ContentTypeSync"/>
  </ds:schemaRefs>
</ds:datastoreItem>
</file>

<file path=customXml/itemProps2.xml><?xml version="1.0" encoding="utf-8"?>
<ds:datastoreItem xmlns:ds="http://schemas.openxmlformats.org/officeDocument/2006/customXml" ds:itemID="{8046A321-9346-4C24-BD12-D0AF171E1442}">
  <ds:schemaRefs>
    <ds:schemaRef ds:uri="http://schemas.openxmlformats.org/officeDocument/2006/bibliography"/>
  </ds:schemaRefs>
</ds:datastoreItem>
</file>

<file path=customXml/itemProps3.xml><?xml version="1.0" encoding="utf-8"?>
<ds:datastoreItem xmlns:ds="http://schemas.openxmlformats.org/officeDocument/2006/customXml" ds:itemID="{B510E385-F15C-49C0-BF1D-0F2315539B29}">
  <ds:schemaRefs>
    <ds:schemaRef ds:uri="http://schemas.microsoft.com/sharepoint/v3/contenttype/forms"/>
  </ds:schemaRefs>
</ds:datastoreItem>
</file>

<file path=customXml/itemProps4.xml><?xml version="1.0" encoding="utf-8"?>
<ds:datastoreItem xmlns:ds="http://schemas.openxmlformats.org/officeDocument/2006/customXml" ds:itemID="{404F728E-98BA-48D5-8C0D-AFF4B98B0BF5}">
  <ds:schemaRefs>
    <ds:schemaRef ds:uri="http://schemas.microsoft.com/sharepoint/events"/>
  </ds:schemaRefs>
</ds:datastoreItem>
</file>

<file path=customXml/itemProps5.xml><?xml version="1.0" encoding="utf-8"?>
<ds:datastoreItem xmlns:ds="http://schemas.openxmlformats.org/officeDocument/2006/customXml" ds:itemID="{443ABCCA-2525-4A32-B18C-E44E28EFC753}">
  <ds:schemaRefs>
    <ds:schemaRef ds:uri="http://schemas.microsoft.com/office/2006/metadata/properties"/>
    <ds:schemaRef ds:uri="http://schemas.microsoft.com/office/infopath/2007/PartnerControls"/>
    <ds:schemaRef ds:uri="d0706217-df7c-4bf4-936d-b09aa3b837af"/>
    <ds:schemaRef ds:uri="700359ba-e36c-422a-9925-ddada98091a9"/>
    <ds:schemaRef ds:uri="a0d399e1-4586-4335-9383-7d9098bfc9ba"/>
  </ds:schemaRefs>
</ds:datastoreItem>
</file>

<file path=customXml/itemProps6.xml><?xml version="1.0" encoding="utf-8"?>
<ds:datastoreItem xmlns:ds="http://schemas.openxmlformats.org/officeDocument/2006/customXml" ds:itemID="{C204EF5D-C4AF-4D3A-93C7-D03AF51DDBF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seeee</dc:title>
  <dc:creator>Stephanie Phipps (Consultant)</dc:creator>
  <cp:lastModifiedBy>Rubi Hernandez (Consultant)</cp:lastModifiedBy>
  <cp:revision>12</cp:revision>
  <cp:lastPrinted>2022-04-21T00:22:00Z</cp:lastPrinted>
  <dcterms:created xsi:type="dcterms:W3CDTF">2022-05-30T08:09:00Z</dcterms:created>
  <dcterms:modified xsi:type="dcterms:W3CDTF">2022-07-05T05:34:11Z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0x0101009954897F3EE3CC4ABB9FB9EDAC9CDEBC0061E92A44B5DD2545AEF000129C25E859</vt:lpwstr>
  </property>
  <property fmtid="{D5CDD505-2E9C-101B-9397-08002B2CF9AE}" pid="3" name="SharedWithUsers">
    <vt:lpwstr>566;#Ranjana Kumar;#12158;#Katja Schemionek;#3520;#Alex de Jonquieres;#13088;#Daria Piccand;#17886;#Susan Mackay;#867;#Maya Getchell (Consultant);#24960;#Ibrahim Mohammed;#12006;#Jean-Charles Dubourg;#25188;#Eric Sarriot;#13264;#Sara Menzies;#113;#Riswana</vt:lpwstr>
  </property>
  <property fmtid="{D5CDD505-2E9C-101B-9397-08002B2CF9AE}" pid="4" name="MSIP_Label_0a957285-7815-485a-9751-5b273b784ad5_Enabled">
    <vt:lpwstr>true</vt:lpwstr>
  </property>
  <property fmtid="{D5CDD505-2E9C-101B-9397-08002B2CF9AE}" pid="5" name="MSIP_Label_0a957285-7815-485a-9751-5b273b784ad5_SetDate">
    <vt:lpwstr>2021-06-28T14:41:48Z</vt:lpwstr>
  </property>
  <property fmtid="{D5CDD505-2E9C-101B-9397-08002B2CF9AE}" pid="6" name="MSIP_Label_0a957285-7815-485a-9751-5b273b784ad5_Method">
    <vt:lpwstr>Privileged</vt:lpwstr>
  </property>
  <property fmtid="{D5CDD505-2E9C-101B-9397-08002B2CF9AE}" pid="7" name="MSIP_Label_0a957285-7815-485a-9751-5b273b784ad5_Name">
    <vt:lpwstr>0a957285-7815-485a-9751-5b273b784ad5</vt:lpwstr>
  </property>
  <property fmtid="{D5CDD505-2E9C-101B-9397-08002B2CF9AE}" pid="8" name="MSIP_Label_0a957285-7815-485a-9751-5b273b784ad5_SiteId">
    <vt:lpwstr>1de6d9f3-0daf-4df6-b9d6-5959f16f6118</vt:lpwstr>
  </property>
  <property fmtid="{D5CDD505-2E9C-101B-9397-08002B2CF9AE}" pid="9" name="MSIP_Label_0a957285-7815-485a-9751-5b273b784ad5_ActionId">
    <vt:lpwstr>b3f6c006-4701-4f2b-898d-0000134ac9f8</vt:lpwstr>
  </property>
  <property fmtid="{D5CDD505-2E9C-101B-9397-08002B2CF9AE}" pid="10" name="MSIP_Label_0a957285-7815-485a-9751-5b273b784ad5_ContentBits">
    <vt:lpwstr>0</vt:lpwstr>
  </property>
  <property fmtid="{D5CDD505-2E9C-101B-9397-08002B2CF9AE}" pid="11" name="_dlc_DocIdItemGuid">
    <vt:lpwstr>0b9d1136-fa0e-423f-9947-e5708e6595b1</vt:lpwstr>
  </property>
  <property fmtid="{D5CDD505-2E9C-101B-9397-08002B2CF9AE}" pid="12" name="Lang">
    <vt:lpwstr/>
  </property>
  <property fmtid="{D5CDD505-2E9C-101B-9397-08002B2CF9AE}" pid="13" name="TaxKeyword">
    <vt:lpwstr/>
  </property>
  <property fmtid="{D5CDD505-2E9C-101B-9397-08002B2CF9AE}" pid="14" name="Risk">
    <vt:lpwstr/>
  </property>
  <property fmtid="{D5CDD505-2E9C-101B-9397-08002B2CF9AE}" pid="15" name="Health">
    <vt:lpwstr/>
  </property>
  <property fmtid="{D5CDD505-2E9C-101B-9397-08002B2CF9AE}" pid="16" name="Vaccine">
    <vt:lpwstr/>
  </property>
  <property fmtid="{D5CDD505-2E9C-101B-9397-08002B2CF9AE}" pid="17" name="Governance">
    <vt:lpwstr/>
  </property>
  <property fmtid="{D5CDD505-2E9C-101B-9397-08002B2CF9AE}" pid="18" name="Country">
    <vt:lpwstr/>
  </property>
  <property fmtid="{D5CDD505-2E9C-101B-9397-08002B2CF9AE}" pid="19" name="International Development">
    <vt:lpwstr/>
  </property>
  <property fmtid="{D5CDD505-2E9C-101B-9397-08002B2CF9AE}" pid="20" name="Market Shaping">
    <vt:lpwstr/>
  </property>
  <property fmtid="{D5CDD505-2E9C-101B-9397-08002B2CF9AE}" pid="21" name="Programme and project management">
    <vt:lpwstr/>
  </property>
  <property fmtid="{D5CDD505-2E9C-101B-9397-08002B2CF9AE}" pid="22" name="Strategy and Policy">
    <vt:lpwstr/>
  </property>
  <property fmtid="{D5CDD505-2E9C-101B-9397-08002B2CF9AE}" pid="23" name="Stakeholder">
    <vt:lpwstr/>
  </property>
  <property fmtid="{D5CDD505-2E9C-101B-9397-08002B2CF9AE}" pid="24" name="Document Type">
    <vt:lpwstr/>
  </property>
  <property fmtid="{D5CDD505-2E9C-101B-9397-08002B2CF9AE}" pid="25" name="Finance">
    <vt:lpwstr/>
  </property>
  <property fmtid="{D5CDD505-2E9C-101B-9397-08002B2CF9AE}" pid="26" name="Country Type">
    <vt:lpwstr/>
  </property>
  <property fmtid="{D5CDD505-2E9C-101B-9397-08002B2CF9AE}" pid="27" name="Health System Strengthening">
    <vt:lpwstr/>
  </property>
  <property fmtid="{D5CDD505-2E9C-101B-9397-08002B2CF9AE}" pid="28" name="Location1">
    <vt:lpwstr/>
  </property>
  <property fmtid="{D5CDD505-2E9C-101B-9397-08002B2CF9AE}" pid="29" name="IT Systems">
    <vt:lpwstr/>
  </property>
  <property fmtid="{D5CDD505-2E9C-101B-9397-08002B2CF9AE}" pid="30" name="Depto">
    <vt:lpwstr/>
  </property>
  <property fmtid="{D5CDD505-2E9C-101B-9397-08002B2CF9AE}" pid="31" name="MediaServiceImageTags">
    <vt:lpwstr/>
  </property>
  <property fmtid="{D5CDD505-2E9C-101B-9397-08002B2CF9AE}" pid="32" name="kfa83adfad8641678ddaedda80d7e126">
    <vt:lpwstr/>
  </property>
  <property fmtid="{D5CDD505-2E9C-101B-9397-08002B2CF9AE}" pid="33" name="Test">
    <vt:lpwstr/>
  </property>
</Properties>
</file>