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79BC1" w14:textId="77C0C6F7" w:rsidR="7EBAB345" w:rsidRDefault="003D5ED6" w:rsidP="7EBAB345">
      <w:pPr>
        <w:spacing w:after="0" w:line="240" w:lineRule="auto"/>
        <w:rPr>
          <w:rFonts w:eastAsia="Times New Roman"/>
          <w:b/>
          <w:bCs/>
          <w:color w:val="000000" w:themeColor="text1"/>
        </w:rPr>
      </w:pPr>
      <w:r w:rsidRPr="00B3278F">
        <w:rPr>
          <w:rFonts w:eastAsia="Arial" w:cs="Times New Roman"/>
          <w:iCs/>
          <w:noProof/>
          <w:sz w:val="18"/>
          <w:lang w:eastAsia="en-GB"/>
        </w:rPr>
        <w:drawing>
          <wp:anchor distT="0" distB="0" distL="114300" distR="114300" simplePos="0" relativeHeight="251658241" behindDoc="1" locked="0" layoutInCell="1" allowOverlap="1" wp14:anchorId="399DE5B8" wp14:editId="2683E2A7">
            <wp:simplePos x="0" y="0"/>
            <wp:positionH relativeFrom="page">
              <wp:posOffset>25400</wp:posOffset>
            </wp:positionH>
            <wp:positionV relativeFrom="page">
              <wp:posOffset>19050</wp:posOffset>
            </wp:positionV>
            <wp:extent cx="2072379" cy="971550"/>
            <wp:effectExtent l="0" t="0" r="4445" b="0"/>
            <wp:wrapNone/>
            <wp:docPr id="3" name="Imag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2379" cy="971550"/>
                    </a:xfrm>
                    <a:prstGeom prst="rect">
                      <a:avLst/>
                    </a:prstGeom>
                  </pic:spPr>
                </pic:pic>
              </a:graphicData>
            </a:graphic>
            <wp14:sizeRelH relativeFrom="margin">
              <wp14:pctWidth>0</wp14:pctWidth>
            </wp14:sizeRelH>
            <wp14:sizeRelV relativeFrom="margin">
              <wp14:pctHeight>0</wp14:pctHeight>
            </wp14:sizeRelV>
          </wp:anchor>
        </w:drawing>
      </w:r>
    </w:p>
    <w:p w14:paraId="0C347519" w14:textId="17B6838B" w:rsidR="7EBAB345" w:rsidRDefault="7EBAB345" w:rsidP="7EBAB345">
      <w:pPr>
        <w:spacing w:after="0" w:line="240" w:lineRule="auto"/>
        <w:rPr>
          <w:rFonts w:eastAsia="Times New Roman"/>
          <w:b/>
          <w:bCs/>
          <w:color w:val="000000" w:themeColor="text1"/>
        </w:rPr>
      </w:pPr>
    </w:p>
    <w:p w14:paraId="615B9EFD" w14:textId="17B6838B" w:rsidR="7EBAB345" w:rsidRDefault="7EBAB345" w:rsidP="7EBAB345">
      <w:pPr>
        <w:spacing w:after="0" w:line="240" w:lineRule="auto"/>
        <w:rPr>
          <w:rFonts w:eastAsia="Times New Roman"/>
          <w:b/>
          <w:bCs/>
          <w:color w:val="000000" w:themeColor="text1"/>
        </w:rPr>
      </w:pPr>
    </w:p>
    <w:p w14:paraId="5B9033B4" w14:textId="60981A3C" w:rsidR="00107400" w:rsidRPr="00DE6A00" w:rsidRDefault="004F3378" w:rsidP="00F01694">
      <w:pPr>
        <w:spacing w:after="0" w:line="240" w:lineRule="auto"/>
        <w:jc w:val="center"/>
        <w:rPr>
          <w:rFonts w:ascii="Arial" w:eastAsia="Times New Roman" w:hAnsi="Arial" w:cs="Arial"/>
          <w:b/>
          <w:color w:val="2F5496" w:themeColor="accent1" w:themeShade="BF"/>
          <w:sz w:val="24"/>
          <w:szCs w:val="24"/>
        </w:rPr>
      </w:pPr>
      <w:r w:rsidRPr="00DE6A00">
        <w:rPr>
          <w:rFonts w:ascii="Arial" w:eastAsia="Times New Roman" w:hAnsi="Arial" w:cs="Arial"/>
          <w:b/>
          <w:color w:val="2F5496" w:themeColor="accent1" w:themeShade="BF"/>
          <w:sz w:val="24"/>
          <w:szCs w:val="24"/>
        </w:rPr>
        <w:t xml:space="preserve">Preventive </w:t>
      </w:r>
      <w:r w:rsidR="00107400" w:rsidRPr="00DE6A00">
        <w:rPr>
          <w:rFonts w:ascii="Arial" w:eastAsia="Times New Roman" w:hAnsi="Arial" w:cs="Arial"/>
          <w:b/>
          <w:color w:val="2F5496" w:themeColor="accent1" w:themeShade="BF"/>
          <w:sz w:val="24"/>
          <w:szCs w:val="24"/>
        </w:rPr>
        <w:t xml:space="preserve">Oral Cholera Vaccine (OCV) Multi-Year </w:t>
      </w:r>
      <w:r w:rsidRPr="00DE6A00">
        <w:rPr>
          <w:rFonts w:ascii="Arial" w:eastAsia="Times New Roman" w:hAnsi="Arial" w:cs="Arial"/>
          <w:b/>
          <w:color w:val="2F5496" w:themeColor="accent1" w:themeShade="BF"/>
          <w:sz w:val="24"/>
          <w:szCs w:val="24"/>
        </w:rPr>
        <w:t>Plan of Action</w:t>
      </w:r>
      <w:r w:rsidR="00107400" w:rsidRPr="00DE6A00">
        <w:rPr>
          <w:rFonts w:ascii="Arial" w:eastAsia="Times New Roman" w:hAnsi="Arial" w:cs="Arial"/>
          <w:b/>
          <w:color w:val="2F5496" w:themeColor="accent1" w:themeShade="BF"/>
          <w:sz w:val="24"/>
          <w:szCs w:val="24"/>
        </w:rPr>
        <w:t xml:space="preserve"> Template</w:t>
      </w:r>
    </w:p>
    <w:p w14:paraId="7BC1E362" w14:textId="58234162" w:rsidR="00107400" w:rsidRPr="00107400" w:rsidRDefault="00107400" w:rsidP="00107400">
      <w:pPr>
        <w:spacing w:after="0" w:line="240" w:lineRule="auto"/>
        <w:rPr>
          <w:rFonts w:eastAsia="Times New Roman" w:cstheme="minorHAnsi"/>
          <w:color w:val="000000" w:themeColor="text1"/>
        </w:rPr>
      </w:pPr>
      <w:r w:rsidRPr="00107400">
        <w:rPr>
          <w:rFonts w:eastAsia="Times New Roman" w:cstheme="minorHAnsi"/>
          <w:color w:val="000000" w:themeColor="text1"/>
        </w:rPr>
        <w:t> </w:t>
      </w:r>
    </w:p>
    <w:p w14:paraId="583D235B" w14:textId="77777777" w:rsidR="00107400" w:rsidRPr="00DE6A00" w:rsidRDefault="00107400" w:rsidP="00107400">
      <w:pPr>
        <w:numPr>
          <w:ilvl w:val="0"/>
          <w:numId w:val="1"/>
        </w:numPr>
        <w:spacing w:after="0" w:line="240" w:lineRule="auto"/>
        <w:textAlignment w:val="center"/>
        <w:rPr>
          <w:rFonts w:ascii="Arial" w:eastAsia="Times New Roman" w:hAnsi="Arial" w:cs="Arial"/>
          <w:b/>
          <w:bCs/>
          <w:color w:val="2F5496" w:themeColor="accent1" w:themeShade="BF"/>
        </w:rPr>
      </w:pPr>
      <w:r w:rsidRPr="00DE6A00">
        <w:rPr>
          <w:rFonts w:ascii="Arial" w:eastAsia="Times New Roman" w:hAnsi="Arial" w:cs="Arial"/>
          <w:b/>
          <w:bCs/>
          <w:color w:val="2F5496" w:themeColor="accent1" w:themeShade="BF"/>
        </w:rPr>
        <w:t xml:space="preserve">General considerations </w:t>
      </w:r>
    </w:p>
    <w:p w14:paraId="3C824488" w14:textId="77777777" w:rsidR="00107400" w:rsidRPr="00DE6A00" w:rsidRDefault="00107400" w:rsidP="00107400">
      <w:pPr>
        <w:numPr>
          <w:ilvl w:val="1"/>
          <w:numId w:val="2"/>
        </w:numPr>
        <w:spacing w:line="240" w:lineRule="auto"/>
        <w:textAlignment w:val="center"/>
        <w:rPr>
          <w:rFonts w:ascii="Arial" w:eastAsia="Times New Roman" w:hAnsi="Arial" w:cs="Arial"/>
          <w:color w:val="2F5496" w:themeColor="accent1" w:themeShade="BF"/>
        </w:rPr>
      </w:pPr>
      <w:r w:rsidRPr="00DE6A00">
        <w:rPr>
          <w:rFonts w:ascii="Arial" w:eastAsia="Times New Roman" w:hAnsi="Arial" w:cs="Arial"/>
          <w:b/>
          <w:bCs/>
          <w:color w:val="2F5496" w:themeColor="accent1" w:themeShade="BF"/>
        </w:rPr>
        <w:t>Context</w:t>
      </w:r>
      <w:r w:rsidRPr="00DE6A00">
        <w:rPr>
          <w:rFonts w:ascii="Arial" w:eastAsia="Times New Roman" w:hAnsi="Arial" w:cs="Arial"/>
          <w:color w:val="2F5496" w:themeColor="accent1" w:themeShade="BF"/>
        </w:rPr>
        <w:t xml:space="preserve">: </w:t>
      </w:r>
    </w:p>
    <w:p w14:paraId="0FC8D03E" w14:textId="75FA7475" w:rsidR="00C6792F" w:rsidRPr="00DE6A00" w:rsidRDefault="00C6792F" w:rsidP="00B730A0">
      <w:pPr>
        <w:numPr>
          <w:ilvl w:val="2"/>
          <w:numId w:val="9"/>
        </w:numPr>
        <w:spacing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 xml:space="preserve">Health system: Provide a brief (1 paragraph) description </w:t>
      </w:r>
      <w:r w:rsidR="00E56EA9" w:rsidRPr="00DE6A00">
        <w:rPr>
          <w:rFonts w:ascii="Arial" w:eastAsia="Times New Roman" w:hAnsi="Arial" w:cs="Arial"/>
          <w:color w:val="2F5496" w:themeColor="accent1" w:themeShade="BF"/>
        </w:rPr>
        <w:t xml:space="preserve">and/or diagram </w:t>
      </w:r>
      <w:r w:rsidRPr="00DE6A00">
        <w:rPr>
          <w:rFonts w:ascii="Arial" w:eastAsia="Times New Roman" w:hAnsi="Arial" w:cs="Arial"/>
          <w:color w:val="2F5496" w:themeColor="accent1" w:themeShade="BF"/>
        </w:rPr>
        <w:t xml:space="preserve">of the </w:t>
      </w:r>
      <w:r w:rsidR="00E56EA9" w:rsidRPr="00DE6A00">
        <w:rPr>
          <w:rFonts w:ascii="Arial" w:eastAsia="Times New Roman" w:hAnsi="Arial" w:cs="Arial"/>
          <w:color w:val="2F5496" w:themeColor="accent1" w:themeShade="BF"/>
        </w:rPr>
        <w:t xml:space="preserve">management </w:t>
      </w:r>
      <w:r w:rsidRPr="00DE6A00">
        <w:rPr>
          <w:rFonts w:ascii="Arial" w:eastAsia="Times New Roman" w:hAnsi="Arial" w:cs="Arial"/>
          <w:color w:val="2F5496" w:themeColor="accent1" w:themeShade="BF"/>
        </w:rPr>
        <w:t>structure and levels of the health system</w:t>
      </w:r>
      <w:r w:rsidR="00E56EA9" w:rsidRPr="00DE6A00">
        <w:rPr>
          <w:rFonts w:ascii="Arial" w:eastAsia="Times New Roman" w:hAnsi="Arial" w:cs="Arial"/>
          <w:color w:val="2F5496" w:themeColor="accent1" w:themeShade="BF"/>
        </w:rPr>
        <w:t xml:space="preserve">. </w:t>
      </w:r>
      <w:r w:rsidR="008D1B13" w:rsidRPr="00DE6A00">
        <w:rPr>
          <w:rFonts w:ascii="Arial" w:eastAsia="Times New Roman" w:hAnsi="Arial" w:cs="Arial"/>
          <w:color w:val="2F5496" w:themeColor="accent1" w:themeShade="BF"/>
        </w:rPr>
        <w:t>Provide a high level summary of the water and sanitation context in the country</w:t>
      </w:r>
      <w:r w:rsidR="00094E7A" w:rsidRPr="00DE6A00">
        <w:rPr>
          <w:rFonts w:ascii="Arial" w:eastAsia="Times New Roman" w:hAnsi="Arial" w:cs="Arial"/>
          <w:color w:val="2F5496" w:themeColor="accent1" w:themeShade="BF"/>
        </w:rPr>
        <w:t xml:space="preserve"> and the status of the National Cholera Control Plan</w:t>
      </w:r>
      <w:r w:rsidR="008F7506" w:rsidRPr="00DE6A00">
        <w:rPr>
          <w:rFonts w:ascii="Arial" w:eastAsia="Times New Roman" w:hAnsi="Arial" w:cs="Arial"/>
          <w:color w:val="2F5496" w:themeColor="accent1" w:themeShade="BF"/>
        </w:rPr>
        <w:t xml:space="preserve"> (NCP)</w:t>
      </w:r>
      <w:r w:rsidR="00094E7A" w:rsidRPr="00DE6A00">
        <w:rPr>
          <w:rFonts w:ascii="Arial" w:eastAsia="Times New Roman" w:hAnsi="Arial" w:cs="Arial"/>
          <w:color w:val="2F5496" w:themeColor="accent1" w:themeShade="BF"/>
        </w:rPr>
        <w:t>.</w:t>
      </w:r>
    </w:p>
    <w:p w14:paraId="7887953D" w14:textId="77777777" w:rsidR="004522CF" w:rsidRPr="00DE6A00" w:rsidRDefault="00F2007B" w:rsidP="00B730A0">
      <w:pPr>
        <w:numPr>
          <w:ilvl w:val="2"/>
          <w:numId w:val="9"/>
        </w:numPr>
        <w:spacing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Cholera situation</w:t>
      </w:r>
      <w:r w:rsidR="004F475D" w:rsidRPr="00DE6A00">
        <w:rPr>
          <w:rFonts w:ascii="Arial" w:eastAsia="Times New Roman" w:hAnsi="Arial" w:cs="Arial"/>
          <w:color w:val="2F5496" w:themeColor="accent1" w:themeShade="BF"/>
        </w:rPr>
        <w:t>al</w:t>
      </w:r>
      <w:r w:rsidRPr="00DE6A00">
        <w:rPr>
          <w:rFonts w:ascii="Arial" w:eastAsia="Times New Roman" w:hAnsi="Arial" w:cs="Arial"/>
          <w:color w:val="2F5496" w:themeColor="accent1" w:themeShade="BF"/>
        </w:rPr>
        <w:t xml:space="preserve"> analysis: </w:t>
      </w:r>
    </w:p>
    <w:p w14:paraId="53C294FB" w14:textId="2EA6A79C" w:rsidR="007A0F8D" w:rsidRPr="00DE6A00" w:rsidRDefault="00064511" w:rsidP="00B730A0">
      <w:pPr>
        <w:numPr>
          <w:ilvl w:val="3"/>
          <w:numId w:val="9"/>
        </w:numPr>
        <w:spacing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Provide a</w:t>
      </w:r>
      <w:r w:rsidR="00107400" w:rsidRPr="00DE6A00">
        <w:rPr>
          <w:rFonts w:ascii="Arial" w:eastAsia="Times New Roman" w:hAnsi="Arial" w:cs="Arial"/>
          <w:color w:val="2F5496" w:themeColor="accent1" w:themeShade="BF"/>
        </w:rPr>
        <w:t xml:space="preserve"> situation</w:t>
      </w:r>
      <w:r w:rsidR="004F475D" w:rsidRPr="00DE6A00">
        <w:rPr>
          <w:rFonts w:ascii="Arial" w:eastAsia="Times New Roman" w:hAnsi="Arial" w:cs="Arial"/>
          <w:color w:val="2F5496" w:themeColor="accent1" w:themeShade="BF"/>
        </w:rPr>
        <w:t>al</w:t>
      </w:r>
      <w:r w:rsidR="00107400" w:rsidRPr="00DE6A00">
        <w:rPr>
          <w:rFonts w:ascii="Arial" w:eastAsia="Times New Roman" w:hAnsi="Arial" w:cs="Arial"/>
          <w:color w:val="2F5496" w:themeColor="accent1" w:themeShade="BF"/>
        </w:rPr>
        <w:t xml:space="preserve"> analysis of cholera risk </w:t>
      </w:r>
      <w:r w:rsidR="00E156E7" w:rsidRPr="00DE6A00">
        <w:rPr>
          <w:rFonts w:ascii="Arial" w:eastAsia="Times New Roman" w:hAnsi="Arial" w:cs="Arial"/>
          <w:color w:val="2F5496" w:themeColor="accent1" w:themeShade="BF"/>
        </w:rPr>
        <w:t xml:space="preserve">highlighting the </w:t>
      </w:r>
      <w:r w:rsidR="00107400" w:rsidRPr="00DE6A00">
        <w:rPr>
          <w:rFonts w:ascii="Arial" w:eastAsia="Times New Roman" w:hAnsi="Arial" w:cs="Arial"/>
          <w:color w:val="2F5496" w:themeColor="accent1" w:themeShade="BF"/>
        </w:rPr>
        <w:t xml:space="preserve">historical </w:t>
      </w:r>
      <w:r w:rsidR="00E156E7" w:rsidRPr="00DE6A00">
        <w:rPr>
          <w:rFonts w:ascii="Arial" w:eastAsia="Times New Roman" w:hAnsi="Arial" w:cs="Arial"/>
          <w:color w:val="2F5496" w:themeColor="accent1" w:themeShade="BF"/>
        </w:rPr>
        <w:t xml:space="preserve">(&gt; 5 years) </w:t>
      </w:r>
      <w:r w:rsidR="00107400" w:rsidRPr="00DE6A00">
        <w:rPr>
          <w:rFonts w:ascii="Arial" w:eastAsia="Times New Roman" w:hAnsi="Arial" w:cs="Arial"/>
          <w:color w:val="2F5496" w:themeColor="accent1" w:themeShade="BF"/>
        </w:rPr>
        <w:t xml:space="preserve">and current </w:t>
      </w:r>
      <w:r w:rsidR="00E156E7" w:rsidRPr="00DE6A00">
        <w:rPr>
          <w:rFonts w:ascii="Arial" w:eastAsia="Times New Roman" w:hAnsi="Arial" w:cs="Arial"/>
          <w:color w:val="2F5496" w:themeColor="accent1" w:themeShade="BF"/>
        </w:rPr>
        <w:t xml:space="preserve">(&lt; 5 years) </w:t>
      </w:r>
      <w:r w:rsidR="00107400" w:rsidRPr="00DE6A00">
        <w:rPr>
          <w:rFonts w:ascii="Arial" w:eastAsia="Times New Roman" w:hAnsi="Arial" w:cs="Arial"/>
          <w:color w:val="2F5496" w:themeColor="accent1" w:themeShade="BF"/>
        </w:rPr>
        <w:t>trends</w:t>
      </w:r>
      <w:r w:rsidR="00E23B38" w:rsidRPr="00DE6A00">
        <w:rPr>
          <w:rFonts w:ascii="Arial" w:eastAsia="Times New Roman" w:hAnsi="Arial" w:cs="Arial"/>
          <w:color w:val="2F5496" w:themeColor="accent1" w:themeShade="BF"/>
        </w:rPr>
        <w:t xml:space="preserve"> including seasonality patterns</w:t>
      </w:r>
      <w:r w:rsidR="004F475D" w:rsidRPr="00DE6A00">
        <w:rPr>
          <w:rFonts w:ascii="Arial" w:eastAsia="Times New Roman" w:hAnsi="Arial" w:cs="Arial"/>
          <w:color w:val="2F5496" w:themeColor="accent1" w:themeShade="BF"/>
        </w:rPr>
        <w:t xml:space="preserve"> and</w:t>
      </w:r>
      <w:r w:rsidR="00107400" w:rsidRPr="00DE6A00">
        <w:rPr>
          <w:rFonts w:ascii="Arial" w:eastAsia="Times New Roman" w:hAnsi="Arial" w:cs="Arial"/>
          <w:color w:val="2F5496" w:themeColor="accent1" w:themeShade="BF"/>
        </w:rPr>
        <w:t xml:space="preserve"> </w:t>
      </w:r>
      <w:r w:rsidR="00094E7A" w:rsidRPr="00DE6A00">
        <w:rPr>
          <w:rFonts w:ascii="Arial" w:eastAsia="Times New Roman" w:hAnsi="Arial" w:cs="Arial"/>
          <w:color w:val="2F5496" w:themeColor="accent1" w:themeShade="BF"/>
        </w:rPr>
        <w:t xml:space="preserve">recent </w:t>
      </w:r>
      <w:r w:rsidR="00107400" w:rsidRPr="00DE6A00">
        <w:rPr>
          <w:rFonts w:ascii="Arial" w:eastAsia="Times New Roman" w:hAnsi="Arial" w:cs="Arial"/>
          <w:color w:val="2F5496" w:themeColor="accent1" w:themeShade="BF"/>
        </w:rPr>
        <w:t>cholera control efforts</w:t>
      </w:r>
      <w:r w:rsidR="00094E7A" w:rsidRPr="00DE6A00">
        <w:rPr>
          <w:rFonts w:ascii="Arial" w:eastAsia="Times New Roman" w:hAnsi="Arial" w:cs="Arial"/>
          <w:color w:val="2F5496" w:themeColor="accent1" w:themeShade="BF"/>
        </w:rPr>
        <w:t xml:space="preserve"> including</w:t>
      </w:r>
      <w:r w:rsidR="00107400" w:rsidRPr="00DE6A00">
        <w:rPr>
          <w:rFonts w:ascii="Arial" w:eastAsia="Times New Roman" w:hAnsi="Arial" w:cs="Arial"/>
          <w:color w:val="2F5496" w:themeColor="accent1" w:themeShade="BF"/>
        </w:rPr>
        <w:t xml:space="preserve"> vaccination</w:t>
      </w:r>
      <w:r w:rsidR="004F475D" w:rsidRPr="00DE6A00">
        <w:rPr>
          <w:rFonts w:ascii="Arial" w:eastAsia="Times New Roman" w:hAnsi="Arial" w:cs="Arial"/>
          <w:color w:val="2F5496" w:themeColor="accent1" w:themeShade="BF"/>
        </w:rPr>
        <w:t xml:space="preserve">. </w:t>
      </w:r>
      <w:r w:rsidR="00CE38FD" w:rsidRPr="00DE6A00">
        <w:rPr>
          <w:rFonts w:ascii="Arial" w:eastAsia="Times New Roman" w:hAnsi="Arial" w:cs="Arial"/>
          <w:color w:val="2F5496" w:themeColor="accent1" w:themeShade="BF"/>
        </w:rPr>
        <w:t xml:space="preserve">Include a table </w:t>
      </w:r>
      <w:r w:rsidR="0054560C" w:rsidRPr="00DE6A00">
        <w:rPr>
          <w:rFonts w:ascii="Arial" w:eastAsia="Times New Roman" w:hAnsi="Arial" w:cs="Arial"/>
          <w:color w:val="2F5496" w:themeColor="accent1" w:themeShade="BF"/>
        </w:rPr>
        <w:t xml:space="preserve">showing location and timing of any previous OCV vaccination campaigns. </w:t>
      </w:r>
      <w:r w:rsidR="009923FE" w:rsidRPr="00DE6A00">
        <w:rPr>
          <w:rFonts w:ascii="Arial" w:eastAsia="Times New Roman" w:hAnsi="Arial" w:cs="Arial"/>
          <w:i/>
          <w:iCs/>
          <w:color w:val="2F5496" w:themeColor="accent1" w:themeShade="BF"/>
        </w:rPr>
        <w:t>Note: If this information is already captured in a report or strategy released in the previous 12 months, a summary can be provided here with reference to the other document.</w:t>
      </w:r>
    </w:p>
    <w:p w14:paraId="2B3DA938" w14:textId="7B299040" w:rsidR="00E5321A" w:rsidRPr="00DE6A00" w:rsidRDefault="007A0F8D" w:rsidP="00B730A0">
      <w:pPr>
        <w:numPr>
          <w:ilvl w:val="3"/>
          <w:numId w:val="9"/>
        </w:numPr>
        <w:spacing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 xml:space="preserve">Describe the cholera surveillance system, including case definitions, </w:t>
      </w:r>
      <w:r w:rsidR="00D517AC" w:rsidRPr="00DE6A00">
        <w:rPr>
          <w:rFonts w:ascii="Arial" w:eastAsia="Times New Roman" w:hAnsi="Arial" w:cs="Arial"/>
          <w:color w:val="2F5496" w:themeColor="accent1" w:themeShade="BF"/>
        </w:rPr>
        <w:t>testing strategy, and reporting mechanisms. Also</w:t>
      </w:r>
      <w:r w:rsidR="004F475D" w:rsidRPr="00DE6A00">
        <w:rPr>
          <w:rFonts w:ascii="Arial" w:eastAsia="Times New Roman" w:hAnsi="Arial" w:cs="Arial"/>
          <w:color w:val="2F5496" w:themeColor="accent1" w:themeShade="BF"/>
        </w:rPr>
        <w:t xml:space="preserve"> describe the</w:t>
      </w:r>
      <w:r w:rsidR="003742E7" w:rsidRPr="00DE6A00">
        <w:rPr>
          <w:rFonts w:ascii="Arial" w:eastAsia="Times New Roman" w:hAnsi="Arial" w:cs="Arial"/>
          <w:color w:val="2F5496" w:themeColor="accent1" w:themeShade="BF"/>
        </w:rPr>
        <w:t xml:space="preserve"> lab</w:t>
      </w:r>
      <w:r w:rsidR="004F475D" w:rsidRPr="00DE6A00">
        <w:rPr>
          <w:rFonts w:ascii="Arial" w:eastAsia="Times New Roman" w:hAnsi="Arial" w:cs="Arial"/>
          <w:color w:val="2F5496" w:themeColor="accent1" w:themeShade="BF"/>
        </w:rPr>
        <w:t>oratory</w:t>
      </w:r>
      <w:r w:rsidR="003742E7" w:rsidRPr="00DE6A00">
        <w:rPr>
          <w:rFonts w:ascii="Arial" w:eastAsia="Times New Roman" w:hAnsi="Arial" w:cs="Arial"/>
          <w:color w:val="2F5496" w:themeColor="accent1" w:themeShade="BF"/>
        </w:rPr>
        <w:t xml:space="preserve"> capacity</w:t>
      </w:r>
      <w:r w:rsidR="00E21364" w:rsidRPr="00DE6A00">
        <w:rPr>
          <w:rFonts w:ascii="Arial" w:eastAsia="Times New Roman" w:hAnsi="Arial" w:cs="Arial"/>
          <w:color w:val="2F5496" w:themeColor="accent1" w:themeShade="BF"/>
        </w:rPr>
        <w:t xml:space="preserve"> for cholera confirmation at national and peripheral levels</w:t>
      </w:r>
      <w:r w:rsidR="004522CF" w:rsidRPr="00DE6A00">
        <w:rPr>
          <w:rFonts w:ascii="Arial" w:eastAsia="Times New Roman" w:hAnsi="Arial" w:cs="Arial"/>
          <w:color w:val="2F5496" w:themeColor="accent1" w:themeShade="BF"/>
        </w:rPr>
        <w:t xml:space="preserve">. </w:t>
      </w:r>
      <w:r w:rsidR="004522CF" w:rsidRPr="00DE6A00">
        <w:rPr>
          <w:rFonts w:ascii="Arial" w:eastAsia="Times New Roman" w:hAnsi="Arial" w:cs="Arial"/>
          <w:i/>
          <w:iCs/>
          <w:color w:val="2F5496" w:themeColor="accent1" w:themeShade="BF"/>
        </w:rPr>
        <w:t>Note: If this information is already captured in a report or strategy released in the previous 12 months, a summary can be provided here with reference to the other document.</w:t>
      </w:r>
    </w:p>
    <w:p w14:paraId="14FC8C84" w14:textId="0D5A54A3" w:rsidR="001521CC" w:rsidRPr="00DE6A00" w:rsidRDefault="008F7506" w:rsidP="00B730A0">
      <w:pPr>
        <w:numPr>
          <w:ilvl w:val="3"/>
          <w:numId w:val="9"/>
        </w:numPr>
        <w:spacing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If the country does not have an endorsed NCP, p</w:t>
      </w:r>
      <w:r w:rsidR="004522CF" w:rsidRPr="00DE6A00">
        <w:rPr>
          <w:rFonts w:ascii="Arial" w:eastAsia="Times New Roman" w:hAnsi="Arial" w:cs="Arial"/>
          <w:color w:val="2F5496" w:themeColor="accent1" w:themeShade="BF"/>
        </w:rPr>
        <w:t xml:space="preserve">rovide a description </w:t>
      </w:r>
      <w:r w:rsidR="001119AC" w:rsidRPr="00DE6A00">
        <w:rPr>
          <w:rFonts w:ascii="Arial" w:eastAsia="Times New Roman" w:hAnsi="Arial" w:cs="Arial"/>
          <w:color w:val="2F5496" w:themeColor="accent1" w:themeShade="BF"/>
        </w:rPr>
        <w:t>of how the government has</w:t>
      </w:r>
      <w:r w:rsidR="00C67CE7" w:rsidRPr="00DE6A00">
        <w:rPr>
          <w:rFonts w:ascii="Arial" w:eastAsia="Times New Roman" w:hAnsi="Arial" w:cs="Arial"/>
          <w:color w:val="2F5496" w:themeColor="accent1" w:themeShade="BF"/>
        </w:rPr>
        <w:t xml:space="preserve"> </w:t>
      </w:r>
      <w:r w:rsidR="00D84F50" w:rsidRPr="00DE6A00">
        <w:rPr>
          <w:rFonts w:ascii="Arial" w:eastAsia="Times New Roman" w:hAnsi="Arial" w:cs="Arial"/>
          <w:color w:val="2F5496" w:themeColor="accent1" w:themeShade="BF"/>
        </w:rPr>
        <w:t xml:space="preserve">demonstrated its </w:t>
      </w:r>
      <w:r w:rsidR="001119AC" w:rsidRPr="00DE6A00">
        <w:rPr>
          <w:rFonts w:ascii="Arial" w:eastAsia="Times New Roman" w:hAnsi="Arial" w:cs="Arial"/>
          <w:color w:val="2F5496" w:themeColor="accent1" w:themeShade="BF"/>
        </w:rPr>
        <w:t>commit</w:t>
      </w:r>
      <w:r w:rsidR="00D84F50" w:rsidRPr="00DE6A00">
        <w:rPr>
          <w:rFonts w:ascii="Arial" w:eastAsia="Times New Roman" w:hAnsi="Arial" w:cs="Arial"/>
          <w:color w:val="2F5496" w:themeColor="accent1" w:themeShade="BF"/>
        </w:rPr>
        <w:t>ment</w:t>
      </w:r>
      <w:r w:rsidR="00C67CE7" w:rsidRPr="00DE6A00">
        <w:rPr>
          <w:rFonts w:ascii="Arial" w:eastAsia="Times New Roman" w:hAnsi="Arial" w:cs="Arial"/>
          <w:color w:val="2F5496" w:themeColor="accent1" w:themeShade="BF"/>
        </w:rPr>
        <w:t xml:space="preserve"> to implement long-term cholera prevention activities</w:t>
      </w:r>
      <w:r w:rsidR="00107400" w:rsidRPr="00DE6A00">
        <w:rPr>
          <w:rFonts w:ascii="Arial" w:eastAsia="Times New Roman" w:hAnsi="Arial" w:cs="Arial"/>
          <w:color w:val="2F5496" w:themeColor="accent1" w:themeShade="BF"/>
        </w:rPr>
        <w:t xml:space="preserve">. </w:t>
      </w:r>
    </w:p>
    <w:p w14:paraId="4E34F231" w14:textId="494F61F3" w:rsidR="001521CC" w:rsidRPr="00DE6A00" w:rsidRDefault="001521CC" w:rsidP="00B730A0">
      <w:pPr>
        <w:numPr>
          <w:ilvl w:val="2"/>
          <w:numId w:val="9"/>
        </w:numPr>
        <w:spacing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Vaccine Registration: Please indicate which OCVs are registered in the country. If none, please provide a description of any plans to register these product</w:t>
      </w:r>
      <w:r w:rsidR="00E5321A" w:rsidRPr="00DE6A00">
        <w:rPr>
          <w:rFonts w:ascii="Arial" w:eastAsia="Times New Roman" w:hAnsi="Arial" w:cs="Arial"/>
          <w:color w:val="2F5496" w:themeColor="accent1" w:themeShade="BF"/>
        </w:rPr>
        <w:t>(</w:t>
      </w:r>
      <w:r w:rsidRPr="00DE6A00">
        <w:rPr>
          <w:rFonts w:ascii="Arial" w:eastAsia="Times New Roman" w:hAnsi="Arial" w:cs="Arial"/>
          <w:color w:val="2F5496" w:themeColor="accent1" w:themeShade="BF"/>
        </w:rPr>
        <w:t>s</w:t>
      </w:r>
      <w:r w:rsidR="00E5321A" w:rsidRPr="00DE6A00">
        <w:rPr>
          <w:rFonts w:ascii="Arial" w:eastAsia="Times New Roman" w:hAnsi="Arial" w:cs="Arial"/>
          <w:color w:val="2F5496" w:themeColor="accent1" w:themeShade="BF"/>
        </w:rPr>
        <w:t>)</w:t>
      </w:r>
      <w:r w:rsidRPr="00DE6A00">
        <w:rPr>
          <w:rFonts w:ascii="Arial" w:eastAsia="Times New Roman" w:hAnsi="Arial" w:cs="Arial"/>
          <w:color w:val="2F5496" w:themeColor="accent1" w:themeShade="BF"/>
        </w:rPr>
        <w:t xml:space="preserve"> in country.</w:t>
      </w:r>
    </w:p>
    <w:p w14:paraId="5451D022" w14:textId="77777777" w:rsidR="00107400" w:rsidRPr="00DE6A00" w:rsidRDefault="00107400" w:rsidP="00B730A0">
      <w:pPr>
        <w:pStyle w:val="ListParagraph"/>
        <w:spacing w:line="240" w:lineRule="auto"/>
        <w:ind w:left="2160"/>
        <w:jc w:val="both"/>
        <w:rPr>
          <w:rFonts w:ascii="Arial" w:eastAsia="Times New Roman" w:hAnsi="Arial" w:cs="Arial"/>
          <w:color w:val="2F5496" w:themeColor="accent1" w:themeShade="BF"/>
        </w:rPr>
      </w:pPr>
    </w:p>
    <w:p w14:paraId="70F7402C" w14:textId="638154BB" w:rsidR="00107400" w:rsidRPr="00DE6A00" w:rsidRDefault="00CF077D" w:rsidP="00B730A0">
      <w:pPr>
        <w:pStyle w:val="ListParagraph"/>
        <w:numPr>
          <w:ilvl w:val="1"/>
          <w:numId w:val="9"/>
        </w:numPr>
        <w:spacing w:line="240" w:lineRule="auto"/>
        <w:jc w:val="both"/>
        <w:rPr>
          <w:rFonts w:ascii="Arial" w:eastAsia="Times New Roman" w:hAnsi="Arial" w:cs="Arial"/>
          <w:color w:val="2F5496" w:themeColor="accent1" w:themeShade="BF"/>
        </w:rPr>
      </w:pPr>
      <w:r w:rsidRPr="00DE6A00">
        <w:rPr>
          <w:rFonts w:ascii="Arial" w:eastAsia="Times New Roman" w:hAnsi="Arial" w:cs="Arial"/>
          <w:b/>
          <w:bCs/>
          <w:color w:val="2F5496" w:themeColor="accent1" w:themeShade="BF"/>
        </w:rPr>
        <w:t>Vaccination o</w:t>
      </w:r>
      <w:r w:rsidR="00107400" w:rsidRPr="00DE6A00">
        <w:rPr>
          <w:rFonts w:ascii="Arial" w:eastAsia="Times New Roman" w:hAnsi="Arial" w:cs="Arial"/>
          <w:b/>
          <w:bCs/>
          <w:color w:val="2F5496" w:themeColor="accent1" w:themeShade="BF"/>
        </w:rPr>
        <w:t>bjectives, targets and justification</w:t>
      </w:r>
      <w:r w:rsidR="00454022" w:rsidRPr="00DE6A00">
        <w:rPr>
          <w:rFonts w:ascii="Arial" w:eastAsia="Times New Roman" w:hAnsi="Arial" w:cs="Arial"/>
          <w:b/>
          <w:bCs/>
          <w:color w:val="2F5496" w:themeColor="accent1" w:themeShade="BF"/>
        </w:rPr>
        <w:t>:</w:t>
      </w:r>
    </w:p>
    <w:p w14:paraId="65874A40" w14:textId="5D6DBB9E" w:rsidR="000D3907" w:rsidRPr="00DE6A00" w:rsidRDefault="00491C10" w:rsidP="00B730A0">
      <w:pPr>
        <w:pStyle w:val="ListParagraph"/>
        <w:numPr>
          <w:ilvl w:val="2"/>
          <w:numId w:val="9"/>
        </w:numPr>
        <w:spacing w:line="240" w:lineRule="auto"/>
        <w:jc w:val="both"/>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Briefly, d</w:t>
      </w:r>
      <w:r w:rsidR="000D3907" w:rsidRPr="00DE6A00">
        <w:rPr>
          <w:rFonts w:ascii="Arial" w:eastAsia="Times New Roman" w:hAnsi="Arial" w:cs="Arial"/>
          <w:color w:val="2F5496" w:themeColor="accent1" w:themeShade="BF"/>
        </w:rPr>
        <w:t xml:space="preserve">escribe </w:t>
      </w:r>
      <w:r w:rsidRPr="00DE6A00">
        <w:rPr>
          <w:rFonts w:ascii="Arial" w:eastAsia="Times New Roman" w:hAnsi="Arial" w:cs="Arial"/>
          <w:color w:val="2F5496" w:themeColor="accent1" w:themeShade="BF"/>
        </w:rPr>
        <w:t xml:space="preserve">the specific </w:t>
      </w:r>
      <w:r w:rsidR="000D3907" w:rsidRPr="00DE6A00">
        <w:rPr>
          <w:rFonts w:ascii="Arial" w:eastAsia="Times New Roman" w:hAnsi="Arial" w:cs="Arial"/>
          <w:color w:val="2F5496" w:themeColor="accent1" w:themeShade="BF"/>
        </w:rPr>
        <w:t>objective</w:t>
      </w:r>
      <w:r w:rsidRPr="00DE6A00">
        <w:rPr>
          <w:rFonts w:ascii="Arial" w:eastAsia="Times New Roman" w:hAnsi="Arial" w:cs="Arial"/>
          <w:color w:val="2F5496" w:themeColor="accent1" w:themeShade="BF"/>
        </w:rPr>
        <w:t>(s)</w:t>
      </w:r>
      <w:r w:rsidR="000D3907" w:rsidRPr="00DE6A00">
        <w:rPr>
          <w:rFonts w:ascii="Arial" w:eastAsia="Times New Roman" w:hAnsi="Arial" w:cs="Arial"/>
          <w:color w:val="2F5496" w:themeColor="accent1" w:themeShade="BF"/>
        </w:rPr>
        <w:t xml:space="preserve"> of this vaccination plan, and how </w:t>
      </w:r>
      <w:r w:rsidRPr="00DE6A00">
        <w:rPr>
          <w:rFonts w:ascii="Arial" w:eastAsia="Times New Roman" w:hAnsi="Arial" w:cs="Arial"/>
          <w:color w:val="2F5496" w:themeColor="accent1" w:themeShade="BF"/>
        </w:rPr>
        <w:t>they</w:t>
      </w:r>
      <w:r w:rsidR="000D3907" w:rsidRPr="00DE6A00">
        <w:rPr>
          <w:rFonts w:ascii="Arial" w:eastAsia="Times New Roman" w:hAnsi="Arial" w:cs="Arial"/>
          <w:color w:val="2F5496" w:themeColor="accent1" w:themeShade="BF"/>
        </w:rPr>
        <w:t xml:space="preserve"> complement the country’s broader cholera control efforts and long-term goals.</w:t>
      </w:r>
    </w:p>
    <w:p w14:paraId="00C734F9" w14:textId="77777777" w:rsidR="000D3907" w:rsidRPr="00DE6A00" w:rsidRDefault="000D3907" w:rsidP="00B730A0">
      <w:pPr>
        <w:pStyle w:val="ListParagraph"/>
        <w:spacing w:line="240" w:lineRule="auto"/>
        <w:ind w:left="2160"/>
        <w:jc w:val="both"/>
        <w:rPr>
          <w:rFonts w:ascii="Arial" w:eastAsia="Times New Roman" w:hAnsi="Arial" w:cs="Arial"/>
          <w:color w:val="2F5496" w:themeColor="accent1" w:themeShade="BF"/>
        </w:rPr>
      </w:pPr>
    </w:p>
    <w:p w14:paraId="7CC4BBAD" w14:textId="44CA27E2" w:rsidR="000D3907" w:rsidRPr="00DE6A00" w:rsidRDefault="00107400" w:rsidP="00B730A0">
      <w:pPr>
        <w:pStyle w:val="ListParagraph"/>
        <w:numPr>
          <w:ilvl w:val="2"/>
          <w:numId w:val="9"/>
        </w:numPr>
        <w:spacing w:line="240" w:lineRule="auto"/>
        <w:jc w:val="both"/>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 xml:space="preserve">Justification for </w:t>
      </w:r>
      <w:r w:rsidR="00353823" w:rsidRPr="00DE6A00">
        <w:rPr>
          <w:rFonts w:ascii="Arial" w:eastAsia="Times New Roman" w:hAnsi="Arial" w:cs="Arial"/>
          <w:color w:val="2F5496" w:themeColor="accent1" w:themeShade="BF"/>
        </w:rPr>
        <w:t>how</w:t>
      </w:r>
      <w:r w:rsidR="0045417B" w:rsidRPr="00DE6A00">
        <w:rPr>
          <w:rFonts w:ascii="Arial" w:eastAsia="Times New Roman" w:hAnsi="Arial" w:cs="Arial"/>
          <w:color w:val="2F5496" w:themeColor="accent1" w:themeShade="BF"/>
        </w:rPr>
        <w:t xml:space="preserve"> </w:t>
      </w:r>
      <w:r w:rsidRPr="00DE6A00">
        <w:rPr>
          <w:rFonts w:ascii="Arial" w:eastAsia="Times New Roman" w:hAnsi="Arial" w:cs="Arial"/>
          <w:color w:val="2F5496" w:themeColor="accent1" w:themeShade="BF"/>
        </w:rPr>
        <w:t>targeted area</w:t>
      </w:r>
      <w:r w:rsidR="0045417B" w:rsidRPr="00DE6A00">
        <w:rPr>
          <w:rFonts w:ascii="Arial" w:eastAsia="Times New Roman" w:hAnsi="Arial" w:cs="Arial"/>
          <w:color w:val="2F5496" w:themeColor="accent1" w:themeShade="BF"/>
        </w:rPr>
        <w:t>s were selected and why they were prioritized</w:t>
      </w:r>
      <w:r w:rsidRPr="00DE6A00">
        <w:rPr>
          <w:rFonts w:ascii="Arial" w:eastAsia="Times New Roman" w:hAnsi="Arial" w:cs="Arial"/>
          <w:color w:val="2F5496" w:themeColor="accent1" w:themeShade="BF"/>
        </w:rPr>
        <w:t xml:space="preserve">: </w:t>
      </w:r>
    </w:p>
    <w:p w14:paraId="7B275858" w14:textId="761A4100" w:rsidR="001B7F47" w:rsidRPr="00DE6A00" w:rsidRDefault="005F0416" w:rsidP="00B730A0">
      <w:pPr>
        <w:pStyle w:val="ListParagraph"/>
        <w:numPr>
          <w:ilvl w:val="3"/>
          <w:numId w:val="9"/>
        </w:numPr>
        <w:spacing w:line="240" w:lineRule="auto"/>
        <w:jc w:val="both"/>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B</w:t>
      </w:r>
      <w:r w:rsidR="002A0B5D" w:rsidRPr="00DE6A00">
        <w:rPr>
          <w:rFonts w:ascii="Arial" w:eastAsia="Times New Roman" w:hAnsi="Arial" w:cs="Arial"/>
          <w:color w:val="2F5496" w:themeColor="accent1" w:themeShade="BF"/>
        </w:rPr>
        <w:t>ased on GTFCC guidance</w:t>
      </w:r>
      <w:r w:rsidRPr="00DE6A00">
        <w:rPr>
          <w:rFonts w:ascii="Arial" w:eastAsia="Times New Roman" w:hAnsi="Arial" w:cs="Arial"/>
          <w:color w:val="2F5496" w:themeColor="accent1" w:themeShade="BF"/>
        </w:rPr>
        <w:t>, countries should conduct a hotspot analysis, and from these findings, develop a prioritization of hotspots to vaccinate</w:t>
      </w:r>
      <w:r w:rsidR="00AC1BCB" w:rsidRPr="00DE6A00">
        <w:rPr>
          <w:rFonts w:ascii="Arial" w:eastAsia="Times New Roman" w:hAnsi="Arial" w:cs="Arial"/>
          <w:color w:val="2F5496" w:themeColor="accent1" w:themeShade="BF"/>
        </w:rPr>
        <w:t xml:space="preserve"> with OCV</w:t>
      </w:r>
      <w:r w:rsidRPr="00DE6A00">
        <w:rPr>
          <w:rFonts w:ascii="Arial" w:eastAsia="Times New Roman" w:hAnsi="Arial" w:cs="Arial"/>
          <w:color w:val="2F5496" w:themeColor="accent1" w:themeShade="BF"/>
        </w:rPr>
        <w:t xml:space="preserve">. </w:t>
      </w:r>
      <w:r w:rsidR="003640F7" w:rsidRPr="00DE6A00">
        <w:rPr>
          <w:rFonts w:ascii="Arial" w:eastAsia="Times New Roman" w:hAnsi="Arial" w:cs="Arial"/>
          <w:color w:val="2F5496" w:themeColor="accent1" w:themeShade="BF"/>
        </w:rPr>
        <w:t xml:space="preserve">In this MY-POA, </w:t>
      </w:r>
      <w:r w:rsidR="001B7F47" w:rsidRPr="00DE6A00">
        <w:rPr>
          <w:rFonts w:ascii="Arial" w:eastAsia="Times New Roman" w:hAnsi="Arial" w:cs="Arial"/>
          <w:color w:val="2F5496" w:themeColor="accent1" w:themeShade="BF"/>
        </w:rPr>
        <w:t>countries should</w:t>
      </w:r>
      <w:r w:rsidR="00D3734B" w:rsidRPr="00DE6A00">
        <w:rPr>
          <w:rFonts w:ascii="Arial" w:eastAsia="Times New Roman" w:hAnsi="Arial" w:cs="Arial"/>
          <w:color w:val="2F5496" w:themeColor="accent1" w:themeShade="BF"/>
        </w:rPr>
        <w:t xml:space="preserve"> </w:t>
      </w:r>
      <w:r w:rsidR="001B7F47" w:rsidRPr="00DE6A00">
        <w:rPr>
          <w:rFonts w:ascii="Arial" w:eastAsia="Times New Roman" w:hAnsi="Arial" w:cs="Arial"/>
          <w:color w:val="2F5496" w:themeColor="accent1" w:themeShade="BF"/>
        </w:rPr>
        <w:t>provide:</w:t>
      </w:r>
    </w:p>
    <w:p w14:paraId="3DE29481" w14:textId="5D727711" w:rsidR="003B3F4E" w:rsidRPr="00DE6A00" w:rsidRDefault="001B7F47" w:rsidP="00B730A0">
      <w:pPr>
        <w:pStyle w:val="ListParagraph"/>
        <w:numPr>
          <w:ilvl w:val="4"/>
          <w:numId w:val="9"/>
        </w:numPr>
        <w:spacing w:line="240" w:lineRule="auto"/>
        <w:jc w:val="both"/>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lastRenderedPageBreak/>
        <w:t>A</w:t>
      </w:r>
      <w:r w:rsidR="00107400" w:rsidRPr="00DE6A00">
        <w:rPr>
          <w:rFonts w:ascii="Arial" w:eastAsia="Times New Roman" w:hAnsi="Arial" w:cs="Arial"/>
          <w:color w:val="2F5496" w:themeColor="accent1" w:themeShade="BF"/>
        </w:rPr>
        <w:t xml:space="preserve"> summary of the hotspot analysis</w:t>
      </w:r>
      <w:r w:rsidR="003640F7" w:rsidRPr="00DE6A00">
        <w:rPr>
          <w:rFonts w:ascii="Arial" w:eastAsia="Times New Roman" w:hAnsi="Arial" w:cs="Arial"/>
          <w:color w:val="2F5496" w:themeColor="accent1" w:themeShade="BF"/>
        </w:rPr>
        <w:t xml:space="preserve"> (including </w:t>
      </w:r>
      <w:r w:rsidR="003B3F4E" w:rsidRPr="00DE6A00">
        <w:rPr>
          <w:rFonts w:ascii="Arial" w:eastAsia="Times New Roman" w:hAnsi="Arial" w:cs="Arial"/>
          <w:color w:val="2F5496" w:themeColor="accent1" w:themeShade="BF"/>
        </w:rPr>
        <w:t xml:space="preserve">when it was conducted, </w:t>
      </w:r>
      <w:r w:rsidR="00AF3A56" w:rsidRPr="00DE6A00">
        <w:rPr>
          <w:rFonts w:ascii="Arial" w:eastAsia="Times New Roman" w:hAnsi="Arial" w:cs="Arial"/>
          <w:color w:val="2F5496" w:themeColor="accent1" w:themeShade="BF"/>
        </w:rPr>
        <w:t xml:space="preserve">what burden </w:t>
      </w:r>
      <w:r w:rsidR="003B3F4E" w:rsidRPr="00DE6A00">
        <w:rPr>
          <w:rFonts w:ascii="Arial" w:eastAsia="Times New Roman" w:hAnsi="Arial" w:cs="Arial"/>
          <w:color w:val="2F5496" w:themeColor="accent1" w:themeShade="BF"/>
        </w:rPr>
        <w:t xml:space="preserve">and risk factor </w:t>
      </w:r>
      <w:r w:rsidR="00AF3A56" w:rsidRPr="00DE6A00">
        <w:rPr>
          <w:rFonts w:ascii="Arial" w:eastAsia="Times New Roman" w:hAnsi="Arial" w:cs="Arial"/>
          <w:color w:val="2F5496" w:themeColor="accent1" w:themeShade="BF"/>
        </w:rPr>
        <w:t>data was used,</w:t>
      </w:r>
      <w:r w:rsidR="00115325" w:rsidRPr="00DE6A00">
        <w:rPr>
          <w:rFonts w:ascii="Arial" w:eastAsia="Times New Roman" w:hAnsi="Arial" w:cs="Arial"/>
          <w:color w:val="2F5496" w:themeColor="accent1" w:themeShade="BF"/>
        </w:rPr>
        <w:t xml:space="preserve"> </w:t>
      </w:r>
      <w:r w:rsidR="003B3F4E" w:rsidRPr="00DE6A00">
        <w:rPr>
          <w:rFonts w:ascii="Arial" w:eastAsia="Times New Roman" w:hAnsi="Arial" w:cs="Arial"/>
          <w:color w:val="2F5496" w:themeColor="accent1" w:themeShade="BF"/>
        </w:rPr>
        <w:t xml:space="preserve">and </w:t>
      </w:r>
      <w:r w:rsidR="00115325" w:rsidRPr="00DE6A00">
        <w:rPr>
          <w:rFonts w:ascii="Arial" w:eastAsia="Times New Roman" w:hAnsi="Arial" w:cs="Arial"/>
          <w:color w:val="2F5496" w:themeColor="accent1" w:themeShade="BF"/>
        </w:rPr>
        <w:t>summary findings</w:t>
      </w:r>
      <w:r w:rsidR="00AF3A56" w:rsidRPr="00DE6A00">
        <w:rPr>
          <w:rFonts w:ascii="Arial" w:eastAsia="Times New Roman" w:hAnsi="Arial" w:cs="Arial"/>
          <w:color w:val="2F5496" w:themeColor="accent1" w:themeShade="BF"/>
        </w:rPr>
        <w:t>)</w:t>
      </w:r>
      <w:r w:rsidR="00B3321B" w:rsidRPr="00DE6A00">
        <w:rPr>
          <w:rFonts w:ascii="Arial" w:eastAsia="Times New Roman" w:hAnsi="Arial" w:cs="Arial"/>
          <w:color w:val="2F5496" w:themeColor="accent1" w:themeShade="BF"/>
        </w:rPr>
        <w:t>.</w:t>
      </w:r>
      <w:r w:rsidR="004721D0" w:rsidRPr="00DE6A00">
        <w:rPr>
          <w:rFonts w:ascii="Arial" w:eastAsia="Times New Roman" w:hAnsi="Arial" w:cs="Arial"/>
          <w:color w:val="2F5496" w:themeColor="accent1" w:themeShade="BF"/>
        </w:rPr>
        <w:t xml:space="preserve"> </w:t>
      </w:r>
    </w:p>
    <w:p w14:paraId="5730D414" w14:textId="2F1603F4" w:rsidR="004721D0" w:rsidRPr="00DE6A00" w:rsidRDefault="00D3734B" w:rsidP="00B730A0">
      <w:pPr>
        <w:pStyle w:val="ListParagraph"/>
        <w:numPr>
          <w:ilvl w:val="4"/>
          <w:numId w:val="9"/>
        </w:numPr>
        <w:spacing w:line="240" w:lineRule="auto"/>
        <w:jc w:val="both"/>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 xml:space="preserve">A </w:t>
      </w:r>
      <w:r w:rsidR="00B3321B" w:rsidRPr="00DE6A00">
        <w:rPr>
          <w:rFonts w:ascii="Arial" w:eastAsia="Times New Roman" w:hAnsi="Arial" w:cs="Arial"/>
          <w:color w:val="2F5496" w:themeColor="accent1" w:themeShade="BF"/>
        </w:rPr>
        <w:t xml:space="preserve">summary </w:t>
      </w:r>
      <w:r w:rsidRPr="00DE6A00">
        <w:rPr>
          <w:rFonts w:ascii="Arial" w:eastAsia="Times New Roman" w:hAnsi="Arial" w:cs="Arial"/>
          <w:color w:val="2F5496" w:themeColor="accent1" w:themeShade="BF"/>
        </w:rPr>
        <w:t>of the rationale for the prioritization of hotspots to vaccinate</w:t>
      </w:r>
      <w:r w:rsidR="00BA5AF6" w:rsidRPr="00DE6A00">
        <w:rPr>
          <w:rFonts w:ascii="Arial" w:eastAsia="Times New Roman" w:hAnsi="Arial" w:cs="Arial"/>
          <w:color w:val="2F5496" w:themeColor="accent1" w:themeShade="BF"/>
        </w:rPr>
        <w:t>, and the sequence and timing of vaccination in these hotspots</w:t>
      </w:r>
      <w:r w:rsidRPr="00DE6A00">
        <w:rPr>
          <w:rFonts w:ascii="Arial" w:eastAsia="Times New Roman" w:hAnsi="Arial" w:cs="Arial"/>
          <w:color w:val="2F5496" w:themeColor="accent1" w:themeShade="BF"/>
        </w:rPr>
        <w:t xml:space="preserve">. </w:t>
      </w:r>
    </w:p>
    <w:p w14:paraId="3ABC11F3" w14:textId="530B7DDD" w:rsidR="0053756A" w:rsidRPr="00DE6A00" w:rsidRDefault="0053756A" w:rsidP="00B730A0">
      <w:pPr>
        <w:pStyle w:val="ListParagraph"/>
        <w:numPr>
          <w:ilvl w:val="4"/>
          <w:numId w:val="9"/>
        </w:numPr>
        <w:spacing w:line="240" w:lineRule="auto"/>
        <w:jc w:val="both"/>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 xml:space="preserve">If re-vaccination is proposed in a specific geographic area, provide </w:t>
      </w:r>
      <w:r w:rsidR="00E71C10" w:rsidRPr="00DE6A00">
        <w:rPr>
          <w:rFonts w:ascii="Arial" w:eastAsia="Times New Roman" w:hAnsi="Arial" w:cs="Arial"/>
          <w:color w:val="2F5496" w:themeColor="accent1" w:themeShade="BF"/>
        </w:rPr>
        <w:t xml:space="preserve">a summary of the performance of prior campaign(s), </w:t>
      </w:r>
      <w:r w:rsidR="00C64AD1" w:rsidRPr="00DE6A00">
        <w:rPr>
          <w:rFonts w:ascii="Arial" w:eastAsia="Times New Roman" w:hAnsi="Arial" w:cs="Arial"/>
          <w:color w:val="2F5496" w:themeColor="accent1" w:themeShade="BF"/>
        </w:rPr>
        <w:t>a description of WASH interventions implemented,</w:t>
      </w:r>
      <w:r w:rsidR="00E71C10" w:rsidRPr="00DE6A00">
        <w:rPr>
          <w:rFonts w:ascii="Arial" w:eastAsia="Times New Roman" w:hAnsi="Arial" w:cs="Arial"/>
          <w:color w:val="2F5496" w:themeColor="accent1" w:themeShade="BF"/>
        </w:rPr>
        <w:t xml:space="preserve"> and a rationale for re-vaccination.</w:t>
      </w:r>
    </w:p>
    <w:p w14:paraId="064A90D6" w14:textId="5A14A956" w:rsidR="00DC04B5" w:rsidRPr="00DE6A00" w:rsidRDefault="00DC04B5" w:rsidP="00B730A0">
      <w:pPr>
        <w:pStyle w:val="ListParagraph"/>
        <w:numPr>
          <w:ilvl w:val="4"/>
          <w:numId w:val="9"/>
        </w:numPr>
        <w:spacing w:line="240" w:lineRule="auto"/>
        <w:jc w:val="both"/>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 xml:space="preserve">Annex the full hotspot analysis report, including the output of the Excel decision-making tool provided by GTFCC for hotspot vaccination prioritization. </w:t>
      </w:r>
      <w:r w:rsidR="001351C7" w:rsidRPr="00DE6A00">
        <w:rPr>
          <w:rFonts w:ascii="Arial" w:eastAsia="Times New Roman" w:hAnsi="Arial" w:cs="Arial"/>
          <w:color w:val="2F5496" w:themeColor="accent1" w:themeShade="BF"/>
        </w:rPr>
        <w:t xml:space="preserve">Include in this </w:t>
      </w:r>
      <w:hyperlink r:id="rId14" w:history="1">
        <w:r w:rsidR="001351C7" w:rsidRPr="002B2393">
          <w:rPr>
            <w:rStyle w:val="Hyperlink"/>
            <w:rFonts w:ascii="Arial" w:eastAsia="Times New Roman" w:hAnsi="Arial" w:cs="Arial"/>
            <w:color w:val="034990" w:themeColor="hyperlink" w:themeShade="BF"/>
          </w:rPr>
          <w:t>Excel file</w:t>
        </w:r>
      </w:hyperlink>
      <w:r w:rsidR="001351C7" w:rsidRPr="00DE6A00">
        <w:rPr>
          <w:rFonts w:ascii="Arial" w:eastAsia="Times New Roman" w:hAnsi="Arial" w:cs="Arial"/>
          <w:color w:val="2F5496" w:themeColor="accent1" w:themeShade="BF"/>
        </w:rPr>
        <w:t xml:space="preserve"> </w:t>
      </w:r>
      <w:r w:rsidR="002E1062" w:rsidRPr="00DE6A00">
        <w:rPr>
          <w:rFonts w:ascii="Arial" w:eastAsia="Times New Roman" w:hAnsi="Arial" w:cs="Arial"/>
          <w:color w:val="2F5496" w:themeColor="accent1" w:themeShade="BF"/>
        </w:rPr>
        <w:t xml:space="preserve"> </w:t>
      </w:r>
      <w:r w:rsidR="001351C7" w:rsidRPr="00DE6A00">
        <w:rPr>
          <w:rFonts w:ascii="Arial" w:eastAsia="Times New Roman" w:hAnsi="Arial" w:cs="Arial"/>
          <w:color w:val="2F5496" w:themeColor="accent1" w:themeShade="BF"/>
        </w:rPr>
        <w:t>the target population, dose requirements, month and year vaccination is planned (for first two years), and year vaccination is planned (for years 3-5).</w:t>
      </w:r>
    </w:p>
    <w:p w14:paraId="1A5C6BA5" w14:textId="19F300FF" w:rsidR="00DC04B5" w:rsidRPr="00DE6A00" w:rsidRDefault="004721D0" w:rsidP="00B730A0">
      <w:pPr>
        <w:pStyle w:val="ListParagraph"/>
        <w:numPr>
          <w:ilvl w:val="4"/>
          <w:numId w:val="9"/>
        </w:numPr>
        <w:spacing w:line="240" w:lineRule="auto"/>
        <w:jc w:val="both"/>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 xml:space="preserve">A description of </w:t>
      </w:r>
      <w:r w:rsidR="00856FF0" w:rsidRPr="00DE6A00">
        <w:rPr>
          <w:rFonts w:ascii="Arial" w:eastAsia="Times New Roman" w:hAnsi="Arial" w:cs="Arial"/>
          <w:color w:val="2F5496" w:themeColor="accent1" w:themeShade="BF"/>
        </w:rPr>
        <w:t xml:space="preserve">the rationale </w:t>
      </w:r>
      <w:r w:rsidR="00A32D74" w:rsidRPr="00DE6A00">
        <w:rPr>
          <w:rFonts w:ascii="Arial" w:eastAsia="Times New Roman" w:hAnsi="Arial" w:cs="Arial"/>
          <w:color w:val="2F5496" w:themeColor="accent1" w:themeShade="BF"/>
        </w:rPr>
        <w:t>used to determine the timing of vaccination in each targeted hotspot.</w:t>
      </w:r>
      <w:r w:rsidR="00152F17" w:rsidRPr="00DE6A00">
        <w:rPr>
          <w:rFonts w:ascii="Arial" w:eastAsia="Times New Roman" w:hAnsi="Arial" w:cs="Arial"/>
          <w:color w:val="2F5496" w:themeColor="accent1" w:themeShade="BF"/>
        </w:rPr>
        <w:t xml:space="preserve"> This should include both epidemiological and operational feasibility considerations.</w:t>
      </w:r>
    </w:p>
    <w:p w14:paraId="43FE95BB" w14:textId="718CA192" w:rsidR="00107400" w:rsidRPr="00DE6A00" w:rsidRDefault="000D3907" w:rsidP="00B730A0">
      <w:pPr>
        <w:numPr>
          <w:ilvl w:val="2"/>
          <w:numId w:val="9"/>
        </w:numPr>
        <w:spacing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 xml:space="preserve">Targeted areas and vaccination schedule: Complete table in "Targeted Areas" of Gavi Support Detail workbook and include: Administrative area targeted, </w:t>
      </w:r>
      <w:r w:rsidR="00880B1A" w:rsidRPr="00DE6A00">
        <w:rPr>
          <w:rFonts w:ascii="Arial" w:eastAsia="Times New Roman" w:hAnsi="Arial" w:cs="Arial"/>
          <w:color w:val="2F5496" w:themeColor="accent1" w:themeShade="BF"/>
        </w:rPr>
        <w:t>ID</w:t>
      </w:r>
      <w:r w:rsidRPr="00DE6A00">
        <w:rPr>
          <w:rFonts w:ascii="Arial" w:eastAsia="Times New Roman" w:hAnsi="Arial" w:cs="Arial"/>
          <w:color w:val="2F5496" w:themeColor="accent1" w:themeShade="BF"/>
        </w:rPr>
        <w:t xml:space="preserve"> </w:t>
      </w:r>
      <w:r w:rsidR="001351C7" w:rsidRPr="00DE6A00">
        <w:rPr>
          <w:rFonts w:ascii="Arial" w:eastAsia="Times New Roman" w:hAnsi="Arial" w:cs="Arial"/>
          <w:color w:val="2F5496" w:themeColor="accent1" w:themeShade="BF"/>
        </w:rPr>
        <w:t>number</w:t>
      </w:r>
      <w:r w:rsidRPr="00DE6A00">
        <w:rPr>
          <w:rFonts w:ascii="Arial" w:eastAsia="Times New Roman" w:hAnsi="Arial" w:cs="Arial"/>
          <w:color w:val="2F5496" w:themeColor="accent1" w:themeShade="BF"/>
        </w:rPr>
        <w:t xml:space="preserve"> if available for GIS shapefile</w:t>
      </w:r>
      <w:r w:rsidR="001351C7" w:rsidRPr="00DE6A00">
        <w:rPr>
          <w:rFonts w:ascii="Arial" w:eastAsia="Times New Roman" w:hAnsi="Arial" w:cs="Arial"/>
          <w:color w:val="2F5496" w:themeColor="accent1" w:themeShade="BF"/>
        </w:rPr>
        <w:t xml:space="preserve">. </w:t>
      </w:r>
      <w:r w:rsidR="00C84530" w:rsidRPr="00DE6A00">
        <w:rPr>
          <w:rFonts w:ascii="Arial" w:eastAsia="Times New Roman" w:hAnsi="Arial" w:cs="Arial"/>
          <w:color w:val="2F5496" w:themeColor="accent1" w:themeShade="BF"/>
        </w:rPr>
        <w:t xml:space="preserve">If possible, please include a map </w:t>
      </w:r>
      <w:r w:rsidR="00BC4C21" w:rsidRPr="00DE6A00">
        <w:rPr>
          <w:rFonts w:ascii="Arial" w:eastAsia="Times New Roman" w:hAnsi="Arial" w:cs="Arial"/>
          <w:color w:val="2F5496" w:themeColor="accent1" w:themeShade="BF"/>
        </w:rPr>
        <w:t>showing this multi-year vaccination plan.</w:t>
      </w:r>
    </w:p>
    <w:p w14:paraId="18C2ECC5" w14:textId="6349FD3E" w:rsidR="00107400" w:rsidRPr="00DE6A00" w:rsidRDefault="006212F8" w:rsidP="00B730A0">
      <w:pPr>
        <w:numPr>
          <w:ilvl w:val="0"/>
          <w:numId w:val="3"/>
        </w:numPr>
        <w:spacing w:after="0" w:line="240" w:lineRule="auto"/>
        <w:jc w:val="both"/>
        <w:textAlignment w:val="center"/>
        <w:rPr>
          <w:rFonts w:ascii="Arial" w:eastAsia="Times New Roman" w:hAnsi="Arial" w:cs="Arial"/>
          <w:b/>
          <w:bCs/>
          <w:color w:val="2F5496" w:themeColor="accent1" w:themeShade="BF"/>
        </w:rPr>
      </w:pPr>
      <w:r w:rsidRPr="00DE6A00">
        <w:rPr>
          <w:rFonts w:ascii="Arial" w:eastAsia="Times New Roman" w:hAnsi="Arial" w:cs="Arial"/>
          <w:b/>
          <w:bCs/>
          <w:color w:val="2F5496" w:themeColor="accent1" w:themeShade="BF"/>
        </w:rPr>
        <w:t xml:space="preserve">Incorporation of </w:t>
      </w:r>
      <w:r w:rsidR="009A5A8F" w:rsidRPr="00DE6A00">
        <w:rPr>
          <w:rFonts w:ascii="Arial" w:eastAsia="Times New Roman" w:hAnsi="Arial" w:cs="Arial"/>
          <w:b/>
          <w:bCs/>
          <w:color w:val="2F5496" w:themeColor="accent1" w:themeShade="BF"/>
        </w:rPr>
        <w:t xml:space="preserve">successful strategies and </w:t>
      </w:r>
      <w:r w:rsidRPr="00DE6A00">
        <w:rPr>
          <w:rFonts w:ascii="Arial" w:eastAsia="Times New Roman" w:hAnsi="Arial" w:cs="Arial"/>
          <w:b/>
          <w:bCs/>
          <w:color w:val="2F5496" w:themeColor="accent1" w:themeShade="BF"/>
        </w:rPr>
        <w:t>l</w:t>
      </w:r>
      <w:r w:rsidR="00107400" w:rsidRPr="00DE6A00">
        <w:rPr>
          <w:rFonts w:ascii="Arial" w:eastAsia="Times New Roman" w:hAnsi="Arial" w:cs="Arial"/>
          <w:b/>
          <w:bCs/>
          <w:color w:val="2F5496" w:themeColor="accent1" w:themeShade="BF"/>
        </w:rPr>
        <w:t xml:space="preserve">essons learned: </w:t>
      </w:r>
      <w:r w:rsidR="00FE40FB" w:rsidRPr="00DE6A00">
        <w:rPr>
          <w:rFonts w:ascii="Arial" w:eastAsia="Times New Roman" w:hAnsi="Arial" w:cs="Arial"/>
          <w:color w:val="2F5496" w:themeColor="accent1" w:themeShade="BF"/>
        </w:rPr>
        <w:t>P</w:t>
      </w:r>
      <w:r w:rsidR="00107400" w:rsidRPr="00DE6A00">
        <w:rPr>
          <w:rFonts w:ascii="Arial" w:eastAsia="Times New Roman" w:hAnsi="Arial" w:cs="Arial"/>
          <w:color w:val="2F5496" w:themeColor="accent1" w:themeShade="BF"/>
        </w:rPr>
        <w:t xml:space="preserve">rovide information on vaccine coverage </w:t>
      </w:r>
      <w:r w:rsidR="00BC7540" w:rsidRPr="00DE6A00">
        <w:rPr>
          <w:rFonts w:ascii="Arial" w:eastAsia="Times New Roman" w:hAnsi="Arial" w:cs="Arial"/>
          <w:color w:val="2F5496" w:themeColor="accent1" w:themeShade="BF"/>
        </w:rPr>
        <w:t xml:space="preserve">(both administrative and survey) </w:t>
      </w:r>
      <w:r w:rsidR="00107400" w:rsidRPr="00DE6A00">
        <w:rPr>
          <w:rFonts w:ascii="Arial" w:eastAsia="Times New Roman" w:hAnsi="Arial" w:cs="Arial"/>
          <w:color w:val="2F5496" w:themeColor="accent1" w:themeShade="BF"/>
        </w:rPr>
        <w:t xml:space="preserve">reached in the most recent three </w:t>
      </w:r>
      <w:r w:rsidR="00FE40FB" w:rsidRPr="00DE6A00">
        <w:rPr>
          <w:rFonts w:ascii="Arial" w:eastAsia="Times New Roman" w:hAnsi="Arial" w:cs="Arial"/>
          <w:color w:val="2F5496" w:themeColor="accent1" w:themeShade="BF"/>
        </w:rPr>
        <w:t xml:space="preserve">OCV </w:t>
      </w:r>
      <w:r w:rsidR="00107400" w:rsidRPr="00DE6A00">
        <w:rPr>
          <w:rFonts w:ascii="Arial" w:eastAsia="Times New Roman" w:hAnsi="Arial" w:cs="Arial"/>
          <w:color w:val="2F5496" w:themeColor="accent1" w:themeShade="BF"/>
        </w:rPr>
        <w:t xml:space="preserve">campaigns </w:t>
      </w:r>
      <w:r w:rsidR="00E836F9" w:rsidRPr="00DE6A00">
        <w:rPr>
          <w:rFonts w:ascii="Arial" w:eastAsia="Times New Roman" w:hAnsi="Arial" w:cs="Arial"/>
          <w:color w:val="2F5496" w:themeColor="accent1" w:themeShade="BF"/>
        </w:rPr>
        <w:t>(or other</w:t>
      </w:r>
      <w:r w:rsidR="008132EA" w:rsidRPr="00DE6A00">
        <w:rPr>
          <w:rFonts w:ascii="Arial" w:eastAsia="Times New Roman" w:hAnsi="Arial" w:cs="Arial"/>
          <w:color w:val="2F5496" w:themeColor="accent1" w:themeShade="BF"/>
        </w:rPr>
        <w:t xml:space="preserve"> vaccine</w:t>
      </w:r>
      <w:r w:rsidR="00E836F9" w:rsidRPr="00DE6A00">
        <w:rPr>
          <w:rFonts w:ascii="Arial" w:eastAsia="Times New Roman" w:hAnsi="Arial" w:cs="Arial"/>
          <w:color w:val="2F5496" w:themeColor="accent1" w:themeShade="BF"/>
        </w:rPr>
        <w:t xml:space="preserve"> </w:t>
      </w:r>
      <w:r w:rsidR="00111C95" w:rsidRPr="00DE6A00">
        <w:rPr>
          <w:rFonts w:ascii="Arial" w:eastAsia="Times New Roman" w:hAnsi="Arial" w:cs="Arial"/>
          <w:color w:val="2F5496" w:themeColor="accent1" w:themeShade="BF"/>
        </w:rPr>
        <w:t>with similar vaccination strategy</w:t>
      </w:r>
      <w:r w:rsidR="00FE40FB" w:rsidRPr="00DE6A00">
        <w:rPr>
          <w:rFonts w:ascii="Arial" w:eastAsia="Times New Roman" w:hAnsi="Arial" w:cs="Arial"/>
          <w:color w:val="2F5496" w:themeColor="accent1" w:themeShade="BF"/>
        </w:rPr>
        <w:t xml:space="preserve"> or target population</w:t>
      </w:r>
      <w:r w:rsidR="00111C95" w:rsidRPr="00DE6A00">
        <w:rPr>
          <w:rFonts w:ascii="Arial" w:eastAsia="Times New Roman" w:hAnsi="Arial" w:cs="Arial"/>
          <w:color w:val="2F5496" w:themeColor="accent1" w:themeShade="BF"/>
        </w:rPr>
        <w:t>)</w:t>
      </w:r>
      <w:r w:rsidR="00107400" w:rsidRPr="00DE6A00">
        <w:rPr>
          <w:rFonts w:ascii="Arial" w:eastAsia="Times New Roman" w:hAnsi="Arial" w:cs="Arial"/>
          <w:color w:val="2F5496" w:themeColor="accent1" w:themeShade="BF"/>
        </w:rPr>
        <w:t xml:space="preserve">. In addition to this, the plan should identify the primary lessons from previous </w:t>
      </w:r>
      <w:r w:rsidR="009A5A8F" w:rsidRPr="00DE6A00">
        <w:rPr>
          <w:rFonts w:ascii="Arial" w:eastAsia="Times New Roman" w:hAnsi="Arial" w:cs="Arial"/>
          <w:color w:val="2F5496" w:themeColor="accent1" w:themeShade="BF"/>
        </w:rPr>
        <w:t xml:space="preserve">recent </w:t>
      </w:r>
      <w:r w:rsidR="00107400" w:rsidRPr="00DE6A00">
        <w:rPr>
          <w:rFonts w:ascii="Arial" w:eastAsia="Times New Roman" w:hAnsi="Arial" w:cs="Arial"/>
          <w:color w:val="2F5496" w:themeColor="accent1" w:themeShade="BF"/>
        </w:rPr>
        <w:t>vaccination campaigns</w:t>
      </w:r>
      <w:r w:rsidR="009A5A8F" w:rsidRPr="00DE6A00">
        <w:rPr>
          <w:rFonts w:ascii="Arial" w:eastAsia="Times New Roman" w:hAnsi="Arial" w:cs="Arial"/>
          <w:color w:val="2F5496" w:themeColor="accent1" w:themeShade="BF"/>
        </w:rPr>
        <w:t xml:space="preserve"> (OCV or other antigen)</w:t>
      </w:r>
      <w:r w:rsidR="00107400" w:rsidRPr="00DE6A00">
        <w:rPr>
          <w:rFonts w:ascii="Arial" w:eastAsia="Times New Roman" w:hAnsi="Arial" w:cs="Arial"/>
          <w:color w:val="2F5496" w:themeColor="accent1" w:themeShade="BF"/>
        </w:rPr>
        <w:t xml:space="preserve">, and indicate how they are being </w:t>
      </w:r>
      <w:r w:rsidR="009A5A8F" w:rsidRPr="00DE6A00">
        <w:rPr>
          <w:rFonts w:ascii="Arial" w:eastAsia="Times New Roman" w:hAnsi="Arial" w:cs="Arial"/>
          <w:color w:val="2F5496" w:themeColor="accent1" w:themeShade="BF"/>
        </w:rPr>
        <w:t xml:space="preserve">incorporated and/or </w:t>
      </w:r>
      <w:r w:rsidR="00107400" w:rsidRPr="00DE6A00">
        <w:rPr>
          <w:rFonts w:ascii="Arial" w:eastAsia="Times New Roman" w:hAnsi="Arial" w:cs="Arial"/>
          <w:color w:val="2F5496" w:themeColor="accent1" w:themeShade="BF"/>
        </w:rPr>
        <w:t xml:space="preserve">addressed in planning the </w:t>
      </w:r>
      <w:r w:rsidR="00C84530" w:rsidRPr="00DE6A00">
        <w:rPr>
          <w:rFonts w:ascii="Arial" w:eastAsia="Times New Roman" w:hAnsi="Arial" w:cs="Arial"/>
          <w:color w:val="2F5496" w:themeColor="accent1" w:themeShade="BF"/>
        </w:rPr>
        <w:t>up-coming OCV</w:t>
      </w:r>
      <w:r w:rsidR="00107400" w:rsidRPr="00DE6A00">
        <w:rPr>
          <w:rFonts w:ascii="Arial" w:eastAsia="Times New Roman" w:hAnsi="Arial" w:cs="Arial"/>
          <w:color w:val="2F5496" w:themeColor="accent1" w:themeShade="BF"/>
        </w:rPr>
        <w:t xml:space="preserve"> campaign</w:t>
      </w:r>
      <w:r w:rsidR="00C84530" w:rsidRPr="00DE6A00">
        <w:rPr>
          <w:rFonts w:ascii="Arial" w:eastAsia="Times New Roman" w:hAnsi="Arial" w:cs="Arial"/>
          <w:color w:val="2F5496" w:themeColor="accent1" w:themeShade="BF"/>
        </w:rPr>
        <w:t>s</w:t>
      </w:r>
      <w:r w:rsidR="00107400" w:rsidRPr="00DE6A00">
        <w:rPr>
          <w:rFonts w:ascii="Arial" w:eastAsia="Times New Roman" w:hAnsi="Arial" w:cs="Arial"/>
          <w:color w:val="2F5496" w:themeColor="accent1" w:themeShade="BF"/>
        </w:rPr>
        <w:t>.</w:t>
      </w:r>
      <w:r w:rsidR="009C5927" w:rsidRPr="00DE6A00">
        <w:rPr>
          <w:rFonts w:ascii="Arial" w:eastAsia="Times New Roman" w:hAnsi="Arial" w:cs="Arial"/>
          <w:color w:val="2F5496" w:themeColor="accent1" w:themeShade="BF"/>
        </w:rPr>
        <w:t xml:space="preserve"> Other broader learning from on-going immunization program implementation that should be reflected in the OCV </w:t>
      </w:r>
      <w:r w:rsidR="0033297C" w:rsidRPr="00DE6A00">
        <w:rPr>
          <w:rFonts w:ascii="Arial" w:eastAsia="Times New Roman" w:hAnsi="Arial" w:cs="Arial"/>
          <w:color w:val="2F5496" w:themeColor="accent1" w:themeShade="BF"/>
        </w:rPr>
        <w:t>campaign implementation (e.g., related to demand generation a</w:t>
      </w:r>
      <w:r w:rsidR="00227211" w:rsidRPr="00DE6A00">
        <w:rPr>
          <w:rFonts w:ascii="Arial" w:eastAsia="Times New Roman" w:hAnsi="Arial" w:cs="Arial"/>
          <w:color w:val="2F5496" w:themeColor="accent1" w:themeShade="BF"/>
        </w:rPr>
        <w:t>nd vaccine hesitancy</w:t>
      </w:r>
      <w:r w:rsidR="0033297C" w:rsidRPr="00DE6A00">
        <w:rPr>
          <w:rFonts w:ascii="Arial" w:eastAsia="Times New Roman" w:hAnsi="Arial" w:cs="Arial"/>
          <w:color w:val="2F5496" w:themeColor="accent1" w:themeShade="BF"/>
        </w:rPr>
        <w:t>, cold chain, campaign monitoring strategies) can also be included here.</w:t>
      </w:r>
    </w:p>
    <w:p w14:paraId="09020023" w14:textId="77777777" w:rsidR="00107400" w:rsidRPr="00DE6A00" w:rsidRDefault="00107400" w:rsidP="00B730A0">
      <w:pPr>
        <w:spacing w:after="0" w:line="240" w:lineRule="auto"/>
        <w:ind w:left="540"/>
        <w:jc w:val="both"/>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 </w:t>
      </w:r>
    </w:p>
    <w:p w14:paraId="77958A26" w14:textId="144ECAA6" w:rsidR="00D84F50" w:rsidRPr="00DE6A00" w:rsidRDefault="00107400" w:rsidP="00B730A0">
      <w:pPr>
        <w:numPr>
          <w:ilvl w:val="0"/>
          <w:numId w:val="4"/>
        </w:numPr>
        <w:spacing w:after="0"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b/>
          <w:bCs/>
          <w:color w:val="2F5496" w:themeColor="accent1" w:themeShade="BF"/>
        </w:rPr>
        <w:t xml:space="preserve">Government and </w:t>
      </w:r>
      <w:r w:rsidR="00E723CD" w:rsidRPr="00DE6A00">
        <w:rPr>
          <w:rFonts w:ascii="Arial" w:eastAsia="Times New Roman" w:hAnsi="Arial" w:cs="Arial"/>
          <w:b/>
          <w:bCs/>
          <w:color w:val="2F5496" w:themeColor="accent1" w:themeShade="BF"/>
        </w:rPr>
        <w:t>pa</w:t>
      </w:r>
      <w:r w:rsidRPr="00DE6A00">
        <w:rPr>
          <w:rFonts w:ascii="Arial" w:eastAsia="Times New Roman" w:hAnsi="Arial" w:cs="Arial"/>
          <w:b/>
          <w:bCs/>
          <w:color w:val="2F5496" w:themeColor="accent1" w:themeShade="BF"/>
        </w:rPr>
        <w:t>rtner support</w:t>
      </w:r>
      <w:r w:rsidR="009B121B" w:rsidRPr="00DE6A00">
        <w:rPr>
          <w:rFonts w:ascii="Arial" w:eastAsia="Times New Roman" w:hAnsi="Arial" w:cs="Arial"/>
          <w:b/>
          <w:bCs/>
          <w:color w:val="2F5496" w:themeColor="accent1" w:themeShade="BF"/>
        </w:rPr>
        <w:t xml:space="preserve"> </w:t>
      </w:r>
      <w:r w:rsidR="00E723CD" w:rsidRPr="00DE6A00">
        <w:rPr>
          <w:rFonts w:ascii="Arial" w:eastAsia="Times New Roman" w:hAnsi="Arial" w:cs="Arial"/>
          <w:b/>
          <w:bCs/>
          <w:color w:val="2F5496" w:themeColor="accent1" w:themeShade="BF"/>
        </w:rPr>
        <w:t>&amp;</w:t>
      </w:r>
      <w:r w:rsidR="009B121B" w:rsidRPr="00DE6A00">
        <w:rPr>
          <w:rFonts w:ascii="Arial" w:eastAsia="Times New Roman" w:hAnsi="Arial" w:cs="Arial"/>
          <w:b/>
          <w:bCs/>
          <w:color w:val="2F5496" w:themeColor="accent1" w:themeShade="BF"/>
        </w:rPr>
        <w:t xml:space="preserve"> Coordination</w:t>
      </w:r>
      <w:r w:rsidRPr="00DE6A00">
        <w:rPr>
          <w:rFonts w:ascii="Arial" w:eastAsia="Times New Roman" w:hAnsi="Arial" w:cs="Arial"/>
          <w:b/>
          <w:bCs/>
          <w:color w:val="2F5496" w:themeColor="accent1" w:themeShade="BF"/>
        </w:rPr>
        <w:t xml:space="preserve">: </w:t>
      </w:r>
    </w:p>
    <w:p w14:paraId="2CCBE587" w14:textId="41AEBFC0" w:rsidR="00107400" w:rsidRPr="00DE6A00" w:rsidRDefault="00107400" w:rsidP="00B730A0">
      <w:pPr>
        <w:pStyle w:val="ListParagraph"/>
        <w:numPr>
          <w:ilvl w:val="4"/>
          <w:numId w:val="9"/>
        </w:numPr>
        <w:spacing w:after="0" w:line="240" w:lineRule="auto"/>
        <w:ind w:left="1440"/>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 xml:space="preserve">List government departments and </w:t>
      </w:r>
      <w:r w:rsidR="00173060" w:rsidRPr="00DE6A00">
        <w:rPr>
          <w:rFonts w:ascii="Arial" w:eastAsia="Times New Roman" w:hAnsi="Arial" w:cs="Arial"/>
          <w:color w:val="2F5496" w:themeColor="accent1" w:themeShade="BF"/>
        </w:rPr>
        <w:t xml:space="preserve">in-country partners </w:t>
      </w:r>
      <w:r w:rsidRPr="00DE6A00">
        <w:rPr>
          <w:rFonts w:ascii="Arial" w:eastAsia="Times New Roman" w:hAnsi="Arial" w:cs="Arial"/>
          <w:color w:val="2F5496" w:themeColor="accent1" w:themeShade="BF"/>
        </w:rPr>
        <w:t xml:space="preserve">and their role(s) in supporting implementation </w:t>
      </w:r>
      <w:r w:rsidR="0095417F" w:rsidRPr="00DE6A00">
        <w:rPr>
          <w:rFonts w:ascii="Arial" w:eastAsia="Times New Roman" w:hAnsi="Arial" w:cs="Arial"/>
          <w:color w:val="2F5496" w:themeColor="accent1" w:themeShade="BF"/>
        </w:rPr>
        <w:t xml:space="preserve">and monitoring </w:t>
      </w:r>
      <w:r w:rsidRPr="00DE6A00">
        <w:rPr>
          <w:rFonts w:ascii="Arial" w:eastAsia="Times New Roman" w:hAnsi="Arial" w:cs="Arial"/>
          <w:color w:val="2F5496" w:themeColor="accent1" w:themeShade="BF"/>
        </w:rPr>
        <w:t xml:space="preserve">of the vaccination plan. List local and international partners planning to support this vaccination plan, and their roles in provision of technical assistance (e.g., epidemiologist, logistician, external monitors, laboratory support, etc.), operations, and social mobilisation. </w:t>
      </w:r>
    </w:p>
    <w:p w14:paraId="6CDCCA29" w14:textId="1CD03E6F" w:rsidR="003F1119" w:rsidRPr="00DE6A00" w:rsidRDefault="003F1119" w:rsidP="00B730A0">
      <w:pPr>
        <w:pStyle w:val="ListParagraph"/>
        <w:numPr>
          <w:ilvl w:val="4"/>
          <w:numId w:val="9"/>
        </w:numPr>
        <w:ind w:left="1440"/>
        <w:jc w:val="both"/>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 xml:space="preserve">Describe how OCV campaign planning will be </w:t>
      </w:r>
      <w:r w:rsidR="000554F4" w:rsidRPr="00DE6A00">
        <w:rPr>
          <w:rFonts w:ascii="Arial" w:eastAsia="Times New Roman" w:hAnsi="Arial" w:cs="Arial"/>
          <w:color w:val="2F5496" w:themeColor="accent1" w:themeShade="BF"/>
        </w:rPr>
        <w:t>conducted in coordination</w:t>
      </w:r>
      <w:r w:rsidRPr="00DE6A00">
        <w:rPr>
          <w:rFonts w:ascii="Arial" w:eastAsia="Times New Roman" w:hAnsi="Arial" w:cs="Arial"/>
          <w:color w:val="2F5496" w:themeColor="accent1" w:themeShade="BF"/>
        </w:rPr>
        <w:t xml:space="preserve"> with the EPI </w:t>
      </w:r>
      <w:r w:rsidR="000554F4" w:rsidRPr="00DE6A00">
        <w:rPr>
          <w:rFonts w:ascii="Arial" w:eastAsia="Times New Roman" w:hAnsi="Arial" w:cs="Arial"/>
          <w:color w:val="2F5496" w:themeColor="accent1" w:themeShade="BF"/>
        </w:rPr>
        <w:t>Unit</w:t>
      </w:r>
      <w:r w:rsidR="004E5A8A" w:rsidRPr="00DE6A00">
        <w:rPr>
          <w:rFonts w:ascii="Arial" w:eastAsia="Times New Roman" w:hAnsi="Arial" w:cs="Arial"/>
          <w:color w:val="2F5496" w:themeColor="accent1" w:themeShade="BF"/>
        </w:rPr>
        <w:t>, and the</w:t>
      </w:r>
      <w:r w:rsidRPr="00DE6A00">
        <w:rPr>
          <w:rFonts w:ascii="Arial" w:eastAsia="Times New Roman" w:hAnsi="Arial" w:cs="Arial"/>
          <w:color w:val="2F5496" w:themeColor="accent1" w:themeShade="BF"/>
        </w:rPr>
        <w:t xml:space="preserve"> coordination mechanisms </w:t>
      </w:r>
      <w:r w:rsidR="004E5A8A" w:rsidRPr="00DE6A00">
        <w:rPr>
          <w:rFonts w:ascii="Arial" w:eastAsia="Times New Roman" w:hAnsi="Arial" w:cs="Arial"/>
          <w:color w:val="2F5496" w:themeColor="accent1" w:themeShade="BF"/>
        </w:rPr>
        <w:t xml:space="preserve">that </w:t>
      </w:r>
      <w:r w:rsidRPr="00DE6A00">
        <w:rPr>
          <w:rFonts w:ascii="Arial" w:eastAsia="Times New Roman" w:hAnsi="Arial" w:cs="Arial"/>
          <w:color w:val="2F5496" w:themeColor="accent1" w:themeShade="BF"/>
        </w:rPr>
        <w:t>will be put in place.</w:t>
      </w:r>
      <w:r w:rsidR="00856350" w:rsidRPr="00DE6A00">
        <w:rPr>
          <w:rFonts w:ascii="Arial" w:eastAsia="Times New Roman" w:hAnsi="Arial" w:cs="Arial"/>
          <w:color w:val="2F5496" w:themeColor="accent1" w:themeShade="BF"/>
        </w:rPr>
        <w:t xml:space="preserve"> Describe any other coordination that will take place for concurrent activities, such as WASH interventions during the campaign(s).</w:t>
      </w:r>
      <w:r w:rsidRPr="00DE6A00">
        <w:rPr>
          <w:rFonts w:ascii="Arial" w:eastAsia="Times New Roman" w:hAnsi="Arial" w:cs="Arial"/>
          <w:color w:val="2F5496" w:themeColor="accent1" w:themeShade="BF"/>
        </w:rPr>
        <w:t xml:space="preserve"> </w:t>
      </w:r>
      <w:r w:rsidR="00A640E1" w:rsidRPr="00DE6A00">
        <w:rPr>
          <w:rFonts w:ascii="Arial" w:eastAsia="Times New Roman" w:hAnsi="Arial" w:cs="Arial"/>
          <w:color w:val="2F5496" w:themeColor="accent1" w:themeShade="BF"/>
        </w:rPr>
        <w:t>(Refer to section 4.b where appropriate)</w:t>
      </w:r>
    </w:p>
    <w:p w14:paraId="25314955" w14:textId="7BF7F8CB" w:rsidR="00107400" w:rsidRPr="00DE6A00" w:rsidRDefault="00107400" w:rsidP="00B730A0">
      <w:pPr>
        <w:spacing w:after="0" w:line="240" w:lineRule="auto"/>
        <w:jc w:val="both"/>
        <w:rPr>
          <w:rFonts w:ascii="Arial" w:eastAsia="Times New Roman" w:hAnsi="Arial" w:cs="Arial"/>
          <w:color w:val="2F5496" w:themeColor="accent1" w:themeShade="BF"/>
        </w:rPr>
      </w:pPr>
    </w:p>
    <w:p w14:paraId="3819EB5E" w14:textId="34B114AC" w:rsidR="00A62CCD" w:rsidRPr="00DE6A00" w:rsidRDefault="00107400" w:rsidP="00B730A0">
      <w:pPr>
        <w:pStyle w:val="ListParagraph"/>
        <w:numPr>
          <w:ilvl w:val="0"/>
          <w:numId w:val="4"/>
        </w:numPr>
        <w:spacing w:after="0" w:line="240" w:lineRule="auto"/>
        <w:jc w:val="both"/>
        <w:textAlignment w:val="center"/>
        <w:rPr>
          <w:rFonts w:ascii="Arial" w:eastAsia="Times New Roman" w:hAnsi="Arial" w:cs="Arial"/>
          <w:b/>
          <w:bCs/>
          <w:color w:val="2F5496" w:themeColor="accent1" w:themeShade="BF"/>
        </w:rPr>
      </w:pPr>
      <w:r w:rsidRPr="00DE6A00">
        <w:rPr>
          <w:rFonts w:ascii="Arial" w:eastAsia="Times New Roman" w:hAnsi="Arial" w:cs="Arial"/>
          <w:b/>
          <w:bCs/>
          <w:color w:val="2F5496" w:themeColor="accent1" w:themeShade="BF"/>
        </w:rPr>
        <w:t xml:space="preserve">Planning and implementation </w:t>
      </w:r>
    </w:p>
    <w:p w14:paraId="73896888" w14:textId="1755AFBE" w:rsidR="00A62CCD" w:rsidRPr="00DE6A00" w:rsidRDefault="00314CC2" w:rsidP="00B730A0">
      <w:pPr>
        <w:pStyle w:val="ListParagraph"/>
        <w:numPr>
          <w:ilvl w:val="3"/>
          <w:numId w:val="4"/>
        </w:numPr>
        <w:spacing w:after="0" w:line="240" w:lineRule="auto"/>
        <w:ind w:left="1440"/>
        <w:jc w:val="both"/>
        <w:textAlignment w:val="center"/>
        <w:rPr>
          <w:rFonts w:ascii="Arial" w:eastAsia="Times New Roman" w:hAnsi="Arial" w:cs="Arial"/>
          <w:b/>
          <w:bCs/>
          <w:color w:val="2F5496" w:themeColor="accent1" w:themeShade="BF"/>
        </w:rPr>
      </w:pPr>
      <w:proofErr w:type="spellStart"/>
      <w:r w:rsidRPr="00DE6A00">
        <w:rPr>
          <w:rFonts w:ascii="Arial" w:eastAsia="Times New Roman" w:hAnsi="Arial" w:cs="Arial"/>
          <w:b/>
          <w:bCs/>
          <w:color w:val="2F5496" w:themeColor="accent1" w:themeShade="BF"/>
        </w:rPr>
        <w:t>Macroplan</w:t>
      </w:r>
      <w:proofErr w:type="spellEnd"/>
      <w:r w:rsidR="00107400" w:rsidRPr="00DE6A00">
        <w:rPr>
          <w:rFonts w:ascii="Arial" w:eastAsia="Times New Roman" w:hAnsi="Arial" w:cs="Arial"/>
          <w:color w:val="2F5496" w:themeColor="accent1" w:themeShade="BF"/>
        </w:rPr>
        <w:t xml:space="preserve">: Countries must provide a </w:t>
      </w:r>
      <w:proofErr w:type="spellStart"/>
      <w:r w:rsidR="005C44C5" w:rsidRPr="00DE6A00">
        <w:rPr>
          <w:rFonts w:ascii="Arial" w:eastAsia="Times New Roman" w:hAnsi="Arial" w:cs="Arial"/>
          <w:color w:val="2F5496" w:themeColor="accent1" w:themeShade="BF"/>
        </w:rPr>
        <w:t>macroplan</w:t>
      </w:r>
      <w:proofErr w:type="spellEnd"/>
      <w:r w:rsidR="00107400" w:rsidRPr="00DE6A00">
        <w:rPr>
          <w:rFonts w:ascii="Arial" w:eastAsia="Times New Roman" w:hAnsi="Arial" w:cs="Arial"/>
          <w:color w:val="2F5496" w:themeColor="accent1" w:themeShade="BF"/>
        </w:rPr>
        <w:t xml:space="preserve"> </w:t>
      </w:r>
      <w:r w:rsidR="005C44C5" w:rsidRPr="00DE6A00">
        <w:rPr>
          <w:rFonts w:ascii="Arial" w:eastAsia="Times New Roman" w:hAnsi="Arial" w:cs="Arial"/>
          <w:color w:val="2F5496" w:themeColor="accent1" w:themeShade="BF"/>
        </w:rPr>
        <w:t xml:space="preserve">describing </w:t>
      </w:r>
      <w:r w:rsidR="005370B6" w:rsidRPr="00DE6A00">
        <w:rPr>
          <w:rFonts w:ascii="Arial" w:eastAsia="Times New Roman" w:hAnsi="Arial" w:cs="Arial"/>
          <w:color w:val="2F5496" w:themeColor="accent1" w:themeShade="BF"/>
        </w:rPr>
        <w:t xml:space="preserve">the timeline of </w:t>
      </w:r>
      <w:r w:rsidR="005C44C5" w:rsidRPr="00DE6A00">
        <w:rPr>
          <w:rFonts w:ascii="Arial" w:eastAsia="Times New Roman" w:hAnsi="Arial" w:cs="Arial"/>
          <w:color w:val="2F5496" w:themeColor="accent1" w:themeShade="BF"/>
        </w:rPr>
        <w:t xml:space="preserve">activities </w:t>
      </w:r>
      <w:r w:rsidR="00107400" w:rsidRPr="00DE6A00">
        <w:rPr>
          <w:rFonts w:ascii="Arial" w:eastAsia="Times New Roman" w:hAnsi="Arial" w:cs="Arial"/>
          <w:color w:val="2F5496" w:themeColor="accent1" w:themeShade="BF"/>
        </w:rPr>
        <w:t>for campaign planning</w:t>
      </w:r>
      <w:r w:rsidR="005C44C5" w:rsidRPr="00DE6A00">
        <w:rPr>
          <w:rFonts w:ascii="Arial" w:eastAsia="Times New Roman" w:hAnsi="Arial" w:cs="Arial"/>
          <w:color w:val="2F5496" w:themeColor="accent1" w:themeShade="BF"/>
        </w:rPr>
        <w:t>,</w:t>
      </w:r>
      <w:r w:rsidR="00107400" w:rsidRPr="00DE6A00">
        <w:rPr>
          <w:rFonts w:ascii="Arial" w:eastAsia="Times New Roman" w:hAnsi="Arial" w:cs="Arial"/>
          <w:color w:val="2F5496" w:themeColor="accent1" w:themeShade="BF"/>
        </w:rPr>
        <w:t xml:space="preserve"> implementation</w:t>
      </w:r>
      <w:r w:rsidR="005C44C5" w:rsidRPr="00DE6A00">
        <w:rPr>
          <w:rFonts w:ascii="Arial" w:eastAsia="Times New Roman" w:hAnsi="Arial" w:cs="Arial"/>
          <w:color w:val="2F5496" w:themeColor="accent1" w:themeShade="BF"/>
        </w:rPr>
        <w:t>, and monitoring</w:t>
      </w:r>
      <w:r w:rsidR="009F1684" w:rsidRPr="00DE6A00">
        <w:rPr>
          <w:rFonts w:ascii="Arial" w:eastAsia="Times New Roman" w:hAnsi="Arial" w:cs="Arial"/>
          <w:color w:val="2F5496" w:themeColor="accent1" w:themeShade="BF"/>
        </w:rPr>
        <w:t xml:space="preserve"> and evaluation</w:t>
      </w:r>
      <w:r w:rsidR="005C44C5" w:rsidRPr="00DE6A00">
        <w:rPr>
          <w:rFonts w:ascii="Arial" w:eastAsia="Times New Roman" w:hAnsi="Arial" w:cs="Arial"/>
          <w:color w:val="2F5496" w:themeColor="accent1" w:themeShade="BF"/>
        </w:rPr>
        <w:t xml:space="preserve">. See example template </w:t>
      </w:r>
      <w:r w:rsidR="002E1062" w:rsidRPr="00DE6A00">
        <w:rPr>
          <w:rFonts w:ascii="Arial" w:eastAsia="Times New Roman" w:hAnsi="Arial" w:cs="Arial"/>
          <w:color w:val="2F5496" w:themeColor="accent1" w:themeShade="BF"/>
        </w:rPr>
        <w:t>in the GTFCC hotspot workbook (link)</w:t>
      </w:r>
      <w:r w:rsidR="005C44C5" w:rsidRPr="00DE6A00">
        <w:rPr>
          <w:rFonts w:ascii="Arial" w:eastAsia="Times New Roman" w:hAnsi="Arial" w:cs="Arial"/>
          <w:color w:val="2F5496" w:themeColor="accent1" w:themeShade="BF"/>
        </w:rPr>
        <w:t>.</w:t>
      </w:r>
      <w:r w:rsidR="00A62CCD" w:rsidRPr="00DE6A00">
        <w:rPr>
          <w:rFonts w:ascii="Arial" w:eastAsia="Times New Roman" w:hAnsi="Arial" w:cs="Arial"/>
          <w:color w:val="2F5496" w:themeColor="accent1" w:themeShade="BF"/>
        </w:rPr>
        <w:t xml:space="preserve"> </w:t>
      </w:r>
      <w:r w:rsidR="009D2265" w:rsidRPr="00DE6A00">
        <w:rPr>
          <w:rFonts w:ascii="Arial" w:eastAsia="Times New Roman" w:hAnsi="Arial" w:cs="Arial"/>
          <w:color w:val="2F5496" w:themeColor="accent1" w:themeShade="BF"/>
        </w:rPr>
        <w:t xml:space="preserve">A minimum of 6 (six) </w:t>
      </w:r>
      <w:r w:rsidR="009D2265" w:rsidRPr="00DE6A00">
        <w:rPr>
          <w:rFonts w:ascii="Arial" w:eastAsia="Times New Roman" w:hAnsi="Arial" w:cs="Arial"/>
          <w:color w:val="2F5496" w:themeColor="accent1" w:themeShade="BF"/>
        </w:rPr>
        <w:lastRenderedPageBreak/>
        <w:t>months is recommended between application approval and the start of the first campaign to allow sufficient time for p</w:t>
      </w:r>
      <w:r w:rsidR="00AD15D5" w:rsidRPr="00DE6A00">
        <w:rPr>
          <w:rFonts w:ascii="Arial" w:eastAsia="Times New Roman" w:hAnsi="Arial" w:cs="Arial"/>
          <w:color w:val="2F5496" w:themeColor="accent1" w:themeShade="BF"/>
        </w:rPr>
        <w:t>lanning, vaccine allocation and shipment.</w:t>
      </w:r>
    </w:p>
    <w:p w14:paraId="288C377E" w14:textId="77777777" w:rsidR="00A62CCD" w:rsidRPr="00DE6A00" w:rsidRDefault="00A62CCD" w:rsidP="00B730A0">
      <w:pPr>
        <w:spacing w:after="0" w:line="240" w:lineRule="auto"/>
        <w:ind w:left="1440"/>
        <w:jc w:val="both"/>
        <w:textAlignment w:val="center"/>
        <w:rPr>
          <w:rFonts w:ascii="Arial" w:eastAsia="Times New Roman" w:hAnsi="Arial" w:cs="Arial"/>
          <w:b/>
          <w:bCs/>
          <w:color w:val="2F5496" w:themeColor="accent1" w:themeShade="BF"/>
        </w:rPr>
      </w:pPr>
    </w:p>
    <w:p w14:paraId="2BACFB0B" w14:textId="1289FA55" w:rsidR="00A43940" w:rsidRPr="009D356D" w:rsidRDefault="00107400" w:rsidP="009D356D">
      <w:pPr>
        <w:pStyle w:val="ListParagraph"/>
        <w:spacing w:after="0" w:line="240" w:lineRule="auto"/>
        <w:ind w:left="1440"/>
        <w:jc w:val="both"/>
        <w:textAlignment w:val="center"/>
        <w:rPr>
          <w:rFonts w:ascii="Arial" w:eastAsia="Times New Roman" w:hAnsi="Arial" w:cs="Arial"/>
          <w:color w:val="2F5496" w:themeColor="accent1" w:themeShade="BF"/>
        </w:rPr>
      </w:pPr>
      <w:r w:rsidRPr="009D356D">
        <w:rPr>
          <w:rFonts w:ascii="Arial" w:eastAsia="Times New Roman" w:hAnsi="Arial" w:cs="Arial"/>
          <w:b/>
          <w:bCs/>
          <w:color w:val="2F5496" w:themeColor="accent1" w:themeShade="BF"/>
        </w:rPr>
        <w:t xml:space="preserve">Campaign planning and task forces: </w:t>
      </w:r>
      <w:r w:rsidR="00A43940" w:rsidRPr="009D356D">
        <w:rPr>
          <w:rFonts w:ascii="Arial" w:eastAsia="Times New Roman" w:hAnsi="Arial" w:cs="Arial"/>
          <w:color w:val="2F5496" w:themeColor="accent1" w:themeShade="BF"/>
        </w:rPr>
        <w:t xml:space="preserve">Please </w:t>
      </w:r>
      <w:r w:rsidR="00EF5A30" w:rsidRPr="009D356D">
        <w:rPr>
          <w:rFonts w:ascii="Arial" w:eastAsia="Times New Roman" w:hAnsi="Arial" w:cs="Arial"/>
          <w:color w:val="2F5496" w:themeColor="accent1" w:themeShade="BF"/>
        </w:rPr>
        <w:t xml:space="preserve">briefly list and </w:t>
      </w:r>
      <w:r w:rsidR="00A43940" w:rsidRPr="009D356D">
        <w:rPr>
          <w:rFonts w:ascii="Arial" w:eastAsia="Times New Roman" w:hAnsi="Arial" w:cs="Arial"/>
          <w:color w:val="2F5496" w:themeColor="accent1" w:themeShade="BF"/>
        </w:rPr>
        <w:t>describe t</w:t>
      </w:r>
      <w:r w:rsidRPr="009D356D">
        <w:rPr>
          <w:rFonts w:ascii="Arial" w:eastAsia="Times New Roman" w:hAnsi="Arial" w:cs="Arial"/>
          <w:color w:val="2F5496" w:themeColor="accent1" w:themeShade="BF"/>
        </w:rPr>
        <w:t xml:space="preserve">he task forces (also called “commissions” or “sub-committees”) to be created </w:t>
      </w:r>
      <w:r w:rsidR="008A7CAF" w:rsidRPr="009D356D">
        <w:rPr>
          <w:rFonts w:ascii="Arial" w:eastAsia="Times New Roman" w:hAnsi="Arial" w:cs="Arial"/>
          <w:color w:val="2F5496" w:themeColor="accent1" w:themeShade="BF"/>
        </w:rPr>
        <w:t xml:space="preserve">or leveraged </w:t>
      </w:r>
      <w:r w:rsidRPr="009D356D">
        <w:rPr>
          <w:rFonts w:ascii="Arial" w:eastAsia="Times New Roman" w:hAnsi="Arial" w:cs="Arial"/>
          <w:color w:val="2F5496" w:themeColor="accent1" w:themeShade="BF"/>
        </w:rPr>
        <w:t>for the campaign planning</w:t>
      </w:r>
      <w:r w:rsidR="00435139" w:rsidRPr="009D356D">
        <w:rPr>
          <w:rFonts w:ascii="Arial" w:eastAsia="Times New Roman" w:hAnsi="Arial" w:cs="Arial"/>
          <w:color w:val="2F5496" w:themeColor="accent1" w:themeShade="BF"/>
        </w:rPr>
        <w:t xml:space="preserve">, including </w:t>
      </w:r>
      <w:r w:rsidR="006456CF" w:rsidRPr="009D356D">
        <w:rPr>
          <w:rFonts w:ascii="Arial" w:eastAsia="Times New Roman" w:hAnsi="Arial" w:cs="Arial"/>
          <w:color w:val="2F5496" w:themeColor="accent1" w:themeShade="BF"/>
        </w:rPr>
        <w:t xml:space="preserve">any intra-governmental coordination mechanisms for cholera </w:t>
      </w:r>
      <w:r w:rsidR="00FA75D8" w:rsidRPr="009D356D">
        <w:rPr>
          <w:rFonts w:ascii="Arial" w:eastAsia="Times New Roman" w:hAnsi="Arial" w:cs="Arial"/>
          <w:color w:val="2F5496" w:themeColor="accent1" w:themeShade="BF"/>
        </w:rPr>
        <w:t>prevention</w:t>
      </w:r>
      <w:r w:rsidR="006456CF" w:rsidRPr="009D356D">
        <w:rPr>
          <w:rFonts w:ascii="Arial" w:eastAsia="Times New Roman" w:hAnsi="Arial" w:cs="Arial"/>
          <w:color w:val="2F5496" w:themeColor="accent1" w:themeShade="BF"/>
        </w:rPr>
        <w:t xml:space="preserve"> relevant to the OCV campaigns beyond the Ministry of Health such as with the Ministry of Education </w:t>
      </w:r>
      <w:r w:rsidR="00D303F8" w:rsidRPr="009D356D">
        <w:rPr>
          <w:rFonts w:ascii="Arial" w:eastAsia="Times New Roman" w:hAnsi="Arial" w:cs="Arial"/>
          <w:color w:val="2F5496" w:themeColor="accent1" w:themeShade="BF"/>
        </w:rPr>
        <w:t>or Ministry of Water/WASH cluster</w:t>
      </w:r>
      <w:r w:rsidR="006456CF" w:rsidRPr="009D356D">
        <w:rPr>
          <w:rFonts w:ascii="Arial" w:eastAsia="Times New Roman" w:hAnsi="Arial" w:cs="Arial"/>
          <w:color w:val="2F5496" w:themeColor="accent1" w:themeShade="BF"/>
        </w:rPr>
        <w:t xml:space="preserve">. </w:t>
      </w:r>
      <w:r w:rsidRPr="009D356D">
        <w:rPr>
          <w:rFonts w:ascii="Arial" w:eastAsia="Times New Roman" w:hAnsi="Arial" w:cs="Arial"/>
          <w:color w:val="2F5496" w:themeColor="accent1" w:themeShade="BF"/>
        </w:rPr>
        <w:t>Members or government units represented in each task force should be listed. Intersectoral coordination is recommended.</w:t>
      </w:r>
      <w:r w:rsidR="00B474AB" w:rsidRPr="009D356D">
        <w:rPr>
          <w:rFonts w:ascii="Arial" w:eastAsia="Times New Roman" w:hAnsi="Arial" w:cs="Arial"/>
          <w:color w:val="2F5496" w:themeColor="accent1" w:themeShade="BF"/>
        </w:rPr>
        <w:t xml:space="preserve"> Where possible, existing bodies tasked with cholera control and vaccination campaign implementation should be leveraged.</w:t>
      </w:r>
      <w:r w:rsidRPr="009D356D">
        <w:rPr>
          <w:rFonts w:ascii="Arial" w:eastAsia="Times New Roman" w:hAnsi="Arial" w:cs="Arial"/>
          <w:color w:val="2F5496" w:themeColor="accent1" w:themeShade="BF"/>
        </w:rPr>
        <w:t xml:space="preserve"> </w:t>
      </w:r>
      <w:r w:rsidR="00D303F8" w:rsidRPr="009D356D">
        <w:rPr>
          <w:rFonts w:ascii="Arial" w:eastAsia="Times New Roman" w:hAnsi="Arial" w:cs="Arial"/>
          <w:color w:val="2F5496" w:themeColor="accent1" w:themeShade="BF"/>
        </w:rPr>
        <w:t xml:space="preserve">The establishment and work of task forces are recommended to be included in the </w:t>
      </w:r>
      <w:proofErr w:type="spellStart"/>
      <w:r w:rsidR="00D303F8" w:rsidRPr="009D356D">
        <w:rPr>
          <w:rFonts w:ascii="Arial" w:eastAsia="Times New Roman" w:hAnsi="Arial" w:cs="Arial"/>
          <w:color w:val="2F5496" w:themeColor="accent1" w:themeShade="BF"/>
        </w:rPr>
        <w:t>macroplan</w:t>
      </w:r>
      <w:proofErr w:type="spellEnd"/>
      <w:r w:rsidR="00D303F8" w:rsidRPr="009D356D">
        <w:rPr>
          <w:rFonts w:ascii="Arial" w:eastAsia="Times New Roman" w:hAnsi="Arial" w:cs="Arial"/>
          <w:color w:val="2F5496" w:themeColor="accent1" w:themeShade="BF"/>
        </w:rPr>
        <w:t xml:space="preserve">. </w:t>
      </w:r>
      <w:r w:rsidRPr="009D356D">
        <w:rPr>
          <w:rFonts w:ascii="Arial" w:eastAsia="Times New Roman" w:hAnsi="Arial" w:cs="Arial"/>
          <w:color w:val="2F5496" w:themeColor="accent1" w:themeShade="BF"/>
        </w:rPr>
        <w:t xml:space="preserve">Typical task forces </w:t>
      </w:r>
      <w:r w:rsidR="00A43940" w:rsidRPr="009D356D">
        <w:rPr>
          <w:rFonts w:ascii="Arial" w:eastAsia="Times New Roman" w:hAnsi="Arial" w:cs="Arial"/>
          <w:color w:val="2F5496" w:themeColor="accent1" w:themeShade="BF"/>
        </w:rPr>
        <w:t>are described in Box 1.</w:t>
      </w:r>
      <w:r w:rsidRPr="009D356D">
        <w:rPr>
          <w:rFonts w:ascii="Arial" w:eastAsia="Times New Roman" w:hAnsi="Arial" w:cs="Arial"/>
          <w:color w:val="2F5496" w:themeColor="accent1" w:themeShade="BF"/>
          <w:highlight w:val="yellow"/>
        </w:rPr>
        <w:t xml:space="preserve"> </w:t>
      </w:r>
    </w:p>
    <w:p w14:paraId="3B6E2067" w14:textId="69BB8762" w:rsidR="00107400" w:rsidRPr="00DE6A00" w:rsidRDefault="00221B38" w:rsidP="00B730A0">
      <w:pPr>
        <w:spacing w:after="0" w:line="240" w:lineRule="auto"/>
        <w:ind w:left="2160"/>
        <w:jc w:val="both"/>
        <w:rPr>
          <w:rFonts w:ascii="Arial" w:eastAsia="Times New Roman" w:hAnsi="Arial" w:cs="Arial"/>
          <w:color w:val="2F5496" w:themeColor="accent1" w:themeShade="BF"/>
        </w:rPr>
      </w:pPr>
      <w:r w:rsidRPr="00DE6A00">
        <w:rPr>
          <w:rFonts w:ascii="Arial" w:hAnsi="Arial" w:cs="Arial"/>
          <w:noProof/>
          <w:color w:val="2F5496" w:themeColor="accent1" w:themeShade="BF"/>
        </w:rPr>
        <mc:AlternateContent>
          <mc:Choice Requires="wps">
            <w:drawing>
              <wp:anchor distT="45720" distB="45720" distL="114300" distR="114300" simplePos="0" relativeHeight="251658240" behindDoc="0" locked="0" layoutInCell="1" allowOverlap="1" wp14:anchorId="5BD9550C" wp14:editId="5A45A3FD">
                <wp:simplePos x="0" y="0"/>
                <wp:positionH relativeFrom="margin">
                  <wp:align>right</wp:align>
                </wp:positionH>
                <wp:positionV relativeFrom="paragraph">
                  <wp:posOffset>314960</wp:posOffset>
                </wp:positionV>
                <wp:extent cx="5231130" cy="4460240"/>
                <wp:effectExtent l="0" t="0" r="2667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4460240"/>
                        </a:xfrm>
                        <a:prstGeom prst="rect">
                          <a:avLst/>
                        </a:prstGeom>
                        <a:solidFill>
                          <a:srgbClr val="FFFFFF"/>
                        </a:solidFill>
                        <a:ln w="9525">
                          <a:solidFill>
                            <a:srgbClr val="000000"/>
                          </a:solidFill>
                          <a:miter lim="800000"/>
                          <a:headEnd/>
                          <a:tailEnd/>
                        </a:ln>
                      </wps:spPr>
                      <wps:txbx>
                        <w:txbxContent>
                          <w:p w14:paraId="43EDDA14" w14:textId="1018406F" w:rsidR="00A43940" w:rsidRPr="004E24FF" w:rsidRDefault="00847A7A" w:rsidP="004E24FF">
                            <w:pPr>
                              <w:spacing w:line="240" w:lineRule="auto"/>
                              <w:ind w:left="360" w:hanging="360"/>
                              <w:jc w:val="both"/>
                              <w:textAlignment w:val="center"/>
                              <w:rPr>
                                <w:rFonts w:ascii="Arial" w:hAnsi="Arial" w:cs="Arial"/>
                                <w:color w:val="2F5496" w:themeColor="accent1" w:themeShade="BF"/>
                                <w:sz w:val="20"/>
                                <w:szCs w:val="20"/>
                                <w:u w:val="single"/>
                              </w:rPr>
                            </w:pPr>
                            <w:r w:rsidRPr="004E24FF">
                              <w:rPr>
                                <w:rFonts w:ascii="Arial" w:hAnsi="Arial" w:cs="Arial"/>
                                <w:color w:val="2F5496" w:themeColor="accent1" w:themeShade="BF"/>
                                <w:sz w:val="20"/>
                                <w:szCs w:val="20"/>
                                <w:u w:val="single"/>
                              </w:rPr>
                              <w:t>Box 1: Task Forces to support high-quality campaign implementation</w:t>
                            </w:r>
                          </w:p>
                          <w:p w14:paraId="58CAD894" w14:textId="45FFAFB9" w:rsidR="00A43940" w:rsidRPr="004E24FF" w:rsidRDefault="00A43940" w:rsidP="004E24FF">
                            <w:pPr>
                              <w:pStyle w:val="ListParagraph"/>
                              <w:numPr>
                                <w:ilvl w:val="0"/>
                                <w:numId w:val="11"/>
                              </w:numPr>
                              <w:tabs>
                                <w:tab w:val="clear" w:pos="720"/>
                              </w:tabs>
                              <w:spacing w:line="240" w:lineRule="auto"/>
                              <w:ind w:left="360"/>
                              <w:jc w:val="both"/>
                              <w:textAlignment w:val="center"/>
                              <w:rPr>
                                <w:rFonts w:ascii="Arial" w:eastAsia="Times New Roman" w:hAnsi="Arial" w:cs="Arial"/>
                                <w:color w:val="2F5496" w:themeColor="accent1" w:themeShade="BF"/>
                                <w:sz w:val="20"/>
                                <w:szCs w:val="20"/>
                              </w:rPr>
                            </w:pPr>
                            <w:r w:rsidRPr="004E24FF">
                              <w:rPr>
                                <w:rFonts w:ascii="Arial" w:eastAsia="Times New Roman" w:hAnsi="Arial" w:cs="Arial"/>
                                <w:b/>
                                <w:bCs/>
                                <w:color w:val="2F5496" w:themeColor="accent1" w:themeShade="BF"/>
                                <w:sz w:val="20"/>
                                <w:szCs w:val="20"/>
                              </w:rPr>
                              <w:t xml:space="preserve">Communications task force: </w:t>
                            </w:r>
                            <w:r w:rsidRPr="004E24FF">
                              <w:rPr>
                                <w:rFonts w:ascii="Arial" w:eastAsia="Times New Roman" w:hAnsi="Arial" w:cs="Arial"/>
                                <w:color w:val="2F5496" w:themeColor="accent1" w:themeShade="BF"/>
                                <w:sz w:val="20"/>
                                <w:szCs w:val="20"/>
                              </w:rPr>
                              <w:t xml:space="preserve">This task force typically develops a communications plan and timeline for implementation, develops key messages and materials, prepares briefing documents, etc. This task force should work with the technical task force to support micro-planning and develop logistics tools and forms. This task force will also document lessons learned in coordination with technical task force after implementation of the campaign. </w:t>
                            </w:r>
                          </w:p>
                          <w:p w14:paraId="78E38B37" w14:textId="77777777" w:rsidR="00A43940" w:rsidRPr="004E24FF" w:rsidRDefault="00A43940" w:rsidP="004E24FF">
                            <w:pPr>
                              <w:pStyle w:val="ListParagraph"/>
                              <w:numPr>
                                <w:ilvl w:val="0"/>
                                <w:numId w:val="11"/>
                              </w:numPr>
                              <w:tabs>
                                <w:tab w:val="clear" w:pos="720"/>
                              </w:tabs>
                              <w:spacing w:line="240" w:lineRule="auto"/>
                              <w:ind w:left="360"/>
                              <w:jc w:val="both"/>
                              <w:textAlignment w:val="center"/>
                              <w:rPr>
                                <w:rFonts w:ascii="Arial" w:eastAsia="Times New Roman" w:hAnsi="Arial" w:cs="Arial"/>
                                <w:color w:val="2F5496" w:themeColor="accent1" w:themeShade="BF"/>
                                <w:sz w:val="20"/>
                                <w:szCs w:val="20"/>
                              </w:rPr>
                            </w:pPr>
                            <w:r w:rsidRPr="004E24FF">
                              <w:rPr>
                                <w:rFonts w:ascii="Arial" w:eastAsia="Times New Roman" w:hAnsi="Arial" w:cs="Arial"/>
                                <w:b/>
                                <w:bCs/>
                                <w:color w:val="2F5496" w:themeColor="accent1" w:themeShade="BF"/>
                                <w:sz w:val="20"/>
                                <w:szCs w:val="20"/>
                              </w:rPr>
                              <w:t xml:space="preserve">Technical task force: </w:t>
                            </w:r>
                            <w:r w:rsidRPr="004E24FF">
                              <w:rPr>
                                <w:rFonts w:ascii="Arial" w:eastAsia="Times New Roman" w:hAnsi="Arial" w:cs="Arial"/>
                                <w:color w:val="2F5496" w:themeColor="accent1" w:themeShade="BF"/>
                                <w:sz w:val="20"/>
                                <w:szCs w:val="20"/>
                              </w:rPr>
                              <w:t xml:space="preserve">This task force typically develops the operation plan and guidelines for the campaign, prepares a macro-budget, coordinates micro-planning (develops a template; holds trainings, meetings, reviews; syntheses into a national revised budget), develops training guides, recording and reporting tools, and forms for the campaign (coordinating with communications and logistics task forces), develops materials for training and coordinates training of vaccination teams and supervisors, etc. </w:t>
                            </w:r>
                          </w:p>
                          <w:p w14:paraId="4C60BAEF" w14:textId="77777777" w:rsidR="00A43940" w:rsidRPr="004E24FF" w:rsidRDefault="00A43940" w:rsidP="004E24FF">
                            <w:pPr>
                              <w:pStyle w:val="ListParagraph"/>
                              <w:numPr>
                                <w:ilvl w:val="0"/>
                                <w:numId w:val="11"/>
                              </w:numPr>
                              <w:tabs>
                                <w:tab w:val="clear" w:pos="720"/>
                              </w:tabs>
                              <w:spacing w:line="240" w:lineRule="auto"/>
                              <w:ind w:left="360"/>
                              <w:jc w:val="both"/>
                              <w:textAlignment w:val="center"/>
                              <w:rPr>
                                <w:rFonts w:ascii="Arial" w:eastAsia="Times New Roman" w:hAnsi="Arial" w:cs="Arial"/>
                                <w:color w:val="2F5496" w:themeColor="accent1" w:themeShade="BF"/>
                                <w:sz w:val="20"/>
                                <w:szCs w:val="20"/>
                              </w:rPr>
                            </w:pPr>
                            <w:r w:rsidRPr="004E24FF">
                              <w:rPr>
                                <w:rFonts w:ascii="Arial" w:eastAsia="Times New Roman" w:hAnsi="Arial" w:cs="Arial"/>
                                <w:b/>
                                <w:bCs/>
                                <w:color w:val="2F5496" w:themeColor="accent1" w:themeShade="BF"/>
                                <w:sz w:val="20"/>
                                <w:szCs w:val="20"/>
                              </w:rPr>
                              <w:t>Post-campaign steering committee</w:t>
                            </w:r>
                            <w:r w:rsidRPr="004E24FF">
                              <w:rPr>
                                <w:rFonts w:ascii="Arial" w:eastAsia="Times New Roman" w:hAnsi="Arial" w:cs="Arial"/>
                                <w:color w:val="2F5496" w:themeColor="accent1" w:themeShade="BF"/>
                                <w:sz w:val="20"/>
                                <w:szCs w:val="20"/>
                              </w:rPr>
                              <w:t xml:space="preserve">: This committee, typically formed from members of the technical task force, the implementing partner for the survey, and other interested partners, will oversee the development of the campaign coverage survey, monitor its implementation, review the results, and interpret the findings. </w:t>
                            </w:r>
                          </w:p>
                          <w:p w14:paraId="35F049B4" w14:textId="2F7A25D7" w:rsidR="00A43940" w:rsidRPr="004E24FF" w:rsidRDefault="00A43940" w:rsidP="004E24FF">
                            <w:pPr>
                              <w:pStyle w:val="ListParagraph"/>
                              <w:numPr>
                                <w:ilvl w:val="0"/>
                                <w:numId w:val="11"/>
                              </w:numPr>
                              <w:tabs>
                                <w:tab w:val="clear" w:pos="720"/>
                              </w:tabs>
                              <w:spacing w:line="240" w:lineRule="auto"/>
                              <w:ind w:left="360"/>
                              <w:jc w:val="both"/>
                              <w:textAlignment w:val="center"/>
                              <w:rPr>
                                <w:rFonts w:ascii="Arial" w:eastAsia="Times New Roman" w:hAnsi="Arial" w:cs="Arial"/>
                                <w:color w:val="2F5496" w:themeColor="accent1" w:themeShade="BF"/>
                                <w:sz w:val="20"/>
                                <w:szCs w:val="20"/>
                              </w:rPr>
                            </w:pPr>
                            <w:r w:rsidRPr="004E24FF">
                              <w:rPr>
                                <w:rFonts w:ascii="Arial" w:eastAsia="Times New Roman" w:hAnsi="Arial" w:cs="Arial"/>
                                <w:b/>
                                <w:bCs/>
                                <w:color w:val="2F5496" w:themeColor="accent1" w:themeShade="BF"/>
                                <w:sz w:val="20"/>
                                <w:szCs w:val="20"/>
                              </w:rPr>
                              <w:t>Logistics task force</w:t>
                            </w:r>
                            <w:r w:rsidRPr="004E24FF">
                              <w:rPr>
                                <w:rFonts w:ascii="Arial" w:eastAsia="Times New Roman" w:hAnsi="Arial" w:cs="Arial"/>
                                <w:color w:val="2F5496" w:themeColor="accent1" w:themeShade="BF"/>
                                <w:sz w:val="20"/>
                                <w:szCs w:val="20"/>
                              </w:rPr>
                              <w:t xml:space="preserve">: Logistics planning is best ensured through establishment of a logistics task force well in advance of the campaign. The logistics task force should be charged with developing a detailed supply chain management plan that includes storage and distribution plan for vaccines and devices to ensure adequate cold chain, transportation and logistics capacity and oversight at all levels. This task force should work with the technical task force to support micro-planning and develop logistics tools and forms. This task force will also develop and implement </w:t>
                            </w:r>
                            <w:r w:rsidR="00450DC2" w:rsidRPr="004E24FF">
                              <w:rPr>
                                <w:rFonts w:ascii="Arial" w:eastAsia="Times New Roman" w:hAnsi="Arial" w:cs="Arial"/>
                                <w:color w:val="2F5496" w:themeColor="accent1" w:themeShade="BF"/>
                                <w:sz w:val="20"/>
                                <w:szCs w:val="20"/>
                              </w:rPr>
                              <w:t xml:space="preserve">the </w:t>
                            </w:r>
                            <w:r w:rsidRPr="004E24FF">
                              <w:rPr>
                                <w:rFonts w:ascii="Arial" w:eastAsia="Times New Roman" w:hAnsi="Arial" w:cs="Arial"/>
                                <w:color w:val="2F5496" w:themeColor="accent1" w:themeShade="BF"/>
                                <w:sz w:val="20"/>
                                <w:szCs w:val="20"/>
                              </w:rPr>
                              <w:t xml:space="preserve">waste management plan. </w:t>
                            </w:r>
                          </w:p>
                          <w:p w14:paraId="5E4840ED" w14:textId="77777777" w:rsidR="00A43940" w:rsidRPr="004E24FF" w:rsidRDefault="00A43940" w:rsidP="004E24FF">
                            <w:pPr>
                              <w:pStyle w:val="ListParagraph"/>
                              <w:numPr>
                                <w:ilvl w:val="0"/>
                                <w:numId w:val="11"/>
                              </w:numPr>
                              <w:tabs>
                                <w:tab w:val="clear" w:pos="720"/>
                              </w:tabs>
                              <w:spacing w:after="0" w:line="240" w:lineRule="auto"/>
                              <w:ind w:left="360"/>
                              <w:jc w:val="both"/>
                              <w:textAlignment w:val="center"/>
                              <w:rPr>
                                <w:rFonts w:ascii="Arial" w:eastAsia="Times New Roman" w:hAnsi="Arial" w:cs="Arial"/>
                                <w:color w:val="2F5496" w:themeColor="accent1" w:themeShade="BF"/>
                                <w:sz w:val="20"/>
                                <w:szCs w:val="20"/>
                              </w:rPr>
                            </w:pPr>
                            <w:r w:rsidRPr="004E24FF">
                              <w:rPr>
                                <w:rFonts w:ascii="Arial" w:eastAsia="Times New Roman" w:hAnsi="Arial" w:cs="Arial"/>
                                <w:b/>
                                <w:bCs/>
                                <w:color w:val="2F5496" w:themeColor="accent1" w:themeShade="BF"/>
                                <w:sz w:val="20"/>
                                <w:szCs w:val="20"/>
                              </w:rPr>
                              <w:t xml:space="preserve">Advocacy and Inter-sectorial coordination: </w:t>
                            </w:r>
                            <w:r w:rsidRPr="004E24FF">
                              <w:rPr>
                                <w:rFonts w:ascii="Arial" w:eastAsia="Times New Roman" w:hAnsi="Arial" w:cs="Arial"/>
                                <w:color w:val="2F5496" w:themeColor="accent1" w:themeShade="BF"/>
                                <w:sz w:val="20"/>
                                <w:szCs w:val="20"/>
                              </w:rPr>
                              <w:t xml:space="preserve">This task force advocates with other partners, decision makers, etc. for support to the campaign, describes how other sectors of the government may be involved in campaign planning and implementation. Education ministries, for example, might play a key role in campaigns that include school-age children. </w:t>
                            </w:r>
                          </w:p>
                          <w:p w14:paraId="22BF2091" w14:textId="545E701B" w:rsidR="00A43940" w:rsidRDefault="00A43940" w:rsidP="00A43940">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D9550C" id="_x0000_t202" coordsize="21600,21600" o:spt="202" path="m,l,21600r21600,l21600,xe">
                <v:stroke joinstyle="miter"/>
                <v:path gradientshapeok="t" o:connecttype="rect"/>
              </v:shapetype>
              <v:shape id="Text Box 2" o:spid="_x0000_s1026" type="#_x0000_t202" style="position:absolute;left:0;text-align:left;margin-left:360.7pt;margin-top:24.8pt;width:411.9pt;height:351.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">
                <v:textbox>
                  <w:txbxContent>
                    <w:p w14:paraId="43EDDA14" w14:textId="1018406F" w:rsidR="00A43940" w:rsidRPr="004E24FF" w:rsidRDefault="00847A7A" w:rsidP="004E24FF">
                      <w:pPr>
                        <w:spacing w:line="240" w:lineRule="auto"/>
                        <w:ind w:left="360" w:hanging="360"/>
                        <w:jc w:val="both"/>
                        <w:textAlignment w:val="center"/>
                        <w:rPr>
                          <w:rFonts w:ascii="Arial" w:hAnsi="Arial" w:cs="Arial"/>
                          <w:color w:val="2F5496" w:themeColor="accent1" w:themeShade="BF"/>
                          <w:sz w:val="20"/>
                          <w:szCs w:val="20"/>
                          <w:u w:val="single"/>
                        </w:rPr>
                      </w:pPr>
                      <w:r w:rsidRPr="004E24FF">
                        <w:rPr>
                          <w:rFonts w:ascii="Arial" w:hAnsi="Arial" w:cs="Arial"/>
                          <w:color w:val="2F5496" w:themeColor="accent1" w:themeShade="BF"/>
                          <w:sz w:val="20"/>
                          <w:szCs w:val="20"/>
                          <w:u w:val="single"/>
                        </w:rPr>
                        <w:t>Box 1: Task Forces to support high-quality campaign implementation</w:t>
                      </w:r>
                    </w:p>
                    <w:p w14:paraId="58CAD894" w14:textId="45FFAFB9" w:rsidR="00A43940" w:rsidRPr="004E24FF" w:rsidRDefault="00A43940" w:rsidP="004E24FF">
                      <w:pPr>
                        <w:pStyle w:val="ListParagraph"/>
                        <w:numPr>
                          <w:ilvl w:val="0"/>
                          <w:numId w:val="11"/>
                        </w:numPr>
                        <w:tabs>
                          <w:tab w:val="clear" w:pos="720"/>
                        </w:tabs>
                        <w:spacing w:line="240" w:lineRule="auto"/>
                        <w:ind w:left="360"/>
                        <w:jc w:val="both"/>
                        <w:textAlignment w:val="center"/>
                        <w:rPr>
                          <w:rFonts w:ascii="Arial" w:eastAsia="Times New Roman" w:hAnsi="Arial" w:cs="Arial"/>
                          <w:color w:val="2F5496" w:themeColor="accent1" w:themeShade="BF"/>
                          <w:sz w:val="20"/>
                          <w:szCs w:val="20"/>
                        </w:rPr>
                      </w:pPr>
                      <w:r w:rsidRPr="004E24FF">
                        <w:rPr>
                          <w:rFonts w:ascii="Arial" w:eastAsia="Times New Roman" w:hAnsi="Arial" w:cs="Arial"/>
                          <w:b/>
                          <w:bCs/>
                          <w:color w:val="2F5496" w:themeColor="accent1" w:themeShade="BF"/>
                          <w:sz w:val="20"/>
                          <w:szCs w:val="20"/>
                        </w:rPr>
                        <w:t xml:space="preserve">Communications task force: </w:t>
                      </w:r>
                      <w:r w:rsidRPr="004E24FF">
                        <w:rPr>
                          <w:rFonts w:ascii="Arial" w:eastAsia="Times New Roman" w:hAnsi="Arial" w:cs="Arial"/>
                          <w:color w:val="2F5496" w:themeColor="accent1" w:themeShade="BF"/>
                          <w:sz w:val="20"/>
                          <w:szCs w:val="20"/>
                        </w:rPr>
                        <w:t xml:space="preserve">This task force typically develops a communications plan and timeline for implementation, develops key messages and materials, prepares briefing documents, etc. This task force should work with the technical task force to support micro-planning and develop logistics tools and forms. This task force will also document lessons learned in coordination with technical task force after implementation of the campaign. </w:t>
                      </w:r>
                    </w:p>
                    <w:p w14:paraId="78E38B37" w14:textId="77777777" w:rsidR="00A43940" w:rsidRPr="004E24FF" w:rsidRDefault="00A43940" w:rsidP="004E24FF">
                      <w:pPr>
                        <w:pStyle w:val="ListParagraph"/>
                        <w:numPr>
                          <w:ilvl w:val="0"/>
                          <w:numId w:val="11"/>
                        </w:numPr>
                        <w:tabs>
                          <w:tab w:val="clear" w:pos="720"/>
                        </w:tabs>
                        <w:spacing w:line="240" w:lineRule="auto"/>
                        <w:ind w:left="360"/>
                        <w:jc w:val="both"/>
                        <w:textAlignment w:val="center"/>
                        <w:rPr>
                          <w:rFonts w:ascii="Arial" w:eastAsia="Times New Roman" w:hAnsi="Arial" w:cs="Arial"/>
                          <w:color w:val="2F5496" w:themeColor="accent1" w:themeShade="BF"/>
                          <w:sz w:val="20"/>
                          <w:szCs w:val="20"/>
                        </w:rPr>
                      </w:pPr>
                      <w:r w:rsidRPr="004E24FF">
                        <w:rPr>
                          <w:rFonts w:ascii="Arial" w:eastAsia="Times New Roman" w:hAnsi="Arial" w:cs="Arial"/>
                          <w:b/>
                          <w:bCs/>
                          <w:color w:val="2F5496" w:themeColor="accent1" w:themeShade="BF"/>
                          <w:sz w:val="20"/>
                          <w:szCs w:val="20"/>
                        </w:rPr>
                        <w:t xml:space="preserve">Technical task force: </w:t>
                      </w:r>
                      <w:r w:rsidRPr="004E24FF">
                        <w:rPr>
                          <w:rFonts w:ascii="Arial" w:eastAsia="Times New Roman" w:hAnsi="Arial" w:cs="Arial"/>
                          <w:color w:val="2F5496" w:themeColor="accent1" w:themeShade="BF"/>
                          <w:sz w:val="20"/>
                          <w:szCs w:val="20"/>
                        </w:rPr>
                        <w:t xml:space="preserve">This task force typically develops the operation plan and guidelines for the campaign, prepares a macro-budget, coordinates micro-planning (develops a template; holds trainings, meetings, reviews; syntheses into a national revised budget), develops training guides, recording and reporting tools, and forms for the campaign (coordinating with communications and logistics task forces), develops materials for training and coordinates training of vaccination teams and supervisors, etc. </w:t>
                      </w:r>
                    </w:p>
                    <w:p w14:paraId="4C60BAEF" w14:textId="77777777" w:rsidR="00A43940" w:rsidRPr="004E24FF" w:rsidRDefault="00A43940" w:rsidP="004E24FF">
                      <w:pPr>
                        <w:pStyle w:val="ListParagraph"/>
                        <w:numPr>
                          <w:ilvl w:val="0"/>
                          <w:numId w:val="11"/>
                        </w:numPr>
                        <w:tabs>
                          <w:tab w:val="clear" w:pos="720"/>
                        </w:tabs>
                        <w:spacing w:line="240" w:lineRule="auto"/>
                        <w:ind w:left="360"/>
                        <w:jc w:val="both"/>
                        <w:textAlignment w:val="center"/>
                        <w:rPr>
                          <w:rFonts w:ascii="Arial" w:eastAsia="Times New Roman" w:hAnsi="Arial" w:cs="Arial"/>
                          <w:color w:val="2F5496" w:themeColor="accent1" w:themeShade="BF"/>
                          <w:sz w:val="20"/>
                          <w:szCs w:val="20"/>
                        </w:rPr>
                      </w:pPr>
                      <w:r w:rsidRPr="004E24FF">
                        <w:rPr>
                          <w:rFonts w:ascii="Arial" w:eastAsia="Times New Roman" w:hAnsi="Arial" w:cs="Arial"/>
                          <w:b/>
                          <w:bCs/>
                          <w:color w:val="2F5496" w:themeColor="accent1" w:themeShade="BF"/>
                          <w:sz w:val="20"/>
                          <w:szCs w:val="20"/>
                        </w:rPr>
                        <w:t>Post-campaign steering committee</w:t>
                      </w:r>
                      <w:r w:rsidRPr="004E24FF">
                        <w:rPr>
                          <w:rFonts w:ascii="Arial" w:eastAsia="Times New Roman" w:hAnsi="Arial" w:cs="Arial"/>
                          <w:color w:val="2F5496" w:themeColor="accent1" w:themeShade="BF"/>
                          <w:sz w:val="20"/>
                          <w:szCs w:val="20"/>
                        </w:rPr>
                        <w:t xml:space="preserve">: This committee, typically formed from members of the technical task force, the implementing partner for the survey, and other interested partners, will oversee the development of the campaign coverage survey, monitor its implementation, review the results, and interpret the findings. </w:t>
                      </w:r>
                    </w:p>
                    <w:p w14:paraId="35F049B4" w14:textId="2F7A25D7" w:rsidR="00A43940" w:rsidRPr="004E24FF" w:rsidRDefault="00A43940" w:rsidP="004E24FF">
                      <w:pPr>
                        <w:pStyle w:val="ListParagraph"/>
                        <w:numPr>
                          <w:ilvl w:val="0"/>
                          <w:numId w:val="11"/>
                        </w:numPr>
                        <w:tabs>
                          <w:tab w:val="clear" w:pos="720"/>
                        </w:tabs>
                        <w:spacing w:line="240" w:lineRule="auto"/>
                        <w:ind w:left="360"/>
                        <w:jc w:val="both"/>
                        <w:textAlignment w:val="center"/>
                        <w:rPr>
                          <w:rFonts w:ascii="Arial" w:eastAsia="Times New Roman" w:hAnsi="Arial" w:cs="Arial"/>
                          <w:color w:val="2F5496" w:themeColor="accent1" w:themeShade="BF"/>
                          <w:sz w:val="20"/>
                          <w:szCs w:val="20"/>
                        </w:rPr>
                      </w:pPr>
                      <w:r w:rsidRPr="004E24FF">
                        <w:rPr>
                          <w:rFonts w:ascii="Arial" w:eastAsia="Times New Roman" w:hAnsi="Arial" w:cs="Arial"/>
                          <w:b/>
                          <w:bCs/>
                          <w:color w:val="2F5496" w:themeColor="accent1" w:themeShade="BF"/>
                          <w:sz w:val="20"/>
                          <w:szCs w:val="20"/>
                        </w:rPr>
                        <w:t>Logistics task force</w:t>
                      </w:r>
                      <w:r w:rsidRPr="004E24FF">
                        <w:rPr>
                          <w:rFonts w:ascii="Arial" w:eastAsia="Times New Roman" w:hAnsi="Arial" w:cs="Arial"/>
                          <w:color w:val="2F5496" w:themeColor="accent1" w:themeShade="BF"/>
                          <w:sz w:val="20"/>
                          <w:szCs w:val="20"/>
                        </w:rPr>
                        <w:t xml:space="preserve">: Logistics planning is best ensured through establishment of a logistics task force well in advance of the campaign. The logistics task force should be charged with developing a detailed supply chain management plan that includes storage and distribution plan for vaccines and devices to ensure adequate cold chain, transportation and logistics capacity and oversight at all levels. This task force should work with the technical task force to support micro-planning and develop logistics tools and forms. This task force will also develop and implement </w:t>
                      </w:r>
                      <w:r w:rsidR="00450DC2" w:rsidRPr="004E24FF">
                        <w:rPr>
                          <w:rFonts w:ascii="Arial" w:eastAsia="Times New Roman" w:hAnsi="Arial" w:cs="Arial"/>
                          <w:color w:val="2F5496" w:themeColor="accent1" w:themeShade="BF"/>
                          <w:sz w:val="20"/>
                          <w:szCs w:val="20"/>
                        </w:rPr>
                        <w:t xml:space="preserve">the </w:t>
                      </w:r>
                      <w:r w:rsidRPr="004E24FF">
                        <w:rPr>
                          <w:rFonts w:ascii="Arial" w:eastAsia="Times New Roman" w:hAnsi="Arial" w:cs="Arial"/>
                          <w:color w:val="2F5496" w:themeColor="accent1" w:themeShade="BF"/>
                          <w:sz w:val="20"/>
                          <w:szCs w:val="20"/>
                        </w:rPr>
                        <w:t xml:space="preserve">waste management plan. </w:t>
                      </w:r>
                    </w:p>
                    <w:p w14:paraId="5E4840ED" w14:textId="77777777" w:rsidR="00A43940" w:rsidRPr="004E24FF" w:rsidRDefault="00A43940" w:rsidP="004E24FF">
                      <w:pPr>
                        <w:pStyle w:val="ListParagraph"/>
                        <w:numPr>
                          <w:ilvl w:val="0"/>
                          <w:numId w:val="11"/>
                        </w:numPr>
                        <w:tabs>
                          <w:tab w:val="clear" w:pos="720"/>
                        </w:tabs>
                        <w:spacing w:after="0" w:line="240" w:lineRule="auto"/>
                        <w:ind w:left="360"/>
                        <w:jc w:val="both"/>
                        <w:textAlignment w:val="center"/>
                        <w:rPr>
                          <w:rFonts w:ascii="Arial" w:eastAsia="Times New Roman" w:hAnsi="Arial" w:cs="Arial"/>
                          <w:color w:val="2F5496" w:themeColor="accent1" w:themeShade="BF"/>
                          <w:sz w:val="20"/>
                          <w:szCs w:val="20"/>
                        </w:rPr>
                      </w:pPr>
                      <w:r w:rsidRPr="004E24FF">
                        <w:rPr>
                          <w:rFonts w:ascii="Arial" w:eastAsia="Times New Roman" w:hAnsi="Arial" w:cs="Arial"/>
                          <w:b/>
                          <w:bCs/>
                          <w:color w:val="2F5496" w:themeColor="accent1" w:themeShade="BF"/>
                          <w:sz w:val="20"/>
                          <w:szCs w:val="20"/>
                        </w:rPr>
                        <w:t xml:space="preserve">Advocacy and Inter-sectorial coordination: </w:t>
                      </w:r>
                      <w:r w:rsidRPr="004E24FF">
                        <w:rPr>
                          <w:rFonts w:ascii="Arial" w:eastAsia="Times New Roman" w:hAnsi="Arial" w:cs="Arial"/>
                          <w:color w:val="2F5496" w:themeColor="accent1" w:themeShade="BF"/>
                          <w:sz w:val="20"/>
                          <w:szCs w:val="20"/>
                        </w:rPr>
                        <w:t xml:space="preserve">This task force advocates with other partners, decision makers, etc. for support to the campaign, describes how other sectors of the government may be involved in campaign planning and implementation. Education ministries, for example, might play a key role in campaigns that include school-age children. </w:t>
                      </w:r>
                    </w:p>
                    <w:p w14:paraId="22BF2091" w14:textId="545E701B" w:rsidR="00A43940" w:rsidRDefault="00A43940" w:rsidP="00A43940">
                      <w:pPr>
                        <w:ind w:left="360"/>
                      </w:pPr>
                    </w:p>
                  </w:txbxContent>
                </v:textbox>
                <w10:wrap type="square" anchorx="margin"/>
              </v:shape>
            </w:pict>
          </mc:Fallback>
        </mc:AlternateContent>
      </w:r>
      <w:r w:rsidR="00107400" w:rsidRPr="00DE6A00">
        <w:rPr>
          <w:rFonts w:ascii="Arial" w:eastAsia="Times New Roman" w:hAnsi="Arial" w:cs="Arial"/>
          <w:color w:val="2F5496" w:themeColor="accent1" w:themeShade="BF"/>
        </w:rPr>
        <w:t> </w:t>
      </w:r>
    </w:p>
    <w:p w14:paraId="0ADDF1F4" w14:textId="2A82747C" w:rsidR="00107400" w:rsidRPr="00DE6A00" w:rsidRDefault="00107400" w:rsidP="00B730A0">
      <w:pPr>
        <w:spacing w:after="0" w:line="240" w:lineRule="auto"/>
        <w:ind w:left="1080"/>
        <w:jc w:val="both"/>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 </w:t>
      </w:r>
    </w:p>
    <w:p w14:paraId="04457E9D" w14:textId="1CC4C8EE" w:rsidR="00F93860" w:rsidRPr="00DE6A00" w:rsidRDefault="00107400" w:rsidP="00B730A0">
      <w:pPr>
        <w:pStyle w:val="ListParagraph"/>
        <w:numPr>
          <w:ilvl w:val="3"/>
          <w:numId w:val="4"/>
        </w:numPr>
        <w:spacing w:line="240" w:lineRule="auto"/>
        <w:ind w:left="1530"/>
        <w:jc w:val="both"/>
        <w:textAlignment w:val="center"/>
        <w:rPr>
          <w:rFonts w:ascii="Arial" w:eastAsia="Times New Roman" w:hAnsi="Arial" w:cs="Arial"/>
          <w:color w:val="2F5496" w:themeColor="accent1" w:themeShade="BF"/>
        </w:rPr>
      </w:pPr>
      <w:r w:rsidRPr="00DE6A00">
        <w:rPr>
          <w:rFonts w:ascii="Arial" w:eastAsia="Times New Roman" w:hAnsi="Arial" w:cs="Arial"/>
          <w:b/>
          <w:bCs/>
          <w:color w:val="2F5496" w:themeColor="accent1" w:themeShade="BF"/>
        </w:rPr>
        <w:t>Implementation strategies</w:t>
      </w:r>
      <w:r w:rsidRPr="00DE6A00">
        <w:rPr>
          <w:rFonts w:ascii="Arial" w:eastAsia="Times New Roman" w:hAnsi="Arial" w:cs="Arial"/>
          <w:color w:val="2F5496" w:themeColor="accent1" w:themeShade="BF"/>
        </w:rPr>
        <w:t xml:space="preserve"> </w:t>
      </w:r>
    </w:p>
    <w:p w14:paraId="4D0439C0" w14:textId="344CC96C" w:rsidR="00F93860" w:rsidRPr="00DE6A00" w:rsidRDefault="00107400" w:rsidP="00B730A0">
      <w:pPr>
        <w:pStyle w:val="ListParagraph"/>
        <w:numPr>
          <w:ilvl w:val="4"/>
          <w:numId w:val="4"/>
        </w:numPr>
        <w:spacing w:line="240" w:lineRule="auto"/>
        <w:ind w:left="1890"/>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Provide descriptions of vaccination strategies to be used to ensure the campaign is of high quality and reaches high coverage, such as vaccination sites (e.g. healthcare facilities, temporary fixed sites, outreach, mobile teams, and school-based immunisation), vaccination team</w:t>
      </w:r>
      <w:r w:rsidR="00765E29" w:rsidRPr="00DE6A00">
        <w:rPr>
          <w:rFonts w:ascii="Arial" w:eastAsia="Times New Roman" w:hAnsi="Arial" w:cs="Arial"/>
          <w:color w:val="2F5496" w:themeColor="accent1" w:themeShade="BF"/>
        </w:rPr>
        <w:t xml:space="preserve"> structure and </w:t>
      </w:r>
      <w:r w:rsidR="00765E29" w:rsidRPr="00DE6A00">
        <w:rPr>
          <w:rFonts w:ascii="Arial" w:eastAsia="Times New Roman" w:hAnsi="Arial" w:cs="Arial"/>
          <w:color w:val="2F5496" w:themeColor="accent1" w:themeShade="BF"/>
        </w:rPr>
        <w:lastRenderedPageBreak/>
        <w:t>composition</w:t>
      </w:r>
      <w:r w:rsidR="00BB3969" w:rsidRPr="00DE6A00">
        <w:rPr>
          <w:rFonts w:ascii="Arial" w:eastAsia="Times New Roman" w:hAnsi="Arial" w:cs="Arial"/>
          <w:color w:val="2F5496" w:themeColor="accent1" w:themeShade="BF"/>
        </w:rPr>
        <w:t>, supervision structures, and social mobilization and community engagement approaches</w:t>
      </w:r>
      <w:r w:rsidRPr="00DE6A00">
        <w:rPr>
          <w:rFonts w:ascii="Arial" w:eastAsia="Times New Roman" w:hAnsi="Arial" w:cs="Arial"/>
          <w:color w:val="2F5496" w:themeColor="accent1" w:themeShade="BF"/>
        </w:rPr>
        <w:t xml:space="preserve">. </w:t>
      </w:r>
    </w:p>
    <w:p w14:paraId="52663E04" w14:textId="397B9FB0" w:rsidR="00860C50" w:rsidRPr="00DE6A00" w:rsidRDefault="00107400" w:rsidP="00B730A0">
      <w:pPr>
        <w:pStyle w:val="ListParagraph"/>
        <w:numPr>
          <w:ilvl w:val="4"/>
          <w:numId w:val="4"/>
        </w:numPr>
        <w:spacing w:line="240" w:lineRule="auto"/>
        <w:ind w:left="1890"/>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It is essential for the plan to</w:t>
      </w:r>
      <w:r w:rsidR="00C340CA" w:rsidRPr="00DE6A00">
        <w:rPr>
          <w:rFonts w:ascii="Arial" w:eastAsia="Times New Roman" w:hAnsi="Arial" w:cs="Arial"/>
          <w:color w:val="2F5496" w:themeColor="accent1" w:themeShade="BF"/>
        </w:rPr>
        <w:t xml:space="preserve"> reflect any equity analysis conducted recently, </w:t>
      </w:r>
      <w:r w:rsidR="00F93860" w:rsidRPr="00DE6A00">
        <w:rPr>
          <w:rFonts w:ascii="Arial" w:eastAsia="Times New Roman" w:hAnsi="Arial" w:cs="Arial"/>
          <w:color w:val="2F5496" w:themeColor="accent1" w:themeShade="BF"/>
        </w:rPr>
        <w:t xml:space="preserve">by including </w:t>
      </w:r>
      <w:r w:rsidRPr="00DE6A00">
        <w:rPr>
          <w:rFonts w:ascii="Arial" w:eastAsia="Times New Roman" w:hAnsi="Arial" w:cs="Arial"/>
          <w:color w:val="2F5496" w:themeColor="accent1" w:themeShade="BF"/>
        </w:rPr>
        <w:t xml:space="preserve">available </w:t>
      </w:r>
      <w:r w:rsidR="00F93860" w:rsidRPr="00DE6A00">
        <w:rPr>
          <w:rFonts w:ascii="Arial" w:eastAsia="Times New Roman" w:hAnsi="Arial" w:cs="Arial"/>
          <w:color w:val="2F5496" w:themeColor="accent1" w:themeShade="BF"/>
        </w:rPr>
        <w:t xml:space="preserve">qualitative and/or quantitative </w:t>
      </w:r>
      <w:r w:rsidRPr="00DE6A00">
        <w:rPr>
          <w:rFonts w:ascii="Arial" w:eastAsia="Times New Roman" w:hAnsi="Arial" w:cs="Arial"/>
          <w:color w:val="2F5496" w:themeColor="accent1" w:themeShade="BF"/>
        </w:rPr>
        <w:t xml:space="preserve">data on barriers to access including socioeconomic status, geography, and gender considerations that could limit coverage or quality of the campaign and how </w:t>
      </w:r>
      <w:r w:rsidR="00F93860" w:rsidRPr="00DE6A00">
        <w:rPr>
          <w:rFonts w:ascii="Arial" w:eastAsia="Times New Roman" w:hAnsi="Arial" w:cs="Arial"/>
          <w:color w:val="2F5496" w:themeColor="accent1" w:themeShade="BF"/>
        </w:rPr>
        <w:t>these will be</w:t>
      </w:r>
      <w:r w:rsidRPr="00DE6A00">
        <w:rPr>
          <w:rFonts w:ascii="Arial" w:eastAsia="Times New Roman" w:hAnsi="Arial" w:cs="Arial"/>
          <w:color w:val="2F5496" w:themeColor="accent1" w:themeShade="BF"/>
        </w:rPr>
        <w:t xml:space="preserve"> address</w:t>
      </w:r>
      <w:r w:rsidR="00F93860" w:rsidRPr="00DE6A00">
        <w:rPr>
          <w:rFonts w:ascii="Arial" w:eastAsia="Times New Roman" w:hAnsi="Arial" w:cs="Arial"/>
          <w:color w:val="2F5496" w:themeColor="accent1" w:themeShade="BF"/>
        </w:rPr>
        <w:t>ed</w:t>
      </w:r>
      <w:r w:rsidR="00847A7A" w:rsidRPr="00DE6A00">
        <w:rPr>
          <w:rFonts w:ascii="Arial" w:eastAsia="Times New Roman" w:hAnsi="Arial" w:cs="Arial"/>
          <w:color w:val="2F5496" w:themeColor="accent1" w:themeShade="BF"/>
        </w:rPr>
        <w:t xml:space="preserve">. </w:t>
      </w:r>
      <w:r w:rsidR="0032589C" w:rsidRPr="00DE6A00">
        <w:rPr>
          <w:rFonts w:ascii="Arial" w:eastAsia="Times New Roman" w:hAnsi="Arial" w:cs="Arial"/>
          <w:color w:val="2F5496" w:themeColor="accent1" w:themeShade="BF"/>
        </w:rPr>
        <w:t xml:space="preserve">The plans must include approaches to equitably immunise all socio-economic groups, </w:t>
      </w:r>
      <w:r w:rsidR="00860C50" w:rsidRPr="00DE6A00">
        <w:rPr>
          <w:rFonts w:ascii="Arial" w:eastAsia="Times New Roman" w:hAnsi="Arial" w:cs="Arial"/>
          <w:color w:val="2F5496" w:themeColor="accent1" w:themeShade="BF"/>
        </w:rPr>
        <w:t xml:space="preserve">school-aged and adult populations, </w:t>
      </w:r>
      <w:r w:rsidR="0032589C" w:rsidRPr="00DE6A00">
        <w:rPr>
          <w:rFonts w:ascii="Arial" w:eastAsia="Times New Roman" w:hAnsi="Arial" w:cs="Arial"/>
          <w:color w:val="2F5496" w:themeColor="accent1" w:themeShade="BF"/>
        </w:rPr>
        <w:t>hard to reach populations</w:t>
      </w:r>
      <w:r w:rsidR="00D55CF3" w:rsidRPr="00DE6A00">
        <w:rPr>
          <w:rFonts w:ascii="Arial" w:eastAsia="Times New Roman" w:hAnsi="Arial" w:cs="Arial"/>
          <w:color w:val="2F5496" w:themeColor="accent1" w:themeShade="BF"/>
        </w:rPr>
        <w:t xml:space="preserve"> (due to geography, economic activity, conflict, or other barrier</w:t>
      </w:r>
      <w:r w:rsidR="009010BF" w:rsidRPr="00DE6A00">
        <w:rPr>
          <w:rFonts w:ascii="Arial" w:eastAsia="Times New Roman" w:hAnsi="Arial" w:cs="Arial"/>
          <w:color w:val="2F5496" w:themeColor="accent1" w:themeShade="BF"/>
        </w:rPr>
        <w:t>)</w:t>
      </w:r>
      <w:r w:rsidR="0032589C" w:rsidRPr="00DE6A00">
        <w:rPr>
          <w:rFonts w:ascii="Arial" w:eastAsia="Times New Roman" w:hAnsi="Arial" w:cs="Arial"/>
          <w:color w:val="2F5496" w:themeColor="accent1" w:themeShade="BF"/>
        </w:rPr>
        <w:t>.</w:t>
      </w:r>
      <w:r w:rsidR="00860C50" w:rsidRPr="00DE6A00">
        <w:rPr>
          <w:rFonts w:ascii="Arial" w:eastAsia="Times New Roman" w:hAnsi="Arial" w:cs="Arial"/>
          <w:color w:val="2F5496" w:themeColor="accent1" w:themeShade="BF"/>
        </w:rPr>
        <w:t xml:space="preserve"> Where different strategies will apply in different geographic areas or among population sub-groups, please describe these differentiated strategies.</w:t>
      </w:r>
    </w:p>
    <w:p w14:paraId="114DEB15" w14:textId="531C66E9" w:rsidR="00554BB5" w:rsidRPr="00DE6A00" w:rsidRDefault="00107400" w:rsidP="00B730A0">
      <w:pPr>
        <w:pStyle w:val="ListParagraph"/>
        <w:numPr>
          <w:ilvl w:val="4"/>
          <w:numId w:val="4"/>
        </w:numPr>
        <w:spacing w:line="240" w:lineRule="auto"/>
        <w:ind w:left="1890"/>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 xml:space="preserve">Lessons learned from previous campaigns in terms of reaching harder to reach populations and missed communities, addressing vaccine hesitancy, and gender considerations should be incorporated and described in the campaign plans. </w:t>
      </w:r>
    </w:p>
    <w:p w14:paraId="6D6AE7E7" w14:textId="77777777" w:rsidR="006B013A" w:rsidRPr="00DE6A00" w:rsidRDefault="006B013A" w:rsidP="00B730A0">
      <w:pPr>
        <w:pStyle w:val="ListParagraph"/>
        <w:spacing w:line="240" w:lineRule="auto"/>
        <w:ind w:left="1440"/>
        <w:jc w:val="both"/>
        <w:textAlignment w:val="center"/>
        <w:rPr>
          <w:rFonts w:ascii="Arial" w:eastAsia="Times New Roman" w:hAnsi="Arial" w:cs="Arial"/>
          <w:color w:val="2F5496" w:themeColor="accent1" w:themeShade="BF"/>
        </w:rPr>
      </w:pPr>
    </w:p>
    <w:p w14:paraId="7FCC2830" w14:textId="520270B9" w:rsidR="006B013A" w:rsidRPr="00DE6A00" w:rsidRDefault="00E723CD" w:rsidP="00B730A0">
      <w:pPr>
        <w:pStyle w:val="ListParagraph"/>
        <w:spacing w:line="240" w:lineRule="auto"/>
        <w:ind w:left="1170"/>
        <w:jc w:val="both"/>
        <w:textAlignment w:val="center"/>
        <w:rPr>
          <w:rFonts w:ascii="Arial" w:eastAsia="Times New Roman" w:hAnsi="Arial" w:cs="Arial"/>
          <w:color w:val="2F5496" w:themeColor="accent1" w:themeShade="BF"/>
        </w:rPr>
      </w:pPr>
      <w:r w:rsidRPr="00DE6A00">
        <w:rPr>
          <w:rFonts w:ascii="Arial" w:eastAsia="Times New Roman" w:hAnsi="Arial" w:cs="Arial"/>
          <w:b/>
          <w:bCs/>
          <w:color w:val="2F5496" w:themeColor="accent1" w:themeShade="BF"/>
        </w:rPr>
        <w:t xml:space="preserve">d. </w:t>
      </w:r>
      <w:r w:rsidR="006B013A" w:rsidRPr="00DE6A00">
        <w:rPr>
          <w:rFonts w:ascii="Arial" w:eastAsia="Times New Roman" w:hAnsi="Arial" w:cs="Arial"/>
          <w:b/>
          <w:bCs/>
          <w:color w:val="2F5496" w:themeColor="accent1" w:themeShade="BF"/>
        </w:rPr>
        <w:t>Linkages with other plans and interventions</w:t>
      </w:r>
      <w:r w:rsidR="006B013A" w:rsidRPr="00DE6A00">
        <w:rPr>
          <w:rFonts w:ascii="Arial" w:eastAsia="Times New Roman" w:hAnsi="Arial" w:cs="Arial"/>
          <w:color w:val="2F5496" w:themeColor="accent1" w:themeShade="BF"/>
        </w:rPr>
        <w:t>: The country is asked to:</w:t>
      </w:r>
    </w:p>
    <w:p w14:paraId="562EB0DF" w14:textId="0CC4F64F" w:rsidR="006B013A" w:rsidRPr="00DE6A00" w:rsidRDefault="006B013A" w:rsidP="00B730A0">
      <w:pPr>
        <w:numPr>
          <w:ilvl w:val="0"/>
          <w:numId w:val="14"/>
        </w:numPr>
        <w:spacing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Summarize the long term and short</w:t>
      </w:r>
      <w:r w:rsidR="007979F3" w:rsidRPr="00DE6A00">
        <w:rPr>
          <w:rFonts w:ascii="Arial" w:eastAsia="Times New Roman" w:hAnsi="Arial" w:cs="Arial"/>
          <w:color w:val="2F5496" w:themeColor="accent1" w:themeShade="BF"/>
        </w:rPr>
        <w:t>-</w:t>
      </w:r>
      <w:r w:rsidRPr="00DE6A00">
        <w:rPr>
          <w:rFonts w:ascii="Arial" w:eastAsia="Times New Roman" w:hAnsi="Arial" w:cs="Arial"/>
          <w:color w:val="2F5496" w:themeColor="accent1" w:themeShade="BF"/>
        </w:rPr>
        <w:t xml:space="preserve">term WASH plans as described in NCP (or other relevant strategy document), with reference to the relevant section of the NCP, and how the WASH strategy complements the vaccination strategy for a broader approach to cholera prevention and control. [If NCP is not available, describe </w:t>
      </w:r>
      <w:r w:rsidR="007979F3" w:rsidRPr="00DE6A00">
        <w:rPr>
          <w:rFonts w:ascii="Arial" w:eastAsia="Times New Roman" w:hAnsi="Arial" w:cs="Arial"/>
          <w:color w:val="2F5496" w:themeColor="accent1" w:themeShade="BF"/>
        </w:rPr>
        <w:t xml:space="preserve">the </w:t>
      </w:r>
      <w:r w:rsidRPr="00DE6A00">
        <w:rPr>
          <w:rFonts w:ascii="Arial" w:eastAsia="Times New Roman" w:hAnsi="Arial" w:cs="Arial"/>
          <w:color w:val="2F5496" w:themeColor="accent1" w:themeShade="BF"/>
        </w:rPr>
        <w:t xml:space="preserve">current status of </w:t>
      </w:r>
      <w:r w:rsidR="007979F3" w:rsidRPr="00DE6A00">
        <w:rPr>
          <w:rFonts w:ascii="Arial" w:eastAsia="Times New Roman" w:hAnsi="Arial" w:cs="Arial"/>
          <w:color w:val="2F5496" w:themeColor="accent1" w:themeShade="BF"/>
        </w:rPr>
        <w:t xml:space="preserve">the </w:t>
      </w:r>
      <w:r w:rsidRPr="00DE6A00">
        <w:rPr>
          <w:rFonts w:ascii="Arial" w:eastAsia="Times New Roman" w:hAnsi="Arial" w:cs="Arial"/>
          <w:color w:val="2F5496" w:themeColor="accent1" w:themeShade="BF"/>
        </w:rPr>
        <w:t xml:space="preserve">development process]. Countries must demonstrate their planning efforts and commitment to mobilize resources to implement the long-term WASH plan as part of this vaccination request. This request does </w:t>
      </w:r>
      <w:r w:rsidRPr="00DE6A00">
        <w:rPr>
          <w:rFonts w:ascii="Arial" w:eastAsia="Times New Roman" w:hAnsi="Arial" w:cs="Arial"/>
          <w:color w:val="2F5496" w:themeColor="accent1" w:themeShade="BF"/>
          <w:u w:val="single"/>
        </w:rPr>
        <w:t>not</w:t>
      </w:r>
      <w:r w:rsidRPr="00DE6A00">
        <w:rPr>
          <w:rFonts w:ascii="Arial" w:eastAsia="Times New Roman" w:hAnsi="Arial" w:cs="Arial"/>
          <w:color w:val="2F5496" w:themeColor="accent1" w:themeShade="BF"/>
        </w:rPr>
        <w:t xml:space="preserve"> need to detail current funding commitments for the WASH plan.</w:t>
      </w:r>
    </w:p>
    <w:p w14:paraId="58444988" w14:textId="7CF298B3" w:rsidR="006B013A" w:rsidRPr="00DE6A00" w:rsidRDefault="006B013A" w:rsidP="00B730A0">
      <w:pPr>
        <w:pStyle w:val="ListParagraph"/>
        <w:numPr>
          <w:ilvl w:val="0"/>
          <w:numId w:val="14"/>
        </w:numPr>
        <w:spacing w:line="240" w:lineRule="auto"/>
        <w:jc w:val="both"/>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 xml:space="preserve">List any other </w:t>
      </w:r>
      <w:r w:rsidRPr="00DE6A00">
        <w:rPr>
          <w:rFonts w:ascii="Arial" w:eastAsia="Times New Roman" w:hAnsi="Arial" w:cs="Arial"/>
          <w:color w:val="2F5496" w:themeColor="accent1" w:themeShade="BF"/>
          <w:u w:val="single"/>
        </w:rPr>
        <w:t>vaccine introductions and/or health campaigns</w:t>
      </w:r>
      <w:r w:rsidRPr="00DE6A00">
        <w:rPr>
          <w:rFonts w:ascii="Arial" w:eastAsia="Times New Roman" w:hAnsi="Arial" w:cs="Arial"/>
          <w:color w:val="2F5496" w:themeColor="accent1" w:themeShade="BF"/>
        </w:rPr>
        <w:t xml:space="preserve"> (e.g., medicines, vaccines</w:t>
      </w:r>
      <w:r w:rsidR="00F07570" w:rsidRPr="00DE6A00">
        <w:rPr>
          <w:rFonts w:ascii="Arial" w:eastAsia="Times New Roman" w:hAnsi="Arial" w:cs="Arial"/>
          <w:color w:val="2F5496" w:themeColor="accent1" w:themeShade="BF"/>
        </w:rPr>
        <w:t xml:space="preserve"> including polio</w:t>
      </w:r>
      <w:r w:rsidRPr="00DE6A00">
        <w:rPr>
          <w:rFonts w:ascii="Arial" w:eastAsia="Times New Roman" w:hAnsi="Arial" w:cs="Arial"/>
          <w:color w:val="2F5496" w:themeColor="accent1" w:themeShade="BF"/>
        </w:rPr>
        <w:t xml:space="preserve">, </w:t>
      </w:r>
      <w:r w:rsidR="00F07570" w:rsidRPr="00DE6A00">
        <w:rPr>
          <w:rFonts w:ascii="Arial" w:eastAsia="Times New Roman" w:hAnsi="Arial" w:cs="Arial"/>
          <w:color w:val="2F5496" w:themeColor="accent1" w:themeShade="BF"/>
        </w:rPr>
        <w:t xml:space="preserve">vitamin A </w:t>
      </w:r>
      <w:r w:rsidRPr="00DE6A00">
        <w:rPr>
          <w:rFonts w:ascii="Arial" w:eastAsia="Times New Roman" w:hAnsi="Arial" w:cs="Arial"/>
          <w:color w:val="2F5496" w:themeColor="accent1" w:themeShade="BF"/>
        </w:rPr>
        <w:t xml:space="preserve">supplements or </w:t>
      </w:r>
      <w:r w:rsidR="00F07570" w:rsidRPr="00DE6A00">
        <w:rPr>
          <w:rFonts w:ascii="Arial" w:eastAsia="Times New Roman" w:hAnsi="Arial" w:cs="Arial"/>
          <w:color w:val="2F5496" w:themeColor="accent1" w:themeShade="BF"/>
        </w:rPr>
        <w:t xml:space="preserve">other </w:t>
      </w:r>
      <w:r w:rsidRPr="00DE6A00">
        <w:rPr>
          <w:rFonts w:ascii="Arial" w:eastAsia="Times New Roman" w:hAnsi="Arial" w:cs="Arial"/>
          <w:color w:val="2F5496" w:themeColor="accent1" w:themeShade="BF"/>
        </w:rPr>
        <w:t>nutrition-related activities</w:t>
      </w:r>
      <w:r w:rsidR="00F07570" w:rsidRPr="00DE6A00">
        <w:rPr>
          <w:rFonts w:ascii="Arial" w:eastAsia="Times New Roman" w:hAnsi="Arial" w:cs="Arial"/>
          <w:color w:val="2F5496" w:themeColor="accent1" w:themeShade="BF"/>
        </w:rPr>
        <w:t>, bed net distribution</w:t>
      </w:r>
      <w:r w:rsidRPr="00DE6A00">
        <w:rPr>
          <w:rFonts w:ascii="Arial" w:eastAsia="Times New Roman" w:hAnsi="Arial" w:cs="Arial"/>
          <w:color w:val="2F5496" w:themeColor="accent1" w:themeShade="BF"/>
        </w:rPr>
        <w:t>) planned in the same targeted geographic areas (put in table format if easier). Explain how the timing and organisation of the proposed campaigns will take these other activities into account</w:t>
      </w:r>
      <w:r w:rsidR="003721A0" w:rsidRPr="00DE6A00">
        <w:rPr>
          <w:rFonts w:ascii="Arial" w:eastAsia="Times New Roman" w:hAnsi="Arial" w:cs="Arial"/>
          <w:color w:val="2F5496" w:themeColor="accent1" w:themeShade="BF"/>
        </w:rPr>
        <w:t xml:space="preserve">, </w:t>
      </w:r>
      <w:r w:rsidRPr="00DE6A00">
        <w:rPr>
          <w:rFonts w:ascii="Arial" w:eastAsia="Times New Roman" w:hAnsi="Arial" w:cs="Arial"/>
          <w:color w:val="2F5496" w:themeColor="accent1" w:themeShade="BF"/>
        </w:rPr>
        <w:t>including identifying how joint planning of activities could be conducted, if feasible, to benefit the impact of the introductions and activities, while ensuring high quality implementation of both campaigns/activities and appropriate timing of OCV vaccination considering cholera seasonality, if applicable in the context.</w:t>
      </w:r>
    </w:p>
    <w:p w14:paraId="4EC5BD2C" w14:textId="77777777" w:rsidR="006B013A" w:rsidRPr="00DE6A00" w:rsidRDefault="006B013A" w:rsidP="00B730A0">
      <w:pPr>
        <w:numPr>
          <w:ilvl w:val="0"/>
          <w:numId w:val="14"/>
        </w:numPr>
        <w:spacing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 xml:space="preserve">List other </w:t>
      </w:r>
      <w:r w:rsidRPr="00DE6A00">
        <w:rPr>
          <w:rFonts w:ascii="Arial" w:eastAsia="Times New Roman" w:hAnsi="Arial" w:cs="Arial"/>
          <w:color w:val="2F5496" w:themeColor="accent1" w:themeShade="BF"/>
          <w:u w:val="single"/>
        </w:rPr>
        <w:t>existing immunization strategies</w:t>
      </w:r>
      <w:r w:rsidRPr="00DE6A00">
        <w:rPr>
          <w:rFonts w:ascii="Arial" w:eastAsia="Times New Roman" w:hAnsi="Arial" w:cs="Arial"/>
          <w:color w:val="2F5496" w:themeColor="accent1" w:themeShade="BF"/>
        </w:rPr>
        <w:t xml:space="preserve">, in particular strategies to </w:t>
      </w:r>
      <w:r w:rsidRPr="00DE6A00">
        <w:rPr>
          <w:rFonts w:ascii="Arial" w:eastAsia="Times New Roman" w:hAnsi="Arial" w:cs="Arial"/>
          <w:color w:val="2F5496" w:themeColor="accent1" w:themeShade="BF"/>
          <w:u w:val="single"/>
        </w:rPr>
        <w:t>identify and reach zero-dose children</w:t>
      </w:r>
      <w:r w:rsidRPr="00DE6A00">
        <w:rPr>
          <w:rFonts w:ascii="Arial" w:eastAsia="Times New Roman" w:hAnsi="Arial" w:cs="Arial"/>
          <w:color w:val="2F5496" w:themeColor="accent1" w:themeShade="BF"/>
        </w:rPr>
        <w:t>, and describe how the cholera vaccination activities will contribute to these strategies and creates synergies with them. Illustrative examples include:</w:t>
      </w:r>
    </w:p>
    <w:p w14:paraId="12F727DD" w14:textId="77777777" w:rsidR="006B013A" w:rsidRPr="00DE6A00" w:rsidRDefault="006B013A" w:rsidP="00B730A0">
      <w:pPr>
        <w:pStyle w:val="ListParagraph"/>
        <w:numPr>
          <w:ilvl w:val="3"/>
          <w:numId w:val="10"/>
        </w:numPr>
        <w:spacing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Integrated activities to reach children and families with vaccination services in overlapping targeted areas (e.g., PIRI)</w:t>
      </w:r>
    </w:p>
    <w:p w14:paraId="2EC10BD3" w14:textId="77777777" w:rsidR="006B013A" w:rsidRPr="00DE6A00" w:rsidRDefault="006B013A" w:rsidP="00B730A0">
      <w:pPr>
        <w:pStyle w:val="ListParagraph"/>
        <w:numPr>
          <w:ilvl w:val="3"/>
          <w:numId w:val="10"/>
        </w:numPr>
        <w:spacing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During OCV campaigns, identifying and referring children, adolescents, and adults missing vaccinations to the nearest vaccination point, or reaching these identified persons with outreach vaccination services in the 2nd round of the OCV campaign.</w:t>
      </w:r>
    </w:p>
    <w:p w14:paraId="3EEF5C84" w14:textId="77777777" w:rsidR="006B013A" w:rsidRPr="00DE6A00" w:rsidRDefault="006B013A" w:rsidP="00B730A0">
      <w:pPr>
        <w:pStyle w:val="ListParagraph"/>
        <w:numPr>
          <w:ilvl w:val="3"/>
          <w:numId w:val="10"/>
        </w:numPr>
        <w:spacing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lastRenderedPageBreak/>
        <w:t>Sharing household listings and maps developed during the OCV campaigns with district EPI managers to support other immunization activities and ensure all communities are reached by routine immunization</w:t>
      </w:r>
    </w:p>
    <w:p w14:paraId="7FBD1D00" w14:textId="4DCB992C" w:rsidR="006B013A" w:rsidRPr="00DE6A00" w:rsidRDefault="006B013A" w:rsidP="00B730A0">
      <w:pPr>
        <w:pStyle w:val="ListParagraph"/>
        <w:numPr>
          <w:ilvl w:val="3"/>
          <w:numId w:val="10"/>
        </w:numPr>
        <w:spacing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 xml:space="preserve">Using door-to-door vaccination activities and/or coverage surveys to identify children, and families who have been missed by routine immunization </w:t>
      </w:r>
      <w:r w:rsidR="00EB4B92" w:rsidRPr="00DE6A00">
        <w:rPr>
          <w:rFonts w:ascii="Arial" w:eastAsia="Times New Roman" w:hAnsi="Arial" w:cs="Arial"/>
          <w:color w:val="2F5496" w:themeColor="accent1" w:themeShade="BF"/>
        </w:rPr>
        <w:t>services and</w:t>
      </w:r>
      <w:r w:rsidRPr="00DE6A00">
        <w:rPr>
          <w:rFonts w:ascii="Arial" w:eastAsia="Times New Roman" w:hAnsi="Arial" w:cs="Arial"/>
          <w:color w:val="2F5496" w:themeColor="accent1" w:themeShade="BF"/>
        </w:rPr>
        <w:t xml:space="preserve"> providing this information to the nearest health facility providing immunization services.</w:t>
      </w:r>
    </w:p>
    <w:p w14:paraId="150E7C2B" w14:textId="77777777" w:rsidR="006B013A" w:rsidRPr="00DE6A00" w:rsidRDefault="006B013A" w:rsidP="00B730A0">
      <w:pPr>
        <w:pStyle w:val="ListParagraph"/>
        <w:spacing w:line="240" w:lineRule="auto"/>
        <w:ind w:left="2160"/>
        <w:jc w:val="both"/>
        <w:rPr>
          <w:rFonts w:ascii="Arial" w:eastAsia="Times New Roman" w:hAnsi="Arial" w:cs="Arial"/>
          <w:i/>
          <w:iCs/>
          <w:color w:val="2F5496" w:themeColor="accent1" w:themeShade="BF"/>
        </w:rPr>
      </w:pPr>
      <w:r w:rsidRPr="00DE6A00">
        <w:rPr>
          <w:rFonts w:ascii="Arial" w:eastAsia="Times New Roman" w:hAnsi="Arial" w:cs="Arial"/>
          <w:i/>
          <w:iCs/>
          <w:color w:val="2F5496" w:themeColor="accent1" w:themeShade="BF"/>
        </w:rPr>
        <w:t>Note: Justification must be provided if these activities are not included in the vaccination plan if they are not possible or not relevant in a specific context.</w:t>
      </w:r>
    </w:p>
    <w:p w14:paraId="67BE3823" w14:textId="77777777" w:rsidR="006B013A" w:rsidRPr="00DE6A00" w:rsidRDefault="006B013A" w:rsidP="00B730A0">
      <w:pPr>
        <w:pStyle w:val="ListParagraph"/>
        <w:spacing w:line="240" w:lineRule="auto"/>
        <w:ind w:left="2160"/>
        <w:jc w:val="both"/>
        <w:rPr>
          <w:rFonts w:ascii="Arial" w:eastAsia="Times New Roman" w:hAnsi="Arial" w:cs="Arial"/>
          <w:i/>
          <w:iCs/>
          <w:color w:val="2F5496" w:themeColor="accent1" w:themeShade="BF"/>
        </w:rPr>
      </w:pPr>
    </w:p>
    <w:p w14:paraId="077C919A" w14:textId="5D1EFD04" w:rsidR="006B013A" w:rsidRPr="00DE6A00" w:rsidRDefault="006B013A" w:rsidP="00B730A0">
      <w:pPr>
        <w:pStyle w:val="ListParagraph"/>
        <w:numPr>
          <w:ilvl w:val="0"/>
          <w:numId w:val="14"/>
        </w:numPr>
        <w:spacing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 xml:space="preserve">Describe any other health, nutrition or WASH interventions that will be integrated with and/or delivered together </w:t>
      </w:r>
      <w:r w:rsidRPr="00DE6A00">
        <w:rPr>
          <w:rFonts w:ascii="Arial" w:eastAsia="Times New Roman" w:hAnsi="Arial" w:cs="Arial"/>
          <w:color w:val="2F5496" w:themeColor="accent1" w:themeShade="BF"/>
          <w:u w:val="single"/>
        </w:rPr>
        <w:t>during</w:t>
      </w:r>
      <w:r w:rsidRPr="00DE6A00">
        <w:rPr>
          <w:rFonts w:ascii="Arial" w:eastAsia="Times New Roman" w:hAnsi="Arial" w:cs="Arial"/>
          <w:color w:val="2F5496" w:themeColor="accent1" w:themeShade="BF"/>
        </w:rPr>
        <w:t xml:space="preserve"> the </w:t>
      </w:r>
      <w:r w:rsidR="002E5E8E" w:rsidRPr="00DE6A00">
        <w:rPr>
          <w:rFonts w:ascii="Arial" w:eastAsia="Times New Roman" w:hAnsi="Arial" w:cs="Arial"/>
          <w:color w:val="2F5496" w:themeColor="accent1" w:themeShade="BF"/>
        </w:rPr>
        <w:t xml:space="preserve">vaccination </w:t>
      </w:r>
      <w:r w:rsidRPr="00DE6A00">
        <w:rPr>
          <w:rFonts w:ascii="Arial" w:eastAsia="Times New Roman" w:hAnsi="Arial" w:cs="Arial"/>
          <w:color w:val="2F5496" w:themeColor="accent1" w:themeShade="BF"/>
        </w:rPr>
        <w:t xml:space="preserve">campaigns </w:t>
      </w:r>
      <w:r w:rsidR="002E5E8E" w:rsidRPr="00DE6A00">
        <w:rPr>
          <w:rFonts w:ascii="Arial" w:eastAsia="Times New Roman" w:hAnsi="Arial" w:cs="Arial"/>
          <w:color w:val="2F5496" w:themeColor="accent1" w:themeShade="BF"/>
        </w:rPr>
        <w:t xml:space="preserve">that are </w:t>
      </w:r>
      <w:r w:rsidRPr="00DE6A00">
        <w:rPr>
          <w:rFonts w:ascii="Arial" w:eastAsia="Times New Roman" w:hAnsi="Arial" w:cs="Arial"/>
          <w:color w:val="2F5496" w:themeColor="accent1" w:themeShade="BF"/>
        </w:rPr>
        <w:t>planned. Specify activities, responsible entity(</w:t>
      </w:r>
      <w:proofErr w:type="spellStart"/>
      <w:r w:rsidRPr="00DE6A00">
        <w:rPr>
          <w:rFonts w:ascii="Arial" w:eastAsia="Times New Roman" w:hAnsi="Arial" w:cs="Arial"/>
          <w:color w:val="2F5496" w:themeColor="accent1" w:themeShade="BF"/>
        </w:rPr>
        <w:t>ies</w:t>
      </w:r>
      <w:proofErr w:type="spellEnd"/>
      <w:r w:rsidRPr="00DE6A00">
        <w:rPr>
          <w:rFonts w:ascii="Arial" w:eastAsia="Times New Roman" w:hAnsi="Arial" w:cs="Arial"/>
          <w:color w:val="2F5496" w:themeColor="accent1" w:themeShade="BF"/>
        </w:rPr>
        <w:t>), and other sources of funding that will be used for these activities.</w:t>
      </w:r>
    </w:p>
    <w:p w14:paraId="038426AB" w14:textId="77777777" w:rsidR="006B013A" w:rsidRPr="00DE6A00" w:rsidRDefault="006B013A" w:rsidP="00B730A0">
      <w:pPr>
        <w:pStyle w:val="ListParagraph"/>
        <w:spacing w:line="240" w:lineRule="auto"/>
        <w:ind w:left="1440"/>
        <w:jc w:val="both"/>
        <w:textAlignment w:val="center"/>
        <w:rPr>
          <w:rFonts w:ascii="Arial" w:eastAsia="Times New Roman" w:hAnsi="Arial" w:cs="Arial"/>
          <w:color w:val="2F5496" w:themeColor="accent1" w:themeShade="BF"/>
        </w:rPr>
      </w:pPr>
    </w:p>
    <w:p w14:paraId="5A3F80C7" w14:textId="275ED096" w:rsidR="00186A24" w:rsidRPr="00DE6A00" w:rsidRDefault="00E723CD" w:rsidP="00B730A0">
      <w:pPr>
        <w:spacing w:line="240" w:lineRule="auto"/>
        <w:ind w:left="1080"/>
        <w:jc w:val="both"/>
        <w:textAlignment w:val="center"/>
        <w:rPr>
          <w:rFonts w:ascii="Arial" w:eastAsia="Times New Roman" w:hAnsi="Arial" w:cs="Arial"/>
          <w:color w:val="2F5496" w:themeColor="accent1" w:themeShade="BF"/>
        </w:rPr>
      </w:pPr>
      <w:r w:rsidRPr="00DE6A00">
        <w:rPr>
          <w:rFonts w:ascii="Arial" w:eastAsia="Times New Roman" w:hAnsi="Arial" w:cs="Arial"/>
          <w:b/>
          <w:bCs/>
          <w:color w:val="2F5496" w:themeColor="accent1" w:themeShade="BF"/>
        </w:rPr>
        <w:t xml:space="preserve">e. </w:t>
      </w:r>
      <w:r w:rsidR="00107400" w:rsidRPr="00DE6A00">
        <w:rPr>
          <w:rFonts w:ascii="Arial" w:eastAsia="Times New Roman" w:hAnsi="Arial" w:cs="Arial"/>
          <w:b/>
          <w:bCs/>
          <w:color w:val="2F5496" w:themeColor="accent1" w:themeShade="BF"/>
        </w:rPr>
        <w:t xml:space="preserve">Communications: </w:t>
      </w:r>
      <w:r w:rsidR="002E5E8E" w:rsidRPr="00DE6A00">
        <w:rPr>
          <w:rFonts w:ascii="Arial" w:eastAsia="Times New Roman" w:hAnsi="Arial" w:cs="Arial"/>
          <w:color w:val="2F5496" w:themeColor="accent1" w:themeShade="BF"/>
        </w:rPr>
        <w:t xml:space="preserve"> This section should describe</w:t>
      </w:r>
      <w:r w:rsidR="00186A24" w:rsidRPr="00DE6A00">
        <w:rPr>
          <w:rFonts w:ascii="Arial" w:eastAsia="Times New Roman" w:hAnsi="Arial" w:cs="Arial"/>
          <w:color w:val="2F5496" w:themeColor="accent1" w:themeShade="BF"/>
        </w:rPr>
        <w:t>:</w:t>
      </w:r>
    </w:p>
    <w:p w14:paraId="1421AFBC" w14:textId="77777777" w:rsidR="00186A24" w:rsidRPr="00DE6A00" w:rsidRDefault="00186A24" w:rsidP="00B730A0">
      <w:pPr>
        <w:pStyle w:val="ListParagraph"/>
        <w:numPr>
          <w:ilvl w:val="2"/>
          <w:numId w:val="5"/>
        </w:numPr>
        <w:spacing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A</w:t>
      </w:r>
      <w:r w:rsidR="002E5E8E" w:rsidRPr="00DE6A00">
        <w:rPr>
          <w:rFonts w:ascii="Arial" w:eastAsia="Times New Roman" w:hAnsi="Arial" w:cs="Arial"/>
          <w:color w:val="2F5496" w:themeColor="accent1" w:themeShade="BF"/>
        </w:rPr>
        <w:t xml:space="preserve">dvocacy strategies with political and religious leaders (and other influential persons) at all levels. </w:t>
      </w:r>
    </w:p>
    <w:p w14:paraId="4893C5CD" w14:textId="401E332D" w:rsidR="00186A24" w:rsidRPr="00DE6A00" w:rsidRDefault="00186A24" w:rsidP="00B730A0">
      <w:pPr>
        <w:pStyle w:val="ListParagraph"/>
        <w:numPr>
          <w:ilvl w:val="2"/>
          <w:numId w:val="5"/>
        </w:numPr>
        <w:spacing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S</w:t>
      </w:r>
      <w:r w:rsidR="00107400" w:rsidRPr="00DE6A00">
        <w:rPr>
          <w:rFonts w:ascii="Arial" w:eastAsia="Times New Roman" w:hAnsi="Arial" w:cs="Arial"/>
          <w:color w:val="2F5496" w:themeColor="accent1" w:themeShade="BF"/>
        </w:rPr>
        <w:t xml:space="preserve">trategies to </w:t>
      </w:r>
      <w:r w:rsidR="00F07570" w:rsidRPr="00DE6A00">
        <w:rPr>
          <w:rFonts w:ascii="Arial" w:eastAsia="Times New Roman" w:hAnsi="Arial" w:cs="Arial"/>
          <w:color w:val="2F5496" w:themeColor="accent1" w:themeShade="BF"/>
        </w:rPr>
        <w:t xml:space="preserve">engage with and </w:t>
      </w:r>
      <w:r w:rsidR="00107400" w:rsidRPr="00DE6A00">
        <w:rPr>
          <w:rFonts w:ascii="Arial" w:eastAsia="Times New Roman" w:hAnsi="Arial" w:cs="Arial"/>
          <w:color w:val="2F5496" w:themeColor="accent1" w:themeShade="BF"/>
        </w:rPr>
        <w:t xml:space="preserve">inform parents, local leaders, and eligible persons in the target area about the campaign, its importance, and the need to vaccinate all in the target group. </w:t>
      </w:r>
      <w:r w:rsidR="00C777A9" w:rsidRPr="00DE6A00">
        <w:rPr>
          <w:rFonts w:ascii="Arial" w:eastAsia="Times New Roman" w:hAnsi="Arial" w:cs="Arial"/>
          <w:color w:val="2F5496" w:themeColor="accent1" w:themeShade="BF"/>
        </w:rPr>
        <w:t xml:space="preserve">How and when will this information be disseminated should be included. </w:t>
      </w:r>
      <w:r w:rsidRPr="00DE6A00">
        <w:rPr>
          <w:rFonts w:ascii="Arial" w:eastAsia="Times New Roman" w:hAnsi="Arial" w:cs="Arial"/>
          <w:color w:val="2F5496" w:themeColor="accent1" w:themeShade="BF"/>
        </w:rPr>
        <w:t xml:space="preserve">[Note: </w:t>
      </w:r>
      <w:r w:rsidR="00107400" w:rsidRPr="00DE6A00">
        <w:rPr>
          <w:rFonts w:ascii="Arial" w:eastAsia="Times New Roman" w:hAnsi="Arial" w:cs="Arial"/>
          <w:color w:val="2F5496" w:themeColor="accent1" w:themeShade="BF"/>
        </w:rPr>
        <w:t>Social mobilisation strategies should be reflected in other aspects of the plan as appropriate (e.g. under “Strategies” above).</w:t>
      </w:r>
      <w:r w:rsidRPr="00DE6A00">
        <w:rPr>
          <w:rFonts w:ascii="Arial" w:eastAsia="Times New Roman" w:hAnsi="Arial" w:cs="Arial"/>
          <w:color w:val="2F5496" w:themeColor="accent1" w:themeShade="BF"/>
        </w:rPr>
        <w:t>]</w:t>
      </w:r>
      <w:r w:rsidR="00107400" w:rsidRPr="00DE6A00">
        <w:rPr>
          <w:rFonts w:ascii="Arial" w:eastAsia="Times New Roman" w:hAnsi="Arial" w:cs="Arial"/>
          <w:color w:val="2F5496" w:themeColor="accent1" w:themeShade="BF"/>
        </w:rPr>
        <w:t xml:space="preserve"> </w:t>
      </w:r>
    </w:p>
    <w:p w14:paraId="42786859" w14:textId="77777777" w:rsidR="00186A24" w:rsidRPr="00DE6A00" w:rsidRDefault="00186A24" w:rsidP="00B730A0">
      <w:pPr>
        <w:pStyle w:val="ListParagraph"/>
        <w:numPr>
          <w:ilvl w:val="2"/>
          <w:numId w:val="5"/>
        </w:numPr>
        <w:spacing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How mobilizers and vaccinators will be trained to communicate with persons who may be vaccine hesitant or confused between multiple campaign-based vaccines, and especially the importance of receiving a 2nd dose of the cholera vaccine, and possible timing when this may occur.</w:t>
      </w:r>
    </w:p>
    <w:p w14:paraId="7451C433" w14:textId="77777777" w:rsidR="00186A24" w:rsidRPr="00DE6A00" w:rsidRDefault="00186A24" w:rsidP="00B730A0">
      <w:pPr>
        <w:pStyle w:val="ListParagraph"/>
        <w:numPr>
          <w:ilvl w:val="2"/>
          <w:numId w:val="5"/>
        </w:numPr>
        <w:spacing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A</w:t>
      </w:r>
      <w:r w:rsidR="00107400" w:rsidRPr="00DE6A00">
        <w:rPr>
          <w:rFonts w:ascii="Arial" w:eastAsia="Times New Roman" w:hAnsi="Arial" w:cs="Arial"/>
          <w:color w:val="2F5496" w:themeColor="accent1" w:themeShade="BF"/>
        </w:rPr>
        <w:t xml:space="preserve"> clear indication of how crisis communication will occur, such as in the case of an AEFI</w:t>
      </w:r>
      <w:r w:rsidR="00013701" w:rsidRPr="00DE6A00">
        <w:rPr>
          <w:rFonts w:ascii="Arial" w:eastAsia="Times New Roman" w:hAnsi="Arial" w:cs="Arial"/>
          <w:color w:val="2F5496" w:themeColor="accent1" w:themeShade="BF"/>
        </w:rPr>
        <w:t>, and what approaches for rumor monitoring will be put in place</w:t>
      </w:r>
      <w:r w:rsidR="00107400" w:rsidRPr="00DE6A00">
        <w:rPr>
          <w:rFonts w:ascii="Arial" w:eastAsia="Times New Roman" w:hAnsi="Arial" w:cs="Arial"/>
          <w:color w:val="2F5496" w:themeColor="accent1" w:themeShade="BF"/>
        </w:rPr>
        <w:t xml:space="preserve">. </w:t>
      </w:r>
    </w:p>
    <w:p w14:paraId="42AC9C73" w14:textId="77777777" w:rsidR="00847A7A" w:rsidRPr="00DE6A00" w:rsidRDefault="00847A7A" w:rsidP="00B730A0">
      <w:pPr>
        <w:pStyle w:val="ListParagraph"/>
        <w:jc w:val="both"/>
        <w:rPr>
          <w:rFonts w:ascii="Arial" w:eastAsia="Times New Roman" w:hAnsi="Arial" w:cs="Arial"/>
          <w:color w:val="2F5496" w:themeColor="accent1" w:themeShade="BF"/>
        </w:rPr>
      </w:pPr>
    </w:p>
    <w:p w14:paraId="0E550AE3" w14:textId="76CF2EC9" w:rsidR="00847A7A" w:rsidRPr="00DE6A00" w:rsidRDefault="00107400" w:rsidP="00B730A0">
      <w:pPr>
        <w:pStyle w:val="ListParagraph"/>
        <w:spacing w:line="240" w:lineRule="auto"/>
        <w:ind w:left="1440"/>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 xml:space="preserve">Gavi encourages countries to identify synergies and build linkages between its cash support on social mobilization / IEC activities of various antigen grants and with Country overall comprehensive and integrated social mobilization strategies or plans for routine immunisation (including adult vaccinations). Countries will need to demonstrate in their applications that they have identified and are prepared to leverage synergies between cash support provided for IEC activities by Gavi and other development partners, to ensure that this grant will contribute in building community demand </w:t>
      </w:r>
      <w:r w:rsidR="00847A7A" w:rsidRPr="00DE6A00">
        <w:rPr>
          <w:rFonts w:ascii="Arial" w:eastAsia="Times New Roman" w:hAnsi="Arial" w:cs="Arial"/>
          <w:color w:val="2F5496" w:themeColor="accent1" w:themeShade="BF"/>
        </w:rPr>
        <w:t>for</w:t>
      </w:r>
      <w:r w:rsidRPr="00DE6A00">
        <w:rPr>
          <w:rFonts w:ascii="Arial" w:eastAsia="Times New Roman" w:hAnsi="Arial" w:cs="Arial"/>
          <w:color w:val="2F5496" w:themeColor="accent1" w:themeShade="BF"/>
        </w:rPr>
        <w:t xml:space="preserve"> immunisation</w:t>
      </w:r>
      <w:r w:rsidR="00847A7A" w:rsidRPr="00DE6A00">
        <w:rPr>
          <w:rFonts w:ascii="Arial" w:eastAsia="Times New Roman" w:hAnsi="Arial" w:cs="Arial"/>
          <w:color w:val="2F5496" w:themeColor="accent1" w:themeShade="BF"/>
        </w:rPr>
        <w:t>.</w:t>
      </w:r>
      <w:r w:rsidRPr="00DE6A00">
        <w:rPr>
          <w:rFonts w:ascii="Arial" w:eastAsia="Times New Roman" w:hAnsi="Arial" w:cs="Arial"/>
          <w:color w:val="2F5496" w:themeColor="accent1" w:themeShade="BF"/>
        </w:rPr>
        <w:t xml:space="preserve"> </w:t>
      </w:r>
    </w:p>
    <w:p w14:paraId="02304670" w14:textId="6642A12E" w:rsidR="00107400" w:rsidRPr="00DE6A00" w:rsidRDefault="00847A7A" w:rsidP="00B730A0">
      <w:pPr>
        <w:spacing w:after="0" w:line="240" w:lineRule="auto"/>
        <w:ind w:left="720" w:hanging="360"/>
        <w:jc w:val="both"/>
        <w:textAlignment w:val="center"/>
        <w:rPr>
          <w:rFonts w:ascii="Arial" w:eastAsia="Times New Roman" w:hAnsi="Arial" w:cs="Arial"/>
          <w:b/>
          <w:bCs/>
          <w:color w:val="2F5496" w:themeColor="accent1" w:themeShade="BF"/>
        </w:rPr>
      </w:pPr>
      <w:r w:rsidRPr="00DE6A00">
        <w:rPr>
          <w:rFonts w:ascii="Arial" w:eastAsia="Times New Roman" w:hAnsi="Arial" w:cs="Arial"/>
          <w:b/>
          <w:bCs/>
          <w:color w:val="2F5496" w:themeColor="accent1" w:themeShade="BF"/>
        </w:rPr>
        <w:t xml:space="preserve">5.  </w:t>
      </w:r>
      <w:r w:rsidR="003D26EC" w:rsidRPr="00DE6A00">
        <w:rPr>
          <w:rFonts w:ascii="Arial" w:eastAsia="Times New Roman" w:hAnsi="Arial" w:cs="Arial"/>
          <w:b/>
          <w:bCs/>
          <w:color w:val="2F5496" w:themeColor="accent1" w:themeShade="BF"/>
        </w:rPr>
        <w:t>Strategies for</w:t>
      </w:r>
      <w:r w:rsidR="00107400" w:rsidRPr="00DE6A00">
        <w:rPr>
          <w:rFonts w:ascii="Arial" w:eastAsia="Times New Roman" w:hAnsi="Arial" w:cs="Arial"/>
          <w:b/>
          <w:bCs/>
          <w:color w:val="2F5496" w:themeColor="accent1" w:themeShade="BF"/>
        </w:rPr>
        <w:t xml:space="preserve"> monitoring</w:t>
      </w:r>
      <w:r w:rsidR="003D26EC" w:rsidRPr="00DE6A00">
        <w:rPr>
          <w:rFonts w:ascii="Arial" w:eastAsia="Times New Roman" w:hAnsi="Arial" w:cs="Arial"/>
          <w:b/>
          <w:bCs/>
          <w:color w:val="2F5496" w:themeColor="accent1" w:themeShade="BF"/>
        </w:rPr>
        <w:t>, reporting,</w:t>
      </w:r>
      <w:r w:rsidR="00107400" w:rsidRPr="00DE6A00">
        <w:rPr>
          <w:rFonts w:ascii="Arial" w:eastAsia="Times New Roman" w:hAnsi="Arial" w:cs="Arial"/>
          <w:b/>
          <w:bCs/>
          <w:color w:val="2F5496" w:themeColor="accent1" w:themeShade="BF"/>
        </w:rPr>
        <w:t xml:space="preserve"> and evaluation. </w:t>
      </w:r>
      <w:r w:rsidR="00107400" w:rsidRPr="00DE6A00">
        <w:rPr>
          <w:rFonts w:ascii="Arial" w:eastAsia="Times New Roman" w:hAnsi="Arial" w:cs="Arial"/>
          <w:color w:val="2F5496" w:themeColor="accent1" w:themeShade="BF"/>
        </w:rPr>
        <w:t>Countries must describe their approach to monitoring and evaluation (M&amp;E)</w:t>
      </w:r>
      <w:r w:rsidRPr="00DE6A00">
        <w:rPr>
          <w:rFonts w:ascii="Arial" w:eastAsia="Times New Roman" w:hAnsi="Arial" w:cs="Arial"/>
          <w:color w:val="2F5496" w:themeColor="accent1" w:themeShade="BF"/>
        </w:rPr>
        <w:t>,</w:t>
      </w:r>
      <w:r w:rsidR="00107400" w:rsidRPr="00DE6A00">
        <w:rPr>
          <w:rFonts w:ascii="Arial" w:eastAsia="Times New Roman" w:hAnsi="Arial" w:cs="Arial"/>
          <w:color w:val="2F5496" w:themeColor="accent1" w:themeShade="BF"/>
        </w:rPr>
        <w:t xml:space="preserve"> including proposed indicators</w:t>
      </w:r>
      <w:r w:rsidRPr="00DE6A00">
        <w:rPr>
          <w:rFonts w:ascii="Arial" w:eastAsia="Times New Roman" w:hAnsi="Arial" w:cs="Arial"/>
          <w:color w:val="2F5496" w:themeColor="accent1" w:themeShade="BF"/>
        </w:rPr>
        <w:t>, methods for</w:t>
      </w:r>
      <w:r w:rsidR="00107400" w:rsidRPr="00DE6A00">
        <w:rPr>
          <w:rFonts w:ascii="Arial" w:eastAsia="Times New Roman" w:hAnsi="Arial" w:cs="Arial"/>
          <w:color w:val="2F5496" w:themeColor="accent1" w:themeShade="BF"/>
        </w:rPr>
        <w:t xml:space="preserve"> data collection</w:t>
      </w:r>
      <w:r w:rsidRPr="00DE6A00">
        <w:rPr>
          <w:rFonts w:ascii="Arial" w:eastAsia="Times New Roman" w:hAnsi="Arial" w:cs="Arial"/>
          <w:color w:val="2F5496" w:themeColor="accent1" w:themeShade="BF"/>
        </w:rPr>
        <w:t xml:space="preserve">, and approaches </w:t>
      </w:r>
      <w:r w:rsidR="00003CEC" w:rsidRPr="00DE6A00">
        <w:rPr>
          <w:rFonts w:ascii="Arial" w:eastAsia="Times New Roman" w:hAnsi="Arial" w:cs="Arial"/>
          <w:color w:val="2F5496" w:themeColor="accent1" w:themeShade="BF"/>
        </w:rPr>
        <w:t>for data</w:t>
      </w:r>
      <w:r w:rsidR="00107400" w:rsidRPr="00DE6A00">
        <w:rPr>
          <w:rFonts w:ascii="Arial" w:eastAsia="Times New Roman" w:hAnsi="Arial" w:cs="Arial"/>
          <w:color w:val="2F5496" w:themeColor="accent1" w:themeShade="BF"/>
        </w:rPr>
        <w:t xml:space="preserve"> use</w:t>
      </w:r>
      <w:r w:rsidR="00B016AD" w:rsidRPr="00DE6A00">
        <w:rPr>
          <w:rFonts w:ascii="Arial" w:eastAsia="Times New Roman" w:hAnsi="Arial" w:cs="Arial"/>
          <w:color w:val="2F5496" w:themeColor="accent1" w:themeShade="BF"/>
        </w:rPr>
        <w:t>. All activities should be budgeted including the post-campaign coverage survey(s). Describe strategies for the following:</w:t>
      </w:r>
      <w:r w:rsidR="00107400" w:rsidRPr="00DE6A00">
        <w:rPr>
          <w:rFonts w:ascii="Arial" w:eastAsia="Times New Roman" w:hAnsi="Arial" w:cs="Arial"/>
          <w:color w:val="2F5496" w:themeColor="accent1" w:themeShade="BF"/>
        </w:rPr>
        <w:t xml:space="preserve"> </w:t>
      </w:r>
    </w:p>
    <w:p w14:paraId="110AF601" w14:textId="0B3B1860" w:rsidR="00107400" w:rsidRPr="00DE6A00" w:rsidRDefault="00107400" w:rsidP="00B730A0">
      <w:pPr>
        <w:numPr>
          <w:ilvl w:val="1"/>
          <w:numId w:val="6"/>
        </w:numPr>
        <w:spacing w:after="180"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Pre</w:t>
      </w:r>
      <w:r w:rsidRPr="00DE6A00">
        <w:rPr>
          <w:rFonts w:ascii="Cambria Math" w:eastAsia="Times New Roman" w:hAnsi="Cambria Math" w:cs="Cambria Math"/>
          <w:color w:val="2F5496" w:themeColor="accent1" w:themeShade="BF"/>
        </w:rPr>
        <w:t>‐</w:t>
      </w:r>
      <w:r w:rsidRPr="00DE6A00">
        <w:rPr>
          <w:rFonts w:ascii="Arial" w:eastAsia="Times New Roman" w:hAnsi="Arial" w:cs="Arial"/>
          <w:color w:val="2F5496" w:themeColor="accent1" w:themeShade="BF"/>
        </w:rPr>
        <w:t>campaign</w:t>
      </w:r>
      <w:r w:rsidR="003D26EC" w:rsidRPr="00DE6A00">
        <w:rPr>
          <w:rFonts w:ascii="Arial" w:eastAsia="Times New Roman" w:hAnsi="Arial" w:cs="Arial"/>
          <w:color w:val="2F5496" w:themeColor="accent1" w:themeShade="BF"/>
        </w:rPr>
        <w:t>: Including how readiness will be monitored and assessed</w:t>
      </w:r>
      <w:r w:rsidRPr="00DE6A00">
        <w:rPr>
          <w:rFonts w:ascii="Arial" w:eastAsia="Times New Roman" w:hAnsi="Arial" w:cs="Arial"/>
          <w:color w:val="2F5496" w:themeColor="accent1" w:themeShade="BF"/>
        </w:rPr>
        <w:t xml:space="preserve">, e.g. using </w:t>
      </w:r>
      <w:r w:rsidR="00235773" w:rsidRPr="00DE6A00">
        <w:rPr>
          <w:rFonts w:ascii="Arial" w:eastAsia="Times New Roman" w:hAnsi="Arial" w:cs="Arial"/>
          <w:color w:val="2F5496" w:themeColor="accent1" w:themeShade="BF"/>
        </w:rPr>
        <w:t xml:space="preserve">a </w:t>
      </w:r>
      <w:r w:rsidRPr="00DE6A00">
        <w:rPr>
          <w:rFonts w:ascii="Arial" w:eastAsia="Times New Roman" w:hAnsi="Arial" w:cs="Arial"/>
          <w:color w:val="2F5496" w:themeColor="accent1" w:themeShade="BF"/>
        </w:rPr>
        <w:t xml:space="preserve">campaign readiness assessment tool; </w:t>
      </w:r>
      <w:r w:rsidR="003D26EC" w:rsidRPr="00DE6A00">
        <w:rPr>
          <w:rFonts w:ascii="Arial" w:eastAsia="Times New Roman" w:hAnsi="Arial" w:cs="Arial"/>
          <w:color w:val="2F5496" w:themeColor="accent1" w:themeShade="BF"/>
        </w:rPr>
        <w:t>collection of</w:t>
      </w:r>
      <w:r w:rsidRPr="00DE6A00">
        <w:rPr>
          <w:rFonts w:ascii="Arial" w:eastAsia="Times New Roman" w:hAnsi="Arial" w:cs="Arial"/>
          <w:color w:val="2F5496" w:themeColor="accent1" w:themeShade="BF"/>
        </w:rPr>
        <w:t xml:space="preserve"> </w:t>
      </w:r>
      <w:r w:rsidR="0048686E" w:rsidRPr="00DE6A00">
        <w:rPr>
          <w:rFonts w:ascii="Arial" w:eastAsia="Times New Roman" w:hAnsi="Arial" w:cs="Arial"/>
          <w:color w:val="2F5496" w:themeColor="accent1" w:themeShade="BF"/>
        </w:rPr>
        <w:t xml:space="preserve">any </w:t>
      </w:r>
      <w:r w:rsidRPr="00DE6A00">
        <w:rPr>
          <w:rFonts w:ascii="Arial" w:eastAsia="Times New Roman" w:hAnsi="Arial" w:cs="Arial"/>
          <w:color w:val="2F5496" w:themeColor="accent1" w:themeShade="BF"/>
        </w:rPr>
        <w:t xml:space="preserve">baseline data. </w:t>
      </w:r>
    </w:p>
    <w:p w14:paraId="347A15B5" w14:textId="77777777" w:rsidR="00454D83" w:rsidRPr="00DE6A00" w:rsidRDefault="00A842FC" w:rsidP="00B730A0">
      <w:pPr>
        <w:numPr>
          <w:ilvl w:val="1"/>
          <w:numId w:val="6"/>
        </w:numPr>
        <w:spacing w:after="180"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lastRenderedPageBreak/>
        <w:t xml:space="preserve">During </w:t>
      </w:r>
      <w:r w:rsidR="00107400" w:rsidRPr="00DE6A00">
        <w:rPr>
          <w:rFonts w:ascii="Arial" w:eastAsia="Times New Roman" w:hAnsi="Arial" w:cs="Arial"/>
          <w:color w:val="2F5496" w:themeColor="accent1" w:themeShade="BF"/>
        </w:rPr>
        <w:t>campaign</w:t>
      </w:r>
      <w:r w:rsidR="00DA5183" w:rsidRPr="00DE6A00">
        <w:rPr>
          <w:rFonts w:ascii="Arial" w:eastAsia="Times New Roman" w:hAnsi="Arial" w:cs="Arial"/>
          <w:color w:val="2F5496" w:themeColor="accent1" w:themeShade="BF"/>
        </w:rPr>
        <w:t xml:space="preserve">: </w:t>
      </w:r>
    </w:p>
    <w:p w14:paraId="301778CD" w14:textId="65533DC2" w:rsidR="002B1C11" w:rsidRPr="00DE6A00" w:rsidRDefault="00850FA8" w:rsidP="00B730A0">
      <w:pPr>
        <w:numPr>
          <w:ilvl w:val="2"/>
          <w:numId w:val="12"/>
        </w:numPr>
        <w:spacing w:after="180"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u w:val="single"/>
        </w:rPr>
        <w:t xml:space="preserve">Campaign </w:t>
      </w:r>
      <w:r w:rsidR="00D82C36" w:rsidRPr="00DE6A00">
        <w:rPr>
          <w:rFonts w:ascii="Arial" w:eastAsia="Times New Roman" w:hAnsi="Arial" w:cs="Arial"/>
          <w:color w:val="2F5496" w:themeColor="accent1" w:themeShade="BF"/>
          <w:u w:val="single"/>
        </w:rPr>
        <w:t xml:space="preserve">implementation </w:t>
      </w:r>
      <w:r w:rsidRPr="00DE6A00">
        <w:rPr>
          <w:rFonts w:ascii="Arial" w:eastAsia="Times New Roman" w:hAnsi="Arial" w:cs="Arial"/>
          <w:color w:val="2F5496" w:themeColor="accent1" w:themeShade="BF"/>
          <w:u w:val="single"/>
        </w:rPr>
        <w:t>monitoring</w:t>
      </w:r>
      <w:r w:rsidRPr="00DE6A00">
        <w:rPr>
          <w:rFonts w:ascii="Arial" w:eastAsia="Times New Roman" w:hAnsi="Arial" w:cs="Arial"/>
          <w:color w:val="2F5496" w:themeColor="accent1" w:themeShade="BF"/>
        </w:rPr>
        <w:t>:</w:t>
      </w:r>
      <w:r w:rsidR="00D82C36" w:rsidRPr="00DE6A00">
        <w:rPr>
          <w:rFonts w:ascii="Arial" w:eastAsia="Times New Roman" w:hAnsi="Arial" w:cs="Arial"/>
          <w:color w:val="2F5496" w:themeColor="accent1" w:themeShade="BF"/>
        </w:rPr>
        <w:t xml:space="preserve"> </w:t>
      </w:r>
      <w:r w:rsidR="00A842FC" w:rsidRPr="00DE6A00">
        <w:rPr>
          <w:rFonts w:ascii="Arial" w:eastAsia="Times New Roman" w:hAnsi="Arial" w:cs="Arial"/>
          <w:color w:val="2F5496" w:themeColor="accent1" w:themeShade="BF"/>
        </w:rPr>
        <w:t xml:space="preserve">This section should describe the approaches and tools that will be used to monitor and report on campaign implementation, including vaccine delivery </w:t>
      </w:r>
      <w:r w:rsidR="00E90E30" w:rsidRPr="00DE6A00">
        <w:rPr>
          <w:rFonts w:ascii="Arial" w:eastAsia="Times New Roman" w:hAnsi="Arial" w:cs="Arial"/>
          <w:color w:val="2F5496" w:themeColor="accent1" w:themeShade="BF"/>
        </w:rPr>
        <w:t>monitoring (incl. cold-chain)</w:t>
      </w:r>
      <w:r w:rsidR="00A842FC" w:rsidRPr="00DE6A00">
        <w:rPr>
          <w:rFonts w:ascii="Arial" w:eastAsia="Times New Roman" w:hAnsi="Arial" w:cs="Arial"/>
          <w:color w:val="2F5496" w:themeColor="accent1" w:themeShade="BF"/>
        </w:rPr>
        <w:t xml:space="preserve"> and reporting</w:t>
      </w:r>
      <w:r w:rsidR="00CE4307" w:rsidRPr="00DE6A00">
        <w:rPr>
          <w:rFonts w:ascii="Arial" w:eastAsia="Times New Roman" w:hAnsi="Arial" w:cs="Arial"/>
          <w:color w:val="2F5496" w:themeColor="accent1" w:themeShade="BF"/>
        </w:rPr>
        <w:t xml:space="preserve">, intra-campaign </w:t>
      </w:r>
      <w:r w:rsidR="00A842FC" w:rsidRPr="00DE6A00">
        <w:rPr>
          <w:rFonts w:ascii="Arial" w:eastAsia="Times New Roman" w:hAnsi="Arial" w:cs="Arial"/>
          <w:color w:val="2F5496" w:themeColor="accent1" w:themeShade="BF"/>
        </w:rPr>
        <w:t xml:space="preserve">monitoring of coverage, identification of missed households or groups, and how mop-up activities will be </w:t>
      </w:r>
      <w:r w:rsidR="0071037A" w:rsidRPr="00DE6A00">
        <w:rPr>
          <w:rFonts w:ascii="Arial" w:eastAsia="Times New Roman" w:hAnsi="Arial" w:cs="Arial"/>
          <w:color w:val="2F5496" w:themeColor="accent1" w:themeShade="BF"/>
        </w:rPr>
        <w:t xml:space="preserve">planned and </w:t>
      </w:r>
      <w:r w:rsidR="00A842FC" w:rsidRPr="00DE6A00">
        <w:rPr>
          <w:rFonts w:ascii="Arial" w:eastAsia="Times New Roman" w:hAnsi="Arial" w:cs="Arial"/>
          <w:color w:val="2F5496" w:themeColor="accent1" w:themeShade="BF"/>
        </w:rPr>
        <w:t>conducted based on the findings</w:t>
      </w:r>
      <w:r w:rsidR="0071037A" w:rsidRPr="00DE6A00">
        <w:rPr>
          <w:rFonts w:ascii="Arial" w:eastAsia="Times New Roman" w:hAnsi="Arial" w:cs="Arial"/>
          <w:color w:val="2F5496" w:themeColor="accent1" w:themeShade="BF"/>
        </w:rPr>
        <w:t xml:space="preserve"> to reach these individuals or communities</w:t>
      </w:r>
      <w:r w:rsidR="00A842FC" w:rsidRPr="00DE6A00">
        <w:rPr>
          <w:rFonts w:ascii="Arial" w:eastAsia="Times New Roman" w:hAnsi="Arial" w:cs="Arial"/>
          <w:color w:val="2F5496" w:themeColor="accent1" w:themeShade="BF"/>
        </w:rPr>
        <w:t>.</w:t>
      </w:r>
      <w:r w:rsidR="00CE4307" w:rsidRPr="00DE6A00">
        <w:rPr>
          <w:rFonts w:ascii="Arial" w:eastAsia="Times New Roman" w:hAnsi="Arial" w:cs="Arial"/>
          <w:color w:val="2F5496" w:themeColor="accent1" w:themeShade="BF"/>
        </w:rPr>
        <w:t xml:space="preserve"> </w:t>
      </w:r>
      <w:r w:rsidR="00327392" w:rsidRPr="00DE6A00">
        <w:rPr>
          <w:rFonts w:ascii="Arial" w:eastAsia="Times New Roman" w:hAnsi="Arial" w:cs="Arial"/>
          <w:color w:val="2F5496" w:themeColor="accent1" w:themeShade="BF"/>
        </w:rPr>
        <w:t xml:space="preserve">Key indicators should be aggregated and submitted within one </w:t>
      </w:r>
      <w:r w:rsidR="00451A9C" w:rsidRPr="00DE6A00">
        <w:rPr>
          <w:rFonts w:ascii="Arial" w:eastAsia="Times New Roman" w:hAnsi="Arial" w:cs="Arial"/>
          <w:color w:val="2F5496" w:themeColor="accent1" w:themeShade="BF"/>
        </w:rPr>
        <w:t>month</w:t>
      </w:r>
      <w:r w:rsidR="00327392" w:rsidRPr="00DE6A00">
        <w:rPr>
          <w:rFonts w:ascii="Arial" w:eastAsia="Times New Roman" w:hAnsi="Arial" w:cs="Arial"/>
          <w:color w:val="2F5496" w:themeColor="accent1" w:themeShade="BF"/>
        </w:rPr>
        <w:t xml:space="preserve"> of the conclusion of each campaign round using the </w:t>
      </w:r>
      <w:hyperlink r:id="rId15" w:history="1">
        <w:r w:rsidR="00327392" w:rsidRPr="00812A46">
          <w:rPr>
            <w:rStyle w:val="Hyperlink"/>
            <w:rFonts w:ascii="Arial" w:eastAsia="Times New Roman" w:hAnsi="Arial" w:cs="Arial"/>
            <w:color w:val="034990" w:themeColor="hyperlink" w:themeShade="BF"/>
          </w:rPr>
          <w:t>GTFCC reporting tool</w:t>
        </w:r>
      </w:hyperlink>
      <w:r w:rsidR="00327392" w:rsidRPr="00DE6A00">
        <w:rPr>
          <w:rFonts w:ascii="Arial" w:eastAsia="Times New Roman" w:hAnsi="Arial" w:cs="Arial"/>
          <w:color w:val="2F5496" w:themeColor="accent1" w:themeShade="BF"/>
        </w:rPr>
        <w:t>.</w:t>
      </w:r>
    </w:p>
    <w:p w14:paraId="10EC59E2" w14:textId="5440FF12" w:rsidR="007F7ACF" w:rsidRPr="00DE6A00" w:rsidRDefault="00BE50F1" w:rsidP="00B730A0">
      <w:pPr>
        <w:pStyle w:val="ListParagraph"/>
        <w:numPr>
          <w:ilvl w:val="3"/>
          <w:numId w:val="12"/>
        </w:numPr>
        <w:spacing w:line="240" w:lineRule="auto"/>
        <w:jc w:val="both"/>
        <w:textAlignment w:val="center"/>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Also include plans for monitoring other activities and/or</w:t>
      </w:r>
      <w:r w:rsidR="00107400" w:rsidRPr="00DE6A00">
        <w:rPr>
          <w:rFonts w:ascii="Arial" w:eastAsia="Times New Roman" w:hAnsi="Arial" w:cs="Arial"/>
          <w:color w:val="2F5496" w:themeColor="accent1" w:themeShade="BF"/>
        </w:rPr>
        <w:t xml:space="preserve"> interventions </w:t>
      </w:r>
      <w:r w:rsidR="00483A04" w:rsidRPr="00DE6A00">
        <w:rPr>
          <w:rFonts w:ascii="Arial" w:eastAsia="Times New Roman" w:hAnsi="Arial" w:cs="Arial"/>
          <w:color w:val="2F5496" w:themeColor="accent1" w:themeShade="BF"/>
        </w:rPr>
        <w:t xml:space="preserve">conducted </w:t>
      </w:r>
      <w:r w:rsidR="00107400" w:rsidRPr="00DE6A00">
        <w:rPr>
          <w:rFonts w:ascii="Arial" w:eastAsia="Times New Roman" w:hAnsi="Arial" w:cs="Arial"/>
          <w:color w:val="2F5496" w:themeColor="accent1" w:themeShade="BF"/>
        </w:rPr>
        <w:t>during the campaign</w:t>
      </w:r>
      <w:r w:rsidR="0071037A" w:rsidRPr="00DE6A00">
        <w:rPr>
          <w:rFonts w:ascii="Arial" w:eastAsia="Times New Roman" w:hAnsi="Arial" w:cs="Arial"/>
          <w:color w:val="2F5496" w:themeColor="accent1" w:themeShade="BF"/>
        </w:rPr>
        <w:t xml:space="preserve">, </w:t>
      </w:r>
      <w:r w:rsidR="002B1C11" w:rsidRPr="00DE6A00">
        <w:rPr>
          <w:rFonts w:ascii="Arial" w:eastAsia="Times New Roman" w:hAnsi="Arial" w:cs="Arial"/>
          <w:color w:val="2F5496" w:themeColor="accent1" w:themeShade="BF"/>
        </w:rPr>
        <w:t>including</w:t>
      </w:r>
      <w:r w:rsidR="0071037A" w:rsidRPr="00DE6A00">
        <w:rPr>
          <w:rFonts w:ascii="Arial" w:eastAsia="Times New Roman" w:hAnsi="Arial" w:cs="Arial"/>
          <w:color w:val="2F5496" w:themeColor="accent1" w:themeShade="BF"/>
        </w:rPr>
        <w:t xml:space="preserve"> </w:t>
      </w:r>
      <w:r w:rsidR="00107400" w:rsidRPr="00DE6A00">
        <w:rPr>
          <w:rFonts w:ascii="Arial" w:eastAsia="Times New Roman" w:hAnsi="Arial" w:cs="Arial"/>
          <w:color w:val="2F5496" w:themeColor="accent1" w:themeShade="BF"/>
        </w:rPr>
        <w:t>supervision</w:t>
      </w:r>
      <w:r w:rsidR="00483A04" w:rsidRPr="00DE6A00">
        <w:rPr>
          <w:rFonts w:ascii="Arial" w:eastAsia="Times New Roman" w:hAnsi="Arial" w:cs="Arial"/>
          <w:color w:val="2F5496" w:themeColor="accent1" w:themeShade="BF"/>
        </w:rPr>
        <w:t xml:space="preserve"> strategies</w:t>
      </w:r>
      <w:r w:rsidR="0071037A" w:rsidRPr="00DE6A00">
        <w:rPr>
          <w:rFonts w:ascii="Arial" w:eastAsia="Times New Roman" w:hAnsi="Arial" w:cs="Arial"/>
          <w:color w:val="2F5496" w:themeColor="accent1" w:themeShade="BF"/>
        </w:rPr>
        <w:t>.</w:t>
      </w:r>
      <w:r w:rsidR="002B1C11" w:rsidRPr="00DE6A00">
        <w:rPr>
          <w:rFonts w:ascii="Arial" w:eastAsia="Times New Roman" w:hAnsi="Arial" w:cs="Arial"/>
          <w:color w:val="2F5496" w:themeColor="accent1" w:themeShade="BF"/>
        </w:rPr>
        <w:t xml:space="preserve"> If an integrated campaign strategy is being used, such as identification and referral or vaccination of under</w:t>
      </w:r>
      <w:r w:rsidR="003721A0" w:rsidRPr="00DE6A00">
        <w:rPr>
          <w:rFonts w:ascii="Arial" w:eastAsia="Times New Roman" w:hAnsi="Arial" w:cs="Arial"/>
          <w:color w:val="2F5496" w:themeColor="accent1" w:themeShade="BF"/>
        </w:rPr>
        <w:t>-</w:t>
      </w:r>
      <w:r w:rsidR="002B1C11" w:rsidRPr="00DE6A00">
        <w:rPr>
          <w:rFonts w:ascii="Arial" w:eastAsia="Times New Roman" w:hAnsi="Arial" w:cs="Arial"/>
          <w:color w:val="2F5496" w:themeColor="accent1" w:themeShade="BF"/>
        </w:rPr>
        <w:t>immunized children and adults</w:t>
      </w:r>
      <w:r w:rsidR="00F07570" w:rsidRPr="00DE6A00">
        <w:rPr>
          <w:rFonts w:ascii="Arial" w:eastAsia="Times New Roman" w:hAnsi="Arial" w:cs="Arial"/>
          <w:color w:val="2F5496" w:themeColor="accent1" w:themeShade="BF"/>
        </w:rPr>
        <w:t xml:space="preserve"> to primary health care for immunization services</w:t>
      </w:r>
      <w:r w:rsidR="002B1C11" w:rsidRPr="00DE6A00">
        <w:rPr>
          <w:rFonts w:ascii="Arial" w:eastAsia="Times New Roman" w:hAnsi="Arial" w:cs="Arial"/>
          <w:color w:val="2F5496" w:themeColor="accent1" w:themeShade="BF"/>
        </w:rPr>
        <w:t xml:space="preserve">, the monitoring and reporting approach should be described. </w:t>
      </w:r>
      <w:r w:rsidR="006F34A0" w:rsidRPr="00DE6A00">
        <w:rPr>
          <w:rFonts w:ascii="Arial" w:eastAsia="Times New Roman" w:hAnsi="Arial" w:cs="Arial"/>
          <w:color w:val="2F5496" w:themeColor="accent1" w:themeShade="BF"/>
        </w:rPr>
        <w:t>Countries are also strongly encouraged to include within their M&amp;E strategies methods to establish whether individuals who have missed vaccines were identified, referred, and/or reached through the campaign</w:t>
      </w:r>
      <w:r w:rsidR="00FB316F" w:rsidRPr="00DE6A00">
        <w:rPr>
          <w:rFonts w:ascii="Arial" w:eastAsia="Times New Roman" w:hAnsi="Arial" w:cs="Arial"/>
          <w:color w:val="2F5496" w:themeColor="accent1" w:themeShade="BF"/>
        </w:rPr>
        <w:t xml:space="preserve">, </w:t>
      </w:r>
      <w:r w:rsidR="002B1C11" w:rsidRPr="00DE6A00">
        <w:rPr>
          <w:rFonts w:ascii="Arial" w:eastAsia="Times New Roman" w:hAnsi="Arial" w:cs="Arial"/>
          <w:color w:val="2F5496" w:themeColor="accent1" w:themeShade="BF"/>
        </w:rPr>
        <w:t>and a plan to ensure these vaccinations are also tracked in the routine health information and logistics systems.</w:t>
      </w:r>
      <w:r w:rsidR="00DC5586" w:rsidRPr="00DE6A00">
        <w:rPr>
          <w:rFonts w:ascii="Arial" w:hAnsi="Arial" w:cs="Arial"/>
          <w:color w:val="2F5496" w:themeColor="accent1" w:themeShade="BF"/>
        </w:rPr>
        <w:t xml:space="preserve"> </w:t>
      </w:r>
    </w:p>
    <w:p w14:paraId="595F599B" w14:textId="192FE916" w:rsidR="007F7ACF" w:rsidRPr="00DE6A00" w:rsidRDefault="007F7ACF" w:rsidP="00B730A0">
      <w:pPr>
        <w:numPr>
          <w:ilvl w:val="2"/>
          <w:numId w:val="12"/>
        </w:numPr>
        <w:spacing w:after="180" w:line="240" w:lineRule="auto"/>
        <w:jc w:val="both"/>
        <w:textAlignment w:val="center"/>
        <w:rPr>
          <w:rFonts w:ascii="Arial" w:hAnsi="Arial" w:cs="Arial"/>
          <w:color w:val="2F5496" w:themeColor="accent1" w:themeShade="BF"/>
        </w:rPr>
      </w:pPr>
      <w:r w:rsidRPr="00DE6A00">
        <w:rPr>
          <w:rFonts w:ascii="Arial" w:eastAsia="Times New Roman" w:hAnsi="Arial" w:cs="Arial"/>
          <w:color w:val="2F5496" w:themeColor="accent1" w:themeShade="BF"/>
          <w:u w:val="single"/>
        </w:rPr>
        <w:t>Individual vaccination tracking</w:t>
      </w:r>
      <w:r w:rsidR="001123C9" w:rsidRPr="00DE6A00">
        <w:rPr>
          <w:rFonts w:ascii="Arial" w:eastAsia="Times New Roman" w:hAnsi="Arial" w:cs="Arial"/>
          <w:color w:val="2F5496" w:themeColor="accent1" w:themeShade="BF"/>
          <w:u w:val="single"/>
        </w:rPr>
        <w:t>:</w:t>
      </w:r>
      <w:r w:rsidRPr="00DE6A00">
        <w:rPr>
          <w:rFonts w:ascii="Arial" w:eastAsia="Times New Roman" w:hAnsi="Arial" w:cs="Arial"/>
          <w:color w:val="2F5496" w:themeColor="accent1" w:themeShade="BF"/>
        </w:rPr>
        <w:t xml:space="preserve"> This section should describe how individual vaccination will be recorded, e.g., on individual vaccination cards, and plans to capture this information electronically and/or in the routine health information system. </w:t>
      </w:r>
    </w:p>
    <w:p w14:paraId="7E1FAE68" w14:textId="6D092A30" w:rsidR="007F7ACF" w:rsidRPr="00DE6A00" w:rsidRDefault="007F7ACF" w:rsidP="00B730A0">
      <w:pPr>
        <w:numPr>
          <w:ilvl w:val="2"/>
          <w:numId w:val="12"/>
        </w:numPr>
        <w:spacing w:after="180" w:line="240" w:lineRule="auto"/>
        <w:jc w:val="both"/>
        <w:textAlignment w:val="center"/>
        <w:rPr>
          <w:rFonts w:ascii="Arial" w:hAnsi="Arial" w:cs="Arial"/>
          <w:color w:val="2F5496" w:themeColor="accent1" w:themeShade="BF"/>
        </w:rPr>
      </w:pPr>
      <w:r w:rsidRPr="00DE6A00">
        <w:rPr>
          <w:rFonts w:ascii="Arial" w:eastAsia="Times New Roman" w:hAnsi="Arial" w:cs="Arial"/>
          <w:color w:val="2F5496" w:themeColor="accent1" w:themeShade="BF"/>
          <w:u w:val="single"/>
        </w:rPr>
        <w:t>Adverse event reporting and management</w:t>
      </w:r>
      <w:r w:rsidRPr="00DE6A00">
        <w:rPr>
          <w:rFonts w:ascii="Arial" w:eastAsia="Times New Roman" w:hAnsi="Arial" w:cs="Arial"/>
          <w:b/>
          <w:color w:val="2F5496" w:themeColor="accent1" w:themeShade="BF"/>
        </w:rPr>
        <w:t xml:space="preserve">: </w:t>
      </w:r>
      <w:r w:rsidRPr="00DE6A00">
        <w:rPr>
          <w:rFonts w:ascii="Arial" w:eastAsia="Times New Roman" w:hAnsi="Arial" w:cs="Arial"/>
          <w:color w:val="2F5496" w:themeColor="accent1" w:themeShade="BF"/>
        </w:rPr>
        <w:t xml:space="preserve">The plan should reflect the approach for establishing or strengthening management and reporting of serious and non-serious adverse events following immunisation (AEFI). Plans should include how potential AEFIs will be detected and investigated, what committees will be established to determine causality, and how communications will be handled (can reference Communications section, where appropriate). </w:t>
      </w:r>
    </w:p>
    <w:p w14:paraId="64F8DF95" w14:textId="61567D2B" w:rsidR="00755B02" w:rsidRPr="00DE6A00" w:rsidRDefault="00107400" w:rsidP="00B730A0">
      <w:pPr>
        <w:numPr>
          <w:ilvl w:val="1"/>
          <w:numId w:val="6"/>
        </w:numPr>
        <w:spacing w:after="0" w:line="240" w:lineRule="auto"/>
        <w:jc w:val="both"/>
        <w:textAlignment w:val="center"/>
        <w:rPr>
          <w:rFonts w:ascii="Arial" w:hAnsi="Arial" w:cs="Arial"/>
          <w:color w:val="2F5496" w:themeColor="accent1" w:themeShade="BF"/>
        </w:rPr>
      </w:pPr>
      <w:r w:rsidRPr="00DE6A00">
        <w:rPr>
          <w:rFonts w:ascii="Arial" w:eastAsia="Times New Roman" w:hAnsi="Arial" w:cs="Arial"/>
          <w:color w:val="2F5496" w:themeColor="accent1" w:themeShade="BF"/>
        </w:rPr>
        <w:t>Post</w:t>
      </w:r>
      <w:r w:rsidRPr="00DE6A00">
        <w:rPr>
          <w:rFonts w:ascii="Cambria Math" w:eastAsia="Times New Roman" w:hAnsi="Cambria Math" w:cs="Cambria Math"/>
          <w:color w:val="2F5496" w:themeColor="accent1" w:themeShade="BF"/>
        </w:rPr>
        <w:t>‐</w:t>
      </w:r>
      <w:r w:rsidRPr="00DE6A00">
        <w:rPr>
          <w:rFonts w:ascii="Arial" w:eastAsia="Times New Roman" w:hAnsi="Arial" w:cs="Arial"/>
          <w:color w:val="2F5496" w:themeColor="accent1" w:themeShade="BF"/>
        </w:rPr>
        <w:t>campaign</w:t>
      </w:r>
      <w:r w:rsidR="00DA5183" w:rsidRPr="00DE6A00">
        <w:rPr>
          <w:rFonts w:ascii="Arial" w:eastAsia="Times New Roman" w:hAnsi="Arial" w:cs="Arial"/>
          <w:color w:val="2F5496" w:themeColor="accent1" w:themeShade="BF"/>
        </w:rPr>
        <w:t xml:space="preserve">: </w:t>
      </w:r>
    </w:p>
    <w:p w14:paraId="7D1FAE1D" w14:textId="7C444CE0" w:rsidR="0005783D" w:rsidRPr="00DE6A00" w:rsidRDefault="003F1780" w:rsidP="00B730A0">
      <w:pPr>
        <w:numPr>
          <w:ilvl w:val="2"/>
          <w:numId w:val="13"/>
        </w:numPr>
        <w:spacing w:after="0" w:line="240" w:lineRule="auto"/>
        <w:jc w:val="both"/>
        <w:textAlignment w:val="center"/>
        <w:rPr>
          <w:rFonts w:ascii="Arial" w:hAnsi="Arial" w:cs="Arial"/>
          <w:color w:val="2F5496" w:themeColor="accent1" w:themeShade="BF"/>
        </w:rPr>
      </w:pPr>
      <w:r w:rsidRPr="00DE6A00">
        <w:rPr>
          <w:rFonts w:ascii="Arial" w:eastAsia="Times New Roman" w:hAnsi="Arial" w:cs="Arial"/>
          <w:color w:val="2F5496" w:themeColor="accent1" w:themeShade="BF"/>
        </w:rPr>
        <w:t>This section m</w:t>
      </w:r>
      <w:r w:rsidR="00107400" w:rsidRPr="00DE6A00">
        <w:rPr>
          <w:rFonts w:ascii="Arial" w:eastAsia="Times New Roman" w:hAnsi="Arial" w:cs="Arial"/>
          <w:color w:val="2F5496" w:themeColor="accent1" w:themeShade="BF"/>
        </w:rPr>
        <w:t>ust</w:t>
      </w:r>
      <w:r w:rsidRPr="00DE6A00">
        <w:rPr>
          <w:rFonts w:ascii="Arial" w:eastAsia="Times New Roman" w:hAnsi="Arial" w:cs="Arial"/>
          <w:color w:val="2F5496" w:themeColor="accent1" w:themeShade="BF"/>
        </w:rPr>
        <w:t xml:space="preserve"> also</w:t>
      </w:r>
      <w:r w:rsidR="00107400" w:rsidRPr="00DE6A00">
        <w:rPr>
          <w:rFonts w:ascii="Arial" w:eastAsia="Times New Roman" w:hAnsi="Arial" w:cs="Arial"/>
          <w:color w:val="2F5496" w:themeColor="accent1" w:themeShade="BF"/>
        </w:rPr>
        <w:t xml:space="preserve"> include</w:t>
      </w:r>
      <w:r w:rsidR="00755B02" w:rsidRPr="00DE6A00">
        <w:rPr>
          <w:rFonts w:ascii="Arial" w:eastAsia="Times New Roman" w:hAnsi="Arial" w:cs="Arial"/>
          <w:color w:val="2F5496" w:themeColor="accent1" w:themeShade="BF"/>
        </w:rPr>
        <w:t xml:space="preserve"> plans </w:t>
      </w:r>
      <w:r w:rsidR="00DC5586" w:rsidRPr="00DE6A00">
        <w:rPr>
          <w:rFonts w:ascii="Arial" w:eastAsia="Times New Roman" w:hAnsi="Arial" w:cs="Arial"/>
          <w:color w:val="2F5496" w:themeColor="accent1" w:themeShade="BF"/>
        </w:rPr>
        <w:t>for a</w:t>
      </w:r>
      <w:r w:rsidR="00107400" w:rsidRPr="00DE6A00">
        <w:rPr>
          <w:rFonts w:ascii="Arial" w:eastAsia="Times New Roman" w:hAnsi="Arial" w:cs="Arial"/>
          <w:color w:val="2F5496" w:themeColor="accent1" w:themeShade="BF"/>
        </w:rPr>
        <w:t xml:space="preserve"> technically and statistically sound </w:t>
      </w:r>
      <w:hyperlink r:id="rId16" w:history="1">
        <w:r w:rsidR="00107400" w:rsidRPr="00DE6A00">
          <w:rPr>
            <w:rStyle w:val="Hyperlink"/>
            <w:rFonts w:ascii="Arial" w:eastAsia="Times New Roman" w:hAnsi="Arial" w:cs="Arial"/>
            <w:color w:val="2F5496" w:themeColor="accent1" w:themeShade="BF"/>
          </w:rPr>
          <w:t>post-campaign coverage survey</w:t>
        </w:r>
      </w:hyperlink>
      <w:r w:rsidR="00107400" w:rsidRPr="00DE6A00">
        <w:rPr>
          <w:rFonts w:ascii="Arial" w:eastAsia="Times New Roman" w:hAnsi="Arial" w:cs="Arial"/>
          <w:color w:val="2F5496" w:themeColor="accent1" w:themeShade="BF"/>
        </w:rPr>
        <w:t xml:space="preserve"> with </w:t>
      </w:r>
      <w:r w:rsidR="00D76AE0" w:rsidRPr="00DE6A00">
        <w:rPr>
          <w:rFonts w:ascii="Arial" w:eastAsia="Times New Roman" w:hAnsi="Arial" w:cs="Arial"/>
          <w:color w:val="2F5496" w:themeColor="accent1" w:themeShade="BF"/>
        </w:rPr>
        <w:t>probability-based</w:t>
      </w:r>
      <w:r w:rsidR="00107400" w:rsidRPr="00DE6A00">
        <w:rPr>
          <w:rFonts w:ascii="Arial" w:eastAsia="Times New Roman" w:hAnsi="Arial" w:cs="Arial"/>
          <w:color w:val="2F5496" w:themeColor="accent1" w:themeShade="BF"/>
        </w:rPr>
        <w:t xml:space="preserve"> sampling. For countries with multiple campaign phases, there must be description of plans to conduct a</w:t>
      </w:r>
      <w:r w:rsidR="00302691" w:rsidRPr="00DE6A00">
        <w:rPr>
          <w:rFonts w:ascii="Arial" w:eastAsia="Times New Roman" w:hAnsi="Arial" w:cs="Arial"/>
          <w:color w:val="2F5496" w:themeColor="accent1" w:themeShade="BF"/>
        </w:rPr>
        <w:t>n implementation review and</w:t>
      </w:r>
      <w:r w:rsidR="00107400" w:rsidRPr="00DE6A00">
        <w:rPr>
          <w:rFonts w:ascii="Arial" w:eastAsia="Times New Roman" w:hAnsi="Arial" w:cs="Arial"/>
          <w:color w:val="2F5496" w:themeColor="accent1" w:themeShade="BF"/>
        </w:rPr>
        <w:t xml:space="preserve"> a vaccination coverage survey within </w:t>
      </w:r>
      <w:r w:rsidR="00451A9C" w:rsidRPr="00DE6A00">
        <w:rPr>
          <w:rFonts w:ascii="Arial" w:eastAsia="Times New Roman" w:hAnsi="Arial" w:cs="Arial"/>
          <w:color w:val="2F5496" w:themeColor="accent1" w:themeShade="BF"/>
        </w:rPr>
        <w:t>three</w:t>
      </w:r>
      <w:r w:rsidR="007B055C" w:rsidRPr="00DE6A00">
        <w:rPr>
          <w:rFonts w:ascii="Arial" w:eastAsia="Times New Roman" w:hAnsi="Arial" w:cs="Arial"/>
          <w:color w:val="2F5496" w:themeColor="accent1" w:themeShade="BF"/>
        </w:rPr>
        <w:t xml:space="preserve"> </w:t>
      </w:r>
      <w:r w:rsidR="00107400" w:rsidRPr="00DE6A00">
        <w:rPr>
          <w:rFonts w:ascii="Arial" w:eastAsia="Times New Roman" w:hAnsi="Arial" w:cs="Arial"/>
          <w:color w:val="2F5496" w:themeColor="accent1" w:themeShade="BF"/>
        </w:rPr>
        <w:t>months after the completion of each phase</w:t>
      </w:r>
      <w:r w:rsidR="004E1FD9" w:rsidRPr="00DE6A00">
        <w:rPr>
          <w:rFonts w:ascii="Arial" w:eastAsia="Times New Roman" w:hAnsi="Arial" w:cs="Arial"/>
          <w:color w:val="2F5496" w:themeColor="accent1" w:themeShade="BF"/>
        </w:rPr>
        <w:t xml:space="preserve"> (i.e., 2</w:t>
      </w:r>
      <w:r w:rsidR="004E1FD9" w:rsidRPr="00DE6A00">
        <w:rPr>
          <w:rFonts w:ascii="Arial" w:eastAsia="Times New Roman" w:hAnsi="Arial" w:cs="Arial"/>
          <w:color w:val="2F5496" w:themeColor="accent1" w:themeShade="BF"/>
          <w:vertAlign w:val="superscript"/>
        </w:rPr>
        <w:t>nd</w:t>
      </w:r>
      <w:r w:rsidR="004E1FD9" w:rsidRPr="00DE6A00">
        <w:rPr>
          <w:rFonts w:ascii="Arial" w:eastAsia="Times New Roman" w:hAnsi="Arial" w:cs="Arial"/>
          <w:color w:val="2F5496" w:themeColor="accent1" w:themeShade="BF"/>
        </w:rPr>
        <w:t xml:space="preserve"> vaccination round)</w:t>
      </w:r>
      <w:r w:rsidR="00107400" w:rsidRPr="00DE6A00">
        <w:rPr>
          <w:rFonts w:ascii="Arial" w:eastAsia="Times New Roman" w:hAnsi="Arial" w:cs="Arial"/>
          <w:color w:val="2F5496" w:themeColor="accent1" w:themeShade="BF"/>
        </w:rPr>
        <w:t xml:space="preserve"> to allow for subsequent campaign corrections. </w:t>
      </w:r>
    </w:p>
    <w:p w14:paraId="0978C6F2" w14:textId="02B53840" w:rsidR="00DC5586" w:rsidRPr="00DE6A00" w:rsidRDefault="00DC5586" w:rsidP="00B730A0">
      <w:pPr>
        <w:spacing w:after="0" w:line="240" w:lineRule="auto"/>
        <w:ind w:left="2160"/>
        <w:jc w:val="both"/>
        <w:textAlignment w:val="center"/>
        <w:rPr>
          <w:rFonts w:ascii="Arial" w:eastAsia="Times New Roman" w:hAnsi="Arial" w:cs="Arial"/>
          <w:color w:val="2F5496" w:themeColor="accent1" w:themeShade="BF"/>
        </w:rPr>
      </w:pPr>
    </w:p>
    <w:p w14:paraId="5AB1F16D" w14:textId="17F8DFD2" w:rsidR="0005783D" w:rsidRPr="00DE6A00" w:rsidRDefault="0005783D" w:rsidP="00B730A0">
      <w:pPr>
        <w:numPr>
          <w:ilvl w:val="0"/>
          <w:numId w:val="16"/>
        </w:numPr>
        <w:spacing w:after="0" w:line="240" w:lineRule="auto"/>
        <w:ind w:left="1440"/>
        <w:jc w:val="both"/>
        <w:textAlignment w:val="center"/>
        <w:rPr>
          <w:rFonts w:ascii="Arial" w:hAnsi="Arial" w:cs="Arial"/>
          <w:color w:val="2F5496" w:themeColor="accent1" w:themeShade="BF"/>
        </w:rPr>
      </w:pPr>
      <w:r w:rsidRPr="00DE6A00">
        <w:rPr>
          <w:rFonts w:ascii="Arial" w:eastAsia="Times New Roman" w:hAnsi="Arial" w:cs="Arial"/>
          <w:color w:val="2F5496" w:themeColor="accent1" w:themeShade="BF"/>
        </w:rPr>
        <w:t xml:space="preserve">Independent </w:t>
      </w:r>
      <w:r w:rsidR="00DA3A1E" w:rsidRPr="00DE6A00">
        <w:rPr>
          <w:rFonts w:ascii="Arial" w:eastAsia="Times New Roman" w:hAnsi="Arial" w:cs="Arial"/>
          <w:color w:val="2F5496" w:themeColor="accent1" w:themeShade="BF"/>
        </w:rPr>
        <w:t>monitoring</w:t>
      </w:r>
      <w:r w:rsidR="004E1FD9" w:rsidRPr="00DE6A00">
        <w:rPr>
          <w:rFonts w:ascii="Arial" w:eastAsia="Times New Roman" w:hAnsi="Arial" w:cs="Arial"/>
          <w:color w:val="2F5496" w:themeColor="accent1" w:themeShade="BF"/>
        </w:rPr>
        <w:t>:</w:t>
      </w:r>
    </w:p>
    <w:p w14:paraId="0C1699A1" w14:textId="0E8AD638" w:rsidR="004E1FD9" w:rsidRPr="00DE6A00" w:rsidRDefault="004E1FD9" w:rsidP="00B730A0">
      <w:pPr>
        <w:numPr>
          <w:ilvl w:val="2"/>
          <w:numId w:val="16"/>
        </w:numPr>
        <w:spacing w:after="0" w:line="240" w:lineRule="auto"/>
        <w:jc w:val="both"/>
        <w:textAlignment w:val="center"/>
        <w:rPr>
          <w:rFonts w:ascii="Arial" w:hAnsi="Arial" w:cs="Arial"/>
          <w:color w:val="2F5496" w:themeColor="accent1" w:themeShade="BF"/>
        </w:rPr>
      </w:pPr>
      <w:r w:rsidRPr="00DE6A00">
        <w:rPr>
          <w:rFonts w:ascii="Arial" w:eastAsia="Times New Roman" w:hAnsi="Arial" w:cs="Arial"/>
          <w:color w:val="2F5496" w:themeColor="accent1" w:themeShade="BF"/>
        </w:rPr>
        <w:t>This section should include</w:t>
      </w:r>
      <w:r w:rsidR="002273BA" w:rsidRPr="00DE6A00">
        <w:rPr>
          <w:rFonts w:ascii="Arial" w:eastAsia="Times New Roman" w:hAnsi="Arial" w:cs="Arial"/>
          <w:color w:val="2F5496" w:themeColor="accent1" w:themeShade="BF"/>
        </w:rPr>
        <w:t xml:space="preserve"> any</w:t>
      </w:r>
      <w:r w:rsidRPr="00DE6A00">
        <w:rPr>
          <w:rFonts w:ascii="Arial" w:eastAsia="Times New Roman" w:hAnsi="Arial" w:cs="Arial"/>
          <w:color w:val="2F5496" w:themeColor="accent1" w:themeShade="BF"/>
        </w:rPr>
        <w:t xml:space="preserve"> plans for independent monitoring of </w:t>
      </w:r>
      <w:r w:rsidR="002273BA" w:rsidRPr="00DE6A00">
        <w:rPr>
          <w:rFonts w:ascii="Arial" w:eastAsia="Times New Roman" w:hAnsi="Arial" w:cs="Arial"/>
          <w:color w:val="2F5496" w:themeColor="accent1" w:themeShade="BF"/>
        </w:rPr>
        <w:t xml:space="preserve">before, during and after </w:t>
      </w:r>
      <w:r w:rsidRPr="00DE6A00">
        <w:rPr>
          <w:rFonts w:ascii="Arial" w:eastAsia="Times New Roman" w:hAnsi="Arial" w:cs="Arial"/>
          <w:color w:val="2F5496" w:themeColor="accent1" w:themeShade="BF"/>
        </w:rPr>
        <w:t xml:space="preserve">campaign </w:t>
      </w:r>
      <w:r w:rsidR="002273BA" w:rsidRPr="00DE6A00">
        <w:rPr>
          <w:rFonts w:ascii="Arial" w:eastAsia="Times New Roman" w:hAnsi="Arial" w:cs="Arial"/>
          <w:color w:val="2F5496" w:themeColor="accent1" w:themeShade="BF"/>
        </w:rPr>
        <w:t>implementation.</w:t>
      </w:r>
      <w:r w:rsidR="00D45E21" w:rsidRPr="00DE6A00">
        <w:rPr>
          <w:rFonts w:ascii="Arial" w:eastAsia="Times New Roman" w:hAnsi="Arial" w:cs="Arial"/>
          <w:color w:val="2F5496" w:themeColor="accent1" w:themeShade="BF"/>
        </w:rPr>
        <w:t xml:space="preserve"> The needs for independent monitoring may be context specific.</w:t>
      </w:r>
    </w:p>
    <w:p w14:paraId="0E1A4221" w14:textId="3460E75A" w:rsidR="00107400" w:rsidRPr="00DE6A00" w:rsidRDefault="00107400" w:rsidP="00B730A0">
      <w:pPr>
        <w:spacing w:after="0" w:line="240" w:lineRule="auto"/>
        <w:jc w:val="both"/>
        <w:rPr>
          <w:rFonts w:ascii="Arial" w:eastAsia="Times New Roman" w:hAnsi="Arial" w:cs="Arial"/>
          <w:color w:val="2F5496" w:themeColor="accent1" w:themeShade="BF"/>
        </w:rPr>
      </w:pPr>
    </w:p>
    <w:p w14:paraId="2067AE01" w14:textId="4F4B2CEB" w:rsidR="00107400" w:rsidRPr="00DE6A00" w:rsidRDefault="00107400" w:rsidP="00B730A0">
      <w:pPr>
        <w:numPr>
          <w:ilvl w:val="0"/>
          <w:numId w:val="7"/>
        </w:numPr>
        <w:spacing w:line="240" w:lineRule="auto"/>
        <w:jc w:val="both"/>
        <w:textAlignment w:val="center"/>
        <w:rPr>
          <w:rFonts w:ascii="Arial" w:hAnsi="Arial" w:cs="Arial"/>
          <w:color w:val="2F5496" w:themeColor="accent1" w:themeShade="BF"/>
        </w:rPr>
      </w:pPr>
      <w:r w:rsidRPr="00DE6A00">
        <w:rPr>
          <w:rFonts w:ascii="Arial" w:eastAsia="Times New Roman" w:hAnsi="Arial" w:cs="Arial"/>
          <w:b/>
          <w:color w:val="2F5496" w:themeColor="accent1" w:themeShade="BF"/>
        </w:rPr>
        <w:t xml:space="preserve">Supply </w:t>
      </w:r>
      <w:r w:rsidR="0005292C" w:rsidRPr="00DE6A00">
        <w:rPr>
          <w:rFonts w:ascii="Arial" w:eastAsia="Times New Roman" w:hAnsi="Arial" w:cs="Arial"/>
          <w:b/>
          <w:color w:val="2F5496" w:themeColor="accent1" w:themeShade="BF"/>
        </w:rPr>
        <w:t>c</w:t>
      </w:r>
      <w:r w:rsidRPr="00DE6A00">
        <w:rPr>
          <w:rFonts w:ascii="Arial" w:eastAsia="Times New Roman" w:hAnsi="Arial" w:cs="Arial"/>
          <w:b/>
          <w:color w:val="2F5496" w:themeColor="accent1" w:themeShade="BF"/>
        </w:rPr>
        <w:t xml:space="preserve">hain and cold chain: </w:t>
      </w:r>
      <w:r w:rsidRPr="00DE6A00">
        <w:rPr>
          <w:rFonts w:ascii="Arial" w:eastAsia="Times New Roman" w:hAnsi="Arial" w:cs="Arial"/>
          <w:color w:val="2F5496" w:themeColor="accent1" w:themeShade="BF"/>
        </w:rPr>
        <w:t xml:space="preserve">The plan should describe current cold chain capacity (at central and </w:t>
      </w:r>
      <w:r w:rsidR="0037229D" w:rsidRPr="00DE6A00">
        <w:rPr>
          <w:rFonts w:ascii="Arial" w:eastAsia="Times New Roman" w:hAnsi="Arial" w:cs="Arial"/>
          <w:color w:val="2F5496" w:themeColor="accent1" w:themeShade="BF"/>
        </w:rPr>
        <w:t>peripheral</w:t>
      </w:r>
      <w:r w:rsidRPr="00DE6A00">
        <w:rPr>
          <w:rFonts w:ascii="Arial" w:eastAsia="Times New Roman" w:hAnsi="Arial" w:cs="Arial"/>
          <w:color w:val="2F5496" w:themeColor="accent1" w:themeShade="BF"/>
        </w:rPr>
        <w:t xml:space="preserve"> levels), needs for the campaign</w:t>
      </w:r>
      <w:r w:rsidR="00300D1E" w:rsidRPr="00DE6A00">
        <w:rPr>
          <w:rFonts w:ascii="Arial" w:eastAsia="Times New Roman" w:hAnsi="Arial" w:cs="Arial"/>
          <w:color w:val="2F5496" w:themeColor="accent1" w:themeShade="BF"/>
        </w:rPr>
        <w:t xml:space="preserve"> including storage, distribution, and temperature monitoring</w:t>
      </w:r>
      <w:r w:rsidRPr="00DE6A00">
        <w:rPr>
          <w:rFonts w:ascii="Arial" w:eastAsia="Times New Roman" w:hAnsi="Arial" w:cs="Arial"/>
          <w:color w:val="2F5496" w:themeColor="accent1" w:themeShade="BF"/>
        </w:rPr>
        <w:t xml:space="preserve">, and a clear strategy for management of surge capacity of the </w:t>
      </w:r>
      <w:r w:rsidRPr="00DE6A00">
        <w:rPr>
          <w:rFonts w:ascii="Arial" w:eastAsia="Times New Roman" w:hAnsi="Arial" w:cs="Arial"/>
          <w:color w:val="2F5496" w:themeColor="accent1" w:themeShade="BF"/>
        </w:rPr>
        <w:lastRenderedPageBreak/>
        <w:t>supply chain and cold chain systems</w:t>
      </w:r>
      <w:r w:rsidR="0005292C" w:rsidRPr="00DE6A00">
        <w:rPr>
          <w:rFonts w:ascii="Arial" w:eastAsia="Times New Roman" w:hAnsi="Arial" w:cs="Arial"/>
          <w:color w:val="2F5496" w:themeColor="accent1" w:themeShade="BF"/>
        </w:rPr>
        <w:t xml:space="preserve"> where needed</w:t>
      </w:r>
      <w:r w:rsidRPr="00DE6A00">
        <w:rPr>
          <w:rFonts w:ascii="Arial" w:eastAsia="Times New Roman" w:hAnsi="Arial" w:cs="Arial"/>
          <w:color w:val="2F5496" w:themeColor="accent1" w:themeShade="BF"/>
        </w:rPr>
        <w:t>. Funding needs to temporarily increase storage, distribution and transportation capacity</w:t>
      </w:r>
      <w:r w:rsidR="00247BAD" w:rsidRPr="00DE6A00">
        <w:rPr>
          <w:rFonts w:ascii="Arial" w:eastAsia="Times New Roman" w:hAnsi="Arial" w:cs="Arial"/>
          <w:color w:val="2F5496" w:themeColor="accent1" w:themeShade="BF"/>
        </w:rPr>
        <w:t>, and temperature monitoring</w:t>
      </w:r>
      <w:r w:rsidRPr="00DE6A00">
        <w:rPr>
          <w:rFonts w:ascii="Arial" w:eastAsia="Times New Roman" w:hAnsi="Arial" w:cs="Arial"/>
          <w:color w:val="2F5496" w:themeColor="accent1" w:themeShade="BF"/>
        </w:rPr>
        <w:t xml:space="preserve"> for the campaign, if any</w:t>
      </w:r>
      <w:r w:rsidR="00247BAD" w:rsidRPr="00DE6A00">
        <w:rPr>
          <w:rFonts w:ascii="Arial" w:eastAsia="Times New Roman" w:hAnsi="Arial" w:cs="Arial"/>
          <w:color w:val="2F5496" w:themeColor="accent1" w:themeShade="BF"/>
        </w:rPr>
        <w:t>, should be included in the budget</w:t>
      </w:r>
      <w:r w:rsidRPr="00DE6A00">
        <w:rPr>
          <w:rFonts w:ascii="Arial" w:eastAsia="Times New Roman" w:hAnsi="Arial" w:cs="Arial"/>
          <w:color w:val="2F5496" w:themeColor="accent1" w:themeShade="BF"/>
        </w:rPr>
        <w:t xml:space="preserve">. </w:t>
      </w:r>
    </w:p>
    <w:p w14:paraId="448B10D0" w14:textId="3A05FC82" w:rsidR="00107400" w:rsidRPr="00DE6A00" w:rsidRDefault="00107400" w:rsidP="00B730A0">
      <w:pPr>
        <w:numPr>
          <w:ilvl w:val="0"/>
          <w:numId w:val="7"/>
        </w:numPr>
        <w:spacing w:after="0" w:line="240" w:lineRule="auto"/>
        <w:jc w:val="both"/>
        <w:textAlignment w:val="center"/>
        <w:rPr>
          <w:rFonts w:ascii="Arial" w:hAnsi="Arial" w:cs="Arial"/>
          <w:color w:val="2F5496" w:themeColor="accent1" w:themeShade="BF"/>
        </w:rPr>
      </w:pPr>
      <w:r w:rsidRPr="00DE6A00">
        <w:rPr>
          <w:rFonts w:ascii="Arial" w:eastAsia="Times New Roman" w:hAnsi="Arial" w:cs="Arial"/>
          <w:b/>
          <w:color w:val="2F5496" w:themeColor="accent1" w:themeShade="BF"/>
        </w:rPr>
        <w:t xml:space="preserve">Waste management: </w:t>
      </w:r>
      <w:r w:rsidRPr="00DE6A00">
        <w:rPr>
          <w:rFonts w:ascii="Arial" w:eastAsia="Times New Roman" w:hAnsi="Arial" w:cs="Arial"/>
          <w:color w:val="2F5496" w:themeColor="accent1" w:themeShade="BF"/>
        </w:rPr>
        <w:t xml:space="preserve">The plan must include a detailed waste management plan as appropriate for their campaign immunisation activities. This should include details on sufficient availability of waste management supplies, safe handling equipment, storage, transportation and disposal of immunisation waste, as part of a healthcare waste management strategy. </w:t>
      </w:r>
    </w:p>
    <w:p w14:paraId="6DC6AE18" w14:textId="65A58F22" w:rsidR="00107400" w:rsidRPr="00DE6A00" w:rsidRDefault="00107400" w:rsidP="00B730A0">
      <w:pPr>
        <w:spacing w:after="0" w:line="240" w:lineRule="auto"/>
        <w:ind w:left="1080"/>
        <w:jc w:val="both"/>
        <w:rPr>
          <w:rFonts w:ascii="Arial" w:eastAsia="Times New Roman" w:hAnsi="Arial" w:cs="Arial"/>
          <w:color w:val="2F5496" w:themeColor="accent1" w:themeShade="BF"/>
        </w:rPr>
      </w:pPr>
      <w:r w:rsidRPr="00DE6A00">
        <w:rPr>
          <w:rFonts w:ascii="Arial" w:eastAsia="Times New Roman" w:hAnsi="Arial" w:cs="Arial"/>
          <w:color w:val="2F5496" w:themeColor="accent1" w:themeShade="BF"/>
        </w:rPr>
        <w:t>  </w:t>
      </w:r>
    </w:p>
    <w:p w14:paraId="7A11C8B3" w14:textId="1FC56EEF" w:rsidR="00107400" w:rsidRPr="00893724" w:rsidRDefault="00107400" w:rsidP="00B730A0">
      <w:pPr>
        <w:numPr>
          <w:ilvl w:val="0"/>
          <w:numId w:val="8"/>
        </w:numPr>
        <w:spacing w:line="240" w:lineRule="auto"/>
        <w:jc w:val="both"/>
        <w:textAlignment w:val="center"/>
        <w:rPr>
          <w:rFonts w:ascii="Arial" w:hAnsi="Arial" w:cs="Arial"/>
          <w:color w:val="2F5496" w:themeColor="accent1" w:themeShade="BF"/>
        </w:rPr>
      </w:pPr>
      <w:r w:rsidRPr="00DE6A00">
        <w:rPr>
          <w:rFonts w:ascii="Arial" w:eastAsia="Times New Roman" w:hAnsi="Arial" w:cs="Arial"/>
          <w:b/>
          <w:color w:val="2F5496" w:themeColor="accent1" w:themeShade="BF"/>
        </w:rPr>
        <w:t xml:space="preserve">Strengthening surveillance: </w:t>
      </w:r>
      <w:r w:rsidRPr="00DE6A00">
        <w:rPr>
          <w:rFonts w:ascii="Arial" w:eastAsia="Times New Roman" w:hAnsi="Arial" w:cs="Arial"/>
          <w:color w:val="2F5496" w:themeColor="accent1" w:themeShade="BF"/>
        </w:rPr>
        <w:t xml:space="preserve">Countries should describe disease surveillance and </w:t>
      </w:r>
      <w:r w:rsidR="00122F8A" w:rsidRPr="00DE6A00">
        <w:rPr>
          <w:rFonts w:ascii="Arial" w:eastAsia="Times New Roman" w:hAnsi="Arial" w:cs="Arial"/>
          <w:color w:val="2F5496" w:themeColor="accent1" w:themeShade="BF"/>
        </w:rPr>
        <w:t xml:space="preserve">plans for </w:t>
      </w:r>
      <w:r w:rsidRPr="00DE6A00">
        <w:rPr>
          <w:rFonts w:ascii="Arial" w:eastAsia="Times New Roman" w:hAnsi="Arial" w:cs="Arial"/>
          <w:color w:val="2F5496" w:themeColor="accent1" w:themeShade="BF"/>
        </w:rPr>
        <w:t xml:space="preserve">how it will be strengthened or expanded </w:t>
      </w:r>
      <w:r w:rsidR="00711621" w:rsidRPr="00DE6A00">
        <w:rPr>
          <w:rFonts w:ascii="Arial" w:eastAsia="Times New Roman" w:hAnsi="Arial" w:cs="Arial"/>
          <w:color w:val="2F5496" w:themeColor="accent1" w:themeShade="BF"/>
        </w:rPr>
        <w:t>before,</w:t>
      </w:r>
      <w:r w:rsidRPr="00DE6A00">
        <w:rPr>
          <w:rFonts w:ascii="Arial" w:eastAsia="Times New Roman" w:hAnsi="Arial" w:cs="Arial"/>
          <w:color w:val="2F5496" w:themeColor="accent1" w:themeShade="BF"/>
        </w:rPr>
        <w:t xml:space="preserve"> during and after the campaign.</w:t>
      </w:r>
      <w:r w:rsidR="00122F8A" w:rsidRPr="00DE6A00">
        <w:rPr>
          <w:rFonts w:ascii="Arial" w:eastAsia="Times New Roman" w:hAnsi="Arial" w:cs="Arial"/>
          <w:color w:val="2F5496" w:themeColor="accent1" w:themeShade="BF"/>
        </w:rPr>
        <w:t xml:space="preserve"> The purpose of strengthened surveillance </w:t>
      </w:r>
      <w:r w:rsidR="00E4108C" w:rsidRPr="00DE6A00">
        <w:rPr>
          <w:rFonts w:ascii="Arial" w:eastAsia="Times New Roman" w:hAnsi="Arial" w:cs="Arial"/>
          <w:color w:val="2F5496" w:themeColor="accent1" w:themeShade="BF"/>
        </w:rPr>
        <w:t>may include improving</w:t>
      </w:r>
      <w:r w:rsidR="001755F6" w:rsidRPr="00DE6A00">
        <w:rPr>
          <w:rFonts w:ascii="Arial" w:eastAsia="Times New Roman" w:hAnsi="Arial" w:cs="Arial"/>
          <w:color w:val="2F5496" w:themeColor="accent1" w:themeShade="BF"/>
        </w:rPr>
        <w:t xml:space="preserve"> </w:t>
      </w:r>
      <w:r w:rsidR="005E3C10" w:rsidRPr="00DE6A00">
        <w:rPr>
          <w:rFonts w:ascii="Arial" w:eastAsia="Times New Roman" w:hAnsi="Arial" w:cs="Arial"/>
          <w:color w:val="2F5496" w:themeColor="accent1" w:themeShade="BF"/>
        </w:rPr>
        <w:t xml:space="preserve">laboratory </w:t>
      </w:r>
      <w:r w:rsidR="001755F6" w:rsidRPr="00DE6A00">
        <w:rPr>
          <w:rFonts w:ascii="Arial" w:eastAsia="Times New Roman" w:hAnsi="Arial" w:cs="Arial"/>
          <w:color w:val="2F5496" w:themeColor="accent1" w:themeShade="BF"/>
        </w:rPr>
        <w:t xml:space="preserve">confirmation capabilities at lower levels of the health system to monitor cholera </w:t>
      </w:r>
      <w:r w:rsidR="00893724" w:rsidRPr="00893724">
        <w:rPr>
          <w:rFonts w:ascii="Arial" w:eastAsia="Times New Roman" w:hAnsi="Arial" w:cs="Arial"/>
          <w:color w:val="2F5496" w:themeColor="accent1" w:themeShade="BF"/>
        </w:rPr>
        <w:t>incidence and</w:t>
      </w:r>
      <w:r w:rsidR="00E4108C" w:rsidRPr="00893724">
        <w:rPr>
          <w:rFonts w:ascii="Arial" w:eastAsia="Times New Roman" w:hAnsi="Arial" w:cs="Arial"/>
          <w:color w:val="2F5496" w:themeColor="accent1" w:themeShade="BF"/>
        </w:rPr>
        <w:t xml:space="preserve"> using the enhanced surveillance to</w:t>
      </w:r>
      <w:r w:rsidR="00122F8A" w:rsidRPr="00893724">
        <w:rPr>
          <w:rFonts w:ascii="Arial" w:eastAsia="Times New Roman" w:hAnsi="Arial" w:cs="Arial"/>
          <w:color w:val="2F5496" w:themeColor="accent1" w:themeShade="BF"/>
        </w:rPr>
        <w:t xml:space="preserve"> inform future cholera control and OCV plans</w:t>
      </w:r>
      <w:r w:rsidRPr="00893724">
        <w:rPr>
          <w:rFonts w:ascii="Arial" w:eastAsia="Times New Roman" w:hAnsi="Arial" w:cs="Arial"/>
          <w:color w:val="2F5496" w:themeColor="accent1" w:themeShade="BF"/>
        </w:rPr>
        <w:t>.</w:t>
      </w:r>
      <w:r w:rsidR="00DB781F" w:rsidRPr="00893724">
        <w:rPr>
          <w:rFonts w:ascii="Arial" w:eastAsia="Times New Roman" w:hAnsi="Arial" w:cs="Arial"/>
          <w:color w:val="2F5496" w:themeColor="accent1" w:themeShade="BF"/>
        </w:rPr>
        <w:t xml:space="preserve"> </w:t>
      </w:r>
      <w:r w:rsidR="00F34039" w:rsidRPr="00893724">
        <w:rPr>
          <w:rFonts w:ascii="Arial" w:eastAsia="Times New Roman" w:hAnsi="Arial" w:cs="Arial"/>
          <w:i/>
          <w:color w:val="2F5496" w:themeColor="accent1" w:themeShade="BF"/>
        </w:rPr>
        <w:t xml:space="preserve">Note: </w:t>
      </w:r>
      <w:r w:rsidR="00DB781F" w:rsidRPr="00893724">
        <w:rPr>
          <w:rFonts w:ascii="Arial" w:eastAsia="Times New Roman" w:hAnsi="Arial" w:cs="Arial"/>
          <w:i/>
          <w:color w:val="2F5496" w:themeColor="accent1" w:themeShade="BF"/>
        </w:rPr>
        <w:t>While some activities may be funded</w:t>
      </w:r>
      <w:r w:rsidR="00F34039" w:rsidRPr="00893724">
        <w:rPr>
          <w:rFonts w:ascii="Arial" w:eastAsia="Times New Roman" w:hAnsi="Arial" w:cs="Arial"/>
          <w:i/>
          <w:color w:val="2F5496" w:themeColor="accent1" w:themeShade="BF"/>
        </w:rPr>
        <w:t xml:space="preserve"> through the Operational Costs grant, other funding opportunities are available (see Gavi’s Program Funding Guidelines for OCV).</w:t>
      </w:r>
    </w:p>
    <w:p w14:paraId="174D7025" w14:textId="317C8D7F" w:rsidR="00107400" w:rsidRPr="00893724" w:rsidRDefault="00107400" w:rsidP="00B730A0">
      <w:pPr>
        <w:numPr>
          <w:ilvl w:val="0"/>
          <w:numId w:val="8"/>
        </w:numPr>
        <w:spacing w:line="240" w:lineRule="auto"/>
        <w:jc w:val="both"/>
        <w:textAlignment w:val="center"/>
        <w:rPr>
          <w:rFonts w:ascii="Arial" w:hAnsi="Arial" w:cs="Arial"/>
          <w:color w:val="2F5496" w:themeColor="accent1" w:themeShade="BF"/>
        </w:rPr>
      </w:pPr>
      <w:r w:rsidRPr="00893724">
        <w:rPr>
          <w:rFonts w:ascii="Arial" w:eastAsia="Times New Roman" w:hAnsi="Arial" w:cs="Arial"/>
          <w:b/>
          <w:color w:val="2F5496" w:themeColor="accent1" w:themeShade="BF"/>
        </w:rPr>
        <w:t>Costing and financing</w:t>
      </w:r>
      <w:r w:rsidRPr="00893724">
        <w:rPr>
          <w:rFonts w:ascii="Arial" w:eastAsia="Times New Roman" w:hAnsi="Arial" w:cs="Arial"/>
          <w:color w:val="2F5496" w:themeColor="accent1" w:themeShade="BF"/>
        </w:rPr>
        <w:t>: A detailed budget using the standard 5.0 Budgeting and Reporting Template reflecting the campaign costs and financing sources must be included</w:t>
      </w:r>
      <w:r w:rsidR="0048389E" w:rsidRPr="00893724">
        <w:rPr>
          <w:rFonts w:ascii="Arial" w:eastAsia="Times New Roman" w:hAnsi="Arial" w:cs="Arial"/>
          <w:color w:val="2F5496" w:themeColor="accent1" w:themeShade="BF"/>
        </w:rPr>
        <w:t xml:space="preserve"> for the entire vaccination plan period</w:t>
      </w:r>
      <w:r w:rsidRPr="00893724">
        <w:rPr>
          <w:rFonts w:ascii="Arial" w:eastAsia="Times New Roman" w:hAnsi="Arial" w:cs="Arial"/>
          <w:color w:val="2F5496" w:themeColor="accent1" w:themeShade="BF"/>
        </w:rPr>
        <w:t xml:space="preserve">. The budget must show how other primary health care strengthening activities integrated into the campaign </w:t>
      </w:r>
      <w:r w:rsidR="00EF3EBE" w:rsidRPr="00893724">
        <w:rPr>
          <w:rFonts w:ascii="Arial" w:eastAsia="Times New Roman" w:hAnsi="Arial" w:cs="Arial"/>
          <w:color w:val="2F5496" w:themeColor="accent1" w:themeShade="BF"/>
        </w:rPr>
        <w:t>will</w:t>
      </w:r>
      <w:r w:rsidRPr="00893724">
        <w:rPr>
          <w:rFonts w:ascii="Arial" w:eastAsia="Times New Roman" w:hAnsi="Arial" w:cs="Arial"/>
          <w:color w:val="2F5496" w:themeColor="accent1" w:themeShade="BF"/>
        </w:rPr>
        <w:t xml:space="preserve"> be funded, e.g. extra day of training on behavior change communication for WASH. </w:t>
      </w:r>
    </w:p>
    <w:sectPr w:rsidR="00107400" w:rsidRPr="00893724" w:rsidSect="00B0576E">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3304F" w14:textId="77777777" w:rsidR="00BA2B80" w:rsidRDefault="00BA2B80" w:rsidP="00454022">
      <w:pPr>
        <w:spacing w:after="0" w:line="240" w:lineRule="auto"/>
      </w:pPr>
      <w:r>
        <w:separator/>
      </w:r>
    </w:p>
  </w:endnote>
  <w:endnote w:type="continuationSeparator" w:id="0">
    <w:p w14:paraId="15378C8E" w14:textId="77777777" w:rsidR="00BA2B80" w:rsidRDefault="00BA2B80" w:rsidP="00454022">
      <w:pPr>
        <w:spacing w:after="0" w:line="240" w:lineRule="auto"/>
      </w:pPr>
      <w:r>
        <w:continuationSeparator/>
      </w:r>
    </w:p>
  </w:endnote>
  <w:endnote w:type="continuationNotice" w:id="1">
    <w:p w14:paraId="21884824" w14:textId="77777777" w:rsidR="00BA2B80" w:rsidRDefault="00BA2B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DBB33" w14:textId="77777777" w:rsidR="00BA2B80" w:rsidRDefault="00BA2B80" w:rsidP="00454022">
      <w:pPr>
        <w:spacing w:after="0" w:line="240" w:lineRule="auto"/>
      </w:pPr>
      <w:r>
        <w:separator/>
      </w:r>
    </w:p>
  </w:footnote>
  <w:footnote w:type="continuationSeparator" w:id="0">
    <w:p w14:paraId="7EA38D3B" w14:textId="77777777" w:rsidR="00BA2B80" w:rsidRDefault="00BA2B80" w:rsidP="00454022">
      <w:pPr>
        <w:spacing w:after="0" w:line="240" w:lineRule="auto"/>
      </w:pPr>
      <w:r>
        <w:continuationSeparator/>
      </w:r>
    </w:p>
  </w:footnote>
  <w:footnote w:type="continuationNotice" w:id="1">
    <w:p w14:paraId="12417ACA" w14:textId="77777777" w:rsidR="00BA2B80" w:rsidRDefault="00BA2B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8702" w14:textId="6689D4F9" w:rsidR="00A00C95" w:rsidRPr="00DE6A00" w:rsidRDefault="00F01694" w:rsidP="00F01694">
    <w:pPr>
      <w:pStyle w:val="Header"/>
      <w:jc w:val="right"/>
      <w:rPr>
        <w:color w:val="2F5496" w:themeColor="accent1" w:themeShade="BF"/>
      </w:rPr>
    </w:pPr>
    <w:r w:rsidRPr="00DE6A00">
      <w:rPr>
        <w:color w:val="2F5496" w:themeColor="accent1" w:themeShade="BF"/>
      </w:rPr>
      <w:t>July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5EC1"/>
    <w:multiLevelType w:val="multilevel"/>
    <w:tmpl w:val="CBC2816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F560E3A"/>
    <w:multiLevelType w:val="hybridMultilevel"/>
    <w:tmpl w:val="03D670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D5FC6"/>
    <w:multiLevelType w:val="multilevel"/>
    <w:tmpl w:val="48C8AF1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AB95409"/>
    <w:multiLevelType w:val="multilevel"/>
    <w:tmpl w:val="AC780ED8"/>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Symbol" w:hAnsi="Symbol" w:hint="default"/>
      </w:r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6B93B3A"/>
    <w:multiLevelType w:val="multilevel"/>
    <w:tmpl w:val="BD7E2FF4"/>
    <w:lvl w:ilvl="0">
      <w:start w:val="1"/>
      <w:numFmt w:val="low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numFmt w:val="lowerRoman"/>
      <w:lvlText w:val="%3."/>
      <w:lvlJc w:val="right"/>
      <w:pPr>
        <w:tabs>
          <w:tab w:val="num" w:pos="2160"/>
        </w:tabs>
        <w:ind w:left="2160" w:hanging="360"/>
      </w:pPr>
    </w:lvl>
    <w:lvl w:ilvl="3">
      <w:start w:val="1"/>
      <w:numFmt w:val="bullet"/>
      <w:lvlText w:val=""/>
      <w:lvlJc w:val="left"/>
      <w:pPr>
        <w:ind w:left="2880" w:hanging="360"/>
      </w:pPr>
      <w:rPr>
        <w:rFonts w:ascii="Symbol" w:hAnsi="Symbol" w:hint="default"/>
      </w:r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abstractNum w:abstractNumId="5" w15:restartNumberingAfterBreak="0">
    <w:nsid w:val="31333426"/>
    <w:multiLevelType w:val="multilevel"/>
    <w:tmpl w:val="C2E0A8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94F3AD8"/>
    <w:multiLevelType w:val="hybridMultilevel"/>
    <w:tmpl w:val="774AF58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3C27653E"/>
    <w:multiLevelType w:val="multilevel"/>
    <w:tmpl w:val="D750A8D6"/>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numFmt w:val="lowerRoman"/>
      <w:lvlText w:val="%3."/>
      <w:lvlJc w:val="righ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FD06132"/>
    <w:multiLevelType w:val="multilevel"/>
    <w:tmpl w:val="D04EC396"/>
    <w:lvl w:ilvl="0">
      <w:start w:val="8"/>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9" w15:restartNumberingAfterBreak="0">
    <w:nsid w:val="44390902"/>
    <w:multiLevelType w:val="hybridMultilevel"/>
    <w:tmpl w:val="93E2F1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E6A4F"/>
    <w:multiLevelType w:val="hybridMultilevel"/>
    <w:tmpl w:val="4168B55C"/>
    <w:lvl w:ilvl="0" w:tplc="589E3A2C">
      <w:start w:val="4"/>
      <w:numFmt w:val="lowerLetter"/>
      <w:lvlText w:val="%1."/>
      <w:lvlJc w:val="lef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32E83"/>
    <w:multiLevelType w:val="multilevel"/>
    <w:tmpl w:val="DA58E186"/>
    <w:lvl w:ilvl="0">
      <w:start w:val="1"/>
      <w:numFmt w:val="lowerRoman"/>
      <w:lvlText w:val="%1."/>
      <w:lvlJc w:val="right"/>
      <w:pPr>
        <w:tabs>
          <w:tab w:val="num" w:pos="720"/>
        </w:tabs>
        <w:ind w:left="720" w:hanging="360"/>
      </w:pPr>
    </w:lvl>
    <w:lvl w:ilvl="1">
      <w:start w:val="1"/>
      <w:numFmt w:val="lowerLetter"/>
      <w:lvlText w:val="%2."/>
      <w:lvlJc w:val="left"/>
      <w:pPr>
        <w:ind w:left="1440" w:hanging="360"/>
      </w:pPr>
    </w:lvl>
    <w:lvl w:ilvl="2">
      <w:start w:val="1"/>
      <w:numFmt w:val="bullet"/>
      <w:lvlText w:val="o"/>
      <w:lvlJc w:val="left"/>
      <w:pPr>
        <w:ind w:left="2160" w:hanging="360"/>
      </w:pPr>
      <w:rPr>
        <w:rFonts w:ascii="Courier New" w:hAnsi="Courier New" w:cs="Courier New" w:hint="default"/>
      </w:rPr>
    </w:lvl>
    <w:lvl w:ilvl="3" w:tentative="1">
      <w:numFmt w:val="lowerRoman"/>
      <w:lvlText w:val="%4."/>
      <w:lvlJc w:val="right"/>
      <w:pPr>
        <w:tabs>
          <w:tab w:val="num" w:pos="2880"/>
        </w:tabs>
        <w:ind w:left="2880" w:hanging="360"/>
      </w:pPr>
    </w:lvl>
    <w:lvl w:ilvl="4" w:tentative="1">
      <w:numFmt w:val="lowerRoman"/>
      <w:lvlText w:val="%5."/>
      <w:lvlJc w:val="right"/>
      <w:pPr>
        <w:tabs>
          <w:tab w:val="num" w:pos="3600"/>
        </w:tabs>
        <w:ind w:left="3600" w:hanging="360"/>
      </w:pPr>
    </w:lvl>
    <w:lvl w:ilvl="5" w:tentative="1">
      <w:numFmt w:val="lowerRoman"/>
      <w:lvlText w:val="%6."/>
      <w:lvlJc w:val="right"/>
      <w:pPr>
        <w:tabs>
          <w:tab w:val="num" w:pos="4320"/>
        </w:tabs>
        <w:ind w:left="4320" w:hanging="360"/>
      </w:pPr>
    </w:lvl>
    <w:lvl w:ilvl="6" w:tentative="1">
      <w:numFmt w:val="lowerRoman"/>
      <w:lvlText w:val="%7."/>
      <w:lvlJc w:val="right"/>
      <w:pPr>
        <w:tabs>
          <w:tab w:val="num" w:pos="5040"/>
        </w:tabs>
        <w:ind w:left="5040" w:hanging="360"/>
      </w:pPr>
    </w:lvl>
    <w:lvl w:ilvl="7" w:tentative="1">
      <w:numFmt w:val="lowerRoman"/>
      <w:lvlText w:val="%8."/>
      <w:lvlJc w:val="right"/>
      <w:pPr>
        <w:tabs>
          <w:tab w:val="num" w:pos="5760"/>
        </w:tabs>
        <w:ind w:left="5760" w:hanging="360"/>
      </w:pPr>
    </w:lvl>
    <w:lvl w:ilvl="8" w:tentative="1">
      <w:numFmt w:val="lowerRoman"/>
      <w:lvlText w:val="%9."/>
      <w:lvlJc w:val="right"/>
      <w:pPr>
        <w:tabs>
          <w:tab w:val="num" w:pos="6480"/>
        </w:tabs>
        <w:ind w:left="6480" w:hanging="360"/>
      </w:pPr>
    </w:lvl>
  </w:abstractNum>
  <w:abstractNum w:abstractNumId="12" w15:restartNumberingAfterBreak="0">
    <w:nsid w:val="6C3A4749"/>
    <w:multiLevelType w:val="hybridMultilevel"/>
    <w:tmpl w:val="1DC8E6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2D6D87"/>
    <w:multiLevelType w:val="multilevel"/>
    <w:tmpl w:val="AC68ABBC"/>
    <w:lvl w:ilvl="0">
      <w:start w:val="6"/>
      <w:numFmt w:val="decimal"/>
      <w:lvlText w:val="%1."/>
      <w:lvlJc w:val="left"/>
      <w:pPr>
        <w:tabs>
          <w:tab w:val="num" w:pos="720"/>
        </w:tabs>
        <w:ind w:left="720" w:hanging="360"/>
      </w:pPr>
      <w:rPr>
        <w:rFonts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14" w15:restartNumberingAfterBreak="0">
    <w:nsid w:val="6FE022AC"/>
    <w:multiLevelType w:val="multilevel"/>
    <w:tmpl w:val="A168BC56"/>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numFmt w:val="lowerRoman"/>
      <w:lvlText w:val="%3."/>
      <w:lvlJc w:val="righ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966933554">
    <w:abstractNumId w:val="14"/>
    <w:lvlOverride w:ilvl="0">
      <w:startOverride w:val="1"/>
    </w:lvlOverride>
  </w:num>
  <w:num w:numId="2" w16cid:durableId="511340516">
    <w:abstractNumId w:val="14"/>
    <w:lvlOverride w:ilvl="0"/>
    <w:lvlOverride w:ilvl="1">
      <w:startOverride w:val="1"/>
    </w:lvlOverride>
  </w:num>
  <w:num w:numId="3" w16cid:durableId="1382628218">
    <w:abstractNumId w:val="5"/>
    <w:lvlOverride w:ilvl="0">
      <w:startOverride w:val="2"/>
    </w:lvlOverride>
  </w:num>
  <w:num w:numId="4" w16cid:durableId="1882590961">
    <w:abstractNumId w:val="3"/>
  </w:num>
  <w:num w:numId="5" w16cid:durableId="1552686646">
    <w:abstractNumId w:val="2"/>
  </w:num>
  <w:num w:numId="6" w16cid:durableId="894271107">
    <w:abstractNumId w:val="11"/>
  </w:num>
  <w:num w:numId="7" w16cid:durableId="1308821281">
    <w:abstractNumId w:val="13"/>
  </w:num>
  <w:num w:numId="8" w16cid:durableId="704673722">
    <w:abstractNumId w:val="8"/>
  </w:num>
  <w:num w:numId="9" w16cid:durableId="1902330050">
    <w:abstractNumId w:val="12"/>
  </w:num>
  <w:num w:numId="10" w16cid:durableId="1769961080">
    <w:abstractNumId w:val="4"/>
  </w:num>
  <w:num w:numId="11" w16cid:durableId="596986756">
    <w:abstractNumId w:val="7"/>
  </w:num>
  <w:num w:numId="12" w16cid:durableId="1960138872">
    <w:abstractNumId w:val="1"/>
  </w:num>
  <w:num w:numId="13" w16cid:durableId="1539008334">
    <w:abstractNumId w:val="9"/>
  </w:num>
  <w:num w:numId="14" w16cid:durableId="450515309">
    <w:abstractNumId w:val="6"/>
  </w:num>
  <w:num w:numId="15" w16cid:durableId="228151700">
    <w:abstractNumId w:val="0"/>
  </w:num>
  <w:num w:numId="16" w16cid:durableId="92137654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400"/>
    <w:rsid w:val="00003CEC"/>
    <w:rsid w:val="00005026"/>
    <w:rsid w:val="00013701"/>
    <w:rsid w:val="000203B3"/>
    <w:rsid w:val="00027079"/>
    <w:rsid w:val="00030873"/>
    <w:rsid w:val="00040B98"/>
    <w:rsid w:val="000433EA"/>
    <w:rsid w:val="0005292C"/>
    <w:rsid w:val="000554F4"/>
    <w:rsid w:val="0005783D"/>
    <w:rsid w:val="00057A50"/>
    <w:rsid w:val="00064511"/>
    <w:rsid w:val="00080AB9"/>
    <w:rsid w:val="00094E7A"/>
    <w:rsid w:val="000A0AA2"/>
    <w:rsid w:val="000A4799"/>
    <w:rsid w:val="000D3016"/>
    <w:rsid w:val="000D3907"/>
    <w:rsid w:val="000D4016"/>
    <w:rsid w:val="000F5C1A"/>
    <w:rsid w:val="001043C8"/>
    <w:rsid w:val="00106E5E"/>
    <w:rsid w:val="00107400"/>
    <w:rsid w:val="00110AA8"/>
    <w:rsid w:val="001119AC"/>
    <w:rsid w:val="00111C95"/>
    <w:rsid w:val="001123C9"/>
    <w:rsid w:val="00115325"/>
    <w:rsid w:val="001158CD"/>
    <w:rsid w:val="00116FDE"/>
    <w:rsid w:val="001222E6"/>
    <w:rsid w:val="00122F8A"/>
    <w:rsid w:val="00125EE0"/>
    <w:rsid w:val="001351C7"/>
    <w:rsid w:val="001521CC"/>
    <w:rsid w:val="00152F17"/>
    <w:rsid w:val="00160C07"/>
    <w:rsid w:val="00173060"/>
    <w:rsid w:val="001755F6"/>
    <w:rsid w:val="00186A24"/>
    <w:rsid w:val="00192E67"/>
    <w:rsid w:val="00195B5F"/>
    <w:rsid w:val="00196459"/>
    <w:rsid w:val="001A2C69"/>
    <w:rsid w:val="001A351B"/>
    <w:rsid w:val="001B4E5B"/>
    <w:rsid w:val="001B5F15"/>
    <w:rsid w:val="001B6E76"/>
    <w:rsid w:val="001B7F47"/>
    <w:rsid w:val="00217561"/>
    <w:rsid w:val="00221B38"/>
    <w:rsid w:val="00227211"/>
    <w:rsid w:val="002273BA"/>
    <w:rsid w:val="0023158D"/>
    <w:rsid w:val="00235773"/>
    <w:rsid w:val="00247BAD"/>
    <w:rsid w:val="00262166"/>
    <w:rsid w:val="00267B6B"/>
    <w:rsid w:val="002703EC"/>
    <w:rsid w:val="00296E66"/>
    <w:rsid w:val="002A0B5D"/>
    <w:rsid w:val="002B1C11"/>
    <w:rsid w:val="002B2393"/>
    <w:rsid w:val="002B40B2"/>
    <w:rsid w:val="002E1062"/>
    <w:rsid w:val="002E5E8E"/>
    <w:rsid w:val="002F1E70"/>
    <w:rsid w:val="00300D1E"/>
    <w:rsid w:val="00302691"/>
    <w:rsid w:val="00311C11"/>
    <w:rsid w:val="00314CC2"/>
    <w:rsid w:val="00315061"/>
    <w:rsid w:val="00317328"/>
    <w:rsid w:val="0032589C"/>
    <w:rsid w:val="00327392"/>
    <w:rsid w:val="0033297C"/>
    <w:rsid w:val="003469DC"/>
    <w:rsid w:val="00351CED"/>
    <w:rsid w:val="00353823"/>
    <w:rsid w:val="003640F7"/>
    <w:rsid w:val="003721A0"/>
    <w:rsid w:val="0037229D"/>
    <w:rsid w:val="003742E7"/>
    <w:rsid w:val="00383028"/>
    <w:rsid w:val="003A081A"/>
    <w:rsid w:val="003B3F4E"/>
    <w:rsid w:val="003D26EC"/>
    <w:rsid w:val="003D5ED6"/>
    <w:rsid w:val="003E37D0"/>
    <w:rsid w:val="003E5267"/>
    <w:rsid w:val="003F1119"/>
    <w:rsid w:val="003F1780"/>
    <w:rsid w:val="00412DDC"/>
    <w:rsid w:val="0042056C"/>
    <w:rsid w:val="0043229E"/>
    <w:rsid w:val="00435139"/>
    <w:rsid w:val="00450DC2"/>
    <w:rsid w:val="00451A9C"/>
    <w:rsid w:val="004522CF"/>
    <w:rsid w:val="00454022"/>
    <w:rsid w:val="0045417B"/>
    <w:rsid w:val="00454D83"/>
    <w:rsid w:val="00461BA2"/>
    <w:rsid w:val="004721D0"/>
    <w:rsid w:val="0048389E"/>
    <w:rsid w:val="00483A04"/>
    <w:rsid w:val="0048686E"/>
    <w:rsid w:val="00490AD6"/>
    <w:rsid w:val="00491C10"/>
    <w:rsid w:val="004A5D51"/>
    <w:rsid w:val="004B7503"/>
    <w:rsid w:val="004C109C"/>
    <w:rsid w:val="004C20C1"/>
    <w:rsid w:val="004E1FD9"/>
    <w:rsid w:val="004E24FF"/>
    <w:rsid w:val="004E5A8A"/>
    <w:rsid w:val="004F3378"/>
    <w:rsid w:val="004F475D"/>
    <w:rsid w:val="005034B2"/>
    <w:rsid w:val="0053023E"/>
    <w:rsid w:val="005370B6"/>
    <w:rsid w:val="0053756A"/>
    <w:rsid w:val="0054560C"/>
    <w:rsid w:val="00552FE0"/>
    <w:rsid w:val="00554BB5"/>
    <w:rsid w:val="005618C9"/>
    <w:rsid w:val="00572F9F"/>
    <w:rsid w:val="005A5333"/>
    <w:rsid w:val="005A7240"/>
    <w:rsid w:val="005C44C5"/>
    <w:rsid w:val="005D1D78"/>
    <w:rsid w:val="005E3C10"/>
    <w:rsid w:val="005F0416"/>
    <w:rsid w:val="00601BB1"/>
    <w:rsid w:val="00603042"/>
    <w:rsid w:val="00615C3D"/>
    <w:rsid w:val="006212F8"/>
    <w:rsid w:val="006226C7"/>
    <w:rsid w:val="006239D1"/>
    <w:rsid w:val="00625349"/>
    <w:rsid w:val="00632E46"/>
    <w:rsid w:val="006456CF"/>
    <w:rsid w:val="00664064"/>
    <w:rsid w:val="006B013A"/>
    <w:rsid w:val="006B0437"/>
    <w:rsid w:val="006B6512"/>
    <w:rsid w:val="006B6C46"/>
    <w:rsid w:val="006E5BD6"/>
    <w:rsid w:val="006F34A0"/>
    <w:rsid w:val="007005D8"/>
    <w:rsid w:val="007038CA"/>
    <w:rsid w:val="00707F2D"/>
    <w:rsid w:val="0071037A"/>
    <w:rsid w:val="00711621"/>
    <w:rsid w:val="0072069F"/>
    <w:rsid w:val="00755B02"/>
    <w:rsid w:val="007610FA"/>
    <w:rsid w:val="00765E29"/>
    <w:rsid w:val="00775F60"/>
    <w:rsid w:val="00787B80"/>
    <w:rsid w:val="007979F3"/>
    <w:rsid w:val="007A0F8D"/>
    <w:rsid w:val="007A3117"/>
    <w:rsid w:val="007A3D70"/>
    <w:rsid w:val="007B055C"/>
    <w:rsid w:val="007B3C9E"/>
    <w:rsid w:val="007D46FC"/>
    <w:rsid w:val="007E08A3"/>
    <w:rsid w:val="007F7ACF"/>
    <w:rsid w:val="0080182F"/>
    <w:rsid w:val="00812A46"/>
    <w:rsid w:val="008132EA"/>
    <w:rsid w:val="008224CC"/>
    <w:rsid w:val="00847A7A"/>
    <w:rsid w:val="00850FA8"/>
    <w:rsid w:val="00856350"/>
    <w:rsid w:val="00856FF0"/>
    <w:rsid w:val="00860C50"/>
    <w:rsid w:val="00871763"/>
    <w:rsid w:val="00880B1A"/>
    <w:rsid w:val="0088340C"/>
    <w:rsid w:val="00893586"/>
    <w:rsid w:val="00893724"/>
    <w:rsid w:val="008A7CAF"/>
    <w:rsid w:val="008B2BCD"/>
    <w:rsid w:val="008B5BB6"/>
    <w:rsid w:val="008D1B13"/>
    <w:rsid w:val="008E58B2"/>
    <w:rsid w:val="008F7506"/>
    <w:rsid w:val="00900E4A"/>
    <w:rsid w:val="009010BF"/>
    <w:rsid w:val="009025D9"/>
    <w:rsid w:val="00916EE8"/>
    <w:rsid w:val="0092157A"/>
    <w:rsid w:val="0093133E"/>
    <w:rsid w:val="0093629F"/>
    <w:rsid w:val="0095417F"/>
    <w:rsid w:val="009546D7"/>
    <w:rsid w:val="00966639"/>
    <w:rsid w:val="00972AE6"/>
    <w:rsid w:val="00983A1F"/>
    <w:rsid w:val="009923FE"/>
    <w:rsid w:val="009A18A1"/>
    <w:rsid w:val="009A5A8F"/>
    <w:rsid w:val="009B121B"/>
    <w:rsid w:val="009C5927"/>
    <w:rsid w:val="009D1DAD"/>
    <w:rsid w:val="009D2265"/>
    <w:rsid w:val="009D356D"/>
    <w:rsid w:val="009D3F61"/>
    <w:rsid w:val="009F1684"/>
    <w:rsid w:val="00A00C95"/>
    <w:rsid w:val="00A06A3F"/>
    <w:rsid w:val="00A206CB"/>
    <w:rsid w:val="00A22C30"/>
    <w:rsid w:val="00A3049C"/>
    <w:rsid w:val="00A32D74"/>
    <w:rsid w:val="00A43940"/>
    <w:rsid w:val="00A47E39"/>
    <w:rsid w:val="00A53DA5"/>
    <w:rsid w:val="00A615BA"/>
    <w:rsid w:val="00A62CCD"/>
    <w:rsid w:val="00A640E1"/>
    <w:rsid w:val="00A7211D"/>
    <w:rsid w:val="00A842FC"/>
    <w:rsid w:val="00A9236F"/>
    <w:rsid w:val="00AB37D7"/>
    <w:rsid w:val="00AC1BCB"/>
    <w:rsid w:val="00AD13C5"/>
    <w:rsid w:val="00AD15D5"/>
    <w:rsid w:val="00AE5314"/>
    <w:rsid w:val="00AE6A81"/>
    <w:rsid w:val="00AF3A56"/>
    <w:rsid w:val="00B0032C"/>
    <w:rsid w:val="00B016AD"/>
    <w:rsid w:val="00B0576E"/>
    <w:rsid w:val="00B32E64"/>
    <w:rsid w:val="00B3321B"/>
    <w:rsid w:val="00B474AB"/>
    <w:rsid w:val="00B54F02"/>
    <w:rsid w:val="00B730A0"/>
    <w:rsid w:val="00B87207"/>
    <w:rsid w:val="00B874A7"/>
    <w:rsid w:val="00B90105"/>
    <w:rsid w:val="00B9642C"/>
    <w:rsid w:val="00BA2B80"/>
    <w:rsid w:val="00BA5AF6"/>
    <w:rsid w:val="00BA6C61"/>
    <w:rsid w:val="00BB108D"/>
    <w:rsid w:val="00BB126D"/>
    <w:rsid w:val="00BB3969"/>
    <w:rsid w:val="00BC241E"/>
    <w:rsid w:val="00BC3FDA"/>
    <w:rsid w:val="00BC4C21"/>
    <w:rsid w:val="00BC7540"/>
    <w:rsid w:val="00BE02BE"/>
    <w:rsid w:val="00BE50F1"/>
    <w:rsid w:val="00BF69CF"/>
    <w:rsid w:val="00C00D40"/>
    <w:rsid w:val="00C22900"/>
    <w:rsid w:val="00C261D6"/>
    <w:rsid w:val="00C31E80"/>
    <w:rsid w:val="00C340CA"/>
    <w:rsid w:val="00C432D3"/>
    <w:rsid w:val="00C5176C"/>
    <w:rsid w:val="00C64AD1"/>
    <w:rsid w:val="00C6792F"/>
    <w:rsid w:val="00C67CE7"/>
    <w:rsid w:val="00C777A9"/>
    <w:rsid w:val="00C84530"/>
    <w:rsid w:val="00CA1CAF"/>
    <w:rsid w:val="00CC4D57"/>
    <w:rsid w:val="00CD7189"/>
    <w:rsid w:val="00CE38FD"/>
    <w:rsid w:val="00CE4307"/>
    <w:rsid w:val="00CE53E3"/>
    <w:rsid w:val="00CE75CF"/>
    <w:rsid w:val="00CF077D"/>
    <w:rsid w:val="00CF76DA"/>
    <w:rsid w:val="00D303F8"/>
    <w:rsid w:val="00D353D6"/>
    <w:rsid w:val="00D3734B"/>
    <w:rsid w:val="00D45E21"/>
    <w:rsid w:val="00D516BC"/>
    <w:rsid w:val="00D517AC"/>
    <w:rsid w:val="00D52D09"/>
    <w:rsid w:val="00D55CF3"/>
    <w:rsid w:val="00D71CD0"/>
    <w:rsid w:val="00D748CE"/>
    <w:rsid w:val="00D76AE0"/>
    <w:rsid w:val="00D8059E"/>
    <w:rsid w:val="00D80ABA"/>
    <w:rsid w:val="00D82C36"/>
    <w:rsid w:val="00D84F50"/>
    <w:rsid w:val="00D93FC6"/>
    <w:rsid w:val="00D9579E"/>
    <w:rsid w:val="00DA3A1E"/>
    <w:rsid w:val="00DA5183"/>
    <w:rsid w:val="00DA6B2E"/>
    <w:rsid w:val="00DB781F"/>
    <w:rsid w:val="00DC04B5"/>
    <w:rsid w:val="00DC5586"/>
    <w:rsid w:val="00DC60AB"/>
    <w:rsid w:val="00DE6A00"/>
    <w:rsid w:val="00E071CA"/>
    <w:rsid w:val="00E156E7"/>
    <w:rsid w:val="00E21364"/>
    <w:rsid w:val="00E23B38"/>
    <w:rsid w:val="00E4108C"/>
    <w:rsid w:val="00E43335"/>
    <w:rsid w:val="00E456F1"/>
    <w:rsid w:val="00E460A1"/>
    <w:rsid w:val="00E5321A"/>
    <w:rsid w:val="00E56EA9"/>
    <w:rsid w:val="00E63FAC"/>
    <w:rsid w:val="00E641D4"/>
    <w:rsid w:val="00E71C10"/>
    <w:rsid w:val="00E723CD"/>
    <w:rsid w:val="00E72DDA"/>
    <w:rsid w:val="00E755EB"/>
    <w:rsid w:val="00E836F9"/>
    <w:rsid w:val="00E85DB2"/>
    <w:rsid w:val="00E90E30"/>
    <w:rsid w:val="00EA7759"/>
    <w:rsid w:val="00EB4B92"/>
    <w:rsid w:val="00EC1D1E"/>
    <w:rsid w:val="00EE6991"/>
    <w:rsid w:val="00EE6A87"/>
    <w:rsid w:val="00EF08F8"/>
    <w:rsid w:val="00EF3EBE"/>
    <w:rsid w:val="00EF4F20"/>
    <w:rsid w:val="00EF5A30"/>
    <w:rsid w:val="00F01694"/>
    <w:rsid w:val="00F07570"/>
    <w:rsid w:val="00F2007B"/>
    <w:rsid w:val="00F265A4"/>
    <w:rsid w:val="00F34039"/>
    <w:rsid w:val="00F4337A"/>
    <w:rsid w:val="00F46DFA"/>
    <w:rsid w:val="00F56B1C"/>
    <w:rsid w:val="00F61A62"/>
    <w:rsid w:val="00F62C54"/>
    <w:rsid w:val="00F6761A"/>
    <w:rsid w:val="00F71B59"/>
    <w:rsid w:val="00F93860"/>
    <w:rsid w:val="00FA75D8"/>
    <w:rsid w:val="00FB316F"/>
    <w:rsid w:val="00FB3E2E"/>
    <w:rsid w:val="00FC536C"/>
    <w:rsid w:val="00FE40FB"/>
    <w:rsid w:val="3F91851B"/>
    <w:rsid w:val="7EBAB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71AA"/>
  <w15:chartTrackingRefBased/>
  <w15:docId w15:val="{F0F1DE82-D4CB-44FE-9A0B-DCD9ACAD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40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07400"/>
    <w:rPr>
      <w:sz w:val="16"/>
      <w:szCs w:val="16"/>
    </w:rPr>
  </w:style>
  <w:style w:type="paragraph" w:styleId="CommentText">
    <w:name w:val="annotation text"/>
    <w:basedOn w:val="Normal"/>
    <w:link w:val="CommentTextChar"/>
    <w:uiPriority w:val="99"/>
    <w:unhideWhenUsed/>
    <w:rsid w:val="00107400"/>
    <w:pPr>
      <w:spacing w:line="240" w:lineRule="auto"/>
    </w:pPr>
    <w:rPr>
      <w:sz w:val="20"/>
      <w:szCs w:val="20"/>
    </w:rPr>
  </w:style>
  <w:style w:type="character" w:customStyle="1" w:styleId="CommentTextChar">
    <w:name w:val="Comment Text Char"/>
    <w:basedOn w:val="DefaultParagraphFont"/>
    <w:link w:val="CommentText"/>
    <w:uiPriority w:val="99"/>
    <w:rsid w:val="00107400"/>
    <w:rPr>
      <w:sz w:val="20"/>
      <w:szCs w:val="20"/>
    </w:rPr>
  </w:style>
  <w:style w:type="paragraph" w:styleId="CommentSubject">
    <w:name w:val="annotation subject"/>
    <w:basedOn w:val="CommentText"/>
    <w:next w:val="CommentText"/>
    <w:link w:val="CommentSubjectChar"/>
    <w:uiPriority w:val="99"/>
    <w:semiHidden/>
    <w:unhideWhenUsed/>
    <w:rsid w:val="00107400"/>
    <w:rPr>
      <w:b/>
      <w:bCs/>
    </w:rPr>
  </w:style>
  <w:style w:type="character" w:customStyle="1" w:styleId="CommentSubjectChar">
    <w:name w:val="Comment Subject Char"/>
    <w:basedOn w:val="CommentTextChar"/>
    <w:link w:val="CommentSubject"/>
    <w:uiPriority w:val="99"/>
    <w:semiHidden/>
    <w:rsid w:val="00107400"/>
    <w:rPr>
      <w:b/>
      <w:bCs/>
      <w:sz w:val="20"/>
      <w:szCs w:val="20"/>
    </w:rPr>
  </w:style>
  <w:style w:type="paragraph" w:styleId="ListParagraph">
    <w:name w:val="List Paragraph"/>
    <w:basedOn w:val="Normal"/>
    <w:uiPriority w:val="34"/>
    <w:qFormat/>
    <w:rsid w:val="00107400"/>
    <w:pPr>
      <w:ind w:left="720"/>
      <w:contextualSpacing/>
    </w:pPr>
  </w:style>
  <w:style w:type="paragraph" w:styleId="Header">
    <w:name w:val="header"/>
    <w:basedOn w:val="Normal"/>
    <w:link w:val="HeaderChar"/>
    <w:uiPriority w:val="99"/>
    <w:unhideWhenUsed/>
    <w:rsid w:val="00A00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95"/>
  </w:style>
  <w:style w:type="paragraph" w:styleId="Footer">
    <w:name w:val="footer"/>
    <w:basedOn w:val="Normal"/>
    <w:link w:val="FooterChar"/>
    <w:uiPriority w:val="99"/>
    <w:unhideWhenUsed/>
    <w:rsid w:val="00A00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95"/>
  </w:style>
  <w:style w:type="character" w:styleId="Hyperlink">
    <w:name w:val="Hyperlink"/>
    <w:basedOn w:val="DefaultParagraphFont"/>
    <w:uiPriority w:val="99"/>
    <w:unhideWhenUsed/>
    <w:rsid w:val="0045417B"/>
    <w:rPr>
      <w:color w:val="0563C1" w:themeColor="hyperlink"/>
      <w:u w:val="single"/>
    </w:rPr>
  </w:style>
  <w:style w:type="character" w:styleId="UnresolvedMention">
    <w:name w:val="Unresolved Mention"/>
    <w:basedOn w:val="DefaultParagraphFont"/>
    <w:uiPriority w:val="99"/>
    <w:semiHidden/>
    <w:unhideWhenUsed/>
    <w:rsid w:val="0045417B"/>
    <w:rPr>
      <w:color w:val="605E5C"/>
      <w:shd w:val="clear" w:color="auto" w:fill="E1DFDD"/>
    </w:rPr>
  </w:style>
  <w:style w:type="character" w:styleId="FollowedHyperlink">
    <w:name w:val="FollowedHyperlink"/>
    <w:basedOn w:val="DefaultParagraphFont"/>
    <w:uiPriority w:val="99"/>
    <w:semiHidden/>
    <w:unhideWhenUsed/>
    <w:rsid w:val="002A0B5D"/>
    <w:rPr>
      <w:color w:val="954F72" w:themeColor="followedHyperlink"/>
      <w:u w:val="single"/>
    </w:rPr>
  </w:style>
  <w:style w:type="character" w:styleId="Mention">
    <w:name w:val="Mention"/>
    <w:basedOn w:val="DefaultParagraphFont"/>
    <w:uiPriority w:val="99"/>
    <w:unhideWhenUsed/>
    <w:rsid w:val="00E85DB2"/>
    <w:rPr>
      <w:color w:val="2B579A"/>
      <w:shd w:val="clear" w:color="auto" w:fill="E1DFDD"/>
    </w:rPr>
  </w:style>
  <w:style w:type="paragraph" w:styleId="Revision">
    <w:name w:val="Revision"/>
    <w:hidden/>
    <w:uiPriority w:val="99"/>
    <w:semiHidden/>
    <w:rsid w:val="00CE38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09962">
      <w:bodyDiv w:val="1"/>
      <w:marLeft w:val="0"/>
      <w:marRight w:val="0"/>
      <w:marTop w:val="0"/>
      <w:marBottom w:val="0"/>
      <w:divBdr>
        <w:top w:val="none" w:sz="0" w:space="0" w:color="auto"/>
        <w:left w:val="none" w:sz="0" w:space="0" w:color="auto"/>
        <w:bottom w:val="none" w:sz="0" w:space="0" w:color="auto"/>
        <w:right w:val="none" w:sz="0" w:space="0" w:color="auto"/>
      </w:divBdr>
      <w:divsChild>
        <w:div w:id="979991334">
          <w:marLeft w:val="0"/>
          <w:marRight w:val="0"/>
          <w:marTop w:val="0"/>
          <w:marBottom w:val="0"/>
          <w:divBdr>
            <w:top w:val="none" w:sz="0" w:space="0" w:color="auto"/>
            <w:left w:val="none" w:sz="0" w:space="0" w:color="auto"/>
            <w:bottom w:val="none" w:sz="0" w:space="0" w:color="auto"/>
            <w:right w:val="none" w:sz="0" w:space="0" w:color="auto"/>
          </w:divBdr>
          <w:divsChild>
            <w:div w:id="32384201">
              <w:marLeft w:val="0"/>
              <w:marRight w:val="0"/>
              <w:marTop w:val="0"/>
              <w:marBottom w:val="0"/>
              <w:divBdr>
                <w:top w:val="none" w:sz="0" w:space="0" w:color="auto"/>
                <w:left w:val="none" w:sz="0" w:space="0" w:color="auto"/>
                <w:bottom w:val="none" w:sz="0" w:space="0" w:color="auto"/>
                <w:right w:val="none" w:sz="0" w:space="0" w:color="auto"/>
              </w:divBdr>
              <w:divsChild>
                <w:div w:id="8791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ps.who.int/iris/handle/10665/27282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tfcc.org/wp-content/uploads/2019/11/guidance-and-tool-for-countries-to-identify-priority-areas-for-intervention1.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tfcc.or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9" ma:contentTypeDescription="Gavi Document content type " ma:contentTypeScope="" ma:versionID="3c82f0c0c431ecddf7a9e863def4d301">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4646fe5a8c9fc0ff7027340f19b8308f"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GAVI-438364776-960866</_dlc_DocId>
    <_dlc_DocIdUrl xmlns="55894003-98dc-4f3e-8669-85b90bdbcc8c">
      <Url>https://gavinet.sharepoint.com/teams/PAP/srp/_layouts/15/DocIdRedir.aspx?ID=GAVI-438364776-960866</Url>
      <Description>GAVI-438364776-960866</Description>
    </_dlc_DocIdUrl>
    <lcf76f155ced4ddcb4097134ff3c332f xmlns="5c2490db-6e42-4989-a0fb-d6ff54a6a7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05A0BB-D8FB-402B-BE4F-29F282F9EDFD}">
  <ds:schemaRefs>
    <ds:schemaRef ds:uri="Microsoft.SharePoint.Taxonomy.ContentTypeSync"/>
  </ds:schemaRefs>
</ds:datastoreItem>
</file>

<file path=customXml/itemProps2.xml><?xml version="1.0" encoding="utf-8"?>
<ds:datastoreItem xmlns:ds="http://schemas.openxmlformats.org/officeDocument/2006/customXml" ds:itemID="{54BD3148-4C2B-440C-BA4B-7EC0E74E7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75F3D-48A4-4BAD-A487-ED3E9BC0AA1C}">
  <ds:schemaRefs>
    <ds:schemaRef ds:uri="http://schemas.microsoft.com/office/2006/metadata/properties"/>
    <ds:schemaRef ds:uri="http://schemas.microsoft.com/office/infopath/2007/PartnerControls"/>
    <ds:schemaRef ds:uri="d0706217-df7c-4bf4-936d-b09aa3b837af"/>
    <ds:schemaRef ds:uri="55894003-98dc-4f3e-8669-85b90bdbcc8c"/>
    <ds:schemaRef ds:uri="5c2490db-6e42-4989-a0fb-d6ff54a6a7de"/>
  </ds:schemaRefs>
</ds:datastoreItem>
</file>

<file path=customXml/itemProps4.xml><?xml version="1.0" encoding="utf-8"?>
<ds:datastoreItem xmlns:ds="http://schemas.openxmlformats.org/officeDocument/2006/customXml" ds:itemID="{B854B9A8-5B8B-4657-94E4-18D091DAB388}">
  <ds:schemaRefs>
    <ds:schemaRef ds:uri="http://schemas.microsoft.com/sharepoint/v3/contenttype/forms"/>
  </ds:schemaRefs>
</ds:datastoreItem>
</file>

<file path=customXml/itemProps5.xml><?xml version="1.0" encoding="utf-8"?>
<ds:datastoreItem xmlns:ds="http://schemas.openxmlformats.org/officeDocument/2006/customXml" ds:itemID="{52D69A5E-BE71-4AB4-AFFD-DF568B1F9493}">
  <ds:schemaRefs>
    <ds:schemaRef ds:uri="http://schemas.openxmlformats.org/officeDocument/2006/bibliography"/>
  </ds:schemaRefs>
</ds:datastoreItem>
</file>

<file path=customXml/itemProps6.xml><?xml version="1.0" encoding="utf-8"?>
<ds:datastoreItem xmlns:ds="http://schemas.openxmlformats.org/officeDocument/2006/customXml" ds:itemID="{C3D161A9-49E2-4663-AD8F-80C5115D6B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7</Pages>
  <Words>2562</Words>
  <Characters>14606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17134</CharactersWithSpaces>
  <SharedDoc>false</SharedDoc>
  <HLinks>
    <vt:vector size="18" baseType="variant">
      <vt:variant>
        <vt:i4>5767194</vt:i4>
      </vt:variant>
      <vt:variant>
        <vt:i4>6</vt:i4>
      </vt:variant>
      <vt:variant>
        <vt:i4>0</vt:i4>
      </vt:variant>
      <vt:variant>
        <vt:i4>5</vt:i4>
      </vt:variant>
      <vt:variant>
        <vt:lpwstr>https://apps.who.int/iris/handle/10665/272820</vt:lpwstr>
      </vt:variant>
      <vt:variant>
        <vt:lpwstr/>
      </vt:variant>
      <vt:variant>
        <vt:i4>524379</vt:i4>
      </vt:variant>
      <vt:variant>
        <vt:i4>3</vt:i4>
      </vt:variant>
      <vt:variant>
        <vt:i4>0</vt:i4>
      </vt:variant>
      <vt:variant>
        <vt:i4>5</vt:i4>
      </vt:variant>
      <vt:variant>
        <vt:lpwstr>https://www.gtfcc.org/wp-content/uploads/2019/11/guidance-and-tool-for-countries-to-identify-priority-areas-for-intervention1.pdf</vt:lpwstr>
      </vt:variant>
      <vt:variant>
        <vt:lpwstr/>
      </vt:variant>
      <vt:variant>
        <vt:i4>1966158</vt:i4>
      </vt:variant>
      <vt:variant>
        <vt:i4>0</vt:i4>
      </vt:variant>
      <vt:variant>
        <vt:i4>0</vt:i4>
      </vt:variant>
      <vt:variant>
        <vt:i4>5</vt:i4>
      </vt:variant>
      <vt:variant>
        <vt:lpwstr>https://www.gtfcc.org/resources/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Russell</dc:creator>
  <cp:keywords/>
  <dc:description/>
  <cp:lastModifiedBy>Reme Lefevre</cp:lastModifiedBy>
  <cp:revision>80</cp:revision>
  <dcterms:created xsi:type="dcterms:W3CDTF">2022-05-24T17:30:00Z</dcterms:created>
  <dcterms:modified xsi:type="dcterms:W3CDTF">2022-07-15T14:12:00Z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SIP_Label_0a957285-7815-485a-9751-5b273b784ad5_SetDate">
    <vt:lpwstr>2022-04-04T09:39:05Z</vt:lpwstr>
  </property>
  <property fmtid="{D5CDD505-2E9C-101B-9397-08002B2CF9AE}" pid="4" name="MSIP_Label_0a957285-7815-485a-9751-5b273b784ad5_Method">
    <vt:lpwstr>Privileged</vt:lpwstr>
  </property>
  <property fmtid="{D5CDD505-2E9C-101B-9397-08002B2CF9AE}" pid="5" name="MSIP_Label_0a957285-7815-485a-9751-5b273b784ad5_Name">
    <vt:lpwstr>0a957285-7815-485a-9751-5b273b784ad5</vt:lpwstr>
  </property>
  <property fmtid="{D5CDD505-2E9C-101B-9397-08002B2CF9AE}" pid="6" name="MSIP_Label_0a957285-7815-485a-9751-5b273b784ad5_SiteId">
    <vt:lpwstr>1de6d9f3-0daf-4df6-b9d6-5959f16f6118</vt:lpwstr>
  </property>
  <property fmtid="{D5CDD505-2E9C-101B-9397-08002B2CF9AE}" pid="7" name="MSIP_Label_0a957285-7815-485a-9751-5b273b784ad5_ActionId">
    <vt:lpwstr>aa837d1e-3ed0-4c78-9c68-0000985e4629</vt:lpwstr>
  </property>
  <property fmtid="{D5CDD505-2E9C-101B-9397-08002B2CF9AE}" pid="8" name="MSIP_Label_0a957285-7815-485a-9751-5b273b784ad5_ContentBits">
    <vt:lpwstr>0</vt:lpwstr>
  </property>
  <property fmtid="{D5CDD505-2E9C-101B-9397-08002B2CF9AE}" pid="9" name="ContentTypeId">
    <vt:lpwstr>0x0101009954897F3EE3CC4ABB9FB9EDAC9CDEBC0061E92A44B5DD2545AEF000129C25E859</vt:lpwstr>
  </property>
  <property fmtid="{D5CDD505-2E9C-101B-9397-08002B2CF9AE}" pid="10" name="Health">
    <vt:lpwstr/>
  </property>
  <property fmtid="{D5CDD505-2E9C-101B-9397-08002B2CF9AE}" pid="11" name="ComplianceAssetId">
    <vt:lpwstr/>
  </property>
  <property fmtid="{D5CDD505-2E9C-101B-9397-08002B2CF9AE}" pid="12" name="kfa83adfad8641678ddaedda80d7e126">
    <vt:lpwstr/>
  </property>
  <property fmtid="{D5CDD505-2E9C-101B-9397-08002B2CF9AE}" pid="13" name="Test">
    <vt:lpwstr/>
  </property>
  <property fmtid="{D5CDD505-2E9C-101B-9397-08002B2CF9AE}" pid="14" name="_ExtendedDescription">
    <vt:lpwstr/>
  </property>
  <property fmtid="{D5CDD505-2E9C-101B-9397-08002B2CF9AE}" pid="15" name="TriggerFlowInfo">
    <vt:lpwstr/>
  </property>
  <property fmtid="{D5CDD505-2E9C-101B-9397-08002B2CF9AE}" pid="16" name="SharedWithUsers">
    <vt:lpwstr/>
  </property>
  <property fmtid="{D5CDD505-2E9C-101B-9397-08002B2CF9AE}" pid="17" name="MSIP_Label_8af03ff0-41c5-4c41-b55e-fabb8fae94be_Enabled">
    <vt:lpwstr>true</vt:lpwstr>
  </property>
  <property fmtid="{D5CDD505-2E9C-101B-9397-08002B2CF9AE}" pid="18" name="MSIP_Label_8af03ff0-41c5-4c41-b55e-fabb8fae94be_SetDate">
    <vt:lpwstr>2022-04-19T01:52:13Z</vt:lpwstr>
  </property>
  <property fmtid="{D5CDD505-2E9C-101B-9397-08002B2CF9AE}" pid="19" name="MSIP_Label_8af03ff0-41c5-4c41-b55e-fabb8fae94be_Method">
    <vt:lpwstr>Privileged</vt:lpwstr>
  </property>
  <property fmtid="{D5CDD505-2E9C-101B-9397-08002B2CF9AE}" pid="20" name="MSIP_Label_8af03ff0-41c5-4c41-b55e-fabb8fae94be_Name">
    <vt:lpwstr>8af03ff0-41c5-4c41-b55e-fabb8fae94be</vt:lpwstr>
  </property>
  <property fmtid="{D5CDD505-2E9C-101B-9397-08002B2CF9AE}" pid="21" name="MSIP_Label_8af03ff0-41c5-4c41-b55e-fabb8fae94be_SiteId">
    <vt:lpwstr>9ce70869-60db-44fd-abe8-d2767077fc8f</vt:lpwstr>
  </property>
  <property fmtid="{D5CDD505-2E9C-101B-9397-08002B2CF9AE}" pid="22" name="MSIP_Label_8af03ff0-41c5-4c41-b55e-fabb8fae94be_ActionId">
    <vt:lpwstr>b2961a21-5bb6-4d5f-854d-b4ae3cf7ac58</vt:lpwstr>
  </property>
  <property fmtid="{D5CDD505-2E9C-101B-9397-08002B2CF9AE}" pid="23" name="MSIP_Label_8af03ff0-41c5-4c41-b55e-fabb8fae94be_ContentBits">
    <vt:lpwstr>0</vt:lpwstr>
  </property>
  <property fmtid="{D5CDD505-2E9C-101B-9397-08002B2CF9AE}" pid="24" name="_dlc_DocIdItemGuid">
    <vt:lpwstr>49823545-48e8-4230-9001-ec13fa4e8936</vt:lpwstr>
  </property>
  <property fmtid="{D5CDD505-2E9C-101B-9397-08002B2CF9AE}" pid="25" name="MediaServiceImageTags">
    <vt:lpwstr/>
  </property>
</Properties>
</file>