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511" w:rsidRPr="005B5B21" w:rsidRDefault="00B66C60" w:rsidP="00C00336">
      <w:pPr>
        <w:divId w:val="410156154"/>
        <w:rPr>
          <w:rFonts w:ascii="Arial" w:hAnsi="Arial" w:cs="Arial"/>
          <w:b/>
          <w:sz w:val="36"/>
        </w:rPr>
      </w:pPr>
      <w:bookmarkStart w:id="0" w:name="_Toc325114433"/>
      <w:bookmarkStart w:id="1" w:name="_GoBack"/>
      <w:bookmarkEnd w:id="1"/>
      <w:r>
        <w:rPr>
          <w:rFonts w:ascii="Arial" w:hAnsi="Arial" w:cs="Arial"/>
          <w:noProof/>
          <w:lang w:val="en-GB" w:eastAsia="en-GB" w:bidi="ar-SA"/>
        </w:rPr>
        <w:drawing>
          <wp:anchor distT="0" distB="0" distL="114300" distR="114300" simplePos="0" relativeHeight="251659264" behindDoc="1" locked="0" layoutInCell="1" allowOverlap="1">
            <wp:simplePos x="0" y="0"/>
            <wp:positionH relativeFrom="page">
              <wp:posOffset>790575</wp:posOffset>
            </wp:positionH>
            <wp:positionV relativeFrom="page">
              <wp:posOffset>698500</wp:posOffset>
            </wp:positionV>
            <wp:extent cx="2783907" cy="1495425"/>
            <wp:effectExtent l="0" t="0" r="0" b="0"/>
            <wp:wrapNone/>
            <wp:docPr id="10"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ffice_gavi.jpg"/>
                    <pic:cNvPicPr/>
                  </pic:nvPicPr>
                  <pic:blipFill>
                    <a:blip r:embed="rId11" cstate="print"/>
                    <a:stretch>
                      <a:fillRect/>
                    </a:stretch>
                  </pic:blipFill>
                  <pic:spPr>
                    <a:xfrm>
                      <a:off x="0" y="0"/>
                      <a:ext cx="2783907" cy="1495425"/>
                    </a:xfrm>
                    <a:prstGeom prst="rect">
                      <a:avLst/>
                    </a:prstGeom>
                  </pic:spPr>
                </pic:pic>
              </a:graphicData>
            </a:graphic>
          </wp:anchor>
        </w:drawing>
      </w:r>
    </w:p>
    <w:p w:rsidR="00F15649" w:rsidRPr="005B5B21" w:rsidRDefault="00F15649" w:rsidP="00C00336">
      <w:pPr>
        <w:divId w:val="410156154"/>
        <w:rPr>
          <w:rFonts w:ascii="Arial" w:hAnsi="Arial" w:cs="Arial"/>
          <w:b/>
          <w:sz w:val="36"/>
        </w:rPr>
      </w:pPr>
    </w:p>
    <w:p w:rsidR="00F15649" w:rsidRPr="005B5B21" w:rsidRDefault="00F15649" w:rsidP="00C00336">
      <w:pPr>
        <w:divId w:val="410156154"/>
        <w:rPr>
          <w:rFonts w:ascii="Arial" w:hAnsi="Arial" w:cs="Arial"/>
          <w:b/>
          <w:sz w:val="36"/>
        </w:rPr>
      </w:pPr>
    </w:p>
    <w:p w:rsidR="00F15649" w:rsidRPr="005B5B21" w:rsidRDefault="00F15649" w:rsidP="00C00336">
      <w:pPr>
        <w:divId w:val="410156154"/>
        <w:rPr>
          <w:rFonts w:ascii="Arial" w:hAnsi="Arial" w:cs="Arial"/>
          <w:b/>
          <w:sz w:val="36"/>
        </w:rPr>
      </w:pPr>
    </w:p>
    <w:p w:rsidR="00F15649" w:rsidRPr="005B5B21" w:rsidRDefault="00F15649" w:rsidP="00C00336">
      <w:pPr>
        <w:divId w:val="410156154"/>
        <w:rPr>
          <w:rFonts w:ascii="Arial" w:hAnsi="Arial" w:cs="Arial"/>
          <w:b/>
          <w:sz w:val="36"/>
        </w:rPr>
      </w:pPr>
    </w:p>
    <w:p w:rsidR="00B13511" w:rsidRPr="005B5B21" w:rsidRDefault="00B13511" w:rsidP="00C00336">
      <w:pPr>
        <w:jc w:val="center"/>
        <w:divId w:val="410156154"/>
        <w:rPr>
          <w:rFonts w:ascii="Arial" w:hAnsi="Arial" w:cs="Arial"/>
          <w:b/>
          <w:color w:val="005CB9"/>
          <w:sz w:val="36"/>
          <w:szCs w:val="56"/>
        </w:rPr>
      </w:pPr>
      <w:r>
        <w:rPr>
          <w:rFonts w:ascii="Arial" w:hAnsi="Arial"/>
          <w:b/>
          <w:color w:val="005CB9"/>
          <w:sz w:val="36"/>
        </w:rPr>
        <w:t>Formulario de solicitud para propuestas de país</w:t>
      </w:r>
    </w:p>
    <w:p w:rsidR="00B13511" w:rsidRPr="005B5B21" w:rsidRDefault="00B13511" w:rsidP="00C00336">
      <w:pPr>
        <w:jc w:val="center"/>
        <w:divId w:val="410156154"/>
        <w:rPr>
          <w:rFonts w:ascii="Arial" w:hAnsi="Arial" w:cs="Arial"/>
        </w:rPr>
      </w:pPr>
    </w:p>
    <w:p w:rsidR="00B13511" w:rsidRPr="005B5B21" w:rsidRDefault="00B13511" w:rsidP="00C00336">
      <w:pPr>
        <w:jc w:val="center"/>
        <w:divId w:val="410156154"/>
        <w:rPr>
          <w:rFonts w:ascii="Arial" w:hAnsi="Arial" w:cs="Arial"/>
          <w:color w:val="00A03A"/>
          <w:sz w:val="36"/>
          <w:szCs w:val="28"/>
        </w:rPr>
      </w:pPr>
      <w:r>
        <w:rPr>
          <w:rFonts w:ascii="Arial" w:hAnsi="Arial"/>
          <w:color w:val="00A03A"/>
          <w:sz w:val="36"/>
        </w:rPr>
        <w:t>Apoyo para la introducción de VPI</w:t>
      </w:r>
    </w:p>
    <w:p w:rsidR="00B13511" w:rsidRPr="005B5B21" w:rsidRDefault="00B13511" w:rsidP="00B13511">
      <w:pPr>
        <w:jc w:val="center"/>
        <w:divId w:val="410156154"/>
        <w:rPr>
          <w:rFonts w:ascii="Arial" w:hAnsi="Arial" w:cs="Arial"/>
          <w:b/>
        </w:rPr>
      </w:pPr>
    </w:p>
    <w:p w:rsidR="00B13511" w:rsidRPr="005B5B21" w:rsidRDefault="00B13511" w:rsidP="00B13511">
      <w:pPr>
        <w:jc w:val="center"/>
        <w:divId w:val="410156154"/>
        <w:rPr>
          <w:rFonts w:ascii="Arial" w:hAnsi="Arial" w:cs="Arial"/>
        </w:rPr>
      </w:pPr>
    </w:p>
    <w:p w:rsidR="00B13511" w:rsidRPr="005B5B21" w:rsidRDefault="00B13511" w:rsidP="00B13511">
      <w:pPr>
        <w:jc w:val="center"/>
        <w:divId w:val="410156154"/>
        <w:rPr>
          <w:rFonts w:ascii="Arial" w:hAnsi="Arial" w:cs="Arial"/>
        </w:rPr>
      </w:pPr>
      <w:r>
        <w:rPr>
          <w:rFonts w:ascii="Arial" w:hAnsi="Arial"/>
        </w:rPr>
        <w:t>por:</w:t>
      </w:r>
    </w:p>
    <w:p w:rsidR="00B66C60" w:rsidRPr="005B5B21" w:rsidRDefault="00B66C60" w:rsidP="00B13511">
      <w:pPr>
        <w:jc w:val="center"/>
        <w:divId w:val="410156154"/>
        <w:rPr>
          <w:rFonts w:ascii="Arial" w:hAnsi="Arial" w:cs="Arial"/>
        </w:rPr>
      </w:pPr>
    </w:p>
    <w:p w:rsidR="00B13511" w:rsidRPr="005B5B21" w:rsidRDefault="00B13511" w:rsidP="004A2F61">
      <w:pPr>
        <w:jc w:val="center"/>
        <w:divId w:val="410156154"/>
        <w:rPr>
          <w:rFonts w:ascii="Arial" w:hAnsi="Arial" w:cs="Arial"/>
        </w:rPr>
      </w:pPr>
      <w:r>
        <w:rPr>
          <w:rFonts w:ascii="Arial" w:hAnsi="Arial"/>
          <w:sz w:val="28"/>
        </w:rPr>
        <w:t>El Gobierno de</w:t>
      </w:r>
      <w:r w:rsidR="00D367C1">
        <w:rPr>
          <w:rFonts w:ascii="Arial" w:hAnsi="Arial"/>
          <w:sz w:val="28"/>
        </w:rPr>
        <w:t xml:space="preserve"> </w:t>
      </w:r>
      <w:r w:rsidR="004A2F61">
        <w:rPr>
          <w:rFonts w:ascii="Arial" w:hAnsi="Arial"/>
          <w:sz w:val="28"/>
          <w:shd w:val="clear" w:color="auto" w:fill="BDDCFF"/>
        </w:rPr>
        <w:t>Honduras</w:t>
      </w:r>
    </w:p>
    <w:p w:rsidR="00B13511" w:rsidRPr="005B5B21" w:rsidRDefault="00B13511" w:rsidP="00B13511">
      <w:pPr>
        <w:jc w:val="center"/>
        <w:divId w:val="410156154"/>
        <w:rPr>
          <w:rFonts w:ascii="Arial" w:hAnsi="Arial" w:cs="Arial"/>
        </w:rPr>
      </w:pPr>
    </w:p>
    <w:p w:rsidR="00B13511" w:rsidRPr="005B5B21" w:rsidRDefault="00B13511" w:rsidP="004A2F61">
      <w:pPr>
        <w:jc w:val="center"/>
        <w:divId w:val="410156154"/>
        <w:rPr>
          <w:rFonts w:ascii="Arial" w:hAnsi="Arial" w:cs="Arial"/>
        </w:rPr>
      </w:pPr>
      <w:r>
        <w:rPr>
          <w:rFonts w:ascii="Arial" w:hAnsi="Arial"/>
        </w:rPr>
        <w:t>Fecha de presentación:</w:t>
      </w:r>
      <w:r w:rsidR="004A2F61">
        <w:rPr>
          <w:rFonts w:ascii="Arial" w:hAnsi="Arial"/>
        </w:rPr>
        <w:t xml:space="preserve"> 2</w:t>
      </w:r>
      <w:r w:rsidR="00A742C2">
        <w:rPr>
          <w:rFonts w:ascii="Arial" w:hAnsi="Arial"/>
        </w:rPr>
        <w:t>2</w:t>
      </w:r>
      <w:r w:rsidR="004A2F61">
        <w:rPr>
          <w:rFonts w:ascii="Arial" w:hAnsi="Arial"/>
        </w:rPr>
        <w:t xml:space="preserve"> de enero 2015</w:t>
      </w:r>
    </w:p>
    <w:p w:rsidR="00B13511" w:rsidRPr="005B5B21" w:rsidRDefault="00B13511" w:rsidP="00B13511">
      <w:pPr>
        <w:jc w:val="center"/>
        <w:divId w:val="410156154"/>
        <w:rPr>
          <w:rFonts w:ascii="Arial" w:hAnsi="Arial" w:cs="Arial"/>
        </w:rPr>
      </w:pPr>
    </w:p>
    <w:p w:rsidR="00AE078B" w:rsidRPr="005B5B21" w:rsidRDefault="005B5B21" w:rsidP="005B5B21">
      <w:pPr>
        <w:tabs>
          <w:tab w:val="center" w:pos="4635"/>
        </w:tabs>
        <w:spacing w:after="120"/>
        <w:divId w:val="410156154"/>
        <w:rPr>
          <w:rFonts w:ascii="Arial" w:hAnsi="Arial" w:cs="Arial"/>
          <w:sz w:val="20"/>
          <w:szCs w:val="20"/>
        </w:rPr>
      </w:pPr>
      <w:r>
        <w:tab/>
      </w:r>
      <w:r>
        <w:rPr>
          <w:rFonts w:ascii="Arial" w:hAnsi="Arial"/>
          <w:sz w:val="20"/>
        </w:rPr>
        <w:t>Este formulario es aplicable a las solicitudes presentadas en 2015</w:t>
      </w:r>
    </w:p>
    <w:p w:rsidR="00AE078B" w:rsidRPr="005B5B21" w:rsidRDefault="00AE078B" w:rsidP="00AE078B">
      <w:pPr>
        <w:jc w:val="center"/>
        <w:divId w:val="410156154"/>
        <w:rPr>
          <w:rFonts w:ascii="Arial" w:hAnsi="Arial" w:cs="Arial"/>
          <w:sz w:val="20"/>
          <w:szCs w:val="20"/>
        </w:rPr>
      </w:pPr>
    </w:p>
    <w:p w:rsidR="00A05FF9" w:rsidRPr="005B5B21" w:rsidRDefault="00A05FF9" w:rsidP="00AE078B">
      <w:pPr>
        <w:jc w:val="center"/>
        <w:divId w:val="410156154"/>
        <w:rPr>
          <w:rFonts w:ascii="Arial" w:hAnsi="Arial" w:cs="Arial"/>
          <w:sz w:val="20"/>
          <w:szCs w:val="20"/>
        </w:rPr>
      </w:pPr>
    </w:p>
    <w:p w:rsidR="00C06AFD" w:rsidRPr="005B5B21" w:rsidRDefault="00C06AFD" w:rsidP="00AE078B">
      <w:pPr>
        <w:jc w:val="center"/>
        <w:divId w:val="410156154"/>
        <w:rPr>
          <w:rFonts w:ascii="Arial" w:hAnsi="Arial" w:cs="Arial"/>
          <w:sz w:val="20"/>
          <w:szCs w:val="20"/>
        </w:rPr>
      </w:pPr>
    </w:p>
    <w:p w:rsidR="00C06AFD" w:rsidRPr="005B5B21" w:rsidRDefault="00C06AFD" w:rsidP="00AE078B">
      <w:pPr>
        <w:jc w:val="center"/>
        <w:divId w:val="410156154"/>
        <w:rPr>
          <w:rFonts w:ascii="Arial" w:hAnsi="Arial" w:cs="Arial"/>
          <w:sz w:val="20"/>
          <w:szCs w:val="20"/>
        </w:rPr>
      </w:pPr>
    </w:p>
    <w:p w:rsidR="003D630E" w:rsidRPr="005B5B21" w:rsidRDefault="003D630E" w:rsidP="00291EBA">
      <w:pPr>
        <w:jc w:val="center"/>
        <w:divId w:val="410156154"/>
        <w:rPr>
          <w:rFonts w:ascii="Arial" w:hAnsi="Arial" w:cs="Arial"/>
          <w:i/>
          <w:sz w:val="22"/>
          <w:szCs w:val="22"/>
        </w:rPr>
      </w:pPr>
      <w:bookmarkStart w:id="2" w:name="_Toc357605590"/>
      <w:bookmarkStart w:id="3" w:name="_Toc357608253"/>
      <w:bookmarkStart w:id="4" w:name="_Toc357609818"/>
      <w:bookmarkStart w:id="5" w:name="_Toc357609891"/>
      <w:bookmarkStart w:id="6" w:name="_Toc357669901"/>
      <w:bookmarkStart w:id="7" w:name="_Toc357670876"/>
      <w:bookmarkStart w:id="8" w:name="_Toc357671087"/>
      <w:r>
        <w:rPr>
          <w:rFonts w:ascii="Arial" w:hAnsi="Arial"/>
          <w:i/>
          <w:sz w:val="22"/>
        </w:rPr>
        <w:t>Fecha del documento: noviembre de 2014</w:t>
      </w:r>
      <w:bookmarkEnd w:id="2"/>
      <w:bookmarkEnd w:id="3"/>
      <w:bookmarkEnd w:id="4"/>
      <w:bookmarkEnd w:id="5"/>
      <w:bookmarkEnd w:id="6"/>
      <w:bookmarkEnd w:id="7"/>
      <w:bookmarkEnd w:id="8"/>
    </w:p>
    <w:p w:rsidR="003D630E" w:rsidRPr="005B5B21" w:rsidRDefault="003D630E" w:rsidP="00D26E64">
      <w:pPr>
        <w:jc w:val="center"/>
        <w:divId w:val="410156154"/>
        <w:rPr>
          <w:rFonts w:ascii="Arial" w:hAnsi="Arial" w:cs="Arial"/>
          <w:i/>
          <w:sz w:val="18"/>
          <w:szCs w:val="18"/>
        </w:rPr>
      </w:pPr>
      <w:r>
        <w:rPr>
          <w:rFonts w:ascii="Arial" w:hAnsi="Arial"/>
          <w:i/>
          <w:sz w:val="18"/>
        </w:rPr>
        <w:t xml:space="preserve">El presente documento sustituye a todas las versiones anteriores </w:t>
      </w:r>
    </w:p>
    <w:p w:rsidR="00AE078B" w:rsidRPr="005B5B21" w:rsidRDefault="00AE078B" w:rsidP="00AE078B">
      <w:pPr>
        <w:jc w:val="center"/>
        <w:divId w:val="410156154"/>
        <w:rPr>
          <w:rFonts w:ascii="Arial" w:hAnsi="Arial" w:cs="Arial"/>
          <w:b/>
        </w:rPr>
      </w:pPr>
    </w:p>
    <w:p w:rsidR="003D630E" w:rsidRPr="005B5B21" w:rsidRDefault="003D630E" w:rsidP="00AE078B">
      <w:pPr>
        <w:jc w:val="center"/>
        <w:divId w:val="410156154"/>
        <w:rPr>
          <w:rFonts w:ascii="Arial" w:hAnsi="Arial" w:cs="Arial"/>
          <w:b/>
        </w:rPr>
      </w:pPr>
    </w:p>
    <w:p w:rsidR="003D630E" w:rsidRPr="005B5B21" w:rsidRDefault="003D630E" w:rsidP="00AE078B">
      <w:pPr>
        <w:jc w:val="center"/>
        <w:divId w:val="410156154"/>
        <w:rPr>
          <w:rFonts w:ascii="Arial" w:hAnsi="Arial" w:cs="Arial"/>
          <w:b/>
        </w:rPr>
      </w:pPr>
    </w:p>
    <w:p w:rsidR="00C06AFD" w:rsidRPr="005B5B21" w:rsidRDefault="00C06AFD" w:rsidP="003D630E">
      <w:pPr>
        <w:divId w:val="410156154"/>
        <w:rPr>
          <w:rFonts w:ascii="Arial" w:hAnsi="Arial" w:cs="Arial"/>
          <w:b/>
          <w:color w:val="000000"/>
          <w:sz w:val="22"/>
        </w:rPr>
      </w:pPr>
    </w:p>
    <w:p w:rsidR="003D630E" w:rsidRPr="005B5B21" w:rsidRDefault="003D630E" w:rsidP="005B5B21">
      <w:pPr>
        <w:jc w:val="both"/>
        <w:divId w:val="410156154"/>
        <w:rPr>
          <w:rFonts w:ascii="Arial" w:eastAsiaTheme="minorEastAsia" w:hAnsi="Arial" w:cs="Arial"/>
          <w:b/>
          <w:sz w:val="20"/>
          <w:szCs w:val="20"/>
        </w:rPr>
      </w:pPr>
      <w:r>
        <w:rPr>
          <w:rFonts w:ascii="Arial" w:hAnsi="Arial"/>
          <w:b/>
          <w:color w:val="000000"/>
          <w:sz w:val="20"/>
        </w:rPr>
        <w:t>Una vez cumplimentados, los documentos de solicitud deben ser enviados por vía electrónica a la Secretaría de Gavi</w:t>
      </w:r>
      <w:r>
        <w:t xml:space="preserve"> </w:t>
      </w:r>
      <w:r w:rsidRPr="009067A7">
        <w:rPr>
          <w:rFonts w:ascii="Arial" w:hAnsi="Arial" w:cs="Arial"/>
          <w:sz w:val="20"/>
        </w:rPr>
        <w:t xml:space="preserve">antes de la fecha límite a: </w:t>
      </w:r>
      <w:hyperlink r:id="rId12" w:history="1">
        <w:r>
          <w:rPr>
            <w:rStyle w:val="Hyperlink"/>
            <w:rFonts w:ascii="Arial" w:hAnsi="Arial"/>
            <w:b/>
            <w:sz w:val="20"/>
          </w:rPr>
          <w:t>proposals@gavi.org</w:t>
        </w:r>
      </w:hyperlink>
      <w:r>
        <w:rPr>
          <w:rFonts w:ascii="Arial" w:hAnsi="Arial"/>
          <w:b/>
          <w:color w:val="000000"/>
          <w:sz w:val="20"/>
        </w:rPr>
        <w:t>.</w:t>
      </w:r>
    </w:p>
    <w:p w:rsidR="00B13511" w:rsidRPr="005B5B21" w:rsidRDefault="00B13511" w:rsidP="005B5B21">
      <w:pPr>
        <w:jc w:val="both"/>
        <w:divId w:val="410156154"/>
        <w:rPr>
          <w:rFonts w:ascii="Arial" w:hAnsi="Arial" w:cs="Arial"/>
          <w:sz w:val="20"/>
          <w:szCs w:val="20"/>
        </w:rPr>
      </w:pPr>
    </w:p>
    <w:p w:rsidR="00B13511" w:rsidRPr="005B5B21" w:rsidRDefault="00B13511" w:rsidP="007C7B58">
      <w:pPr>
        <w:jc w:val="both"/>
        <w:divId w:val="410156154"/>
        <w:rPr>
          <w:rFonts w:ascii="Arial" w:hAnsi="Arial" w:cs="Arial"/>
          <w:sz w:val="20"/>
          <w:szCs w:val="20"/>
        </w:rPr>
      </w:pPr>
      <w:r>
        <w:rPr>
          <w:rFonts w:ascii="Arial" w:hAnsi="Arial"/>
          <w:sz w:val="20"/>
        </w:rPr>
        <w:t xml:space="preserve">Las consultas deben enviarse a: </w:t>
      </w:r>
      <w:hyperlink r:id="rId13" w:history="1">
        <w:r>
          <w:rPr>
            <w:rStyle w:val="Hyperlink"/>
            <w:rFonts w:ascii="Arial" w:hAnsi="Arial"/>
            <w:sz w:val="20"/>
          </w:rPr>
          <w:t>proposals@gavi.org</w:t>
        </w:r>
      </w:hyperlink>
      <w:r>
        <w:t xml:space="preserve"> </w:t>
      </w:r>
      <w:r>
        <w:rPr>
          <w:rFonts w:ascii="Arial" w:hAnsi="Arial"/>
          <w:sz w:val="20"/>
        </w:rPr>
        <w:t>o a los representantes de un organismo asociado a Gavi. A menos que se indique lo contrario, los documentos se compartirán con los asociados de Gavi Alliance y el público general. La solicitud y los apéndices deben ser enviados en inglés, francés, español o ruso.</w:t>
      </w:r>
    </w:p>
    <w:p w:rsidR="00B13511" w:rsidRPr="005B5B21" w:rsidRDefault="00B13511" w:rsidP="005B5B21">
      <w:pPr>
        <w:jc w:val="both"/>
        <w:divId w:val="410156154"/>
        <w:rPr>
          <w:rFonts w:ascii="Arial" w:hAnsi="Arial" w:cs="Arial"/>
          <w:sz w:val="20"/>
          <w:szCs w:val="20"/>
        </w:rPr>
      </w:pPr>
    </w:p>
    <w:p w:rsidR="00B13511" w:rsidRPr="005B5B21" w:rsidRDefault="00B13511" w:rsidP="005B5B21">
      <w:pPr>
        <w:jc w:val="both"/>
        <w:divId w:val="410156154"/>
        <w:rPr>
          <w:rFonts w:ascii="Arial" w:hAnsi="Arial" w:cs="Arial"/>
          <w:sz w:val="20"/>
          <w:szCs w:val="20"/>
        </w:rPr>
      </w:pPr>
      <w:r>
        <w:rPr>
          <w:rFonts w:ascii="Arial" w:hAnsi="Arial"/>
          <w:sz w:val="20"/>
        </w:rPr>
        <w:t>Nota: Asegúrese de que la Secretaría de Gavi haya recibido la solicitud antes de que expire el plazo de presentación.</w:t>
      </w:r>
    </w:p>
    <w:p w:rsidR="00B13511" w:rsidRPr="005B5B21" w:rsidRDefault="00B13511" w:rsidP="005B5B21">
      <w:pPr>
        <w:jc w:val="both"/>
        <w:divId w:val="410156154"/>
        <w:rPr>
          <w:rFonts w:ascii="Arial" w:hAnsi="Arial" w:cs="Arial"/>
          <w:sz w:val="20"/>
          <w:szCs w:val="20"/>
        </w:rPr>
      </w:pPr>
    </w:p>
    <w:p w:rsidR="00B13511" w:rsidRPr="005B5B21" w:rsidRDefault="00B13511" w:rsidP="007C7B58">
      <w:pPr>
        <w:jc w:val="both"/>
        <w:divId w:val="410156154"/>
        <w:rPr>
          <w:rFonts w:ascii="Arial" w:hAnsi="Arial" w:cs="Arial"/>
        </w:rPr>
      </w:pPr>
      <w:r>
        <w:br w:type="page"/>
      </w:r>
    </w:p>
    <w:p w:rsidR="00A22270" w:rsidRPr="005B5B21" w:rsidRDefault="00A22270" w:rsidP="005B5B21">
      <w:pPr>
        <w:pStyle w:val="Heading1"/>
        <w:divId w:val="410156154"/>
        <w:rPr>
          <w:rFonts w:eastAsia="SimSun"/>
        </w:rPr>
      </w:pPr>
      <w:r>
        <w:lastRenderedPageBreak/>
        <w:t>Especificaciones de la solicitud</w:t>
      </w:r>
    </w:p>
    <w:p w:rsidR="00A22270" w:rsidRDefault="00314B68" w:rsidP="0086178F">
      <w:pPr>
        <w:divId w:val="410156154"/>
        <w:rPr>
          <w:rFonts w:ascii="Arial" w:hAnsi="Arial" w:cs="Arial"/>
          <w:sz w:val="22"/>
          <w:szCs w:val="22"/>
        </w:rPr>
      </w:pPr>
      <w:r>
        <w:rPr>
          <w:rFonts w:ascii="Arial" w:hAnsi="Arial"/>
          <w:sz w:val="22"/>
        </w:rPr>
        <w:t>Al final del presente formulario se incluye una lista de los apéndices requeridos.</w:t>
      </w:r>
    </w:p>
    <w:p w:rsidR="00ED2D55" w:rsidRDefault="00ED2D55" w:rsidP="0086178F">
      <w:pPr>
        <w:divId w:val="410156154"/>
        <w:rPr>
          <w:rFonts w:ascii="Arial" w:hAnsi="Arial" w:cs="Arial"/>
          <w:sz w:val="22"/>
          <w:szCs w:val="22"/>
        </w:rPr>
      </w:pPr>
    </w:p>
    <w:p w:rsidR="00ED2D55" w:rsidRPr="00266908" w:rsidRDefault="00ED2D55">
      <w:pPr>
        <w:divId w:val="410156154"/>
        <w:rPr>
          <w:rFonts w:ascii="Arial" w:hAnsi="Arial" w:cs="Arial"/>
          <w:b/>
          <w:color w:val="FF0000"/>
          <w:sz w:val="22"/>
          <w:szCs w:val="22"/>
        </w:rPr>
      </w:pPr>
      <w:r>
        <w:rPr>
          <w:rFonts w:ascii="Arial" w:hAnsi="Arial"/>
          <w:b/>
          <w:color w:val="FF0000"/>
          <w:sz w:val="22"/>
        </w:rPr>
        <w:t xml:space="preserve">Complete todas las celdas azules a continuación Si alguno de los campos no fuera pertinente, escriba "no corresponde" </w:t>
      </w:r>
    </w:p>
    <w:p w:rsidR="0086178F" w:rsidRPr="005B5B21" w:rsidRDefault="0086178F" w:rsidP="005B5B21">
      <w:pPr>
        <w:pStyle w:val="Heading2"/>
      </w:pPr>
      <w:r>
        <w:t>Resumen</w:t>
      </w:r>
    </w:p>
    <w:p w:rsidR="0086178F" w:rsidRPr="005B5B21" w:rsidRDefault="0086178F" w:rsidP="0086178F">
      <w:pPr>
        <w:ind w:left="120"/>
        <w:rPr>
          <w:rFonts w:ascii="Arial" w:hAnsi="Arial" w:cs="Arial"/>
          <w:sz w:val="22"/>
          <w:szCs w:val="22"/>
        </w:rPr>
      </w:pPr>
    </w:p>
    <w:tbl>
      <w:tblPr>
        <w:tblStyle w:val="TableGrid"/>
        <w:tblW w:w="0" w:type="auto"/>
        <w:tblLook w:val="05A0" w:firstRow="1" w:lastRow="0" w:firstColumn="1" w:lastColumn="1" w:noHBand="0" w:noVBand="1"/>
      </w:tblPr>
      <w:tblGrid>
        <w:gridCol w:w="1504"/>
        <w:gridCol w:w="797"/>
        <w:gridCol w:w="821"/>
        <w:gridCol w:w="864"/>
        <w:gridCol w:w="697"/>
        <w:gridCol w:w="1561"/>
        <w:gridCol w:w="562"/>
        <w:gridCol w:w="2560"/>
      </w:tblGrid>
      <w:tr w:rsidR="00A22270" w:rsidRPr="005B5B21" w:rsidTr="00266908">
        <w:trPr>
          <w:divId w:val="410156154"/>
          <w:trHeight w:val="602"/>
        </w:trPr>
        <w:tc>
          <w:tcPr>
            <w:tcW w:w="3986" w:type="dxa"/>
            <w:gridSpan w:val="4"/>
            <w:shd w:val="clear" w:color="auto" w:fill="BDDCFF"/>
          </w:tcPr>
          <w:p w:rsidR="00BC18C2" w:rsidRPr="00266908" w:rsidRDefault="00A22270" w:rsidP="00996174">
            <w:pPr>
              <w:ind w:right="120"/>
              <w:rPr>
                <w:rFonts w:ascii="Arial" w:hAnsi="Arial" w:cs="Arial"/>
                <w:b/>
                <w:sz w:val="22"/>
                <w:szCs w:val="22"/>
              </w:rPr>
            </w:pPr>
            <w:r>
              <w:rPr>
                <w:rFonts w:ascii="Arial" w:hAnsi="Arial"/>
                <w:b/>
                <w:sz w:val="22"/>
              </w:rPr>
              <w:t xml:space="preserve">El Gobierno de: </w:t>
            </w:r>
            <w:r w:rsidR="004A2F61">
              <w:rPr>
                <w:rFonts w:ascii="Arial" w:hAnsi="Arial"/>
                <w:sz w:val="22"/>
              </w:rPr>
              <w:t>Honduras</w:t>
            </w:r>
          </w:p>
          <w:p w:rsidR="00BC18C2" w:rsidRPr="00266908" w:rsidRDefault="00BC18C2" w:rsidP="00996174">
            <w:pPr>
              <w:ind w:right="120"/>
              <w:rPr>
                <w:rFonts w:ascii="Arial" w:hAnsi="Arial" w:cs="Arial"/>
                <w:b/>
                <w:sz w:val="22"/>
                <w:szCs w:val="22"/>
              </w:rPr>
            </w:pPr>
          </w:p>
        </w:tc>
        <w:tc>
          <w:tcPr>
            <w:tcW w:w="5380" w:type="dxa"/>
            <w:gridSpan w:val="4"/>
            <w:shd w:val="clear" w:color="auto" w:fill="BDDCFF"/>
          </w:tcPr>
          <w:p w:rsidR="00A22270" w:rsidRPr="00266908" w:rsidRDefault="000471E5" w:rsidP="00996174">
            <w:pPr>
              <w:ind w:right="120"/>
              <w:rPr>
                <w:rFonts w:ascii="Arial" w:hAnsi="Arial" w:cs="Arial"/>
                <w:b/>
                <w:sz w:val="22"/>
                <w:szCs w:val="22"/>
              </w:rPr>
            </w:pPr>
            <w:r>
              <w:rPr>
                <w:rFonts w:ascii="Arial" w:hAnsi="Arial"/>
                <w:b/>
                <w:sz w:val="22"/>
              </w:rPr>
              <w:t xml:space="preserve">Fecha de presentación: </w:t>
            </w:r>
            <w:r w:rsidR="004A2F61">
              <w:rPr>
                <w:rFonts w:ascii="Arial" w:hAnsi="Arial"/>
                <w:sz w:val="22"/>
              </w:rPr>
              <w:t>23 de enero 2015</w:t>
            </w:r>
          </w:p>
          <w:p w:rsidR="00DA2E3B" w:rsidRPr="00266908" w:rsidRDefault="00DA2E3B" w:rsidP="00996174">
            <w:pPr>
              <w:ind w:right="120"/>
              <w:rPr>
                <w:rFonts w:ascii="Arial" w:hAnsi="Arial" w:cs="Arial"/>
                <w:b/>
                <w:sz w:val="22"/>
                <w:szCs w:val="22"/>
              </w:rPr>
            </w:pPr>
          </w:p>
        </w:tc>
      </w:tr>
      <w:tr w:rsidR="002A0862" w:rsidRPr="005B5B21" w:rsidTr="00266908">
        <w:trPr>
          <w:divId w:val="410156154"/>
        </w:trPr>
        <w:tc>
          <w:tcPr>
            <w:tcW w:w="3986" w:type="dxa"/>
            <w:gridSpan w:val="4"/>
            <w:shd w:val="clear" w:color="auto" w:fill="BDDCFF"/>
          </w:tcPr>
          <w:p w:rsidR="002A0862" w:rsidRPr="00266908" w:rsidRDefault="002A0862" w:rsidP="0076184E">
            <w:pPr>
              <w:ind w:right="120"/>
              <w:rPr>
                <w:rFonts w:ascii="Arial" w:hAnsi="Arial" w:cs="Arial"/>
                <w:b/>
                <w:sz w:val="22"/>
                <w:szCs w:val="22"/>
              </w:rPr>
            </w:pPr>
            <w:r>
              <w:rPr>
                <w:rFonts w:ascii="Arial" w:hAnsi="Arial"/>
                <w:b/>
                <w:sz w:val="22"/>
              </w:rPr>
              <w:t>Fecha de introducción de VPI (mes/año)</w:t>
            </w:r>
            <w:r w:rsidR="004A2F61">
              <w:rPr>
                <w:rFonts w:ascii="Arial" w:hAnsi="Arial"/>
                <w:sz w:val="22"/>
              </w:rPr>
              <w:t xml:space="preserve">: </w:t>
            </w:r>
            <w:r w:rsidR="0076184E">
              <w:rPr>
                <w:rFonts w:ascii="Arial" w:hAnsi="Arial"/>
                <w:sz w:val="22"/>
              </w:rPr>
              <w:t>Octubre</w:t>
            </w:r>
            <w:r w:rsidR="004A2F61">
              <w:rPr>
                <w:rFonts w:ascii="Arial" w:hAnsi="Arial"/>
                <w:sz w:val="22"/>
              </w:rPr>
              <w:t xml:space="preserve"> 2015</w:t>
            </w:r>
          </w:p>
        </w:tc>
        <w:tc>
          <w:tcPr>
            <w:tcW w:w="5380" w:type="dxa"/>
            <w:gridSpan w:val="4"/>
            <w:shd w:val="clear" w:color="auto" w:fill="BDDCFF"/>
          </w:tcPr>
          <w:p w:rsidR="002A0862" w:rsidRPr="00266908" w:rsidRDefault="000471E5" w:rsidP="003F3E8B">
            <w:pPr>
              <w:ind w:right="120"/>
              <w:rPr>
                <w:rFonts w:ascii="Arial" w:hAnsi="Arial" w:cs="Arial"/>
                <w:b/>
                <w:sz w:val="22"/>
                <w:szCs w:val="22"/>
              </w:rPr>
            </w:pPr>
            <w:r>
              <w:rPr>
                <w:rFonts w:ascii="Arial" w:hAnsi="Arial"/>
                <w:b/>
                <w:sz w:val="22"/>
              </w:rPr>
              <w:t xml:space="preserve">Calendario actual de DPT </w:t>
            </w:r>
            <w:r w:rsidR="004A2F61">
              <w:rPr>
                <w:rFonts w:ascii="Arial" w:hAnsi="Arial"/>
                <w:sz w:val="22"/>
              </w:rPr>
              <w:t>: 2, 4, 6 meses, 18 meses y 4 años</w:t>
            </w:r>
          </w:p>
          <w:p w:rsidR="00651D9B" w:rsidRPr="00266908" w:rsidRDefault="00651D9B" w:rsidP="003F3E8B">
            <w:pPr>
              <w:ind w:right="120"/>
              <w:rPr>
                <w:rFonts w:ascii="Arial" w:hAnsi="Arial" w:cs="Arial"/>
                <w:b/>
                <w:sz w:val="22"/>
                <w:szCs w:val="22"/>
              </w:rPr>
            </w:pPr>
          </w:p>
          <w:p w:rsidR="00651D9B" w:rsidRPr="00266908" w:rsidRDefault="00651D9B" w:rsidP="003F3E8B">
            <w:pPr>
              <w:ind w:right="120"/>
              <w:rPr>
                <w:rFonts w:ascii="Arial" w:hAnsi="Arial" w:cs="Arial"/>
                <w:b/>
                <w:sz w:val="22"/>
                <w:szCs w:val="22"/>
              </w:rPr>
            </w:pPr>
            <w:r>
              <w:rPr>
                <w:rFonts w:ascii="Arial" w:hAnsi="Arial"/>
                <w:b/>
                <w:sz w:val="22"/>
              </w:rPr>
              <w:t>Calendario propuesto para VPI</w:t>
            </w:r>
            <w:r w:rsidR="004A2F61">
              <w:rPr>
                <w:rFonts w:ascii="Arial" w:hAnsi="Arial"/>
                <w:sz w:val="22"/>
              </w:rPr>
              <w:t>: 2 y 4 meses</w:t>
            </w:r>
          </w:p>
          <w:p w:rsidR="002A0862" w:rsidRPr="00266908" w:rsidRDefault="002A0862" w:rsidP="003F3E8B">
            <w:pPr>
              <w:ind w:right="120"/>
              <w:rPr>
                <w:rFonts w:ascii="Arial" w:hAnsi="Arial" w:cs="Arial"/>
                <w:b/>
                <w:sz w:val="22"/>
                <w:szCs w:val="22"/>
              </w:rPr>
            </w:pPr>
          </w:p>
        </w:tc>
      </w:tr>
      <w:tr w:rsidR="00351BF3" w:rsidRPr="005B5B21" w:rsidTr="00266908">
        <w:trPr>
          <w:divId w:val="410156154"/>
        </w:trPr>
        <w:tc>
          <w:tcPr>
            <w:tcW w:w="3986" w:type="dxa"/>
            <w:gridSpan w:val="4"/>
            <w:shd w:val="clear" w:color="auto" w:fill="BDDCFF"/>
          </w:tcPr>
          <w:p w:rsidR="00B024BA" w:rsidRDefault="00B024BA" w:rsidP="003F3E8B">
            <w:pPr>
              <w:ind w:right="120"/>
              <w:rPr>
                <w:rFonts w:ascii="Arial" w:hAnsi="Arial" w:cs="Arial"/>
                <w:b/>
                <w:sz w:val="22"/>
                <w:szCs w:val="22"/>
              </w:rPr>
            </w:pPr>
            <w:r>
              <w:rPr>
                <w:rFonts w:ascii="Arial" w:hAnsi="Arial"/>
                <w:b/>
                <w:sz w:val="22"/>
              </w:rPr>
              <w:t>¿Tiene previsto el país cofinanciar la VPI?</w:t>
            </w:r>
          </w:p>
          <w:p w:rsidR="00351BF3" w:rsidRPr="00266908" w:rsidRDefault="00B024BA" w:rsidP="003F3E8B">
            <w:pPr>
              <w:ind w:right="120"/>
              <w:rPr>
                <w:rFonts w:ascii="Arial" w:hAnsi="Arial" w:cs="Arial"/>
                <w:i/>
                <w:sz w:val="18"/>
                <w:szCs w:val="18"/>
              </w:rPr>
            </w:pPr>
            <w:r>
              <w:rPr>
                <w:rFonts w:ascii="Arial" w:hAnsi="Arial"/>
                <w:i/>
                <w:sz w:val="18"/>
              </w:rPr>
              <w:t>Nota: la cofinanciación no es obligatoria para la VPI</w:t>
            </w:r>
          </w:p>
          <w:p w:rsidR="00B024BA" w:rsidRDefault="000B65E2" w:rsidP="00B024BA">
            <w:pPr>
              <w:pStyle w:val="ListParagraph"/>
              <w:numPr>
                <w:ilvl w:val="0"/>
                <w:numId w:val="35"/>
              </w:numPr>
              <w:spacing w:before="120" w:after="120"/>
              <w:ind w:left="512" w:right="120" w:hanging="283"/>
              <w:rPr>
                <w:rFonts w:ascii="Arial" w:hAnsi="Arial" w:cs="Arial"/>
              </w:rPr>
            </w:pPr>
            <w:r>
              <w:rPr>
                <w:rFonts w:ascii="Arial" w:hAnsi="Arial"/>
                <w:noProof/>
                <w:lang w:val="es-HN" w:eastAsia="es-HN" w:bidi="ar-SA"/>
              </w:rPr>
              <w:pict>
                <v:shapetype id="_x0000_t202" coordsize="21600,21600" o:spt="202" path="m,l,21600r21600,l21600,xe">
                  <v:stroke joinstyle="miter"/>
                  <v:path gradientshapeok="t" o:connecttype="rect"/>
                </v:shapetype>
                <v:shape id="Cuadro de texto 2" o:spid="_x0000_s1026" type="#_x0000_t202" style="position:absolute;left:0;text-align:left;margin-left:7.5pt;margin-top:20.15pt;width:15pt;height:110.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" fillcolor="#95b3d7 [1940]">
                  <v:textbox style="mso-fit-shape-to-text:t">
                    <w:txbxContent>
                      <w:p w:rsidR="00C2476F" w:rsidRPr="00690765" w:rsidRDefault="00C2476F" w:rsidP="00690765">
                        <w:pPr>
                          <w:shd w:val="clear" w:color="auto" w:fill="8DB3E2" w:themeFill="text2" w:themeFillTint="66"/>
                          <w:rPr>
                            <w:b/>
                            <w:sz w:val="12"/>
                            <w:lang w:val="es-HN"/>
                          </w:rPr>
                        </w:pPr>
                        <w:r w:rsidRPr="00690765">
                          <w:rPr>
                            <w:b/>
                            <w:sz w:val="12"/>
                            <w:lang w:val="es-HN"/>
                          </w:rPr>
                          <w:t>X</w:t>
                        </w:r>
                      </w:p>
                    </w:txbxContent>
                  </v:textbox>
                </v:shape>
              </w:pict>
            </w:r>
            <w:r w:rsidR="00B024BA">
              <w:rPr>
                <w:rFonts w:ascii="Arial" w:hAnsi="Arial"/>
              </w:rPr>
              <w:t>Sí</w:t>
            </w:r>
          </w:p>
          <w:p w:rsidR="00B024BA" w:rsidRPr="00EA65F6" w:rsidRDefault="00B024BA" w:rsidP="00266908">
            <w:pPr>
              <w:pStyle w:val="ListParagraph"/>
              <w:numPr>
                <w:ilvl w:val="0"/>
                <w:numId w:val="35"/>
              </w:numPr>
              <w:spacing w:before="120" w:after="120"/>
              <w:ind w:left="512" w:right="120" w:hanging="283"/>
              <w:rPr>
                <w:rFonts w:ascii="Arial" w:hAnsi="Arial" w:cs="Arial"/>
              </w:rPr>
            </w:pPr>
            <w:r>
              <w:rPr>
                <w:rFonts w:ascii="Arial" w:hAnsi="Arial"/>
              </w:rPr>
              <w:t>No</w:t>
            </w:r>
            <w:r w:rsidR="00C37187">
              <w:rPr>
                <w:rFonts w:ascii="Arial" w:hAnsi="Arial"/>
              </w:rPr>
              <w:t xml:space="preserve"> </w:t>
            </w:r>
          </w:p>
        </w:tc>
        <w:tc>
          <w:tcPr>
            <w:tcW w:w="5380" w:type="dxa"/>
            <w:gridSpan w:val="4"/>
            <w:shd w:val="clear" w:color="auto" w:fill="BDDCFF"/>
          </w:tcPr>
          <w:p w:rsidR="00351BF3" w:rsidRPr="00266908" w:rsidRDefault="00351BF3" w:rsidP="004A2F61">
            <w:pPr>
              <w:ind w:right="120"/>
              <w:rPr>
                <w:rFonts w:ascii="Arial" w:hAnsi="Arial" w:cs="Arial"/>
                <w:b/>
                <w:sz w:val="22"/>
                <w:szCs w:val="22"/>
              </w:rPr>
            </w:pPr>
            <w:r>
              <w:rPr>
                <w:rFonts w:ascii="Arial" w:hAnsi="Arial"/>
                <w:b/>
                <w:sz w:val="22"/>
              </w:rPr>
              <w:t xml:space="preserve">Si hay cofinanciación, indicar el monto en USD por dosis: </w:t>
            </w:r>
            <w:r w:rsidR="004A2F61">
              <w:rPr>
                <w:rFonts w:ascii="Arial" w:hAnsi="Arial"/>
                <w:sz w:val="22"/>
              </w:rPr>
              <w:t>No aplica</w:t>
            </w:r>
          </w:p>
        </w:tc>
      </w:tr>
      <w:tr w:rsidR="00351BF3" w:rsidRPr="005B5B21" w:rsidTr="00266908">
        <w:trPr>
          <w:divId w:val="410156154"/>
        </w:trPr>
        <w:tc>
          <w:tcPr>
            <w:tcW w:w="9366" w:type="dxa"/>
            <w:gridSpan w:val="8"/>
            <w:tcBorders>
              <w:bottom w:val="single" w:sz="4" w:space="0" w:color="auto"/>
            </w:tcBorders>
            <w:shd w:val="clear" w:color="auto" w:fill="BDDCFF"/>
          </w:tcPr>
          <w:p w:rsidR="00351BF3" w:rsidRPr="00266908" w:rsidRDefault="00351BF3" w:rsidP="004C070D">
            <w:pPr>
              <w:ind w:right="120"/>
              <w:rPr>
                <w:rFonts w:ascii="Arial" w:hAnsi="Arial" w:cs="Arial"/>
                <w:b/>
                <w:sz w:val="22"/>
                <w:szCs w:val="22"/>
              </w:rPr>
            </w:pPr>
            <w:r>
              <w:rPr>
                <w:rFonts w:ascii="Arial" w:hAnsi="Arial"/>
                <w:b/>
                <w:sz w:val="22"/>
              </w:rPr>
              <w:t xml:space="preserve">Medio de adquisición (DS del UNICEF, OPS, autoabastecimiento): </w:t>
            </w:r>
            <w:r w:rsidR="004A2F61">
              <w:rPr>
                <w:rFonts w:ascii="Arial" w:hAnsi="Arial"/>
                <w:b/>
                <w:sz w:val="22"/>
              </w:rPr>
              <w:t xml:space="preserve">Fondo Rotatorio de </w:t>
            </w:r>
            <w:r w:rsidR="00283C77">
              <w:rPr>
                <w:rFonts w:ascii="Arial" w:hAnsi="Arial"/>
                <w:b/>
                <w:sz w:val="22"/>
              </w:rPr>
              <w:t xml:space="preserve">vacunas de </w:t>
            </w:r>
            <w:r w:rsidR="004A2F61">
              <w:rPr>
                <w:rFonts w:ascii="Arial" w:hAnsi="Arial"/>
                <w:b/>
                <w:sz w:val="22"/>
              </w:rPr>
              <w:t>la OPS</w:t>
            </w:r>
          </w:p>
          <w:p w:rsidR="00651D9B" w:rsidRPr="00266908" w:rsidRDefault="00651D9B" w:rsidP="004C070D">
            <w:pPr>
              <w:ind w:right="120"/>
              <w:rPr>
                <w:rFonts w:ascii="Arial" w:hAnsi="Arial" w:cs="Arial"/>
                <w:b/>
                <w:sz w:val="22"/>
                <w:szCs w:val="22"/>
              </w:rPr>
            </w:pPr>
          </w:p>
        </w:tc>
      </w:tr>
      <w:tr w:rsidR="00676D0E" w:rsidRPr="005B5B21" w:rsidTr="00266908">
        <w:trPr>
          <w:divId w:val="410156154"/>
        </w:trPr>
        <w:tc>
          <w:tcPr>
            <w:tcW w:w="3122" w:type="dxa"/>
            <w:gridSpan w:val="3"/>
            <w:tcBorders>
              <w:bottom w:val="single" w:sz="4" w:space="0" w:color="auto"/>
            </w:tcBorders>
            <w:shd w:val="clear" w:color="auto" w:fill="D9D9D9" w:themeFill="background1" w:themeFillShade="D9"/>
          </w:tcPr>
          <w:p w:rsidR="00676D0E" w:rsidRPr="005B5B21" w:rsidRDefault="00676D0E" w:rsidP="004C070D">
            <w:pPr>
              <w:ind w:right="120"/>
              <w:rPr>
                <w:rFonts w:ascii="Arial" w:hAnsi="Arial" w:cs="Arial"/>
                <w:b/>
                <w:sz w:val="22"/>
                <w:szCs w:val="22"/>
              </w:rPr>
            </w:pPr>
            <w:r>
              <w:rPr>
                <w:rFonts w:ascii="Arial" w:hAnsi="Arial"/>
                <w:b/>
                <w:sz w:val="22"/>
              </w:rPr>
              <w:t>Preferencia de vacuna</w:t>
            </w:r>
          </w:p>
          <w:p w:rsidR="00676D0E" w:rsidRPr="005B5B21" w:rsidRDefault="00676D0E" w:rsidP="004C070D">
            <w:pPr>
              <w:ind w:right="120"/>
              <w:rPr>
                <w:rFonts w:ascii="Arial" w:hAnsi="Arial" w:cs="Arial"/>
                <w:b/>
                <w:sz w:val="22"/>
                <w:szCs w:val="22"/>
              </w:rPr>
            </w:pPr>
            <w:r>
              <w:rPr>
                <w:rFonts w:ascii="Arial" w:hAnsi="Arial"/>
                <w:b/>
                <w:sz w:val="22"/>
              </w:rPr>
              <w:t>(de primera a tercera)</w:t>
            </w:r>
          </w:p>
        </w:tc>
        <w:tc>
          <w:tcPr>
            <w:tcW w:w="3122" w:type="dxa"/>
            <w:gridSpan w:val="3"/>
            <w:tcBorders>
              <w:bottom w:val="single" w:sz="4" w:space="0" w:color="auto"/>
            </w:tcBorders>
            <w:shd w:val="clear" w:color="auto" w:fill="D9D9D9" w:themeFill="background1" w:themeFillShade="D9"/>
          </w:tcPr>
          <w:p w:rsidR="00676D0E" w:rsidRPr="005B5B21" w:rsidRDefault="00676D0E" w:rsidP="004C070D">
            <w:pPr>
              <w:ind w:right="120"/>
              <w:rPr>
                <w:rFonts w:ascii="Arial" w:hAnsi="Arial" w:cs="Arial"/>
                <w:b/>
                <w:sz w:val="22"/>
                <w:szCs w:val="22"/>
              </w:rPr>
            </w:pPr>
            <w:r>
              <w:rPr>
                <w:rFonts w:ascii="Arial" w:hAnsi="Arial"/>
                <w:b/>
                <w:sz w:val="22"/>
              </w:rPr>
              <w:t>Razón para elegir la presentación</w:t>
            </w:r>
          </w:p>
        </w:tc>
        <w:tc>
          <w:tcPr>
            <w:tcW w:w="3122" w:type="dxa"/>
            <w:gridSpan w:val="2"/>
            <w:tcBorders>
              <w:bottom w:val="single" w:sz="4" w:space="0" w:color="auto"/>
            </w:tcBorders>
            <w:shd w:val="clear" w:color="auto" w:fill="D9D9D9" w:themeFill="background1" w:themeFillShade="D9"/>
          </w:tcPr>
          <w:p w:rsidR="00676D0E" w:rsidRPr="005B5B21" w:rsidRDefault="00676D0E" w:rsidP="004C070D">
            <w:pPr>
              <w:ind w:right="120"/>
              <w:rPr>
                <w:rFonts w:ascii="Arial" w:hAnsi="Arial" w:cs="Arial"/>
                <w:b/>
                <w:sz w:val="22"/>
                <w:szCs w:val="22"/>
              </w:rPr>
            </w:pPr>
            <w:r>
              <w:rPr>
                <w:rFonts w:ascii="Arial" w:hAnsi="Arial"/>
                <w:b/>
                <w:sz w:val="22"/>
              </w:rPr>
              <w:t>Tasa de desperdicio prevista*</w:t>
            </w:r>
          </w:p>
          <w:p w:rsidR="00676D0E" w:rsidRPr="005B5B21" w:rsidRDefault="00F65F85" w:rsidP="004C070D">
            <w:pPr>
              <w:ind w:right="120"/>
              <w:rPr>
                <w:rFonts w:ascii="Arial" w:hAnsi="Arial" w:cs="Arial"/>
                <w:b/>
                <w:sz w:val="22"/>
                <w:szCs w:val="22"/>
              </w:rPr>
            </w:pPr>
            <w:r>
              <w:rPr>
                <w:rFonts w:ascii="Arial" w:hAnsi="Arial"/>
                <w:b/>
                <w:sz w:val="22"/>
              </w:rPr>
              <w:t>%</w:t>
            </w:r>
          </w:p>
        </w:tc>
      </w:tr>
      <w:tr w:rsidR="00676D0E" w:rsidRPr="005B5B21" w:rsidTr="00266908">
        <w:trPr>
          <w:divId w:val="410156154"/>
        </w:trPr>
        <w:tc>
          <w:tcPr>
            <w:tcW w:w="3122" w:type="dxa"/>
            <w:gridSpan w:val="3"/>
            <w:tcBorders>
              <w:bottom w:val="single" w:sz="4" w:space="0" w:color="auto"/>
            </w:tcBorders>
            <w:shd w:val="clear" w:color="auto" w:fill="BDDCFF"/>
          </w:tcPr>
          <w:p w:rsidR="00676D0E" w:rsidRPr="005B5B21" w:rsidRDefault="00676D0E" w:rsidP="004C070D">
            <w:pPr>
              <w:ind w:right="120"/>
              <w:rPr>
                <w:rFonts w:ascii="Arial" w:hAnsi="Arial" w:cs="Arial"/>
                <w:sz w:val="22"/>
                <w:szCs w:val="22"/>
              </w:rPr>
            </w:pPr>
            <w:r>
              <w:rPr>
                <w:rFonts w:ascii="Arial" w:hAnsi="Arial"/>
                <w:sz w:val="22"/>
              </w:rPr>
              <w:t xml:space="preserve">1. </w:t>
            </w:r>
            <w:r w:rsidR="004A2F61">
              <w:rPr>
                <w:rFonts w:ascii="Arial" w:hAnsi="Arial"/>
                <w:sz w:val="22"/>
              </w:rPr>
              <w:t xml:space="preserve">5 dosis </w:t>
            </w:r>
          </w:p>
        </w:tc>
        <w:tc>
          <w:tcPr>
            <w:tcW w:w="3122" w:type="dxa"/>
            <w:gridSpan w:val="3"/>
            <w:tcBorders>
              <w:bottom w:val="single" w:sz="4" w:space="0" w:color="auto"/>
            </w:tcBorders>
            <w:shd w:val="clear" w:color="auto" w:fill="BDDCFF"/>
          </w:tcPr>
          <w:p w:rsidR="00676D0E" w:rsidRPr="00216F72" w:rsidRDefault="00676D0E" w:rsidP="00216F72">
            <w:pPr>
              <w:ind w:right="120"/>
              <w:rPr>
                <w:rFonts w:ascii="Arial" w:hAnsi="Arial" w:cs="Arial"/>
                <w:sz w:val="22"/>
                <w:szCs w:val="22"/>
              </w:rPr>
            </w:pPr>
            <w:r w:rsidRPr="00216F72">
              <w:rPr>
                <w:rFonts w:ascii="Arial" w:hAnsi="Arial"/>
                <w:sz w:val="22"/>
              </w:rPr>
              <w:t xml:space="preserve">1. </w:t>
            </w:r>
            <w:r w:rsidR="0052545C" w:rsidRPr="00216F72">
              <w:rPr>
                <w:rFonts w:ascii="Arial" w:hAnsi="Arial"/>
                <w:sz w:val="22"/>
              </w:rPr>
              <w:t xml:space="preserve">Oferta disponible </w:t>
            </w:r>
            <w:r w:rsidR="004B3D77" w:rsidRPr="00216F72">
              <w:rPr>
                <w:rFonts w:ascii="Arial" w:hAnsi="Arial"/>
                <w:sz w:val="22"/>
              </w:rPr>
              <w:t xml:space="preserve">actual </w:t>
            </w:r>
            <w:r w:rsidR="0052545C" w:rsidRPr="00216F72">
              <w:rPr>
                <w:rFonts w:ascii="Arial" w:hAnsi="Arial"/>
                <w:sz w:val="22"/>
              </w:rPr>
              <w:t>en el Fondo</w:t>
            </w:r>
            <w:r w:rsidR="00D3061D" w:rsidRPr="00216F72">
              <w:rPr>
                <w:rFonts w:ascii="Arial" w:hAnsi="Arial"/>
                <w:sz w:val="22"/>
              </w:rPr>
              <w:t xml:space="preserve"> Rotatorio de vacunas de la OPS</w:t>
            </w:r>
            <w:r w:rsidR="001F04D1" w:rsidRPr="00216F72">
              <w:rPr>
                <w:rFonts w:ascii="Arial" w:hAnsi="Arial"/>
                <w:sz w:val="22"/>
              </w:rPr>
              <w:t>,</w:t>
            </w:r>
            <w:r w:rsidR="0052545C" w:rsidRPr="00216F72">
              <w:rPr>
                <w:rFonts w:ascii="Arial" w:hAnsi="Arial"/>
                <w:sz w:val="22"/>
              </w:rPr>
              <w:t xml:space="preserve"> capacidad de almacenamiento de la cadena de frío</w:t>
            </w:r>
            <w:r w:rsidR="001F04D1" w:rsidRPr="00216F72">
              <w:rPr>
                <w:rFonts w:ascii="Arial" w:hAnsi="Arial"/>
                <w:sz w:val="22"/>
              </w:rPr>
              <w:t xml:space="preserve"> y política de frascos abiertos </w:t>
            </w:r>
            <w:r w:rsidR="00216F72">
              <w:rPr>
                <w:rFonts w:ascii="Arial" w:hAnsi="Arial"/>
                <w:sz w:val="22"/>
              </w:rPr>
              <w:t>multidosis.</w:t>
            </w:r>
          </w:p>
        </w:tc>
        <w:tc>
          <w:tcPr>
            <w:tcW w:w="3122" w:type="dxa"/>
            <w:gridSpan w:val="2"/>
            <w:tcBorders>
              <w:bottom w:val="single" w:sz="4" w:space="0" w:color="auto"/>
            </w:tcBorders>
            <w:shd w:val="clear" w:color="auto" w:fill="BDDCFF"/>
          </w:tcPr>
          <w:p w:rsidR="00676D0E" w:rsidRPr="005B5B21" w:rsidRDefault="004A2F61" w:rsidP="004A2F61">
            <w:pPr>
              <w:ind w:right="120"/>
              <w:rPr>
                <w:rFonts w:ascii="Arial" w:hAnsi="Arial" w:cs="Arial"/>
                <w:sz w:val="22"/>
                <w:szCs w:val="22"/>
              </w:rPr>
            </w:pPr>
            <w:r>
              <w:rPr>
                <w:rFonts w:ascii="Arial" w:hAnsi="Arial"/>
                <w:sz w:val="22"/>
              </w:rPr>
              <w:t>15%</w:t>
            </w:r>
          </w:p>
        </w:tc>
      </w:tr>
      <w:tr w:rsidR="00676D0E" w:rsidRPr="005B5B21" w:rsidTr="00266908">
        <w:trPr>
          <w:divId w:val="410156154"/>
        </w:trPr>
        <w:tc>
          <w:tcPr>
            <w:tcW w:w="3122" w:type="dxa"/>
            <w:gridSpan w:val="3"/>
            <w:tcBorders>
              <w:bottom w:val="single" w:sz="4" w:space="0" w:color="auto"/>
            </w:tcBorders>
            <w:shd w:val="clear" w:color="auto" w:fill="BDDCFF"/>
          </w:tcPr>
          <w:p w:rsidR="00676D0E" w:rsidRPr="005B5B21" w:rsidRDefault="008968AF">
            <w:pPr>
              <w:ind w:right="120"/>
              <w:rPr>
                <w:rFonts w:ascii="Arial" w:hAnsi="Arial" w:cs="Arial"/>
                <w:sz w:val="22"/>
                <w:szCs w:val="22"/>
              </w:rPr>
            </w:pPr>
            <w:r>
              <w:rPr>
                <w:rFonts w:ascii="Arial" w:hAnsi="Arial"/>
                <w:sz w:val="22"/>
              </w:rPr>
              <w:t xml:space="preserve"> 2. 10 dosis</w:t>
            </w:r>
          </w:p>
        </w:tc>
        <w:tc>
          <w:tcPr>
            <w:tcW w:w="3122" w:type="dxa"/>
            <w:gridSpan w:val="3"/>
            <w:tcBorders>
              <w:bottom w:val="single" w:sz="4" w:space="0" w:color="auto"/>
            </w:tcBorders>
            <w:shd w:val="clear" w:color="auto" w:fill="BDDCFF"/>
          </w:tcPr>
          <w:p w:rsidR="00676D0E" w:rsidRPr="00216F72" w:rsidRDefault="00676D0E" w:rsidP="0051031C">
            <w:pPr>
              <w:ind w:right="120"/>
              <w:rPr>
                <w:rFonts w:ascii="Arial" w:hAnsi="Arial" w:cs="Arial"/>
                <w:sz w:val="22"/>
                <w:szCs w:val="22"/>
              </w:rPr>
            </w:pPr>
            <w:r w:rsidRPr="00216F72">
              <w:rPr>
                <w:rFonts w:ascii="Arial" w:hAnsi="Arial"/>
                <w:sz w:val="22"/>
              </w:rPr>
              <w:t>2.</w:t>
            </w:r>
            <w:r w:rsidR="008968AF" w:rsidRPr="00216F72">
              <w:rPr>
                <w:rFonts w:ascii="Arial" w:hAnsi="Arial"/>
                <w:sz w:val="22"/>
              </w:rPr>
              <w:t xml:space="preserve"> Oferta futura en el Fondo Rotatorio de vacunas de la OPS, capacidad de almacenamiento y política de frascos abiertos multidosis</w:t>
            </w:r>
          </w:p>
        </w:tc>
        <w:tc>
          <w:tcPr>
            <w:tcW w:w="3122" w:type="dxa"/>
            <w:gridSpan w:val="2"/>
            <w:tcBorders>
              <w:bottom w:val="single" w:sz="4" w:space="0" w:color="auto"/>
            </w:tcBorders>
            <w:shd w:val="clear" w:color="auto" w:fill="BDDCFF"/>
          </w:tcPr>
          <w:p w:rsidR="00676D0E" w:rsidRPr="005B5B21" w:rsidRDefault="0004523E" w:rsidP="004C070D">
            <w:pPr>
              <w:ind w:right="120"/>
              <w:rPr>
                <w:rFonts w:ascii="Arial" w:hAnsi="Arial" w:cs="Arial"/>
                <w:sz w:val="22"/>
                <w:szCs w:val="22"/>
              </w:rPr>
            </w:pPr>
            <w:r>
              <w:rPr>
                <w:rFonts w:ascii="Arial" w:hAnsi="Arial"/>
                <w:sz w:val="22"/>
              </w:rPr>
              <w:t xml:space="preserve">20 </w:t>
            </w:r>
            <w:r w:rsidR="00CB1534">
              <w:rPr>
                <w:rFonts w:ascii="Arial" w:hAnsi="Arial"/>
                <w:sz w:val="22"/>
              </w:rPr>
              <w:t>%</w:t>
            </w:r>
          </w:p>
        </w:tc>
      </w:tr>
      <w:tr w:rsidR="008968AF" w:rsidRPr="005B5B21" w:rsidTr="00266908">
        <w:trPr>
          <w:divId w:val="410156154"/>
        </w:trPr>
        <w:tc>
          <w:tcPr>
            <w:tcW w:w="3122" w:type="dxa"/>
            <w:gridSpan w:val="3"/>
            <w:tcBorders>
              <w:bottom w:val="single" w:sz="4" w:space="0" w:color="auto"/>
            </w:tcBorders>
            <w:shd w:val="clear" w:color="auto" w:fill="BDDCFF"/>
          </w:tcPr>
          <w:p w:rsidR="008968AF" w:rsidRPr="005B5B21" w:rsidRDefault="008968AF" w:rsidP="008968AF">
            <w:pPr>
              <w:ind w:right="120"/>
              <w:rPr>
                <w:rFonts w:ascii="Arial" w:hAnsi="Arial" w:cs="Arial"/>
                <w:sz w:val="22"/>
                <w:szCs w:val="22"/>
              </w:rPr>
            </w:pPr>
            <w:r>
              <w:rPr>
                <w:rFonts w:ascii="Arial" w:hAnsi="Arial"/>
                <w:sz w:val="22"/>
              </w:rPr>
              <w:t xml:space="preserve">3. </w:t>
            </w:r>
            <w:r w:rsidRPr="00216F72">
              <w:rPr>
                <w:rFonts w:ascii="Arial" w:hAnsi="Arial"/>
                <w:sz w:val="22"/>
              </w:rPr>
              <w:t>Monodosis</w:t>
            </w:r>
            <w:r>
              <w:rPr>
                <w:rFonts w:ascii="Arial" w:hAnsi="Arial"/>
                <w:sz w:val="22"/>
              </w:rPr>
              <w:t xml:space="preserve"> </w:t>
            </w:r>
          </w:p>
        </w:tc>
        <w:tc>
          <w:tcPr>
            <w:tcW w:w="3122" w:type="dxa"/>
            <w:gridSpan w:val="3"/>
            <w:tcBorders>
              <w:bottom w:val="single" w:sz="4" w:space="0" w:color="auto"/>
            </w:tcBorders>
            <w:shd w:val="clear" w:color="auto" w:fill="BDDCFF"/>
          </w:tcPr>
          <w:p w:rsidR="008968AF" w:rsidRPr="00216F72" w:rsidRDefault="0051031C" w:rsidP="0051031C">
            <w:pPr>
              <w:ind w:right="120"/>
              <w:rPr>
                <w:rFonts w:ascii="Arial" w:hAnsi="Arial" w:cs="Arial"/>
                <w:sz w:val="22"/>
                <w:szCs w:val="22"/>
              </w:rPr>
            </w:pPr>
            <w:r w:rsidRPr="00216F72">
              <w:rPr>
                <w:rFonts w:ascii="Arial" w:hAnsi="Arial"/>
                <w:sz w:val="22"/>
              </w:rPr>
              <w:t xml:space="preserve"> </w:t>
            </w:r>
            <w:r>
              <w:rPr>
                <w:rFonts w:ascii="Arial" w:hAnsi="Arial"/>
                <w:sz w:val="22"/>
              </w:rPr>
              <w:t xml:space="preserve">3. </w:t>
            </w:r>
            <w:r w:rsidRPr="00216F72">
              <w:rPr>
                <w:rFonts w:ascii="Arial" w:hAnsi="Arial"/>
                <w:sz w:val="22"/>
              </w:rPr>
              <w:t>Oferta disponible actual en el Fondo Rotatorio de vacunas de la OPS</w:t>
            </w:r>
            <w:r>
              <w:rPr>
                <w:rFonts w:ascii="Arial" w:hAnsi="Arial"/>
                <w:sz w:val="22"/>
              </w:rPr>
              <w:t xml:space="preserve">. </w:t>
            </w:r>
          </w:p>
        </w:tc>
        <w:tc>
          <w:tcPr>
            <w:tcW w:w="3122" w:type="dxa"/>
            <w:gridSpan w:val="2"/>
            <w:tcBorders>
              <w:bottom w:val="single" w:sz="4" w:space="0" w:color="auto"/>
            </w:tcBorders>
            <w:shd w:val="clear" w:color="auto" w:fill="BDDCFF"/>
          </w:tcPr>
          <w:p w:rsidR="008968AF" w:rsidRPr="005B5B21" w:rsidRDefault="008968AF">
            <w:pPr>
              <w:ind w:right="120"/>
              <w:rPr>
                <w:rFonts w:ascii="Arial" w:hAnsi="Arial" w:cs="Arial"/>
                <w:sz w:val="22"/>
                <w:szCs w:val="22"/>
              </w:rPr>
            </w:pPr>
            <w:r>
              <w:rPr>
                <w:rFonts w:ascii="Arial" w:hAnsi="Arial"/>
                <w:sz w:val="22"/>
              </w:rPr>
              <w:t>5%</w:t>
            </w:r>
          </w:p>
        </w:tc>
      </w:tr>
      <w:tr w:rsidR="008968AF" w:rsidRPr="005B5B21" w:rsidTr="00266908">
        <w:trPr>
          <w:divId w:val="410156154"/>
        </w:trPr>
        <w:tc>
          <w:tcPr>
            <w:tcW w:w="9366" w:type="dxa"/>
            <w:gridSpan w:val="8"/>
            <w:tcBorders>
              <w:bottom w:val="single" w:sz="4" w:space="0" w:color="auto"/>
            </w:tcBorders>
            <w:shd w:val="clear" w:color="auto" w:fill="D9D9D9" w:themeFill="background1" w:themeFillShade="D9"/>
          </w:tcPr>
          <w:p w:rsidR="008968AF" w:rsidRDefault="008968AF" w:rsidP="00266908">
            <w:pPr>
              <w:pStyle w:val="NormalWeb"/>
              <w:rPr>
                <w:rFonts w:ascii="Arial" w:hAnsi="Arial" w:cs="Arial"/>
                <w:i/>
                <w:sz w:val="20"/>
                <w:szCs w:val="20"/>
              </w:rPr>
            </w:pPr>
            <w:r>
              <w:rPr>
                <w:rFonts w:ascii="Arial" w:hAnsi="Arial"/>
                <w:i/>
                <w:sz w:val="20"/>
              </w:rPr>
              <w:t xml:space="preserve">*En noviembre de 2014 se aprobaron los viales de IPV de dosis múltiples producidos por Sanofi Pasteur y Bilthoven Biologicals que se pueden utilizar hasta 28 días después de la apertura. La aprobación se ha decidido sobre la base de los nuevos datos de eficacia de preservación que han revelado los estudios llevados a cabo por Bilthoven Biologicals y Sanofi Pasteur en relación con las vacunas IPV presentadas en viales de 5 y 10 dosis. Los datos indican que ambas presentaciones de </w:t>
            </w:r>
            <w:r>
              <w:rPr>
                <w:rFonts w:ascii="Arial" w:hAnsi="Arial"/>
                <w:i/>
                <w:sz w:val="20"/>
              </w:rPr>
              <w:lastRenderedPageBreak/>
              <w:t>múltiples dosis pueden utilizarse hasta 28 días después de la apertura del vial, siempre que el producto se manipule y almacene con propiedad. Para más información sobre la aplicación de la política de viales de dosis múltiples para VPI y las implicaciones programáticas, consúltese el sitio web de OMS</w:t>
            </w:r>
            <w:r>
              <w:rPr>
                <w:i/>
                <w:sz w:val="20"/>
                <w:vertAlign w:val="superscript"/>
              </w:rPr>
              <w:footnoteReference w:id="1"/>
            </w:r>
          </w:p>
          <w:p w:rsidR="008968AF" w:rsidRDefault="008968AF" w:rsidP="00ED2D55">
            <w:pPr>
              <w:ind w:right="120"/>
              <w:rPr>
                <w:rFonts w:ascii="Arial" w:hAnsi="Arial" w:cs="Arial"/>
                <w:i/>
                <w:sz w:val="20"/>
                <w:szCs w:val="20"/>
              </w:rPr>
            </w:pPr>
            <w:r>
              <w:rPr>
                <w:rFonts w:ascii="Arial" w:hAnsi="Arial"/>
                <w:b/>
                <w:i/>
                <w:sz w:val="20"/>
              </w:rPr>
              <w:t xml:space="preserve">Las tasas de desperdicio indicativas para VPI cuando se aplican las pautas de la OMS para los viales de dosis múltiples son las siguientes: </w:t>
            </w:r>
          </w:p>
          <w:p w:rsidR="008968AF" w:rsidRDefault="008968AF" w:rsidP="00ED2D55">
            <w:pPr>
              <w:ind w:right="120"/>
              <w:rPr>
                <w:rFonts w:ascii="Arial" w:hAnsi="Arial" w:cs="Arial"/>
                <w:i/>
                <w:sz w:val="20"/>
                <w:szCs w:val="20"/>
              </w:rPr>
            </w:pPr>
            <w:r>
              <w:rPr>
                <w:rFonts w:ascii="Arial" w:hAnsi="Arial"/>
                <w:i/>
                <w:sz w:val="20"/>
              </w:rPr>
              <w:t>20% (viales de 10 dosis), 15% (viales de 5 dosis) y 5% (viales de 1 dosis)</w:t>
            </w:r>
          </w:p>
          <w:p w:rsidR="008968AF" w:rsidRPr="00EA5396" w:rsidRDefault="008968AF" w:rsidP="00ED2D55">
            <w:pPr>
              <w:ind w:right="120"/>
              <w:rPr>
                <w:rFonts w:ascii="Arial" w:hAnsi="Arial" w:cs="Arial"/>
                <w:i/>
                <w:sz w:val="20"/>
                <w:szCs w:val="20"/>
              </w:rPr>
            </w:pPr>
          </w:p>
          <w:p w:rsidR="008968AF" w:rsidRPr="00266908" w:rsidRDefault="008968AF">
            <w:pPr>
              <w:ind w:right="120"/>
              <w:rPr>
                <w:rFonts w:ascii="Arial" w:hAnsi="Arial" w:cs="Arial"/>
                <w:b/>
                <w:i/>
                <w:sz w:val="20"/>
                <w:szCs w:val="20"/>
              </w:rPr>
            </w:pPr>
            <w:r>
              <w:rPr>
                <w:rFonts w:ascii="Arial" w:hAnsi="Arial"/>
                <w:b/>
                <w:i/>
                <w:sz w:val="20"/>
              </w:rPr>
              <w:t xml:space="preserve">Si para VPI no se aplican las pautas de la OMS para los viales de dosis múltiples, el país deberá indicar cuál es el porcentaje de desperdicio previsto, tomando en cuenta las tasas de desperdicio máximas siguientes: </w:t>
            </w:r>
          </w:p>
          <w:p w:rsidR="008968AF" w:rsidRDefault="008968AF" w:rsidP="00266908">
            <w:pPr>
              <w:rPr>
                <w:rFonts w:ascii="Arial" w:hAnsi="Arial" w:cs="Arial"/>
                <w:i/>
                <w:sz w:val="20"/>
                <w:szCs w:val="20"/>
              </w:rPr>
            </w:pPr>
            <w:r>
              <w:rPr>
                <w:rFonts w:ascii="Arial" w:hAnsi="Arial"/>
                <w:i/>
                <w:sz w:val="20"/>
              </w:rPr>
              <w:t>50% (viales de 10 dosis), 30% (viales de 5 dosis) y 5% (viales de 1 dosis)</w:t>
            </w:r>
          </w:p>
          <w:p w:rsidR="008968AF" w:rsidRPr="005B5B21" w:rsidRDefault="008968AF" w:rsidP="00266908">
            <w:pPr>
              <w:rPr>
                <w:rFonts w:ascii="Arial" w:hAnsi="Arial" w:cs="Arial"/>
                <w:i/>
                <w:sz w:val="16"/>
                <w:szCs w:val="16"/>
              </w:rPr>
            </w:pPr>
          </w:p>
        </w:tc>
      </w:tr>
      <w:tr w:rsidR="008968AF" w:rsidRPr="005B5B21" w:rsidTr="00266908">
        <w:trPr>
          <w:divId w:val="410156154"/>
        </w:trPr>
        <w:tc>
          <w:tcPr>
            <w:tcW w:w="4683" w:type="dxa"/>
            <w:gridSpan w:val="5"/>
            <w:tcBorders>
              <w:bottom w:val="single" w:sz="4" w:space="0" w:color="auto"/>
            </w:tcBorders>
            <w:shd w:val="clear" w:color="auto" w:fill="D9D9D9" w:themeFill="background1" w:themeFillShade="D9"/>
          </w:tcPr>
          <w:p w:rsidR="008968AF" w:rsidRPr="00266908" w:rsidRDefault="008968AF" w:rsidP="00ED2D55">
            <w:pPr>
              <w:ind w:right="120"/>
              <w:rPr>
                <w:rFonts w:ascii="Arial" w:hAnsi="Arial" w:cs="Arial"/>
                <w:b/>
                <w:sz w:val="22"/>
                <w:szCs w:val="22"/>
              </w:rPr>
            </w:pPr>
            <w:r>
              <w:rPr>
                <w:rFonts w:ascii="Arial" w:hAnsi="Arial"/>
                <w:b/>
                <w:sz w:val="22"/>
              </w:rPr>
              <w:lastRenderedPageBreak/>
              <w:t>¿El país prevé aplicar las pautas de la OMS para los viales de dosis múltiples para VPI?</w:t>
            </w:r>
          </w:p>
          <w:p w:rsidR="008968AF" w:rsidRPr="00ED2D55" w:rsidRDefault="008968AF" w:rsidP="00ED2D55">
            <w:pPr>
              <w:pStyle w:val="NormalWeb"/>
              <w:rPr>
                <w:rFonts w:ascii="Arial" w:hAnsi="Arial" w:cs="Arial"/>
                <w:i/>
                <w:sz w:val="20"/>
                <w:szCs w:val="20"/>
              </w:rPr>
            </w:pPr>
          </w:p>
        </w:tc>
        <w:tc>
          <w:tcPr>
            <w:tcW w:w="4683" w:type="dxa"/>
            <w:gridSpan w:val="3"/>
            <w:tcBorders>
              <w:bottom w:val="single" w:sz="4" w:space="0" w:color="auto"/>
            </w:tcBorders>
            <w:shd w:val="clear" w:color="auto" w:fill="B6DDE8" w:themeFill="accent5" w:themeFillTint="66"/>
          </w:tcPr>
          <w:p w:rsidR="008968AF" w:rsidRDefault="008968AF" w:rsidP="00ED2D55">
            <w:pPr>
              <w:pStyle w:val="ListParagraph"/>
              <w:numPr>
                <w:ilvl w:val="0"/>
                <w:numId w:val="35"/>
              </w:numPr>
              <w:spacing w:before="120" w:after="120"/>
              <w:ind w:left="512" w:right="120" w:hanging="283"/>
              <w:rPr>
                <w:rFonts w:ascii="Arial" w:hAnsi="Arial" w:cs="Arial"/>
              </w:rPr>
            </w:pPr>
            <w:r>
              <w:rPr>
                <w:rFonts w:ascii="Arial" w:hAnsi="Arial"/>
              </w:rPr>
              <w:t xml:space="preserve">Sí </w:t>
            </w:r>
            <w:r w:rsidRPr="00690765">
              <w:rPr>
                <w:rFonts w:ascii="Arial" w:hAnsi="Arial"/>
                <w:b/>
              </w:rPr>
              <w:t>X</w:t>
            </w:r>
          </w:p>
          <w:p w:rsidR="008968AF" w:rsidRDefault="008968AF" w:rsidP="00ED2D55">
            <w:pPr>
              <w:pStyle w:val="ListParagraph"/>
              <w:numPr>
                <w:ilvl w:val="0"/>
                <w:numId w:val="35"/>
              </w:numPr>
              <w:spacing w:before="120" w:after="120"/>
              <w:ind w:left="512" w:right="120" w:hanging="283"/>
              <w:rPr>
                <w:rFonts w:ascii="Arial" w:hAnsi="Arial" w:cs="Arial"/>
              </w:rPr>
            </w:pPr>
            <w:r>
              <w:rPr>
                <w:rFonts w:ascii="Arial" w:hAnsi="Arial"/>
              </w:rPr>
              <w:t>No</w:t>
            </w:r>
          </w:p>
          <w:p w:rsidR="008968AF" w:rsidRPr="00ED2D55" w:rsidRDefault="008968AF" w:rsidP="00765DB1">
            <w:pPr>
              <w:ind w:right="120"/>
              <w:rPr>
                <w:rFonts w:ascii="Arial" w:hAnsi="Arial" w:cs="Arial"/>
                <w:i/>
                <w:sz w:val="20"/>
                <w:szCs w:val="20"/>
              </w:rPr>
            </w:pPr>
            <w:r>
              <w:rPr>
                <w:rFonts w:ascii="Arial" w:hAnsi="Arial"/>
              </w:rPr>
              <w:t>Observación:</w:t>
            </w:r>
          </w:p>
        </w:tc>
      </w:tr>
      <w:tr w:rsidR="008968AF" w:rsidRPr="005B5B21" w:rsidTr="00266908">
        <w:trPr>
          <w:divId w:val="410156154"/>
          <w:trHeight w:val="224"/>
        </w:trPr>
        <w:tc>
          <w:tcPr>
            <w:tcW w:w="2301" w:type="dxa"/>
            <w:gridSpan w:val="2"/>
            <w:tcBorders>
              <w:right w:val="nil"/>
            </w:tcBorders>
            <w:shd w:val="clear" w:color="auto" w:fill="808080" w:themeFill="background1" w:themeFillShade="80"/>
          </w:tcPr>
          <w:p w:rsidR="008968AF" w:rsidRPr="005B5B21" w:rsidRDefault="008968AF" w:rsidP="003F3E8B">
            <w:pPr>
              <w:ind w:right="120"/>
              <w:rPr>
                <w:rFonts w:ascii="Arial" w:hAnsi="Arial" w:cs="Arial"/>
                <w:sz w:val="22"/>
                <w:szCs w:val="22"/>
              </w:rPr>
            </w:pPr>
          </w:p>
        </w:tc>
        <w:tc>
          <w:tcPr>
            <w:tcW w:w="1685" w:type="dxa"/>
            <w:gridSpan w:val="2"/>
            <w:tcBorders>
              <w:left w:val="nil"/>
              <w:right w:val="nil"/>
            </w:tcBorders>
            <w:shd w:val="clear" w:color="auto" w:fill="808080" w:themeFill="background1" w:themeFillShade="80"/>
          </w:tcPr>
          <w:p w:rsidR="008968AF" w:rsidRPr="005B5B21" w:rsidRDefault="008968AF" w:rsidP="003F3E8B">
            <w:pPr>
              <w:ind w:right="120"/>
              <w:rPr>
                <w:rFonts w:ascii="Arial" w:hAnsi="Arial" w:cs="Arial"/>
                <w:sz w:val="22"/>
                <w:szCs w:val="22"/>
              </w:rPr>
            </w:pPr>
          </w:p>
        </w:tc>
        <w:tc>
          <w:tcPr>
            <w:tcW w:w="2820" w:type="dxa"/>
            <w:gridSpan w:val="3"/>
            <w:tcBorders>
              <w:left w:val="nil"/>
              <w:right w:val="nil"/>
            </w:tcBorders>
            <w:shd w:val="clear" w:color="auto" w:fill="808080" w:themeFill="background1" w:themeFillShade="80"/>
          </w:tcPr>
          <w:p w:rsidR="008968AF" w:rsidRPr="005B5B21" w:rsidRDefault="008968AF" w:rsidP="003F3E8B">
            <w:pPr>
              <w:ind w:right="120"/>
              <w:rPr>
                <w:rFonts w:ascii="Arial" w:hAnsi="Arial" w:cs="Arial"/>
                <w:sz w:val="22"/>
                <w:szCs w:val="22"/>
              </w:rPr>
            </w:pPr>
          </w:p>
        </w:tc>
        <w:tc>
          <w:tcPr>
            <w:tcW w:w="2560" w:type="dxa"/>
            <w:tcBorders>
              <w:left w:val="nil"/>
            </w:tcBorders>
            <w:shd w:val="clear" w:color="auto" w:fill="808080" w:themeFill="background1" w:themeFillShade="80"/>
          </w:tcPr>
          <w:p w:rsidR="008968AF" w:rsidRPr="005B5B21" w:rsidRDefault="008968AF" w:rsidP="003F3E8B">
            <w:pPr>
              <w:ind w:right="120"/>
              <w:rPr>
                <w:rFonts w:ascii="Arial" w:hAnsi="Arial" w:cs="Arial"/>
                <w:sz w:val="22"/>
                <w:szCs w:val="22"/>
              </w:rPr>
            </w:pPr>
          </w:p>
        </w:tc>
      </w:tr>
      <w:tr w:rsidR="008968AF" w:rsidRPr="005B5B21" w:rsidTr="00266908">
        <w:trPr>
          <w:divId w:val="410156154"/>
        </w:trPr>
        <w:tc>
          <w:tcPr>
            <w:tcW w:w="1504" w:type="dxa"/>
            <w:shd w:val="clear" w:color="auto" w:fill="D9D9D9" w:themeFill="background1" w:themeFillShade="D9"/>
          </w:tcPr>
          <w:p w:rsidR="008968AF" w:rsidRPr="005B5B21" w:rsidRDefault="008968AF" w:rsidP="002A0862">
            <w:pPr>
              <w:ind w:right="120"/>
              <w:jc w:val="center"/>
              <w:rPr>
                <w:rFonts w:ascii="Arial" w:hAnsi="Arial" w:cs="Arial"/>
                <w:b/>
                <w:sz w:val="22"/>
                <w:szCs w:val="22"/>
              </w:rPr>
            </w:pPr>
            <w:r>
              <w:rPr>
                <w:rFonts w:ascii="Arial" w:hAnsi="Arial"/>
                <w:b/>
                <w:sz w:val="22"/>
              </w:rPr>
              <w:t>Año</w:t>
            </w:r>
          </w:p>
        </w:tc>
        <w:tc>
          <w:tcPr>
            <w:tcW w:w="2482" w:type="dxa"/>
            <w:gridSpan w:val="3"/>
            <w:shd w:val="clear" w:color="auto" w:fill="D9D9D9" w:themeFill="background1" w:themeFillShade="D9"/>
          </w:tcPr>
          <w:p w:rsidR="008968AF" w:rsidRPr="005B5B21" w:rsidRDefault="008968AF" w:rsidP="003F3E8B">
            <w:pPr>
              <w:ind w:right="120"/>
              <w:rPr>
                <w:rFonts w:ascii="Arial" w:hAnsi="Arial" w:cs="Arial"/>
                <w:b/>
                <w:sz w:val="22"/>
                <w:szCs w:val="22"/>
              </w:rPr>
            </w:pPr>
            <w:r>
              <w:rPr>
                <w:rFonts w:ascii="Arial" w:hAnsi="Arial"/>
                <w:b/>
                <w:sz w:val="22"/>
              </w:rPr>
              <w:t>Número de niños de la población meta para VPI</w:t>
            </w:r>
            <w:r>
              <w:rPr>
                <w:rStyle w:val="FootnoteReference"/>
                <w:rFonts w:ascii="Arial" w:hAnsi="Arial"/>
                <w:b/>
                <w:sz w:val="22"/>
              </w:rPr>
              <w:footnoteReference w:id="2"/>
            </w:r>
          </w:p>
          <w:p w:rsidR="008968AF" w:rsidRPr="005B5B21" w:rsidRDefault="008968AF" w:rsidP="003F3E8B">
            <w:pPr>
              <w:ind w:right="120"/>
              <w:rPr>
                <w:rFonts w:ascii="Arial" w:hAnsi="Arial" w:cs="Arial"/>
                <w:b/>
                <w:i/>
                <w:sz w:val="16"/>
                <w:szCs w:val="16"/>
              </w:rPr>
            </w:pPr>
            <w:r>
              <w:rPr>
                <w:rFonts w:ascii="Arial" w:hAnsi="Arial"/>
                <w:b/>
                <w:i/>
                <w:sz w:val="16"/>
              </w:rPr>
              <w:t>Calculadas según el número de lactantes vivos del año multiplicado por el porcentaje de cobertura meta para VPI, de ese año</w:t>
            </w:r>
          </w:p>
        </w:tc>
        <w:tc>
          <w:tcPr>
            <w:tcW w:w="2820" w:type="dxa"/>
            <w:gridSpan w:val="3"/>
            <w:shd w:val="clear" w:color="auto" w:fill="D9D9D9" w:themeFill="background1" w:themeFillShade="D9"/>
          </w:tcPr>
          <w:p w:rsidR="008968AF" w:rsidRPr="005B5B21" w:rsidRDefault="008968AF" w:rsidP="004C070D">
            <w:pPr>
              <w:ind w:right="120"/>
              <w:rPr>
                <w:rFonts w:ascii="Arial" w:hAnsi="Arial" w:cs="Arial"/>
                <w:b/>
                <w:sz w:val="22"/>
                <w:szCs w:val="22"/>
              </w:rPr>
            </w:pPr>
            <w:r>
              <w:rPr>
                <w:rFonts w:ascii="Arial" w:hAnsi="Arial"/>
                <w:b/>
                <w:sz w:val="22"/>
              </w:rPr>
              <w:t>Número de niños en la cohorte de nacimientos</w:t>
            </w:r>
          </w:p>
        </w:tc>
        <w:tc>
          <w:tcPr>
            <w:tcW w:w="2560" w:type="dxa"/>
            <w:shd w:val="clear" w:color="auto" w:fill="D9D9D9" w:themeFill="background1" w:themeFillShade="D9"/>
          </w:tcPr>
          <w:p w:rsidR="008968AF" w:rsidRPr="005B5B21" w:rsidRDefault="008968AF" w:rsidP="003F3E8B">
            <w:pPr>
              <w:ind w:right="120"/>
              <w:rPr>
                <w:rFonts w:ascii="Arial" w:hAnsi="Arial" w:cs="Arial"/>
                <w:b/>
                <w:sz w:val="22"/>
                <w:szCs w:val="22"/>
              </w:rPr>
            </w:pPr>
            <w:r>
              <w:rPr>
                <w:rFonts w:ascii="Arial" w:hAnsi="Arial"/>
                <w:b/>
                <w:sz w:val="22"/>
              </w:rPr>
              <w:t>Número de lactantes vivos</w:t>
            </w:r>
          </w:p>
        </w:tc>
      </w:tr>
      <w:tr w:rsidR="008968AF" w:rsidRPr="005B5B21" w:rsidTr="00266908">
        <w:trPr>
          <w:divId w:val="410156154"/>
        </w:trPr>
        <w:tc>
          <w:tcPr>
            <w:tcW w:w="1504" w:type="dxa"/>
            <w:shd w:val="clear" w:color="auto" w:fill="D9D9D9" w:themeFill="background1" w:themeFillShade="D9"/>
          </w:tcPr>
          <w:p w:rsidR="008968AF" w:rsidRPr="000A7F21" w:rsidRDefault="008968AF" w:rsidP="00F65F85">
            <w:pPr>
              <w:ind w:right="120"/>
              <w:jc w:val="center"/>
              <w:rPr>
                <w:rFonts w:ascii="Arial" w:hAnsi="Arial" w:cs="Arial"/>
                <w:b/>
                <w:sz w:val="22"/>
                <w:szCs w:val="22"/>
              </w:rPr>
            </w:pPr>
            <w:r w:rsidRPr="000A7F21">
              <w:rPr>
                <w:rFonts w:ascii="Arial" w:hAnsi="Arial"/>
                <w:b/>
                <w:sz w:val="22"/>
              </w:rPr>
              <w:t>2015</w:t>
            </w:r>
          </w:p>
        </w:tc>
        <w:tc>
          <w:tcPr>
            <w:tcW w:w="2482" w:type="dxa"/>
            <w:gridSpan w:val="3"/>
            <w:shd w:val="clear" w:color="auto" w:fill="BDDCFF"/>
          </w:tcPr>
          <w:p w:rsidR="008968AF" w:rsidRPr="005B5B21" w:rsidRDefault="008968AF" w:rsidP="003F3E8B">
            <w:pPr>
              <w:ind w:right="120"/>
              <w:rPr>
                <w:rFonts w:ascii="Arial" w:hAnsi="Arial" w:cs="Arial"/>
                <w:sz w:val="22"/>
                <w:szCs w:val="22"/>
              </w:rPr>
            </w:pPr>
            <w:r>
              <w:rPr>
                <w:rFonts w:ascii="Arial" w:hAnsi="Arial" w:cs="Arial"/>
                <w:sz w:val="22"/>
                <w:szCs w:val="22"/>
              </w:rPr>
              <w:t>55564</w:t>
            </w:r>
          </w:p>
        </w:tc>
        <w:tc>
          <w:tcPr>
            <w:tcW w:w="2820" w:type="dxa"/>
            <w:gridSpan w:val="3"/>
            <w:shd w:val="clear" w:color="auto" w:fill="BDDCFF"/>
          </w:tcPr>
          <w:p w:rsidR="008968AF" w:rsidRPr="005B5B21" w:rsidRDefault="008968AF" w:rsidP="003F3E8B">
            <w:pPr>
              <w:ind w:right="120"/>
              <w:rPr>
                <w:rFonts w:ascii="Arial" w:hAnsi="Arial" w:cs="Arial"/>
                <w:sz w:val="22"/>
                <w:szCs w:val="22"/>
              </w:rPr>
            </w:pPr>
            <w:r>
              <w:rPr>
                <w:rFonts w:ascii="Arial" w:hAnsi="Arial" w:cs="Arial"/>
                <w:sz w:val="22"/>
                <w:szCs w:val="22"/>
              </w:rPr>
              <w:t>222256</w:t>
            </w:r>
          </w:p>
        </w:tc>
        <w:tc>
          <w:tcPr>
            <w:tcW w:w="2560" w:type="dxa"/>
            <w:shd w:val="clear" w:color="auto" w:fill="BDDCFF"/>
          </w:tcPr>
          <w:p w:rsidR="008968AF" w:rsidRPr="005B5B21" w:rsidRDefault="008968AF" w:rsidP="003F3E8B">
            <w:pPr>
              <w:ind w:right="120"/>
              <w:rPr>
                <w:rFonts w:ascii="Arial" w:hAnsi="Arial" w:cs="Arial"/>
                <w:sz w:val="22"/>
                <w:szCs w:val="22"/>
              </w:rPr>
            </w:pPr>
            <w:r>
              <w:rPr>
                <w:rFonts w:ascii="Arial" w:hAnsi="Arial"/>
                <w:sz w:val="22"/>
              </w:rPr>
              <w:t>216,922*</w:t>
            </w:r>
          </w:p>
        </w:tc>
      </w:tr>
      <w:tr w:rsidR="008968AF" w:rsidRPr="005B5B21" w:rsidTr="00266908">
        <w:trPr>
          <w:divId w:val="410156154"/>
        </w:trPr>
        <w:tc>
          <w:tcPr>
            <w:tcW w:w="1504" w:type="dxa"/>
            <w:shd w:val="clear" w:color="auto" w:fill="D9D9D9" w:themeFill="background1" w:themeFillShade="D9"/>
          </w:tcPr>
          <w:p w:rsidR="008968AF" w:rsidRPr="000A7F21" w:rsidRDefault="008968AF" w:rsidP="002A0862">
            <w:pPr>
              <w:ind w:right="120"/>
              <w:jc w:val="center"/>
              <w:rPr>
                <w:rFonts w:ascii="Arial" w:hAnsi="Arial" w:cs="Arial"/>
                <w:b/>
                <w:sz w:val="22"/>
                <w:szCs w:val="22"/>
              </w:rPr>
            </w:pPr>
            <w:r w:rsidRPr="000A7F21">
              <w:rPr>
                <w:rFonts w:ascii="Arial" w:hAnsi="Arial"/>
                <w:b/>
                <w:sz w:val="22"/>
              </w:rPr>
              <w:t>2016</w:t>
            </w:r>
          </w:p>
        </w:tc>
        <w:tc>
          <w:tcPr>
            <w:tcW w:w="2482" w:type="dxa"/>
            <w:gridSpan w:val="3"/>
            <w:shd w:val="clear" w:color="auto" w:fill="BDDCFF"/>
          </w:tcPr>
          <w:p w:rsidR="008968AF" w:rsidRPr="005B5B21" w:rsidRDefault="008968AF" w:rsidP="003F3E8B">
            <w:pPr>
              <w:ind w:right="120"/>
              <w:rPr>
                <w:rFonts w:ascii="Arial" w:hAnsi="Arial" w:cs="Arial"/>
                <w:sz w:val="22"/>
                <w:szCs w:val="22"/>
              </w:rPr>
            </w:pPr>
          </w:p>
        </w:tc>
        <w:tc>
          <w:tcPr>
            <w:tcW w:w="2820" w:type="dxa"/>
            <w:gridSpan w:val="3"/>
            <w:shd w:val="clear" w:color="auto" w:fill="BDDCFF"/>
          </w:tcPr>
          <w:p w:rsidR="008968AF" w:rsidRPr="005B5B21" w:rsidRDefault="008968AF" w:rsidP="003F3E8B">
            <w:pPr>
              <w:ind w:right="120"/>
              <w:rPr>
                <w:rFonts w:ascii="Arial" w:hAnsi="Arial" w:cs="Arial"/>
                <w:sz w:val="22"/>
                <w:szCs w:val="22"/>
              </w:rPr>
            </w:pPr>
          </w:p>
        </w:tc>
        <w:tc>
          <w:tcPr>
            <w:tcW w:w="2560" w:type="dxa"/>
            <w:shd w:val="clear" w:color="auto" w:fill="BDDCFF"/>
          </w:tcPr>
          <w:p w:rsidR="008968AF" w:rsidRPr="005B5B21" w:rsidRDefault="008968AF" w:rsidP="003F3E8B">
            <w:pPr>
              <w:ind w:right="120"/>
              <w:rPr>
                <w:rFonts w:ascii="Arial" w:hAnsi="Arial" w:cs="Arial"/>
                <w:sz w:val="22"/>
                <w:szCs w:val="22"/>
              </w:rPr>
            </w:pPr>
          </w:p>
        </w:tc>
      </w:tr>
      <w:tr w:rsidR="008968AF" w:rsidRPr="005B5B21" w:rsidTr="00266908">
        <w:trPr>
          <w:divId w:val="410156154"/>
        </w:trPr>
        <w:tc>
          <w:tcPr>
            <w:tcW w:w="1504" w:type="dxa"/>
            <w:shd w:val="clear" w:color="auto" w:fill="D9D9D9" w:themeFill="background1" w:themeFillShade="D9"/>
          </w:tcPr>
          <w:p w:rsidR="008968AF" w:rsidRPr="000A7F21" w:rsidRDefault="008968AF" w:rsidP="002A0862">
            <w:pPr>
              <w:ind w:right="120"/>
              <w:jc w:val="center"/>
              <w:rPr>
                <w:rFonts w:ascii="Arial" w:hAnsi="Arial" w:cs="Arial"/>
                <w:b/>
                <w:sz w:val="22"/>
                <w:szCs w:val="22"/>
              </w:rPr>
            </w:pPr>
            <w:r w:rsidRPr="000A7F21">
              <w:rPr>
                <w:rFonts w:ascii="Arial" w:hAnsi="Arial"/>
                <w:b/>
                <w:sz w:val="22"/>
              </w:rPr>
              <w:t>2017</w:t>
            </w:r>
          </w:p>
        </w:tc>
        <w:tc>
          <w:tcPr>
            <w:tcW w:w="2482" w:type="dxa"/>
            <w:gridSpan w:val="3"/>
            <w:shd w:val="clear" w:color="auto" w:fill="BDDCFF"/>
          </w:tcPr>
          <w:p w:rsidR="008968AF" w:rsidRPr="005B5B21" w:rsidRDefault="008968AF" w:rsidP="003F3E8B">
            <w:pPr>
              <w:ind w:right="120"/>
              <w:rPr>
                <w:rFonts w:ascii="Arial" w:hAnsi="Arial" w:cs="Arial"/>
                <w:sz w:val="22"/>
                <w:szCs w:val="22"/>
              </w:rPr>
            </w:pPr>
          </w:p>
        </w:tc>
        <w:tc>
          <w:tcPr>
            <w:tcW w:w="2820" w:type="dxa"/>
            <w:gridSpan w:val="3"/>
            <w:shd w:val="clear" w:color="auto" w:fill="BDDCFF"/>
          </w:tcPr>
          <w:p w:rsidR="008968AF" w:rsidRPr="005B5B21" w:rsidRDefault="008968AF" w:rsidP="003F3E8B">
            <w:pPr>
              <w:ind w:right="120"/>
              <w:rPr>
                <w:rFonts w:ascii="Arial" w:hAnsi="Arial" w:cs="Arial"/>
                <w:sz w:val="22"/>
                <w:szCs w:val="22"/>
              </w:rPr>
            </w:pPr>
          </w:p>
        </w:tc>
        <w:tc>
          <w:tcPr>
            <w:tcW w:w="2560" w:type="dxa"/>
            <w:shd w:val="clear" w:color="auto" w:fill="BDDCFF"/>
          </w:tcPr>
          <w:p w:rsidR="008968AF" w:rsidRPr="005B5B21" w:rsidRDefault="008968AF" w:rsidP="003F3E8B">
            <w:pPr>
              <w:ind w:right="120"/>
              <w:rPr>
                <w:rFonts w:ascii="Arial" w:hAnsi="Arial" w:cs="Arial"/>
                <w:sz w:val="22"/>
                <w:szCs w:val="22"/>
              </w:rPr>
            </w:pPr>
          </w:p>
        </w:tc>
      </w:tr>
      <w:tr w:rsidR="008968AF" w:rsidRPr="005B5B21" w:rsidTr="00266908">
        <w:trPr>
          <w:divId w:val="410156154"/>
        </w:trPr>
        <w:tc>
          <w:tcPr>
            <w:tcW w:w="1504" w:type="dxa"/>
            <w:shd w:val="clear" w:color="auto" w:fill="D9D9D9" w:themeFill="background1" w:themeFillShade="D9"/>
          </w:tcPr>
          <w:p w:rsidR="008968AF" w:rsidRPr="000A7F21" w:rsidRDefault="008968AF" w:rsidP="002A0862">
            <w:pPr>
              <w:ind w:right="120"/>
              <w:jc w:val="center"/>
              <w:rPr>
                <w:rFonts w:ascii="Arial" w:hAnsi="Arial" w:cs="Arial"/>
                <w:b/>
                <w:sz w:val="22"/>
                <w:szCs w:val="22"/>
              </w:rPr>
            </w:pPr>
            <w:r w:rsidRPr="000A7F21">
              <w:rPr>
                <w:rFonts w:ascii="Arial" w:hAnsi="Arial"/>
                <w:b/>
                <w:sz w:val="22"/>
              </w:rPr>
              <w:t>2018</w:t>
            </w:r>
          </w:p>
        </w:tc>
        <w:tc>
          <w:tcPr>
            <w:tcW w:w="2482" w:type="dxa"/>
            <w:gridSpan w:val="3"/>
            <w:shd w:val="clear" w:color="auto" w:fill="BDDCFF"/>
          </w:tcPr>
          <w:p w:rsidR="008968AF" w:rsidRPr="005B5B21" w:rsidRDefault="008968AF" w:rsidP="003F3E8B">
            <w:pPr>
              <w:ind w:right="120"/>
              <w:rPr>
                <w:rFonts w:ascii="Arial" w:hAnsi="Arial" w:cs="Arial"/>
                <w:sz w:val="22"/>
                <w:szCs w:val="22"/>
              </w:rPr>
            </w:pPr>
          </w:p>
        </w:tc>
        <w:tc>
          <w:tcPr>
            <w:tcW w:w="2820" w:type="dxa"/>
            <w:gridSpan w:val="3"/>
            <w:shd w:val="clear" w:color="auto" w:fill="BDDCFF"/>
          </w:tcPr>
          <w:p w:rsidR="008968AF" w:rsidRPr="005B5B21" w:rsidRDefault="008968AF" w:rsidP="003F3E8B">
            <w:pPr>
              <w:ind w:right="120"/>
              <w:rPr>
                <w:rFonts w:ascii="Arial" w:hAnsi="Arial" w:cs="Arial"/>
                <w:sz w:val="22"/>
                <w:szCs w:val="22"/>
              </w:rPr>
            </w:pPr>
          </w:p>
        </w:tc>
        <w:tc>
          <w:tcPr>
            <w:tcW w:w="2560" w:type="dxa"/>
            <w:shd w:val="clear" w:color="auto" w:fill="BDDCFF"/>
          </w:tcPr>
          <w:p w:rsidR="008968AF" w:rsidRPr="005B5B21" w:rsidRDefault="008968AF" w:rsidP="003F3E8B">
            <w:pPr>
              <w:ind w:right="120"/>
              <w:rPr>
                <w:rFonts w:ascii="Arial" w:hAnsi="Arial" w:cs="Arial"/>
                <w:sz w:val="22"/>
                <w:szCs w:val="22"/>
              </w:rPr>
            </w:pPr>
          </w:p>
        </w:tc>
      </w:tr>
      <w:tr w:rsidR="008968AF" w:rsidRPr="005B5B21" w:rsidTr="00266908">
        <w:trPr>
          <w:divId w:val="410156154"/>
        </w:trPr>
        <w:tc>
          <w:tcPr>
            <w:tcW w:w="1504" w:type="dxa"/>
            <w:shd w:val="clear" w:color="auto" w:fill="D9D9D9" w:themeFill="background1" w:themeFillShade="D9"/>
          </w:tcPr>
          <w:p w:rsidR="008968AF" w:rsidRPr="005B5B21" w:rsidRDefault="008968AF" w:rsidP="002A0862">
            <w:pPr>
              <w:ind w:right="120"/>
              <w:jc w:val="center"/>
              <w:rPr>
                <w:rFonts w:ascii="Arial" w:hAnsi="Arial" w:cs="Arial"/>
                <w:b/>
                <w:sz w:val="22"/>
                <w:szCs w:val="22"/>
              </w:rPr>
            </w:pPr>
            <w:r>
              <w:rPr>
                <w:rFonts w:ascii="Arial" w:hAnsi="Arial"/>
                <w:b/>
                <w:sz w:val="22"/>
              </w:rPr>
              <w:t>Total</w:t>
            </w:r>
          </w:p>
        </w:tc>
        <w:tc>
          <w:tcPr>
            <w:tcW w:w="2482" w:type="dxa"/>
            <w:gridSpan w:val="3"/>
            <w:shd w:val="clear" w:color="auto" w:fill="BDDCFF"/>
          </w:tcPr>
          <w:p w:rsidR="008968AF" w:rsidRPr="005B5B21" w:rsidRDefault="008968AF" w:rsidP="003F3E8B">
            <w:pPr>
              <w:ind w:right="120"/>
              <w:rPr>
                <w:rFonts w:ascii="Arial" w:hAnsi="Arial" w:cs="Arial"/>
                <w:sz w:val="22"/>
                <w:szCs w:val="22"/>
              </w:rPr>
            </w:pPr>
          </w:p>
        </w:tc>
        <w:tc>
          <w:tcPr>
            <w:tcW w:w="2820" w:type="dxa"/>
            <w:gridSpan w:val="3"/>
            <w:shd w:val="clear" w:color="auto" w:fill="BDDCFF"/>
          </w:tcPr>
          <w:p w:rsidR="008968AF" w:rsidRPr="005B5B21" w:rsidRDefault="008968AF" w:rsidP="003F3E8B">
            <w:pPr>
              <w:ind w:right="120"/>
              <w:rPr>
                <w:rFonts w:ascii="Arial" w:hAnsi="Arial" w:cs="Arial"/>
                <w:sz w:val="22"/>
                <w:szCs w:val="22"/>
              </w:rPr>
            </w:pPr>
          </w:p>
        </w:tc>
        <w:tc>
          <w:tcPr>
            <w:tcW w:w="2560" w:type="dxa"/>
            <w:shd w:val="clear" w:color="auto" w:fill="BDDCFF"/>
          </w:tcPr>
          <w:p w:rsidR="008968AF" w:rsidRPr="005B5B21" w:rsidRDefault="008968AF" w:rsidP="003F3E8B">
            <w:pPr>
              <w:ind w:right="120"/>
              <w:rPr>
                <w:rFonts w:ascii="Arial" w:hAnsi="Arial" w:cs="Arial"/>
                <w:sz w:val="22"/>
                <w:szCs w:val="22"/>
              </w:rPr>
            </w:pPr>
          </w:p>
        </w:tc>
      </w:tr>
    </w:tbl>
    <w:p w:rsidR="00FF2CA1" w:rsidRDefault="00C37187" w:rsidP="00FF2CA1">
      <w:pPr>
        <w:divId w:val="410156154"/>
      </w:pPr>
      <w:r>
        <w:t>* Co</w:t>
      </w:r>
      <w:r w:rsidR="000736D2">
        <w:t>n</w:t>
      </w:r>
      <w:r>
        <w:t xml:space="preserve"> relación al informe de progreso </w:t>
      </w:r>
      <w:r w:rsidR="000736D2">
        <w:t xml:space="preserve">2013, </w:t>
      </w:r>
      <w:r>
        <w:t xml:space="preserve">tabla 4, Base y Metas anuales se modificó ya que la tasa de mortalidad infantil </w:t>
      </w:r>
      <w:r w:rsidR="000736D2">
        <w:t xml:space="preserve">según </w:t>
      </w:r>
      <w:r>
        <w:t>ENDESA 2011-2012 es de 24 x 1000 NV</w:t>
      </w:r>
      <w:r w:rsidR="00883B1B">
        <w:t>.</w:t>
      </w:r>
    </w:p>
    <w:p w:rsidR="00342529" w:rsidRDefault="00342529" w:rsidP="00FF2CA1">
      <w:pPr>
        <w:divId w:val="410156154"/>
      </w:pPr>
      <w:r>
        <w:t>Nota: No se dispone actualmente de proyecciones de población después de 2015, ya que se está a la espera que el INE publique proyecciones del censo 2013.</w:t>
      </w:r>
    </w:p>
    <w:p w:rsidR="00E10165" w:rsidRPr="005B5B21" w:rsidRDefault="00BC18C2" w:rsidP="005B5B21">
      <w:pPr>
        <w:pStyle w:val="Heading2"/>
        <w:divId w:val="410156154"/>
      </w:pPr>
      <w:r>
        <w:t>Plan de introducción de la VPI</w:t>
      </w:r>
    </w:p>
    <w:p w:rsidR="00E10165" w:rsidRPr="005B5B21" w:rsidRDefault="00E10165" w:rsidP="00996174">
      <w:pPr>
        <w:divId w:val="410156154"/>
        <w:rPr>
          <w:rFonts w:ascii="Arial" w:hAnsi="Arial" w:cs="Arial"/>
          <w:sz w:val="22"/>
          <w:szCs w:val="22"/>
        </w:rPr>
      </w:pPr>
    </w:p>
    <w:p w:rsidR="00BC18C2" w:rsidRPr="005B5B21" w:rsidRDefault="00DA2E3B" w:rsidP="00AE46D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jc w:val="center"/>
        <w:divId w:val="410156154"/>
        <w:rPr>
          <w:rFonts w:ascii="Arial" w:hAnsi="Arial" w:cs="Arial"/>
          <w:b/>
        </w:rPr>
      </w:pPr>
      <w:r>
        <w:rPr>
          <w:rFonts w:ascii="Arial" w:hAnsi="Arial"/>
          <w:b/>
        </w:rPr>
        <w:t>Utilizando la orientación facilitada en el Anexo A, incluya su Plan de Introducción de VPI detallado como Apéndice 1 al presente formulario de solicitud.</w:t>
      </w:r>
    </w:p>
    <w:p w:rsidR="00C37187" w:rsidRDefault="00C37187" w:rsidP="008A72AA">
      <w:pPr>
        <w:divId w:val="410156154"/>
        <w:rPr>
          <w:rFonts w:ascii="Arial" w:hAnsi="Arial" w:cs="Arial"/>
          <w:sz w:val="22"/>
          <w:szCs w:val="22"/>
        </w:rPr>
      </w:pPr>
    </w:p>
    <w:p w:rsidR="008A72AA" w:rsidRPr="00690765" w:rsidRDefault="00C37187" w:rsidP="00602D10">
      <w:pPr>
        <w:divId w:val="410156154"/>
        <w:rPr>
          <w:rFonts w:ascii="Arial" w:hAnsi="Arial" w:cs="Arial"/>
          <w:b/>
          <w:sz w:val="22"/>
          <w:szCs w:val="22"/>
        </w:rPr>
      </w:pPr>
      <w:r w:rsidRPr="00690765">
        <w:rPr>
          <w:rFonts w:ascii="Arial" w:hAnsi="Arial" w:cs="Arial"/>
          <w:b/>
          <w:sz w:val="22"/>
          <w:szCs w:val="22"/>
        </w:rPr>
        <w:t xml:space="preserve">Se </w:t>
      </w:r>
      <w:r>
        <w:rPr>
          <w:rFonts w:ascii="Arial" w:hAnsi="Arial" w:cs="Arial"/>
          <w:b/>
          <w:sz w:val="22"/>
          <w:szCs w:val="22"/>
        </w:rPr>
        <w:t>adjunta</w:t>
      </w:r>
      <w:r w:rsidR="00714BA8">
        <w:rPr>
          <w:rFonts w:ascii="Arial" w:hAnsi="Arial" w:cs="Arial"/>
          <w:b/>
          <w:sz w:val="22"/>
          <w:szCs w:val="22"/>
        </w:rPr>
        <w:t xml:space="preserve"> apéndice 1</w:t>
      </w:r>
      <w:r w:rsidRPr="00690765">
        <w:rPr>
          <w:rFonts w:ascii="Arial" w:hAnsi="Arial" w:cs="Arial"/>
          <w:b/>
          <w:sz w:val="22"/>
          <w:szCs w:val="22"/>
        </w:rPr>
        <w:t xml:space="preserve">, Plan de Introducción de vacuna </w:t>
      </w:r>
      <w:r w:rsidR="00602D10">
        <w:rPr>
          <w:rFonts w:ascii="Arial" w:hAnsi="Arial" w:cs="Arial"/>
          <w:b/>
          <w:sz w:val="22"/>
          <w:szCs w:val="22"/>
        </w:rPr>
        <w:t xml:space="preserve">con poliovirus </w:t>
      </w:r>
      <w:r w:rsidRPr="00690765">
        <w:rPr>
          <w:rFonts w:ascii="Arial" w:hAnsi="Arial" w:cs="Arial"/>
          <w:b/>
          <w:sz w:val="22"/>
          <w:szCs w:val="22"/>
        </w:rPr>
        <w:t xml:space="preserve"> inactivad</w:t>
      </w:r>
      <w:r w:rsidR="00602D10">
        <w:rPr>
          <w:rFonts w:ascii="Arial" w:hAnsi="Arial" w:cs="Arial"/>
          <w:b/>
          <w:sz w:val="22"/>
          <w:szCs w:val="22"/>
        </w:rPr>
        <w:t>o</w:t>
      </w:r>
      <w:r w:rsidRPr="00690765">
        <w:rPr>
          <w:rFonts w:ascii="Arial" w:hAnsi="Arial" w:cs="Arial"/>
          <w:b/>
          <w:sz w:val="22"/>
          <w:szCs w:val="22"/>
        </w:rPr>
        <w:t xml:space="preserve"> (VPI), Honduras 2015. </w:t>
      </w:r>
    </w:p>
    <w:p w:rsidR="002C3B3E" w:rsidRPr="005B5B21" w:rsidRDefault="002C3B3E" w:rsidP="005B5B21">
      <w:pPr>
        <w:pStyle w:val="Heading2"/>
        <w:divId w:val="410156154"/>
      </w:pPr>
      <w:r>
        <w:t>Calendario</w:t>
      </w:r>
    </w:p>
    <w:p w:rsidR="002C3B3E" w:rsidRPr="005B5B21" w:rsidRDefault="002C3B3E" w:rsidP="00996174">
      <w:pPr>
        <w:divId w:val="410156154"/>
        <w:rPr>
          <w:rFonts w:ascii="Arial" w:hAnsi="Arial" w:cs="Arial"/>
          <w:sz w:val="22"/>
          <w:szCs w:val="22"/>
        </w:rPr>
      </w:pPr>
    </w:p>
    <w:p w:rsidR="002C3B3E" w:rsidRPr="005B5B21" w:rsidRDefault="00534D9D">
      <w:pPr>
        <w:divId w:val="410156154"/>
        <w:rPr>
          <w:rFonts w:ascii="Arial" w:hAnsi="Arial" w:cs="Arial"/>
          <w:sz w:val="22"/>
          <w:szCs w:val="22"/>
        </w:rPr>
      </w:pPr>
      <w:r>
        <w:rPr>
          <w:rFonts w:ascii="Arial" w:hAnsi="Arial"/>
          <w:sz w:val="22"/>
        </w:rPr>
        <w:t>Usando la plantilla Excel incluida en el Anexo C, indique el calendario detallado para todas las actividades relacionadas con el Plan de Introducción de VPI. El Anexo C c</w:t>
      </w:r>
      <w:r w:rsidR="00E50702">
        <w:rPr>
          <w:rFonts w:ascii="Arial" w:hAnsi="Arial"/>
          <w:sz w:val="22"/>
        </w:rPr>
        <w:t>o</w:t>
      </w:r>
      <w:r>
        <w:rPr>
          <w:rFonts w:ascii="Arial" w:hAnsi="Arial"/>
          <w:sz w:val="22"/>
        </w:rPr>
        <w:t>mpl</w:t>
      </w:r>
      <w:r w:rsidR="00E50702">
        <w:rPr>
          <w:rFonts w:ascii="Arial" w:hAnsi="Arial"/>
          <w:sz w:val="22"/>
        </w:rPr>
        <w:t>e</w:t>
      </w:r>
      <w:r>
        <w:rPr>
          <w:rFonts w:ascii="Arial" w:hAnsi="Arial"/>
          <w:sz w:val="22"/>
        </w:rPr>
        <w:t>mentado debe ser incorporado a esta solicitud como Apéndice 2.</w:t>
      </w:r>
    </w:p>
    <w:p w:rsidR="00D94813" w:rsidRDefault="00D94813" w:rsidP="00996174">
      <w:pPr>
        <w:divId w:val="410156154"/>
        <w:rPr>
          <w:rFonts w:ascii="Arial" w:hAnsi="Arial" w:cs="Arial"/>
          <w:sz w:val="22"/>
          <w:szCs w:val="22"/>
        </w:rPr>
      </w:pPr>
    </w:p>
    <w:p w:rsidR="00C37187" w:rsidRPr="00C27434" w:rsidRDefault="00C37187">
      <w:pPr>
        <w:divId w:val="410156154"/>
        <w:rPr>
          <w:rFonts w:ascii="Arial" w:hAnsi="Arial" w:cs="Arial"/>
          <w:b/>
          <w:sz w:val="22"/>
          <w:szCs w:val="22"/>
        </w:rPr>
      </w:pPr>
      <w:r>
        <w:rPr>
          <w:rFonts w:ascii="Arial" w:hAnsi="Arial" w:cs="Arial"/>
          <w:b/>
          <w:sz w:val="22"/>
          <w:szCs w:val="22"/>
        </w:rPr>
        <w:t xml:space="preserve">Se adjunta </w:t>
      </w:r>
      <w:r w:rsidR="00714BA8">
        <w:rPr>
          <w:rFonts w:ascii="Arial" w:hAnsi="Arial" w:cs="Arial"/>
          <w:b/>
          <w:sz w:val="22"/>
          <w:szCs w:val="22"/>
        </w:rPr>
        <w:t>apéndice 2</w:t>
      </w:r>
      <w:r w:rsidRPr="00C27434">
        <w:rPr>
          <w:rFonts w:ascii="Arial" w:hAnsi="Arial" w:cs="Arial"/>
          <w:b/>
          <w:sz w:val="22"/>
          <w:szCs w:val="22"/>
        </w:rPr>
        <w:t>,</w:t>
      </w:r>
      <w:r>
        <w:rPr>
          <w:rFonts w:ascii="Arial" w:hAnsi="Arial" w:cs="Arial"/>
          <w:b/>
          <w:sz w:val="22"/>
          <w:szCs w:val="22"/>
        </w:rPr>
        <w:t xml:space="preserve"> Calendario del </w:t>
      </w:r>
      <w:r w:rsidRPr="00C27434">
        <w:rPr>
          <w:rFonts w:ascii="Arial" w:hAnsi="Arial" w:cs="Arial"/>
          <w:b/>
          <w:sz w:val="22"/>
          <w:szCs w:val="22"/>
        </w:rPr>
        <w:t xml:space="preserve">Plan de Introducción de vacuna </w:t>
      </w:r>
      <w:r w:rsidR="00316A7F">
        <w:rPr>
          <w:rFonts w:ascii="Arial" w:hAnsi="Arial" w:cs="Arial"/>
          <w:b/>
          <w:sz w:val="22"/>
          <w:szCs w:val="22"/>
        </w:rPr>
        <w:t xml:space="preserve">con poliovirus inactivado </w:t>
      </w:r>
      <w:r w:rsidRPr="00C27434">
        <w:rPr>
          <w:rFonts w:ascii="Arial" w:hAnsi="Arial" w:cs="Arial"/>
          <w:b/>
          <w:sz w:val="22"/>
          <w:szCs w:val="22"/>
        </w:rPr>
        <w:t xml:space="preserve"> (VPI), Honduras 2015. </w:t>
      </w:r>
    </w:p>
    <w:p w:rsidR="00C37187" w:rsidRPr="005B5B21" w:rsidRDefault="00C37187" w:rsidP="00996174">
      <w:pPr>
        <w:divId w:val="410156154"/>
        <w:rPr>
          <w:rFonts w:ascii="Arial" w:hAnsi="Arial" w:cs="Arial"/>
          <w:sz w:val="22"/>
          <w:szCs w:val="22"/>
        </w:rPr>
      </w:pPr>
    </w:p>
    <w:p w:rsidR="00DA2E3B" w:rsidRPr="005B5B21" w:rsidRDefault="00DA2E3B" w:rsidP="005B5B21">
      <w:pPr>
        <w:pStyle w:val="Heading2"/>
        <w:divId w:val="410156154"/>
      </w:pPr>
      <w:r>
        <w:t>Presupuesto y financiación</w:t>
      </w:r>
    </w:p>
    <w:p w:rsidR="00DA2E3B" w:rsidRPr="005B5B21" w:rsidRDefault="00DA2E3B" w:rsidP="00DE54BC">
      <w:pPr>
        <w:jc w:val="both"/>
        <w:divId w:val="410156154"/>
        <w:rPr>
          <w:rFonts w:ascii="Arial" w:hAnsi="Arial" w:cs="Arial"/>
          <w:sz w:val="22"/>
          <w:szCs w:val="22"/>
        </w:rPr>
      </w:pPr>
    </w:p>
    <w:p w:rsidR="00DA2E3B" w:rsidRPr="005B5B21" w:rsidRDefault="00F57FE7">
      <w:pPr>
        <w:jc w:val="both"/>
        <w:divId w:val="410156154"/>
        <w:rPr>
          <w:rFonts w:ascii="Arial" w:hAnsi="Arial" w:cs="Arial"/>
          <w:sz w:val="22"/>
          <w:szCs w:val="22"/>
        </w:rPr>
      </w:pPr>
      <w:r>
        <w:rPr>
          <w:rFonts w:ascii="Arial" w:hAnsi="Arial"/>
          <w:sz w:val="22"/>
        </w:rPr>
        <w:t>Usando la plantilla Excel incluida en el Anexo D, rellene la plantilla de presupuesto indicando los gastos y las fuentes de financiación previstos. El Anexo D c</w:t>
      </w:r>
      <w:r w:rsidR="00E50702">
        <w:rPr>
          <w:rFonts w:ascii="Arial" w:hAnsi="Arial"/>
          <w:sz w:val="22"/>
        </w:rPr>
        <w:t>o</w:t>
      </w:r>
      <w:r>
        <w:rPr>
          <w:rFonts w:ascii="Arial" w:hAnsi="Arial"/>
          <w:sz w:val="22"/>
        </w:rPr>
        <w:t>mpl</w:t>
      </w:r>
      <w:r w:rsidR="00E50702">
        <w:rPr>
          <w:rFonts w:ascii="Arial" w:hAnsi="Arial"/>
          <w:sz w:val="22"/>
        </w:rPr>
        <w:t>e</w:t>
      </w:r>
      <w:r>
        <w:rPr>
          <w:rFonts w:ascii="Arial" w:hAnsi="Arial"/>
          <w:sz w:val="22"/>
        </w:rPr>
        <w:t>mentado deber ser incorporado a esta solicitud como Apéndice 3.</w:t>
      </w:r>
    </w:p>
    <w:p w:rsidR="00C37187" w:rsidRPr="00C27434" w:rsidRDefault="00C37187" w:rsidP="00C37187">
      <w:pPr>
        <w:rPr>
          <w:rFonts w:ascii="Arial" w:hAnsi="Arial" w:cs="Arial"/>
          <w:b/>
          <w:sz w:val="22"/>
          <w:szCs w:val="22"/>
        </w:rPr>
      </w:pPr>
      <w:r>
        <w:rPr>
          <w:rFonts w:ascii="Arial" w:hAnsi="Arial" w:cs="Arial"/>
          <w:b/>
          <w:sz w:val="22"/>
          <w:szCs w:val="22"/>
        </w:rPr>
        <w:t xml:space="preserve">Se adjunta </w:t>
      </w:r>
      <w:r w:rsidR="00714BA8">
        <w:rPr>
          <w:rFonts w:ascii="Arial" w:hAnsi="Arial" w:cs="Arial"/>
          <w:b/>
          <w:sz w:val="22"/>
          <w:szCs w:val="22"/>
        </w:rPr>
        <w:t>apéndice 3</w:t>
      </w:r>
      <w:r w:rsidRPr="00C27434">
        <w:rPr>
          <w:rFonts w:ascii="Arial" w:hAnsi="Arial" w:cs="Arial"/>
          <w:b/>
          <w:sz w:val="22"/>
          <w:szCs w:val="22"/>
        </w:rPr>
        <w:t>,</w:t>
      </w:r>
      <w:r>
        <w:rPr>
          <w:rFonts w:ascii="Arial" w:hAnsi="Arial" w:cs="Arial"/>
          <w:b/>
          <w:sz w:val="22"/>
          <w:szCs w:val="22"/>
        </w:rPr>
        <w:t xml:space="preserve"> Presupuesto del </w:t>
      </w:r>
      <w:r w:rsidRPr="00C27434">
        <w:rPr>
          <w:rFonts w:ascii="Arial" w:hAnsi="Arial" w:cs="Arial"/>
          <w:b/>
          <w:sz w:val="22"/>
          <w:szCs w:val="22"/>
        </w:rPr>
        <w:t xml:space="preserve">Plan de Introducción de vacuna </w:t>
      </w:r>
      <w:r w:rsidR="005A3A5B">
        <w:rPr>
          <w:rFonts w:ascii="Arial" w:hAnsi="Arial" w:cs="Arial"/>
          <w:b/>
          <w:sz w:val="22"/>
          <w:szCs w:val="22"/>
        </w:rPr>
        <w:t>con poliovirus</w:t>
      </w:r>
      <w:r w:rsidRPr="00C27434">
        <w:rPr>
          <w:rFonts w:ascii="Arial" w:hAnsi="Arial" w:cs="Arial"/>
          <w:b/>
          <w:sz w:val="22"/>
          <w:szCs w:val="22"/>
        </w:rPr>
        <w:t xml:space="preserve"> inactivad</w:t>
      </w:r>
      <w:r w:rsidR="005A3A5B">
        <w:rPr>
          <w:rFonts w:ascii="Arial" w:hAnsi="Arial" w:cs="Arial"/>
          <w:b/>
          <w:sz w:val="22"/>
          <w:szCs w:val="22"/>
        </w:rPr>
        <w:t>o</w:t>
      </w:r>
      <w:r w:rsidRPr="00C27434">
        <w:rPr>
          <w:rFonts w:ascii="Arial" w:hAnsi="Arial" w:cs="Arial"/>
          <w:b/>
          <w:sz w:val="22"/>
          <w:szCs w:val="22"/>
        </w:rPr>
        <w:t xml:space="preserve"> (VPI), Honduras 2015. </w:t>
      </w:r>
    </w:p>
    <w:p w:rsidR="00A05FF9" w:rsidRPr="005B5B21" w:rsidRDefault="00A05FF9" w:rsidP="00A7578B">
      <w:pPr>
        <w:rPr>
          <w:rFonts w:ascii="Arial" w:eastAsia="Arial" w:hAnsi="Arial" w:cs="Arial"/>
          <w:color w:val="000000"/>
          <w:sz w:val="22"/>
          <w:szCs w:val="22"/>
        </w:rPr>
      </w:pPr>
    </w:p>
    <w:p w:rsidR="000F0AC2" w:rsidRDefault="00484162">
      <w:pPr>
        <w:rPr>
          <w:color w:val="0070C0"/>
          <w:sz w:val="28"/>
        </w:rPr>
      </w:pPr>
      <w:r w:rsidRPr="00484162">
        <w:rPr>
          <w:b/>
          <w:color w:val="0070C0"/>
          <w:sz w:val="28"/>
        </w:rPr>
        <w:t>Datos sobre los arreglos de gestión fiduciaria</w:t>
      </w:r>
    </w:p>
    <w:p w:rsidR="00A7578B" w:rsidRPr="00AF1AF2" w:rsidRDefault="00A7578B" w:rsidP="00A7578B">
      <w:pPr>
        <w:jc w:val="both"/>
        <w:rPr>
          <w:rFonts w:ascii="Arial" w:hAnsi="Arial" w:cs="Arial"/>
          <w:b/>
          <w:color w:val="0070C0"/>
          <w:szCs w:val="22"/>
        </w:rPr>
      </w:pPr>
    </w:p>
    <w:p w:rsidR="00680473" w:rsidRPr="005B5B21" w:rsidRDefault="00680473" w:rsidP="00266908">
      <w:pPr>
        <w:spacing w:after="120"/>
        <w:ind w:left="120" w:right="120"/>
        <w:jc w:val="both"/>
        <w:rPr>
          <w:rFonts w:ascii="Arial" w:hAnsi="Arial" w:cs="Arial"/>
          <w:sz w:val="22"/>
          <w:szCs w:val="22"/>
        </w:rPr>
      </w:pPr>
      <w:r>
        <w:rPr>
          <w:rFonts w:ascii="Arial" w:hAnsi="Arial"/>
          <w:sz w:val="22"/>
        </w:rPr>
        <w:t xml:space="preserve">Indique en el cuadro que figura a continuación si la subvención única para introducción de VPI debe ser transferida al Gobierno, a la OMS o al UNICEF. Téngase en cuenta que la OMS y/o el UNICEF cobran una tasa administrativa de aproximadamente el 7% y el 8% respectivamente para cubrir los fondos operativos. </w:t>
      </w:r>
    </w:p>
    <w:p w:rsidR="00680473" w:rsidRPr="005B5B21" w:rsidRDefault="00680473" w:rsidP="00680473">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9486"/>
      </w:tblGrid>
      <w:tr w:rsidR="00680473" w:rsidRPr="005B5B21" w:rsidTr="00A60F25">
        <w:tc>
          <w:tcPr>
            <w:tcW w:w="9486" w:type="dxa"/>
            <w:shd w:val="clear" w:color="auto" w:fill="BDDCFF"/>
          </w:tcPr>
          <w:p w:rsidR="00680473" w:rsidRPr="00415CE1" w:rsidRDefault="00F222B3" w:rsidP="004C070D">
            <w:pPr>
              <w:spacing w:line="276" w:lineRule="auto"/>
              <w:ind w:right="120"/>
              <w:rPr>
                <w:rFonts w:ascii="Arial" w:hAnsi="Arial" w:cs="Arial"/>
                <w:sz w:val="22"/>
                <w:szCs w:val="22"/>
              </w:rPr>
            </w:pPr>
            <w:r>
              <w:rPr>
                <w:rFonts w:ascii="Arial" w:hAnsi="Arial" w:cs="Arial"/>
                <w:sz w:val="22"/>
                <w:szCs w:val="22"/>
              </w:rPr>
              <w:t>Se solicita que la subvención para la introducción de VPI sea transferida a la OPS/OMS</w:t>
            </w:r>
            <w:r w:rsidRPr="00415CE1">
              <w:rPr>
                <w:rFonts w:ascii="Arial" w:hAnsi="Arial" w:cs="Arial"/>
                <w:sz w:val="22"/>
                <w:szCs w:val="22"/>
              </w:rPr>
              <w:t>, ya que a través de la Secretaria de Estado en el Despacho de Salud se gestion</w:t>
            </w:r>
            <w:r w:rsidR="00415CE1">
              <w:rPr>
                <w:rFonts w:ascii="Arial" w:hAnsi="Arial" w:cs="Arial"/>
                <w:sz w:val="22"/>
                <w:szCs w:val="22"/>
              </w:rPr>
              <w:t>ó</w:t>
            </w:r>
            <w:r w:rsidRPr="00415CE1">
              <w:rPr>
                <w:rFonts w:ascii="Arial" w:hAnsi="Arial" w:cs="Arial"/>
                <w:sz w:val="22"/>
                <w:szCs w:val="22"/>
              </w:rPr>
              <w:t xml:space="preserve"> su manejo sin costos administrativos</w:t>
            </w:r>
            <w:r w:rsidR="00A962EE">
              <w:rPr>
                <w:rFonts w:ascii="Arial" w:hAnsi="Arial" w:cs="Arial"/>
                <w:sz w:val="22"/>
                <w:szCs w:val="22"/>
              </w:rPr>
              <w:t>, de manera exonerada</w:t>
            </w:r>
            <w:r w:rsidRPr="00415CE1">
              <w:rPr>
                <w:rFonts w:ascii="Arial" w:hAnsi="Arial" w:cs="Arial"/>
                <w:sz w:val="22"/>
                <w:szCs w:val="22"/>
              </w:rPr>
              <w:t xml:space="preserve">. </w:t>
            </w:r>
          </w:p>
          <w:p w:rsidR="00680473" w:rsidRPr="00415CE1" w:rsidRDefault="002C438C" w:rsidP="004C070D">
            <w:pPr>
              <w:spacing w:line="276" w:lineRule="auto"/>
              <w:ind w:right="120"/>
              <w:rPr>
                <w:rFonts w:ascii="Arial" w:hAnsi="Arial" w:cs="Arial"/>
                <w:sz w:val="22"/>
                <w:szCs w:val="22"/>
              </w:rPr>
            </w:pPr>
            <w:r w:rsidRPr="00415CE1">
              <w:rPr>
                <w:rFonts w:ascii="Arial" w:hAnsi="Arial" w:cs="Arial"/>
                <w:sz w:val="22"/>
                <w:szCs w:val="22"/>
              </w:rPr>
              <w:t>La OPS/OMS ha manejado sin costos administrativos desde el año 2003 las subvenciones aprobadas por Gavi en las diferentes líneas de apoyo.</w:t>
            </w:r>
          </w:p>
          <w:p w:rsidR="00680473" w:rsidRPr="005B5B21" w:rsidRDefault="00680473" w:rsidP="004C070D">
            <w:pPr>
              <w:spacing w:line="276" w:lineRule="auto"/>
              <w:ind w:right="120"/>
              <w:rPr>
                <w:rFonts w:ascii="Arial" w:hAnsi="Arial" w:cs="Arial"/>
                <w:sz w:val="22"/>
                <w:szCs w:val="22"/>
              </w:rPr>
            </w:pPr>
          </w:p>
        </w:tc>
      </w:tr>
    </w:tbl>
    <w:p w:rsidR="00680473" w:rsidRPr="005B5B21" w:rsidRDefault="00680473" w:rsidP="00680473">
      <w:pPr>
        <w:spacing w:line="276" w:lineRule="auto"/>
        <w:rPr>
          <w:rFonts w:ascii="Arial" w:hAnsi="Arial" w:cs="Arial"/>
          <w:sz w:val="22"/>
          <w:szCs w:val="22"/>
        </w:rPr>
      </w:pPr>
    </w:p>
    <w:p w:rsidR="00B44D95" w:rsidRPr="005B5B21" w:rsidRDefault="00680473" w:rsidP="00266908">
      <w:pPr>
        <w:spacing w:after="120"/>
        <w:ind w:left="120" w:right="120"/>
        <w:jc w:val="both"/>
        <w:rPr>
          <w:rFonts w:ascii="Arial" w:hAnsi="Arial" w:cs="Arial"/>
          <w:sz w:val="22"/>
          <w:szCs w:val="22"/>
        </w:rPr>
      </w:pPr>
      <w:r>
        <w:rPr>
          <w:rFonts w:ascii="Arial" w:hAnsi="Arial"/>
          <w:sz w:val="22"/>
        </w:rPr>
        <w:t xml:space="preserve">Si la subvención para introducción de VPI ha de transferirse al Gobierno, los países que hayan realizado una evaluación de la gestión financiera (EGF) deben confirmar si siguen siendo aplicables las modalidades de gestión financiera (incluidos los datos bancarios) acordadas con Gavi, o bien explicar en detalle cualquier modificación que tengan previsto presentar relativa a los acuerdos de gestión financiera vigentes. </w:t>
      </w:r>
    </w:p>
    <w:p w:rsidR="00680473" w:rsidRPr="00266908" w:rsidRDefault="00680473" w:rsidP="00266908">
      <w:pPr>
        <w:spacing w:after="120"/>
        <w:ind w:left="120" w:right="120"/>
        <w:jc w:val="both"/>
        <w:rPr>
          <w:rFonts w:ascii="Arial" w:hAnsi="Arial" w:cs="Arial"/>
          <w:sz w:val="22"/>
          <w:szCs w:val="22"/>
        </w:rPr>
      </w:pPr>
      <w:r>
        <w:rPr>
          <w:rFonts w:ascii="Arial" w:hAnsi="Arial"/>
          <w:sz w:val="22"/>
        </w:rPr>
        <w:t>Los países que no dispongan de un recordatorio firmado derivado de una EGF pero que desearían transferir al Gobierno la subvención para introducción de VPI, deben incluir como Apéndice 4 una descripción del mecanismo de financiación propuesto para administrar la subvención de introducción de VPI, abarcando los procesos siguientes:</w:t>
      </w:r>
    </w:p>
    <w:p w:rsidR="00680473" w:rsidRPr="005B5B21" w:rsidRDefault="00680473" w:rsidP="00680473">
      <w:pPr>
        <w:pStyle w:val="ListParagraph"/>
        <w:numPr>
          <w:ilvl w:val="0"/>
          <w:numId w:val="34"/>
        </w:numPr>
        <w:spacing w:before="120" w:after="120"/>
        <w:ind w:right="120"/>
        <w:rPr>
          <w:rFonts w:ascii="Arial" w:hAnsi="Arial" w:cs="Arial"/>
          <w:color w:val="000000"/>
        </w:rPr>
      </w:pPr>
      <w:r>
        <w:rPr>
          <w:rFonts w:ascii="Arial" w:hAnsi="Arial"/>
          <w:color w:val="000000"/>
        </w:rPr>
        <w:t>Planificación, presupuesto y coordinación.</w:t>
      </w:r>
    </w:p>
    <w:p w:rsidR="00680473" w:rsidRPr="005B5B21" w:rsidRDefault="00680473" w:rsidP="00680473">
      <w:pPr>
        <w:pStyle w:val="ListParagraph"/>
        <w:numPr>
          <w:ilvl w:val="0"/>
          <w:numId w:val="34"/>
        </w:numPr>
        <w:spacing w:before="120" w:after="120"/>
        <w:ind w:right="120"/>
        <w:rPr>
          <w:rFonts w:ascii="Arial" w:hAnsi="Arial" w:cs="Arial"/>
          <w:color w:val="000000"/>
        </w:rPr>
      </w:pPr>
      <w:r>
        <w:rPr>
          <w:rFonts w:ascii="Arial" w:hAnsi="Arial"/>
          <w:color w:val="000000"/>
        </w:rPr>
        <w:t>Arreglos de ejecución del presupuesto, incluidos los controles internos.</w:t>
      </w:r>
    </w:p>
    <w:p w:rsidR="00680473" w:rsidRPr="005B5B21" w:rsidRDefault="00680473" w:rsidP="00680473">
      <w:pPr>
        <w:pStyle w:val="ListParagraph"/>
        <w:numPr>
          <w:ilvl w:val="0"/>
          <w:numId w:val="34"/>
        </w:numPr>
        <w:spacing w:before="120" w:after="120"/>
        <w:ind w:right="120"/>
        <w:rPr>
          <w:rFonts w:ascii="Arial" w:hAnsi="Arial" w:cs="Arial"/>
          <w:color w:val="000000"/>
        </w:rPr>
      </w:pPr>
      <w:r>
        <w:rPr>
          <w:rFonts w:ascii="Arial" w:hAnsi="Arial"/>
          <w:color w:val="000000"/>
        </w:rPr>
        <w:t>Arreglos de adquisición.</w:t>
      </w:r>
    </w:p>
    <w:p w:rsidR="00680473" w:rsidRPr="005B5B21" w:rsidRDefault="00680473" w:rsidP="00680473">
      <w:pPr>
        <w:pStyle w:val="ListParagraph"/>
        <w:numPr>
          <w:ilvl w:val="0"/>
          <w:numId w:val="34"/>
        </w:numPr>
        <w:spacing w:before="120" w:after="120"/>
        <w:ind w:right="120"/>
        <w:rPr>
          <w:rFonts w:ascii="Arial" w:hAnsi="Arial" w:cs="Arial"/>
          <w:color w:val="000000"/>
        </w:rPr>
      </w:pPr>
      <w:r>
        <w:rPr>
          <w:rFonts w:ascii="Arial" w:hAnsi="Arial"/>
          <w:color w:val="000000"/>
        </w:rPr>
        <w:t>Contabilidad y presentación de informes financieros.</w:t>
      </w:r>
    </w:p>
    <w:p w:rsidR="00680473" w:rsidRPr="005B5B21" w:rsidRDefault="00680473" w:rsidP="00680473">
      <w:pPr>
        <w:pStyle w:val="ListParagraph"/>
        <w:numPr>
          <w:ilvl w:val="0"/>
          <w:numId w:val="34"/>
        </w:numPr>
        <w:spacing w:before="120" w:after="120"/>
        <w:ind w:right="120"/>
        <w:rPr>
          <w:rFonts w:ascii="Arial" w:hAnsi="Arial" w:cs="Arial"/>
          <w:color w:val="000000"/>
        </w:rPr>
      </w:pPr>
      <w:r>
        <w:rPr>
          <w:rFonts w:ascii="Arial" w:hAnsi="Arial"/>
          <w:color w:val="000000"/>
        </w:rPr>
        <w:t>Arreglos de auditoría externa.</w:t>
      </w:r>
    </w:p>
    <w:p w:rsidR="00AC7957" w:rsidRDefault="00680473">
      <w:pPr>
        <w:pStyle w:val="ListParagraph"/>
        <w:numPr>
          <w:ilvl w:val="0"/>
          <w:numId w:val="34"/>
        </w:numPr>
        <w:spacing w:before="120" w:after="120"/>
        <w:ind w:right="120"/>
        <w:rPr>
          <w:rFonts w:ascii="Arial" w:hAnsi="Arial"/>
          <w:color w:val="000000"/>
        </w:rPr>
      </w:pPr>
      <w:r>
        <w:rPr>
          <w:rFonts w:ascii="Arial" w:hAnsi="Arial"/>
          <w:color w:val="000000"/>
        </w:rPr>
        <w:t>Supervisión de auditoria interna.</w:t>
      </w:r>
    </w:p>
    <w:p w:rsidR="00651D9B" w:rsidRPr="005B5B21" w:rsidRDefault="00AC7957" w:rsidP="000B65E2">
      <w:pPr>
        <w:pStyle w:val="ListParagraph"/>
        <w:numPr>
          <w:ilvl w:val="0"/>
          <w:numId w:val="34"/>
        </w:numPr>
        <w:spacing w:before="120" w:after="120"/>
        <w:ind w:right="120"/>
        <w:rPr>
          <w:b/>
          <w:color w:val="1F497D" w:themeColor="text2"/>
          <w:sz w:val="28"/>
          <w:szCs w:val="28"/>
        </w:rPr>
      </w:pPr>
      <w:r>
        <w:rPr>
          <w:rFonts w:ascii="Arial" w:hAnsi="Arial"/>
          <w:color w:val="000000"/>
        </w:rPr>
        <w:br w:type="column"/>
      </w:r>
      <w:r>
        <w:rPr>
          <w:noProof/>
          <w:lang w:val="en-GB" w:eastAsia="en-GB" w:bidi="ar-SA"/>
        </w:rPr>
        <w:drawing>
          <wp:anchor distT="0" distB="0" distL="114300" distR="114300" simplePos="0" relativeHeight="251663360" behindDoc="1" locked="0" layoutInCell="1" allowOverlap="1" wp14:anchorId="04961B4C" wp14:editId="0DA1E69D">
            <wp:simplePos x="0" y="0"/>
            <wp:positionH relativeFrom="column">
              <wp:posOffset>-295910</wp:posOffset>
            </wp:positionH>
            <wp:positionV relativeFrom="paragraph">
              <wp:posOffset>0</wp:posOffset>
            </wp:positionV>
            <wp:extent cx="6525260" cy="8099425"/>
            <wp:effectExtent l="0" t="0" r="0" b="0"/>
            <wp:wrapTight wrapText="bothSides">
              <wp:wrapPolygon edited="0">
                <wp:start x="0" y="0"/>
                <wp:lineTo x="0" y="21541"/>
                <wp:lineTo x="21566" y="21541"/>
                <wp:lineTo x="21566" y="0"/>
                <wp:lineTo x="0" y="0"/>
              </wp:wrapPolygon>
            </wp:wrapTight>
            <wp:docPr id="2" name="Imagen 2" descr="C:\Users\PAI\Pictures\MP Navigator EX\2015_01_21\documentos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I\Pictures\MP Navigator EX\2015_01_21\documentos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5260" cy="809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99B" w:rsidRPr="000B65E2" w:rsidRDefault="00A742C2" w:rsidP="005B5B21">
      <w:pPr>
        <w:jc w:val="both"/>
        <w:divId w:val="410156154"/>
        <w:rPr>
          <w:rFonts w:ascii="Arial" w:hAnsi="Arial" w:cs="Arial"/>
          <w:sz w:val="8"/>
          <w:szCs w:val="22"/>
        </w:rPr>
      </w:pPr>
      <w:r>
        <w:rPr>
          <w:noProof/>
          <w:lang w:val="en-GB" w:eastAsia="en-GB" w:bidi="ar-SA"/>
        </w:rPr>
        <w:drawing>
          <wp:anchor distT="0" distB="0" distL="114300" distR="114300" simplePos="0" relativeHeight="251662336" behindDoc="0" locked="0" layoutInCell="1" allowOverlap="1" wp14:anchorId="0E1EFF71" wp14:editId="563A4454">
            <wp:simplePos x="0" y="0"/>
            <wp:positionH relativeFrom="column">
              <wp:posOffset>-274955</wp:posOffset>
            </wp:positionH>
            <wp:positionV relativeFrom="paragraph">
              <wp:posOffset>-228600</wp:posOffset>
            </wp:positionV>
            <wp:extent cx="6713855" cy="8333105"/>
            <wp:effectExtent l="0" t="0" r="0" b="0"/>
            <wp:wrapSquare wrapText="bothSides"/>
            <wp:docPr id="1" name="Imagen 1" descr="C:\Users\PAI\Pictures\MP Navigator EX\2015_01_21\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I\Pictures\MP Navigator EX\2015_01_21\document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855" cy="833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AC2" w:rsidRDefault="000F0AC2">
      <w:pPr>
        <w:jc w:val="both"/>
        <w:divId w:val="410156154"/>
        <w:rPr>
          <w:rFonts w:ascii="Arial" w:hAnsi="Arial"/>
          <w:sz w:val="22"/>
        </w:rPr>
      </w:pPr>
    </w:p>
    <w:p w:rsidR="00521A24" w:rsidRDefault="00521A24" w:rsidP="004C685A">
      <w:pPr>
        <w:jc w:val="both"/>
        <w:divId w:val="410156154"/>
        <w:rPr>
          <w:rFonts w:ascii="Arial" w:hAnsi="Arial"/>
          <w:sz w:val="22"/>
        </w:rPr>
      </w:pPr>
    </w:p>
    <w:p w:rsidR="002C3B3E" w:rsidRPr="005B5B21" w:rsidRDefault="002C3B3E" w:rsidP="004C685A">
      <w:pPr>
        <w:jc w:val="both"/>
        <w:divId w:val="410156154"/>
        <w:rPr>
          <w:rFonts w:ascii="Arial" w:hAnsi="Arial" w:cs="Arial"/>
          <w:sz w:val="22"/>
          <w:szCs w:val="22"/>
        </w:rPr>
      </w:pPr>
      <w:r>
        <w:rPr>
          <w:rFonts w:ascii="Arial" w:hAnsi="Arial"/>
          <w:sz w:val="22"/>
        </w:rPr>
        <w:t>En caso de que Gavi tuviera alguna pregunta relacionada con la presentación de la presente solicitud, puede ponerse en contacto con:</w:t>
      </w:r>
    </w:p>
    <w:p w:rsidR="002C3B3E" w:rsidRPr="005B5B21" w:rsidRDefault="002C3B3E" w:rsidP="005B5B21">
      <w:pPr>
        <w:jc w:val="both"/>
        <w:divId w:val="410156154"/>
        <w:rPr>
          <w:rFonts w:ascii="Arial" w:hAnsi="Arial" w:cs="Arial"/>
          <w:sz w:val="22"/>
          <w:szCs w:val="22"/>
        </w:rPr>
      </w:pPr>
    </w:p>
    <w:p w:rsidR="002C3B3E" w:rsidRPr="005B5B21" w:rsidRDefault="002C3B3E" w:rsidP="005B5B21">
      <w:pPr>
        <w:jc w:val="both"/>
        <w:divId w:val="410156154"/>
        <w:rPr>
          <w:rFonts w:ascii="Arial" w:hAnsi="Arial" w:cs="Arial"/>
          <w:sz w:val="22"/>
          <w:szCs w:val="22"/>
        </w:rPr>
      </w:pPr>
      <w:r>
        <w:rPr>
          <w:rFonts w:ascii="Arial" w:hAnsi="Arial"/>
          <w:sz w:val="22"/>
        </w:rPr>
        <w:t>Introduzca el apellido en letras de molde.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3060"/>
        <w:gridCol w:w="1443"/>
        <w:gridCol w:w="3371"/>
      </w:tblGrid>
      <w:tr w:rsidR="002C3B3E" w:rsidRPr="00507CED" w:rsidTr="00A60F25">
        <w:trPr>
          <w:divId w:val="410156154"/>
          <w:trHeight w:val="341"/>
        </w:trPr>
        <w:tc>
          <w:tcPr>
            <w:tcW w:w="1248" w:type="dxa"/>
            <w:shd w:val="clear" w:color="auto" w:fill="D9D9D9" w:themeFill="background1" w:themeFillShade="D9"/>
          </w:tcPr>
          <w:p w:rsidR="002C3B3E" w:rsidRPr="00507CED" w:rsidRDefault="002C3B3E" w:rsidP="005B5B21">
            <w:pPr>
              <w:ind w:right="120"/>
              <w:jc w:val="both"/>
              <w:rPr>
                <w:rFonts w:ascii="Arial" w:hAnsi="Arial" w:cs="Arial"/>
                <w:b/>
                <w:sz w:val="22"/>
                <w:szCs w:val="22"/>
              </w:rPr>
            </w:pPr>
            <w:r w:rsidRPr="00507CED">
              <w:rPr>
                <w:rFonts w:ascii="Arial" w:hAnsi="Arial"/>
                <w:b/>
                <w:sz w:val="22"/>
              </w:rPr>
              <w:t>Nombre</w:t>
            </w:r>
          </w:p>
        </w:tc>
        <w:tc>
          <w:tcPr>
            <w:tcW w:w="3060" w:type="dxa"/>
            <w:shd w:val="clear" w:color="auto" w:fill="BDDCFF"/>
          </w:tcPr>
          <w:p w:rsidR="002C3B3E" w:rsidRPr="00507CED" w:rsidRDefault="00714BA8" w:rsidP="005B5B21">
            <w:pPr>
              <w:jc w:val="both"/>
              <w:rPr>
                <w:rFonts w:ascii="Arial" w:hAnsi="Arial" w:cs="Arial"/>
                <w:sz w:val="22"/>
                <w:szCs w:val="22"/>
              </w:rPr>
            </w:pPr>
            <w:r w:rsidRPr="00507CED">
              <w:rPr>
                <w:rFonts w:ascii="Arial" w:hAnsi="Arial"/>
                <w:sz w:val="22"/>
              </w:rPr>
              <w:t>Ida Berenice Molina Aguilera</w:t>
            </w:r>
          </w:p>
        </w:tc>
        <w:tc>
          <w:tcPr>
            <w:tcW w:w="1443" w:type="dxa"/>
            <w:vMerge w:val="restart"/>
            <w:shd w:val="clear" w:color="auto" w:fill="D9D9D9" w:themeFill="background1" w:themeFillShade="D9"/>
            <w:vAlign w:val="center"/>
          </w:tcPr>
          <w:p w:rsidR="002C3B3E" w:rsidRPr="00507CED" w:rsidRDefault="002C3B3E" w:rsidP="005B5B21">
            <w:pPr>
              <w:ind w:right="120"/>
              <w:jc w:val="both"/>
              <w:rPr>
                <w:rFonts w:ascii="Arial" w:hAnsi="Arial" w:cs="Arial"/>
                <w:b/>
                <w:sz w:val="22"/>
                <w:szCs w:val="22"/>
              </w:rPr>
            </w:pPr>
            <w:r w:rsidRPr="00507CED">
              <w:rPr>
                <w:rFonts w:ascii="Arial" w:hAnsi="Arial"/>
                <w:b/>
                <w:sz w:val="22"/>
              </w:rPr>
              <w:t>Cargo:</w:t>
            </w:r>
          </w:p>
        </w:tc>
        <w:tc>
          <w:tcPr>
            <w:tcW w:w="3371" w:type="dxa"/>
            <w:vMerge w:val="restart"/>
            <w:shd w:val="clear" w:color="auto" w:fill="BDDCFF"/>
          </w:tcPr>
          <w:p w:rsidR="002C3B3E" w:rsidRPr="00507CED" w:rsidRDefault="00714BA8" w:rsidP="005B5B21">
            <w:pPr>
              <w:jc w:val="both"/>
              <w:rPr>
                <w:rFonts w:ascii="Arial" w:hAnsi="Arial" w:cs="Arial"/>
                <w:sz w:val="22"/>
                <w:szCs w:val="22"/>
              </w:rPr>
            </w:pPr>
            <w:r w:rsidRPr="00507CED">
              <w:rPr>
                <w:rFonts w:ascii="Arial" w:hAnsi="Arial"/>
                <w:sz w:val="22"/>
              </w:rPr>
              <w:t>Jefe PAI</w:t>
            </w:r>
          </w:p>
        </w:tc>
      </w:tr>
      <w:tr w:rsidR="002C3B3E" w:rsidRPr="00507CED" w:rsidTr="00A60F25">
        <w:trPr>
          <w:divId w:val="410156154"/>
          <w:trHeight w:val="341"/>
        </w:trPr>
        <w:tc>
          <w:tcPr>
            <w:tcW w:w="1248" w:type="dxa"/>
            <w:shd w:val="clear" w:color="auto" w:fill="D9D9D9" w:themeFill="background1" w:themeFillShade="D9"/>
          </w:tcPr>
          <w:p w:rsidR="002C3B3E" w:rsidRPr="00507CED" w:rsidRDefault="002C3B3E" w:rsidP="005B5B21">
            <w:pPr>
              <w:ind w:right="120"/>
              <w:jc w:val="both"/>
              <w:rPr>
                <w:rFonts w:ascii="Arial" w:hAnsi="Arial" w:cs="Arial"/>
                <w:b/>
                <w:sz w:val="22"/>
                <w:szCs w:val="22"/>
              </w:rPr>
            </w:pPr>
            <w:r w:rsidRPr="00507CED">
              <w:rPr>
                <w:rFonts w:ascii="Arial" w:hAnsi="Arial"/>
                <w:b/>
                <w:sz w:val="22"/>
              </w:rPr>
              <w:t>Nº tel.</w:t>
            </w:r>
          </w:p>
        </w:tc>
        <w:tc>
          <w:tcPr>
            <w:tcW w:w="3060" w:type="dxa"/>
            <w:shd w:val="clear" w:color="auto" w:fill="BDDCFF"/>
          </w:tcPr>
          <w:p w:rsidR="002C3B3E" w:rsidRPr="00507CED" w:rsidRDefault="00714BA8" w:rsidP="005B5B21">
            <w:pPr>
              <w:jc w:val="both"/>
              <w:rPr>
                <w:rFonts w:ascii="Arial" w:hAnsi="Arial" w:cs="Arial"/>
                <w:sz w:val="22"/>
                <w:szCs w:val="22"/>
              </w:rPr>
            </w:pPr>
            <w:r w:rsidRPr="00507CED">
              <w:rPr>
                <w:rFonts w:ascii="Arial" w:hAnsi="Arial"/>
                <w:sz w:val="22"/>
              </w:rPr>
              <w:t>(504) 2221-3901 al 03</w:t>
            </w:r>
          </w:p>
        </w:tc>
        <w:tc>
          <w:tcPr>
            <w:tcW w:w="1443" w:type="dxa"/>
            <w:vMerge/>
            <w:shd w:val="clear" w:color="auto" w:fill="D9D9D9" w:themeFill="background1" w:themeFillShade="D9"/>
            <w:vAlign w:val="center"/>
          </w:tcPr>
          <w:p w:rsidR="002C3B3E" w:rsidRPr="00507CED" w:rsidRDefault="002C3B3E" w:rsidP="005B5B21">
            <w:pPr>
              <w:ind w:right="120"/>
              <w:jc w:val="both"/>
              <w:rPr>
                <w:rFonts w:ascii="Arial" w:hAnsi="Arial" w:cs="Arial"/>
                <w:b/>
                <w:sz w:val="22"/>
                <w:szCs w:val="22"/>
              </w:rPr>
            </w:pPr>
          </w:p>
        </w:tc>
        <w:tc>
          <w:tcPr>
            <w:tcW w:w="3371" w:type="dxa"/>
            <w:vMerge/>
            <w:shd w:val="clear" w:color="auto" w:fill="BDDCFF"/>
          </w:tcPr>
          <w:p w:rsidR="002C3B3E" w:rsidRPr="00507CED" w:rsidRDefault="002C3B3E" w:rsidP="005B5B21">
            <w:pPr>
              <w:ind w:right="120"/>
              <w:jc w:val="both"/>
              <w:rPr>
                <w:rFonts w:ascii="Arial" w:hAnsi="Arial" w:cs="Arial"/>
                <w:sz w:val="22"/>
                <w:szCs w:val="22"/>
              </w:rPr>
            </w:pPr>
          </w:p>
        </w:tc>
      </w:tr>
      <w:tr w:rsidR="002C3B3E" w:rsidRPr="00507CED" w:rsidTr="00A60F25">
        <w:trPr>
          <w:divId w:val="410156154"/>
          <w:trHeight w:val="341"/>
        </w:trPr>
        <w:tc>
          <w:tcPr>
            <w:tcW w:w="1248" w:type="dxa"/>
            <w:shd w:val="clear" w:color="auto" w:fill="D9D9D9" w:themeFill="background1" w:themeFillShade="D9"/>
          </w:tcPr>
          <w:p w:rsidR="002C3B3E" w:rsidRPr="00507CED" w:rsidRDefault="002C3B3E" w:rsidP="005B5B21">
            <w:pPr>
              <w:ind w:right="120"/>
              <w:jc w:val="both"/>
              <w:rPr>
                <w:rFonts w:ascii="Arial" w:hAnsi="Arial" w:cs="Arial"/>
                <w:b/>
                <w:sz w:val="22"/>
                <w:szCs w:val="22"/>
              </w:rPr>
            </w:pPr>
            <w:r w:rsidRPr="00507CED">
              <w:rPr>
                <w:rFonts w:ascii="Arial" w:hAnsi="Arial"/>
                <w:b/>
                <w:sz w:val="22"/>
              </w:rPr>
              <w:t>Nº fax</w:t>
            </w:r>
          </w:p>
        </w:tc>
        <w:tc>
          <w:tcPr>
            <w:tcW w:w="3060" w:type="dxa"/>
            <w:shd w:val="clear" w:color="auto" w:fill="BDDCFF"/>
          </w:tcPr>
          <w:p w:rsidR="002C3B3E" w:rsidRPr="00507CED" w:rsidRDefault="00714BA8" w:rsidP="005B5B21">
            <w:pPr>
              <w:jc w:val="both"/>
              <w:rPr>
                <w:rFonts w:ascii="Arial" w:hAnsi="Arial" w:cs="Arial"/>
                <w:sz w:val="22"/>
                <w:szCs w:val="22"/>
              </w:rPr>
            </w:pPr>
            <w:r w:rsidRPr="00507CED">
              <w:rPr>
                <w:rFonts w:ascii="Arial" w:hAnsi="Arial"/>
                <w:sz w:val="22"/>
              </w:rPr>
              <w:t>(504) 2236-5036</w:t>
            </w:r>
          </w:p>
        </w:tc>
        <w:tc>
          <w:tcPr>
            <w:tcW w:w="1443" w:type="dxa"/>
            <w:vMerge w:val="restart"/>
            <w:shd w:val="clear" w:color="auto" w:fill="D9D9D9" w:themeFill="background1" w:themeFillShade="D9"/>
            <w:vAlign w:val="center"/>
          </w:tcPr>
          <w:p w:rsidR="002C3B3E" w:rsidRPr="00507CED" w:rsidRDefault="002C3B3E" w:rsidP="005B5B21">
            <w:pPr>
              <w:ind w:right="120"/>
              <w:jc w:val="both"/>
              <w:rPr>
                <w:rFonts w:ascii="Arial" w:hAnsi="Arial" w:cs="Arial"/>
                <w:b/>
                <w:sz w:val="22"/>
                <w:szCs w:val="22"/>
              </w:rPr>
            </w:pPr>
            <w:r w:rsidRPr="00507CED">
              <w:rPr>
                <w:rFonts w:ascii="Arial" w:hAnsi="Arial"/>
                <w:b/>
                <w:sz w:val="22"/>
              </w:rPr>
              <w:t>Dirección</w:t>
            </w:r>
          </w:p>
        </w:tc>
        <w:tc>
          <w:tcPr>
            <w:tcW w:w="3371" w:type="dxa"/>
            <w:vMerge w:val="restart"/>
            <w:shd w:val="clear" w:color="auto" w:fill="BDDCFF"/>
          </w:tcPr>
          <w:p w:rsidR="002C3B3E" w:rsidRPr="00507CED" w:rsidRDefault="00714BA8">
            <w:pPr>
              <w:jc w:val="both"/>
              <w:rPr>
                <w:rFonts w:ascii="Arial" w:hAnsi="Arial" w:cs="Arial"/>
                <w:sz w:val="22"/>
                <w:szCs w:val="22"/>
              </w:rPr>
            </w:pPr>
            <w:r w:rsidRPr="00507CED">
              <w:rPr>
                <w:rFonts w:ascii="Arial" w:hAnsi="Arial"/>
                <w:sz w:val="22"/>
              </w:rPr>
              <w:t xml:space="preserve">Colonia Matamoros, calle Almeria, Tegucigalpa, M.D.C. </w:t>
            </w:r>
          </w:p>
        </w:tc>
      </w:tr>
      <w:tr w:rsidR="002C3B3E" w:rsidRPr="00507CED" w:rsidTr="00A60F25">
        <w:trPr>
          <w:divId w:val="410156154"/>
          <w:trHeight w:val="341"/>
        </w:trPr>
        <w:tc>
          <w:tcPr>
            <w:tcW w:w="1248" w:type="dxa"/>
            <w:shd w:val="clear" w:color="auto" w:fill="D9D9D9" w:themeFill="background1" w:themeFillShade="D9"/>
          </w:tcPr>
          <w:p w:rsidR="002C3B3E" w:rsidRPr="00507CED" w:rsidRDefault="002C3B3E" w:rsidP="005B5B21">
            <w:pPr>
              <w:ind w:right="120"/>
              <w:jc w:val="both"/>
              <w:rPr>
                <w:rFonts w:ascii="Arial" w:hAnsi="Arial" w:cs="Arial"/>
                <w:b/>
                <w:sz w:val="22"/>
                <w:szCs w:val="22"/>
              </w:rPr>
            </w:pPr>
            <w:r w:rsidRPr="00507CED">
              <w:rPr>
                <w:rFonts w:ascii="Arial" w:hAnsi="Arial"/>
                <w:b/>
                <w:sz w:val="22"/>
              </w:rPr>
              <w:t>Correo electrónico</w:t>
            </w:r>
          </w:p>
        </w:tc>
        <w:tc>
          <w:tcPr>
            <w:tcW w:w="3060" w:type="dxa"/>
            <w:shd w:val="clear" w:color="auto" w:fill="BDDCFF"/>
          </w:tcPr>
          <w:p w:rsidR="002C3B3E" w:rsidRPr="00507CED" w:rsidRDefault="00714BA8" w:rsidP="005B5B21">
            <w:pPr>
              <w:jc w:val="both"/>
              <w:rPr>
                <w:rFonts w:ascii="Arial" w:hAnsi="Arial" w:cs="Arial"/>
                <w:sz w:val="22"/>
                <w:szCs w:val="22"/>
              </w:rPr>
            </w:pPr>
            <w:r w:rsidRPr="00507CED">
              <w:rPr>
                <w:rFonts w:ascii="Arial" w:hAnsi="Arial"/>
                <w:sz w:val="22"/>
              </w:rPr>
              <w:t>paihonduras@yahoo.com</w:t>
            </w:r>
          </w:p>
        </w:tc>
        <w:tc>
          <w:tcPr>
            <w:tcW w:w="1443" w:type="dxa"/>
            <w:vMerge/>
            <w:shd w:val="clear" w:color="auto" w:fill="D9D9D9" w:themeFill="background1" w:themeFillShade="D9"/>
          </w:tcPr>
          <w:p w:rsidR="002C3B3E" w:rsidRPr="00507CED" w:rsidRDefault="002C3B3E" w:rsidP="005B5B21">
            <w:pPr>
              <w:ind w:right="120"/>
              <w:jc w:val="both"/>
              <w:rPr>
                <w:rFonts w:ascii="Arial" w:hAnsi="Arial" w:cs="Arial"/>
                <w:b/>
                <w:sz w:val="22"/>
                <w:szCs w:val="22"/>
              </w:rPr>
            </w:pPr>
          </w:p>
        </w:tc>
        <w:tc>
          <w:tcPr>
            <w:tcW w:w="3371" w:type="dxa"/>
            <w:vMerge/>
            <w:shd w:val="clear" w:color="auto" w:fill="BDDCFF"/>
          </w:tcPr>
          <w:p w:rsidR="002C3B3E" w:rsidRPr="00507CED" w:rsidRDefault="002C3B3E" w:rsidP="005B5B21">
            <w:pPr>
              <w:ind w:right="120"/>
              <w:jc w:val="both"/>
              <w:rPr>
                <w:rFonts w:ascii="Arial" w:hAnsi="Arial" w:cs="Arial"/>
                <w:sz w:val="22"/>
                <w:szCs w:val="22"/>
              </w:rPr>
            </w:pPr>
          </w:p>
        </w:tc>
      </w:tr>
    </w:tbl>
    <w:p w:rsidR="002C3B3E" w:rsidRPr="005B5B21" w:rsidRDefault="002C3B3E" w:rsidP="00B737C6">
      <w:pPr>
        <w:pStyle w:val="Heading1"/>
        <w:divId w:val="410156154"/>
      </w:pPr>
      <w:r w:rsidRPr="00507CED">
        <w:t xml:space="preserve">Apéndices </w:t>
      </w:r>
      <w:r w:rsidR="00B737C6" w:rsidRPr="00507CED">
        <w:t>requeridos:</w:t>
      </w:r>
    </w:p>
    <w:p w:rsidR="00165B11" w:rsidRPr="005B5B21" w:rsidRDefault="00BC18C2" w:rsidP="005B5B21">
      <w:pPr>
        <w:pStyle w:val="ListParagraph"/>
        <w:numPr>
          <w:ilvl w:val="0"/>
          <w:numId w:val="36"/>
        </w:numPr>
        <w:spacing w:after="0" w:line="240" w:lineRule="auto"/>
        <w:ind w:right="115"/>
        <w:jc w:val="both"/>
        <w:divId w:val="410156154"/>
        <w:rPr>
          <w:rFonts w:ascii="Arial" w:hAnsi="Arial" w:cs="Arial"/>
        </w:rPr>
      </w:pPr>
      <w:r>
        <w:rPr>
          <w:rFonts w:ascii="Arial" w:hAnsi="Arial"/>
        </w:rPr>
        <w:t>Apéndice 1. Plan de Introducción de VPI.</w:t>
      </w:r>
    </w:p>
    <w:p w:rsidR="002C3B3E" w:rsidRPr="005B5B21" w:rsidRDefault="002C3B3E" w:rsidP="005B5B21">
      <w:pPr>
        <w:pStyle w:val="ListParagraph"/>
        <w:numPr>
          <w:ilvl w:val="0"/>
          <w:numId w:val="36"/>
        </w:numPr>
        <w:spacing w:after="0" w:line="240" w:lineRule="auto"/>
        <w:ind w:right="115"/>
        <w:jc w:val="both"/>
        <w:divId w:val="410156154"/>
        <w:rPr>
          <w:rFonts w:ascii="Arial" w:hAnsi="Arial" w:cs="Arial"/>
        </w:rPr>
      </w:pPr>
      <w:r>
        <w:rPr>
          <w:rFonts w:ascii="Arial" w:hAnsi="Arial"/>
        </w:rPr>
        <w:t>Apéndice 2. Calendario detallado para las actividades principales del Plan de Introducción de VPI .</w:t>
      </w:r>
    </w:p>
    <w:p w:rsidR="000F0AC2" w:rsidRDefault="003D51EB">
      <w:pPr>
        <w:pStyle w:val="ListParagraph"/>
        <w:numPr>
          <w:ilvl w:val="0"/>
          <w:numId w:val="36"/>
        </w:numPr>
        <w:jc w:val="both"/>
        <w:divId w:val="410156154"/>
        <w:rPr>
          <w:rFonts w:ascii="Arial" w:hAnsi="Arial" w:cs="Arial"/>
        </w:rPr>
      </w:pPr>
      <w:r>
        <w:rPr>
          <w:rFonts w:ascii="Arial" w:hAnsi="Arial"/>
        </w:rPr>
        <w:t xml:space="preserve">Apéndice 3. </w:t>
      </w:r>
      <w:r w:rsidR="00521A24">
        <w:rPr>
          <w:rFonts w:ascii="Arial" w:hAnsi="Arial"/>
        </w:rPr>
        <w:t>P</w:t>
      </w:r>
      <w:r>
        <w:rPr>
          <w:rFonts w:ascii="Arial" w:hAnsi="Arial"/>
        </w:rPr>
        <w:t>resupuesto y financiación</w:t>
      </w:r>
      <w:r w:rsidR="001050D6">
        <w:rPr>
          <w:rFonts w:ascii="Arial" w:hAnsi="Arial"/>
        </w:rPr>
        <w:t>.</w:t>
      </w:r>
      <w:r>
        <w:rPr>
          <w:rFonts w:ascii="Arial" w:hAnsi="Arial"/>
        </w:rPr>
        <w:t xml:space="preserve"> </w:t>
      </w:r>
      <w:r w:rsidR="00521A24">
        <w:rPr>
          <w:rFonts w:ascii="Arial" w:hAnsi="Arial"/>
        </w:rPr>
        <w:t xml:space="preserve">Incluye Cuadros E1 y E2 y varias hojas de cálculo por componente. </w:t>
      </w:r>
    </w:p>
    <w:p w:rsidR="00680473" w:rsidRPr="005B5B21" w:rsidRDefault="00680473">
      <w:pPr>
        <w:pStyle w:val="ListParagraph"/>
        <w:numPr>
          <w:ilvl w:val="0"/>
          <w:numId w:val="36"/>
        </w:numPr>
        <w:spacing w:after="0" w:line="240" w:lineRule="auto"/>
        <w:ind w:right="115"/>
        <w:jc w:val="both"/>
        <w:divId w:val="410156154"/>
        <w:rPr>
          <w:rFonts w:ascii="Arial" w:hAnsi="Arial" w:cs="Arial"/>
        </w:rPr>
      </w:pPr>
      <w:r>
        <w:rPr>
          <w:rFonts w:ascii="Arial" w:hAnsi="Arial"/>
        </w:rPr>
        <w:t>Apéndice 4. Datos sobre los arreglos de gestión fiduciaria (solo se aplica a los países sin un Aide Memoire firmado vigente derivado de una EGF, pero que desearían transferir al Gobierno la subvención para introducción de VPI)</w:t>
      </w:r>
      <w:r w:rsidR="001050D6">
        <w:rPr>
          <w:rFonts w:ascii="Arial" w:hAnsi="Arial"/>
        </w:rPr>
        <w:t xml:space="preserve">: </w:t>
      </w:r>
      <w:r w:rsidR="00484162" w:rsidRPr="00484162">
        <w:rPr>
          <w:rFonts w:ascii="Arial" w:hAnsi="Arial"/>
          <w:b/>
        </w:rPr>
        <w:t>No aplica</w:t>
      </w:r>
    </w:p>
    <w:p w:rsidR="00534D9D" w:rsidRPr="005B5B21" w:rsidRDefault="003D51EB">
      <w:pPr>
        <w:pStyle w:val="ListParagraph"/>
        <w:numPr>
          <w:ilvl w:val="0"/>
          <w:numId w:val="36"/>
        </w:numPr>
        <w:spacing w:after="0" w:line="240" w:lineRule="auto"/>
        <w:ind w:right="115"/>
        <w:jc w:val="both"/>
        <w:divId w:val="410156154"/>
        <w:rPr>
          <w:rFonts w:ascii="Arial" w:hAnsi="Arial" w:cs="Arial"/>
        </w:rPr>
      </w:pPr>
      <w:r>
        <w:rPr>
          <w:rFonts w:ascii="Arial" w:hAnsi="Arial"/>
        </w:rPr>
        <w:t xml:space="preserve">Apéndice 5. Acta </w:t>
      </w:r>
      <w:r w:rsidR="001050D6">
        <w:rPr>
          <w:rFonts w:ascii="Arial" w:hAnsi="Arial"/>
        </w:rPr>
        <w:t xml:space="preserve">de </w:t>
      </w:r>
      <w:r>
        <w:rPr>
          <w:rFonts w:ascii="Arial" w:hAnsi="Arial"/>
        </w:rPr>
        <w:t>la reunión del ICC en que se apr</w:t>
      </w:r>
      <w:r w:rsidR="001050D6">
        <w:rPr>
          <w:rFonts w:ascii="Arial" w:hAnsi="Arial"/>
        </w:rPr>
        <w:t>obó</w:t>
      </w:r>
      <w:r>
        <w:rPr>
          <w:rFonts w:ascii="Arial" w:hAnsi="Arial"/>
        </w:rPr>
        <w:t xml:space="preserve"> la introducción de la VPI.</w:t>
      </w:r>
    </w:p>
    <w:p w:rsidR="000F0AC2" w:rsidRDefault="003D51EB">
      <w:pPr>
        <w:pStyle w:val="ListParagraph"/>
        <w:numPr>
          <w:ilvl w:val="0"/>
          <w:numId w:val="36"/>
        </w:numPr>
        <w:spacing w:after="0" w:line="240" w:lineRule="auto"/>
        <w:ind w:right="115"/>
        <w:jc w:val="both"/>
        <w:divId w:val="410156154"/>
        <w:rPr>
          <w:rFonts w:ascii="Arial" w:hAnsi="Arial" w:cs="Arial"/>
        </w:rPr>
      </w:pPr>
      <w:r>
        <w:rPr>
          <w:rFonts w:ascii="Arial" w:hAnsi="Arial"/>
        </w:rPr>
        <w:t xml:space="preserve">Apéndice 6. </w:t>
      </w:r>
      <w:r w:rsidR="001050D6">
        <w:rPr>
          <w:rFonts w:ascii="Arial" w:hAnsi="Arial"/>
        </w:rPr>
        <w:t>P</w:t>
      </w:r>
      <w:r>
        <w:rPr>
          <w:rFonts w:ascii="Arial" w:hAnsi="Arial"/>
        </w:rPr>
        <w:t xml:space="preserve">lan </w:t>
      </w:r>
      <w:r w:rsidR="00521A24">
        <w:rPr>
          <w:rFonts w:ascii="Arial" w:hAnsi="Arial"/>
        </w:rPr>
        <w:t>Estratégico M</w:t>
      </w:r>
      <w:r w:rsidR="001050D6">
        <w:rPr>
          <w:rFonts w:ascii="Arial" w:hAnsi="Arial"/>
        </w:rPr>
        <w:t>ultianual del PAI 2011-2015</w:t>
      </w:r>
      <w:r>
        <w:rPr>
          <w:rFonts w:ascii="Arial" w:hAnsi="Arial"/>
        </w:rPr>
        <w:t>.</w:t>
      </w:r>
    </w:p>
    <w:p w:rsidR="00133F11" w:rsidRPr="005B5B21" w:rsidRDefault="003D51EB" w:rsidP="004C685A">
      <w:pPr>
        <w:pStyle w:val="ListParagraph"/>
        <w:numPr>
          <w:ilvl w:val="0"/>
          <w:numId w:val="36"/>
        </w:numPr>
        <w:spacing w:after="0" w:line="240" w:lineRule="auto"/>
        <w:ind w:right="235"/>
        <w:jc w:val="both"/>
        <w:divId w:val="410156154"/>
        <w:rPr>
          <w:rFonts w:ascii="Arial" w:hAnsi="Arial" w:cs="Arial"/>
        </w:rPr>
      </w:pPr>
      <w:r>
        <w:rPr>
          <w:rFonts w:ascii="Arial" w:hAnsi="Arial"/>
        </w:rPr>
        <w:t xml:space="preserve">Apéndice 7. Una copia del informe más reciente de la Gestión Eficaz de Vacunas (GEV) </w:t>
      </w:r>
      <w:r>
        <w:rPr>
          <w:rFonts w:ascii="Arial" w:hAnsi="Arial"/>
          <w:b/>
        </w:rPr>
        <w:t xml:space="preserve">y </w:t>
      </w:r>
      <w:r>
        <w:rPr>
          <w:rFonts w:ascii="Arial" w:hAnsi="Arial"/>
        </w:rPr>
        <w:t>un informe de progreso tabulado</w:t>
      </w:r>
      <w:r>
        <w:rPr>
          <w:rStyle w:val="FootnoteReference"/>
          <w:rFonts w:ascii="Arial" w:hAnsi="Arial"/>
        </w:rPr>
        <w:footnoteReference w:id="3"/>
      </w:r>
      <w:r>
        <w:rPr>
          <w:rFonts w:ascii="Arial" w:hAnsi="Arial"/>
          <w:b/>
        </w:rPr>
        <w:t xml:space="preserve"> </w:t>
      </w:r>
      <w:r>
        <w:rPr>
          <w:rFonts w:ascii="Arial" w:hAnsi="Arial"/>
        </w:rPr>
        <w:t xml:space="preserve">sobre la ejecución del plan de mejoras de la GEV realizado dentro de los tres años anteriores. Si no se ha llevado a cabo ninguna GEV o si la GEV actual se efectuó hace más de 3 años, Gavi exige que los países presenten la revisión del programa ampliado externo de inmunización (PAI) más reciente (si estuviera disponible) y, además, una descripción del sistema de gestión de vacunas en el plan de introducción de VPI </w:t>
      </w:r>
      <w:r>
        <w:rPr>
          <w:rFonts w:ascii="Arial" w:hAnsi="Arial"/>
          <w:b/>
        </w:rPr>
        <w:t xml:space="preserve">(Anexo A) </w:t>
      </w:r>
      <w:r>
        <w:rPr>
          <w:rFonts w:ascii="Arial" w:hAnsi="Arial"/>
        </w:rPr>
        <w:t>y que se comprometan a realizar una evaluación de GEV dentro de los seis meses de la aprobación de la solicitud.</w:t>
      </w:r>
    </w:p>
    <w:p w:rsidR="004C070D" w:rsidRDefault="004C070D" w:rsidP="005B5B21">
      <w:pPr>
        <w:pStyle w:val="ListParagraph"/>
        <w:numPr>
          <w:ilvl w:val="0"/>
          <w:numId w:val="36"/>
        </w:numPr>
        <w:spacing w:before="120" w:after="120" w:line="240" w:lineRule="auto"/>
        <w:ind w:right="120"/>
        <w:jc w:val="both"/>
        <w:divId w:val="410156154"/>
        <w:rPr>
          <w:rFonts w:ascii="Arial" w:hAnsi="Arial" w:cs="Arial"/>
        </w:rPr>
      </w:pPr>
      <w:r>
        <w:rPr>
          <w:rFonts w:ascii="Arial" w:hAnsi="Arial"/>
        </w:rPr>
        <w:t>Apéndice 8. Generalmente GAVI adquiere y administra vacunas y materiales a través del UNICEF o del Fondo Rotatorio de la OPS. Si se necesitara un mecanismo alternativo, o la vacuna fuera a ser adquirida por el propio país, documente los requisitos tal como aparecen enumerados en la sección 2.5 de las Directrices</w:t>
      </w:r>
      <w:r w:rsidR="001050D6">
        <w:rPr>
          <w:rFonts w:ascii="Arial" w:hAnsi="Arial"/>
        </w:rPr>
        <w:t xml:space="preserve">: </w:t>
      </w:r>
      <w:r w:rsidR="00484162" w:rsidRPr="00484162">
        <w:rPr>
          <w:rFonts w:ascii="Arial" w:hAnsi="Arial"/>
          <w:b/>
        </w:rPr>
        <w:t>No aplica.</w:t>
      </w:r>
    </w:p>
    <w:bookmarkEnd w:id="0"/>
    <w:p w:rsidR="00FE1FC1" w:rsidRDefault="00FE1FC1">
      <w:pPr>
        <w:jc w:val="center"/>
        <w:rPr>
          <w:rFonts w:ascii="Arial" w:hAnsi="Arial" w:cs="Arial"/>
          <w:sz w:val="22"/>
          <w:szCs w:val="22"/>
        </w:rPr>
      </w:pPr>
    </w:p>
    <w:sectPr w:rsidR="00FE1FC1" w:rsidSect="000B65E2">
      <w:footerReference w:type="default" r:id="rId16"/>
      <w:pgSz w:w="12242" w:h="15842" w:code="1"/>
      <w:pgMar w:top="1440" w:right="1287" w:bottom="1349" w:left="134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D01" w:rsidRDefault="00F81D01">
      <w:r>
        <w:separator/>
      </w:r>
    </w:p>
  </w:endnote>
  <w:endnote w:type="continuationSeparator" w:id="0">
    <w:p w:rsidR="00F81D01" w:rsidRDefault="00F81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ravek">
    <w:altName w:val="Cambria"/>
    <w:panose1 w:val="00000000000000000000"/>
    <w:charset w:val="00"/>
    <w:family w:val="auto"/>
    <w:notTrueType/>
    <w:pitch w:val="default"/>
    <w:sig w:usb0="00000003" w:usb1="00000000" w:usb2="00000000" w:usb3="00000000" w:csb0="00000001" w:csb1="00000000"/>
  </w:font>
  <w:font w:name="Greta Text Pro Light">
    <w:altName w:val="Greta Text Pro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569070"/>
      <w:docPartObj>
        <w:docPartGallery w:val="Page Numbers (Bottom of Page)"/>
        <w:docPartUnique/>
      </w:docPartObj>
    </w:sdtPr>
    <w:sdtEndPr>
      <w:rPr>
        <w:noProof/>
      </w:rPr>
    </w:sdtEndPr>
    <w:sdtContent>
      <w:p w:rsidR="00C2476F" w:rsidRDefault="000F0AC2">
        <w:pPr>
          <w:pStyle w:val="Footer"/>
          <w:jc w:val="right"/>
        </w:pPr>
        <w:r>
          <w:fldChar w:fldCharType="begin"/>
        </w:r>
        <w:r w:rsidR="00C2476F">
          <w:instrText xml:space="preserve"> PAGE   \* MERGEFORMAT </w:instrText>
        </w:r>
        <w:r>
          <w:fldChar w:fldCharType="separate"/>
        </w:r>
        <w:r w:rsidR="000B65E2">
          <w:rPr>
            <w:noProof/>
          </w:rPr>
          <w:t>1</w:t>
        </w:r>
        <w:r>
          <w:rPr>
            <w:noProof/>
          </w:rPr>
          <w:fldChar w:fldCharType="end"/>
        </w:r>
      </w:p>
    </w:sdtContent>
  </w:sdt>
  <w:p w:rsidR="00C2476F" w:rsidRDefault="00C247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D01" w:rsidRDefault="00F81D01">
      <w:r>
        <w:separator/>
      </w:r>
    </w:p>
  </w:footnote>
  <w:footnote w:type="continuationSeparator" w:id="0">
    <w:p w:rsidR="00F81D01" w:rsidRDefault="00F81D01">
      <w:r>
        <w:continuationSeparator/>
      </w:r>
    </w:p>
  </w:footnote>
  <w:footnote w:id="1">
    <w:p w:rsidR="008968AF" w:rsidRPr="00FF2CA1" w:rsidRDefault="008968AF" w:rsidP="00E413E7">
      <w:pPr>
        <w:pStyle w:val="source"/>
      </w:pPr>
      <w:r>
        <w:rPr>
          <w:rStyle w:val="FootnoteReference"/>
          <w:sz w:val="18"/>
        </w:rPr>
        <w:footnoteRef/>
      </w:r>
      <w:r>
        <w:t xml:space="preserve"> Véase la aplicación de la política de viales de múltiples dosis y la VPI en: </w:t>
      </w:r>
      <w:hyperlink r:id="rId1" w:history="1">
        <w:r>
          <w:rPr>
            <w:rStyle w:val="Hyperlink"/>
            <w:sz w:val="18"/>
          </w:rPr>
          <w:t>http://www.who.int/immunization/diseases/poliomyelitis/inactivated_polio_vaccine/vaccines/en/</w:t>
        </w:r>
      </w:hyperlink>
      <w:r>
        <w:t xml:space="preserve"> </w:t>
      </w:r>
    </w:p>
  </w:footnote>
  <w:footnote w:id="2">
    <w:p w:rsidR="008968AF" w:rsidRPr="00FF2CA1" w:rsidRDefault="008968AF" w:rsidP="005B5B21">
      <w:pPr>
        <w:pStyle w:val="source"/>
        <w:rPr>
          <w:sz w:val="18"/>
          <w:szCs w:val="18"/>
        </w:rPr>
      </w:pPr>
      <w:r>
        <w:rPr>
          <w:rStyle w:val="FootnoteReference"/>
          <w:i w:val="0"/>
          <w:sz w:val="18"/>
        </w:rPr>
        <w:footnoteRef/>
      </w:r>
      <w:r>
        <w:rPr>
          <w:sz w:val="18"/>
        </w:rPr>
        <w:t xml:space="preserve"> La población meta para VPI debe ajustarse el año de introducción según el mes de introducción. Los datos de las Naciones Unidas y las estimaciones de cobertura nacional de inmunización de la OMS/UNICEF (WUENIC, por sus siglas en inglés) servirán de base para calcular las poblaciones meta utilizadas para las asignaciones iniciales de suministros (como se indica en la sección 1.3 de las Directrices para la presentación de solicitudes de VPI).</w:t>
      </w:r>
    </w:p>
  </w:footnote>
  <w:footnote w:id="3">
    <w:p w:rsidR="00C2476F" w:rsidRPr="00FF2CA1" w:rsidRDefault="00C2476F" w:rsidP="004C685A">
      <w:pPr>
        <w:pStyle w:val="source"/>
        <w:rPr>
          <w:sz w:val="18"/>
          <w:szCs w:val="18"/>
        </w:rPr>
      </w:pPr>
      <w:r>
        <w:rPr>
          <w:rStyle w:val="FootnoteReference"/>
          <w:i w:val="0"/>
          <w:sz w:val="18"/>
        </w:rPr>
        <w:footnoteRef/>
      </w:r>
      <w:r>
        <w:rPr>
          <w:sz w:val="18"/>
        </w:rPr>
        <w:t xml:space="preserve"> El formulario incluye columnas como, por ejemplo: Criterio/código de GEV, descripción de tareas, prioridades, responsabilidad, fecha de inicio meta, fecha de finalización meta, indicador de finalización, estado. Una forma de agilizar este proceso sería utilizar la hoja de cálculos del plan de mejora de GEV.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3A59"/>
    <w:multiLevelType w:val="hybridMultilevel"/>
    <w:tmpl w:val="BB86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2136A"/>
    <w:multiLevelType w:val="hybridMultilevel"/>
    <w:tmpl w:val="DC54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56023"/>
    <w:multiLevelType w:val="hybridMultilevel"/>
    <w:tmpl w:val="B682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791A5E"/>
    <w:multiLevelType w:val="hybridMultilevel"/>
    <w:tmpl w:val="A114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67510"/>
    <w:multiLevelType w:val="multilevel"/>
    <w:tmpl w:val="E274172E"/>
    <w:lvl w:ilvl="0">
      <w:start w:val="1"/>
      <w:numFmt w:val="decimal"/>
      <w:pStyle w:val="Style2"/>
      <w:lvlText w:val="%1."/>
      <w:lvlJc w:val="left"/>
      <w:pPr>
        <w:ind w:left="360" w:hanging="360"/>
      </w:pPr>
      <w:rPr>
        <w:rFonts w:hint="default"/>
      </w:rPr>
    </w:lvl>
    <w:lvl w:ilvl="1">
      <w:start w:val="1"/>
      <w:numFmt w:val="decimal"/>
      <w:pStyle w:val="Style3"/>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
    <w:nsid w:val="08682168"/>
    <w:multiLevelType w:val="hybridMultilevel"/>
    <w:tmpl w:val="A2760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031B3E"/>
    <w:multiLevelType w:val="hybridMultilevel"/>
    <w:tmpl w:val="ABAA1886"/>
    <w:lvl w:ilvl="0" w:tplc="1336548E">
      <w:numFmt w:val="bullet"/>
      <w:lvlText w:val="•"/>
      <w:lvlJc w:val="left"/>
      <w:pPr>
        <w:ind w:left="720" w:hanging="360"/>
      </w:pPr>
      <w:rPr>
        <w:rFonts w:ascii="Calibri" w:eastAsia="Times New Roman" w:hAnsi="Calibri" w:cs="D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620F07"/>
    <w:multiLevelType w:val="hybridMultilevel"/>
    <w:tmpl w:val="458C7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F2EBE"/>
    <w:multiLevelType w:val="hybridMultilevel"/>
    <w:tmpl w:val="EC2E2CC6"/>
    <w:lvl w:ilvl="0" w:tplc="7124D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7524B"/>
    <w:multiLevelType w:val="multilevel"/>
    <w:tmpl w:val="FABCAD1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0">
    <w:nsid w:val="1B484EB9"/>
    <w:multiLevelType w:val="hybridMultilevel"/>
    <w:tmpl w:val="94BEE52E"/>
    <w:lvl w:ilvl="0" w:tplc="7124DF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B415D6"/>
    <w:multiLevelType w:val="hybridMultilevel"/>
    <w:tmpl w:val="D5F8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97E3A"/>
    <w:multiLevelType w:val="hybridMultilevel"/>
    <w:tmpl w:val="A6D6F506"/>
    <w:lvl w:ilvl="0" w:tplc="B1A44E42">
      <w:start w:val="1"/>
      <w:numFmt w:val="decimal"/>
      <w:pStyle w:val="Style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39A7F95"/>
    <w:multiLevelType w:val="hybridMultilevel"/>
    <w:tmpl w:val="8A06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DC07AE"/>
    <w:multiLevelType w:val="hybridMultilevel"/>
    <w:tmpl w:val="BBC29CDA"/>
    <w:lvl w:ilvl="0" w:tplc="1336548E">
      <w:numFmt w:val="bullet"/>
      <w:lvlText w:val="•"/>
      <w:lvlJc w:val="left"/>
      <w:pPr>
        <w:ind w:left="720" w:hanging="360"/>
      </w:pPr>
      <w:rPr>
        <w:rFonts w:ascii="Calibri" w:eastAsia="Times New Roman" w:hAnsi="Calibri" w:cs="D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D54CAD"/>
    <w:multiLevelType w:val="hybridMultilevel"/>
    <w:tmpl w:val="A452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546C0"/>
    <w:multiLevelType w:val="hybridMultilevel"/>
    <w:tmpl w:val="F266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625A75"/>
    <w:multiLevelType w:val="hybridMultilevel"/>
    <w:tmpl w:val="99749920"/>
    <w:lvl w:ilvl="0" w:tplc="7124DFC4">
      <w:start w:val="1"/>
      <w:numFmt w:val="bullet"/>
      <w:lvlText w:val=""/>
      <w:lvlJc w:val="left"/>
      <w:pPr>
        <w:ind w:left="720" w:hanging="360"/>
      </w:pPr>
      <w:rPr>
        <w:rFonts w:ascii="Symbol" w:hAnsi="Symbol" w:hint="default"/>
      </w:rPr>
    </w:lvl>
    <w:lvl w:ilvl="1" w:tplc="E7B4A26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AD24E7"/>
    <w:multiLevelType w:val="hybridMultilevel"/>
    <w:tmpl w:val="80F60696"/>
    <w:lvl w:ilvl="0" w:tplc="5E30B09A">
      <w:start w:val="1"/>
      <w:numFmt w:val="bullet"/>
      <w:lvlText w:val=""/>
      <w:lvlJc w:val="left"/>
      <w:pPr>
        <w:ind w:left="960" w:hanging="360"/>
      </w:pPr>
      <w:rPr>
        <w:rFonts w:ascii="Symbol" w:hAnsi="Symbol" w:hint="default"/>
        <w:color w:val="000000" w:themeColor="text1"/>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9">
    <w:nsid w:val="47990201"/>
    <w:multiLevelType w:val="hybridMultilevel"/>
    <w:tmpl w:val="378A34E6"/>
    <w:lvl w:ilvl="0" w:tplc="1336548E">
      <w:numFmt w:val="bullet"/>
      <w:lvlText w:val="•"/>
      <w:lvlJc w:val="left"/>
      <w:pPr>
        <w:ind w:left="360" w:hanging="360"/>
      </w:pPr>
      <w:rPr>
        <w:rFonts w:ascii="Calibri" w:eastAsia="Times New Roman" w:hAnsi="Calibri" w:cs="D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7B93EC8"/>
    <w:multiLevelType w:val="hybridMultilevel"/>
    <w:tmpl w:val="A4EC80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7A451A"/>
    <w:multiLevelType w:val="hybridMultilevel"/>
    <w:tmpl w:val="5C746118"/>
    <w:lvl w:ilvl="0" w:tplc="7124D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3A7C47"/>
    <w:multiLevelType w:val="hybridMultilevel"/>
    <w:tmpl w:val="22FA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8937DB"/>
    <w:multiLevelType w:val="hybridMultilevel"/>
    <w:tmpl w:val="1154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857F5C"/>
    <w:multiLevelType w:val="hybridMultilevel"/>
    <w:tmpl w:val="6456C6BC"/>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ED210CA"/>
    <w:multiLevelType w:val="hybridMultilevel"/>
    <w:tmpl w:val="9D9A9006"/>
    <w:lvl w:ilvl="0" w:tplc="1336548E">
      <w:numFmt w:val="bullet"/>
      <w:lvlText w:val="•"/>
      <w:lvlJc w:val="left"/>
      <w:pPr>
        <w:ind w:left="360" w:hanging="360"/>
      </w:pPr>
      <w:rPr>
        <w:rFonts w:ascii="Calibri" w:eastAsia="Times New Roman" w:hAnsi="Calibri" w:cs="D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EFF41A1"/>
    <w:multiLevelType w:val="hybridMultilevel"/>
    <w:tmpl w:val="16D2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042B07"/>
    <w:multiLevelType w:val="hybridMultilevel"/>
    <w:tmpl w:val="ACBE9E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5B35C2"/>
    <w:multiLevelType w:val="hybridMultilevel"/>
    <w:tmpl w:val="587E34FC"/>
    <w:lvl w:ilvl="0" w:tplc="CD2E07D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4623C0"/>
    <w:multiLevelType w:val="hybridMultilevel"/>
    <w:tmpl w:val="618E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431DD2"/>
    <w:multiLevelType w:val="hybridMultilevel"/>
    <w:tmpl w:val="6C428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F100FA"/>
    <w:multiLevelType w:val="hybridMultilevel"/>
    <w:tmpl w:val="24E2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107DE"/>
    <w:multiLevelType w:val="hybridMultilevel"/>
    <w:tmpl w:val="1C90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576527"/>
    <w:multiLevelType w:val="hybridMultilevel"/>
    <w:tmpl w:val="CBFE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461E34"/>
    <w:multiLevelType w:val="hybridMultilevel"/>
    <w:tmpl w:val="722E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4"/>
  </w:num>
  <w:num w:numId="6">
    <w:abstractNumId w:val="6"/>
  </w:num>
  <w:num w:numId="7">
    <w:abstractNumId w:val="19"/>
  </w:num>
  <w:num w:numId="8">
    <w:abstractNumId w:val="25"/>
  </w:num>
  <w:num w:numId="9">
    <w:abstractNumId w:val="17"/>
  </w:num>
  <w:num w:numId="10">
    <w:abstractNumId w:val="21"/>
  </w:num>
  <w:num w:numId="11">
    <w:abstractNumId w:val="29"/>
  </w:num>
  <w:num w:numId="12">
    <w:abstractNumId w:val="28"/>
  </w:num>
  <w:num w:numId="13">
    <w:abstractNumId w:val="31"/>
  </w:num>
  <w:num w:numId="14">
    <w:abstractNumId w:val="27"/>
  </w:num>
  <w:num w:numId="15">
    <w:abstractNumId w:val="4"/>
  </w:num>
  <w:num w:numId="16">
    <w:abstractNumId w:val="33"/>
  </w:num>
  <w:num w:numId="17">
    <w:abstractNumId w:val="11"/>
  </w:num>
  <w:num w:numId="18">
    <w:abstractNumId w:val="15"/>
  </w:num>
  <w:num w:numId="19">
    <w:abstractNumId w:val="34"/>
  </w:num>
  <w:num w:numId="20">
    <w:abstractNumId w:val="22"/>
  </w:num>
  <w:num w:numId="21">
    <w:abstractNumId w:val="3"/>
  </w:num>
  <w:num w:numId="22">
    <w:abstractNumId w:val="13"/>
  </w:num>
  <w:num w:numId="23">
    <w:abstractNumId w:val="1"/>
  </w:num>
  <w:num w:numId="24">
    <w:abstractNumId w:val="0"/>
  </w:num>
  <w:num w:numId="25">
    <w:abstractNumId w:val="7"/>
  </w:num>
  <w:num w:numId="26">
    <w:abstractNumId w:val="26"/>
  </w:num>
  <w:num w:numId="27">
    <w:abstractNumId w:val="24"/>
  </w:num>
  <w:num w:numId="28">
    <w:abstractNumId w:val="23"/>
  </w:num>
  <w:num w:numId="29">
    <w:abstractNumId w:val="16"/>
  </w:num>
  <w:num w:numId="30">
    <w:abstractNumId w:val="30"/>
  </w:num>
  <w:num w:numId="31">
    <w:abstractNumId w:val="18"/>
  </w:num>
  <w:num w:numId="32">
    <w:abstractNumId w:val="32"/>
  </w:num>
  <w:num w:numId="33">
    <w:abstractNumId w:val="2"/>
  </w:num>
  <w:num w:numId="34">
    <w:abstractNumId w:val="5"/>
  </w:num>
  <w:num w:numId="35">
    <w:abstractNumId w:val="10"/>
  </w:num>
  <w:num w:numId="3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8E0BA0"/>
    <w:rsid w:val="00001BFD"/>
    <w:rsid w:val="0000283B"/>
    <w:rsid w:val="00004AF1"/>
    <w:rsid w:val="00014567"/>
    <w:rsid w:val="000256D0"/>
    <w:rsid w:val="000302CF"/>
    <w:rsid w:val="00031A41"/>
    <w:rsid w:val="00035F85"/>
    <w:rsid w:val="0003613A"/>
    <w:rsid w:val="00037A54"/>
    <w:rsid w:val="0004013F"/>
    <w:rsid w:val="000408CF"/>
    <w:rsid w:val="000415BF"/>
    <w:rsid w:val="00042561"/>
    <w:rsid w:val="0004523E"/>
    <w:rsid w:val="000455A4"/>
    <w:rsid w:val="000471E5"/>
    <w:rsid w:val="00052A8F"/>
    <w:rsid w:val="00053550"/>
    <w:rsid w:val="00053ADC"/>
    <w:rsid w:val="0005783E"/>
    <w:rsid w:val="0006011A"/>
    <w:rsid w:val="00064F25"/>
    <w:rsid w:val="000711A2"/>
    <w:rsid w:val="000714DB"/>
    <w:rsid w:val="00071C86"/>
    <w:rsid w:val="00071EE5"/>
    <w:rsid w:val="00072828"/>
    <w:rsid w:val="000736D2"/>
    <w:rsid w:val="000738BD"/>
    <w:rsid w:val="00076C12"/>
    <w:rsid w:val="000825AE"/>
    <w:rsid w:val="00083A96"/>
    <w:rsid w:val="00083EB7"/>
    <w:rsid w:val="00083ECB"/>
    <w:rsid w:val="0008678F"/>
    <w:rsid w:val="00086B73"/>
    <w:rsid w:val="00092A06"/>
    <w:rsid w:val="00094416"/>
    <w:rsid w:val="000946BC"/>
    <w:rsid w:val="00094EF2"/>
    <w:rsid w:val="00094F86"/>
    <w:rsid w:val="00095390"/>
    <w:rsid w:val="000953AC"/>
    <w:rsid w:val="00095ACC"/>
    <w:rsid w:val="00096C68"/>
    <w:rsid w:val="000A739B"/>
    <w:rsid w:val="000A7F21"/>
    <w:rsid w:val="000B1076"/>
    <w:rsid w:val="000B11CB"/>
    <w:rsid w:val="000B1F4C"/>
    <w:rsid w:val="000B2CE8"/>
    <w:rsid w:val="000B3218"/>
    <w:rsid w:val="000B3EC2"/>
    <w:rsid w:val="000B65E2"/>
    <w:rsid w:val="000C05D7"/>
    <w:rsid w:val="000C1020"/>
    <w:rsid w:val="000C38D6"/>
    <w:rsid w:val="000C444D"/>
    <w:rsid w:val="000C5712"/>
    <w:rsid w:val="000C6987"/>
    <w:rsid w:val="000D3049"/>
    <w:rsid w:val="000D3757"/>
    <w:rsid w:val="000D38E2"/>
    <w:rsid w:val="000D7D7D"/>
    <w:rsid w:val="000E0FBB"/>
    <w:rsid w:val="000E5222"/>
    <w:rsid w:val="000E5C43"/>
    <w:rsid w:val="000E6037"/>
    <w:rsid w:val="000E6FFC"/>
    <w:rsid w:val="000F0AC2"/>
    <w:rsid w:val="000F0E5D"/>
    <w:rsid w:val="000F11CE"/>
    <w:rsid w:val="000F1AFC"/>
    <w:rsid w:val="000F247A"/>
    <w:rsid w:val="000F461D"/>
    <w:rsid w:val="000F4653"/>
    <w:rsid w:val="000F4F79"/>
    <w:rsid w:val="000F539E"/>
    <w:rsid w:val="00100D46"/>
    <w:rsid w:val="001032C2"/>
    <w:rsid w:val="001050D6"/>
    <w:rsid w:val="001159B3"/>
    <w:rsid w:val="00117717"/>
    <w:rsid w:val="00121627"/>
    <w:rsid w:val="00124788"/>
    <w:rsid w:val="0012672E"/>
    <w:rsid w:val="001275D3"/>
    <w:rsid w:val="00132BBB"/>
    <w:rsid w:val="00133F11"/>
    <w:rsid w:val="00136897"/>
    <w:rsid w:val="00136CF3"/>
    <w:rsid w:val="00141C33"/>
    <w:rsid w:val="001420AA"/>
    <w:rsid w:val="00144AA0"/>
    <w:rsid w:val="001476E8"/>
    <w:rsid w:val="00147951"/>
    <w:rsid w:val="00152E60"/>
    <w:rsid w:val="00153D56"/>
    <w:rsid w:val="001569AA"/>
    <w:rsid w:val="00156C0D"/>
    <w:rsid w:val="00157F8F"/>
    <w:rsid w:val="00160BCC"/>
    <w:rsid w:val="00165B11"/>
    <w:rsid w:val="00166172"/>
    <w:rsid w:val="00166AD9"/>
    <w:rsid w:val="001670C2"/>
    <w:rsid w:val="00176461"/>
    <w:rsid w:val="00180E88"/>
    <w:rsid w:val="0018274D"/>
    <w:rsid w:val="00183551"/>
    <w:rsid w:val="00183C59"/>
    <w:rsid w:val="0018477E"/>
    <w:rsid w:val="00184DC7"/>
    <w:rsid w:val="00185037"/>
    <w:rsid w:val="0018509C"/>
    <w:rsid w:val="00186061"/>
    <w:rsid w:val="001867A6"/>
    <w:rsid w:val="001907E9"/>
    <w:rsid w:val="001A07EA"/>
    <w:rsid w:val="001A4C6D"/>
    <w:rsid w:val="001A5838"/>
    <w:rsid w:val="001A6C48"/>
    <w:rsid w:val="001A75FA"/>
    <w:rsid w:val="001A76E4"/>
    <w:rsid w:val="001B0FC1"/>
    <w:rsid w:val="001B2F06"/>
    <w:rsid w:val="001B755F"/>
    <w:rsid w:val="001B7948"/>
    <w:rsid w:val="001C1ACC"/>
    <w:rsid w:val="001C3A35"/>
    <w:rsid w:val="001C5902"/>
    <w:rsid w:val="001C776A"/>
    <w:rsid w:val="001D03BD"/>
    <w:rsid w:val="001D04F7"/>
    <w:rsid w:val="001D0962"/>
    <w:rsid w:val="001D0A9E"/>
    <w:rsid w:val="001D2E35"/>
    <w:rsid w:val="001D5E60"/>
    <w:rsid w:val="001E13A3"/>
    <w:rsid w:val="001E59F3"/>
    <w:rsid w:val="001E69DD"/>
    <w:rsid w:val="001F04D1"/>
    <w:rsid w:val="001F320C"/>
    <w:rsid w:val="001F38C8"/>
    <w:rsid w:val="001F40A3"/>
    <w:rsid w:val="001F46A6"/>
    <w:rsid w:val="001F4720"/>
    <w:rsid w:val="001F4F9C"/>
    <w:rsid w:val="001F5F13"/>
    <w:rsid w:val="0020296B"/>
    <w:rsid w:val="00202D31"/>
    <w:rsid w:val="00205EBC"/>
    <w:rsid w:val="002075A0"/>
    <w:rsid w:val="00211D28"/>
    <w:rsid w:val="00212B4A"/>
    <w:rsid w:val="00215061"/>
    <w:rsid w:val="00215712"/>
    <w:rsid w:val="00216F72"/>
    <w:rsid w:val="00217712"/>
    <w:rsid w:val="00221ACF"/>
    <w:rsid w:val="0023025C"/>
    <w:rsid w:val="00231C36"/>
    <w:rsid w:val="002321CB"/>
    <w:rsid w:val="00232D03"/>
    <w:rsid w:val="002337CB"/>
    <w:rsid w:val="00237BBA"/>
    <w:rsid w:val="00241249"/>
    <w:rsid w:val="002448B9"/>
    <w:rsid w:val="00245441"/>
    <w:rsid w:val="00245ADD"/>
    <w:rsid w:val="00251148"/>
    <w:rsid w:val="00251931"/>
    <w:rsid w:val="0025221B"/>
    <w:rsid w:val="002528EB"/>
    <w:rsid w:val="00254DC5"/>
    <w:rsid w:val="002562AD"/>
    <w:rsid w:val="002570F8"/>
    <w:rsid w:val="002577BE"/>
    <w:rsid w:val="002615D5"/>
    <w:rsid w:val="00262C7F"/>
    <w:rsid w:val="00266908"/>
    <w:rsid w:val="0026733B"/>
    <w:rsid w:val="0027063C"/>
    <w:rsid w:val="002715DC"/>
    <w:rsid w:val="00272626"/>
    <w:rsid w:val="00272E2B"/>
    <w:rsid w:val="00283816"/>
    <w:rsid w:val="00283C77"/>
    <w:rsid w:val="00287590"/>
    <w:rsid w:val="00291EBA"/>
    <w:rsid w:val="0029443A"/>
    <w:rsid w:val="002972F0"/>
    <w:rsid w:val="002973C2"/>
    <w:rsid w:val="00297FC4"/>
    <w:rsid w:val="002A0862"/>
    <w:rsid w:val="002A3F4F"/>
    <w:rsid w:val="002A42CB"/>
    <w:rsid w:val="002A4CB2"/>
    <w:rsid w:val="002A4EC0"/>
    <w:rsid w:val="002A5F2C"/>
    <w:rsid w:val="002A7508"/>
    <w:rsid w:val="002B1DD1"/>
    <w:rsid w:val="002B36B8"/>
    <w:rsid w:val="002B5B10"/>
    <w:rsid w:val="002B7EC0"/>
    <w:rsid w:val="002B7FF8"/>
    <w:rsid w:val="002C1335"/>
    <w:rsid w:val="002C1661"/>
    <w:rsid w:val="002C3B3E"/>
    <w:rsid w:val="002C4106"/>
    <w:rsid w:val="002C438C"/>
    <w:rsid w:val="002C5418"/>
    <w:rsid w:val="002C66E3"/>
    <w:rsid w:val="002C685C"/>
    <w:rsid w:val="002C6F47"/>
    <w:rsid w:val="002C7897"/>
    <w:rsid w:val="002C7A97"/>
    <w:rsid w:val="002D0957"/>
    <w:rsid w:val="002D0AA0"/>
    <w:rsid w:val="002D175D"/>
    <w:rsid w:val="002D395E"/>
    <w:rsid w:val="002D3A7E"/>
    <w:rsid w:val="002D51D1"/>
    <w:rsid w:val="002D52EE"/>
    <w:rsid w:val="002D5FBE"/>
    <w:rsid w:val="002D64CB"/>
    <w:rsid w:val="002D6C4A"/>
    <w:rsid w:val="002E08A3"/>
    <w:rsid w:val="002E4584"/>
    <w:rsid w:val="002F222A"/>
    <w:rsid w:val="002F60D0"/>
    <w:rsid w:val="00300D59"/>
    <w:rsid w:val="00302D89"/>
    <w:rsid w:val="00303F0A"/>
    <w:rsid w:val="0030460B"/>
    <w:rsid w:val="00305FBB"/>
    <w:rsid w:val="00310E1A"/>
    <w:rsid w:val="00314B68"/>
    <w:rsid w:val="003162EC"/>
    <w:rsid w:val="003167D9"/>
    <w:rsid w:val="00316A7F"/>
    <w:rsid w:val="00316C52"/>
    <w:rsid w:val="00321E40"/>
    <w:rsid w:val="00324D37"/>
    <w:rsid w:val="003251AE"/>
    <w:rsid w:val="00333383"/>
    <w:rsid w:val="0033361A"/>
    <w:rsid w:val="00334F23"/>
    <w:rsid w:val="00336A12"/>
    <w:rsid w:val="00340277"/>
    <w:rsid w:val="00341314"/>
    <w:rsid w:val="00341D1B"/>
    <w:rsid w:val="00342529"/>
    <w:rsid w:val="00346B10"/>
    <w:rsid w:val="00351BF3"/>
    <w:rsid w:val="003521D5"/>
    <w:rsid w:val="003528FC"/>
    <w:rsid w:val="003531A4"/>
    <w:rsid w:val="0035591D"/>
    <w:rsid w:val="00357DDA"/>
    <w:rsid w:val="00362B35"/>
    <w:rsid w:val="003654CB"/>
    <w:rsid w:val="00370A1A"/>
    <w:rsid w:val="00372CC2"/>
    <w:rsid w:val="00376BA4"/>
    <w:rsid w:val="0037737D"/>
    <w:rsid w:val="00380975"/>
    <w:rsid w:val="00381786"/>
    <w:rsid w:val="003833B4"/>
    <w:rsid w:val="003834AE"/>
    <w:rsid w:val="00384605"/>
    <w:rsid w:val="003860FC"/>
    <w:rsid w:val="00386AD4"/>
    <w:rsid w:val="00393032"/>
    <w:rsid w:val="003948EC"/>
    <w:rsid w:val="003A2C41"/>
    <w:rsid w:val="003A3694"/>
    <w:rsid w:val="003A45A4"/>
    <w:rsid w:val="003A4897"/>
    <w:rsid w:val="003A5D7E"/>
    <w:rsid w:val="003A63B8"/>
    <w:rsid w:val="003B0601"/>
    <w:rsid w:val="003B19F1"/>
    <w:rsid w:val="003B29FE"/>
    <w:rsid w:val="003C1E87"/>
    <w:rsid w:val="003C2936"/>
    <w:rsid w:val="003C5FBE"/>
    <w:rsid w:val="003C6B0B"/>
    <w:rsid w:val="003D0DBF"/>
    <w:rsid w:val="003D1626"/>
    <w:rsid w:val="003D2649"/>
    <w:rsid w:val="003D34EC"/>
    <w:rsid w:val="003D3D61"/>
    <w:rsid w:val="003D4BB5"/>
    <w:rsid w:val="003D51EB"/>
    <w:rsid w:val="003D53EF"/>
    <w:rsid w:val="003D630E"/>
    <w:rsid w:val="003E16F7"/>
    <w:rsid w:val="003E2203"/>
    <w:rsid w:val="003E490F"/>
    <w:rsid w:val="003E60AC"/>
    <w:rsid w:val="003E625E"/>
    <w:rsid w:val="003E688F"/>
    <w:rsid w:val="003E7795"/>
    <w:rsid w:val="003F34A6"/>
    <w:rsid w:val="003F3B5F"/>
    <w:rsid w:val="003F3E8B"/>
    <w:rsid w:val="00400C76"/>
    <w:rsid w:val="00400FC6"/>
    <w:rsid w:val="0040538E"/>
    <w:rsid w:val="00406353"/>
    <w:rsid w:val="004124BB"/>
    <w:rsid w:val="0041434A"/>
    <w:rsid w:val="00414720"/>
    <w:rsid w:val="00415CE1"/>
    <w:rsid w:val="00420378"/>
    <w:rsid w:val="004266C4"/>
    <w:rsid w:val="00427253"/>
    <w:rsid w:val="00431EEF"/>
    <w:rsid w:val="00433AB4"/>
    <w:rsid w:val="0043495D"/>
    <w:rsid w:val="0043560B"/>
    <w:rsid w:val="00435E1A"/>
    <w:rsid w:val="004420AE"/>
    <w:rsid w:val="004427FA"/>
    <w:rsid w:val="00445DAE"/>
    <w:rsid w:val="00450396"/>
    <w:rsid w:val="0045119B"/>
    <w:rsid w:val="004551B7"/>
    <w:rsid w:val="00461A38"/>
    <w:rsid w:val="00461C7C"/>
    <w:rsid w:val="004630B1"/>
    <w:rsid w:val="004639CC"/>
    <w:rsid w:val="00463DF7"/>
    <w:rsid w:val="00474F31"/>
    <w:rsid w:val="00476F4B"/>
    <w:rsid w:val="00480CBB"/>
    <w:rsid w:val="00484162"/>
    <w:rsid w:val="00484977"/>
    <w:rsid w:val="004861CE"/>
    <w:rsid w:val="004872EE"/>
    <w:rsid w:val="004901BA"/>
    <w:rsid w:val="004925BC"/>
    <w:rsid w:val="0049263B"/>
    <w:rsid w:val="00495846"/>
    <w:rsid w:val="004A1A37"/>
    <w:rsid w:val="004A1ECE"/>
    <w:rsid w:val="004A2F61"/>
    <w:rsid w:val="004A66B3"/>
    <w:rsid w:val="004A727D"/>
    <w:rsid w:val="004B1BC1"/>
    <w:rsid w:val="004B3D77"/>
    <w:rsid w:val="004B5EA5"/>
    <w:rsid w:val="004B7A41"/>
    <w:rsid w:val="004B7AAF"/>
    <w:rsid w:val="004C070D"/>
    <w:rsid w:val="004C3346"/>
    <w:rsid w:val="004C4556"/>
    <w:rsid w:val="004C47E9"/>
    <w:rsid w:val="004C6211"/>
    <w:rsid w:val="004C685A"/>
    <w:rsid w:val="004D32D9"/>
    <w:rsid w:val="004D3C1C"/>
    <w:rsid w:val="004D5D69"/>
    <w:rsid w:val="004D6313"/>
    <w:rsid w:val="004D7BE7"/>
    <w:rsid w:val="004E200B"/>
    <w:rsid w:val="004E33FD"/>
    <w:rsid w:val="004E3F18"/>
    <w:rsid w:val="004E7253"/>
    <w:rsid w:val="004F392B"/>
    <w:rsid w:val="004F3BE4"/>
    <w:rsid w:val="004F44A5"/>
    <w:rsid w:val="005047B3"/>
    <w:rsid w:val="005068B1"/>
    <w:rsid w:val="00506A64"/>
    <w:rsid w:val="00507493"/>
    <w:rsid w:val="00507CED"/>
    <w:rsid w:val="0051031C"/>
    <w:rsid w:val="00510F66"/>
    <w:rsid w:val="005110F7"/>
    <w:rsid w:val="00514835"/>
    <w:rsid w:val="00515DF4"/>
    <w:rsid w:val="005160CC"/>
    <w:rsid w:val="00521A24"/>
    <w:rsid w:val="00522A10"/>
    <w:rsid w:val="00522EBF"/>
    <w:rsid w:val="0052331B"/>
    <w:rsid w:val="00523988"/>
    <w:rsid w:val="0052545C"/>
    <w:rsid w:val="00533799"/>
    <w:rsid w:val="00534D9D"/>
    <w:rsid w:val="00535256"/>
    <w:rsid w:val="0053574C"/>
    <w:rsid w:val="0053753F"/>
    <w:rsid w:val="005376F9"/>
    <w:rsid w:val="00542316"/>
    <w:rsid w:val="005434CC"/>
    <w:rsid w:val="00543E8E"/>
    <w:rsid w:val="00546100"/>
    <w:rsid w:val="00546604"/>
    <w:rsid w:val="00550471"/>
    <w:rsid w:val="00550D55"/>
    <w:rsid w:val="005535A0"/>
    <w:rsid w:val="00553E00"/>
    <w:rsid w:val="00555F82"/>
    <w:rsid w:val="005566A5"/>
    <w:rsid w:val="00560910"/>
    <w:rsid w:val="00563F84"/>
    <w:rsid w:val="00564459"/>
    <w:rsid w:val="00565F0D"/>
    <w:rsid w:val="00567E12"/>
    <w:rsid w:val="00570FEF"/>
    <w:rsid w:val="0057223D"/>
    <w:rsid w:val="00574F95"/>
    <w:rsid w:val="00575285"/>
    <w:rsid w:val="00576DB0"/>
    <w:rsid w:val="00580F7C"/>
    <w:rsid w:val="005816BA"/>
    <w:rsid w:val="005817D8"/>
    <w:rsid w:val="00582522"/>
    <w:rsid w:val="005830FC"/>
    <w:rsid w:val="00583290"/>
    <w:rsid w:val="005855DB"/>
    <w:rsid w:val="00586C4E"/>
    <w:rsid w:val="005872D6"/>
    <w:rsid w:val="00590A0C"/>
    <w:rsid w:val="0059188F"/>
    <w:rsid w:val="00594A8C"/>
    <w:rsid w:val="005A0603"/>
    <w:rsid w:val="005A0B65"/>
    <w:rsid w:val="005A1F24"/>
    <w:rsid w:val="005A299B"/>
    <w:rsid w:val="005A3279"/>
    <w:rsid w:val="005A32D4"/>
    <w:rsid w:val="005A3A5B"/>
    <w:rsid w:val="005B10F5"/>
    <w:rsid w:val="005B3904"/>
    <w:rsid w:val="005B5B21"/>
    <w:rsid w:val="005C1396"/>
    <w:rsid w:val="005C1F4E"/>
    <w:rsid w:val="005C2FED"/>
    <w:rsid w:val="005C3AB1"/>
    <w:rsid w:val="005C5D03"/>
    <w:rsid w:val="005C6159"/>
    <w:rsid w:val="005C61A8"/>
    <w:rsid w:val="005C7593"/>
    <w:rsid w:val="005D115C"/>
    <w:rsid w:val="005D5ABD"/>
    <w:rsid w:val="005D7018"/>
    <w:rsid w:val="005E4030"/>
    <w:rsid w:val="005E4335"/>
    <w:rsid w:val="005E45C7"/>
    <w:rsid w:val="005E5546"/>
    <w:rsid w:val="005E6E49"/>
    <w:rsid w:val="005E792A"/>
    <w:rsid w:val="005F1D82"/>
    <w:rsid w:val="005F216C"/>
    <w:rsid w:val="005F4886"/>
    <w:rsid w:val="005F6C6C"/>
    <w:rsid w:val="005F6F4E"/>
    <w:rsid w:val="00600CC4"/>
    <w:rsid w:val="006021BE"/>
    <w:rsid w:val="00602AF2"/>
    <w:rsid w:val="00602D10"/>
    <w:rsid w:val="006040D1"/>
    <w:rsid w:val="0061138A"/>
    <w:rsid w:val="00620649"/>
    <w:rsid w:val="006218FC"/>
    <w:rsid w:val="0062432A"/>
    <w:rsid w:val="006268F0"/>
    <w:rsid w:val="00635E9F"/>
    <w:rsid w:val="0064446C"/>
    <w:rsid w:val="006461D1"/>
    <w:rsid w:val="00646F79"/>
    <w:rsid w:val="00647EDB"/>
    <w:rsid w:val="00650D17"/>
    <w:rsid w:val="00651D9B"/>
    <w:rsid w:val="00651FD9"/>
    <w:rsid w:val="00653117"/>
    <w:rsid w:val="00654870"/>
    <w:rsid w:val="00655E2E"/>
    <w:rsid w:val="00657F40"/>
    <w:rsid w:val="00660C87"/>
    <w:rsid w:val="006617E6"/>
    <w:rsid w:val="006621A2"/>
    <w:rsid w:val="00663CEB"/>
    <w:rsid w:val="006659A5"/>
    <w:rsid w:val="00667454"/>
    <w:rsid w:val="00671CCC"/>
    <w:rsid w:val="00673F2C"/>
    <w:rsid w:val="00676D0E"/>
    <w:rsid w:val="00677900"/>
    <w:rsid w:val="00677A7B"/>
    <w:rsid w:val="00680473"/>
    <w:rsid w:val="00682D55"/>
    <w:rsid w:val="006847E8"/>
    <w:rsid w:val="00690765"/>
    <w:rsid w:val="006928CA"/>
    <w:rsid w:val="006929B8"/>
    <w:rsid w:val="00697822"/>
    <w:rsid w:val="006A20ED"/>
    <w:rsid w:val="006A25F8"/>
    <w:rsid w:val="006A3194"/>
    <w:rsid w:val="006A4299"/>
    <w:rsid w:val="006B07FB"/>
    <w:rsid w:val="006B4B9B"/>
    <w:rsid w:val="006B6220"/>
    <w:rsid w:val="006B6EEC"/>
    <w:rsid w:val="006C2954"/>
    <w:rsid w:val="006C5A07"/>
    <w:rsid w:val="006C623F"/>
    <w:rsid w:val="006E095A"/>
    <w:rsid w:val="006E2383"/>
    <w:rsid w:val="006E3958"/>
    <w:rsid w:val="006E707B"/>
    <w:rsid w:val="006F0742"/>
    <w:rsid w:val="006F1E5D"/>
    <w:rsid w:val="006F3F74"/>
    <w:rsid w:val="006F5622"/>
    <w:rsid w:val="006F5F17"/>
    <w:rsid w:val="006F6505"/>
    <w:rsid w:val="00704781"/>
    <w:rsid w:val="00705B4E"/>
    <w:rsid w:val="00707051"/>
    <w:rsid w:val="00707E86"/>
    <w:rsid w:val="00713E17"/>
    <w:rsid w:val="0071441B"/>
    <w:rsid w:val="00714BA8"/>
    <w:rsid w:val="007201C9"/>
    <w:rsid w:val="007252FA"/>
    <w:rsid w:val="007260A2"/>
    <w:rsid w:val="00726347"/>
    <w:rsid w:val="007265DC"/>
    <w:rsid w:val="00726F29"/>
    <w:rsid w:val="00734249"/>
    <w:rsid w:val="007375CA"/>
    <w:rsid w:val="007415A7"/>
    <w:rsid w:val="007424FB"/>
    <w:rsid w:val="00742D0D"/>
    <w:rsid w:val="007433FE"/>
    <w:rsid w:val="00743AFA"/>
    <w:rsid w:val="00745972"/>
    <w:rsid w:val="00746771"/>
    <w:rsid w:val="007505C8"/>
    <w:rsid w:val="007507CA"/>
    <w:rsid w:val="007508A6"/>
    <w:rsid w:val="00751920"/>
    <w:rsid w:val="00751E3C"/>
    <w:rsid w:val="00751ECA"/>
    <w:rsid w:val="00757597"/>
    <w:rsid w:val="00757826"/>
    <w:rsid w:val="0076065A"/>
    <w:rsid w:val="0076184E"/>
    <w:rsid w:val="00762C3B"/>
    <w:rsid w:val="00765DB1"/>
    <w:rsid w:val="007665AD"/>
    <w:rsid w:val="00771CB8"/>
    <w:rsid w:val="00771FAD"/>
    <w:rsid w:val="00773972"/>
    <w:rsid w:val="00774FE2"/>
    <w:rsid w:val="00776DB9"/>
    <w:rsid w:val="007770A7"/>
    <w:rsid w:val="007773AC"/>
    <w:rsid w:val="0078079A"/>
    <w:rsid w:val="00790977"/>
    <w:rsid w:val="00790D50"/>
    <w:rsid w:val="00792BA2"/>
    <w:rsid w:val="0079691E"/>
    <w:rsid w:val="00797830"/>
    <w:rsid w:val="007A0580"/>
    <w:rsid w:val="007A14E0"/>
    <w:rsid w:val="007A5D12"/>
    <w:rsid w:val="007A5D2E"/>
    <w:rsid w:val="007B071C"/>
    <w:rsid w:val="007B6111"/>
    <w:rsid w:val="007C0FBD"/>
    <w:rsid w:val="007C2D78"/>
    <w:rsid w:val="007C3423"/>
    <w:rsid w:val="007C49B6"/>
    <w:rsid w:val="007C4C6D"/>
    <w:rsid w:val="007C6F10"/>
    <w:rsid w:val="007C7B58"/>
    <w:rsid w:val="007D1A14"/>
    <w:rsid w:val="007D1EBA"/>
    <w:rsid w:val="007D2B0E"/>
    <w:rsid w:val="007E1186"/>
    <w:rsid w:val="007E186A"/>
    <w:rsid w:val="007E209B"/>
    <w:rsid w:val="007E5B03"/>
    <w:rsid w:val="007F0B82"/>
    <w:rsid w:val="007F1623"/>
    <w:rsid w:val="007F3E54"/>
    <w:rsid w:val="007F4AF6"/>
    <w:rsid w:val="008001EF"/>
    <w:rsid w:val="008003C9"/>
    <w:rsid w:val="008009FE"/>
    <w:rsid w:val="0080106B"/>
    <w:rsid w:val="00802B0F"/>
    <w:rsid w:val="0080519C"/>
    <w:rsid w:val="00805974"/>
    <w:rsid w:val="00806825"/>
    <w:rsid w:val="00807363"/>
    <w:rsid w:val="0081271B"/>
    <w:rsid w:val="00813770"/>
    <w:rsid w:val="008146AB"/>
    <w:rsid w:val="008159D3"/>
    <w:rsid w:val="00815D2D"/>
    <w:rsid w:val="0081780F"/>
    <w:rsid w:val="00820D10"/>
    <w:rsid w:val="00830D19"/>
    <w:rsid w:val="008313BF"/>
    <w:rsid w:val="008318DF"/>
    <w:rsid w:val="00831A2B"/>
    <w:rsid w:val="008357E5"/>
    <w:rsid w:val="00835EA8"/>
    <w:rsid w:val="00836E28"/>
    <w:rsid w:val="00837E1E"/>
    <w:rsid w:val="008425BF"/>
    <w:rsid w:val="0084486F"/>
    <w:rsid w:val="00852135"/>
    <w:rsid w:val="0085540D"/>
    <w:rsid w:val="008578A1"/>
    <w:rsid w:val="00860856"/>
    <w:rsid w:val="00860E62"/>
    <w:rsid w:val="00861147"/>
    <w:rsid w:val="0086178F"/>
    <w:rsid w:val="008617B5"/>
    <w:rsid w:val="00864452"/>
    <w:rsid w:val="00866ED8"/>
    <w:rsid w:val="008671DB"/>
    <w:rsid w:val="0087107E"/>
    <w:rsid w:val="00873F1D"/>
    <w:rsid w:val="00877E44"/>
    <w:rsid w:val="008815D9"/>
    <w:rsid w:val="00881C9F"/>
    <w:rsid w:val="00883B1B"/>
    <w:rsid w:val="008868A7"/>
    <w:rsid w:val="00892714"/>
    <w:rsid w:val="00893803"/>
    <w:rsid w:val="008941C5"/>
    <w:rsid w:val="008968AF"/>
    <w:rsid w:val="00897C4C"/>
    <w:rsid w:val="008A1536"/>
    <w:rsid w:val="008A52E3"/>
    <w:rsid w:val="008A5831"/>
    <w:rsid w:val="008A664B"/>
    <w:rsid w:val="008A72AA"/>
    <w:rsid w:val="008B00C4"/>
    <w:rsid w:val="008B0160"/>
    <w:rsid w:val="008B0B5E"/>
    <w:rsid w:val="008B16B5"/>
    <w:rsid w:val="008B59A8"/>
    <w:rsid w:val="008B6FAC"/>
    <w:rsid w:val="008C0446"/>
    <w:rsid w:val="008C0994"/>
    <w:rsid w:val="008C3C25"/>
    <w:rsid w:val="008C3F8B"/>
    <w:rsid w:val="008C56E7"/>
    <w:rsid w:val="008C7B5E"/>
    <w:rsid w:val="008D1EA8"/>
    <w:rsid w:val="008D3A0F"/>
    <w:rsid w:val="008D475E"/>
    <w:rsid w:val="008D4860"/>
    <w:rsid w:val="008D60CC"/>
    <w:rsid w:val="008D7C00"/>
    <w:rsid w:val="008E0922"/>
    <w:rsid w:val="008E0BA0"/>
    <w:rsid w:val="008E1FD9"/>
    <w:rsid w:val="008E28E3"/>
    <w:rsid w:val="008F17A0"/>
    <w:rsid w:val="008F1AE8"/>
    <w:rsid w:val="008F2599"/>
    <w:rsid w:val="008F5E47"/>
    <w:rsid w:val="00900EA4"/>
    <w:rsid w:val="009027D1"/>
    <w:rsid w:val="0090560C"/>
    <w:rsid w:val="00905DF0"/>
    <w:rsid w:val="009067A7"/>
    <w:rsid w:val="0090753E"/>
    <w:rsid w:val="00907C3B"/>
    <w:rsid w:val="0091136C"/>
    <w:rsid w:val="00911D55"/>
    <w:rsid w:val="009136EE"/>
    <w:rsid w:val="009152CE"/>
    <w:rsid w:val="00920D8D"/>
    <w:rsid w:val="00921200"/>
    <w:rsid w:val="00927DB6"/>
    <w:rsid w:val="00934FAE"/>
    <w:rsid w:val="00935134"/>
    <w:rsid w:val="0094029E"/>
    <w:rsid w:val="00940D3E"/>
    <w:rsid w:val="00940DA7"/>
    <w:rsid w:val="00943C98"/>
    <w:rsid w:val="009459E0"/>
    <w:rsid w:val="009469FD"/>
    <w:rsid w:val="009476CA"/>
    <w:rsid w:val="00951E45"/>
    <w:rsid w:val="0095351D"/>
    <w:rsid w:val="00953FE1"/>
    <w:rsid w:val="0095673D"/>
    <w:rsid w:val="009575D3"/>
    <w:rsid w:val="00961728"/>
    <w:rsid w:val="00961BA8"/>
    <w:rsid w:val="00967A08"/>
    <w:rsid w:val="00967B69"/>
    <w:rsid w:val="00972EA6"/>
    <w:rsid w:val="009736CB"/>
    <w:rsid w:val="00973E90"/>
    <w:rsid w:val="009743E9"/>
    <w:rsid w:val="00975828"/>
    <w:rsid w:val="00976A51"/>
    <w:rsid w:val="009773D4"/>
    <w:rsid w:val="009776CE"/>
    <w:rsid w:val="00980663"/>
    <w:rsid w:val="009810D1"/>
    <w:rsid w:val="00981C01"/>
    <w:rsid w:val="0099030A"/>
    <w:rsid w:val="009934CD"/>
    <w:rsid w:val="00993C85"/>
    <w:rsid w:val="00996174"/>
    <w:rsid w:val="00996B7F"/>
    <w:rsid w:val="009978AA"/>
    <w:rsid w:val="009B0BA2"/>
    <w:rsid w:val="009B1505"/>
    <w:rsid w:val="009B5955"/>
    <w:rsid w:val="009B7C02"/>
    <w:rsid w:val="009B7E70"/>
    <w:rsid w:val="009C3102"/>
    <w:rsid w:val="009C34C6"/>
    <w:rsid w:val="009C3952"/>
    <w:rsid w:val="009C5518"/>
    <w:rsid w:val="009C5BE4"/>
    <w:rsid w:val="009C7687"/>
    <w:rsid w:val="009C78E2"/>
    <w:rsid w:val="009D6443"/>
    <w:rsid w:val="009D6DF4"/>
    <w:rsid w:val="009E0905"/>
    <w:rsid w:val="009E257F"/>
    <w:rsid w:val="009E5316"/>
    <w:rsid w:val="009F0845"/>
    <w:rsid w:val="009F0AB0"/>
    <w:rsid w:val="009F1F26"/>
    <w:rsid w:val="009F6364"/>
    <w:rsid w:val="009F7F34"/>
    <w:rsid w:val="00A00802"/>
    <w:rsid w:val="00A019EB"/>
    <w:rsid w:val="00A028AE"/>
    <w:rsid w:val="00A04FD4"/>
    <w:rsid w:val="00A05BD2"/>
    <w:rsid w:val="00A05FF9"/>
    <w:rsid w:val="00A06407"/>
    <w:rsid w:val="00A07AF2"/>
    <w:rsid w:val="00A11E3A"/>
    <w:rsid w:val="00A146FD"/>
    <w:rsid w:val="00A150F8"/>
    <w:rsid w:val="00A15894"/>
    <w:rsid w:val="00A1607A"/>
    <w:rsid w:val="00A16A2B"/>
    <w:rsid w:val="00A17A80"/>
    <w:rsid w:val="00A17EDD"/>
    <w:rsid w:val="00A21110"/>
    <w:rsid w:val="00A22270"/>
    <w:rsid w:val="00A227BA"/>
    <w:rsid w:val="00A265AB"/>
    <w:rsid w:val="00A27874"/>
    <w:rsid w:val="00A30375"/>
    <w:rsid w:val="00A31C8D"/>
    <w:rsid w:val="00A40A5E"/>
    <w:rsid w:val="00A44230"/>
    <w:rsid w:val="00A45C85"/>
    <w:rsid w:val="00A547D4"/>
    <w:rsid w:val="00A55A67"/>
    <w:rsid w:val="00A56FA0"/>
    <w:rsid w:val="00A57D5E"/>
    <w:rsid w:val="00A603DB"/>
    <w:rsid w:val="00A60F25"/>
    <w:rsid w:val="00A620B3"/>
    <w:rsid w:val="00A64552"/>
    <w:rsid w:val="00A656D8"/>
    <w:rsid w:val="00A657CB"/>
    <w:rsid w:val="00A67324"/>
    <w:rsid w:val="00A67FB5"/>
    <w:rsid w:val="00A742C2"/>
    <w:rsid w:val="00A7578B"/>
    <w:rsid w:val="00A853BB"/>
    <w:rsid w:val="00A85BD3"/>
    <w:rsid w:val="00A87472"/>
    <w:rsid w:val="00A9404C"/>
    <w:rsid w:val="00A95A42"/>
    <w:rsid w:val="00A962EE"/>
    <w:rsid w:val="00A9724B"/>
    <w:rsid w:val="00A97877"/>
    <w:rsid w:val="00AA17DD"/>
    <w:rsid w:val="00AA1A25"/>
    <w:rsid w:val="00AA301A"/>
    <w:rsid w:val="00AA35B8"/>
    <w:rsid w:val="00AA36BF"/>
    <w:rsid w:val="00AA5594"/>
    <w:rsid w:val="00AA5715"/>
    <w:rsid w:val="00AA67A4"/>
    <w:rsid w:val="00AA7319"/>
    <w:rsid w:val="00AA7FD9"/>
    <w:rsid w:val="00AB0009"/>
    <w:rsid w:val="00AB53C4"/>
    <w:rsid w:val="00AB6EE8"/>
    <w:rsid w:val="00AC0B09"/>
    <w:rsid w:val="00AC0B35"/>
    <w:rsid w:val="00AC2BA7"/>
    <w:rsid w:val="00AC7957"/>
    <w:rsid w:val="00AC7B48"/>
    <w:rsid w:val="00AD25AA"/>
    <w:rsid w:val="00AD29CC"/>
    <w:rsid w:val="00AD5771"/>
    <w:rsid w:val="00AD67E3"/>
    <w:rsid w:val="00AE078B"/>
    <w:rsid w:val="00AE1685"/>
    <w:rsid w:val="00AE1D1C"/>
    <w:rsid w:val="00AE222A"/>
    <w:rsid w:val="00AE45D8"/>
    <w:rsid w:val="00AE46D8"/>
    <w:rsid w:val="00AF1AF2"/>
    <w:rsid w:val="00AF2BDA"/>
    <w:rsid w:val="00B014CD"/>
    <w:rsid w:val="00B024BA"/>
    <w:rsid w:val="00B038CA"/>
    <w:rsid w:val="00B03E45"/>
    <w:rsid w:val="00B04B84"/>
    <w:rsid w:val="00B04FF5"/>
    <w:rsid w:val="00B06B9A"/>
    <w:rsid w:val="00B1247D"/>
    <w:rsid w:val="00B12847"/>
    <w:rsid w:val="00B13511"/>
    <w:rsid w:val="00B15E7A"/>
    <w:rsid w:val="00B168D9"/>
    <w:rsid w:val="00B17628"/>
    <w:rsid w:val="00B206BD"/>
    <w:rsid w:val="00B208BF"/>
    <w:rsid w:val="00B2173B"/>
    <w:rsid w:val="00B30036"/>
    <w:rsid w:val="00B30996"/>
    <w:rsid w:val="00B30D18"/>
    <w:rsid w:val="00B327E6"/>
    <w:rsid w:val="00B34CA3"/>
    <w:rsid w:val="00B42B0D"/>
    <w:rsid w:val="00B441CA"/>
    <w:rsid w:val="00B44D95"/>
    <w:rsid w:val="00B460B3"/>
    <w:rsid w:val="00B46278"/>
    <w:rsid w:val="00B46720"/>
    <w:rsid w:val="00B46F34"/>
    <w:rsid w:val="00B51325"/>
    <w:rsid w:val="00B54097"/>
    <w:rsid w:val="00B540F7"/>
    <w:rsid w:val="00B563BD"/>
    <w:rsid w:val="00B607F3"/>
    <w:rsid w:val="00B617A2"/>
    <w:rsid w:val="00B644DE"/>
    <w:rsid w:val="00B66C60"/>
    <w:rsid w:val="00B72258"/>
    <w:rsid w:val="00B737C6"/>
    <w:rsid w:val="00B763A4"/>
    <w:rsid w:val="00B763E7"/>
    <w:rsid w:val="00B8105B"/>
    <w:rsid w:val="00B93839"/>
    <w:rsid w:val="00B95826"/>
    <w:rsid w:val="00B95FBE"/>
    <w:rsid w:val="00B96A64"/>
    <w:rsid w:val="00BA0692"/>
    <w:rsid w:val="00BA3111"/>
    <w:rsid w:val="00BA4016"/>
    <w:rsid w:val="00BA4AC1"/>
    <w:rsid w:val="00BB157F"/>
    <w:rsid w:val="00BB5CCE"/>
    <w:rsid w:val="00BC18C2"/>
    <w:rsid w:val="00BC38A8"/>
    <w:rsid w:val="00BC7BB7"/>
    <w:rsid w:val="00BC7CE5"/>
    <w:rsid w:val="00BD2067"/>
    <w:rsid w:val="00BD4082"/>
    <w:rsid w:val="00BD70F7"/>
    <w:rsid w:val="00BE0C08"/>
    <w:rsid w:val="00BE1160"/>
    <w:rsid w:val="00BE11EE"/>
    <w:rsid w:val="00BE7B13"/>
    <w:rsid w:val="00BF1472"/>
    <w:rsid w:val="00BF36F5"/>
    <w:rsid w:val="00BF71E3"/>
    <w:rsid w:val="00BF731E"/>
    <w:rsid w:val="00C00336"/>
    <w:rsid w:val="00C009B8"/>
    <w:rsid w:val="00C016DA"/>
    <w:rsid w:val="00C0515D"/>
    <w:rsid w:val="00C066E3"/>
    <w:rsid w:val="00C06916"/>
    <w:rsid w:val="00C0694F"/>
    <w:rsid w:val="00C06AFD"/>
    <w:rsid w:val="00C15059"/>
    <w:rsid w:val="00C1737B"/>
    <w:rsid w:val="00C213BB"/>
    <w:rsid w:val="00C21B49"/>
    <w:rsid w:val="00C21BD1"/>
    <w:rsid w:val="00C2317F"/>
    <w:rsid w:val="00C243C9"/>
    <w:rsid w:val="00C2476F"/>
    <w:rsid w:val="00C24835"/>
    <w:rsid w:val="00C3083D"/>
    <w:rsid w:val="00C30B41"/>
    <w:rsid w:val="00C31655"/>
    <w:rsid w:val="00C37187"/>
    <w:rsid w:val="00C37909"/>
    <w:rsid w:val="00C40CE1"/>
    <w:rsid w:val="00C40D5E"/>
    <w:rsid w:val="00C41EF4"/>
    <w:rsid w:val="00C43B30"/>
    <w:rsid w:val="00C44C3E"/>
    <w:rsid w:val="00C456D3"/>
    <w:rsid w:val="00C4590A"/>
    <w:rsid w:val="00C506D7"/>
    <w:rsid w:val="00C5610A"/>
    <w:rsid w:val="00C5654C"/>
    <w:rsid w:val="00C5681E"/>
    <w:rsid w:val="00C570D8"/>
    <w:rsid w:val="00C60A57"/>
    <w:rsid w:val="00C6174E"/>
    <w:rsid w:val="00C62050"/>
    <w:rsid w:val="00C62916"/>
    <w:rsid w:val="00C629DD"/>
    <w:rsid w:val="00C62AE0"/>
    <w:rsid w:val="00C64C8B"/>
    <w:rsid w:val="00C658E8"/>
    <w:rsid w:val="00C66CEA"/>
    <w:rsid w:val="00C70DD8"/>
    <w:rsid w:val="00C715CB"/>
    <w:rsid w:val="00C728B9"/>
    <w:rsid w:val="00C747A1"/>
    <w:rsid w:val="00C74C69"/>
    <w:rsid w:val="00C77E45"/>
    <w:rsid w:val="00C8098E"/>
    <w:rsid w:val="00C92118"/>
    <w:rsid w:val="00C92F02"/>
    <w:rsid w:val="00C93370"/>
    <w:rsid w:val="00C964A4"/>
    <w:rsid w:val="00C97932"/>
    <w:rsid w:val="00C979CE"/>
    <w:rsid w:val="00CA05BB"/>
    <w:rsid w:val="00CA1B2B"/>
    <w:rsid w:val="00CA2D31"/>
    <w:rsid w:val="00CA5973"/>
    <w:rsid w:val="00CA722A"/>
    <w:rsid w:val="00CA7A9C"/>
    <w:rsid w:val="00CB1534"/>
    <w:rsid w:val="00CB1801"/>
    <w:rsid w:val="00CB1A12"/>
    <w:rsid w:val="00CB5932"/>
    <w:rsid w:val="00CB6610"/>
    <w:rsid w:val="00CC04CC"/>
    <w:rsid w:val="00CC06D0"/>
    <w:rsid w:val="00CD188A"/>
    <w:rsid w:val="00CD354D"/>
    <w:rsid w:val="00CD5B5F"/>
    <w:rsid w:val="00CD6509"/>
    <w:rsid w:val="00CE20E8"/>
    <w:rsid w:val="00CE33BE"/>
    <w:rsid w:val="00CE3488"/>
    <w:rsid w:val="00CE3C8A"/>
    <w:rsid w:val="00CE7434"/>
    <w:rsid w:val="00CF03F5"/>
    <w:rsid w:val="00CF20C5"/>
    <w:rsid w:val="00CF2862"/>
    <w:rsid w:val="00CF2A32"/>
    <w:rsid w:val="00CF57E9"/>
    <w:rsid w:val="00D01701"/>
    <w:rsid w:val="00D03AAF"/>
    <w:rsid w:val="00D05E1C"/>
    <w:rsid w:val="00D06CC1"/>
    <w:rsid w:val="00D1254A"/>
    <w:rsid w:val="00D12AFC"/>
    <w:rsid w:val="00D16E71"/>
    <w:rsid w:val="00D2032C"/>
    <w:rsid w:val="00D20E34"/>
    <w:rsid w:val="00D2313B"/>
    <w:rsid w:val="00D23363"/>
    <w:rsid w:val="00D25FE1"/>
    <w:rsid w:val="00D26E64"/>
    <w:rsid w:val="00D30591"/>
    <w:rsid w:val="00D3061D"/>
    <w:rsid w:val="00D30EEB"/>
    <w:rsid w:val="00D3423E"/>
    <w:rsid w:val="00D35ECF"/>
    <w:rsid w:val="00D367C1"/>
    <w:rsid w:val="00D40C45"/>
    <w:rsid w:val="00D40F31"/>
    <w:rsid w:val="00D413AA"/>
    <w:rsid w:val="00D447AE"/>
    <w:rsid w:val="00D50312"/>
    <w:rsid w:val="00D541BF"/>
    <w:rsid w:val="00D54DD8"/>
    <w:rsid w:val="00D55901"/>
    <w:rsid w:val="00D602B2"/>
    <w:rsid w:val="00D62F7A"/>
    <w:rsid w:val="00D6570B"/>
    <w:rsid w:val="00D675BD"/>
    <w:rsid w:val="00D80755"/>
    <w:rsid w:val="00D840C0"/>
    <w:rsid w:val="00D865FD"/>
    <w:rsid w:val="00D86FDF"/>
    <w:rsid w:val="00D872FE"/>
    <w:rsid w:val="00D913B5"/>
    <w:rsid w:val="00D91FF4"/>
    <w:rsid w:val="00D92449"/>
    <w:rsid w:val="00D94813"/>
    <w:rsid w:val="00D9589C"/>
    <w:rsid w:val="00DA1286"/>
    <w:rsid w:val="00DA2B1C"/>
    <w:rsid w:val="00DA2E3B"/>
    <w:rsid w:val="00DA7AC6"/>
    <w:rsid w:val="00DB0FF7"/>
    <w:rsid w:val="00DB41A5"/>
    <w:rsid w:val="00DB4993"/>
    <w:rsid w:val="00DB56D8"/>
    <w:rsid w:val="00DB58CE"/>
    <w:rsid w:val="00DB5D56"/>
    <w:rsid w:val="00DC64AA"/>
    <w:rsid w:val="00DC7117"/>
    <w:rsid w:val="00DC7404"/>
    <w:rsid w:val="00DD1C9C"/>
    <w:rsid w:val="00DD4BCF"/>
    <w:rsid w:val="00DE236D"/>
    <w:rsid w:val="00DE32B4"/>
    <w:rsid w:val="00DE3787"/>
    <w:rsid w:val="00DE40B8"/>
    <w:rsid w:val="00DE54BC"/>
    <w:rsid w:val="00DE6E33"/>
    <w:rsid w:val="00DF0A6A"/>
    <w:rsid w:val="00DF1570"/>
    <w:rsid w:val="00DF3282"/>
    <w:rsid w:val="00DF3E5F"/>
    <w:rsid w:val="00DF4754"/>
    <w:rsid w:val="00E029B5"/>
    <w:rsid w:val="00E04514"/>
    <w:rsid w:val="00E10165"/>
    <w:rsid w:val="00E10639"/>
    <w:rsid w:val="00E146BA"/>
    <w:rsid w:val="00E15424"/>
    <w:rsid w:val="00E274C8"/>
    <w:rsid w:val="00E30B3B"/>
    <w:rsid w:val="00E32537"/>
    <w:rsid w:val="00E34148"/>
    <w:rsid w:val="00E37198"/>
    <w:rsid w:val="00E37674"/>
    <w:rsid w:val="00E413E7"/>
    <w:rsid w:val="00E42712"/>
    <w:rsid w:val="00E50702"/>
    <w:rsid w:val="00E5155C"/>
    <w:rsid w:val="00E55796"/>
    <w:rsid w:val="00E57C1E"/>
    <w:rsid w:val="00E636FD"/>
    <w:rsid w:val="00E64018"/>
    <w:rsid w:val="00E6591F"/>
    <w:rsid w:val="00E65E18"/>
    <w:rsid w:val="00E67501"/>
    <w:rsid w:val="00E71271"/>
    <w:rsid w:val="00E718BA"/>
    <w:rsid w:val="00E722AC"/>
    <w:rsid w:val="00E73EFA"/>
    <w:rsid w:val="00E7510B"/>
    <w:rsid w:val="00E7594B"/>
    <w:rsid w:val="00E766AF"/>
    <w:rsid w:val="00E76A83"/>
    <w:rsid w:val="00E77235"/>
    <w:rsid w:val="00E77B8A"/>
    <w:rsid w:val="00E807A9"/>
    <w:rsid w:val="00E815A5"/>
    <w:rsid w:val="00E8630C"/>
    <w:rsid w:val="00E86A31"/>
    <w:rsid w:val="00E938A9"/>
    <w:rsid w:val="00E940C5"/>
    <w:rsid w:val="00E9658B"/>
    <w:rsid w:val="00E9661E"/>
    <w:rsid w:val="00E977B3"/>
    <w:rsid w:val="00EA055E"/>
    <w:rsid w:val="00EA1939"/>
    <w:rsid w:val="00EA547A"/>
    <w:rsid w:val="00EA65F6"/>
    <w:rsid w:val="00EB34C7"/>
    <w:rsid w:val="00EB4630"/>
    <w:rsid w:val="00EB5515"/>
    <w:rsid w:val="00EB5A58"/>
    <w:rsid w:val="00EB5FCE"/>
    <w:rsid w:val="00EB62B2"/>
    <w:rsid w:val="00EB6501"/>
    <w:rsid w:val="00EB7B27"/>
    <w:rsid w:val="00EC35D1"/>
    <w:rsid w:val="00EC5800"/>
    <w:rsid w:val="00EC6668"/>
    <w:rsid w:val="00EC7549"/>
    <w:rsid w:val="00EC7C5C"/>
    <w:rsid w:val="00EC7D72"/>
    <w:rsid w:val="00ED2D1D"/>
    <w:rsid w:val="00ED2D55"/>
    <w:rsid w:val="00EE1A58"/>
    <w:rsid w:val="00EE22C5"/>
    <w:rsid w:val="00EE24C7"/>
    <w:rsid w:val="00EE39EE"/>
    <w:rsid w:val="00EE3E05"/>
    <w:rsid w:val="00EE6F12"/>
    <w:rsid w:val="00EE746F"/>
    <w:rsid w:val="00EF2C80"/>
    <w:rsid w:val="00EF3692"/>
    <w:rsid w:val="00EF4867"/>
    <w:rsid w:val="00F02B20"/>
    <w:rsid w:val="00F03510"/>
    <w:rsid w:val="00F03937"/>
    <w:rsid w:val="00F05490"/>
    <w:rsid w:val="00F064C8"/>
    <w:rsid w:val="00F108F9"/>
    <w:rsid w:val="00F1323D"/>
    <w:rsid w:val="00F1334E"/>
    <w:rsid w:val="00F15649"/>
    <w:rsid w:val="00F15C80"/>
    <w:rsid w:val="00F15EEA"/>
    <w:rsid w:val="00F16884"/>
    <w:rsid w:val="00F17F8F"/>
    <w:rsid w:val="00F222B3"/>
    <w:rsid w:val="00F244AC"/>
    <w:rsid w:val="00F255DB"/>
    <w:rsid w:val="00F3438A"/>
    <w:rsid w:val="00F34FAD"/>
    <w:rsid w:val="00F353DC"/>
    <w:rsid w:val="00F3569D"/>
    <w:rsid w:val="00F40302"/>
    <w:rsid w:val="00F41015"/>
    <w:rsid w:val="00F439F7"/>
    <w:rsid w:val="00F45792"/>
    <w:rsid w:val="00F512CB"/>
    <w:rsid w:val="00F52443"/>
    <w:rsid w:val="00F527F7"/>
    <w:rsid w:val="00F545A6"/>
    <w:rsid w:val="00F56E07"/>
    <w:rsid w:val="00F57325"/>
    <w:rsid w:val="00F57EAA"/>
    <w:rsid w:val="00F57FE7"/>
    <w:rsid w:val="00F65C39"/>
    <w:rsid w:val="00F65F85"/>
    <w:rsid w:val="00F66198"/>
    <w:rsid w:val="00F709FC"/>
    <w:rsid w:val="00F73B74"/>
    <w:rsid w:val="00F74B85"/>
    <w:rsid w:val="00F80448"/>
    <w:rsid w:val="00F81D01"/>
    <w:rsid w:val="00F84C32"/>
    <w:rsid w:val="00F87F72"/>
    <w:rsid w:val="00F9022D"/>
    <w:rsid w:val="00F9162E"/>
    <w:rsid w:val="00F9280D"/>
    <w:rsid w:val="00F968BD"/>
    <w:rsid w:val="00F969BD"/>
    <w:rsid w:val="00FA173C"/>
    <w:rsid w:val="00FA210F"/>
    <w:rsid w:val="00FA260C"/>
    <w:rsid w:val="00FA54F0"/>
    <w:rsid w:val="00FA5806"/>
    <w:rsid w:val="00FA747D"/>
    <w:rsid w:val="00FA7967"/>
    <w:rsid w:val="00FB03B5"/>
    <w:rsid w:val="00FB0DAA"/>
    <w:rsid w:val="00FB0EBC"/>
    <w:rsid w:val="00FB24B7"/>
    <w:rsid w:val="00FB33B4"/>
    <w:rsid w:val="00FB3622"/>
    <w:rsid w:val="00FB3F08"/>
    <w:rsid w:val="00FB58B2"/>
    <w:rsid w:val="00FB65DB"/>
    <w:rsid w:val="00FB675E"/>
    <w:rsid w:val="00FB721B"/>
    <w:rsid w:val="00FC1556"/>
    <w:rsid w:val="00FC2963"/>
    <w:rsid w:val="00FC3760"/>
    <w:rsid w:val="00FC73AA"/>
    <w:rsid w:val="00FC76F9"/>
    <w:rsid w:val="00FC7EDE"/>
    <w:rsid w:val="00FD0258"/>
    <w:rsid w:val="00FD3FCF"/>
    <w:rsid w:val="00FD52A0"/>
    <w:rsid w:val="00FE0115"/>
    <w:rsid w:val="00FE10DD"/>
    <w:rsid w:val="00FE1FC1"/>
    <w:rsid w:val="00FE23C8"/>
    <w:rsid w:val="00FE392A"/>
    <w:rsid w:val="00FF2CA1"/>
    <w:rsid w:val="00FF4DA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9A43657-7F71-4521-B855-C457679D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3BD"/>
    <w:rPr>
      <w:sz w:val="24"/>
      <w:szCs w:val="24"/>
    </w:rPr>
  </w:style>
  <w:style w:type="paragraph" w:styleId="Heading1">
    <w:name w:val="heading 1"/>
    <w:basedOn w:val="Normal"/>
    <w:link w:val="Heading1Char"/>
    <w:uiPriority w:val="99"/>
    <w:qFormat/>
    <w:rsid w:val="005B5B21"/>
    <w:pPr>
      <w:spacing w:before="100" w:beforeAutospacing="1" w:after="100" w:afterAutospacing="1"/>
      <w:ind w:right="120"/>
      <w:outlineLvl w:val="0"/>
    </w:pPr>
    <w:rPr>
      <w:rFonts w:ascii="Arial" w:hAnsi="Arial"/>
      <w:bCs/>
      <w:color w:val="00A03A"/>
      <w:kern w:val="36"/>
      <w:sz w:val="36"/>
      <w:szCs w:val="48"/>
    </w:rPr>
  </w:style>
  <w:style w:type="paragraph" w:styleId="Heading2">
    <w:name w:val="heading 2"/>
    <w:basedOn w:val="Heading4"/>
    <w:link w:val="Heading2Char"/>
    <w:uiPriority w:val="99"/>
    <w:qFormat/>
    <w:rsid w:val="005B5B21"/>
    <w:pPr>
      <w:jc w:val="both"/>
      <w:outlineLvl w:val="1"/>
    </w:pPr>
    <w:rPr>
      <w:rFonts w:ascii="Arial" w:hAnsi="Arial"/>
      <w:iCs w:val="0"/>
      <w:color w:val="005CB9"/>
      <w:szCs w:val="36"/>
    </w:rPr>
  </w:style>
  <w:style w:type="paragraph" w:styleId="Heading3">
    <w:name w:val="heading 3"/>
    <w:basedOn w:val="Normal"/>
    <w:link w:val="Heading3Char"/>
    <w:uiPriority w:val="99"/>
    <w:qFormat/>
    <w:rsid w:val="00B563B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unhideWhenUsed/>
    <w:qFormat/>
    <w:rsid w:val="005E4335"/>
    <w:pPr>
      <w:keepNext/>
      <w:keepLines/>
      <w:spacing w:before="200"/>
      <w:outlineLvl w:val="3"/>
    </w:pPr>
    <w:rPr>
      <w:rFonts w:ascii="Cambria" w:hAnsi="Cambria"/>
      <w:b/>
      <w:bCs/>
      <w:i/>
      <w:iCs/>
      <w:color w:val="4F81BD"/>
    </w:rPr>
  </w:style>
  <w:style w:type="paragraph" w:styleId="Heading8">
    <w:name w:val="heading 8"/>
    <w:basedOn w:val="Normal"/>
    <w:next w:val="Normal"/>
    <w:link w:val="Heading8Char"/>
    <w:uiPriority w:val="99"/>
    <w:unhideWhenUsed/>
    <w:qFormat/>
    <w:rsid w:val="005E4335"/>
    <w:pPr>
      <w:keepNext/>
      <w:keepLines/>
      <w:spacing w:before="20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563BD"/>
    <w:rPr>
      <w:color w:val="0000FF"/>
      <w:u w:val="single"/>
    </w:rPr>
  </w:style>
  <w:style w:type="character" w:styleId="FollowedHyperlink">
    <w:name w:val="FollowedHyperlink"/>
    <w:rsid w:val="00B563BD"/>
    <w:rPr>
      <w:color w:val="0000FF"/>
      <w:u w:val="single"/>
    </w:rPr>
  </w:style>
  <w:style w:type="paragraph" w:styleId="NormalWeb">
    <w:name w:val="Normal (Web)"/>
    <w:basedOn w:val="Normal"/>
    <w:uiPriority w:val="99"/>
    <w:rsid w:val="00B563BD"/>
    <w:pPr>
      <w:spacing w:before="100" w:beforeAutospacing="1" w:after="100" w:afterAutospacing="1"/>
    </w:pPr>
  </w:style>
  <w:style w:type="paragraph" w:styleId="Header">
    <w:name w:val="header"/>
    <w:basedOn w:val="Normal"/>
    <w:link w:val="HeaderChar"/>
    <w:uiPriority w:val="99"/>
    <w:rsid w:val="00E64018"/>
    <w:pPr>
      <w:tabs>
        <w:tab w:val="center" w:pos="4320"/>
        <w:tab w:val="right" w:pos="8640"/>
      </w:tabs>
    </w:pPr>
  </w:style>
  <w:style w:type="paragraph" w:styleId="Footer">
    <w:name w:val="footer"/>
    <w:basedOn w:val="Normal"/>
    <w:link w:val="FooterChar"/>
    <w:uiPriority w:val="99"/>
    <w:rsid w:val="00E64018"/>
    <w:pPr>
      <w:tabs>
        <w:tab w:val="center" w:pos="4320"/>
        <w:tab w:val="right" w:pos="8640"/>
      </w:tabs>
    </w:pPr>
  </w:style>
  <w:style w:type="paragraph" w:styleId="EndnoteText">
    <w:name w:val="endnote text"/>
    <w:basedOn w:val="Normal"/>
    <w:link w:val="EndnoteTextChar"/>
    <w:rsid w:val="00FC76F9"/>
    <w:rPr>
      <w:sz w:val="20"/>
      <w:szCs w:val="20"/>
    </w:rPr>
  </w:style>
  <w:style w:type="character" w:customStyle="1" w:styleId="EndnoteTextChar">
    <w:name w:val="Endnote Text Char"/>
    <w:link w:val="EndnoteText"/>
    <w:rsid w:val="00FC76F9"/>
    <w:rPr>
      <w:lang w:val="es-ES" w:eastAsia="es-ES"/>
    </w:rPr>
  </w:style>
  <w:style w:type="character" w:styleId="EndnoteReference">
    <w:name w:val="endnote reference"/>
    <w:rsid w:val="00FC76F9"/>
    <w:rPr>
      <w:vertAlign w:val="superscript"/>
    </w:rPr>
  </w:style>
  <w:style w:type="paragraph" w:customStyle="1" w:styleId="ColorfulList-Accent11">
    <w:name w:val="Colorful List - Accent 11"/>
    <w:basedOn w:val="Normal"/>
    <w:uiPriority w:val="34"/>
    <w:qFormat/>
    <w:rsid w:val="004872EE"/>
    <w:pPr>
      <w:spacing w:after="200" w:line="276" w:lineRule="auto"/>
      <w:ind w:left="720"/>
      <w:contextualSpacing/>
    </w:pPr>
    <w:rPr>
      <w:rFonts w:ascii="Calibri" w:eastAsia="Calibri" w:hAnsi="Calibri" w:cs="Arial"/>
      <w:sz w:val="22"/>
      <w:szCs w:val="22"/>
    </w:rPr>
  </w:style>
  <w:style w:type="paragraph" w:styleId="FootnoteText">
    <w:name w:val="footnote text"/>
    <w:aliases w:val="Char, Char"/>
    <w:basedOn w:val="Normal"/>
    <w:link w:val="FootnoteTextChar"/>
    <w:unhideWhenUsed/>
    <w:rsid w:val="000B11CB"/>
    <w:rPr>
      <w:rFonts w:ascii="Calibri" w:eastAsia="SimSun" w:hAnsi="Calibri"/>
      <w:sz w:val="20"/>
      <w:szCs w:val="20"/>
    </w:rPr>
  </w:style>
  <w:style w:type="character" w:customStyle="1" w:styleId="FootnoteTextChar">
    <w:name w:val="Footnote Text Char"/>
    <w:aliases w:val="Char Char, Char Char"/>
    <w:link w:val="FootnoteText"/>
    <w:uiPriority w:val="99"/>
    <w:rsid w:val="000B11CB"/>
    <w:rPr>
      <w:rFonts w:ascii="Calibri" w:eastAsia="SimSun" w:hAnsi="Calibri" w:cs="Arial"/>
    </w:rPr>
  </w:style>
  <w:style w:type="character" w:styleId="FootnoteReference">
    <w:name w:val="footnote reference"/>
    <w:uiPriority w:val="99"/>
    <w:unhideWhenUsed/>
    <w:rsid w:val="000B11CB"/>
    <w:rPr>
      <w:vertAlign w:val="superscript"/>
    </w:rPr>
  </w:style>
  <w:style w:type="paragraph" w:styleId="Caption">
    <w:name w:val="caption"/>
    <w:basedOn w:val="Normal"/>
    <w:next w:val="Normal"/>
    <w:uiPriority w:val="99"/>
    <w:qFormat/>
    <w:rsid w:val="00180E88"/>
    <w:rPr>
      <w:b/>
      <w:bCs/>
      <w:sz w:val="20"/>
      <w:szCs w:val="20"/>
    </w:rPr>
  </w:style>
  <w:style w:type="character" w:customStyle="1" w:styleId="HeaderChar">
    <w:name w:val="Header Char"/>
    <w:link w:val="Header"/>
    <w:uiPriority w:val="99"/>
    <w:rsid w:val="00EB6501"/>
    <w:rPr>
      <w:sz w:val="24"/>
      <w:szCs w:val="24"/>
    </w:rPr>
  </w:style>
  <w:style w:type="character" w:customStyle="1" w:styleId="FooterChar">
    <w:name w:val="Footer Char"/>
    <w:link w:val="Footer"/>
    <w:uiPriority w:val="99"/>
    <w:rsid w:val="00EB6501"/>
    <w:rPr>
      <w:sz w:val="24"/>
      <w:szCs w:val="24"/>
    </w:rPr>
  </w:style>
  <w:style w:type="paragraph" w:styleId="BalloonText">
    <w:name w:val="Balloon Text"/>
    <w:basedOn w:val="Normal"/>
    <w:link w:val="BalloonTextChar"/>
    <w:uiPriority w:val="99"/>
    <w:rsid w:val="00DC64AA"/>
    <w:rPr>
      <w:rFonts w:ascii="Tahoma" w:hAnsi="Tahoma"/>
      <w:sz w:val="16"/>
      <w:szCs w:val="16"/>
    </w:rPr>
  </w:style>
  <w:style w:type="character" w:customStyle="1" w:styleId="BalloonTextChar">
    <w:name w:val="Balloon Text Char"/>
    <w:link w:val="BalloonText"/>
    <w:uiPriority w:val="99"/>
    <w:rsid w:val="00DC64AA"/>
    <w:rPr>
      <w:rFonts w:ascii="Tahoma" w:hAnsi="Tahoma" w:cs="Tahoma"/>
      <w:sz w:val="16"/>
      <w:szCs w:val="16"/>
    </w:rPr>
  </w:style>
  <w:style w:type="character" w:styleId="CommentReference">
    <w:name w:val="annotation reference"/>
    <w:uiPriority w:val="99"/>
    <w:rsid w:val="006E3958"/>
    <w:rPr>
      <w:sz w:val="16"/>
      <w:szCs w:val="16"/>
    </w:rPr>
  </w:style>
  <w:style w:type="paragraph" w:styleId="CommentText">
    <w:name w:val="annotation text"/>
    <w:basedOn w:val="Normal"/>
    <w:link w:val="CommentTextChar"/>
    <w:uiPriority w:val="99"/>
    <w:rsid w:val="006E3958"/>
    <w:rPr>
      <w:sz w:val="20"/>
      <w:szCs w:val="20"/>
    </w:rPr>
  </w:style>
  <w:style w:type="character" w:customStyle="1" w:styleId="CommentTextChar">
    <w:name w:val="Comment Text Char"/>
    <w:basedOn w:val="DefaultParagraphFont"/>
    <w:link w:val="CommentText"/>
    <w:uiPriority w:val="99"/>
    <w:rsid w:val="006E3958"/>
  </w:style>
  <w:style w:type="paragraph" w:styleId="CommentSubject">
    <w:name w:val="annotation subject"/>
    <w:basedOn w:val="CommentText"/>
    <w:next w:val="CommentText"/>
    <w:link w:val="CommentSubjectChar"/>
    <w:uiPriority w:val="99"/>
    <w:rsid w:val="006E3958"/>
    <w:rPr>
      <w:b/>
      <w:bCs/>
    </w:rPr>
  </w:style>
  <w:style w:type="character" w:customStyle="1" w:styleId="CommentSubjectChar">
    <w:name w:val="Comment Subject Char"/>
    <w:link w:val="CommentSubject"/>
    <w:uiPriority w:val="99"/>
    <w:rsid w:val="006E3958"/>
    <w:rPr>
      <w:b/>
      <w:bCs/>
    </w:rPr>
  </w:style>
  <w:style w:type="paragraph" w:styleId="ListParagraph">
    <w:name w:val="List Paragraph"/>
    <w:basedOn w:val="Normal"/>
    <w:link w:val="ListParagraphChar"/>
    <w:uiPriority w:val="34"/>
    <w:qFormat/>
    <w:rsid w:val="00943C98"/>
    <w:pPr>
      <w:spacing w:after="200" w:line="276" w:lineRule="auto"/>
      <w:ind w:left="720"/>
      <w:contextualSpacing/>
    </w:pPr>
    <w:rPr>
      <w:rFonts w:ascii="Calibri" w:eastAsia="Calibri" w:hAnsi="Calibri"/>
      <w:sz w:val="22"/>
      <w:szCs w:val="22"/>
    </w:rPr>
  </w:style>
  <w:style w:type="paragraph" w:styleId="BodyText2">
    <w:name w:val="Body Text 2"/>
    <w:basedOn w:val="Normal"/>
    <w:link w:val="BodyText2Char"/>
    <w:uiPriority w:val="99"/>
    <w:rsid w:val="00943C98"/>
    <w:rPr>
      <w:szCs w:val="20"/>
    </w:rPr>
  </w:style>
  <w:style w:type="character" w:customStyle="1" w:styleId="BodyText2Char">
    <w:name w:val="Body Text 2 Char"/>
    <w:link w:val="BodyText2"/>
    <w:uiPriority w:val="99"/>
    <w:rsid w:val="00943C98"/>
    <w:rPr>
      <w:sz w:val="24"/>
      <w:lang w:val="es-ES" w:eastAsia="es-ES"/>
    </w:rPr>
  </w:style>
  <w:style w:type="table" w:customStyle="1" w:styleId="TableGrid1">
    <w:name w:val="Table Grid1"/>
    <w:basedOn w:val="TableNormal"/>
    <w:next w:val="TableGrid"/>
    <w:uiPriority w:val="99"/>
    <w:rsid w:val="00B1284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B12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E57C1E"/>
    <w:rPr>
      <w:rFonts w:ascii="Calibri" w:eastAsia="Calibri" w:hAnsi="Calibri" w:cs="Arial"/>
      <w:sz w:val="22"/>
      <w:szCs w:val="22"/>
      <w:lang w:eastAsia="es-ES"/>
    </w:rPr>
  </w:style>
  <w:style w:type="paragraph" w:customStyle="1" w:styleId="Style1">
    <w:name w:val="Style1"/>
    <w:basedOn w:val="ListParagraph"/>
    <w:link w:val="Style1Char"/>
    <w:qFormat/>
    <w:rsid w:val="008C0446"/>
    <w:pPr>
      <w:numPr>
        <w:numId w:val="1"/>
      </w:numPr>
      <w:spacing w:after="120"/>
      <w:jc w:val="both"/>
    </w:pPr>
    <w:rPr>
      <w:rFonts w:eastAsia="SimSun"/>
      <w:b/>
      <w:i/>
      <w:sz w:val="28"/>
    </w:rPr>
  </w:style>
  <w:style w:type="character" w:customStyle="1" w:styleId="Style1Char">
    <w:name w:val="Style1 Char"/>
    <w:link w:val="Style1"/>
    <w:rsid w:val="008C0446"/>
    <w:rPr>
      <w:rFonts w:ascii="Calibri" w:eastAsia="SimSun" w:hAnsi="Calibri"/>
      <w:b/>
      <w:i/>
      <w:sz w:val="28"/>
      <w:szCs w:val="22"/>
      <w:lang w:val="es-ES"/>
    </w:rPr>
  </w:style>
  <w:style w:type="paragraph" w:styleId="PlainText">
    <w:name w:val="Plain Text"/>
    <w:basedOn w:val="Normal"/>
    <w:link w:val="PlainTextChar"/>
    <w:uiPriority w:val="99"/>
    <w:unhideWhenUsed/>
    <w:rsid w:val="00095390"/>
    <w:rPr>
      <w:rFonts w:ascii="Calibri" w:eastAsia="Calibri" w:hAnsi="Calibri"/>
      <w:sz w:val="22"/>
      <w:szCs w:val="21"/>
    </w:rPr>
  </w:style>
  <w:style w:type="character" w:customStyle="1" w:styleId="PlainTextChar">
    <w:name w:val="Plain Text Char"/>
    <w:link w:val="PlainText"/>
    <w:uiPriority w:val="99"/>
    <w:rsid w:val="00095390"/>
    <w:rPr>
      <w:rFonts w:ascii="Calibri" w:eastAsia="Calibri" w:hAnsi="Calibri"/>
      <w:sz w:val="22"/>
      <w:szCs w:val="21"/>
      <w:lang w:eastAsia="es-ES"/>
    </w:rPr>
  </w:style>
  <w:style w:type="character" w:customStyle="1" w:styleId="Heading3Char">
    <w:name w:val="Heading 3 Char"/>
    <w:link w:val="Heading3"/>
    <w:uiPriority w:val="99"/>
    <w:rsid w:val="007C4C6D"/>
    <w:rPr>
      <w:b/>
      <w:bCs/>
      <w:sz w:val="27"/>
      <w:szCs w:val="27"/>
    </w:rPr>
  </w:style>
  <w:style w:type="character" w:customStyle="1" w:styleId="Heading8Char">
    <w:name w:val="Heading 8 Char"/>
    <w:link w:val="Heading8"/>
    <w:uiPriority w:val="99"/>
    <w:rsid w:val="005E4335"/>
    <w:rPr>
      <w:rFonts w:ascii="Cambria" w:eastAsia="Times New Roman" w:hAnsi="Cambria" w:cs="Times New Roman"/>
      <w:color w:val="404040"/>
    </w:rPr>
  </w:style>
  <w:style w:type="character" w:customStyle="1" w:styleId="Heading4Char">
    <w:name w:val="Heading 4 Char"/>
    <w:link w:val="Heading4"/>
    <w:uiPriority w:val="99"/>
    <w:rsid w:val="005E4335"/>
    <w:rPr>
      <w:rFonts w:ascii="Cambria" w:eastAsia="Times New Roman" w:hAnsi="Cambria" w:cs="Times New Roman"/>
      <w:b/>
      <w:bCs/>
      <w:i/>
      <w:iCs/>
      <w:color w:val="4F81BD"/>
      <w:sz w:val="24"/>
      <w:szCs w:val="24"/>
      <w:lang w:val="es-ES" w:eastAsia="es-ES"/>
    </w:rPr>
  </w:style>
  <w:style w:type="character" w:styleId="PlaceholderText">
    <w:name w:val="Placeholder Text"/>
    <w:uiPriority w:val="99"/>
    <w:semiHidden/>
    <w:rsid w:val="005E4335"/>
    <w:rPr>
      <w:color w:val="808080"/>
    </w:rPr>
  </w:style>
  <w:style w:type="character" w:customStyle="1" w:styleId="Heading2Char">
    <w:name w:val="Heading 2 Char"/>
    <w:link w:val="Heading2"/>
    <w:uiPriority w:val="99"/>
    <w:rsid w:val="005B5B21"/>
    <w:rPr>
      <w:rFonts w:ascii="Arial" w:hAnsi="Arial"/>
      <w:b/>
      <w:bCs/>
      <w:i/>
      <w:color w:val="005CB9"/>
      <w:sz w:val="24"/>
      <w:szCs w:val="36"/>
      <w:lang w:val="es-ES" w:eastAsia="es-ES"/>
    </w:rPr>
  </w:style>
  <w:style w:type="character" w:customStyle="1" w:styleId="Heading1Char">
    <w:name w:val="Heading 1 Char"/>
    <w:link w:val="Heading1"/>
    <w:uiPriority w:val="99"/>
    <w:rsid w:val="005B5B21"/>
    <w:rPr>
      <w:rFonts w:ascii="Arial" w:hAnsi="Arial"/>
      <w:bCs/>
      <w:color w:val="00A03A"/>
      <w:kern w:val="36"/>
      <w:sz w:val="36"/>
      <w:szCs w:val="48"/>
      <w:lang w:val="es-ES" w:eastAsia="es-ES"/>
    </w:rPr>
  </w:style>
  <w:style w:type="paragraph" w:customStyle="1" w:styleId="Default">
    <w:name w:val="Default"/>
    <w:rsid w:val="005E4335"/>
    <w:pPr>
      <w:autoSpaceDE w:val="0"/>
      <w:autoSpaceDN w:val="0"/>
      <w:adjustRightInd w:val="0"/>
    </w:pPr>
    <w:rPr>
      <w:rFonts w:ascii="Seravek" w:eastAsia="Calibri" w:hAnsi="Seravek" w:cs="Seravek"/>
      <w:color w:val="000000"/>
      <w:sz w:val="24"/>
      <w:szCs w:val="24"/>
    </w:rPr>
  </w:style>
  <w:style w:type="paragraph" w:customStyle="1" w:styleId="Pa2">
    <w:name w:val="Pa2"/>
    <w:basedOn w:val="Default"/>
    <w:next w:val="Default"/>
    <w:uiPriority w:val="99"/>
    <w:rsid w:val="005E4335"/>
    <w:pPr>
      <w:spacing w:line="241" w:lineRule="atLeast"/>
    </w:pPr>
    <w:rPr>
      <w:rFonts w:cs="Times New Roman"/>
      <w:color w:val="auto"/>
    </w:rPr>
  </w:style>
  <w:style w:type="character" w:customStyle="1" w:styleId="A3">
    <w:name w:val="A3"/>
    <w:uiPriority w:val="99"/>
    <w:rsid w:val="005E4335"/>
    <w:rPr>
      <w:rFonts w:cs="Seravek"/>
      <w:color w:val="000000"/>
      <w:sz w:val="15"/>
      <w:szCs w:val="15"/>
    </w:rPr>
  </w:style>
  <w:style w:type="paragraph" w:styleId="Revision">
    <w:name w:val="Revision"/>
    <w:hidden/>
    <w:uiPriority w:val="99"/>
    <w:semiHidden/>
    <w:rsid w:val="005E4335"/>
    <w:rPr>
      <w:rFonts w:ascii="Arial" w:eastAsia="Calibri" w:hAnsi="Arial"/>
      <w:sz w:val="24"/>
      <w:szCs w:val="24"/>
    </w:rPr>
  </w:style>
  <w:style w:type="paragraph" w:styleId="TOCHeading">
    <w:name w:val="TOC Heading"/>
    <w:basedOn w:val="Heading1"/>
    <w:next w:val="Normal"/>
    <w:uiPriority w:val="39"/>
    <w:unhideWhenUsed/>
    <w:qFormat/>
    <w:rsid w:val="005E4335"/>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rsid w:val="00657F40"/>
    <w:pPr>
      <w:tabs>
        <w:tab w:val="left" w:pos="440"/>
        <w:tab w:val="right" w:leader="dot" w:pos="9260"/>
      </w:tabs>
      <w:spacing w:after="100"/>
    </w:pPr>
    <w:rPr>
      <w:rFonts w:asciiTheme="minorHAnsi" w:hAnsiTheme="minorHAnsi"/>
      <w:b/>
      <w:noProof/>
    </w:rPr>
  </w:style>
  <w:style w:type="paragraph" w:styleId="TOC2">
    <w:name w:val="toc 2"/>
    <w:basedOn w:val="Normal"/>
    <w:next w:val="Normal"/>
    <w:autoRedefine/>
    <w:uiPriority w:val="39"/>
    <w:unhideWhenUsed/>
    <w:rsid w:val="005E4335"/>
    <w:pPr>
      <w:spacing w:after="100"/>
      <w:ind w:left="240"/>
    </w:pPr>
    <w:rPr>
      <w:rFonts w:ascii="Arial" w:eastAsia="Calibri" w:hAnsi="Arial"/>
    </w:rPr>
  </w:style>
  <w:style w:type="paragraph" w:customStyle="1" w:styleId="Style2">
    <w:name w:val="Style2"/>
    <w:basedOn w:val="Normal"/>
    <w:link w:val="Style2Char"/>
    <w:qFormat/>
    <w:rsid w:val="00B51325"/>
    <w:pPr>
      <w:keepNext/>
      <w:keepLines/>
      <w:numPr>
        <w:numId w:val="15"/>
      </w:numPr>
      <w:spacing w:before="480"/>
      <w:outlineLvl w:val="0"/>
    </w:pPr>
    <w:rPr>
      <w:rFonts w:ascii="Cambria" w:hAnsi="Cambria"/>
      <w:b/>
      <w:color w:val="365F91"/>
      <w:sz w:val="28"/>
    </w:rPr>
  </w:style>
  <w:style w:type="paragraph" w:customStyle="1" w:styleId="Style3">
    <w:name w:val="Style3"/>
    <w:basedOn w:val="Normal"/>
    <w:link w:val="Style3Char"/>
    <w:qFormat/>
    <w:rsid w:val="00B51325"/>
    <w:pPr>
      <w:keepNext/>
      <w:keepLines/>
      <w:numPr>
        <w:ilvl w:val="1"/>
        <w:numId w:val="15"/>
      </w:numPr>
      <w:spacing w:before="200"/>
      <w:outlineLvl w:val="1"/>
    </w:pPr>
    <w:rPr>
      <w:rFonts w:ascii="Cambria" w:hAnsi="Cambria"/>
      <w:b/>
      <w:color w:val="4F81BD"/>
      <w:sz w:val="26"/>
    </w:rPr>
  </w:style>
  <w:style w:type="character" w:customStyle="1" w:styleId="Style2Char">
    <w:name w:val="Style2 Char"/>
    <w:link w:val="Style2"/>
    <w:rsid w:val="00B51325"/>
    <w:rPr>
      <w:rFonts w:ascii="Cambria" w:hAnsi="Cambria"/>
      <w:b/>
      <w:color w:val="365F91"/>
      <w:sz w:val="28"/>
      <w:szCs w:val="24"/>
      <w:lang w:val="es-ES" w:eastAsia="es-ES"/>
    </w:rPr>
  </w:style>
  <w:style w:type="character" w:customStyle="1" w:styleId="Style3Char">
    <w:name w:val="Style3 Char"/>
    <w:link w:val="Style3"/>
    <w:rsid w:val="00B51325"/>
    <w:rPr>
      <w:rFonts w:ascii="Cambria" w:hAnsi="Cambria"/>
      <w:b/>
      <w:color w:val="4F81BD"/>
      <w:sz w:val="26"/>
      <w:szCs w:val="24"/>
      <w:lang w:val="es-ES" w:eastAsia="es-ES"/>
    </w:rPr>
  </w:style>
  <w:style w:type="paragraph" w:customStyle="1" w:styleId="Pa14">
    <w:name w:val="Pa14"/>
    <w:basedOn w:val="Default"/>
    <w:next w:val="Default"/>
    <w:uiPriority w:val="99"/>
    <w:rsid w:val="00BD2067"/>
    <w:pPr>
      <w:spacing w:line="211" w:lineRule="atLeast"/>
    </w:pPr>
    <w:rPr>
      <w:rFonts w:ascii="Greta Text Pro Light" w:eastAsia="Times New Roman" w:hAnsi="Greta Text Pro Light" w:cs="Times New Roman"/>
      <w:color w:val="auto"/>
    </w:rPr>
  </w:style>
  <w:style w:type="character" w:customStyle="1" w:styleId="A14">
    <w:name w:val="A14"/>
    <w:uiPriority w:val="99"/>
    <w:rsid w:val="00BD2067"/>
    <w:rPr>
      <w:rFonts w:cs="Greta Text Pro Light"/>
      <w:color w:val="000000"/>
      <w:sz w:val="21"/>
      <w:szCs w:val="21"/>
      <w:u w:val="single"/>
    </w:rPr>
  </w:style>
  <w:style w:type="paragraph" w:customStyle="1" w:styleId="Pa17">
    <w:name w:val="Pa17"/>
    <w:basedOn w:val="Default"/>
    <w:next w:val="Default"/>
    <w:uiPriority w:val="99"/>
    <w:rsid w:val="00BD2067"/>
    <w:pPr>
      <w:spacing w:line="231" w:lineRule="atLeast"/>
    </w:pPr>
    <w:rPr>
      <w:rFonts w:ascii="Greta Text Pro Light" w:eastAsia="Times New Roman" w:hAnsi="Greta Text Pro Light" w:cs="Times New Roman"/>
      <w:color w:val="auto"/>
    </w:rPr>
  </w:style>
  <w:style w:type="paragraph" w:customStyle="1" w:styleId="Pa7">
    <w:name w:val="Pa7"/>
    <w:basedOn w:val="Default"/>
    <w:next w:val="Default"/>
    <w:uiPriority w:val="99"/>
    <w:rsid w:val="00BD2067"/>
    <w:pPr>
      <w:spacing w:line="181" w:lineRule="atLeast"/>
    </w:pPr>
    <w:rPr>
      <w:rFonts w:ascii="Greta Text Pro Light" w:eastAsia="Times New Roman" w:hAnsi="Greta Text Pro Light" w:cs="Times New Roman"/>
      <w:color w:val="auto"/>
    </w:rPr>
  </w:style>
  <w:style w:type="character" w:customStyle="1" w:styleId="A8">
    <w:name w:val="A8"/>
    <w:uiPriority w:val="99"/>
    <w:rsid w:val="00BD2067"/>
    <w:rPr>
      <w:rFonts w:ascii="Seravek" w:hAnsi="Seravek" w:cs="Seravek"/>
      <w:color w:val="000000"/>
      <w:sz w:val="18"/>
      <w:szCs w:val="18"/>
      <w:u w:val="single"/>
    </w:rPr>
  </w:style>
  <w:style w:type="paragraph" w:customStyle="1" w:styleId="ModelNrmlSingle">
    <w:name w:val="ModelNrmlSingle"/>
    <w:basedOn w:val="Normal"/>
    <w:link w:val="ModelNrmlSingleChar"/>
    <w:rsid w:val="00474F31"/>
    <w:pPr>
      <w:spacing w:after="240"/>
      <w:ind w:firstLine="720"/>
      <w:jc w:val="both"/>
    </w:pPr>
    <w:rPr>
      <w:sz w:val="22"/>
      <w:szCs w:val="20"/>
    </w:rPr>
  </w:style>
  <w:style w:type="character" w:customStyle="1" w:styleId="ModelNrmlSingleChar">
    <w:name w:val="ModelNrmlSingle Char"/>
    <w:link w:val="ModelNrmlSingle"/>
    <w:locked/>
    <w:rsid w:val="00474F31"/>
    <w:rPr>
      <w:sz w:val="22"/>
      <w:lang w:val="es-ES" w:eastAsia="es-ES"/>
    </w:rPr>
  </w:style>
  <w:style w:type="character" w:styleId="IntenseEmphasis">
    <w:name w:val="Intense Emphasis"/>
    <w:basedOn w:val="DefaultParagraphFont"/>
    <w:uiPriority w:val="21"/>
    <w:qFormat/>
    <w:rsid w:val="00D01701"/>
    <w:rPr>
      <w:b/>
      <w:bCs/>
      <w:i/>
      <w:iCs/>
      <w:color w:val="4F81BD"/>
    </w:rPr>
  </w:style>
  <w:style w:type="paragraph" w:styleId="NoSpacing">
    <w:name w:val="No Spacing"/>
    <w:uiPriority w:val="1"/>
    <w:qFormat/>
    <w:rsid w:val="00D675BD"/>
    <w:rPr>
      <w:rFonts w:ascii="Calibri" w:eastAsia="Calibri" w:hAnsi="Calibri"/>
      <w:sz w:val="22"/>
      <w:szCs w:val="22"/>
    </w:rPr>
  </w:style>
  <w:style w:type="paragraph" w:customStyle="1" w:styleId="xmsonormal">
    <w:name w:val="x_msonormal"/>
    <w:basedOn w:val="Normal"/>
    <w:rsid w:val="00F34FAD"/>
    <w:pPr>
      <w:spacing w:before="100" w:beforeAutospacing="1" w:after="100" w:afterAutospacing="1"/>
    </w:pPr>
  </w:style>
  <w:style w:type="paragraph" w:customStyle="1" w:styleId="Pa10">
    <w:name w:val="Pa10"/>
    <w:basedOn w:val="Default"/>
    <w:next w:val="Default"/>
    <w:uiPriority w:val="99"/>
    <w:rsid w:val="00892714"/>
    <w:pPr>
      <w:spacing w:line="221" w:lineRule="atLeast"/>
    </w:pPr>
    <w:rPr>
      <w:rFonts w:ascii="DIN" w:eastAsia="Times New Roman" w:hAnsi="DIN" w:cs="Times New Roman"/>
      <w:color w:val="auto"/>
    </w:rPr>
  </w:style>
  <w:style w:type="paragraph" w:styleId="Subtitle">
    <w:name w:val="Subtitle"/>
    <w:basedOn w:val="Normal"/>
    <w:next w:val="Normal"/>
    <w:link w:val="SubtitleChar"/>
    <w:qFormat/>
    <w:rsid w:val="00E7510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7510B"/>
    <w:rPr>
      <w:rFonts w:asciiTheme="majorHAnsi" w:eastAsiaTheme="majorEastAsia" w:hAnsiTheme="majorHAnsi" w:cstheme="majorBidi"/>
      <w:i/>
      <w:iCs/>
      <w:color w:val="4F81BD" w:themeColor="accent1"/>
      <w:spacing w:val="15"/>
      <w:sz w:val="24"/>
      <w:szCs w:val="24"/>
      <w:lang w:val="es-ES" w:eastAsia="es-ES"/>
    </w:rPr>
  </w:style>
  <w:style w:type="paragraph" w:customStyle="1" w:styleId="EmptyLayoutCell">
    <w:name w:val="EmptyLayoutCell"/>
    <w:basedOn w:val="Normal"/>
    <w:rsid w:val="007770A7"/>
    <w:rPr>
      <w:sz w:val="2"/>
      <w:szCs w:val="20"/>
    </w:rPr>
  </w:style>
  <w:style w:type="paragraph" w:customStyle="1" w:styleId="source">
    <w:name w:val="source"/>
    <w:basedOn w:val="FootnoteText"/>
    <w:link w:val="sourceChar"/>
    <w:qFormat/>
    <w:rsid w:val="005B5B21"/>
    <w:rPr>
      <w:rFonts w:ascii="Arial" w:hAnsi="Arial" w:cs="Arial"/>
      <w:i/>
      <w:color w:val="7F7F7F" w:themeColor="text1" w:themeTint="80"/>
      <w:sz w:val="16"/>
      <w:szCs w:val="16"/>
    </w:rPr>
  </w:style>
  <w:style w:type="character" w:customStyle="1" w:styleId="sourceChar">
    <w:name w:val="source Char"/>
    <w:basedOn w:val="FootnoteTextChar"/>
    <w:link w:val="source"/>
    <w:rsid w:val="005B5B21"/>
    <w:rPr>
      <w:rFonts w:ascii="Arial" w:eastAsia="SimSun" w:hAnsi="Arial" w:cs="Arial"/>
      <w:i/>
      <w:color w:val="7F7F7F" w:themeColor="text1" w:themeTint="80"/>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81097">
      <w:bodyDiv w:val="1"/>
      <w:marLeft w:val="0"/>
      <w:marRight w:val="0"/>
      <w:marTop w:val="0"/>
      <w:marBottom w:val="0"/>
      <w:divBdr>
        <w:top w:val="none" w:sz="0" w:space="0" w:color="auto"/>
        <w:left w:val="none" w:sz="0" w:space="0" w:color="auto"/>
        <w:bottom w:val="none" w:sz="0" w:space="0" w:color="auto"/>
        <w:right w:val="none" w:sz="0" w:space="0" w:color="auto"/>
      </w:divBdr>
      <w:divsChild>
        <w:div w:id="1189562544">
          <w:marLeft w:val="0"/>
          <w:marRight w:val="0"/>
          <w:marTop w:val="0"/>
          <w:marBottom w:val="0"/>
          <w:divBdr>
            <w:top w:val="none" w:sz="0" w:space="0" w:color="auto"/>
            <w:left w:val="none" w:sz="0" w:space="0" w:color="auto"/>
            <w:bottom w:val="none" w:sz="0" w:space="0" w:color="auto"/>
            <w:right w:val="none" w:sz="0" w:space="0" w:color="auto"/>
          </w:divBdr>
          <w:divsChild>
            <w:div w:id="1999963972">
              <w:marLeft w:val="0"/>
              <w:marRight w:val="0"/>
              <w:marTop w:val="0"/>
              <w:marBottom w:val="0"/>
              <w:divBdr>
                <w:top w:val="none" w:sz="0" w:space="0" w:color="auto"/>
                <w:left w:val="none" w:sz="0" w:space="0" w:color="auto"/>
                <w:bottom w:val="none" w:sz="0" w:space="0" w:color="auto"/>
                <w:right w:val="none" w:sz="0" w:space="0" w:color="auto"/>
              </w:divBdr>
              <w:divsChild>
                <w:div w:id="444928168">
                  <w:marLeft w:val="0"/>
                  <w:marRight w:val="0"/>
                  <w:marTop w:val="0"/>
                  <w:marBottom w:val="0"/>
                  <w:divBdr>
                    <w:top w:val="none" w:sz="0" w:space="0" w:color="auto"/>
                    <w:left w:val="none" w:sz="0" w:space="0" w:color="auto"/>
                    <w:bottom w:val="none" w:sz="0" w:space="0" w:color="auto"/>
                    <w:right w:val="none" w:sz="0" w:space="0" w:color="auto"/>
                  </w:divBdr>
                  <w:divsChild>
                    <w:div w:id="1365252886">
                      <w:marLeft w:val="0"/>
                      <w:marRight w:val="0"/>
                      <w:marTop w:val="0"/>
                      <w:marBottom w:val="0"/>
                      <w:divBdr>
                        <w:top w:val="none" w:sz="0" w:space="0" w:color="auto"/>
                        <w:left w:val="none" w:sz="0" w:space="0" w:color="auto"/>
                        <w:bottom w:val="none" w:sz="0" w:space="0" w:color="auto"/>
                        <w:right w:val="none" w:sz="0" w:space="0" w:color="auto"/>
                      </w:divBdr>
                      <w:divsChild>
                        <w:div w:id="16568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56154">
      <w:marLeft w:val="120"/>
      <w:marRight w:val="120"/>
      <w:marTop w:val="120"/>
      <w:marBottom w:val="120"/>
      <w:divBdr>
        <w:top w:val="none" w:sz="0" w:space="0" w:color="auto"/>
        <w:left w:val="none" w:sz="0" w:space="0" w:color="auto"/>
        <w:bottom w:val="none" w:sz="0" w:space="0" w:color="auto"/>
        <w:right w:val="none" w:sz="0" w:space="0" w:color="auto"/>
      </w:divBdr>
    </w:div>
    <w:div w:id="766731641">
      <w:bodyDiv w:val="1"/>
      <w:marLeft w:val="0"/>
      <w:marRight w:val="0"/>
      <w:marTop w:val="0"/>
      <w:marBottom w:val="0"/>
      <w:divBdr>
        <w:top w:val="none" w:sz="0" w:space="0" w:color="auto"/>
        <w:left w:val="none" w:sz="0" w:space="0" w:color="auto"/>
        <w:bottom w:val="none" w:sz="0" w:space="0" w:color="auto"/>
        <w:right w:val="none" w:sz="0" w:space="0" w:color="auto"/>
      </w:divBdr>
    </w:div>
    <w:div w:id="852232586">
      <w:bodyDiv w:val="1"/>
      <w:marLeft w:val="0"/>
      <w:marRight w:val="0"/>
      <w:marTop w:val="0"/>
      <w:marBottom w:val="0"/>
      <w:divBdr>
        <w:top w:val="none" w:sz="0" w:space="0" w:color="auto"/>
        <w:left w:val="none" w:sz="0" w:space="0" w:color="auto"/>
        <w:bottom w:val="none" w:sz="0" w:space="0" w:color="auto"/>
        <w:right w:val="none" w:sz="0" w:space="0" w:color="auto"/>
      </w:divBdr>
    </w:div>
    <w:div w:id="1177379076">
      <w:bodyDiv w:val="1"/>
      <w:marLeft w:val="0"/>
      <w:marRight w:val="0"/>
      <w:marTop w:val="0"/>
      <w:marBottom w:val="0"/>
      <w:divBdr>
        <w:top w:val="none" w:sz="0" w:space="0" w:color="auto"/>
        <w:left w:val="none" w:sz="0" w:space="0" w:color="auto"/>
        <w:bottom w:val="none" w:sz="0" w:space="0" w:color="auto"/>
        <w:right w:val="none" w:sz="0" w:space="0" w:color="auto"/>
      </w:divBdr>
    </w:div>
    <w:div w:id="1381830798">
      <w:bodyDiv w:val="1"/>
      <w:marLeft w:val="0"/>
      <w:marRight w:val="0"/>
      <w:marTop w:val="0"/>
      <w:marBottom w:val="0"/>
      <w:divBdr>
        <w:top w:val="none" w:sz="0" w:space="0" w:color="auto"/>
        <w:left w:val="none" w:sz="0" w:space="0" w:color="auto"/>
        <w:bottom w:val="none" w:sz="0" w:space="0" w:color="auto"/>
        <w:right w:val="none" w:sz="0" w:space="0" w:color="auto"/>
      </w:divBdr>
    </w:div>
    <w:div w:id="169904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s@gavi.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posals@gavi.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who.int/immunization/diseases/poliomyelitis/inactivated_polio_vaccine/vaccine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D696DACE247844965B58706C829067" ma:contentTypeVersion="0" ma:contentTypeDescription="Create a new document." ma:contentTypeScope="" ma:versionID="4e4927579bd58dfbcc6e894f6d86a13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08E6F-0372-435B-BE3E-924930F3E21F}">
  <ds:schemaRefs>
    <ds:schemaRef ds:uri="http://schemas.microsoft.com/sharepoint/v3/contenttype/forms"/>
  </ds:schemaRefs>
</ds:datastoreItem>
</file>

<file path=customXml/itemProps2.xml><?xml version="1.0" encoding="utf-8"?>
<ds:datastoreItem xmlns:ds="http://schemas.openxmlformats.org/officeDocument/2006/customXml" ds:itemID="{711AC7C1-786E-497E-88FC-23AE2CAAC2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E754CE-47AC-491F-BB47-BC92790AD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E23F53-A2E5-4884-9CA4-CFDB70839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1370</Words>
  <Characters>7814</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Submission to ministers</vt:lpstr>
      <vt:lpstr>Submission to ministers</vt:lpstr>
    </vt:vector>
  </TitlesOfParts>
  <Company>Gavi Alliance</Company>
  <LinksUpToDate>false</LinksUpToDate>
  <CharactersWithSpaces>9166</CharactersWithSpaces>
  <SharedDoc>false</SharedDoc>
  <HLinks>
    <vt:vector size="612" baseType="variant">
      <vt:variant>
        <vt:i4>5832736</vt:i4>
      </vt:variant>
      <vt:variant>
        <vt:i4>399</vt:i4>
      </vt:variant>
      <vt:variant>
        <vt:i4>0</vt:i4>
      </vt:variant>
      <vt:variant>
        <vt:i4>5</vt:i4>
      </vt:variant>
      <vt:variant>
        <vt:lpwstr>http://www.rho.org/files/rb1/WHO-UNICEF_Guidelines_Multi-Year_Plan_WHO-UNICEF_2006.pdf</vt:lpwstr>
      </vt:variant>
      <vt:variant>
        <vt:lpwstr/>
      </vt:variant>
      <vt:variant>
        <vt:i4>5832736</vt:i4>
      </vt:variant>
      <vt:variant>
        <vt:i4>396</vt:i4>
      </vt:variant>
      <vt:variant>
        <vt:i4>0</vt:i4>
      </vt:variant>
      <vt:variant>
        <vt:i4>5</vt:i4>
      </vt:variant>
      <vt:variant>
        <vt:lpwstr>http://www.rho.org/files/rb1/WHO-UNICEF_Guidelines_Multi-Year_Plan_WHO-UNICEF_2006.pdf</vt:lpwstr>
      </vt:variant>
      <vt:variant>
        <vt:lpwstr/>
      </vt:variant>
      <vt:variant>
        <vt:i4>917530</vt:i4>
      </vt:variant>
      <vt:variant>
        <vt:i4>393</vt:i4>
      </vt:variant>
      <vt:variant>
        <vt:i4>0</vt:i4>
      </vt:variant>
      <vt:variant>
        <vt:i4>5</vt:i4>
      </vt:variant>
      <vt:variant>
        <vt:lpwstr>http://www.rho.org/files/rb1/WHO_Guide_Standardization_Evaluation_Immunization_WHO_2008.pdf</vt:lpwstr>
      </vt:variant>
      <vt:variant>
        <vt:lpwstr/>
      </vt:variant>
      <vt:variant>
        <vt:i4>917530</vt:i4>
      </vt:variant>
      <vt:variant>
        <vt:i4>390</vt:i4>
      </vt:variant>
      <vt:variant>
        <vt:i4>0</vt:i4>
      </vt:variant>
      <vt:variant>
        <vt:i4>5</vt:i4>
      </vt:variant>
      <vt:variant>
        <vt:lpwstr>http://www.rho.org/files/rb1/WHO_Guide_Standardization_Evaluation_Immunization_WHO_2008.pdf</vt:lpwstr>
      </vt:variant>
      <vt:variant>
        <vt:lpwstr/>
      </vt:variant>
      <vt:variant>
        <vt:i4>5963830</vt:i4>
      </vt:variant>
      <vt:variant>
        <vt:i4>387</vt:i4>
      </vt:variant>
      <vt:variant>
        <vt:i4>0</vt:i4>
      </vt:variant>
      <vt:variant>
        <vt:i4>5</vt:i4>
      </vt:variant>
      <vt:variant>
        <vt:lpwstr>http://www.rho.org/files/rb1/WHO_Guide_Cost-effectiveness_Analysis_WHO_2003.pdf</vt:lpwstr>
      </vt:variant>
      <vt:variant>
        <vt:lpwstr/>
      </vt:variant>
      <vt:variant>
        <vt:i4>5963830</vt:i4>
      </vt:variant>
      <vt:variant>
        <vt:i4>384</vt:i4>
      </vt:variant>
      <vt:variant>
        <vt:i4>0</vt:i4>
      </vt:variant>
      <vt:variant>
        <vt:i4>5</vt:i4>
      </vt:variant>
      <vt:variant>
        <vt:lpwstr>http://www.rho.org/files/rb1/WHO_Guide_Cost-effectiveness_Analysis_WHO_2003.pdf</vt:lpwstr>
      </vt:variant>
      <vt:variant>
        <vt:lpwstr/>
      </vt:variant>
      <vt:variant>
        <vt:i4>7667805</vt:i4>
      </vt:variant>
      <vt:variant>
        <vt:i4>381</vt:i4>
      </vt:variant>
      <vt:variant>
        <vt:i4>0</vt:i4>
      </vt:variant>
      <vt:variant>
        <vt:i4>5</vt:i4>
      </vt:variant>
      <vt:variant>
        <vt:lpwstr>http://www.rho.org/files/rb1/Shaping_Strategy_Introduce_HPV_vaccines_Vietnam_PATH_2009.pdf</vt:lpwstr>
      </vt:variant>
      <vt:variant>
        <vt:lpwstr/>
      </vt:variant>
      <vt:variant>
        <vt:i4>7667805</vt:i4>
      </vt:variant>
      <vt:variant>
        <vt:i4>378</vt:i4>
      </vt:variant>
      <vt:variant>
        <vt:i4>0</vt:i4>
      </vt:variant>
      <vt:variant>
        <vt:i4>5</vt:i4>
      </vt:variant>
      <vt:variant>
        <vt:lpwstr>http://www.rho.org/files/rb1/Shaping_Strategy_Introduce_HPV_vaccines_Vietnam_PATH_2009.pdf</vt:lpwstr>
      </vt:variant>
      <vt:variant>
        <vt:lpwstr/>
      </vt:variant>
      <vt:variant>
        <vt:i4>5177461</vt:i4>
      </vt:variant>
      <vt:variant>
        <vt:i4>375</vt:i4>
      </vt:variant>
      <vt:variant>
        <vt:i4>0</vt:i4>
      </vt:variant>
      <vt:variant>
        <vt:i4>5</vt:i4>
      </vt:variant>
      <vt:variant>
        <vt:lpwstr>http://www.rho.org/files/rb1/Shaping_Strategy_Introduce_HPV_vaccines_Uganda_PATH_2009.pdf</vt:lpwstr>
      </vt:variant>
      <vt:variant>
        <vt:lpwstr/>
      </vt:variant>
      <vt:variant>
        <vt:i4>5177461</vt:i4>
      </vt:variant>
      <vt:variant>
        <vt:i4>372</vt:i4>
      </vt:variant>
      <vt:variant>
        <vt:i4>0</vt:i4>
      </vt:variant>
      <vt:variant>
        <vt:i4>5</vt:i4>
      </vt:variant>
      <vt:variant>
        <vt:lpwstr>http://www.rho.org/files/rb1/Shaping_Strategy_Introduce_HPV_vaccines_Uganda_PATH_2009.pdf</vt:lpwstr>
      </vt:variant>
      <vt:variant>
        <vt:lpwstr/>
      </vt:variant>
      <vt:variant>
        <vt:i4>3997709</vt:i4>
      </vt:variant>
      <vt:variant>
        <vt:i4>369</vt:i4>
      </vt:variant>
      <vt:variant>
        <vt:i4>0</vt:i4>
      </vt:variant>
      <vt:variant>
        <vt:i4>5</vt:i4>
      </vt:variant>
      <vt:variant>
        <vt:lpwstr>http://www.rho.org/files/rb1/Shaping_Strategy_Introduce_HPV_vaccines_Peru_PATH_2009.pdf</vt:lpwstr>
      </vt:variant>
      <vt:variant>
        <vt:lpwstr/>
      </vt:variant>
      <vt:variant>
        <vt:i4>3997709</vt:i4>
      </vt:variant>
      <vt:variant>
        <vt:i4>366</vt:i4>
      </vt:variant>
      <vt:variant>
        <vt:i4>0</vt:i4>
      </vt:variant>
      <vt:variant>
        <vt:i4>5</vt:i4>
      </vt:variant>
      <vt:variant>
        <vt:lpwstr>http://www.rho.org/files/rb1/Shaping_Strategy_Introduce_HPV_vaccines_Peru_PATH_2009.pdf</vt:lpwstr>
      </vt:variant>
      <vt:variant>
        <vt:lpwstr/>
      </vt:variant>
      <vt:variant>
        <vt:i4>589862</vt:i4>
      </vt:variant>
      <vt:variant>
        <vt:i4>363</vt:i4>
      </vt:variant>
      <vt:variant>
        <vt:i4>0</vt:i4>
      </vt:variant>
      <vt:variant>
        <vt:i4>5</vt:i4>
      </vt:variant>
      <vt:variant>
        <vt:lpwstr>http://www.rho.org/files/rb1/Shaping_Strategy_Introduce_HPV_vaccines_India_PATH_2009.pdf</vt:lpwstr>
      </vt:variant>
      <vt:variant>
        <vt:lpwstr/>
      </vt:variant>
      <vt:variant>
        <vt:i4>589862</vt:i4>
      </vt:variant>
      <vt:variant>
        <vt:i4>360</vt:i4>
      </vt:variant>
      <vt:variant>
        <vt:i4>0</vt:i4>
      </vt:variant>
      <vt:variant>
        <vt:i4>5</vt:i4>
      </vt:variant>
      <vt:variant>
        <vt:lpwstr>http://www.rho.org/files/rb1/Shaping_Strategy_Introduce_HPV_vaccines_India_PATH_2009.pdf</vt:lpwstr>
      </vt:variant>
      <vt:variant>
        <vt:lpwstr/>
      </vt:variant>
      <vt:variant>
        <vt:i4>2424893</vt:i4>
      </vt:variant>
      <vt:variant>
        <vt:i4>357</vt:i4>
      </vt:variant>
      <vt:variant>
        <vt:i4>0</vt:i4>
      </vt:variant>
      <vt:variant>
        <vt:i4>5</vt:i4>
      </vt:variant>
      <vt:variant>
        <vt:lpwstr>http://www.rho.org/files/rb1/Planning_Implementing_Cervical_Cancer_Prevention_Programs_Manual_ACCP_2004.pdf</vt:lpwstr>
      </vt:variant>
      <vt:variant>
        <vt:lpwstr/>
      </vt:variant>
      <vt:variant>
        <vt:i4>2424893</vt:i4>
      </vt:variant>
      <vt:variant>
        <vt:i4>354</vt:i4>
      </vt:variant>
      <vt:variant>
        <vt:i4>0</vt:i4>
      </vt:variant>
      <vt:variant>
        <vt:i4>5</vt:i4>
      </vt:variant>
      <vt:variant>
        <vt:lpwstr>http://www.rho.org/files/rb1/Planning_Implementing_Cervical_Cancer_Prevention_Programs_Manual_ACCP_2004.pdf</vt:lpwstr>
      </vt:variant>
      <vt:variant>
        <vt:lpwstr/>
      </vt:variant>
      <vt:variant>
        <vt:i4>4522065</vt:i4>
      </vt:variant>
      <vt:variant>
        <vt:i4>351</vt:i4>
      </vt:variant>
      <vt:variant>
        <vt:i4>0</vt:i4>
      </vt:variant>
      <vt:variant>
        <vt:i4>5</vt:i4>
      </vt:variant>
      <vt:variant>
        <vt:lpwstr>http://www.rho.org/files/rb1/Outlook_Progress_Preventing_Cervical_Cancer_PATH_2010.pdf</vt:lpwstr>
      </vt:variant>
      <vt:variant>
        <vt:lpwstr/>
      </vt:variant>
      <vt:variant>
        <vt:i4>4522065</vt:i4>
      </vt:variant>
      <vt:variant>
        <vt:i4>348</vt:i4>
      </vt:variant>
      <vt:variant>
        <vt:i4>0</vt:i4>
      </vt:variant>
      <vt:variant>
        <vt:i4>5</vt:i4>
      </vt:variant>
      <vt:variant>
        <vt:lpwstr>http://www.rho.org/files/rb1/Outlook_Progress_Preventing_Cervical_Cancer_PATH_2010.pdf</vt:lpwstr>
      </vt:variant>
      <vt:variant>
        <vt:lpwstr/>
      </vt:variant>
      <vt:variant>
        <vt:i4>2818076</vt:i4>
      </vt:variant>
      <vt:variant>
        <vt:i4>345</vt:i4>
      </vt:variant>
      <vt:variant>
        <vt:i4>0</vt:i4>
      </vt:variant>
      <vt:variant>
        <vt:i4>5</vt:i4>
      </vt:variant>
      <vt:variant>
        <vt:lpwstr>http://www.rho.org/files/rb1/Immunization_Child_Health_Materials_Development_Guide_PATH_2001.pdf</vt:lpwstr>
      </vt:variant>
      <vt:variant>
        <vt:lpwstr/>
      </vt:variant>
      <vt:variant>
        <vt:i4>2818076</vt:i4>
      </vt:variant>
      <vt:variant>
        <vt:i4>342</vt:i4>
      </vt:variant>
      <vt:variant>
        <vt:i4>0</vt:i4>
      </vt:variant>
      <vt:variant>
        <vt:i4>5</vt:i4>
      </vt:variant>
      <vt:variant>
        <vt:lpwstr>http://www.rho.org/files/rb1/Immunization_Child_Health_Materials_Development_Guide_PATH_2001.pdf</vt:lpwstr>
      </vt:variant>
      <vt:variant>
        <vt:lpwstr/>
      </vt:variant>
      <vt:variant>
        <vt:i4>3604506</vt:i4>
      </vt:variant>
      <vt:variant>
        <vt:i4>339</vt:i4>
      </vt:variant>
      <vt:variant>
        <vt:i4>0</vt:i4>
      </vt:variant>
      <vt:variant>
        <vt:i4>5</vt:i4>
      </vt:variant>
      <vt:variant>
        <vt:lpwstr>http://www.rho.org/files/rb1/HPV_Vaccine_Position_Paper_WHO_2009.pdf</vt:lpwstr>
      </vt:variant>
      <vt:variant>
        <vt:lpwstr/>
      </vt:variant>
      <vt:variant>
        <vt:i4>3604506</vt:i4>
      </vt:variant>
      <vt:variant>
        <vt:i4>336</vt:i4>
      </vt:variant>
      <vt:variant>
        <vt:i4>0</vt:i4>
      </vt:variant>
      <vt:variant>
        <vt:i4>5</vt:i4>
      </vt:variant>
      <vt:variant>
        <vt:lpwstr>http://www.rho.org/files/rb1/HPV_Vaccine_Position_Paper_WHO_2009.pdf</vt:lpwstr>
      </vt:variant>
      <vt:variant>
        <vt:lpwstr/>
      </vt:variant>
      <vt:variant>
        <vt:i4>4653125</vt:i4>
      </vt:variant>
      <vt:variant>
        <vt:i4>333</vt:i4>
      </vt:variant>
      <vt:variant>
        <vt:i4>0</vt:i4>
      </vt:variant>
      <vt:variant>
        <vt:i4>5</vt:i4>
      </vt:variant>
      <vt:variant>
        <vt:lpwstr>http://www.rho.org/files/rb1/HPV_Vaccine_Adoption_Devel_Countries_Financing_IAVI_PATH_2007.pdf</vt:lpwstr>
      </vt:variant>
      <vt:variant>
        <vt:lpwstr/>
      </vt:variant>
      <vt:variant>
        <vt:i4>4653125</vt:i4>
      </vt:variant>
      <vt:variant>
        <vt:i4>330</vt:i4>
      </vt:variant>
      <vt:variant>
        <vt:i4>0</vt:i4>
      </vt:variant>
      <vt:variant>
        <vt:i4>5</vt:i4>
      </vt:variant>
      <vt:variant>
        <vt:lpwstr>http://www.rho.org/files/rb1/HPV_Vaccine_Adoption_Devel_Countries_Financing_IAVI_PATH_2007.pdf</vt:lpwstr>
      </vt:variant>
      <vt:variant>
        <vt:lpwstr/>
      </vt:variant>
      <vt:variant>
        <vt:i4>3407921</vt:i4>
      </vt:variant>
      <vt:variant>
        <vt:i4>327</vt:i4>
      </vt:variant>
      <vt:variant>
        <vt:i4>0</vt:i4>
      </vt:variant>
      <vt:variant>
        <vt:i4>5</vt:i4>
      </vt:variant>
      <vt:variant>
        <vt:lpwstr>http://www.rho.org/files/rb1/HPV_Vaccination_Latin_America_Lessons_PATH_2010.pdf</vt:lpwstr>
      </vt:variant>
      <vt:variant>
        <vt:lpwstr/>
      </vt:variant>
      <vt:variant>
        <vt:i4>3407921</vt:i4>
      </vt:variant>
      <vt:variant>
        <vt:i4>324</vt:i4>
      </vt:variant>
      <vt:variant>
        <vt:i4>0</vt:i4>
      </vt:variant>
      <vt:variant>
        <vt:i4>5</vt:i4>
      </vt:variant>
      <vt:variant>
        <vt:lpwstr>http://www.rho.org/files/rb1/HPV_Vaccination_Latin_America_Lessons_PATH_2010.pdf</vt:lpwstr>
      </vt:variant>
      <vt:variant>
        <vt:lpwstr/>
      </vt:variant>
      <vt:variant>
        <vt:i4>4718693</vt:i4>
      </vt:variant>
      <vt:variant>
        <vt:i4>321</vt:i4>
      </vt:variant>
      <vt:variant>
        <vt:i4>0</vt:i4>
      </vt:variant>
      <vt:variant>
        <vt:i4>5</vt:i4>
      </vt:variant>
      <vt:variant>
        <vt:lpwstr>http://www.rho.org/files/rb1/HPV_Vaccination_Africa_Lessons_PATH_2011.pdf</vt:lpwstr>
      </vt:variant>
      <vt:variant>
        <vt:lpwstr/>
      </vt:variant>
      <vt:variant>
        <vt:i4>4718693</vt:i4>
      </vt:variant>
      <vt:variant>
        <vt:i4>318</vt:i4>
      </vt:variant>
      <vt:variant>
        <vt:i4>0</vt:i4>
      </vt:variant>
      <vt:variant>
        <vt:i4>5</vt:i4>
      </vt:variant>
      <vt:variant>
        <vt:lpwstr>http://www.rho.org/files/rb1/HPV_Vaccination_Africa_Lessons_PATH_2011.pdf</vt:lpwstr>
      </vt:variant>
      <vt:variant>
        <vt:lpwstr/>
      </vt:variant>
      <vt:variant>
        <vt:i4>6226023</vt:i4>
      </vt:variant>
      <vt:variant>
        <vt:i4>315</vt:i4>
      </vt:variant>
      <vt:variant>
        <vt:i4>0</vt:i4>
      </vt:variant>
      <vt:variant>
        <vt:i4>5</vt:i4>
      </vt:variant>
      <vt:variant>
        <vt:lpwstr>http://www.rho.org/files/rb1/Guidelines_Estimating_Costs_Introducing_New_Vaccines_WHO_2002.pdf</vt:lpwstr>
      </vt:variant>
      <vt:variant>
        <vt:lpwstr/>
      </vt:variant>
      <vt:variant>
        <vt:i4>6226023</vt:i4>
      </vt:variant>
      <vt:variant>
        <vt:i4>312</vt:i4>
      </vt:variant>
      <vt:variant>
        <vt:i4>0</vt:i4>
      </vt:variant>
      <vt:variant>
        <vt:i4>5</vt:i4>
      </vt:variant>
      <vt:variant>
        <vt:lpwstr>http://www.rho.org/files/rb1/Guidelines_Estimating_Costs_Introducing_New_Vaccines_WHO_2002.pdf</vt:lpwstr>
      </vt:variant>
      <vt:variant>
        <vt:lpwstr/>
      </vt:variant>
      <vt:variant>
        <vt:i4>4391000</vt:i4>
      </vt:variant>
      <vt:variant>
        <vt:i4>309</vt:i4>
      </vt:variant>
      <vt:variant>
        <vt:i4>0</vt:i4>
      </vt:variant>
      <vt:variant>
        <vt:i4>5</vt:i4>
      </vt:variant>
      <vt:variant>
        <vt:lpwstr>http://www.rho.org/files/rb1/Guidance_Cervical_Cancer_Prevention_Control_FIGO_2009.pdf</vt:lpwstr>
      </vt:variant>
      <vt:variant>
        <vt:lpwstr/>
      </vt:variant>
      <vt:variant>
        <vt:i4>4391000</vt:i4>
      </vt:variant>
      <vt:variant>
        <vt:i4>306</vt:i4>
      </vt:variant>
      <vt:variant>
        <vt:i4>0</vt:i4>
      </vt:variant>
      <vt:variant>
        <vt:i4>5</vt:i4>
      </vt:variant>
      <vt:variant>
        <vt:lpwstr>http://www.rho.org/files/rb1/Guidance_Cervical_Cancer_Prevention_Control_FIGO_2009.pdf</vt:lpwstr>
      </vt:variant>
      <vt:variant>
        <vt:lpwstr/>
      </vt:variant>
      <vt:variant>
        <vt:i4>3407990</vt:i4>
      </vt:variant>
      <vt:variant>
        <vt:i4>303</vt:i4>
      </vt:variant>
      <vt:variant>
        <vt:i4>0</vt:i4>
      </vt:variant>
      <vt:variant>
        <vt:i4>5</vt:i4>
      </vt:variant>
      <vt:variant>
        <vt:lpwstr>http://www.rho.org/files/rb1/Financial_Sustainability_Tool_Immunization_Program_WHO-GAVI_2003.pdf</vt:lpwstr>
      </vt:variant>
      <vt:variant>
        <vt:lpwstr/>
      </vt:variant>
      <vt:variant>
        <vt:i4>3407990</vt:i4>
      </vt:variant>
      <vt:variant>
        <vt:i4>300</vt:i4>
      </vt:variant>
      <vt:variant>
        <vt:i4>0</vt:i4>
      </vt:variant>
      <vt:variant>
        <vt:i4>5</vt:i4>
      </vt:variant>
      <vt:variant>
        <vt:lpwstr>http://www.rho.org/files/rb1/Financial_Sustainability_Tool_Immunization_Program_WHO-GAVI_2003.pdf</vt:lpwstr>
      </vt:variant>
      <vt:variant>
        <vt:lpwstr/>
      </vt:variant>
      <vt:variant>
        <vt:i4>852070</vt:i4>
      </vt:variant>
      <vt:variant>
        <vt:i4>297</vt:i4>
      </vt:variant>
      <vt:variant>
        <vt:i4>0</vt:i4>
      </vt:variant>
      <vt:variant>
        <vt:i4>5</vt:i4>
      </vt:variant>
      <vt:variant>
        <vt:lpwstr>http://www.rho.org/files/rb1/Expert_Consult_Comprehensive_Prevention_Cervical_Cancer_WPRO-WHO_2009.pdf</vt:lpwstr>
      </vt:variant>
      <vt:variant>
        <vt:lpwstr/>
      </vt:variant>
      <vt:variant>
        <vt:i4>852070</vt:i4>
      </vt:variant>
      <vt:variant>
        <vt:i4>294</vt:i4>
      </vt:variant>
      <vt:variant>
        <vt:i4>0</vt:i4>
      </vt:variant>
      <vt:variant>
        <vt:i4>5</vt:i4>
      </vt:variant>
      <vt:variant>
        <vt:lpwstr>http://www.rho.org/files/rb1/Expert_Consult_Comprehensive_Prevention_Cervical_Cancer_WPRO-WHO_2009.pdf</vt:lpwstr>
      </vt:variant>
      <vt:variant>
        <vt:lpwstr/>
      </vt:variant>
      <vt:variant>
        <vt:i4>2097275</vt:i4>
      </vt:variant>
      <vt:variant>
        <vt:i4>291</vt:i4>
      </vt:variant>
      <vt:variant>
        <vt:i4>0</vt:i4>
      </vt:variant>
      <vt:variant>
        <vt:i4>5</vt:i4>
      </vt:variant>
      <vt:variant>
        <vt:lpwstr>http://www.rho.org/files/rb1/Evidence-Based_CxCaScreening_LowResource_IntlPerspSexRH_2009.pdf</vt:lpwstr>
      </vt:variant>
      <vt:variant>
        <vt:lpwstr/>
      </vt:variant>
      <vt:variant>
        <vt:i4>2097275</vt:i4>
      </vt:variant>
      <vt:variant>
        <vt:i4>288</vt:i4>
      </vt:variant>
      <vt:variant>
        <vt:i4>0</vt:i4>
      </vt:variant>
      <vt:variant>
        <vt:i4>5</vt:i4>
      </vt:variant>
      <vt:variant>
        <vt:lpwstr>http://www.rho.org/files/rb1/Evidence-Based_CxCaScreening_LowResource_IntlPerspSexRH_2009.pdf</vt:lpwstr>
      </vt:variant>
      <vt:variant>
        <vt:lpwstr/>
      </vt:variant>
      <vt:variant>
        <vt:i4>5308485</vt:i4>
      </vt:variant>
      <vt:variant>
        <vt:i4>285</vt:i4>
      </vt:variant>
      <vt:variant>
        <vt:i4>0</vt:i4>
      </vt:variant>
      <vt:variant>
        <vt:i4>5</vt:i4>
      </vt:variant>
      <vt:variant>
        <vt:lpwstr>http://www.rho.org/files/rb1/Comprehensive_Cervical_Cancer_Prevention_Guidance_UNFPA_2011.pdf</vt:lpwstr>
      </vt:variant>
      <vt:variant>
        <vt:lpwstr/>
      </vt:variant>
      <vt:variant>
        <vt:i4>5308485</vt:i4>
      </vt:variant>
      <vt:variant>
        <vt:i4>282</vt:i4>
      </vt:variant>
      <vt:variant>
        <vt:i4>0</vt:i4>
      </vt:variant>
      <vt:variant>
        <vt:i4>5</vt:i4>
      </vt:variant>
      <vt:variant>
        <vt:lpwstr>http://www.rho.org/files/rb1/Comprehensive_Cervical_Cancer_Prevention_Guidance_UNFPA_2011.pdf</vt:lpwstr>
      </vt:variant>
      <vt:variant>
        <vt:lpwstr/>
      </vt:variant>
      <vt:variant>
        <vt:i4>458785</vt:i4>
      </vt:variant>
      <vt:variant>
        <vt:i4>279</vt:i4>
      </vt:variant>
      <vt:variant>
        <vt:i4>0</vt:i4>
      </vt:variant>
      <vt:variant>
        <vt:i4>5</vt:i4>
      </vt:variant>
      <vt:variant>
        <vt:lpwstr>http://www.rho.org/files/rb1/Comprehensive_Cervical_Cancer_Control_WHO_2006.pdf</vt:lpwstr>
      </vt:variant>
      <vt:variant>
        <vt:lpwstr/>
      </vt:variant>
      <vt:variant>
        <vt:i4>458785</vt:i4>
      </vt:variant>
      <vt:variant>
        <vt:i4>276</vt:i4>
      </vt:variant>
      <vt:variant>
        <vt:i4>0</vt:i4>
      </vt:variant>
      <vt:variant>
        <vt:i4>5</vt:i4>
      </vt:variant>
      <vt:variant>
        <vt:lpwstr>http://www.rho.org/files/rb1/Comprehensive_Cervical_Cancer_Control_WHO_2006.pdf</vt:lpwstr>
      </vt:variant>
      <vt:variant>
        <vt:lpwstr/>
      </vt:variant>
      <vt:variant>
        <vt:i4>5439587</vt:i4>
      </vt:variant>
      <vt:variant>
        <vt:i4>273</vt:i4>
      </vt:variant>
      <vt:variant>
        <vt:i4>0</vt:i4>
      </vt:variant>
      <vt:variant>
        <vt:i4>5</vt:i4>
      </vt:variant>
      <vt:variant>
        <vt:lpwstr>http://www.rho.org/files/rb1/Cervical_Cancer_Prevention_Millennium_Development_Goals_WHO_2008.pdf</vt:lpwstr>
      </vt:variant>
      <vt:variant>
        <vt:lpwstr/>
      </vt:variant>
      <vt:variant>
        <vt:i4>5439587</vt:i4>
      </vt:variant>
      <vt:variant>
        <vt:i4>270</vt:i4>
      </vt:variant>
      <vt:variant>
        <vt:i4>0</vt:i4>
      </vt:variant>
      <vt:variant>
        <vt:i4>5</vt:i4>
      </vt:variant>
      <vt:variant>
        <vt:lpwstr>http://www.rho.org/files/rb1/Cervical_Cancer_Prevention_Millennium_Development_Goals_WHO_2008.pdf</vt:lpwstr>
      </vt:variant>
      <vt:variant>
        <vt:lpwstr/>
      </vt:variant>
      <vt:variant>
        <vt:i4>2556029</vt:i4>
      </vt:variant>
      <vt:variant>
        <vt:i4>267</vt:i4>
      </vt:variant>
      <vt:variant>
        <vt:i4>0</vt:i4>
      </vt:variant>
      <vt:variant>
        <vt:i4>5</vt:i4>
      </vt:variant>
      <vt:variant>
        <vt:lpwstr>http://www.rho.org/files/rb1/Cervical_Cancer_HPV&amp;HPV_Vaccines_KeyPoints_WHO_PATH_UNFPA_2007.pdf</vt:lpwstr>
      </vt:variant>
      <vt:variant>
        <vt:lpwstr/>
      </vt:variant>
      <vt:variant>
        <vt:i4>2556029</vt:i4>
      </vt:variant>
      <vt:variant>
        <vt:i4>264</vt:i4>
      </vt:variant>
      <vt:variant>
        <vt:i4>0</vt:i4>
      </vt:variant>
      <vt:variant>
        <vt:i4>5</vt:i4>
      </vt:variant>
      <vt:variant>
        <vt:lpwstr>http://www.rho.org/files/rb1/Cervical_Cancer_HPV&amp;HPV_Vaccines_KeyPoints_WHO_PATH_UNFPA_2007.pdf</vt:lpwstr>
      </vt:variant>
      <vt:variant>
        <vt:lpwstr/>
      </vt:variant>
      <vt:variant>
        <vt:i4>1441876</vt:i4>
      </vt:variant>
      <vt:variant>
        <vt:i4>261</vt:i4>
      </vt:variant>
      <vt:variant>
        <vt:i4>0</vt:i4>
      </vt:variant>
      <vt:variant>
        <vt:i4>5</vt:i4>
      </vt:variant>
      <vt:variant>
        <vt:lpwstr>http://www.rho.org/files/rb1/Advocacy_for_Immunization_GAVI-PATH_2001.pdf</vt:lpwstr>
      </vt:variant>
      <vt:variant>
        <vt:lpwstr/>
      </vt:variant>
      <vt:variant>
        <vt:i4>1441876</vt:i4>
      </vt:variant>
      <vt:variant>
        <vt:i4>258</vt:i4>
      </vt:variant>
      <vt:variant>
        <vt:i4>0</vt:i4>
      </vt:variant>
      <vt:variant>
        <vt:i4>5</vt:i4>
      </vt:variant>
      <vt:variant>
        <vt:lpwstr>http://www.rho.org/files/rb1/Advocacy_for_Immunization_GAVI-PATH_2001.pdf</vt:lpwstr>
      </vt:variant>
      <vt:variant>
        <vt:lpwstr/>
      </vt:variant>
      <vt:variant>
        <vt:i4>4063332</vt:i4>
      </vt:variant>
      <vt:variant>
        <vt:i4>255</vt:i4>
      </vt:variant>
      <vt:variant>
        <vt:i4>0</vt:i4>
      </vt:variant>
      <vt:variant>
        <vt:i4>5</vt:i4>
      </vt:variant>
      <vt:variant>
        <vt:lpwstr>http://www.rho.org/</vt:lpwstr>
      </vt:variant>
      <vt:variant>
        <vt:lpwstr/>
      </vt:variant>
      <vt:variant>
        <vt:i4>1704006</vt:i4>
      </vt:variant>
      <vt:variant>
        <vt:i4>252</vt:i4>
      </vt:variant>
      <vt:variant>
        <vt:i4>0</vt:i4>
      </vt:variant>
      <vt:variant>
        <vt:i4>5</vt:i4>
      </vt:variant>
      <vt:variant>
        <vt:lpwstr>http://www.rho.org/HPV-strategic-planning.htm</vt:lpwstr>
      </vt:variant>
      <vt:variant>
        <vt:lpwstr/>
      </vt:variant>
      <vt:variant>
        <vt:i4>6750309</vt:i4>
      </vt:variant>
      <vt:variant>
        <vt:i4>249</vt:i4>
      </vt:variant>
      <vt:variant>
        <vt:i4>0</vt:i4>
      </vt:variant>
      <vt:variant>
        <vt:i4>5</vt:i4>
      </vt:variant>
      <vt:variant>
        <vt:lpwstr>http://www.sciencedirect.com/science/journal/0264410X/29/31</vt:lpwstr>
      </vt:variant>
      <vt:variant>
        <vt:lpwstr/>
      </vt:variant>
      <vt:variant>
        <vt:i4>6946925</vt:i4>
      </vt:variant>
      <vt:variant>
        <vt:i4>246</vt:i4>
      </vt:variant>
      <vt:variant>
        <vt:i4>0</vt:i4>
      </vt:variant>
      <vt:variant>
        <vt:i4>5</vt:i4>
      </vt:variant>
      <vt:variant>
        <vt:lpwstr>http://www.who.int/bulletin/volumes/89/11/en/index.html</vt:lpwstr>
      </vt:variant>
      <vt:variant>
        <vt:lpwstr/>
      </vt:variant>
      <vt:variant>
        <vt:i4>4128845</vt:i4>
      </vt:variant>
      <vt:variant>
        <vt:i4>243</vt:i4>
      </vt:variant>
      <vt:variant>
        <vt:i4>0</vt:i4>
      </vt:variant>
      <vt:variant>
        <vt:i4>5</vt:i4>
      </vt:variant>
      <vt:variant>
        <vt:lpwstr>http://wwwlive.who.int/nuvi/hpv/cervical_cancer_costing_tool/en/index.html</vt:lpwstr>
      </vt:variant>
      <vt:variant>
        <vt:lpwstr/>
      </vt:variant>
      <vt:variant>
        <vt:i4>3014776</vt:i4>
      </vt:variant>
      <vt:variant>
        <vt:i4>240</vt:i4>
      </vt:variant>
      <vt:variant>
        <vt:i4>0</vt:i4>
      </vt:variant>
      <vt:variant>
        <vt:i4>5</vt:i4>
      </vt:variant>
      <vt:variant>
        <vt:lpwstr>http://www.who.int/</vt:lpwstr>
      </vt:variant>
      <vt:variant>
        <vt:lpwstr/>
      </vt:variant>
      <vt:variant>
        <vt:i4>3014776</vt:i4>
      </vt:variant>
      <vt:variant>
        <vt:i4>237</vt:i4>
      </vt:variant>
      <vt:variant>
        <vt:i4>0</vt:i4>
      </vt:variant>
      <vt:variant>
        <vt:i4>5</vt:i4>
      </vt:variant>
      <vt:variant>
        <vt:lpwstr>http://www.who.int/</vt:lpwstr>
      </vt:variant>
      <vt:variant>
        <vt:lpwstr/>
      </vt:variant>
      <vt:variant>
        <vt:i4>4063332</vt:i4>
      </vt:variant>
      <vt:variant>
        <vt:i4>234</vt:i4>
      </vt:variant>
      <vt:variant>
        <vt:i4>0</vt:i4>
      </vt:variant>
      <vt:variant>
        <vt:i4>5</vt:i4>
      </vt:variant>
      <vt:variant>
        <vt:lpwstr>http://www.rho.org/</vt:lpwstr>
      </vt:variant>
      <vt:variant>
        <vt:lpwstr/>
      </vt:variant>
      <vt:variant>
        <vt:i4>4128845</vt:i4>
      </vt:variant>
      <vt:variant>
        <vt:i4>231</vt:i4>
      </vt:variant>
      <vt:variant>
        <vt:i4>0</vt:i4>
      </vt:variant>
      <vt:variant>
        <vt:i4>5</vt:i4>
      </vt:variant>
      <vt:variant>
        <vt:lpwstr>http://wwwlive.who.int/nuvi/hpv/cervical_cancer_costing_tool/en/index.html</vt:lpwstr>
      </vt:variant>
      <vt:variant>
        <vt:lpwstr/>
      </vt:variant>
      <vt:variant>
        <vt:i4>8126513</vt:i4>
      </vt:variant>
      <vt:variant>
        <vt:i4>228</vt:i4>
      </vt:variant>
      <vt:variant>
        <vt:i4>0</vt:i4>
      </vt:variant>
      <vt:variant>
        <vt:i4>5</vt:i4>
      </vt:variant>
      <vt:variant>
        <vt:lpwstr>http://www.biomedcentral.com/1471-2458/12/370/abstract</vt:lpwstr>
      </vt:variant>
      <vt:variant>
        <vt:lpwstr/>
      </vt:variant>
      <vt:variant>
        <vt:i4>7471220</vt:i4>
      </vt:variant>
      <vt:variant>
        <vt:i4>225</vt:i4>
      </vt:variant>
      <vt:variant>
        <vt:i4>0</vt:i4>
      </vt:variant>
      <vt:variant>
        <vt:i4>5</vt:i4>
      </vt:variant>
      <vt:variant>
        <vt:lpwstr>http://www.apjcpcontrol.org/page/apjcp_issues_view.php?pno=1305&amp;gubun=p&amp;s_search=&amp;s_paper_vol=11&amp;s_number33</vt:lpwstr>
      </vt:variant>
      <vt:variant>
        <vt:lpwstr/>
      </vt:variant>
      <vt:variant>
        <vt:i4>6750309</vt:i4>
      </vt:variant>
      <vt:variant>
        <vt:i4>222</vt:i4>
      </vt:variant>
      <vt:variant>
        <vt:i4>0</vt:i4>
      </vt:variant>
      <vt:variant>
        <vt:i4>5</vt:i4>
      </vt:variant>
      <vt:variant>
        <vt:lpwstr>http://www.sciencedirect.com/science/journal/0264410X/29/31</vt:lpwstr>
      </vt:variant>
      <vt:variant>
        <vt:lpwstr/>
      </vt:variant>
      <vt:variant>
        <vt:i4>6946925</vt:i4>
      </vt:variant>
      <vt:variant>
        <vt:i4>219</vt:i4>
      </vt:variant>
      <vt:variant>
        <vt:i4>0</vt:i4>
      </vt:variant>
      <vt:variant>
        <vt:i4>5</vt:i4>
      </vt:variant>
      <vt:variant>
        <vt:lpwstr>http://www.who.int/bulletin/volumes/89/11/en/index.html</vt:lpwstr>
      </vt:variant>
      <vt:variant>
        <vt:lpwstr/>
      </vt:variant>
      <vt:variant>
        <vt:i4>4063332</vt:i4>
      </vt:variant>
      <vt:variant>
        <vt:i4>216</vt:i4>
      </vt:variant>
      <vt:variant>
        <vt:i4>0</vt:i4>
      </vt:variant>
      <vt:variant>
        <vt:i4>5</vt:i4>
      </vt:variant>
      <vt:variant>
        <vt:lpwstr>http://www.rho.org/</vt:lpwstr>
      </vt:variant>
      <vt:variant>
        <vt:lpwstr/>
      </vt:variant>
      <vt:variant>
        <vt:i4>1376347</vt:i4>
      </vt:variant>
      <vt:variant>
        <vt:i4>213</vt:i4>
      </vt:variant>
      <vt:variant>
        <vt:i4>0</vt:i4>
      </vt:variant>
      <vt:variant>
        <vt:i4>5</vt:i4>
      </vt:variant>
      <vt:variant>
        <vt:lpwstr>http://www.rho.org/HPV-vaccine-implementation.htm</vt:lpwstr>
      </vt:variant>
      <vt:variant>
        <vt:lpwstr/>
      </vt:variant>
      <vt:variant>
        <vt:i4>5767246</vt:i4>
      </vt:variant>
      <vt:variant>
        <vt:i4>210</vt:i4>
      </vt:variant>
      <vt:variant>
        <vt:i4>0</vt:i4>
      </vt:variant>
      <vt:variant>
        <vt:i4>5</vt:i4>
      </vt:variant>
      <vt:variant>
        <vt:lpwstr>http://www.who.int/nuvi/hpv/en/index.html</vt:lpwstr>
      </vt:variant>
      <vt:variant>
        <vt:lpwstr/>
      </vt:variant>
      <vt:variant>
        <vt:i4>655483</vt:i4>
      </vt:variant>
      <vt:variant>
        <vt:i4>207</vt:i4>
      </vt:variant>
      <vt:variant>
        <vt:i4>0</vt:i4>
      </vt:variant>
      <vt:variant>
        <vt:i4>5</vt:i4>
      </vt:variant>
      <vt:variant>
        <vt:lpwstr>http://www.who.int/immunization_standards/vaccine_quality/PQ_vaccine_list_en/en/index.html</vt:lpwstr>
      </vt:variant>
      <vt:variant>
        <vt:lpwstr/>
      </vt:variant>
      <vt:variant>
        <vt:i4>4587614</vt:i4>
      </vt:variant>
      <vt:variant>
        <vt:i4>204</vt:i4>
      </vt:variant>
      <vt:variant>
        <vt:i4>0</vt:i4>
      </vt:variant>
      <vt:variant>
        <vt:i4>5</vt:i4>
      </vt:variant>
      <vt:variant>
        <vt:lpwstr>http://www.gavialliance.org/</vt:lpwstr>
      </vt:variant>
      <vt:variant>
        <vt:lpwstr/>
      </vt:variant>
      <vt:variant>
        <vt:i4>5963787</vt:i4>
      </vt:variant>
      <vt:variant>
        <vt:i4>201</vt:i4>
      </vt:variant>
      <vt:variant>
        <vt:i4>0</vt:i4>
      </vt:variant>
      <vt:variant>
        <vt:i4>5</vt:i4>
      </vt:variant>
      <vt:variant>
        <vt:lpwstr>http://www.who.int/wer/2009/wer8415/en/index.html</vt:lpwstr>
      </vt:variant>
      <vt:variant>
        <vt:lpwstr/>
      </vt:variant>
      <vt:variant>
        <vt:i4>4587614</vt:i4>
      </vt:variant>
      <vt:variant>
        <vt:i4>198</vt:i4>
      </vt:variant>
      <vt:variant>
        <vt:i4>0</vt:i4>
      </vt:variant>
      <vt:variant>
        <vt:i4>5</vt:i4>
      </vt:variant>
      <vt:variant>
        <vt:lpwstr>http://www.gavialliance.org/</vt:lpwstr>
      </vt:variant>
      <vt:variant>
        <vt:lpwstr/>
      </vt:variant>
      <vt:variant>
        <vt:i4>4325502</vt:i4>
      </vt:variant>
      <vt:variant>
        <vt:i4>195</vt:i4>
      </vt:variant>
      <vt:variant>
        <vt:i4>0</vt:i4>
      </vt:variant>
      <vt:variant>
        <vt:i4>5</vt:i4>
      </vt:variant>
      <vt:variant>
        <vt:lpwstr>mailto:proposals@gavialliance.org</vt:lpwstr>
      </vt:variant>
      <vt:variant>
        <vt:lpwstr/>
      </vt:variant>
      <vt:variant>
        <vt:i4>4587614</vt:i4>
      </vt:variant>
      <vt:variant>
        <vt:i4>192</vt:i4>
      </vt:variant>
      <vt:variant>
        <vt:i4>0</vt:i4>
      </vt:variant>
      <vt:variant>
        <vt:i4>5</vt:i4>
      </vt:variant>
      <vt:variant>
        <vt:lpwstr>http://www.gavialliance.org/</vt:lpwstr>
      </vt:variant>
      <vt:variant>
        <vt:lpwstr/>
      </vt:variant>
      <vt:variant>
        <vt:i4>2949166</vt:i4>
      </vt:variant>
      <vt:variant>
        <vt:i4>189</vt:i4>
      </vt:variant>
      <vt:variant>
        <vt:i4>0</vt:i4>
      </vt:variant>
      <vt:variant>
        <vt:i4>5</vt:i4>
      </vt:variant>
      <vt:variant>
        <vt:lpwstr>http://www.gavialliance.org/support/apply/</vt:lpwstr>
      </vt:variant>
      <vt:variant>
        <vt:lpwstr/>
      </vt:variant>
      <vt:variant>
        <vt:i4>1507379</vt:i4>
      </vt:variant>
      <vt:variant>
        <vt:i4>182</vt:i4>
      </vt:variant>
      <vt:variant>
        <vt:i4>0</vt:i4>
      </vt:variant>
      <vt:variant>
        <vt:i4>5</vt:i4>
      </vt:variant>
      <vt:variant>
        <vt:lpwstr/>
      </vt:variant>
      <vt:variant>
        <vt:lpwstr>_Toc331582946</vt:lpwstr>
      </vt:variant>
      <vt:variant>
        <vt:i4>1507379</vt:i4>
      </vt:variant>
      <vt:variant>
        <vt:i4>176</vt:i4>
      </vt:variant>
      <vt:variant>
        <vt:i4>0</vt:i4>
      </vt:variant>
      <vt:variant>
        <vt:i4>5</vt:i4>
      </vt:variant>
      <vt:variant>
        <vt:lpwstr/>
      </vt:variant>
      <vt:variant>
        <vt:lpwstr>_Toc331582945</vt:lpwstr>
      </vt:variant>
      <vt:variant>
        <vt:i4>1507379</vt:i4>
      </vt:variant>
      <vt:variant>
        <vt:i4>170</vt:i4>
      </vt:variant>
      <vt:variant>
        <vt:i4>0</vt:i4>
      </vt:variant>
      <vt:variant>
        <vt:i4>5</vt:i4>
      </vt:variant>
      <vt:variant>
        <vt:lpwstr/>
      </vt:variant>
      <vt:variant>
        <vt:lpwstr>_Toc331582944</vt:lpwstr>
      </vt:variant>
      <vt:variant>
        <vt:i4>1507379</vt:i4>
      </vt:variant>
      <vt:variant>
        <vt:i4>164</vt:i4>
      </vt:variant>
      <vt:variant>
        <vt:i4>0</vt:i4>
      </vt:variant>
      <vt:variant>
        <vt:i4>5</vt:i4>
      </vt:variant>
      <vt:variant>
        <vt:lpwstr/>
      </vt:variant>
      <vt:variant>
        <vt:lpwstr>_Toc331582943</vt:lpwstr>
      </vt:variant>
      <vt:variant>
        <vt:i4>1507379</vt:i4>
      </vt:variant>
      <vt:variant>
        <vt:i4>158</vt:i4>
      </vt:variant>
      <vt:variant>
        <vt:i4>0</vt:i4>
      </vt:variant>
      <vt:variant>
        <vt:i4>5</vt:i4>
      </vt:variant>
      <vt:variant>
        <vt:lpwstr/>
      </vt:variant>
      <vt:variant>
        <vt:lpwstr>_Toc331582942</vt:lpwstr>
      </vt:variant>
      <vt:variant>
        <vt:i4>1507379</vt:i4>
      </vt:variant>
      <vt:variant>
        <vt:i4>152</vt:i4>
      </vt:variant>
      <vt:variant>
        <vt:i4>0</vt:i4>
      </vt:variant>
      <vt:variant>
        <vt:i4>5</vt:i4>
      </vt:variant>
      <vt:variant>
        <vt:lpwstr/>
      </vt:variant>
      <vt:variant>
        <vt:lpwstr>_Toc331582940</vt:lpwstr>
      </vt:variant>
      <vt:variant>
        <vt:i4>1048627</vt:i4>
      </vt:variant>
      <vt:variant>
        <vt:i4>146</vt:i4>
      </vt:variant>
      <vt:variant>
        <vt:i4>0</vt:i4>
      </vt:variant>
      <vt:variant>
        <vt:i4>5</vt:i4>
      </vt:variant>
      <vt:variant>
        <vt:lpwstr/>
      </vt:variant>
      <vt:variant>
        <vt:lpwstr>_Toc331582939</vt:lpwstr>
      </vt:variant>
      <vt:variant>
        <vt:i4>1048627</vt:i4>
      </vt:variant>
      <vt:variant>
        <vt:i4>140</vt:i4>
      </vt:variant>
      <vt:variant>
        <vt:i4>0</vt:i4>
      </vt:variant>
      <vt:variant>
        <vt:i4>5</vt:i4>
      </vt:variant>
      <vt:variant>
        <vt:lpwstr/>
      </vt:variant>
      <vt:variant>
        <vt:lpwstr>_Toc331582938</vt:lpwstr>
      </vt:variant>
      <vt:variant>
        <vt:i4>1048627</vt:i4>
      </vt:variant>
      <vt:variant>
        <vt:i4>134</vt:i4>
      </vt:variant>
      <vt:variant>
        <vt:i4>0</vt:i4>
      </vt:variant>
      <vt:variant>
        <vt:i4>5</vt:i4>
      </vt:variant>
      <vt:variant>
        <vt:lpwstr/>
      </vt:variant>
      <vt:variant>
        <vt:lpwstr>_Toc331582937</vt:lpwstr>
      </vt:variant>
      <vt:variant>
        <vt:i4>1048627</vt:i4>
      </vt:variant>
      <vt:variant>
        <vt:i4>128</vt:i4>
      </vt:variant>
      <vt:variant>
        <vt:i4>0</vt:i4>
      </vt:variant>
      <vt:variant>
        <vt:i4>5</vt:i4>
      </vt:variant>
      <vt:variant>
        <vt:lpwstr/>
      </vt:variant>
      <vt:variant>
        <vt:lpwstr>_Toc331582936</vt:lpwstr>
      </vt:variant>
      <vt:variant>
        <vt:i4>1048627</vt:i4>
      </vt:variant>
      <vt:variant>
        <vt:i4>122</vt:i4>
      </vt:variant>
      <vt:variant>
        <vt:i4>0</vt:i4>
      </vt:variant>
      <vt:variant>
        <vt:i4>5</vt:i4>
      </vt:variant>
      <vt:variant>
        <vt:lpwstr/>
      </vt:variant>
      <vt:variant>
        <vt:lpwstr>_Toc331582935</vt:lpwstr>
      </vt:variant>
      <vt:variant>
        <vt:i4>1048627</vt:i4>
      </vt:variant>
      <vt:variant>
        <vt:i4>116</vt:i4>
      </vt:variant>
      <vt:variant>
        <vt:i4>0</vt:i4>
      </vt:variant>
      <vt:variant>
        <vt:i4>5</vt:i4>
      </vt:variant>
      <vt:variant>
        <vt:lpwstr/>
      </vt:variant>
      <vt:variant>
        <vt:lpwstr>_Toc331582934</vt:lpwstr>
      </vt:variant>
      <vt:variant>
        <vt:i4>1048627</vt:i4>
      </vt:variant>
      <vt:variant>
        <vt:i4>110</vt:i4>
      </vt:variant>
      <vt:variant>
        <vt:i4>0</vt:i4>
      </vt:variant>
      <vt:variant>
        <vt:i4>5</vt:i4>
      </vt:variant>
      <vt:variant>
        <vt:lpwstr/>
      </vt:variant>
      <vt:variant>
        <vt:lpwstr>_Toc331582933</vt:lpwstr>
      </vt:variant>
      <vt:variant>
        <vt:i4>1048627</vt:i4>
      </vt:variant>
      <vt:variant>
        <vt:i4>104</vt:i4>
      </vt:variant>
      <vt:variant>
        <vt:i4>0</vt:i4>
      </vt:variant>
      <vt:variant>
        <vt:i4>5</vt:i4>
      </vt:variant>
      <vt:variant>
        <vt:lpwstr/>
      </vt:variant>
      <vt:variant>
        <vt:lpwstr>_Toc331582932</vt:lpwstr>
      </vt:variant>
      <vt:variant>
        <vt:i4>1048627</vt:i4>
      </vt:variant>
      <vt:variant>
        <vt:i4>98</vt:i4>
      </vt:variant>
      <vt:variant>
        <vt:i4>0</vt:i4>
      </vt:variant>
      <vt:variant>
        <vt:i4>5</vt:i4>
      </vt:variant>
      <vt:variant>
        <vt:lpwstr/>
      </vt:variant>
      <vt:variant>
        <vt:lpwstr>_Toc331582931</vt:lpwstr>
      </vt:variant>
      <vt:variant>
        <vt:i4>1048627</vt:i4>
      </vt:variant>
      <vt:variant>
        <vt:i4>92</vt:i4>
      </vt:variant>
      <vt:variant>
        <vt:i4>0</vt:i4>
      </vt:variant>
      <vt:variant>
        <vt:i4>5</vt:i4>
      </vt:variant>
      <vt:variant>
        <vt:lpwstr/>
      </vt:variant>
      <vt:variant>
        <vt:lpwstr>_Toc331582930</vt:lpwstr>
      </vt:variant>
      <vt:variant>
        <vt:i4>1114163</vt:i4>
      </vt:variant>
      <vt:variant>
        <vt:i4>86</vt:i4>
      </vt:variant>
      <vt:variant>
        <vt:i4>0</vt:i4>
      </vt:variant>
      <vt:variant>
        <vt:i4>5</vt:i4>
      </vt:variant>
      <vt:variant>
        <vt:lpwstr/>
      </vt:variant>
      <vt:variant>
        <vt:lpwstr>_Toc331582929</vt:lpwstr>
      </vt:variant>
      <vt:variant>
        <vt:i4>1114163</vt:i4>
      </vt:variant>
      <vt:variant>
        <vt:i4>80</vt:i4>
      </vt:variant>
      <vt:variant>
        <vt:i4>0</vt:i4>
      </vt:variant>
      <vt:variant>
        <vt:i4>5</vt:i4>
      </vt:variant>
      <vt:variant>
        <vt:lpwstr/>
      </vt:variant>
      <vt:variant>
        <vt:lpwstr>_Toc331582928</vt:lpwstr>
      </vt:variant>
      <vt:variant>
        <vt:i4>1114163</vt:i4>
      </vt:variant>
      <vt:variant>
        <vt:i4>74</vt:i4>
      </vt:variant>
      <vt:variant>
        <vt:i4>0</vt:i4>
      </vt:variant>
      <vt:variant>
        <vt:i4>5</vt:i4>
      </vt:variant>
      <vt:variant>
        <vt:lpwstr/>
      </vt:variant>
      <vt:variant>
        <vt:lpwstr>_Toc331582927</vt:lpwstr>
      </vt:variant>
      <vt:variant>
        <vt:i4>1114163</vt:i4>
      </vt:variant>
      <vt:variant>
        <vt:i4>68</vt:i4>
      </vt:variant>
      <vt:variant>
        <vt:i4>0</vt:i4>
      </vt:variant>
      <vt:variant>
        <vt:i4>5</vt:i4>
      </vt:variant>
      <vt:variant>
        <vt:lpwstr/>
      </vt:variant>
      <vt:variant>
        <vt:lpwstr>_Toc331582926</vt:lpwstr>
      </vt:variant>
      <vt:variant>
        <vt:i4>1114163</vt:i4>
      </vt:variant>
      <vt:variant>
        <vt:i4>62</vt:i4>
      </vt:variant>
      <vt:variant>
        <vt:i4>0</vt:i4>
      </vt:variant>
      <vt:variant>
        <vt:i4>5</vt:i4>
      </vt:variant>
      <vt:variant>
        <vt:lpwstr/>
      </vt:variant>
      <vt:variant>
        <vt:lpwstr>_Toc331582925</vt:lpwstr>
      </vt:variant>
      <vt:variant>
        <vt:i4>1114163</vt:i4>
      </vt:variant>
      <vt:variant>
        <vt:i4>56</vt:i4>
      </vt:variant>
      <vt:variant>
        <vt:i4>0</vt:i4>
      </vt:variant>
      <vt:variant>
        <vt:i4>5</vt:i4>
      </vt:variant>
      <vt:variant>
        <vt:lpwstr/>
      </vt:variant>
      <vt:variant>
        <vt:lpwstr>_Toc331582924</vt:lpwstr>
      </vt:variant>
      <vt:variant>
        <vt:i4>1114163</vt:i4>
      </vt:variant>
      <vt:variant>
        <vt:i4>50</vt:i4>
      </vt:variant>
      <vt:variant>
        <vt:i4>0</vt:i4>
      </vt:variant>
      <vt:variant>
        <vt:i4>5</vt:i4>
      </vt:variant>
      <vt:variant>
        <vt:lpwstr/>
      </vt:variant>
      <vt:variant>
        <vt:lpwstr>_Toc331582923</vt:lpwstr>
      </vt:variant>
      <vt:variant>
        <vt:i4>1114163</vt:i4>
      </vt:variant>
      <vt:variant>
        <vt:i4>44</vt:i4>
      </vt:variant>
      <vt:variant>
        <vt:i4>0</vt:i4>
      </vt:variant>
      <vt:variant>
        <vt:i4>5</vt:i4>
      </vt:variant>
      <vt:variant>
        <vt:lpwstr/>
      </vt:variant>
      <vt:variant>
        <vt:lpwstr>_Toc331582922</vt:lpwstr>
      </vt:variant>
      <vt:variant>
        <vt:i4>1114163</vt:i4>
      </vt:variant>
      <vt:variant>
        <vt:i4>38</vt:i4>
      </vt:variant>
      <vt:variant>
        <vt:i4>0</vt:i4>
      </vt:variant>
      <vt:variant>
        <vt:i4>5</vt:i4>
      </vt:variant>
      <vt:variant>
        <vt:lpwstr/>
      </vt:variant>
      <vt:variant>
        <vt:lpwstr>_Toc331582921</vt:lpwstr>
      </vt:variant>
      <vt:variant>
        <vt:i4>1114163</vt:i4>
      </vt:variant>
      <vt:variant>
        <vt:i4>32</vt:i4>
      </vt:variant>
      <vt:variant>
        <vt:i4>0</vt:i4>
      </vt:variant>
      <vt:variant>
        <vt:i4>5</vt:i4>
      </vt:variant>
      <vt:variant>
        <vt:lpwstr/>
      </vt:variant>
      <vt:variant>
        <vt:lpwstr>_Toc331582920</vt:lpwstr>
      </vt:variant>
      <vt:variant>
        <vt:i4>1179699</vt:i4>
      </vt:variant>
      <vt:variant>
        <vt:i4>26</vt:i4>
      </vt:variant>
      <vt:variant>
        <vt:i4>0</vt:i4>
      </vt:variant>
      <vt:variant>
        <vt:i4>5</vt:i4>
      </vt:variant>
      <vt:variant>
        <vt:lpwstr/>
      </vt:variant>
      <vt:variant>
        <vt:lpwstr>_Toc331582919</vt:lpwstr>
      </vt:variant>
      <vt:variant>
        <vt:i4>1179699</vt:i4>
      </vt:variant>
      <vt:variant>
        <vt:i4>20</vt:i4>
      </vt:variant>
      <vt:variant>
        <vt:i4>0</vt:i4>
      </vt:variant>
      <vt:variant>
        <vt:i4>5</vt:i4>
      </vt:variant>
      <vt:variant>
        <vt:lpwstr/>
      </vt:variant>
      <vt:variant>
        <vt:lpwstr>_Toc331582918</vt:lpwstr>
      </vt:variant>
      <vt:variant>
        <vt:i4>1179699</vt:i4>
      </vt:variant>
      <vt:variant>
        <vt:i4>14</vt:i4>
      </vt:variant>
      <vt:variant>
        <vt:i4>0</vt:i4>
      </vt:variant>
      <vt:variant>
        <vt:i4>5</vt:i4>
      </vt:variant>
      <vt:variant>
        <vt:lpwstr/>
      </vt:variant>
      <vt:variant>
        <vt:lpwstr>_Toc331582917</vt:lpwstr>
      </vt:variant>
      <vt:variant>
        <vt:i4>1179699</vt:i4>
      </vt:variant>
      <vt:variant>
        <vt:i4>8</vt:i4>
      </vt:variant>
      <vt:variant>
        <vt:i4>0</vt:i4>
      </vt:variant>
      <vt:variant>
        <vt:i4>5</vt:i4>
      </vt:variant>
      <vt:variant>
        <vt:lpwstr/>
      </vt:variant>
      <vt:variant>
        <vt:lpwstr>_Toc331582916</vt:lpwstr>
      </vt:variant>
      <vt:variant>
        <vt:i4>1179699</vt:i4>
      </vt:variant>
      <vt:variant>
        <vt:i4>2</vt:i4>
      </vt:variant>
      <vt:variant>
        <vt:i4>0</vt:i4>
      </vt:variant>
      <vt:variant>
        <vt:i4>5</vt:i4>
      </vt:variant>
      <vt:variant>
        <vt:lpwstr/>
      </vt:variant>
      <vt:variant>
        <vt:lpwstr>_Toc331582915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ministers</dc:title>
  <dc:creator>raffolder</dc:creator>
  <cp:lastModifiedBy>Anjana Giri</cp:lastModifiedBy>
  <cp:revision>42</cp:revision>
  <cp:lastPrinted>2015-01-21T18:06:00Z</cp:lastPrinted>
  <dcterms:created xsi:type="dcterms:W3CDTF">2015-01-15T10:57:00Z</dcterms:created>
  <dcterms:modified xsi:type="dcterms:W3CDTF">2015-07-20T12:23:00Z</dcterms:modified>
</cp:coreProperties>
</file>