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72E" w:rsidRDefault="00911834" w:rsidP="006465B4">
      <w:pPr>
        <w:pStyle w:val="Title"/>
        <w:spacing w:before="120" w:after="120"/>
      </w:pPr>
      <w:r>
        <w:t>Annex A</w:t>
      </w:r>
      <w:r w:rsidR="0094572E">
        <w:t>:</w:t>
      </w:r>
      <w:r>
        <w:t xml:space="preserve"> </w:t>
      </w:r>
    </w:p>
    <w:p w:rsidR="00911834" w:rsidRDefault="0094572E" w:rsidP="006465B4">
      <w:pPr>
        <w:pStyle w:val="Title"/>
        <w:spacing w:before="120" w:after="120"/>
      </w:pPr>
      <w:r>
        <w:t xml:space="preserve">Papua New Guinea IPV </w:t>
      </w:r>
      <w:r w:rsidR="00911834">
        <w:t>Introduction Plan</w:t>
      </w:r>
    </w:p>
    <w:sdt>
      <w:sdtPr>
        <w:rPr>
          <w:rFonts w:ascii="Times New Roman" w:eastAsia="Times New Roman" w:hAnsi="Times New Roman" w:cs="Times New Roman"/>
          <w:b w:val="0"/>
          <w:bCs w:val="0"/>
          <w:color w:val="auto"/>
          <w:sz w:val="24"/>
          <w:szCs w:val="24"/>
          <w:lang w:val="en-GB" w:eastAsia="en-GB"/>
        </w:rPr>
        <w:id w:val="705835827"/>
        <w:docPartObj>
          <w:docPartGallery w:val="Table of Contents"/>
          <w:docPartUnique/>
        </w:docPartObj>
      </w:sdtPr>
      <w:sdtEndPr>
        <w:rPr>
          <w:noProof/>
        </w:rPr>
      </w:sdtEndPr>
      <w:sdtContent>
        <w:p w:rsidR="00911834" w:rsidRPr="00BD66D5" w:rsidRDefault="00911834" w:rsidP="006465B4">
          <w:pPr>
            <w:pStyle w:val="TOCHeading"/>
            <w:spacing w:before="120" w:after="120" w:line="240" w:lineRule="auto"/>
            <w:jc w:val="center"/>
            <w:rPr>
              <w:bCs w:val="0"/>
            </w:rPr>
          </w:pPr>
          <w:r w:rsidRPr="00BD66D5">
            <w:rPr>
              <w:bCs w:val="0"/>
            </w:rPr>
            <w:t>Table of Contents</w:t>
          </w:r>
        </w:p>
        <w:p w:rsidR="0001499C" w:rsidRPr="0001499C" w:rsidRDefault="00911834" w:rsidP="00570B63">
          <w:pPr>
            <w:pStyle w:val="TOC1"/>
            <w:tabs>
              <w:tab w:val="right" w:leader="dot" w:pos="8290"/>
            </w:tabs>
            <w:spacing w:after="120"/>
            <w:rPr>
              <w:rFonts w:eastAsiaTheme="minorEastAsia" w:cstheme="minorBidi"/>
              <w:b w:val="0"/>
              <w:noProof/>
              <w:lang w:val="en-US" w:eastAsia="ja-JP"/>
            </w:rPr>
          </w:pPr>
          <w:r w:rsidRPr="0001499C">
            <w:rPr>
              <w:b w:val="0"/>
            </w:rPr>
            <w:fldChar w:fldCharType="begin"/>
          </w:r>
          <w:r w:rsidRPr="0001499C">
            <w:rPr>
              <w:b w:val="0"/>
            </w:rPr>
            <w:instrText xml:space="preserve"> TOC \o "1-3" \h \z \u </w:instrText>
          </w:r>
          <w:r w:rsidRPr="0001499C">
            <w:rPr>
              <w:b w:val="0"/>
            </w:rPr>
            <w:fldChar w:fldCharType="separate"/>
          </w:r>
          <w:r w:rsidR="0001499C" w:rsidRPr="0001499C">
            <w:rPr>
              <w:b w:val="0"/>
              <w:noProof/>
            </w:rPr>
            <w:t>Executive summary of the introduction plan</w:t>
          </w:r>
          <w:r w:rsidR="0001499C" w:rsidRPr="0001499C">
            <w:rPr>
              <w:b w:val="0"/>
              <w:noProof/>
            </w:rPr>
            <w:tab/>
          </w:r>
          <w:r w:rsidR="00570B63">
            <w:rPr>
              <w:b w:val="0"/>
              <w:noProof/>
            </w:rPr>
            <w:t>2</w:t>
          </w:r>
        </w:p>
        <w:p w:rsidR="0001499C" w:rsidRPr="0001499C" w:rsidRDefault="0001499C" w:rsidP="006465B4">
          <w:pPr>
            <w:pStyle w:val="TOC1"/>
            <w:tabs>
              <w:tab w:val="right" w:leader="dot" w:pos="8290"/>
            </w:tabs>
            <w:spacing w:after="120"/>
            <w:rPr>
              <w:rFonts w:eastAsiaTheme="minorEastAsia" w:cstheme="minorBidi"/>
              <w:b w:val="0"/>
              <w:noProof/>
              <w:lang w:val="en-US" w:eastAsia="ja-JP"/>
            </w:rPr>
          </w:pPr>
          <w:r w:rsidRPr="0001499C">
            <w:rPr>
              <w:b w:val="0"/>
              <w:noProof/>
            </w:rPr>
            <w:t>1. Justification for introduction of IPV and national decision-making process</w:t>
          </w:r>
          <w:r w:rsidRPr="0001499C">
            <w:rPr>
              <w:b w:val="0"/>
              <w:noProof/>
            </w:rPr>
            <w:tab/>
          </w:r>
          <w:r w:rsidRPr="0001499C">
            <w:rPr>
              <w:b w:val="0"/>
              <w:noProof/>
            </w:rPr>
            <w:fldChar w:fldCharType="begin"/>
          </w:r>
          <w:r w:rsidRPr="0001499C">
            <w:rPr>
              <w:b w:val="0"/>
              <w:noProof/>
            </w:rPr>
            <w:instrText xml:space="preserve"> PAGEREF _Toc263661677 \h </w:instrText>
          </w:r>
          <w:r w:rsidRPr="0001499C">
            <w:rPr>
              <w:b w:val="0"/>
              <w:noProof/>
            </w:rPr>
          </w:r>
          <w:r w:rsidRPr="0001499C">
            <w:rPr>
              <w:b w:val="0"/>
              <w:noProof/>
            </w:rPr>
            <w:fldChar w:fldCharType="separate"/>
          </w:r>
          <w:r w:rsidRPr="0001499C">
            <w:rPr>
              <w:b w:val="0"/>
              <w:noProof/>
            </w:rPr>
            <w:t>4</w:t>
          </w:r>
          <w:r w:rsidRPr="0001499C">
            <w:rPr>
              <w:b w:val="0"/>
              <w:noProof/>
            </w:rPr>
            <w:fldChar w:fldCharType="end"/>
          </w:r>
        </w:p>
        <w:p w:rsidR="0001499C" w:rsidRPr="0001499C" w:rsidRDefault="0001499C" w:rsidP="006465B4">
          <w:pPr>
            <w:pStyle w:val="TOC1"/>
            <w:tabs>
              <w:tab w:val="right" w:leader="dot" w:pos="8290"/>
            </w:tabs>
            <w:spacing w:after="120"/>
            <w:rPr>
              <w:rFonts w:eastAsiaTheme="minorEastAsia" w:cstheme="minorBidi"/>
              <w:b w:val="0"/>
              <w:noProof/>
              <w:lang w:val="en-US" w:eastAsia="ja-JP"/>
            </w:rPr>
          </w:pPr>
          <w:r w:rsidRPr="0001499C">
            <w:rPr>
              <w:b w:val="0"/>
              <w:noProof/>
            </w:rPr>
            <w:t>2. Overview of IPV</w:t>
          </w:r>
          <w:r w:rsidRPr="0001499C">
            <w:rPr>
              <w:b w:val="0"/>
              <w:noProof/>
            </w:rPr>
            <w:tab/>
          </w:r>
          <w:r w:rsidRPr="0001499C">
            <w:rPr>
              <w:b w:val="0"/>
              <w:noProof/>
            </w:rPr>
            <w:fldChar w:fldCharType="begin"/>
          </w:r>
          <w:r w:rsidRPr="0001499C">
            <w:rPr>
              <w:b w:val="0"/>
              <w:noProof/>
            </w:rPr>
            <w:instrText xml:space="preserve"> PAGEREF _Toc263661678 \h </w:instrText>
          </w:r>
          <w:r w:rsidRPr="0001499C">
            <w:rPr>
              <w:b w:val="0"/>
              <w:noProof/>
            </w:rPr>
          </w:r>
          <w:r w:rsidRPr="0001499C">
            <w:rPr>
              <w:b w:val="0"/>
              <w:noProof/>
            </w:rPr>
            <w:fldChar w:fldCharType="separate"/>
          </w:r>
          <w:r w:rsidRPr="0001499C">
            <w:rPr>
              <w:b w:val="0"/>
              <w:noProof/>
            </w:rPr>
            <w:t>5</w:t>
          </w:r>
          <w:r w:rsidRPr="0001499C">
            <w:rPr>
              <w:b w:val="0"/>
              <w:noProof/>
            </w:rPr>
            <w:fldChar w:fldCharType="end"/>
          </w:r>
        </w:p>
        <w:p w:rsidR="0001499C" w:rsidRPr="0001499C" w:rsidRDefault="0001499C" w:rsidP="006465B4">
          <w:pPr>
            <w:pStyle w:val="TOC2"/>
            <w:tabs>
              <w:tab w:val="right" w:leader="dot" w:pos="8290"/>
            </w:tabs>
            <w:spacing w:before="120" w:after="120"/>
            <w:rPr>
              <w:rFonts w:eastAsiaTheme="minorEastAsia" w:cstheme="minorBidi"/>
              <w:b w:val="0"/>
              <w:noProof/>
              <w:sz w:val="24"/>
              <w:szCs w:val="24"/>
              <w:lang w:val="en-US" w:eastAsia="ja-JP"/>
            </w:rPr>
          </w:pPr>
          <w:r w:rsidRPr="0001499C">
            <w:rPr>
              <w:b w:val="0"/>
              <w:noProof/>
            </w:rPr>
            <w:t>2.1  Vaccine preference</w:t>
          </w:r>
          <w:r w:rsidRPr="0001499C">
            <w:rPr>
              <w:b w:val="0"/>
              <w:noProof/>
            </w:rPr>
            <w:tab/>
          </w:r>
          <w:r w:rsidRPr="0001499C">
            <w:rPr>
              <w:b w:val="0"/>
              <w:noProof/>
            </w:rPr>
            <w:fldChar w:fldCharType="begin"/>
          </w:r>
          <w:r w:rsidRPr="0001499C">
            <w:rPr>
              <w:b w:val="0"/>
              <w:noProof/>
            </w:rPr>
            <w:instrText xml:space="preserve"> PAGEREF _Toc263661679 \h </w:instrText>
          </w:r>
          <w:r w:rsidRPr="0001499C">
            <w:rPr>
              <w:b w:val="0"/>
              <w:noProof/>
            </w:rPr>
          </w:r>
          <w:r w:rsidRPr="0001499C">
            <w:rPr>
              <w:b w:val="0"/>
              <w:noProof/>
            </w:rPr>
            <w:fldChar w:fldCharType="separate"/>
          </w:r>
          <w:r w:rsidRPr="0001499C">
            <w:rPr>
              <w:b w:val="0"/>
              <w:noProof/>
            </w:rPr>
            <w:t>5</w:t>
          </w:r>
          <w:r w:rsidRPr="0001499C">
            <w:rPr>
              <w:b w:val="0"/>
              <w:noProof/>
            </w:rPr>
            <w:fldChar w:fldCharType="end"/>
          </w:r>
        </w:p>
        <w:p w:rsidR="0001499C" w:rsidRPr="0001499C" w:rsidRDefault="0001499C" w:rsidP="006465B4">
          <w:pPr>
            <w:pStyle w:val="TOC2"/>
            <w:tabs>
              <w:tab w:val="right" w:leader="dot" w:pos="8290"/>
            </w:tabs>
            <w:spacing w:before="120" w:after="120"/>
            <w:rPr>
              <w:rFonts w:eastAsiaTheme="minorEastAsia" w:cstheme="minorBidi"/>
              <w:b w:val="0"/>
              <w:noProof/>
              <w:sz w:val="24"/>
              <w:szCs w:val="24"/>
              <w:lang w:val="en-US" w:eastAsia="ja-JP"/>
            </w:rPr>
          </w:pPr>
          <w:r w:rsidRPr="0001499C">
            <w:rPr>
              <w:b w:val="0"/>
              <w:noProof/>
            </w:rPr>
            <w:t>2.2  Country licensure status</w:t>
          </w:r>
          <w:r w:rsidRPr="0001499C">
            <w:rPr>
              <w:b w:val="0"/>
              <w:noProof/>
            </w:rPr>
            <w:tab/>
          </w:r>
          <w:r w:rsidRPr="0001499C">
            <w:rPr>
              <w:b w:val="0"/>
              <w:noProof/>
            </w:rPr>
            <w:fldChar w:fldCharType="begin"/>
          </w:r>
          <w:r w:rsidRPr="0001499C">
            <w:rPr>
              <w:b w:val="0"/>
              <w:noProof/>
            </w:rPr>
            <w:instrText xml:space="preserve"> PAGEREF _Toc263661680 \h </w:instrText>
          </w:r>
          <w:r w:rsidRPr="0001499C">
            <w:rPr>
              <w:b w:val="0"/>
              <w:noProof/>
            </w:rPr>
          </w:r>
          <w:r w:rsidRPr="0001499C">
            <w:rPr>
              <w:b w:val="0"/>
              <w:noProof/>
            </w:rPr>
            <w:fldChar w:fldCharType="separate"/>
          </w:r>
          <w:r w:rsidRPr="0001499C">
            <w:rPr>
              <w:b w:val="0"/>
              <w:noProof/>
            </w:rPr>
            <w:t>6</w:t>
          </w:r>
          <w:r w:rsidRPr="0001499C">
            <w:rPr>
              <w:b w:val="0"/>
              <w:noProof/>
            </w:rPr>
            <w:fldChar w:fldCharType="end"/>
          </w:r>
        </w:p>
        <w:p w:rsidR="0001499C" w:rsidRPr="0001499C" w:rsidRDefault="0001499C" w:rsidP="006465B4">
          <w:pPr>
            <w:pStyle w:val="TOC2"/>
            <w:tabs>
              <w:tab w:val="right" w:leader="dot" w:pos="8290"/>
            </w:tabs>
            <w:spacing w:before="120" w:after="120"/>
            <w:rPr>
              <w:rFonts w:eastAsiaTheme="minorEastAsia" w:cstheme="minorBidi"/>
              <w:b w:val="0"/>
              <w:noProof/>
              <w:sz w:val="24"/>
              <w:szCs w:val="24"/>
              <w:lang w:val="en-US" w:eastAsia="ja-JP"/>
            </w:rPr>
          </w:pPr>
          <w:r w:rsidRPr="0001499C">
            <w:rPr>
              <w:b w:val="0"/>
              <w:noProof/>
            </w:rPr>
            <w:t>2.3  Target population and vaccine supply</w:t>
          </w:r>
          <w:r w:rsidRPr="0001499C">
            <w:rPr>
              <w:b w:val="0"/>
              <w:noProof/>
            </w:rPr>
            <w:tab/>
          </w:r>
          <w:r w:rsidRPr="0001499C">
            <w:rPr>
              <w:b w:val="0"/>
              <w:noProof/>
            </w:rPr>
            <w:fldChar w:fldCharType="begin"/>
          </w:r>
          <w:r w:rsidRPr="0001499C">
            <w:rPr>
              <w:b w:val="0"/>
              <w:noProof/>
            </w:rPr>
            <w:instrText xml:space="preserve"> PAGEREF _Toc263661681 \h </w:instrText>
          </w:r>
          <w:r w:rsidRPr="0001499C">
            <w:rPr>
              <w:b w:val="0"/>
              <w:noProof/>
            </w:rPr>
          </w:r>
          <w:r w:rsidRPr="0001499C">
            <w:rPr>
              <w:b w:val="0"/>
              <w:noProof/>
            </w:rPr>
            <w:fldChar w:fldCharType="separate"/>
          </w:r>
          <w:r w:rsidRPr="0001499C">
            <w:rPr>
              <w:b w:val="0"/>
              <w:noProof/>
            </w:rPr>
            <w:t>6</w:t>
          </w:r>
          <w:r w:rsidRPr="0001499C">
            <w:rPr>
              <w:b w:val="0"/>
              <w:noProof/>
            </w:rPr>
            <w:fldChar w:fldCharType="end"/>
          </w:r>
        </w:p>
        <w:p w:rsidR="0001499C" w:rsidRPr="0001499C" w:rsidRDefault="0001499C" w:rsidP="006465B4">
          <w:pPr>
            <w:pStyle w:val="TOC1"/>
            <w:tabs>
              <w:tab w:val="right" w:leader="dot" w:pos="8290"/>
            </w:tabs>
            <w:spacing w:after="120"/>
            <w:rPr>
              <w:rFonts w:eastAsiaTheme="minorEastAsia" w:cstheme="minorBidi"/>
              <w:b w:val="0"/>
              <w:noProof/>
              <w:lang w:val="en-US" w:eastAsia="ja-JP"/>
            </w:rPr>
          </w:pPr>
          <w:r w:rsidRPr="0001499C">
            <w:rPr>
              <w:b w:val="0"/>
              <w:noProof/>
            </w:rPr>
            <w:t>3. Introduction and implementation considerations</w:t>
          </w:r>
          <w:r w:rsidRPr="0001499C">
            <w:rPr>
              <w:b w:val="0"/>
              <w:noProof/>
            </w:rPr>
            <w:tab/>
          </w:r>
          <w:r w:rsidRPr="0001499C">
            <w:rPr>
              <w:b w:val="0"/>
              <w:noProof/>
            </w:rPr>
            <w:fldChar w:fldCharType="begin"/>
          </w:r>
          <w:r w:rsidRPr="0001499C">
            <w:rPr>
              <w:b w:val="0"/>
              <w:noProof/>
            </w:rPr>
            <w:instrText xml:space="preserve"> PAGEREF _Toc263661682 \h </w:instrText>
          </w:r>
          <w:r w:rsidRPr="0001499C">
            <w:rPr>
              <w:b w:val="0"/>
              <w:noProof/>
            </w:rPr>
          </w:r>
          <w:r w:rsidRPr="0001499C">
            <w:rPr>
              <w:b w:val="0"/>
              <w:noProof/>
            </w:rPr>
            <w:fldChar w:fldCharType="separate"/>
          </w:r>
          <w:r w:rsidRPr="0001499C">
            <w:rPr>
              <w:b w:val="0"/>
              <w:noProof/>
            </w:rPr>
            <w:t>7</w:t>
          </w:r>
          <w:r w:rsidRPr="0001499C">
            <w:rPr>
              <w:b w:val="0"/>
              <w:noProof/>
            </w:rPr>
            <w:fldChar w:fldCharType="end"/>
          </w:r>
        </w:p>
        <w:p w:rsidR="0001499C" w:rsidRPr="0001499C" w:rsidRDefault="0001499C" w:rsidP="006465B4">
          <w:pPr>
            <w:pStyle w:val="TOC2"/>
            <w:tabs>
              <w:tab w:val="right" w:leader="dot" w:pos="8290"/>
            </w:tabs>
            <w:spacing w:before="120" w:after="120"/>
            <w:rPr>
              <w:rFonts w:eastAsiaTheme="minorEastAsia" w:cstheme="minorBidi"/>
              <w:b w:val="0"/>
              <w:noProof/>
              <w:sz w:val="24"/>
              <w:szCs w:val="24"/>
              <w:lang w:val="en-US" w:eastAsia="ja-JP"/>
            </w:rPr>
          </w:pPr>
          <w:r w:rsidRPr="0001499C">
            <w:rPr>
              <w:b w:val="0"/>
              <w:noProof/>
            </w:rPr>
            <w:t>3.1  Policy development</w:t>
          </w:r>
          <w:r w:rsidRPr="0001499C">
            <w:rPr>
              <w:b w:val="0"/>
              <w:noProof/>
            </w:rPr>
            <w:tab/>
          </w:r>
          <w:r w:rsidRPr="0001499C">
            <w:rPr>
              <w:b w:val="0"/>
              <w:noProof/>
            </w:rPr>
            <w:fldChar w:fldCharType="begin"/>
          </w:r>
          <w:r w:rsidRPr="0001499C">
            <w:rPr>
              <w:b w:val="0"/>
              <w:noProof/>
            </w:rPr>
            <w:instrText xml:space="preserve"> PAGEREF _Toc263661683 \h </w:instrText>
          </w:r>
          <w:r w:rsidRPr="0001499C">
            <w:rPr>
              <w:b w:val="0"/>
              <w:noProof/>
            </w:rPr>
          </w:r>
          <w:r w:rsidRPr="0001499C">
            <w:rPr>
              <w:b w:val="0"/>
              <w:noProof/>
            </w:rPr>
            <w:fldChar w:fldCharType="separate"/>
          </w:r>
          <w:r w:rsidRPr="0001499C">
            <w:rPr>
              <w:b w:val="0"/>
              <w:noProof/>
            </w:rPr>
            <w:t>7</w:t>
          </w:r>
          <w:r w:rsidRPr="0001499C">
            <w:rPr>
              <w:b w:val="0"/>
              <w:noProof/>
            </w:rPr>
            <w:fldChar w:fldCharType="end"/>
          </w:r>
        </w:p>
        <w:p w:rsidR="0001499C" w:rsidRPr="0001499C" w:rsidRDefault="0001499C" w:rsidP="00E7142E">
          <w:pPr>
            <w:pStyle w:val="TOC2"/>
            <w:tabs>
              <w:tab w:val="right" w:leader="dot" w:pos="8290"/>
            </w:tabs>
            <w:spacing w:before="120" w:after="120"/>
            <w:rPr>
              <w:rFonts w:eastAsiaTheme="minorEastAsia" w:cstheme="minorBidi"/>
              <w:b w:val="0"/>
              <w:noProof/>
              <w:sz w:val="24"/>
              <w:szCs w:val="24"/>
              <w:lang w:val="en-US" w:eastAsia="ja-JP"/>
            </w:rPr>
          </w:pPr>
          <w:r w:rsidRPr="0001499C">
            <w:rPr>
              <w:b w:val="0"/>
              <w:noProof/>
            </w:rPr>
            <w:t>3.2  National coordination mechanism to ensure the successful introduction</w:t>
          </w:r>
          <w:r w:rsidRPr="0001499C">
            <w:rPr>
              <w:b w:val="0"/>
              <w:noProof/>
            </w:rPr>
            <w:tab/>
          </w:r>
          <w:r w:rsidR="00E7142E">
            <w:rPr>
              <w:b w:val="0"/>
              <w:noProof/>
            </w:rPr>
            <w:t>7</w:t>
          </w:r>
        </w:p>
        <w:p w:rsidR="0001499C" w:rsidRPr="0001499C" w:rsidRDefault="0001499C" w:rsidP="006465B4">
          <w:pPr>
            <w:pStyle w:val="TOC2"/>
            <w:tabs>
              <w:tab w:val="right" w:leader="dot" w:pos="8290"/>
            </w:tabs>
            <w:spacing w:before="120" w:after="120"/>
            <w:rPr>
              <w:rFonts w:eastAsiaTheme="minorEastAsia" w:cstheme="minorBidi"/>
              <w:b w:val="0"/>
              <w:noProof/>
              <w:sz w:val="24"/>
              <w:szCs w:val="24"/>
              <w:lang w:val="en-US" w:eastAsia="ja-JP"/>
            </w:rPr>
          </w:pPr>
          <w:r w:rsidRPr="0001499C">
            <w:rPr>
              <w:b w:val="0"/>
              <w:noProof/>
            </w:rPr>
            <w:t>3.3  Affordability and financial sustainability</w:t>
          </w:r>
          <w:r w:rsidRPr="0001499C">
            <w:rPr>
              <w:b w:val="0"/>
              <w:noProof/>
            </w:rPr>
            <w:tab/>
          </w:r>
          <w:r w:rsidRPr="0001499C">
            <w:rPr>
              <w:b w:val="0"/>
              <w:noProof/>
            </w:rPr>
            <w:fldChar w:fldCharType="begin"/>
          </w:r>
          <w:r w:rsidRPr="0001499C">
            <w:rPr>
              <w:b w:val="0"/>
              <w:noProof/>
            </w:rPr>
            <w:instrText xml:space="preserve"> PAGEREF _Toc263661685 \h </w:instrText>
          </w:r>
          <w:r w:rsidRPr="0001499C">
            <w:rPr>
              <w:b w:val="0"/>
              <w:noProof/>
            </w:rPr>
          </w:r>
          <w:r w:rsidRPr="0001499C">
            <w:rPr>
              <w:b w:val="0"/>
              <w:noProof/>
            </w:rPr>
            <w:fldChar w:fldCharType="separate"/>
          </w:r>
          <w:r w:rsidRPr="0001499C">
            <w:rPr>
              <w:b w:val="0"/>
              <w:noProof/>
            </w:rPr>
            <w:t>8</w:t>
          </w:r>
          <w:r w:rsidRPr="0001499C">
            <w:rPr>
              <w:b w:val="0"/>
              <w:noProof/>
            </w:rPr>
            <w:fldChar w:fldCharType="end"/>
          </w:r>
        </w:p>
        <w:p w:rsidR="0001499C" w:rsidRPr="0001499C" w:rsidRDefault="0001499C" w:rsidP="00E7142E">
          <w:pPr>
            <w:pStyle w:val="TOC2"/>
            <w:tabs>
              <w:tab w:val="right" w:leader="dot" w:pos="8290"/>
            </w:tabs>
            <w:spacing w:before="120" w:after="120"/>
            <w:rPr>
              <w:rFonts w:eastAsiaTheme="minorEastAsia" w:cstheme="minorBidi"/>
              <w:b w:val="0"/>
              <w:noProof/>
              <w:sz w:val="24"/>
              <w:szCs w:val="24"/>
              <w:lang w:val="en-US" w:eastAsia="ja-JP"/>
            </w:rPr>
          </w:pPr>
          <w:r w:rsidRPr="0001499C">
            <w:rPr>
              <w:b w:val="0"/>
              <w:noProof/>
            </w:rPr>
            <w:t>3.4  Overview of cold chain capacity at district, regional and central levels</w:t>
          </w:r>
          <w:r w:rsidRPr="0001499C">
            <w:rPr>
              <w:b w:val="0"/>
              <w:noProof/>
            </w:rPr>
            <w:tab/>
          </w:r>
          <w:r w:rsidR="00E7142E">
            <w:rPr>
              <w:b w:val="0"/>
              <w:noProof/>
            </w:rPr>
            <w:t>10</w:t>
          </w:r>
        </w:p>
        <w:p w:rsidR="0001499C" w:rsidRPr="0001499C" w:rsidRDefault="0001499C" w:rsidP="00E7142E">
          <w:pPr>
            <w:pStyle w:val="TOC2"/>
            <w:tabs>
              <w:tab w:val="right" w:leader="dot" w:pos="8290"/>
            </w:tabs>
            <w:spacing w:before="120" w:after="120"/>
            <w:rPr>
              <w:rFonts w:eastAsiaTheme="minorEastAsia" w:cstheme="minorBidi"/>
              <w:b w:val="0"/>
              <w:noProof/>
              <w:sz w:val="24"/>
              <w:szCs w:val="24"/>
              <w:lang w:val="en-US" w:eastAsia="ja-JP"/>
            </w:rPr>
          </w:pPr>
          <w:r w:rsidRPr="0001499C">
            <w:rPr>
              <w:b w:val="0"/>
              <w:noProof/>
            </w:rPr>
            <w:t>3.5  Waste management and injection safety</w:t>
          </w:r>
          <w:r w:rsidRPr="0001499C">
            <w:rPr>
              <w:b w:val="0"/>
              <w:noProof/>
            </w:rPr>
            <w:tab/>
          </w:r>
          <w:r w:rsidR="00E7142E">
            <w:rPr>
              <w:b w:val="0"/>
              <w:noProof/>
            </w:rPr>
            <w:t>10</w:t>
          </w:r>
        </w:p>
        <w:p w:rsidR="0001499C" w:rsidRPr="0001499C" w:rsidRDefault="0001499C" w:rsidP="00E7142E">
          <w:pPr>
            <w:pStyle w:val="TOC2"/>
            <w:tabs>
              <w:tab w:val="right" w:leader="dot" w:pos="8290"/>
            </w:tabs>
            <w:spacing w:before="120" w:after="120"/>
            <w:rPr>
              <w:rFonts w:eastAsiaTheme="minorEastAsia" w:cstheme="minorBidi"/>
              <w:b w:val="0"/>
              <w:noProof/>
              <w:sz w:val="24"/>
              <w:szCs w:val="24"/>
              <w:lang w:val="en-US" w:eastAsia="ja-JP"/>
            </w:rPr>
          </w:pPr>
          <w:r w:rsidRPr="0001499C">
            <w:rPr>
              <w:b w:val="0"/>
              <w:noProof/>
            </w:rPr>
            <w:t>3.6  Health worker training and supervision</w:t>
          </w:r>
          <w:r w:rsidRPr="0001499C">
            <w:rPr>
              <w:b w:val="0"/>
              <w:noProof/>
            </w:rPr>
            <w:tab/>
          </w:r>
          <w:r w:rsidR="00E7142E">
            <w:rPr>
              <w:b w:val="0"/>
              <w:noProof/>
            </w:rPr>
            <w:t>10</w:t>
          </w:r>
        </w:p>
        <w:p w:rsidR="0001499C" w:rsidRPr="0001499C" w:rsidRDefault="0001499C" w:rsidP="00E7142E">
          <w:pPr>
            <w:pStyle w:val="TOC2"/>
            <w:tabs>
              <w:tab w:val="right" w:leader="dot" w:pos="8290"/>
            </w:tabs>
            <w:spacing w:before="120" w:after="120"/>
            <w:rPr>
              <w:rFonts w:eastAsiaTheme="minorEastAsia" w:cstheme="minorBidi"/>
              <w:b w:val="0"/>
              <w:noProof/>
              <w:sz w:val="24"/>
              <w:szCs w:val="24"/>
              <w:lang w:val="en-US" w:eastAsia="ja-JP"/>
            </w:rPr>
          </w:pPr>
          <w:r w:rsidRPr="0001499C">
            <w:rPr>
              <w:b w:val="0"/>
              <w:noProof/>
            </w:rPr>
            <w:t>3.7  Risks and challenges</w:t>
          </w:r>
          <w:r w:rsidRPr="0001499C">
            <w:rPr>
              <w:b w:val="0"/>
              <w:noProof/>
            </w:rPr>
            <w:tab/>
          </w:r>
          <w:r w:rsidR="00E7142E">
            <w:rPr>
              <w:b w:val="0"/>
              <w:noProof/>
            </w:rPr>
            <w:t>10</w:t>
          </w:r>
        </w:p>
        <w:p w:rsidR="0001499C" w:rsidRPr="0001499C" w:rsidRDefault="0001499C" w:rsidP="00E7142E">
          <w:pPr>
            <w:pStyle w:val="TOC1"/>
            <w:tabs>
              <w:tab w:val="right" w:leader="dot" w:pos="8290"/>
            </w:tabs>
            <w:spacing w:after="120"/>
            <w:rPr>
              <w:rFonts w:eastAsiaTheme="minorEastAsia" w:cstheme="minorBidi"/>
              <w:b w:val="0"/>
              <w:noProof/>
              <w:lang w:val="en-US" w:eastAsia="ja-JP"/>
            </w:rPr>
          </w:pPr>
          <w:r w:rsidRPr="0001499C">
            <w:rPr>
              <w:b w:val="0"/>
              <w:noProof/>
            </w:rPr>
            <w:t>4. Situational analysis of the immunisation programme</w:t>
          </w:r>
          <w:r w:rsidRPr="0001499C">
            <w:rPr>
              <w:b w:val="0"/>
              <w:noProof/>
            </w:rPr>
            <w:tab/>
          </w:r>
          <w:r w:rsidR="00E7142E">
            <w:rPr>
              <w:b w:val="0"/>
              <w:noProof/>
            </w:rPr>
            <w:t>12</w:t>
          </w:r>
        </w:p>
        <w:p w:rsidR="0001499C" w:rsidRPr="0001499C" w:rsidRDefault="0001499C" w:rsidP="00E7142E">
          <w:pPr>
            <w:pStyle w:val="TOC2"/>
            <w:tabs>
              <w:tab w:val="right" w:leader="dot" w:pos="8290"/>
            </w:tabs>
            <w:spacing w:before="120" w:after="120"/>
            <w:rPr>
              <w:rFonts w:eastAsiaTheme="minorEastAsia" w:cstheme="minorBidi"/>
              <w:b w:val="0"/>
              <w:noProof/>
              <w:sz w:val="24"/>
              <w:szCs w:val="24"/>
              <w:lang w:val="en-US" w:eastAsia="ja-JP"/>
            </w:rPr>
          </w:pPr>
          <w:r w:rsidRPr="0001499C">
            <w:rPr>
              <w:b w:val="0"/>
              <w:noProof/>
            </w:rPr>
            <w:t>4.1  General context of the country</w:t>
          </w:r>
          <w:r w:rsidRPr="0001499C">
            <w:rPr>
              <w:b w:val="0"/>
              <w:noProof/>
            </w:rPr>
            <w:tab/>
          </w:r>
          <w:r w:rsidR="00E7142E">
            <w:rPr>
              <w:b w:val="0"/>
              <w:noProof/>
            </w:rPr>
            <w:t>12</w:t>
          </w:r>
        </w:p>
        <w:p w:rsidR="0001499C" w:rsidRPr="0001499C" w:rsidRDefault="0001499C" w:rsidP="00E7142E">
          <w:pPr>
            <w:pStyle w:val="TOC2"/>
            <w:tabs>
              <w:tab w:val="right" w:leader="dot" w:pos="8290"/>
            </w:tabs>
            <w:spacing w:before="120" w:after="120"/>
            <w:rPr>
              <w:rFonts w:eastAsiaTheme="minorEastAsia" w:cstheme="minorBidi"/>
              <w:b w:val="0"/>
              <w:noProof/>
              <w:sz w:val="24"/>
              <w:szCs w:val="24"/>
              <w:lang w:val="en-US" w:eastAsia="ja-JP"/>
            </w:rPr>
          </w:pPr>
          <w:r w:rsidRPr="0001499C">
            <w:rPr>
              <w:b w:val="0"/>
              <w:noProof/>
            </w:rPr>
            <w:t>4.2 Geographical, economic, policy, cultural, gender and social barriers to immunization</w:t>
          </w:r>
          <w:r w:rsidRPr="0001499C">
            <w:rPr>
              <w:b w:val="0"/>
              <w:noProof/>
            </w:rPr>
            <w:tab/>
          </w:r>
          <w:r w:rsidR="00E7142E">
            <w:rPr>
              <w:b w:val="0"/>
              <w:noProof/>
            </w:rPr>
            <w:t>13</w:t>
          </w:r>
        </w:p>
        <w:p w:rsidR="0001499C" w:rsidRPr="0001499C" w:rsidRDefault="0001499C" w:rsidP="00E7142E">
          <w:pPr>
            <w:pStyle w:val="TOC2"/>
            <w:tabs>
              <w:tab w:val="right" w:leader="dot" w:pos="8290"/>
            </w:tabs>
            <w:spacing w:before="120" w:after="120"/>
            <w:rPr>
              <w:rFonts w:eastAsiaTheme="minorEastAsia" w:cstheme="minorBidi"/>
              <w:b w:val="0"/>
              <w:noProof/>
              <w:sz w:val="24"/>
              <w:szCs w:val="24"/>
              <w:lang w:val="en-US" w:eastAsia="ja-JP"/>
            </w:rPr>
          </w:pPr>
          <w:r w:rsidRPr="0001499C">
            <w:rPr>
              <w:b w:val="0"/>
              <w:noProof/>
            </w:rPr>
            <w:t>4.3  Findings from recent programme reviews</w:t>
          </w:r>
          <w:r w:rsidRPr="0001499C">
            <w:rPr>
              <w:b w:val="0"/>
              <w:noProof/>
            </w:rPr>
            <w:tab/>
          </w:r>
          <w:r w:rsidR="00E7142E">
            <w:rPr>
              <w:b w:val="0"/>
              <w:noProof/>
            </w:rPr>
            <w:t>14</w:t>
          </w:r>
        </w:p>
        <w:p w:rsidR="0001499C" w:rsidRPr="0001499C" w:rsidRDefault="0001499C" w:rsidP="00E7142E">
          <w:pPr>
            <w:pStyle w:val="TOC1"/>
            <w:tabs>
              <w:tab w:val="right" w:leader="dot" w:pos="8290"/>
            </w:tabs>
            <w:spacing w:after="120"/>
            <w:rPr>
              <w:rFonts w:eastAsiaTheme="minorEastAsia" w:cstheme="minorBidi"/>
              <w:b w:val="0"/>
              <w:noProof/>
              <w:lang w:val="en-US" w:eastAsia="ja-JP"/>
            </w:rPr>
          </w:pPr>
          <w:r w:rsidRPr="0001499C">
            <w:rPr>
              <w:b w:val="0"/>
              <w:noProof/>
            </w:rPr>
            <w:t>5. Monitoring and evaluation</w:t>
          </w:r>
          <w:r w:rsidRPr="0001499C">
            <w:rPr>
              <w:b w:val="0"/>
              <w:noProof/>
            </w:rPr>
            <w:tab/>
          </w:r>
          <w:r w:rsidR="00E7142E">
            <w:rPr>
              <w:b w:val="0"/>
              <w:noProof/>
            </w:rPr>
            <w:t>15</w:t>
          </w:r>
        </w:p>
        <w:p w:rsidR="0001499C" w:rsidRPr="0001499C" w:rsidRDefault="0001499C" w:rsidP="00E7142E">
          <w:pPr>
            <w:pStyle w:val="TOC2"/>
            <w:tabs>
              <w:tab w:val="right" w:leader="dot" w:pos="8290"/>
            </w:tabs>
            <w:spacing w:before="120" w:after="120"/>
            <w:rPr>
              <w:rFonts w:eastAsiaTheme="minorEastAsia" w:cstheme="minorBidi"/>
              <w:b w:val="0"/>
              <w:noProof/>
              <w:sz w:val="24"/>
              <w:szCs w:val="24"/>
              <w:lang w:val="en-US" w:eastAsia="ja-JP"/>
            </w:rPr>
          </w:pPr>
          <w:r w:rsidRPr="0001499C">
            <w:rPr>
              <w:b w:val="0"/>
              <w:noProof/>
            </w:rPr>
            <w:t>5.1  Updating of monitoring tools</w:t>
          </w:r>
          <w:r w:rsidRPr="0001499C">
            <w:rPr>
              <w:b w:val="0"/>
              <w:noProof/>
            </w:rPr>
            <w:tab/>
          </w:r>
          <w:r w:rsidR="00E7142E">
            <w:rPr>
              <w:b w:val="0"/>
              <w:noProof/>
            </w:rPr>
            <w:t>15</w:t>
          </w:r>
        </w:p>
        <w:p w:rsidR="0001499C" w:rsidRPr="0001499C" w:rsidRDefault="0001499C" w:rsidP="00E7142E">
          <w:pPr>
            <w:pStyle w:val="TOC2"/>
            <w:tabs>
              <w:tab w:val="right" w:leader="dot" w:pos="8290"/>
            </w:tabs>
            <w:spacing w:before="120" w:after="120"/>
            <w:rPr>
              <w:rFonts w:eastAsiaTheme="minorEastAsia" w:cstheme="minorBidi"/>
              <w:b w:val="0"/>
              <w:noProof/>
              <w:sz w:val="24"/>
              <w:szCs w:val="24"/>
              <w:lang w:val="en-US" w:eastAsia="ja-JP"/>
            </w:rPr>
          </w:pPr>
          <w:r w:rsidRPr="0001499C">
            <w:rPr>
              <w:b w:val="0"/>
              <w:noProof/>
            </w:rPr>
            <w:t>5.2  Adverse Event Following Immunisation (AEFI) monitoring and reporting</w:t>
          </w:r>
          <w:r w:rsidRPr="0001499C">
            <w:rPr>
              <w:b w:val="0"/>
              <w:noProof/>
            </w:rPr>
            <w:tab/>
          </w:r>
          <w:r w:rsidR="00E7142E">
            <w:rPr>
              <w:b w:val="0"/>
              <w:noProof/>
            </w:rPr>
            <w:t>15</w:t>
          </w:r>
        </w:p>
        <w:p w:rsidR="0001499C" w:rsidRPr="0001499C" w:rsidRDefault="0001499C" w:rsidP="00E7142E">
          <w:pPr>
            <w:pStyle w:val="TOC1"/>
            <w:tabs>
              <w:tab w:val="right" w:leader="dot" w:pos="8290"/>
            </w:tabs>
            <w:spacing w:after="120"/>
            <w:rPr>
              <w:rFonts w:eastAsiaTheme="minorEastAsia" w:cstheme="minorBidi"/>
              <w:b w:val="0"/>
              <w:noProof/>
              <w:lang w:val="en-US" w:eastAsia="ja-JP"/>
            </w:rPr>
          </w:pPr>
          <w:r w:rsidRPr="0001499C">
            <w:rPr>
              <w:b w:val="0"/>
              <w:noProof/>
            </w:rPr>
            <w:t>6. Advocacy, communication, and social mobilisation</w:t>
          </w:r>
          <w:r w:rsidRPr="0001499C">
            <w:rPr>
              <w:b w:val="0"/>
              <w:noProof/>
            </w:rPr>
            <w:tab/>
          </w:r>
          <w:r w:rsidR="00E7142E">
            <w:rPr>
              <w:b w:val="0"/>
              <w:noProof/>
            </w:rPr>
            <w:t>15</w:t>
          </w:r>
        </w:p>
        <w:p w:rsidR="00E26DF5" w:rsidRDefault="00911834" w:rsidP="006465B4">
          <w:pPr>
            <w:spacing w:before="120" w:after="120"/>
            <w:rPr>
              <w:noProof/>
            </w:rPr>
          </w:pPr>
          <w:r w:rsidRPr="0001499C">
            <w:rPr>
              <w:bCs/>
              <w:noProof/>
            </w:rPr>
            <w:fldChar w:fldCharType="end"/>
          </w:r>
        </w:p>
      </w:sdtContent>
    </w:sdt>
    <w:bookmarkStart w:id="0" w:name="_Toc263661676" w:displacedByCustomXml="prev"/>
    <w:p w:rsidR="00E26DF5" w:rsidRDefault="00E26DF5" w:rsidP="006465B4">
      <w:pPr>
        <w:spacing w:before="120" w:after="120"/>
      </w:pPr>
    </w:p>
    <w:p w:rsidR="00E26DF5" w:rsidRDefault="00E26DF5" w:rsidP="006465B4">
      <w:pPr>
        <w:spacing w:before="120" w:after="120"/>
      </w:pPr>
    </w:p>
    <w:p w:rsidR="00E26DF5" w:rsidRDefault="00E26DF5" w:rsidP="006465B4">
      <w:pPr>
        <w:spacing w:before="120" w:after="120"/>
      </w:pPr>
    </w:p>
    <w:p w:rsidR="00E26DF5" w:rsidRDefault="00E26DF5" w:rsidP="006465B4">
      <w:pPr>
        <w:spacing w:before="120" w:after="120"/>
      </w:pPr>
    </w:p>
    <w:p w:rsidR="00E26DF5" w:rsidRDefault="00E26DF5" w:rsidP="006465B4">
      <w:pPr>
        <w:spacing w:before="120" w:after="120"/>
      </w:pPr>
    </w:p>
    <w:p w:rsidR="00867E30" w:rsidRPr="00B50A4E" w:rsidRDefault="00B50A4E" w:rsidP="006465B4">
      <w:pPr>
        <w:spacing w:before="120" w:after="120"/>
        <w:rPr>
          <w:b/>
          <w:bCs/>
          <w:color w:val="002060"/>
          <w:sz w:val="28"/>
          <w:szCs w:val="28"/>
          <w:u w:val="single"/>
        </w:rPr>
      </w:pPr>
      <w:r>
        <w:rPr>
          <w:b/>
          <w:bCs/>
          <w:color w:val="002060"/>
          <w:sz w:val="28"/>
          <w:szCs w:val="28"/>
          <w:u w:val="single"/>
        </w:rPr>
        <w:lastRenderedPageBreak/>
        <w:t>Executive S</w:t>
      </w:r>
      <w:r w:rsidR="00867E30" w:rsidRPr="00B50A4E">
        <w:rPr>
          <w:b/>
          <w:bCs/>
          <w:color w:val="002060"/>
          <w:sz w:val="28"/>
          <w:szCs w:val="28"/>
          <w:u w:val="single"/>
        </w:rPr>
        <w:t>ummary</w:t>
      </w:r>
      <w:bookmarkEnd w:id="0"/>
    </w:p>
    <w:p w:rsidR="0087111B" w:rsidRDefault="0087111B" w:rsidP="006465B4">
      <w:pPr>
        <w:spacing w:before="120" w:after="120"/>
        <w:ind w:right="115"/>
        <w:contextualSpacing/>
        <w:jc w:val="both"/>
      </w:pPr>
    </w:p>
    <w:p w:rsidR="009100A4" w:rsidRDefault="00720402" w:rsidP="006465B4">
      <w:pPr>
        <w:widowControl w:val="0"/>
        <w:autoSpaceDE w:val="0"/>
        <w:autoSpaceDN w:val="0"/>
        <w:adjustRightInd w:val="0"/>
        <w:spacing w:before="120" w:after="120"/>
        <w:jc w:val="both"/>
        <w:rPr>
          <w:rFonts w:eastAsiaTheme="minorEastAsia"/>
          <w:lang w:val="en-US" w:eastAsia="en-US"/>
        </w:rPr>
      </w:pPr>
      <w:r w:rsidRPr="00720402">
        <w:rPr>
          <w:rFonts w:eastAsiaTheme="minorEastAsia"/>
          <w:lang w:val="en-US" w:eastAsia="en-US"/>
        </w:rPr>
        <w:t>In May 2012, the World Health Assembly declared the completion of poliovirus eradication to be a programmatic emergency for global public health and the Polio End Game Strategic Plan 2013- 2018 was launched in May 2013. Key to the success of the plan is the continued contribution of all nations in vaccinating every child against polio and ensuring</w:t>
      </w:r>
      <w:r w:rsidR="00BD66D5">
        <w:rPr>
          <w:rFonts w:eastAsiaTheme="minorEastAsia"/>
          <w:lang w:val="en-US" w:eastAsia="en-US"/>
        </w:rPr>
        <w:t xml:space="preserve"> a</w:t>
      </w:r>
      <w:r w:rsidRPr="00720402">
        <w:rPr>
          <w:rFonts w:eastAsiaTheme="minorEastAsia"/>
          <w:lang w:val="en-US" w:eastAsia="en-US"/>
        </w:rPr>
        <w:t xml:space="preserve"> sensitive Acute Flaccid Paralysis (AFP) surveillance. </w:t>
      </w:r>
    </w:p>
    <w:p w:rsidR="0087111B" w:rsidRPr="00805FD9" w:rsidRDefault="00720402" w:rsidP="006465B4">
      <w:pPr>
        <w:widowControl w:val="0"/>
        <w:autoSpaceDE w:val="0"/>
        <w:autoSpaceDN w:val="0"/>
        <w:adjustRightInd w:val="0"/>
        <w:spacing w:before="120" w:after="120"/>
        <w:jc w:val="both"/>
        <w:rPr>
          <w:rFonts w:eastAsiaTheme="minorEastAsia"/>
          <w:lang w:val="en-US" w:eastAsia="en-US"/>
        </w:rPr>
      </w:pPr>
      <w:r w:rsidRPr="00720402">
        <w:rPr>
          <w:rFonts w:eastAsiaTheme="minorEastAsia"/>
          <w:lang w:val="en-US" w:eastAsia="en-US"/>
        </w:rPr>
        <w:t>Although P</w:t>
      </w:r>
      <w:r w:rsidR="00BD66D5">
        <w:rPr>
          <w:rFonts w:eastAsiaTheme="minorEastAsia"/>
          <w:lang w:val="en-US" w:eastAsia="en-US"/>
        </w:rPr>
        <w:t>apua New Guinea (P</w:t>
      </w:r>
      <w:r w:rsidRPr="00720402">
        <w:rPr>
          <w:rFonts w:eastAsiaTheme="minorEastAsia"/>
          <w:lang w:val="en-US" w:eastAsia="en-US"/>
        </w:rPr>
        <w:t>NG</w:t>
      </w:r>
      <w:r w:rsidR="00BD66D5">
        <w:rPr>
          <w:rFonts w:eastAsiaTheme="minorEastAsia"/>
          <w:lang w:val="en-US" w:eastAsia="en-US"/>
        </w:rPr>
        <w:t>)</w:t>
      </w:r>
      <w:r w:rsidRPr="00720402">
        <w:rPr>
          <w:rFonts w:eastAsiaTheme="minorEastAsia"/>
          <w:lang w:val="en-US" w:eastAsia="en-US"/>
        </w:rPr>
        <w:t xml:space="preserve"> </w:t>
      </w:r>
      <w:r w:rsidR="00BD66D5">
        <w:rPr>
          <w:rFonts w:eastAsiaTheme="minorEastAsia"/>
          <w:lang w:val="en-US" w:eastAsia="en-US"/>
        </w:rPr>
        <w:t>attained poliomyelitis-</w:t>
      </w:r>
      <w:r w:rsidRPr="00720402">
        <w:rPr>
          <w:rFonts w:eastAsiaTheme="minorEastAsia"/>
          <w:lang w:val="en-US" w:eastAsia="en-US"/>
        </w:rPr>
        <w:t xml:space="preserve">free </w:t>
      </w:r>
      <w:r w:rsidR="00BD66D5">
        <w:rPr>
          <w:rFonts w:eastAsiaTheme="minorEastAsia"/>
          <w:lang w:val="en-US" w:eastAsia="en-US"/>
        </w:rPr>
        <w:t xml:space="preserve">status </w:t>
      </w:r>
      <w:r w:rsidRPr="00720402">
        <w:rPr>
          <w:rFonts w:eastAsiaTheme="minorEastAsia"/>
          <w:lang w:val="en-US" w:eastAsia="en-US"/>
        </w:rPr>
        <w:t>in 2000, it continues to have an important part to play in global eradication</w:t>
      </w:r>
      <w:r w:rsidR="009100A4">
        <w:rPr>
          <w:rFonts w:eastAsiaTheme="minorEastAsia"/>
          <w:lang w:val="en-US" w:eastAsia="en-US"/>
        </w:rPr>
        <w:t xml:space="preserve">. </w:t>
      </w:r>
      <w:r w:rsidR="00B16A14">
        <w:rPr>
          <w:rFonts w:eastAsiaTheme="minorEastAsia"/>
          <w:lang w:val="en-US" w:eastAsia="en-US"/>
        </w:rPr>
        <w:t>Pockets</w:t>
      </w:r>
      <w:r w:rsidRPr="00720402">
        <w:rPr>
          <w:rFonts w:eastAsiaTheme="minorEastAsia"/>
          <w:lang w:val="en-US" w:eastAsia="en-US"/>
        </w:rPr>
        <w:t xml:space="preserve"> of low vaccination coverage in the country</w:t>
      </w:r>
      <w:r w:rsidR="009100A4">
        <w:rPr>
          <w:rFonts w:eastAsiaTheme="minorEastAsia"/>
          <w:lang w:val="en-US" w:eastAsia="en-US"/>
        </w:rPr>
        <w:t xml:space="preserve"> and weak surveillance systems</w:t>
      </w:r>
      <w:r w:rsidR="00B16A14">
        <w:rPr>
          <w:rFonts w:eastAsiaTheme="minorEastAsia"/>
          <w:lang w:val="en-US" w:eastAsia="en-US"/>
        </w:rPr>
        <w:t>,</w:t>
      </w:r>
      <w:r w:rsidR="0087111B">
        <w:t xml:space="preserve"> combined with a growingly mobile populations and an influx of international labour</w:t>
      </w:r>
      <w:r w:rsidR="00BD66D5">
        <w:t xml:space="preserve"> for recent economic activities in the country, </w:t>
      </w:r>
      <w:r w:rsidR="0087111B">
        <w:t xml:space="preserve">PNG </w:t>
      </w:r>
      <w:r w:rsidR="00BD66D5">
        <w:t xml:space="preserve">is </w:t>
      </w:r>
      <w:r w:rsidR="0087111B">
        <w:t>at high risk for importation and spread of vaccine preventable diseases</w:t>
      </w:r>
      <w:r w:rsidR="00BD66D5">
        <w:t xml:space="preserve"> including poliomyelitis</w:t>
      </w:r>
      <w:r w:rsidR="0087111B" w:rsidRPr="00805FD9">
        <w:t>.</w:t>
      </w:r>
      <w:r w:rsidR="00805FD9" w:rsidRPr="00805FD9">
        <w:t xml:space="preserve"> </w:t>
      </w:r>
      <w:r w:rsidR="00805FD9" w:rsidRPr="00805FD9">
        <w:rPr>
          <w:rFonts w:eastAsiaTheme="minorEastAsia"/>
          <w:lang w:val="en-US" w:eastAsia="en-US"/>
        </w:rPr>
        <w:t>PNG is classified as a Tier 2 Country on the Global Risk Tier scale for IPV introduction and prioritization.</w:t>
      </w:r>
      <w:r w:rsidR="00805FD9">
        <w:rPr>
          <w:rFonts w:eastAsiaTheme="minorEastAsia"/>
          <w:lang w:val="en-US" w:eastAsia="en-US"/>
        </w:rPr>
        <w:t xml:space="preserve"> </w:t>
      </w:r>
      <w:r w:rsidR="00805FD9">
        <w:t>In recognition of the seriousness of this, PNG developed its own Polio Eradication Endgame Strategic Plan (PNG PEGS) in 2014.</w:t>
      </w:r>
    </w:p>
    <w:p w:rsidR="00805FD9" w:rsidRPr="00805FD9" w:rsidRDefault="00805FD9" w:rsidP="006465B4">
      <w:pPr>
        <w:widowControl w:val="0"/>
        <w:autoSpaceDE w:val="0"/>
        <w:autoSpaceDN w:val="0"/>
        <w:adjustRightInd w:val="0"/>
        <w:spacing w:before="120" w:after="120"/>
        <w:jc w:val="both"/>
        <w:rPr>
          <w:rFonts w:eastAsiaTheme="minorEastAsia"/>
          <w:lang w:val="en-US" w:eastAsia="en-US"/>
        </w:rPr>
      </w:pPr>
      <w:r w:rsidRPr="00805FD9">
        <w:rPr>
          <w:rFonts w:eastAsiaTheme="minorEastAsia"/>
          <w:lang w:val="en-US" w:eastAsia="en-US"/>
        </w:rPr>
        <w:t>Key to PNG PEGS is the eventual transition from OPV to IPV, prior to complete cessation of IPV following global eradication</w:t>
      </w:r>
      <w:r w:rsidR="00600CFE">
        <w:rPr>
          <w:rFonts w:eastAsiaTheme="minorEastAsia"/>
          <w:lang w:val="en-US" w:eastAsia="en-US"/>
        </w:rPr>
        <w:t>.</w:t>
      </w:r>
    </w:p>
    <w:p w:rsidR="00027E24" w:rsidRDefault="00805FD9" w:rsidP="006465B4">
      <w:pPr>
        <w:widowControl w:val="0"/>
        <w:autoSpaceDE w:val="0"/>
        <w:autoSpaceDN w:val="0"/>
        <w:adjustRightInd w:val="0"/>
        <w:spacing w:before="120" w:after="120"/>
        <w:jc w:val="both"/>
        <w:rPr>
          <w:rFonts w:eastAsiaTheme="minorEastAsia"/>
          <w:lang w:val="en-US" w:eastAsia="en-US"/>
        </w:rPr>
      </w:pPr>
      <w:r w:rsidRPr="00805FD9">
        <w:rPr>
          <w:rFonts w:eastAsiaTheme="minorEastAsia"/>
          <w:lang w:val="en-US" w:eastAsia="en-US"/>
        </w:rPr>
        <w:t xml:space="preserve">Unfortunately, in rare cases </w:t>
      </w:r>
      <w:r w:rsidR="00600CFE">
        <w:rPr>
          <w:rFonts w:eastAsiaTheme="minorEastAsia"/>
          <w:lang w:val="en-US" w:eastAsia="en-US"/>
        </w:rPr>
        <w:t>OPV</w:t>
      </w:r>
      <w:r w:rsidRPr="00805FD9">
        <w:rPr>
          <w:rFonts w:eastAsiaTheme="minorEastAsia"/>
          <w:lang w:val="en-US" w:eastAsia="en-US"/>
        </w:rPr>
        <w:t xml:space="preserve"> has led to vaccine derived polio virus (VDPV). 2012 saw the first time when there were more cases of circulating VDPV than wild poliovirus. 90% of cVDPV cases were found to be derived from the type 2 component of OPV. Considering this, and the fact that WPV2 has already been eradicated, a key component of the </w:t>
      </w:r>
      <w:r w:rsidR="00600CFE">
        <w:rPr>
          <w:rFonts w:eastAsiaTheme="minorEastAsia"/>
          <w:lang w:val="en-US" w:eastAsia="en-US"/>
        </w:rPr>
        <w:t>PNG PEGS</w:t>
      </w:r>
      <w:r w:rsidRPr="00805FD9">
        <w:rPr>
          <w:rFonts w:eastAsiaTheme="minorEastAsia"/>
          <w:lang w:val="en-US" w:eastAsia="en-US"/>
        </w:rPr>
        <w:t xml:space="preserve"> is to remove the use of specific OPV serotypes from all immuni</w:t>
      </w:r>
      <w:r w:rsidR="00B16A14">
        <w:rPr>
          <w:rFonts w:eastAsiaTheme="minorEastAsia"/>
          <w:lang w:val="en-US" w:eastAsia="en-US"/>
        </w:rPr>
        <w:t>zation activities</w:t>
      </w:r>
      <w:r w:rsidRPr="00805FD9">
        <w:rPr>
          <w:rFonts w:eastAsiaTheme="minorEastAsia"/>
          <w:lang w:val="en-US" w:eastAsia="en-US"/>
        </w:rPr>
        <w:t xml:space="preserve">. The first step in this </w:t>
      </w:r>
      <w:r w:rsidR="00600CFE">
        <w:rPr>
          <w:rFonts w:eastAsiaTheme="minorEastAsia"/>
          <w:lang w:val="en-US" w:eastAsia="en-US"/>
        </w:rPr>
        <w:t>is the introduction of IPV, which has the following benefits.</w:t>
      </w:r>
    </w:p>
    <w:p w:rsidR="00027E24" w:rsidRPr="00600CFE" w:rsidRDefault="00027E24" w:rsidP="006465B4">
      <w:pPr>
        <w:widowControl w:val="0"/>
        <w:numPr>
          <w:ilvl w:val="0"/>
          <w:numId w:val="1"/>
        </w:numPr>
        <w:tabs>
          <w:tab w:val="left" w:pos="220"/>
          <w:tab w:val="left" w:pos="720"/>
        </w:tabs>
        <w:autoSpaceDE w:val="0"/>
        <w:autoSpaceDN w:val="0"/>
        <w:adjustRightInd w:val="0"/>
        <w:spacing w:before="120" w:after="120"/>
        <w:ind w:hanging="720"/>
        <w:rPr>
          <w:rFonts w:eastAsiaTheme="minorEastAsia"/>
          <w:lang w:val="en-US" w:eastAsia="en-US"/>
        </w:rPr>
      </w:pPr>
      <w:r w:rsidRPr="00600CFE">
        <w:rPr>
          <w:rFonts w:eastAsiaTheme="minorEastAsia"/>
          <w:lang w:val="en-US" w:eastAsia="en-US"/>
        </w:rPr>
        <w:t xml:space="preserve">Risk reduction: As IPV helps to immunize against type 2 poliovirus it provides safety against risk of immunity loss through the withdrawal of tOPV, should type 2 ever be reintroduced. </w:t>
      </w:r>
    </w:p>
    <w:p w:rsidR="00027E24" w:rsidRPr="00600CFE" w:rsidRDefault="00027E24" w:rsidP="006465B4">
      <w:pPr>
        <w:widowControl w:val="0"/>
        <w:numPr>
          <w:ilvl w:val="0"/>
          <w:numId w:val="1"/>
        </w:numPr>
        <w:tabs>
          <w:tab w:val="left" w:pos="220"/>
          <w:tab w:val="left" w:pos="720"/>
        </w:tabs>
        <w:autoSpaceDE w:val="0"/>
        <w:autoSpaceDN w:val="0"/>
        <w:adjustRightInd w:val="0"/>
        <w:spacing w:before="120" w:after="120"/>
        <w:ind w:hanging="720"/>
        <w:rPr>
          <w:rFonts w:eastAsiaTheme="minorEastAsia"/>
          <w:lang w:val="en-US" w:eastAsia="en-US"/>
        </w:rPr>
      </w:pPr>
      <w:r w:rsidRPr="00600CFE">
        <w:rPr>
          <w:rFonts w:eastAsiaTheme="minorEastAsia"/>
          <w:lang w:val="en-US" w:eastAsia="en-US"/>
        </w:rPr>
        <w:t xml:space="preserve">Transmission interruption in the case of outbreaks: If mOPV type 2 is required to be given in response to a WPV2 or cVDPV2 outbreak following tOPV withdrawal, those who have been vaccinated with IPV will have a better immune response, thereby reducing transmission and outbreak risk. </w:t>
      </w:r>
    </w:p>
    <w:p w:rsidR="0087111B" w:rsidRPr="00AE665A" w:rsidRDefault="00027E24" w:rsidP="006465B4">
      <w:pPr>
        <w:widowControl w:val="0"/>
        <w:numPr>
          <w:ilvl w:val="0"/>
          <w:numId w:val="1"/>
        </w:numPr>
        <w:tabs>
          <w:tab w:val="left" w:pos="220"/>
          <w:tab w:val="left" w:pos="720"/>
        </w:tabs>
        <w:autoSpaceDE w:val="0"/>
        <w:autoSpaceDN w:val="0"/>
        <w:adjustRightInd w:val="0"/>
        <w:spacing w:before="120" w:after="120"/>
        <w:ind w:hanging="720"/>
        <w:rPr>
          <w:rFonts w:eastAsiaTheme="minorEastAsia"/>
          <w:lang w:val="en-US" w:eastAsia="en-US"/>
        </w:rPr>
      </w:pPr>
      <w:r w:rsidRPr="00600CFE">
        <w:rPr>
          <w:rFonts w:eastAsiaTheme="minorEastAsia"/>
          <w:lang w:val="en-US" w:eastAsia="en-US"/>
        </w:rPr>
        <w:t xml:space="preserve">Acceleration of WPV eradication: IPV will also act as an immunity booster for WPV1 and WPV3 in those who have received OPV, which may lead to swifter eradication </w:t>
      </w:r>
    </w:p>
    <w:p w:rsidR="0087111B" w:rsidRDefault="0087111B" w:rsidP="006465B4">
      <w:pPr>
        <w:spacing w:before="120" w:after="120"/>
        <w:ind w:right="115"/>
        <w:contextualSpacing/>
        <w:jc w:val="both"/>
      </w:pPr>
      <w:r>
        <w:t>The Go</w:t>
      </w:r>
      <w:r w:rsidR="00BD66D5">
        <w:t xml:space="preserve">vernment of </w:t>
      </w:r>
      <w:r>
        <w:t>PNG</w:t>
      </w:r>
      <w:r w:rsidR="00BD66D5">
        <w:t xml:space="preserve"> (GoPNG)</w:t>
      </w:r>
      <w:r>
        <w:t xml:space="preserve"> believes that the introduction of IPV will b</w:t>
      </w:r>
      <w:r w:rsidR="00FB6D31">
        <w:t xml:space="preserve">e beneficial to the country not only in terms of reducing the risk of importation and spread of polio, but also in regard to strengthening routine immunisation overall. </w:t>
      </w:r>
    </w:p>
    <w:p w:rsidR="00FB6D31" w:rsidRDefault="00FB6D31" w:rsidP="006465B4">
      <w:pPr>
        <w:spacing w:before="120" w:after="120"/>
        <w:ind w:right="115"/>
        <w:contextualSpacing/>
        <w:jc w:val="both"/>
      </w:pPr>
    </w:p>
    <w:p w:rsidR="006465B4" w:rsidRDefault="00AE665A" w:rsidP="006465B4">
      <w:pPr>
        <w:spacing w:before="120" w:after="120"/>
        <w:ind w:right="113"/>
        <w:contextualSpacing/>
        <w:jc w:val="both"/>
      </w:pPr>
      <w:r w:rsidRPr="00805FD9">
        <w:t>IPV will be introduced into routine immunisation program nationally across PNG in November 2015, in conjunction with the introduction of Meas</w:t>
      </w:r>
      <w:r w:rsidR="00BD66D5">
        <w:t>les Rubella (MR) vaccine after the completion of campaign</w:t>
      </w:r>
      <w:r w:rsidRPr="00805FD9">
        <w:t>. Experience in PNG has shown that frequent program changes can create heavy burdens in terms of operational cost</w:t>
      </w:r>
      <w:r w:rsidR="00BD66D5">
        <w:t xml:space="preserve">, confusion and fatigue amongst </w:t>
      </w:r>
      <w:r w:rsidRPr="00805FD9">
        <w:t xml:space="preserve">health care workers, leading to a reduction in program outcomes. As such, the GoPNG sees multiple </w:t>
      </w:r>
      <w:r w:rsidR="00BD66D5">
        <w:t xml:space="preserve">vaccine </w:t>
      </w:r>
      <w:r w:rsidRPr="00805FD9">
        <w:t xml:space="preserve">concurrent </w:t>
      </w:r>
      <w:r w:rsidRPr="00805FD9">
        <w:lastRenderedPageBreak/>
        <w:t>introduction as the best method to pursue. In addition to this, IPV and other vaccine introduction will be part of wider current efforts to improve routine immunisation through continued microplanning, increased outreach efforts, improved cold chain and the introduction of default tracking</w:t>
      </w:r>
      <w:r w:rsidR="00BD66D5">
        <w:t xml:space="preserve"> to reduce the drop-outs</w:t>
      </w:r>
      <w:r w:rsidRPr="00805FD9">
        <w:t xml:space="preserve">. </w:t>
      </w:r>
    </w:p>
    <w:p w:rsidR="006465B4" w:rsidRDefault="006465B4" w:rsidP="006465B4">
      <w:pPr>
        <w:spacing w:before="120" w:after="120"/>
        <w:ind w:right="113"/>
        <w:contextualSpacing/>
        <w:jc w:val="both"/>
      </w:pPr>
    </w:p>
    <w:p w:rsidR="00B16A14" w:rsidRDefault="00AE665A" w:rsidP="006465B4">
      <w:pPr>
        <w:spacing w:before="120" w:after="120"/>
        <w:ind w:right="113"/>
        <w:contextualSpacing/>
        <w:jc w:val="both"/>
      </w:pPr>
      <w:r w:rsidRPr="00805FD9">
        <w:t xml:space="preserve">Following the SAGE recommendation, IPV will be given at the third contact, at the same time as the third dose of OPV and Pentavalent. </w:t>
      </w:r>
      <w:r w:rsidR="00805FD9">
        <w:t xml:space="preserve">The vaccine will be introduced nationally. </w:t>
      </w:r>
      <w:r>
        <w:t>Preparatory</w:t>
      </w:r>
      <w:r w:rsidR="00805FD9">
        <w:t xml:space="preserve"> activities such as the updating of </w:t>
      </w:r>
      <w:r w:rsidR="00B16A14">
        <w:t>tall</w:t>
      </w:r>
      <w:r w:rsidR="00637544">
        <w:t>y</w:t>
      </w:r>
      <w:r w:rsidR="00B16A14">
        <w:t xml:space="preserve"> sheets and </w:t>
      </w:r>
      <w:r w:rsidR="00637544">
        <w:t xml:space="preserve">immunisation cards </w:t>
      </w:r>
      <w:r w:rsidR="00B874FD">
        <w:t xml:space="preserve">will be done once the approval is received from GAVI however, </w:t>
      </w:r>
      <w:r w:rsidR="00B16A14">
        <w:t>registering of the vaccine</w:t>
      </w:r>
      <w:r w:rsidR="00B874FD">
        <w:t xml:space="preserve"> and updating the immunization register</w:t>
      </w:r>
      <w:r w:rsidR="00B16A14">
        <w:t xml:space="preserve"> have already begun.</w:t>
      </w:r>
      <w:r w:rsidR="00911834">
        <w:t xml:space="preserve"> In addition to this, a</w:t>
      </w:r>
      <w:r w:rsidR="00B874FD">
        <w:t>n internal cold chain assessment will be</w:t>
      </w:r>
      <w:r w:rsidR="00911834">
        <w:t xml:space="preserve"> planned to be conducted in the fourth quarter of 2014, with follow up improvements to be made to increase capacity for new vaccines in the first and second quarters of 2015.</w:t>
      </w:r>
    </w:p>
    <w:p w:rsidR="006465B4" w:rsidRDefault="006465B4" w:rsidP="006465B4">
      <w:pPr>
        <w:spacing w:before="120" w:after="120"/>
        <w:ind w:right="113"/>
        <w:contextualSpacing/>
        <w:jc w:val="both"/>
      </w:pPr>
    </w:p>
    <w:p w:rsidR="00805FD9" w:rsidRDefault="00B16A14" w:rsidP="006465B4">
      <w:pPr>
        <w:spacing w:before="120" w:after="120"/>
        <w:ind w:right="115"/>
        <w:jc w:val="both"/>
      </w:pPr>
      <w:r>
        <w:t xml:space="preserve">Key to the new vaccine introduction will be the training of health care workers. As part of current broader efforts to improve immunisation systems, a new training program has been developed that seeks to upskill </w:t>
      </w:r>
      <w:r w:rsidR="00911834">
        <w:t>workers in vaccine delivery, effective vaccine management, and AEFI (adverse event following immunisation) and AFP (acute flaccid paralysis) surveillance. The introduction of IPV will be a key part of the training program.</w:t>
      </w:r>
    </w:p>
    <w:p w:rsidR="00911834" w:rsidRDefault="00911834" w:rsidP="006465B4">
      <w:pPr>
        <w:spacing w:before="120" w:after="120"/>
        <w:ind w:right="115"/>
        <w:contextualSpacing/>
        <w:jc w:val="both"/>
      </w:pPr>
    </w:p>
    <w:p w:rsidR="00AE665A" w:rsidRPr="009F6E49" w:rsidRDefault="00B874FD" w:rsidP="006465B4">
      <w:pPr>
        <w:spacing w:before="120" w:after="120"/>
        <w:jc w:val="both"/>
        <w:rPr>
          <w:rFonts w:eastAsia="SimSun" w:cs="Calibri"/>
          <w:color w:val="000000"/>
          <w:szCs w:val="22"/>
        </w:rPr>
      </w:pPr>
      <w:r>
        <w:rPr>
          <w:rFonts w:eastAsia="SimSun" w:cs="Calibri"/>
          <w:color w:val="000000"/>
          <w:szCs w:val="22"/>
        </w:rPr>
        <w:t>As t</w:t>
      </w:r>
      <w:r w:rsidR="00AE665A" w:rsidRPr="009F6E49">
        <w:rPr>
          <w:rFonts w:eastAsia="SimSun" w:cs="Calibri"/>
          <w:color w:val="000000"/>
          <w:szCs w:val="22"/>
        </w:rPr>
        <w:t>he first year of introduction</w:t>
      </w:r>
      <w:r w:rsidR="00911834">
        <w:rPr>
          <w:rFonts w:eastAsia="SimSun" w:cs="Calibri"/>
          <w:color w:val="000000"/>
          <w:szCs w:val="22"/>
        </w:rPr>
        <w:t xml:space="preserve"> of IPV</w:t>
      </w:r>
      <w:r>
        <w:rPr>
          <w:rFonts w:eastAsia="SimSun" w:cs="Calibri"/>
          <w:color w:val="000000"/>
          <w:szCs w:val="22"/>
        </w:rPr>
        <w:t xml:space="preserve"> would involve introduction of the vaccine in November 2015</w:t>
      </w:r>
      <w:r w:rsidR="00AE665A" w:rsidRPr="009F6E49">
        <w:rPr>
          <w:rFonts w:eastAsia="SimSun" w:cs="Calibri"/>
          <w:color w:val="000000"/>
          <w:szCs w:val="22"/>
        </w:rPr>
        <w:t xml:space="preserve">, </w:t>
      </w:r>
      <w:r>
        <w:rPr>
          <w:rFonts w:eastAsia="SimSun" w:cs="Calibri"/>
          <w:color w:val="000000"/>
          <w:szCs w:val="22"/>
        </w:rPr>
        <w:t xml:space="preserve">it would aim to </w:t>
      </w:r>
      <w:r w:rsidR="00AE665A" w:rsidRPr="009F6E49">
        <w:rPr>
          <w:rFonts w:eastAsia="SimSun" w:cs="Calibri"/>
          <w:color w:val="000000"/>
          <w:szCs w:val="22"/>
        </w:rPr>
        <w:t xml:space="preserve">target </w:t>
      </w:r>
      <w:r>
        <w:rPr>
          <w:rFonts w:eastAsia="SimSun" w:cs="Calibri"/>
          <w:color w:val="000000"/>
          <w:szCs w:val="22"/>
        </w:rPr>
        <w:t xml:space="preserve">38,900 </w:t>
      </w:r>
      <w:r w:rsidR="00AE665A" w:rsidRPr="009F6E49">
        <w:rPr>
          <w:rFonts w:eastAsia="SimSun" w:cs="Calibri"/>
          <w:color w:val="000000"/>
          <w:szCs w:val="22"/>
        </w:rPr>
        <w:t>children</w:t>
      </w:r>
      <w:r>
        <w:rPr>
          <w:rFonts w:eastAsia="SimSun" w:cs="Calibri"/>
          <w:color w:val="000000"/>
          <w:szCs w:val="22"/>
        </w:rPr>
        <w:t xml:space="preserve"> (Adjusted to the month of the introduction)</w:t>
      </w:r>
      <w:r w:rsidR="00AE665A" w:rsidRPr="009F6E49">
        <w:rPr>
          <w:rFonts w:eastAsia="SimSun" w:cs="Calibri"/>
          <w:color w:val="000000"/>
          <w:szCs w:val="22"/>
        </w:rPr>
        <w:t xml:space="preserve">, will require </w:t>
      </w:r>
      <w:r>
        <w:rPr>
          <w:rFonts w:eastAsia="SimSun" w:cs="Calibri"/>
          <w:color w:val="000000"/>
          <w:szCs w:val="22"/>
        </w:rPr>
        <w:t>55,571</w:t>
      </w:r>
      <w:r w:rsidR="00AE665A" w:rsidRPr="009F6E49">
        <w:rPr>
          <w:rFonts w:eastAsia="SimSun" w:cs="Calibri"/>
          <w:color w:val="000000"/>
          <w:szCs w:val="22"/>
        </w:rPr>
        <w:t xml:space="preserve"> doses of IPV, after considering a target coverage rate of 80%, an estimated 30% wastage and a 25% buffer. At an estimated cost of $1 per dose, and an additional 10% for freight costs, this res</w:t>
      </w:r>
      <w:r>
        <w:rPr>
          <w:rFonts w:eastAsia="SimSun" w:cs="Calibri"/>
          <w:color w:val="000000"/>
          <w:szCs w:val="22"/>
        </w:rPr>
        <w:t>ults in a request of USD 61,128</w:t>
      </w:r>
      <w:r w:rsidR="00AE665A" w:rsidRPr="009F6E49">
        <w:rPr>
          <w:rFonts w:eastAsia="SimSun" w:cs="Calibri"/>
          <w:color w:val="000000"/>
          <w:szCs w:val="22"/>
        </w:rPr>
        <w:t xml:space="preserve">. In addition to this, GoPNG </w:t>
      </w:r>
      <w:r w:rsidR="002D4C61">
        <w:rPr>
          <w:rFonts w:eastAsia="SimSun" w:cs="Calibri"/>
          <w:color w:val="000000"/>
          <w:szCs w:val="22"/>
        </w:rPr>
        <w:t xml:space="preserve">for the first year </w:t>
      </w:r>
      <w:r w:rsidR="00AE665A" w:rsidRPr="009F6E49">
        <w:rPr>
          <w:rFonts w:eastAsia="SimSun" w:cs="Calibri"/>
          <w:color w:val="000000"/>
          <w:szCs w:val="22"/>
        </w:rPr>
        <w:t xml:space="preserve">is requesting assistance through the provision of auto-disable syringes and safety boxes to be used in the introduction of IPV. The required </w:t>
      </w:r>
      <w:r w:rsidR="002D4C61">
        <w:rPr>
          <w:rFonts w:eastAsia="SimSun" w:cs="Calibri"/>
          <w:color w:val="000000"/>
          <w:szCs w:val="22"/>
        </w:rPr>
        <w:t>61,128</w:t>
      </w:r>
      <w:r w:rsidR="00AE665A" w:rsidRPr="009F6E49">
        <w:rPr>
          <w:rFonts w:eastAsia="SimSun" w:cs="Calibri"/>
          <w:color w:val="000000"/>
          <w:szCs w:val="22"/>
        </w:rPr>
        <w:t xml:space="preserve"> AD syringes (using an estimated 1.1 wastage factor) at USD 0.55 each, and </w:t>
      </w:r>
      <w:r w:rsidR="002D4C61">
        <w:rPr>
          <w:rFonts w:eastAsia="SimSun" w:cs="Calibri"/>
          <w:color w:val="000000"/>
          <w:szCs w:val="22"/>
        </w:rPr>
        <w:t>672</w:t>
      </w:r>
      <w:r w:rsidR="00AE665A" w:rsidRPr="009F6E49">
        <w:rPr>
          <w:rFonts w:eastAsia="SimSun" w:cs="Calibri"/>
          <w:color w:val="000000"/>
          <w:szCs w:val="22"/>
        </w:rPr>
        <w:t xml:space="preserve"> safety boxes at USD 0.72 total to a cost of USD </w:t>
      </w:r>
      <w:r w:rsidR="002D4C61">
        <w:rPr>
          <w:rFonts w:eastAsia="SimSun" w:cs="Calibri"/>
          <w:color w:val="000000"/>
          <w:szCs w:val="22"/>
        </w:rPr>
        <w:t>35,128</w:t>
      </w:r>
      <w:r w:rsidR="00AE665A" w:rsidRPr="009F6E49">
        <w:rPr>
          <w:rFonts w:eastAsia="SimSun" w:cs="Calibri"/>
          <w:color w:val="000000"/>
          <w:szCs w:val="22"/>
        </w:rPr>
        <w:t xml:space="preserve"> for injection supplies.</w:t>
      </w:r>
      <w:r w:rsidR="006465B4">
        <w:rPr>
          <w:rFonts w:eastAsia="SimSun" w:cs="Calibri"/>
          <w:color w:val="000000"/>
          <w:szCs w:val="22"/>
        </w:rPr>
        <w:t xml:space="preserve"> </w:t>
      </w:r>
      <w:r w:rsidR="00AE665A" w:rsidRPr="009F6E49">
        <w:rPr>
          <w:rFonts w:eastAsia="SimSun" w:cs="Calibri"/>
          <w:color w:val="000000"/>
          <w:szCs w:val="22"/>
        </w:rPr>
        <w:t xml:space="preserve">Finally, GoPNG is also requesting GAVI’s assistance through the Vaccine Introduction Grant (VIG) of USD 0.80 per child for a total of USD </w:t>
      </w:r>
      <w:r w:rsidR="00AE665A" w:rsidRPr="002D4C61">
        <w:rPr>
          <w:rFonts w:eastAsia="SimSun" w:cs="Calibri"/>
          <w:color w:val="000000"/>
          <w:szCs w:val="22"/>
        </w:rPr>
        <w:t>186,717.87</w:t>
      </w:r>
      <w:r w:rsidR="00AE665A" w:rsidRPr="009F6E49">
        <w:rPr>
          <w:rFonts w:eastAsia="SimSun" w:cs="Calibri"/>
          <w:color w:val="000000"/>
          <w:szCs w:val="22"/>
        </w:rPr>
        <w:t>. This grant will be used to assist with the training of health care workers, the reproduction of print materials and other essential activities that will ensure that IPV is successfully introduced by 2015.</w:t>
      </w:r>
      <w:r w:rsidR="006465B4">
        <w:rPr>
          <w:rFonts w:eastAsia="SimSun" w:cs="Calibri"/>
          <w:color w:val="000000"/>
          <w:szCs w:val="22"/>
        </w:rPr>
        <w:t xml:space="preserve"> </w:t>
      </w:r>
      <w:r w:rsidR="00AE665A" w:rsidRPr="009F6E49">
        <w:rPr>
          <w:rFonts w:eastAsia="SimSun" w:cs="Calibri"/>
          <w:color w:val="000000"/>
          <w:szCs w:val="22"/>
        </w:rPr>
        <w:t xml:space="preserve">The total ask to GAVI for IPV introduction, including vaccines, injection supplies and the VIG is USD </w:t>
      </w:r>
      <w:r w:rsidR="00B50A4E">
        <w:rPr>
          <w:rFonts w:eastAsia="SimSun" w:cs="Calibri"/>
          <w:color w:val="000000"/>
          <w:szCs w:val="22"/>
        </w:rPr>
        <w:t xml:space="preserve">282,973 </w:t>
      </w:r>
      <w:r w:rsidR="00AE665A" w:rsidRPr="009F6E49">
        <w:rPr>
          <w:rFonts w:eastAsia="SimSun" w:cs="Calibri"/>
          <w:color w:val="000000"/>
          <w:szCs w:val="22"/>
        </w:rPr>
        <w:t xml:space="preserve">in the first year, and approximately </w:t>
      </w:r>
      <w:r w:rsidR="00AE665A" w:rsidRPr="00B50A4E">
        <w:rPr>
          <w:rFonts w:eastAsia="SimSun" w:cs="Calibri"/>
          <w:color w:val="000000"/>
          <w:szCs w:val="22"/>
        </w:rPr>
        <w:t xml:space="preserve">USD </w:t>
      </w:r>
      <w:r w:rsidR="00B50A4E" w:rsidRPr="00B50A4E">
        <w:rPr>
          <w:rFonts w:eastAsia="SimSun" w:cs="Calibri"/>
          <w:color w:val="000000"/>
          <w:szCs w:val="22"/>
        </w:rPr>
        <w:t>600,000</w:t>
      </w:r>
      <w:r w:rsidR="00B50A4E">
        <w:rPr>
          <w:rFonts w:eastAsia="SimSun" w:cs="Calibri"/>
          <w:color w:val="000000"/>
          <w:szCs w:val="22"/>
        </w:rPr>
        <w:t xml:space="preserve"> </w:t>
      </w:r>
      <w:r w:rsidR="00AE665A" w:rsidRPr="009F6E49">
        <w:rPr>
          <w:rFonts w:eastAsia="SimSun" w:cs="Calibri"/>
          <w:color w:val="000000"/>
          <w:szCs w:val="22"/>
        </w:rPr>
        <w:t>each subsequent year.</w:t>
      </w:r>
    </w:p>
    <w:p w:rsidR="00FB6EB0" w:rsidRDefault="00FB6EB0" w:rsidP="00FB6EB0">
      <w:pPr>
        <w:spacing w:before="120" w:after="120"/>
        <w:ind w:right="115"/>
        <w:contextualSpacing/>
        <w:jc w:val="both"/>
      </w:pPr>
      <w:r>
        <w:t xml:space="preserve">The Church Health Services support the GoPNG is delivering nearly 80% of the health services in the rural community. Also, the GoPNG partners with local national and international NGOs at the provincial and health centre level for delivery and supervision of the services. All these mechanism will be activated during the introduction of IPV. </w:t>
      </w:r>
    </w:p>
    <w:p w:rsidR="00FB6EB0" w:rsidRDefault="00FB6EB0" w:rsidP="00FB6EB0">
      <w:pPr>
        <w:spacing w:before="120" w:after="120"/>
        <w:ind w:right="115"/>
        <w:contextualSpacing/>
        <w:jc w:val="both"/>
      </w:pPr>
    </w:p>
    <w:p w:rsidR="00CB572A" w:rsidRDefault="00B50A4E" w:rsidP="006465B4">
      <w:pPr>
        <w:spacing w:before="120" w:after="120"/>
        <w:jc w:val="both"/>
      </w:pPr>
      <w:r>
        <w:t>T</w:t>
      </w:r>
      <w:r w:rsidR="00637544">
        <w:t xml:space="preserve">he main challenges that surround the introduction of IPV include </w:t>
      </w:r>
      <w:r w:rsidR="006F1311">
        <w:t xml:space="preserve">historically </w:t>
      </w:r>
      <w:r w:rsidR="00CB572A">
        <w:t>low coverage rates and a heavy reliance on weak outreach systems. However</w:t>
      </w:r>
      <w:r>
        <w:t>,</w:t>
      </w:r>
      <w:r w:rsidR="00CB572A">
        <w:t xml:space="preserve"> these challenges have been acknowledged by the government and work is being done to overcome them, including </w:t>
      </w:r>
      <w:r w:rsidR="00CB572A" w:rsidRPr="00144364">
        <w:t>the re-introduction of the child health register, the p</w:t>
      </w:r>
      <w:r w:rsidR="00CB572A">
        <w:t xml:space="preserve">romotion of defaulter tracking </w:t>
      </w:r>
      <w:r w:rsidR="00CB572A" w:rsidRPr="00144364">
        <w:t xml:space="preserve">and improved microplanning through the RED-REC (reaching every district to reach every child) strategy. </w:t>
      </w:r>
    </w:p>
    <w:p w:rsidR="00637544" w:rsidRDefault="00CB572A" w:rsidP="006465B4">
      <w:pPr>
        <w:spacing w:before="120" w:after="120"/>
        <w:jc w:val="both"/>
      </w:pPr>
      <w:r>
        <w:lastRenderedPageBreak/>
        <w:t xml:space="preserve">In addition to this, challenges in surveillance have been addressed through the procurement of a new staff position </w:t>
      </w:r>
      <w:r w:rsidRPr="00144364">
        <w:t>National Surveillance designated specifically for vaccine preventable diseases, including AFP</w:t>
      </w:r>
      <w:r>
        <w:t xml:space="preserve">, and the appointment of </w:t>
      </w:r>
      <w:r w:rsidRPr="00144364">
        <w:t xml:space="preserve">a surveillance officer </w:t>
      </w:r>
      <w:r>
        <w:t xml:space="preserve">within the EPI team </w:t>
      </w:r>
      <w:r w:rsidRPr="00144364">
        <w:t>with additional responsibility for data management.</w:t>
      </w:r>
      <w:r>
        <w:t xml:space="preserve"> Innovative methods are also being applied, such as the roll out of an SMS reminder system for AFP reporting.</w:t>
      </w:r>
      <w:r w:rsidR="001312FB">
        <w:t xml:space="preserve"> </w:t>
      </w:r>
      <w:r>
        <w:t>Health systems risks are b</w:t>
      </w:r>
      <w:r w:rsidR="001312FB">
        <w:t>e</w:t>
      </w:r>
      <w:r>
        <w:t xml:space="preserve">ing addressed through </w:t>
      </w:r>
      <w:r w:rsidR="001312FB" w:rsidRPr="00144364">
        <w:t xml:space="preserve">a National Human Resource for Health Crisis strategy underway, and innovative funding solutions being implemented such as Direct </w:t>
      </w:r>
      <w:r w:rsidR="006465B4">
        <w:t xml:space="preserve">Health Facility Funding (DHFF). </w:t>
      </w:r>
      <w:r>
        <w:t>T</w:t>
      </w:r>
      <w:r w:rsidRPr="00144364">
        <w:t>he GoPNG believes that the increased efforts on EPI as a result of the introduction of multiple vaccines in 2015 will bolster the motivation and ability of staff to reach the unreached.</w:t>
      </w:r>
    </w:p>
    <w:p w:rsidR="006465B4" w:rsidRDefault="006465B4" w:rsidP="006465B4">
      <w:pPr>
        <w:spacing w:before="120" w:after="120"/>
        <w:jc w:val="both"/>
      </w:pPr>
    </w:p>
    <w:p w:rsidR="00AE1953" w:rsidRPr="006465B4" w:rsidRDefault="00AE1953" w:rsidP="006465B4">
      <w:pPr>
        <w:pStyle w:val="Heading1"/>
        <w:numPr>
          <w:ilvl w:val="0"/>
          <w:numId w:val="8"/>
        </w:numPr>
        <w:spacing w:before="120" w:after="120"/>
        <w:rPr>
          <w:rFonts w:asciiTheme="majorBidi" w:hAnsiTheme="majorBidi"/>
          <w:color w:val="002060"/>
          <w:sz w:val="28"/>
          <w:szCs w:val="28"/>
        </w:rPr>
      </w:pPr>
      <w:bookmarkStart w:id="1" w:name="_Toc263661677"/>
      <w:r w:rsidRPr="006465B4">
        <w:rPr>
          <w:rFonts w:asciiTheme="majorBidi" w:hAnsiTheme="majorBidi"/>
          <w:color w:val="002060"/>
          <w:sz w:val="28"/>
          <w:szCs w:val="28"/>
        </w:rPr>
        <w:t>Justification for introduction of IPV and national decision-making process</w:t>
      </w:r>
      <w:bookmarkEnd w:id="1"/>
    </w:p>
    <w:p w:rsidR="00127C0D" w:rsidRPr="009F6E49" w:rsidRDefault="00127C0D" w:rsidP="006465B4">
      <w:pPr>
        <w:widowControl w:val="0"/>
        <w:autoSpaceDE w:val="0"/>
        <w:autoSpaceDN w:val="0"/>
        <w:adjustRightInd w:val="0"/>
        <w:spacing w:before="120" w:after="120"/>
        <w:jc w:val="both"/>
        <w:rPr>
          <w:rFonts w:cs="Times"/>
          <w:lang w:val="en-US" w:eastAsia="en-US"/>
        </w:rPr>
      </w:pPr>
      <w:r w:rsidRPr="009F6E49">
        <w:rPr>
          <w:rFonts w:cs="Times"/>
          <w:lang w:val="en-US" w:eastAsia="en-US"/>
        </w:rPr>
        <w:t>In May 2012, the World Health Assembly (WHA) declared the completion of poliovirus eradication to be a programmatic emergency for global public health. In response, the Polio End Game Strategic Plan 2013-2018 was launched in May 2013. Following on from the G</w:t>
      </w:r>
      <w:r w:rsidR="00AE1953" w:rsidRPr="009F6E49">
        <w:rPr>
          <w:rFonts w:cs="Times"/>
          <w:lang w:val="en-US" w:eastAsia="en-US"/>
        </w:rPr>
        <w:t xml:space="preserve">lobal </w:t>
      </w:r>
      <w:r w:rsidRPr="009F6E49">
        <w:rPr>
          <w:rFonts w:cs="Times"/>
          <w:lang w:val="en-US" w:eastAsia="en-US"/>
        </w:rPr>
        <w:t>P</w:t>
      </w:r>
      <w:r w:rsidR="00AE1953" w:rsidRPr="009F6E49">
        <w:rPr>
          <w:rFonts w:cs="Times"/>
          <w:lang w:val="en-US" w:eastAsia="en-US"/>
        </w:rPr>
        <w:t xml:space="preserve">olio </w:t>
      </w:r>
      <w:r w:rsidRPr="009F6E49">
        <w:rPr>
          <w:rFonts w:cs="Times"/>
          <w:lang w:val="en-US" w:eastAsia="en-US"/>
        </w:rPr>
        <w:t>E</w:t>
      </w:r>
      <w:r w:rsidR="00AE1953" w:rsidRPr="009F6E49">
        <w:rPr>
          <w:rFonts w:cs="Times"/>
          <w:lang w:val="en-US" w:eastAsia="en-US"/>
        </w:rPr>
        <w:t>radication Initiative</w:t>
      </w:r>
      <w:r w:rsidRPr="009F6E49">
        <w:rPr>
          <w:rFonts w:cs="Times"/>
          <w:lang w:val="en-US" w:eastAsia="en-US"/>
        </w:rPr>
        <w:t xml:space="preserve"> Strategic Plan 2010-2012, the plan aims to eradicate both wild and vaccine derived poliovirus and also seeks to utilize the current efforts of polio programs </w:t>
      </w:r>
      <w:r w:rsidR="00867E30" w:rsidRPr="009F6E49">
        <w:rPr>
          <w:rFonts w:cs="Times"/>
          <w:lang w:val="en-US" w:eastAsia="en-US"/>
        </w:rPr>
        <w:t>to strengthen routine immunization programs</w:t>
      </w:r>
      <w:r w:rsidRPr="009F6E49">
        <w:rPr>
          <w:rFonts w:cs="Times"/>
          <w:lang w:val="en-US" w:eastAsia="en-US"/>
        </w:rPr>
        <w:t xml:space="preserve"> </w:t>
      </w:r>
      <w:r w:rsidR="00867E30" w:rsidRPr="009F6E49">
        <w:rPr>
          <w:rFonts w:cs="Times"/>
          <w:lang w:val="en-US" w:eastAsia="en-US"/>
        </w:rPr>
        <w:t>in order to reach the</w:t>
      </w:r>
      <w:r w:rsidRPr="009F6E49">
        <w:rPr>
          <w:rFonts w:cs="Times"/>
          <w:lang w:val="en-US" w:eastAsia="en-US"/>
        </w:rPr>
        <w:t xml:space="preserve"> world’s most vulnerable and under-immunized children. Key to the success of the plan</w:t>
      </w:r>
      <w:r w:rsidR="00AE1953" w:rsidRPr="009F6E49">
        <w:rPr>
          <w:rFonts w:cs="Times"/>
          <w:lang w:val="en-US" w:eastAsia="en-US"/>
        </w:rPr>
        <w:t xml:space="preserve"> is the </w:t>
      </w:r>
      <w:r w:rsidR="0029728C" w:rsidRPr="009F6E49">
        <w:rPr>
          <w:rFonts w:cs="Times"/>
          <w:lang w:val="en-US" w:eastAsia="en-US"/>
        </w:rPr>
        <w:t xml:space="preserve">switch towards bOPV from tOPV, with </w:t>
      </w:r>
      <w:r w:rsidR="00AE1953" w:rsidRPr="009F6E49">
        <w:rPr>
          <w:rFonts w:cs="Times"/>
          <w:lang w:val="en-US" w:eastAsia="en-US"/>
        </w:rPr>
        <w:t>cessatio</w:t>
      </w:r>
      <w:r w:rsidR="0029728C" w:rsidRPr="009F6E49">
        <w:rPr>
          <w:rFonts w:cs="Times"/>
          <w:lang w:val="en-US" w:eastAsia="en-US"/>
        </w:rPr>
        <w:t>n of OPV2</w:t>
      </w:r>
      <w:r w:rsidRPr="009F6E49">
        <w:rPr>
          <w:rFonts w:cs="Times"/>
          <w:lang w:val="en-US" w:eastAsia="en-US"/>
        </w:rPr>
        <w:t xml:space="preserve"> </w:t>
      </w:r>
      <w:r w:rsidR="0029728C" w:rsidRPr="009F6E49">
        <w:rPr>
          <w:rFonts w:cs="Times"/>
          <w:lang w:val="en-US" w:eastAsia="en-US"/>
        </w:rPr>
        <w:t xml:space="preserve">which has been found to be the main cause of </w:t>
      </w:r>
      <w:r w:rsidR="00AE1953" w:rsidRPr="009F6E49">
        <w:rPr>
          <w:rFonts w:cs="Times"/>
          <w:lang w:val="en-US" w:eastAsia="en-US"/>
        </w:rPr>
        <w:t xml:space="preserve">vaccine </w:t>
      </w:r>
      <w:r w:rsidR="00480B69" w:rsidRPr="009F6E49">
        <w:rPr>
          <w:rFonts w:cs="Times"/>
          <w:lang w:val="en-US" w:eastAsia="en-US"/>
        </w:rPr>
        <w:t>derived poliovirus and vaccine-</w:t>
      </w:r>
      <w:r w:rsidR="00AE1953" w:rsidRPr="009F6E49">
        <w:rPr>
          <w:rFonts w:cs="Times"/>
          <w:lang w:val="en-US" w:eastAsia="en-US"/>
        </w:rPr>
        <w:t>associated paralytic polio</w:t>
      </w:r>
      <w:r w:rsidR="00480B69" w:rsidRPr="009F6E49">
        <w:rPr>
          <w:rFonts w:cs="Times"/>
          <w:lang w:val="en-US" w:eastAsia="en-US"/>
        </w:rPr>
        <w:t>myelitis</w:t>
      </w:r>
      <w:r w:rsidR="00AE1953" w:rsidRPr="009F6E49">
        <w:rPr>
          <w:rFonts w:cs="Times"/>
          <w:lang w:val="en-US" w:eastAsia="en-US"/>
        </w:rPr>
        <w:t xml:space="preserve">. In order to reduce the risk associated with this withdrawal, the introduction of inactivated polio vaccine (IPV) must happen first. </w:t>
      </w:r>
    </w:p>
    <w:p w:rsidR="00127C0D" w:rsidRPr="009F6E49" w:rsidRDefault="00127C0D" w:rsidP="006465B4">
      <w:pPr>
        <w:widowControl w:val="0"/>
        <w:autoSpaceDE w:val="0"/>
        <w:autoSpaceDN w:val="0"/>
        <w:adjustRightInd w:val="0"/>
        <w:spacing w:before="120" w:after="120"/>
        <w:jc w:val="both"/>
        <w:rPr>
          <w:rFonts w:cs="Times"/>
          <w:lang w:val="en-US" w:eastAsia="en-US"/>
        </w:rPr>
      </w:pPr>
      <w:r w:rsidRPr="009F6E49">
        <w:rPr>
          <w:rFonts w:cs="Times"/>
          <w:lang w:val="en-US" w:eastAsia="en-US"/>
        </w:rPr>
        <w:t>The introduction of IPV has three benefits:</w:t>
      </w:r>
    </w:p>
    <w:p w:rsidR="006465B4" w:rsidRDefault="00127C0D" w:rsidP="006465B4">
      <w:pPr>
        <w:widowControl w:val="0"/>
        <w:numPr>
          <w:ilvl w:val="0"/>
          <w:numId w:val="10"/>
        </w:numPr>
        <w:tabs>
          <w:tab w:val="left" w:pos="220"/>
          <w:tab w:val="left" w:pos="720"/>
        </w:tabs>
        <w:autoSpaceDE w:val="0"/>
        <w:autoSpaceDN w:val="0"/>
        <w:adjustRightInd w:val="0"/>
        <w:spacing w:before="120" w:after="120"/>
        <w:jc w:val="both"/>
        <w:rPr>
          <w:rFonts w:cs="Times"/>
          <w:lang w:val="en-US" w:eastAsia="en-US"/>
        </w:rPr>
      </w:pPr>
      <w:r w:rsidRPr="009F6E49">
        <w:rPr>
          <w:rFonts w:cs="Times"/>
          <w:lang w:val="en-US" w:eastAsia="en-US"/>
        </w:rPr>
        <w:t xml:space="preserve">Risk reduction: As IPV helps to immunize against type 2 poliovirus it provides safety against risk of immunity loss through the withdrawal of tOPV, should type 2 ever be reintroduced. </w:t>
      </w:r>
    </w:p>
    <w:p w:rsidR="006465B4" w:rsidRDefault="00127C0D" w:rsidP="006465B4">
      <w:pPr>
        <w:widowControl w:val="0"/>
        <w:numPr>
          <w:ilvl w:val="0"/>
          <w:numId w:val="10"/>
        </w:numPr>
        <w:tabs>
          <w:tab w:val="left" w:pos="220"/>
          <w:tab w:val="left" w:pos="720"/>
        </w:tabs>
        <w:autoSpaceDE w:val="0"/>
        <w:autoSpaceDN w:val="0"/>
        <w:adjustRightInd w:val="0"/>
        <w:spacing w:before="120" w:after="120"/>
        <w:jc w:val="both"/>
        <w:rPr>
          <w:rFonts w:cs="Times"/>
          <w:lang w:val="en-US" w:eastAsia="en-US"/>
        </w:rPr>
      </w:pPr>
      <w:r w:rsidRPr="006465B4">
        <w:rPr>
          <w:rFonts w:cs="Times"/>
          <w:lang w:val="en-US" w:eastAsia="en-US"/>
        </w:rPr>
        <w:t xml:space="preserve">Transmission interruption in the case of outbreaks: If mOPV type 2 is required to be given in response to a WPV2 or cVDPV2 outbreak following tOPV withdrawal, those who have been vaccinated with IPV will have a better immune response, thereby reducing transmission and outbreak risk. </w:t>
      </w:r>
    </w:p>
    <w:p w:rsidR="00127C0D" w:rsidRPr="006465B4" w:rsidRDefault="00127C0D" w:rsidP="006465B4">
      <w:pPr>
        <w:widowControl w:val="0"/>
        <w:numPr>
          <w:ilvl w:val="0"/>
          <w:numId w:val="10"/>
        </w:numPr>
        <w:tabs>
          <w:tab w:val="left" w:pos="220"/>
          <w:tab w:val="left" w:pos="720"/>
        </w:tabs>
        <w:autoSpaceDE w:val="0"/>
        <w:autoSpaceDN w:val="0"/>
        <w:adjustRightInd w:val="0"/>
        <w:spacing w:before="120" w:after="120"/>
        <w:jc w:val="both"/>
        <w:rPr>
          <w:rFonts w:cs="Times"/>
          <w:lang w:val="en-US" w:eastAsia="en-US"/>
        </w:rPr>
      </w:pPr>
      <w:r w:rsidRPr="006465B4">
        <w:rPr>
          <w:rFonts w:cs="Times"/>
          <w:lang w:val="en-US" w:eastAsia="en-US"/>
        </w:rPr>
        <w:t>Acceleration of WPV eradication: IPV will also act as an immunity booster for WPV1 and WPV3 in those who have received OPV, which may lead to swifter eradication</w:t>
      </w:r>
      <w:r w:rsidR="00AE1953" w:rsidRPr="006465B4">
        <w:rPr>
          <w:rFonts w:cs="Times"/>
          <w:lang w:val="en-US" w:eastAsia="en-US"/>
        </w:rPr>
        <w:t>.</w:t>
      </w:r>
      <w:r w:rsidRPr="006465B4">
        <w:rPr>
          <w:rFonts w:cs="Times"/>
          <w:lang w:val="en-US" w:eastAsia="en-US"/>
        </w:rPr>
        <w:t xml:space="preserve"> </w:t>
      </w:r>
    </w:p>
    <w:p w:rsidR="00127C0D" w:rsidRPr="009F6E49" w:rsidRDefault="00127C0D" w:rsidP="006465B4">
      <w:pPr>
        <w:widowControl w:val="0"/>
        <w:autoSpaceDE w:val="0"/>
        <w:autoSpaceDN w:val="0"/>
        <w:adjustRightInd w:val="0"/>
        <w:spacing w:before="120" w:after="120"/>
        <w:jc w:val="both"/>
        <w:rPr>
          <w:rFonts w:cs="Times"/>
          <w:lang w:val="en-US" w:eastAsia="en-US"/>
        </w:rPr>
      </w:pPr>
      <w:r w:rsidRPr="009F6E49">
        <w:rPr>
          <w:rFonts w:cs="Times"/>
          <w:lang w:val="en-US" w:eastAsia="en-US"/>
        </w:rPr>
        <w:t>Although Papua New Guinea (PNG) was declared poliomyelitis free in 2000 it continues to have an important part to play in global eradication. While poliovirus still exists in any part of the world, it poses a threat of importation to any country; for example in 2007 an adult Pakistani student brought the virus to Australia when returning from a visit. In particular however, countries with low vaccination coverage and vulnerable surveillance systems are at a significant risk.</w:t>
      </w:r>
    </w:p>
    <w:p w:rsidR="00127C0D" w:rsidRPr="009F6E49" w:rsidRDefault="00127C0D" w:rsidP="006465B4">
      <w:pPr>
        <w:widowControl w:val="0"/>
        <w:autoSpaceDE w:val="0"/>
        <w:autoSpaceDN w:val="0"/>
        <w:adjustRightInd w:val="0"/>
        <w:spacing w:before="120" w:after="120"/>
        <w:jc w:val="both"/>
        <w:rPr>
          <w:rFonts w:cs="Times"/>
          <w:lang w:val="en-US" w:eastAsia="en-US"/>
        </w:rPr>
      </w:pPr>
      <w:r w:rsidRPr="009F6E49">
        <w:rPr>
          <w:rFonts w:cs="Times"/>
          <w:lang w:val="en-US" w:eastAsia="en-US"/>
        </w:rPr>
        <w:t xml:space="preserve">PNG is classified as a Tier 2 Country on the Global Risk Tier scale for IPV introduction and prioritization. This Tier includes large/medium sized countries with </w:t>
      </w:r>
      <w:r w:rsidRPr="009F6E49">
        <w:rPr>
          <w:rFonts w:cs="Times"/>
          <w:lang w:val="en-US" w:eastAsia="en-US"/>
        </w:rPr>
        <w:lastRenderedPageBreak/>
        <w:t>any history of cVDPVs (types 1 and 3) since 2000 or countries that have repeatedly reported routine immunization coverage estimates of less than 80% over the past three years with under - performing surveillance system. Based on the risk assessment evaluation the Western Pacific Regional Certification Commission for Polio has classified PNG at high risk of polio re-importation within the WHO WPRO region.</w:t>
      </w:r>
    </w:p>
    <w:p w:rsidR="00127C0D" w:rsidRPr="009F6E49" w:rsidRDefault="00127C0D" w:rsidP="006465B4">
      <w:pPr>
        <w:widowControl w:val="0"/>
        <w:autoSpaceDE w:val="0"/>
        <w:autoSpaceDN w:val="0"/>
        <w:adjustRightInd w:val="0"/>
        <w:spacing w:before="120" w:after="120"/>
        <w:jc w:val="both"/>
        <w:rPr>
          <w:rFonts w:cs="Times"/>
          <w:lang w:val="en-US" w:eastAsia="en-US"/>
        </w:rPr>
      </w:pPr>
      <w:r w:rsidRPr="009F6E49">
        <w:rPr>
          <w:rFonts w:cs="Times"/>
          <w:lang w:val="en-US" w:eastAsia="en-US"/>
        </w:rPr>
        <w:t xml:space="preserve">PNG’s risk of importation of wild poliovirus is exacerbated by </w:t>
      </w:r>
      <w:r w:rsidR="0029728C" w:rsidRPr="009F6E49">
        <w:rPr>
          <w:rFonts w:cs="Times"/>
          <w:lang w:val="en-US" w:eastAsia="en-US"/>
        </w:rPr>
        <w:t>its</w:t>
      </w:r>
      <w:r w:rsidRPr="009F6E49">
        <w:rPr>
          <w:rFonts w:cs="Times"/>
          <w:lang w:val="en-US" w:eastAsia="en-US"/>
        </w:rPr>
        <w:t xml:space="preserve"> low vaccination coverage </w:t>
      </w:r>
      <w:r w:rsidR="0029728C" w:rsidRPr="009F6E49">
        <w:rPr>
          <w:rFonts w:cs="Times"/>
          <w:lang w:val="en-US" w:eastAsia="en-US"/>
        </w:rPr>
        <w:t xml:space="preserve">(69% in 2012) </w:t>
      </w:r>
      <w:r w:rsidRPr="009F6E49">
        <w:rPr>
          <w:rFonts w:cs="Times"/>
          <w:lang w:val="en-US" w:eastAsia="en-US"/>
        </w:rPr>
        <w:t>and a weak AFP</w:t>
      </w:r>
      <w:r w:rsidR="0029728C" w:rsidRPr="009F6E49">
        <w:rPr>
          <w:rFonts w:cs="Times"/>
          <w:lang w:val="en-US" w:eastAsia="en-US"/>
        </w:rPr>
        <w:t xml:space="preserve"> (acute flaccid paralysis)</w:t>
      </w:r>
      <w:r w:rsidRPr="009F6E49">
        <w:rPr>
          <w:rFonts w:cs="Times"/>
          <w:lang w:val="en-US" w:eastAsia="en-US"/>
        </w:rPr>
        <w:t xml:space="preserve"> surveillance system. This is compounded by the current economic boom driven by the extractive industries, which has led to an influx of expatriate workers from different parts of the world including some of the polio-endemic countries. The rapid spread of any disease within the country is also now a higher risk as the population becomes more transient as it seeks new economic opportunities. PNG also now faces a new risk from “boat people” under a new agreement between Australian and PNG, whereby refugees seeking asylum in Australia via sea are processed in a center on Manus Island. This </w:t>
      </w:r>
      <w:r w:rsidR="007A7295" w:rsidRPr="009F6E49">
        <w:rPr>
          <w:rFonts w:cs="Times"/>
          <w:lang w:val="en-US" w:eastAsia="en-US"/>
        </w:rPr>
        <w:t>has</w:t>
      </w:r>
      <w:r w:rsidRPr="009F6E49">
        <w:rPr>
          <w:rFonts w:cs="Times"/>
          <w:lang w:val="en-US" w:eastAsia="en-US"/>
        </w:rPr>
        <w:t xml:space="preserve"> the potential to open the way not only for polio importation but also for other vaccine preventable diseases.</w:t>
      </w:r>
    </w:p>
    <w:p w:rsidR="00127C0D" w:rsidRPr="009F6E49" w:rsidRDefault="00127C0D" w:rsidP="006465B4">
      <w:pPr>
        <w:spacing w:before="120" w:after="120"/>
        <w:ind w:right="115"/>
        <w:jc w:val="both"/>
      </w:pPr>
      <w:r w:rsidRPr="009F6E49">
        <w:t xml:space="preserve">In light of this, in March 2014 the PNG Polio Endgame Strategic Plan was developed by the PNG National Certification Committee (NCC) in collaboration with NDoH, WHO, UNICEF the Child Health Advisory Committee and the Paediatric Society. This plan, which is aligned with the global version, outlines a pathway forward for PNG to contribute to eradication </w:t>
      </w:r>
      <w:r w:rsidR="00F27127" w:rsidRPr="009F6E49">
        <w:t xml:space="preserve">and the endgame </w:t>
      </w:r>
      <w:r w:rsidRPr="009F6E49">
        <w:t xml:space="preserve">and was approved by the Secretary for the National Department of Health on 3 April, 2014. </w:t>
      </w:r>
    </w:p>
    <w:p w:rsidR="00EC1DCD" w:rsidRPr="009F6E49" w:rsidRDefault="00127C0D" w:rsidP="006465B4">
      <w:pPr>
        <w:widowControl w:val="0"/>
        <w:autoSpaceDE w:val="0"/>
        <w:autoSpaceDN w:val="0"/>
        <w:adjustRightInd w:val="0"/>
        <w:spacing w:before="120" w:after="120"/>
        <w:jc w:val="both"/>
      </w:pPr>
      <w:r w:rsidRPr="009F6E49">
        <w:t xml:space="preserve">A key component of this plan is the </w:t>
      </w:r>
      <w:r w:rsidR="00F27127" w:rsidRPr="009F6E49">
        <w:t xml:space="preserve">decision to introduce </w:t>
      </w:r>
      <w:r w:rsidR="00AE1953" w:rsidRPr="009F6E49">
        <w:t>IPV</w:t>
      </w:r>
      <w:r w:rsidR="00F27127" w:rsidRPr="009F6E49">
        <w:t xml:space="preserve"> by 2015</w:t>
      </w:r>
      <w:r w:rsidR="00AE1953" w:rsidRPr="009F6E49">
        <w:t>. As per the SAGE recommendation, o</w:t>
      </w:r>
      <w:r w:rsidRPr="009F6E49">
        <w:t>ne dose of IPV will be given in conjunction with the current third dose</w:t>
      </w:r>
      <w:r w:rsidR="00AE1953" w:rsidRPr="009F6E49">
        <w:t>s</w:t>
      </w:r>
      <w:r w:rsidRPr="009F6E49">
        <w:t xml:space="preserve"> of OPV</w:t>
      </w:r>
      <w:r w:rsidR="00AE1953" w:rsidRPr="009F6E49">
        <w:t xml:space="preserve"> and DPT-HepB-Hib</w:t>
      </w:r>
      <w:r w:rsidRPr="009F6E49">
        <w:t xml:space="preserve"> at the third </w:t>
      </w:r>
      <w:r w:rsidR="00AE1953" w:rsidRPr="009F6E49">
        <w:t>contact (</w:t>
      </w:r>
      <w:r w:rsidR="005603B2">
        <w:t>12</w:t>
      </w:r>
      <w:r w:rsidRPr="009F6E49">
        <w:t xml:space="preserve"> weeks</w:t>
      </w:r>
      <w:r w:rsidR="00AE1953" w:rsidRPr="009F6E49">
        <w:t>).</w:t>
      </w:r>
      <w:r w:rsidR="00EC1DCD" w:rsidRPr="009F6E49">
        <w:t xml:space="preserve"> As such, PNG is requesting the assistance of GAVI for one dose of IPV.</w:t>
      </w:r>
    </w:p>
    <w:p w:rsidR="00F27127" w:rsidRPr="009F6E49" w:rsidRDefault="00EC1DCD" w:rsidP="006465B4">
      <w:pPr>
        <w:spacing w:before="120" w:after="120"/>
        <w:ind w:right="115"/>
        <w:jc w:val="both"/>
      </w:pPr>
      <w:r w:rsidRPr="009F6E49">
        <w:t xml:space="preserve">The successful introduction of DTP-HepB-Hib vaccine in 2008 proved that PNG is capable of such programmatic changes, and lessons learned from this experience will be used in planning for IPV introduction. </w:t>
      </w:r>
    </w:p>
    <w:p w:rsidR="00EC1DCD" w:rsidRDefault="00F27127" w:rsidP="006465B4">
      <w:pPr>
        <w:spacing w:before="120" w:after="120"/>
        <w:ind w:right="115"/>
        <w:jc w:val="both"/>
      </w:pPr>
      <w:r w:rsidRPr="009F6E49">
        <w:t xml:space="preserve">2015 will also </w:t>
      </w:r>
      <w:r w:rsidR="00371FAC" w:rsidRPr="009F6E49">
        <w:t xml:space="preserve">see </w:t>
      </w:r>
      <w:r w:rsidRPr="009F6E49">
        <w:t xml:space="preserve">PNG introduce </w:t>
      </w:r>
      <w:r w:rsidR="006465B4">
        <w:t>Measles Rubella vaccine into the routine schedule</w:t>
      </w:r>
      <w:r w:rsidRPr="009F6E49">
        <w:t xml:space="preserve">. </w:t>
      </w:r>
      <w:r w:rsidR="00371FAC" w:rsidRPr="009F6E49">
        <w:t xml:space="preserve">Experience in PNG has shown that </w:t>
      </w:r>
      <w:r w:rsidR="007A7295" w:rsidRPr="009F6E49">
        <w:t>frequent</w:t>
      </w:r>
      <w:r w:rsidR="00371FAC" w:rsidRPr="009F6E49">
        <w:t xml:space="preserve"> program changes can create</w:t>
      </w:r>
      <w:r w:rsidR="007A7295" w:rsidRPr="009F6E49">
        <w:t xml:space="preserve"> heavy burdens in terms of operational cost and fatigue for health care workers, leading to a reduction in program outcomes. As such, t</w:t>
      </w:r>
      <w:r w:rsidRPr="009F6E49">
        <w:t xml:space="preserve">he GoPNG sees </w:t>
      </w:r>
      <w:r w:rsidR="006465B4">
        <w:t xml:space="preserve">vaccine </w:t>
      </w:r>
      <w:r w:rsidRPr="009F6E49">
        <w:t>multiple</w:t>
      </w:r>
      <w:r w:rsidR="007A7295" w:rsidRPr="009F6E49">
        <w:t xml:space="preserve"> concurrent</w:t>
      </w:r>
      <w:r w:rsidRPr="009F6E49">
        <w:t xml:space="preserve"> introduction as </w:t>
      </w:r>
      <w:r w:rsidR="007A7295" w:rsidRPr="009F6E49">
        <w:t xml:space="preserve">the best method to pursue. </w:t>
      </w:r>
      <w:r w:rsidR="00B92C3F" w:rsidRPr="009F6E49">
        <w:t>I</w:t>
      </w:r>
      <w:r w:rsidR="007A7295" w:rsidRPr="009F6E49">
        <w:t xml:space="preserve">t is envisioned that this will provide opportunity to streamline training </w:t>
      </w:r>
      <w:r w:rsidR="00B92C3F" w:rsidRPr="009F6E49">
        <w:t xml:space="preserve">and reduce printing efforts, as well as other benefits. In addition to this, IPV and other vaccine introduction will be part of wider current efforts to improve routine immunisation through continued microplanning, increased outreach efforts, improved cold chain and the introduction of default tracking. </w:t>
      </w:r>
    </w:p>
    <w:p w:rsidR="00EC1DCD" w:rsidRPr="006465B4" w:rsidRDefault="00EC1DCD" w:rsidP="006465B4">
      <w:pPr>
        <w:pStyle w:val="Heading1"/>
        <w:numPr>
          <w:ilvl w:val="0"/>
          <w:numId w:val="8"/>
        </w:numPr>
        <w:spacing w:before="120" w:after="120"/>
        <w:rPr>
          <w:rFonts w:asciiTheme="majorBidi" w:hAnsiTheme="majorBidi"/>
          <w:color w:val="002060"/>
          <w:sz w:val="28"/>
          <w:szCs w:val="28"/>
        </w:rPr>
      </w:pPr>
      <w:bookmarkStart w:id="2" w:name="_Toc263661678"/>
      <w:r w:rsidRPr="006465B4">
        <w:rPr>
          <w:rFonts w:asciiTheme="majorBidi" w:hAnsiTheme="majorBidi"/>
          <w:color w:val="002060"/>
          <w:sz w:val="28"/>
          <w:szCs w:val="28"/>
        </w:rPr>
        <w:t>Overview of IPV</w:t>
      </w:r>
      <w:bookmarkEnd w:id="2"/>
    </w:p>
    <w:p w:rsidR="00EC1DCD" w:rsidRPr="006465B4" w:rsidRDefault="006465B4" w:rsidP="006465B4">
      <w:pPr>
        <w:pStyle w:val="Heading1"/>
        <w:spacing w:before="120" w:after="120"/>
        <w:ind w:firstLine="720"/>
        <w:rPr>
          <w:rFonts w:asciiTheme="majorBidi" w:hAnsiTheme="majorBidi"/>
          <w:color w:val="002060"/>
          <w:sz w:val="28"/>
          <w:szCs w:val="28"/>
        </w:rPr>
      </w:pPr>
      <w:bookmarkStart w:id="3" w:name="_Toc263661679"/>
      <w:r>
        <w:rPr>
          <w:rFonts w:asciiTheme="majorBidi" w:hAnsiTheme="majorBidi"/>
          <w:color w:val="002060"/>
          <w:sz w:val="28"/>
          <w:szCs w:val="28"/>
        </w:rPr>
        <w:t xml:space="preserve">2.1 </w:t>
      </w:r>
      <w:r w:rsidR="00EC1DCD" w:rsidRPr="006465B4">
        <w:rPr>
          <w:rFonts w:asciiTheme="majorBidi" w:hAnsiTheme="majorBidi"/>
          <w:color w:val="002060"/>
          <w:sz w:val="28"/>
          <w:szCs w:val="28"/>
        </w:rPr>
        <w:t>Vaccine preference</w:t>
      </w:r>
      <w:bookmarkEnd w:id="3"/>
    </w:p>
    <w:p w:rsidR="00EC1DCD" w:rsidRDefault="00112F1A" w:rsidP="006465B4">
      <w:pPr>
        <w:autoSpaceDE w:val="0"/>
        <w:autoSpaceDN w:val="0"/>
        <w:adjustRightInd w:val="0"/>
        <w:spacing w:before="120" w:after="120"/>
        <w:jc w:val="both"/>
        <w:rPr>
          <w:rFonts w:asciiTheme="majorBidi" w:eastAsia="SimSun" w:hAnsiTheme="majorBidi" w:cstheme="majorBidi"/>
          <w:b/>
          <w:color w:val="000000"/>
        </w:rPr>
      </w:pPr>
      <w:r>
        <w:rPr>
          <w:rFonts w:asciiTheme="majorBidi" w:eastAsia="SimSun" w:hAnsiTheme="majorBidi" w:cstheme="majorBidi"/>
          <w:b/>
          <w:color w:val="000000"/>
        </w:rPr>
        <w:t xml:space="preserve">Table </w:t>
      </w:r>
      <w:r w:rsidR="00EC1DCD" w:rsidRPr="006465B4">
        <w:rPr>
          <w:rFonts w:asciiTheme="majorBidi" w:eastAsia="SimSun" w:hAnsiTheme="majorBidi" w:cstheme="majorBidi"/>
          <w:b/>
          <w:color w:val="000000"/>
        </w:rPr>
        <w:t>1. IPV vaccine preferences and estimated date of introduction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1981"/>
        <w:gridCol w:w="2148"/>
        <w:gridCol w:w="2162"/>
      </w:tblGrid>
      <w:tr w:rsidR="00EC1DCD" w:rsidRPr="006465B4" w:rsidTr="00EC1DCD">
        <w:tc>
          <w:tcPr>
            <w:tcW w:w="2225" w:type="dxa"/>
            <w:shd w:val="clear" w:color="auto" w:fill="auto"/>
          </w:tcPr>
          <w:p w:rsidR="00EC1DCD" w:rsidRPr="006465B4" w:rsidRDefault="00EC1DCD" w:rsidP="006465B4">
            <w:pPr>
              <w:spacing w:before="120" w:after="120"/>
              <w:ind w:right="120"/>
              <w:jc w:val="center"/>
              <w:rPr>
                <w:rFonts w:asciiTheme="majorBidi" w:hAnsiTheme="majorBidi" w:cstheme="majorBidi"/>
                <w:b/>
              </w:rPr>
            </w:pPr>
            <w:r w:rsidRPr="006465B4">
              <w:rPr>
                <w:rFonts w:asciiTheme="majorBidi" w:hAnsiTheme="majorBidi" w:cstheme="majorBidi"/>
                <w:b/>
              </w:rPr>
              <w:t>Preferred IPV vaccine</w:t>
            </w:r>
          </w:p>
        </w:tc>
        <w:tc>
          <w:tcPr>
            <w:tcW w:w="1981" w:type="dxa"/>
            <w:shd w:val="clear" w:color="auto" w:fill="auto"/>
          </w:tcPr>
          <w:p w:rsidR="00EC1DCD" w:rsidRPr="006465B4" w:rsidRDefault="00EC1DCD" w:rsidP="006465B4">
            <w:pPr>
              <w:spacing w:before="120" w:after="120"/>
              <w:ind w:right="120"/>
              <w:jc w:val="center"/>
              <w:rPr>
                <w:rFonts w:asciiTheme="majorBidi" w:hAnsiTheme="majorBidi" w:cstheme="majorBidi"/>
                <w:b/>
              </w:rPr>
            </w:pPr>
            <w:r w:rsidRPr="006465B4">
              <w:rPr>
                <w:rFonts w:asciiTheme="majorBidi" w:hAnsiTheme="majorBidi" w:cstheme="majorBidi"/>
                <w:b/>
              </w:rPr>
              <w:t>Month and year of first vaccination</w:t>
            </w:r>
          </w:p>
        </w:tc>
        <w:tc>
          <w:tcPr>
            <w:tcW w:w="2148" w:type="dxa"/>
            <w:shd w:val="clear" w:color="auto" w:fill="auto"/>
          </w:tcPr>
          <w:p w:rsidR="00EC1DCD" w:rsidRPr="006465B4" w:rsidRDefault="00EC1DCD" w:rsidP="006465B4">
            <w:pPr>
              <w:spacing w:before="120" w:after="120"/>
              <w:ind w:right="120"/>
              <w:jc w:val="center"/>
              <w:rPr>
                <w:rFonts w:asciiTheme="majorBidi" w:hAnsiTheme="majorBidi" w:cstheme="majorBidi"/>
                <w:b/>
              </w:rPr>
            </w:pPr>
            <w:r w:rsidRPr="006465B4">
              <w:rPr>
                <w:rFonts w:asciiTheme="majorBidi" w:hAnsiTheme="majorBidi" w:cstheme="majorBidi"/>
                <w:b/>
              </w:rPr>
              <w:t>Preferred second presentation</w:t>
            </w:r>
          </w:p>
        </w:tc>
        <w:tc>
          <w:tcPr>
            <w:tcW w:w="2162" w:type="dxa"/>
          </w:tcPr>
          <w:p w:rsidR="00EC1DCD" w:rsidRPr="006465B4" w:rsidRDefault="00EC1DCD" w:rsidP="006465B4">
            <w:pPr>
              <w:spacing w:before="120" w:after="120"/>
              <w:ind w:right="120"/>
              <w:jc w:val="center"/>
              <w:rPr>
                <w:rFonts w:asciiTheme="majorBidi" w:hAnsiTheme="majorBidi" w:cstheme="majorBidi"/>
                <w:b/>
              </w:rPr>
            </w:pPr>
            <w:r w:rsidRPr="006465B4">
              <w:rPr>
                <w:rFonts w:asciiTheme="majorBidi" w:hAnsiTheme="majorBidi" w:cstheme="majorBidi"/>
                <w:b/>
              </w:rPr>
              <w:t>Preferred third presentation</w:t>
            </w:r>
          </w:p>
        </w:tc>
      </w:tr>
      <w:tr w:rsidR="00EC1DCD" w:rsidRPr="006465B4" w:rsidTr="006146F5">
        <w:trPr>
          <w:trHeight w:val="852"/>
        </w:trPr>
        <w:tc>
          <w:tcPr>
            <w:tcW w:w="2225" w:type="dxa"/>
            <w:shd w:val="clear" w:color="auto" w:fill="auto"/>
          </w:tcPr>
          <w:p w:rsidR="00EC1DCD" w:rsidRPr="006465B4" w:rsidRDefault="006146F5" w:rsidP="006146F5">
            <w:pPr>
              <w:spacing w:before="120" w:after="120"/>
              <w:ind w:right="120"/>
              <w:rPr>
                <w:rFonts w:asciiTheme="majorBidi" w:hAnsiTheme="majorBidi" w:cstheme="majorBidi"/>
              </w:rPr>
            </w:pPr>
            <w:r>
              <w:rPr>
                <w:rFonts w:asciiTheme="majorBidi" w:hAnsiTheme="majorBidi" w:cstheme="majorBidi"/>
              </w:rPr>
              <w:lastRenderedPageBreak/>
              <w:t>5 dose stand-alone IPV</w:t>
            </w:r>
          </w:p>
          <w:p w:rsidR="00EC1DCD" w:rsidRPr="006465B4" w:rsidRDefault="00EC1DCD" w:rsidP="006465B4">
            <w:pPr>
              <w:spacing w:before="120" w:after="120"/>
              <w:ind w:right="120"/>
              <w:rPr>
                <w:rFonts w:asciiTheme="majorBidi" w:hAnsiTheme="majorBidi" w:cstheme="majorBidi"/>
              </w:rPr>
            </w:pPr>
          </w:p>
        </w:tc>
        <w:tc>
          <w:tcPr>
            <w:tcW w:w="1981" w:type="dxa"/>
            <w:shd w:val="clear" w:color="auto" w:fill="auto"/>
          </w:tcPr>
          <w:p w:rsidR="00EC1DCD" w:rsidRPr="006465B4" w:rsidRDefault="004B64F1" w:rsidP="006146F5">
            <w:pPr>
              <w:spacing w:before="120" w:after="120"/>
              <w:rPr>
                <w:rFonts w:asciiTheme="majorBidi" w:hAnsiTheme="majorBidi" w:cstheme="majorBidi"/>
              </w:rPr>
            </w:pPr>
            <w:r w:rsidRPr="006465B4">
              <w:rPr>
                <w:rFonts w:asciiTheme="majorBidi" w:hAnsiTheme="majorBidi" w:cstheme="majorBidi"/>
              </w:rPr>
              <w:t>November</w:t>
            </w:r>
            <w:r w:rsidR="00EC1DCD" w:rsidRPr="006465B4">
              <w:rPr>
                <w:rFonts w:asciiTheme="majorBidi" w:hAnsiTheme="majorBidi" w:cstheme="majorBidi"/>
              </w:rPr>
              <w:t xml:space="preserve"> 2015</w:t>
            </w:r>
          </w:p>
        </w:tc>
        <w:tc>
          <w:tcPr>
            <w:tcW w:w="2148" w:type="dxa"/>
            <w:shd w:val="clear" w:color="auto" w:fill="auto"/>
          </w:tcPr>
          <w:p w:rsidR="00EC1DCD" w:rsidRPr="006465B4" w:rsidRDefault="00EC1DCD" w:rsidP="006146F5">
            <w:pPr>
              <w:spacing w:before="120" w:after="120"/>
              <w:rPr>
                <w:rFonts w:asciiTheme="majorBidi" w:hAnsiTheme="majorBidi" w:cstheme="majorBidi"/>
              </w:rPr>
            </w:pPr>
            <w:r w:rsidRPr="006465B4">
              <w:rPr>
                <w:rFonts w:asciiTheme="majorBidi" w:hAnsiTheme="majorBidi" w:cstheme="majorBidi"/>
              </w:rPr>
              <w:t>10 Dose stand-alone IPV</w:t>
            </w:r>
          </w:p>
        </w:tc>
        <w:tc>
          <w:tcPr>
            <w:tcW w:w="2162" w:type="dxa"/>
          </w:tcPr>
          <w:p w:rsidR="00EC1DCD" w:rsidRPr="006465B4" w:rsidRDefault="00A2082E" w:rsidP="006146F5">
            <w:pPr>
              <w:spacing w:before="120" w:after="120"/>
              <w:rPr>
                <w:rFonts w:asciiTheme="majorBidi" w:hAnsiTheme="majorBidi" w:cstheme="majorBidi"/>
              </w:rPr>
            </w:pPr>
            <w:r w:rsidRPr="006465B4">
              <w:rPr>
                <w:rFonts w:asciiTheme="majorBidi" w:hAnsiTheme="majorBidi" w:cstheme="majorBidi"/>
              </w:rPr>
              <w:t>No preference (</w:t>
            </w:r>
            <w:r w:rsidR="006146F5">
              <w:rPr>
                <w:rFonts w:asciiTheme="majorBidi" w:hAnsiTheme="majorBidi" w:cstheme="majorBidi"/>
              </w:rPr>
              <w:t>would not prefer a single dose vial)</w:t>
            </w:r>
          </w:p>
        </w:tc>
      </w:tr>
    </w:tbl>
    <w:p w:rsidR="00EC1DCD" w:rsidRDefault="00EC1DCD" w:rsidP="006465B4">
      <w:pPr>
        <w:autoSpaceDE w:val="0"/>
        <w:autoSpaceDN w:val="0"/>
        <w:adjustRightInd w:val="0"/>
        <w:spacing w:before="120" w:after="120"/>
        <w:jc w:val="both"/>
        <w:rPr>
          <w:rFonts w:eastAsia="SimSun" w:cs="Calibri"/>
          <w:color w:val="000000"/>
        </w:rPr>
      </w:pPr>
      <w:r w:rsidRPr="009F6E49">
        <w:rPr>
          <w:rFonts w:eastAsia="SimSun" w:cs="Calibri"/>
          <w:color w:val="000000"/>
        </w:rPr>
        <w:t>PNG’s first preference would be the 5 dose vial of the WHO pre-qualified stand-alone IPV (followed by 10 dose</w:t>
      </w:r>
      <w:r w:rsidR="006465B4">
        <w:rPr>
          <w:rFonts w:eastAsia="SimSun" w:cs="Calibri"/>
          <w:color w:val="000000"/>
        </w:rPr>
        <w:t>s</w:t>
      </w:r>
      <w:r w:rsidRPr="009F6E49">
        <w:rPr>
          <w:rFonts w:eastAsia="SimSun" w:cs="Calibri"/>
          <w:color w:val="000000"/>
        </w:rPr>
        <w:t xml:space="preserve">, then 1 dose). This would provide the optimal balance of waste reduction and storage capacity. </w:t>
      </w:r>
      <w:r w:rsidR="00042696" w:rsidRPr="009F6E49">
        <w:rPr>
          <w:rFonts w:eastAsia="SimSun" w:cs="Calibri"/>
          <w:color w:val="000000"/>
        </w:rPr>
        <w:t>When taking in to consideration PNG’s target population of 233,397 children</w:t>
      </w:r>
      <w:r w:rsidR="008B3F50" w:rsidRPr="009F6E49">
        <w:rPr>
          <w:rFonts w:eastAsia="SimSun" w:cs="Calibri"/>
          <w:color w:val="000000"/>
        </w:rPr>
        <w:t xml:space="preserve"> for 2015</w:t>
      </w:r>
      <w:r w:rsidR="00042696" w:rsidRPr="009F6E49">
        <w:rPr>
          <w:rFonts w:eastAsia="SimSun" w:cs="Calibri"/>
          <w:color w:val="000000"/>
        </w:rPr>
        <w:t>, with a target o</w:t>
      </w:r>
      <w:r w:rsidR="008B3F50" w:rsidRPr="009F6E49">
        <w:rPr>
          <w:rFonts w:eastAsia="SimSun" w:cs="Calibri"/>
          <w:color w:val="000000"/>
        </w:rPr>
        <w:t>f 8</w:t>
      </w:r>
      <w:r w:rsidR="00857F51" w:rsidRPr="009F6E49">
        <w:rPr>
          <w:rFonts w:eastAsia="SimSun" w:cs="Calibri"/>
          <w:color w:val="000000"/>
        </w:rPr>
        <w:t>0</w:t>
      </w:r>
      <w:r w:rsidR="00042696" w:rsidRPr="009F6E49">
        <w:rPr>
          <w:rFonts w:eastAsia="SimSun" w:cs="Calibri"/>
          <w:color w:val="000000"/>
        </w:rPr>
        <w:t>% coverage rate for IPV, estimated 30% wastage and a 25% buffer, this will require 3</w:t>
      </w:r>
      <w:r w:rsidR="008B3F50" w:rsidRPr="009F6E49">
        <w:rPr>
          <w:rFonts w:eastAsia="SimSun" w:cs="Calibri"/>
          <w:color w:val="000000"/>
        </w:rPr>
        <w:t>33,245</w:t>
      </w:r>
      <w:r w:rsidR="00857F51" w:rsidRPr="009F6E49">
        <w:rPr>
          <w:rFonts w:eastAsia="SimSun" w:cs="Calibri"/>
          <w:color w:val="000000"/>
        </w:rPr>
        <w:t xml:space="preserve"> </w:t>
      </w:r>
      <w:r w:rsidR="00042696" w:rsidRPr="009F6E49">
        <w:rPr>
          <w:rFonts w:eastAsia="SimSun" w:cs="Calibri"/>
          <w:color w:val="000000"/>
        </w:rPr>
        <w:t>doses of IPV</w:t>
      </w:r>
      <w:r w:rsidR="00A2082E" w:rsidRPr="009F6E49">
        <w:rPr>
          <w:rFonts w:eastAsia="SimSun" w:cs="Calibri"/>
          <w:color w:val="000000"/>
        </w:rPr>
        <w:t xml:space="preserve"> annually</w:t>
      </w:r>
      <w:r w:rsidR="00042696" w:rsidRPr="009F6E49">
        <w:rPr>
          <w:rFonts w:eastAsia="SimSun" w:cs="Calibri"/>
          <w:color w:val="000000"/>
        </w:rPr>
        <w:t xml:space="preserve">. </w:t>
      </w:r>
      <w:r w:rsidR="008B3F50" w:rsidRPr="009F6E49">
        <w:rPr>
          <w:rFonts w:eastAsia="SimSun" w:cs="Calibri"/>
          <w:color w:val="000000"/>
        </w:rPr>
        <w:t>With the 5 dose vials having a volume of 4.44cm</w:t>
      </w:r>
      <w:r w:rsidR="008B3F50" w:rsidRPr="009F6E49">
        <w:rPr>
          <w:rFonts w:eastAsia="SimSun" w:cs="Calibri"/>
          <w:color w:val="000000"/>
          <w:vertAlign w:val="superscript"/>
          <w:lang w:val="en-US"/>
        </w:rPr>
        <w:t xml:space="preserve">3 </w:t>
      </w:r>
      <w:r w:rsidR="0001499C">
        <w:rPr>
          <w:rFonts w:eastAsia="SimSun" w:cs="Calibri"/>
          <w:color w:val="000000"/>
        </w:rPr>
        <w:t>per dose in</w:t>
      </w:r>
      <w:r w:rsidR="00042696" w:rsidRPr="009F6E49">
        <w:rPr>
          <w:rFonts w:eastAsia="SimSun" w:cs="Calibri"/>
          <w:color w:val="000000"/>
        </w:rPr>
        <w:t xml:space="preserve"> total this will re</w:t>
      </w:r>
      <w:r w:rsidR="008B3F50" w:rsidRPr="009F6E49">
        <w:rPr>
          <w:rFonts w:eastAsia="SimSun" w:cs="Calibri"/>
          <w:color w:val="000000"/>
        </w:rPr>
        <w:t>quire an additional 1,480,405.97</w:t>
      </w:r>
      <w:r w:rsidR="00042696" w:rsidRPr="009F6E49">
        <w:rPr>
          <w:rFonts w:eastAsia="SimSun" w:cs="Calibri"/>
          <w:color w:val="000000"/>
        </w:rPr>
        <w:t xml:space="preserve"> cm3 of cold chain volume. It is estimated that PNG will be able to adequately meet this requirement. </w:t>
      </w:r>
    </w:p>
    <w:p w:rsidR="00857F51" w:rsidRPr="006465B4" w:rsidRDefault="006465B4" w:rsidP="006465B4">
      <w:pPr>
        <w:pStyle w:val="Heading1"/>
        <w:spacing w:before="120" w:after="120"/>
        <w:ind w:firstLine="720"/>
        <w:rPr>
          <w:rFonts w:asciiTheme="majorBidi" w:hAnsiTheme="majorBidi"/>
          <w:color w:val="002060"/>
          <w:sz w:val="28"/>
          <w:szCs w:val="28"/>
        </w:rPr>
      </w:pPr>
      <w:bookmarkStart w:id="4" w:name="_Toc263661680"/>
      <w:r w:rsidRPr="006465B4">
        <w:rPr>
          <w:rFonts w:asciiTheme="majorBidi" w:hAnsiTheme="majorBidi"/>
          <w:color w:val="002060"/>
          <w:sz w:val="28"/>
          <w:szCs w:val="28"/>
        </w:rPr>
        <w:t>2.2 Country</w:t>
      </w:r>
      <w:r w:rsidR="00857F51" w:rsidRPr="006465B4">
        <w:rPr>
          <w:rFonts w:asciiTheme="majorBidi" w:hAnsiTheme="majorBidi"/>
          <w:color w:val="002060"/>
          <w:sz w:val="28"/>
          <w:szCs w:val="28"/>
        </w:rPr>
        <w:t xml:space="preserve"> licensure status</w:t>
      </w:r>
      <w:bookmarkEnd w:id="4"/>
    </w:p>
    <w:p w:rsidR="006465B4" w:rsidRDefault="00857F51" w:rsidP="006465B4">
      <w:pPr>
        <w:spacing w:before="120" w:after="120"/>
        <w:jc w:val="both"/>
      </w:pPr>
      <w:r w:rsidRPr="009F6E49">
        <w:t xml:space="preserve">IPV is registered </w:t>
      </w:r>
      <w:r w:rsidR="006465B4">
        <w:t xml:space="preserve">for use in PNG which was approved by </w:t>
      </w:r>
      <w:r w:rsidRPr="009F6E49">
        <w:t>pharmaceu</w:t>
      </w:r>
      <w:r w:rsidR="00E32B06" w:rsidRPr="009F6E49">
        <w:t>tical regulatory unit (PNG’s national regulatory authority</w:t>
      </w:r>
      <w:r w:rsidR="009F6E49" w:rsidRPr="009F6E49">
        <w:t>)</w:t>
      </w:r>
      <w:r w:rsidR="00E32B06" w:rsidRPr="009F6E49">
        <w:t xml:space="preserve"> </w:t>
      </w:r>
      <w:r w:rsidR="006465B4">
        <w:t xml:space="preserve">and thus the product has been licensed to be used in the country. </w:t>
      </w:r>
      <w:bookmarkStart w:id="5" w:name="_Toc263661681"/>
    </w:p>
    <w:p w:rsidR="00857F51" w:rsidRPr="006465B4" w:rsidRDefault="006465B4" w:rsidP="006465B4">
      <w:pPr>
        <w:pStyle w:val="Heading1"/>
        <w:spacing w:before="120" w:after="120"/>
        <w:ind w:firstLine="720"/>
        <w:rPr>
          <w:rFonts w:asciiTheme="majorBidi" w:hAnsiTheme="majorBidi"/>
          <w:color w:val="002060"/>
          <w:sz w:val="28"/>
          <w:szCs w:val="28"/>
        </w:rPr>
      </w:pPr>
      <w:r w:rsidRPr="006465B4">
        <w:rPr>
          <w:rFonts w:asciiTheme="majorBidi" w:hAnsiTheme="majorBidi"/>
          <w:color w:val="002060"/>
          <w:sz w:val="28"/>
          <w:szCs w:val="28"/>
        </w:rPr>
        <w:t>2.3 Target</w:t>
      </w:r>
      <w:r w:rsidR="00857F51" w:rsidRPr="006465B4">
        <w:rPr>
          <w:rFonts w:asciiTheme="majorBidi" w:hAnsiTheme="majorBidi"/>
          <w:color w:val="002060"/>
          <w:sz w:val="28"/>
          <w:szCs w:val="28"/>
        </w:rPr>
        <w:t xml:space="preserve"> population and vaccine supply</w:t>
      </w:r>
      <w:bookmarkEnd w:id="5"/>
    </w:p>
    <w:tbl>
      <w:tblPr>
        <w:tblStyle w:val="TableGrid"/>
        <w:tblW w:w="0" w:type="auto"/>
        <w:tblInd w:w="120" w:type="dxa"/>
        <w:tblLook w:val="04A0" w:firstRow="1" w:lastRow="0" w:firstColumn="1" w:lastColumn="0" w:noHBand="0" w:noVBand="1"/>
      </w:tblPr>
      <w:tblGrid>
        <w:gridCol w:w="1657"/>
        <w:gridCol w:w="1590"/>
        <w:gridCol w:w="1369"/>
        <w:gridCol w:w="1260"/>
        <w:gridCol w:w="1260"/>
        <w:gridCol w:w="1260"/>
      </w:tblGrid>
      <w:tr w:rsidR="00857F51" w:rsidRPr="00C66C79" w:rsidTr="00C66C79">
        <w:tc>
          <w:tcPr>
            <w:tcW w:w="1657" w:type="dxa"/>
            <w:vMerge w:val="restart"/>
            <w:vAlign w:val="center"/>
          </w:tcPr>
          <w:p w:rsidR="00857F51" w:rsidRPr="00C66C79" w:rsidRDefault="00857F51" w:rsidP="006465B4">
            <w:pPr>
              <w:spacing w:before="120" w:after="120"/>
              <w:ind w:right="120"/>
              <w:jc w:val="center"/>
              <w:rPr>
                <w:rFonts w:asciiTheme="majorBidi" w:eastAsia="SimSun" w:hAnsiTheme="majorBidi" w:cstheme="majorBidi"/>
                <w:color w:val="000000"/>
                <w:sz w:val="24"/>
                <w:szCs w:val="24"/>
              </w:rPr>
            </w:pPr>
            <w:r w:rsidRPr="00C66C79">
              <w:rPr>
                <w:rFonts w:asciiTheme="majorBidi" w:eastAsia="SimSun" w:hAnsiTheme="majorBidi" w:cstheme="majorBidi"/>
                <w:color w:val="000000"/>
                <w:sz w:val="24"/>
                <w:szCs w:val="24"/>
              </w:rPr>
              <w:t>Number</w:t>
            </w:r>
          </w:p>
        </w:tc>
        <w:tc>
          <w:tcPr>
            <w:tcW w:w="6739" w:type="dxa"/>
            <w:gridSpan w:val="5"/>
          </w:tcPr>
          <w:p w:rsidR="00857F51" w:rsidRPr="00C66C79" w:rsidRDefault="00E32B06" w:rsidP="006465B4">
            <w:pPr>
              <w:spacing w:before="120" w:after="120"/>
              <w:ind w:right="120"/>
              <w:jc w:val="center"/>
              <w:rPr>
                <w:rFonts w:asciiTheme="majorBidi" w:eastAsia="SimSun" w:hAnsiTheme="majorBidi" w:cstheme="majorBidi"/>
                <w:color w:val="000000"/>
                <w:sz w:val="24"/>
                <w:szCs w:val="24"/>
              </w:rPr>
            </w:pPr>
            <w:r w:rsidRPr="00C66C79">
              <w:rPr>
                <w:rFonts w:asciiTheme="majorBidi" w:eastAsia="SimSun" w:hAnsiTheme="majorBidi" w:cstheme="majorBidi"/>
                <w:color w:val="000000"/>
                <w:sz w:val="24"/>
                <w:szCs w:val="24"/>
              </w:rPr>
              <w:t xml:space="preserve">Targets </w:t>
            </w:r>
          </w:p>
        </w:tc>
      </w:tr>
      <w:tr w:rsidR="00857F51" w:rsidRPr="00C66C79" w:rsidTr="00C66C79">
        <w:tc>
          <w:tcPr>
            <w:tcW w:w="1657" w:type="dxa"/>
            <w:vMerge/>
          </w:tcPr>
          <w:p w:rsidR="00857F51" w:rsidRPr="00C66C79" w:rsidRDefault="00857F51" w:rsidP="006465B4">
            <w:pPr>
              <w:spacing w:before="120" w:after="120"/>
              <w:ind w:right="120"/>
              <w:rPr>
                <w:rFonts w:asciiTheme="majorBidi" w:eastAsia="SimSun" w:hAnsiTheme="majorBidi" w:cstheme="majorBidi"/>
                <w:color w:val="000000"/>
                <w:sz w:val="24"/>
                <w:szCs w:val="24"/>
              </w:rPr>
            </w:pPr>
          </w:p>
        </w:tc>
        <w:tc>
          <w:tcPr>
            <w:tcW w:w="1590" w:type="dxa"/>
          </w:tcPr>
          <w:p w:rsidR="00857F51" w:rsidRPr="00C66C79" w:rsidRDefault="00857F51" w:rsidP="006465B4">
            <w:pPr>
              <w:spacing w:before="120" w:after="120"/>
              <w:ind w:right="120"/>
              <w:rPr>
                <w:rFonts w:asciiTheme="majorBidi" w:eastAsia="SimSun" w:hAnsiTheme="majorBidi" w:cstheme="majorBidi"/>
                <w:color w:val="000000"/>
                <w:sz w:val="24"/>
                <w:szCs w:val="24"/>
              </w:rPr>
            </w:pPr>
            <w:r w:rsidRPr="00C66C79">
              <w:rPr>
                <w:rFonts w:asciiTheme="majorBidi" w:eastAsia="SimSun" w:hAnsiTheme="majorBidi" w:cstheme="majorBidi"/>
                <w:color w:val="000000"/>
                <w:sz w:val="24"/>
                <w:szCs w:val="24"/>
              </w:rPr>
              <w:t>2015</w:t>
            </w:r>
            <w:r w:rsidR="00E32B06" w:rsidRPr="00C66C79">
              <w:rPr>
                <w:rFonts w:asciiTheme="majorBidi" w:eastAsia="SimSun" w:hAnsiTheme="majorBidi" w:cstheme="majorBidi"/>
                <w:color w:val="000000"/>
                <w:sz w:val="24"/>
                <w:szCs w:val="24"/>
              </w:rPr>
              <w:t xml:space="preserve"> (adjusted for November </w:t>
            </w:r>
            <w:r w:rsidR="00C66C79">
              <w:rPr>
                <w:rFonts w:asciiTheme="majorBidi" w:eastAsia="SimSun" w:hAnsiTheme="majorBidi" w:cstheme="majorBidi"/>
                <w:color w:val="000000"/>
                <w:sz w:val="24"/>
                <w:szCs w:val="24"/>
              </w:rPr>
              <w:t xml:space="preserve">as </w:t>
            </w:r>
            <w:r w:rsidRPr="00C66C79">
              <w:rPr>
                <w:rFonts w:asciiTheme="majorBidi" w:eastAsia="SimSun" w:hAnsiTheme="majorBidi" w:cstheme="majorBidi"/>
                <w:color w:val="000000"/>
                <w:sz w:val="24"/>
                <w:szCs w:val="24"/>
              </w:rPr>
              <w:t>introduction</w:t>
            </w:r>
            <w:r w:rsidR="00C66C79">
              <w:rPr>
                <w:rFonts w:asciiTheme="majorBidi" w:eastAsia="SimSun" w:hAnsiTheme="majorBidi" w:cstheme="majorBidi"/>
                <w:color w:val="000000"/>
                <w:sz w:val="24"/>
                <w:szCs w:val="24"/>
              </w:rPr>
              <w:t xml:space="preserve"> month</w:t>
            </w:r>
            <w:r w:rsidRPr="00C66C79">
              <w:rPr>
                <w:rFonts w:asciiTheme="majorBidi" w:eastAsia="SimSun" w:hAnsiTheme="majorBidi" w:cstheme="majorBidi"/>
                <w:color w:val="000000"/>
                <w:sz w:val="24"/>
                <w:szCs w:val="24"/>
              </w:rPr>
              <w:t>)</w:t>
            </w:r>
          </w:p>
        </w:tc>
        <w:tc>
          <w:tcPr>
            <w:tcW w:w="1369" w:type="dxa"/>
          </w:tcPr>
          <w:p w:rsidR="00857F51" w:rsidRPr="00C66C79" w:rsidRDefault="00857F51" w:rsidP="006465B4">
            <w:pPr>
              <w:spacing w:before="120" w:after="120"/>
              <w:ind w:right="120"/>
              <w:rPr>
                <w:rFonts w:asciiTheme="majorBidi" w:eastAsia="SimSun" w:hAnsiTheme="majorBidi" w:cstheme="majorBidi"/>
                <w:color w:val="000000"/>
                <w:sz w:val="24"/>
                <w:szCs w:val="24"/>
              </w:rPr>
            </w:pPr>
            <w:r w:rsidRPr="00C66C79">
              <w:rPr>
                <w:rFonts w:asciiTheme="majorBidi" w:eastAsia="SimSun" w:hAnsiTheme="majorBidi" w:cstheme="majorBidi"/>
                <w:color w:val="000000"/>
                <w:sz w:val="24"/>
                <w:szCs w:val="24"/>
              </w:rPr>
              <w:t>2016</w:t>
            </w:r>
          </w:p>
        </w:tc>
        <w:tc>
          <w:tcPr>
            <w:tcW w:w="1260" w:type="dxa"/>
          </w:tcPr>
          <w:p w:rsidR="00857F51" w:rsidRPr="00C66C79" w:rsidRDefault="00857F51" w:rsidP="006465B4">
            <w:pPr>
              <w:spacing w:before="120" w:after="120"/>
              <w:ind w:right="120"/>
              <w:rPr>
                <w:rFonts w:asciiTheme="majorBidi" w:eastAsia="SimSun" w:hAnsiTheme="majorBidi" w:cstheme="majorBidi"/>
                <w:color w:val="000000"/>
                <w:sz w:val="24"/>
                <w:szCs w:val="24"/>
              </w:rPr>
            </w:pPr>
            <w:r w:rsidRPr="00C66C79">
              <w:rPr>
                <w:rFonts w:asciiTheme="majorBidi" w:eastAsia="SimSun" w:hAnsiTheme="majorBidi" w:cstheme="majorBidi"/>
                <w:color w:val="000000"/>
                <w:sz w:val="24"/>
                <w:szCs w:val="24"/>
              </w:rPr>
              <w:t>2017</w:t>
            </w:r>
          </w:p>
        </w:tc>
        <w:tc>
          <w:tcPr>
            <w:tcW w:w="1260" w:type="dxa"/>
          </w:tcPr>
          <w:p w:rsidR="00857F51" w:rsidRPr="00C66C79" w:rsidRDefault="00857F51" w:rsidP="006465B4">
            <w:pPr>
              <w:spacing w:before="120" w:after="120"/>
              <w:ind w:right="120"/>
              <w:rPr>
                <w:rFonts w:asciiTheme="majorBidi" w:eastAsia="SimSun" w:hAnsiTheme="majorBidi" w:cstheme="majorBidi"/>
                <w:color w:val="000000"/>
                <w:sz w:val="24"/>
                <w:szCs w:val="24"/>
              </w:rPr>
            </w:pPr>
            <w:r w:rsidRPr="00C66C79">
              <w:rPr>
                <w:rFonts w:asciiTheme="majorBidi" w:eastAsia="SimSun" w:hAnsiTheme="majorBidi" w:cstheme="majorBidi"/>
                <w:color w:val="000000"/>
                <w:sz w:val="24"/>
                <w:szCs w:val="24"/>
              </w:rPr>
              <w:t>2018</w:t>
            </w:r>
          </w:p>
        </w:tc>
        <w:tc>
          <w:tcPr>
            <w:tcW w:w="1260" w:type="dxa"/>
          </w:tcPr>
          <w:p w:rsidR="00857F51" w:rsidRPr="00C66C79" w:rsidRDefault="00857F51" w:rsidP="006465B4">
            <w:pPr>
              <w:spacing w:before="120" w:after="120"/>
              <w:ind w:right="120"/>
              <w:rPr>
                <w:rFonts w:asciiTheme="majorBidi" w:eastAsia="SimSun" w:hAnsiTheme="majorBidi" w:cstheme="majorBidi"/>
                <w:color w:val="000000"/>
                <w:sz w:val="24"/>
                <w:szCs w:val="24"/>
              </w:rPr>
            </w:pPr>
            <w:r w:rsidRPr="00C66C79">
              <w:rPr>
                <w:rFonts w:asciiTheme="majorBidi" w:eastAsia="SimSun" w:hAnsiTheme="majorBidi" w:cstheme="majorBidi"/>
                <w:color w:val="000000"/>
                <w:sz w:val="24"/>
                <w:szCs w:val="24"/>
              </w:rPr>
              <w:t>2019</w:t>
            </w:r>
          </w:p>
        </w:tc>
      </w:tr>
      <w:tr w:rsidR="00C66C79" w:rsidRPr="00C66C79" w:rsidTr="00C66C79">
        <w:tc>
          <w:tcPr>
            <w:tcW w:w="1657" w:type="dxa"/>
          </w:tcPr>
          <w:p w:rsidR="00C66C79" w:rsidRPr="00C66C79" w:rsidRDefault="00C66C79" w:rsidP="006465B4">
            <w:pPr>
              <w:spacing w:before="120" w:after="120"/>
              <w:ind w:right="120"/>
              <w:rPr>
                <w:rFonts w:asciiTheme="majorBidi" w:eastAsia="SimSun" w:hAnsiTheme="majorBidi" w:cstheme="majorBidi"/>
                <w:color w:val="000000"/>
                <w:sz w:val="24"/>
                <w:szCs w:val="24"/>
              </w:rPr>
            </w:pPr>
            <w:r w:rsidRPr="00C66C79">
              <w:rPr>
                <w:rFonts w:asciiTheme="majorBidi" w:eastAsia="SimSun" w:hAnsiTheme="majorBidi" w:cstheme="majorBidi"/>
                <w:color w:val="000000"/>
                <w:sz w:val="24"/>
                <w:szCs w:val="24"/>
              </w:rPr>
              <w:t>Total Infant Population</w:t>
            </w:r>
          </w:p>
        </w:tc>
        <w:tc>
          <w:tcPr>
            <w:tcW w:w="1590" w:type="dxa"/>
          </w:tcPr>
          <w:p w:rsidR="00C66C79" w:rsidRPr="00C66C79" w:rsidRDefault="00C66C79" w:rsidP="006465B4">
            <w:pPr>
              <w:spacing w:before="120" w:after="120"/>
              <w:ind w:right="12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233,397</w:t>
            </w:r>
          </w:p>
        </w:tc>
        <w:tc>
          <w:tcPr>
            <w:tcW w:w="1369" w:type="dxa"/>
          </w:tcPr>
          <w:p w:rsidR="00C66C79" w:rsidRPr="00C66C79" w:rsidRDefault="00C66C79" w:rsidP="00C66C79">
            <w:pPr>
              <w:spacing w:before="120" w:after="120"/>
              <w:ind w:right="120"/>
              <w:rPr>
                <w:rFonts w:asciiTheme="majorBidi" w:eastAsia="SimSun" w:hAnsiTheme="majorBidi" w:cstheme="majorBidi"/>
                <w:color w:val="000000"/>
                <w:sz w:val="24"/>
                <w:szCs w:val="24"/>
              </w:rPr>
            </w:pPr>
            <w:r w:rsidRPr="00C66C79">
              <w:rPr>
                <w:rFonts w:asciiTheme="majorBidi" w:eastAsia="SimSun" w:hAnsiTheme="majorBidi" w:cstheme="majorBidi"/>
                <w:color w:val="000000"/>
                <w:sz w:val="24"/>
                <w:szCs w:val="24"/>
              </w:rPr>
              <w:t>238,765</w:t>
            </w:r>
          </w:p>
        </w:tc>
        <w:tc>
          <w:tcPr>
            <w:tcW w:w="1260" w:type="dxa"/>
          </w:tcPr>
          <w:p w:rsidR="00C66C79" w:rsidRPr="00C66C79" w:rsidRDefault="00C66C79" w:rsidP="00C66C79">
            <w:pPr>
              <w:spacing w:before="120" w:after="120"/>
              <w:ind w:right="120"/>
              <w:rPr>
                <w:rFonts w:asciiTheme="majorBidi" w:eastAsia="SimSun" w:hAnsiTheme="majorBidi" w:cstheme="majorBidi"/>
                <w:color w:val="000000"/>
                <w:sz w:val="24"/>
                <w:szCs w:val="24"/>
              </w:rPr>
            </w:pPr>
            <w:r w:rsidRPr="00C66C79">
              <w:rPr>
                <w:rFonts w:asciiTheme="majorBidi" w:eastAsia="SimSun" w:hAnsiTheme="majorBidi" w:cstheme="majorBidi"/>
                <w:color w:val="000000"/>
                <w:sz w:val="24"/>
                <w:szCs w:val="24"/>
              </w:rPr>
              <w:t>244,257</w:t>
            </w:r>
          </w:p>
        </w:tc>
        <w:tc>
          <w:tcPr>
            <w:tcW w:w="1260" w:type="dxa"/>
          </w:tcPr>
          <w:p w:rsidR="00C66C79" w:rsidRPr="00C66C79" w:rsidRDefault="00C66C79" w:rsidP="00C66C79">
            <w:pPr>
              <w:spacing w:before="120" w:after="120"/>
              <w:ind w:right="120"/>
              <w:rPr>
                <w:rFonts w:asciiTheme="majorBidi" w:eastAsia="SimSun" w:hAnsiTheme="majorBidi" w:cstheme="majorBidi"/>
                <w:color w:val="000000"/>
                <w:sz w:val="24"/>
                <w:szCs w:val="24"/>
              </w:rPr>
            </w:pPr>
            <w:r w:rsidRPr="00C66C79">
              <w:rPr>
                <w:rFonts w:asciiTheme="majorBidi" w:eastAsia="SimSun" w:hAnsiTheme="majorBidi" w:cstheme="majorBidi"/>
                <w:color w:val="000000"/>
                <w:sz w:val="24"/>
                <w:szCs w:val="24"/>
              </w:rPr>
              <w:t>249,875</w:t>
            </w:r>
          </w:p>
        </w:tc>
        <w:tc>
          <w:tcPr>
            <w:tcW w:w="1260" w:type="dxa"/>
          </w:tcPr>
          <w:p w:rsidR="00C66C79" w:rsidRPr="00C66C79" w:rsidRDefault="00C66C79" w:rsidP="00C66C79">
            <w:pPr>
              <w:spacing w:before="120" w:after="120"/>
              <w:ind w:right="120"/>
              <w:rPr>
                <w:rFonts w:asciiTheme="majorBidi" w:eastAsia="SimSun" w:hAnsiTheme="majorBidi" w:cstheme="majorBidi"/>
                <w:color w:val="000000"/>
                <w:sz w:val="24"/>
                <w:szCs w:val="24"/>
              </w:rPr>
            </w:pPr>
            <w:r w:rsidRPr="00C66C79">
              <w:rPr>
                <w:rFonts w:asciiTheme="majorBidi" w:eastAsia="SimSun" w:hAnsiTheme="majorBidi" w:cstheme="majorBidi"/>
                <w:color w:val="000000"/>
                <w:sz w:val="24"/>
                <w:szCs w:val="24"/>
              </w:rPr>
              <w:t>255,622</w:t>
            </w:r>
          </w:p>
        </w:tc>
      </w:tr>
      <w:tr w:rsidR="00C66C79" w:rsidRPr="00C66C79" w:rsidTr="00C66C79">
        <w:tc>
          <w:tcPr>
            <w:tcW w:w="1657" w:type="dxa"/>
          </w:tcPr>
          <w:p w:rsidR="00C66C79" w:rsidRPr="00C66C79" w:rsidRDefault="00C66C79" w:rsidP="006465B4">
            <w:pPr>
              <w:spacing w:before="120" w:after="120"/>
              <w:ind w:right="120"/>
              <w:rPr>
                <w:rFonts w:asciiTheme="majorBidi" w:eastAsia="SimSun" w:hAnsiTheme="majorBidi" w:cstheme="majorBidi"/>
                <w:color w:val="000000"/>
                <w:sz w:val="24"/>
                <w:szCs w:val="24"/>
              </w:rPr>
            </w:pPr>
            <w:r w:rsidRPr="00C66C79">
              <w:rPr>
                <w:rFonts w:asciiTheme="majorBidi" w:eastAsia="SimSun" w:hAnsiTheme="majorBidi" w:cstheme="majorBidi"/>
                <w:color w:val="000000"/>
                <w:sz w:val="24"/>
                <w:szCs w:val="24"/>
              </w:rPr>
              <w:t>OPV3 Coverage (%)</w:t>
            </w:r>
          </w:p>
        </w:tc>
        <w:tc>
          <w:tcPr>
            <w:tcW w:w="1590" w:type="dxa"/>
          </w:tcPr>
          <w:p w:rsidR="00C66C79" w:rsidRPr="00C66C79" w:rsidRDefault="00C66C79" w:rsidP="006465B4">
            <w:pPr>
              <w:spacing w:before="120" w:after="120"/>
              <w:ind w:right="12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8</w:t>
            </w:r>
            <w:r w:rsidRPr="00C66C79">
              <w:rPr>
                <w:rFonts w:asciiTheme="majorBidi" w:eastAsia="SimSun" w:hAnsiTheme="majorBidi" w:cstheme="majorBidi"/>
                <w:color w:val="000000"/>
                <w:sz w:val="24"/>
                <w:szCs w:val="24"/>
              </w:rPr>
              <w:t>0%</w:t>
            </w:r>
          </w:p>
        </w:tc>
        <w:tc>
          <w:tcPr>
            <w:tcW w:w="1369" w:type="dxa"/>
          </w:tcPr>
          <w:p w:rsidR="00C66C79" w:rsidRPr="00C66C79" w:rsidRDefault="00C66C79" w:rsidP="006465B4">
            <w:pPr>
              <w:spacing w:before="120" w:after="120"/>
              <w:ind w:right="12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8</w:t>
            </w:r>
            <w:r w:rsidRPr="00C66C79">
              <w:rPr>
                <w:rFonts w:asciiTheme="majorBidi" w:eastAsia="SimSun" w:hAnsiTheme="majorBidi" w:cstheme="majorBidi"/>
                <w:color w:val="000000"/>
                <w:sz w:val="24"/>
                <w:szCs w:val="24"/>
              </w:rPr>
              <w:t>0%</w:t>
            </w:r>
          </w:p>
        </w:tc>
        <w:tc>
          <w:tcPr>
            <w:tcW w:w="1260" w:type="dxa"/>
          </w:tcPr>
          <w:p w:rsidR="00C66C79" w:rsidRPr="00C66C79" w:rsidRDefault="00C66C79" w:rsidP="006014F7">
            <w:pPr>
              <w:spacing w:before="120" w:after="120"/>
              <w:ind w:right="12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8</w:t>
            </w:r>
            <w:r w:rsidRPr="00C66C79">
              <w:rPr>
                <w:rFonts w:asciiTheme="majorBidi" w:eastAsia="SimSun" w:hAnsiTheme="majorBidi" w:cstheme="majorBidi"/>
                <w:color w:val="000000"/>
                <w:sz w:val="24"/>
                <w:szCs w:val="24"/>
              </w:rPr>
              <w:t>0%</w:t>
            </w:r>
          </w:p>
        </w:tc>
        <w:tc>
          <w:tcPr>
            <w:tcW w:w="1260" w:type="dxa"/>
          </w:tcPr>
          <w:p w:rsidR="00C66C79" w:rsidRPr="00C66C79" w:rsidRDefault="00C66C79" w:rsidP="006014F7">
            <w:pPr>
              <w:spacing w:before="120" w:after="120"/>
              <w:ind w:right="12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8</w:t>
            </w:r>
            <w:r w:rsidRPr="00C66C79">
              <w:rPr>
                <w:rFonts w:asciiTheme="majorBidi" w:eastAsia="SimSun" w:hAnsiTheme="majorBidi" w:cstheme="majorBidi"/>
                <w:color w:val="000000"/>
                <w:sz w:val="24"/>
                <w:szCs w:val="24"/>
              </w:rPr>
              <w:t>0%</w:t>
            </w:r>
          </w:p>
        </w:tc>
        <w:tc>
          <w:tcPr>
            <w:tcW w:w="1260" w:type="dxa"/>
          </w:tcPr>
          <w:p w:rsidR="00C66C79" w:rsidRPr="00C66C79" w:rsidRDefault="00C66C79" w:rsidP="006014F7">
            <w:pPr>
              <w:spacing w:before="120" w:after="120"/>
              <w:ind w:right="12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8</w:t>
            </w:r>
            <w:r w:rsidRPr="00C66C79">
              <w:rPr>
                <w:rFonts w:asciiTheme="majorBidi" w:eastAsia="SimSun" w:hAnsiTheme="majorBidi" w:cstheme="majorBidi"/>
                <w:color w:val="000000"/>
                <w:sz w:val="24"/>
                <w:szCs w:val="24"/>
              </w:rPr>
              <w:t>0%</w:t>
            </w:r>
          </w:p>
        </w:tc>
      </w:tr>
      <w:tr w:rsidR="00C66C79" w:rsidRPr="00C66C79" w:rsidTr="00C66C79">
        <w:tc>
          <w:tcPr>
            <w:tcW w:w="1657" w:type="dxa"/>
          </w:tcPr>
          <w:p w:rsidR="00C66C79" w:rsidRPr="00C66C79" w:rsidRDefault="00C66C79" w:rsidP="005603B2">
            <w:pPr>
              <w:spacing w:before="120" w:after="120"/>
              <w:ind w:right="120"/>
              <w:rPr>
                <w:rFonts w:asciiTheme="majorBidi" w:eastAsia="SimSun" w:hAnsiTheme="majorBidi" w:cstheme="majorBidi"/>
                <w:color w:val="000000"/>
                <w:sz w:val="24"/>
                <w:szCs w:val="24"/>
              </w:rPr>
            </w:pPr>
            <w:r w:rsidRPr="00C66C79">
              <w:rPr>
                <w:rFonts w:asciiTheme="majorBidi" w:eastAsia="SimSun" w:hAnsiTheme="majorBidi" w:cstheme="majorBidi"/>
                <w:color w:val="000000"/>
                <w:sz w:val="24"/>
                <w:szCs w:val="24"/>
              </w:rPr>
              <w:t xml:space="preserve">IPV target </w:t>
            </w:r>
            <w:r w:rsidR="005603B2">
              <w:rPr>
                <w:rFonts w:asciiTheme="majorBidi" w:eastAsia="SimSun" w:hAnsiTheme="majorBidi" w:cstheme="majorBidi"/>
                <w:color w:val="000000"/>
                <w:sz w:val="24"/>
                <w:szCs w:val="24"/>
              </w:rPr>
              <w:t>(%)</w:t>
            </w:r>
          </w:p>
        </w:tc>
        <w:tc>
          <w:tcPr>
            <w:tcW w:w="1590" w:type="dxa"/>
          </w:tcPr>
          <w:p w:rsidR="00C66C79" w:rsidRPr="00C66C79" w:rsidRDefault="00C66C79" w:rsidP="006465B4">
            <w:pPr>
              <w:spacing w:before="120" w:after="120"/>
              <w:ind w:right="120"/>
              <w:rPr>
                <w:rFonts w:asciiTheme="majorBidi" w:eastAsia="SimSun" w:hAnsiTheme="majorBidi" w:cstheme="majorBidi"/>
                <w:color w:val="000000"/>
                <w:sz w:val="24"/>
                <w:szCs w:val="24"/>
              </w:rPr>
            </w:pPr>
            <w:r w:rsidRPr="00C66C79">
              <w:rPr>
                <w:rFonts w:asciiTheme="majorBidi" w:eastAsia="SimSun" w:hAnsiTheme="majorBidi" w:cstheme="majorBidi"/>
                <w:color w:val="000000"/>
                <w:sz w:val="24"/>
                <w:szCs w:val="24"/>
              </w:rPr>
              <w:t>80%</w:t>
            </w:r>
          </w:p>
        </w:tc>
        <w:tc>
          <w:tcPr>
            <w:tcW w:w="1369" w:type="dxa"/>
          </w:tcPr>
          <w:p w:rsidR="00C66C79" w:rsidRPr="00C66C79" w:rsidRDefault="00C66C79" w:rsidP="006465B4">
            <w:pPr>
              <w:spacing w:before="120" w:after="120"/>
              <w:ind w:right="120"/>
              <w:rPr>
                <w:rFonts w:asciiTheme="majorBidi" w:eastAsia="SimSun" w:hAnsiTheme="majorBidi" w:cstheme="majorBidi"/>
                <w:color w:val="000000"/>
                <w:sz w:val="24"/>
                <w:szCs w:val="24"/>
              </w:rPr>
            </w:pPr>
            <w:r w:rsidRPr="00C66C79">
              <w:rPr>
                <w:rFonts w:asciiTheme="majorBidi" w:eastAsia="SimSun" w:hAnsiTheme="majorBidi" w:cstheme="majorBidi"/>
                <w:color w:val="000000"/>
                <w:sz w:val="24"/>
                <w:szCs w:val="24"/>
              </w:rPr>
              <w:t>80%</w:t>
            </w:r>
          </w:p>
        </w:tc>
        <w:tc>
          <w:tcPr>
            <w:tcW w:w="1260" w:type="dxa"/>
          </w:tcPr>
          <w:p w:rsidR="00C66C79" w:rsidRPr="00C66C79" w:rsidRDefault="00C66C79" w:rsidP="006014F7">
            <w:pPr>
              <w:spacing w:before="120" w:after="120"/>
              <w:ind w:right="12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8</w:t>
            </w:r>
            <w:r w:rsidRPr="00C66C79">
              <w:rPr>
                <w:rFonts w:asciiTheme="majorBidi" w:eastAsia="SimSun" w:hAnsiTheme="majorBidi" w:cstheme="majorBidi"/>
                <w:color w:val="000000"/>
                <w:sz w:val="24"/>
                <w:szCs w:val="24"/>
              </w:rPr>
              <w:t>0%</w:t>
            </w:r>
          </w:p>
        </w:tc>
        <w:tc>
          <w:tcPr>
            <w:tcW w:w="1260" w:type="dxa"/>
          </w:tcPr>
          <w:p w:rsidR="00C66C79" w:rsidRPr="00C66C79" w:rsidRDefault="00C66C79" w:rsidP="006014F7">
            <w:pPr>
              <w:spacing w:before="120" w:after="120"/>
              <w:ind w:right="12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8</w:t>
            </w:r>
            <w:r w:rsidRPr="00C66C79">
              <w:rPr>
                <w:rFonts w:asciiTheme="majorBidi" w:eastAsia="SimSun" w:hAnsiTheme="majorBidi" w:cstheme="majorBidi"/>
                <w:color w:val="000000"/>
                <w:sz w:val="24"/>
                <w:szCs w:val="24"/>
              </w:rPr>
              <w:t>0%</w:t>
            </w:r>
          </w:p>
        </w:tc>
        <w:tc>
          <w:tcPr>
            <w:tcW w:w="1260" w:type="dxa"/>
          </w:tcPr>
          <w:p w:rsidR="00C66C79" w:rsidRPr="00C66C79" w:rsidRDefault="00C66C79" w:rsidP="006014F7">
            <w:pPr>
              <w:spacing w:before="120" w:after="120"/>
              <w:ind w:right="12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8</w:t>
            </w:r>
            <w:r w:rsidRPr="00C66C79">
              <w:rPr>
                <w:rFonts w:asciiTheme="majorBidi" w:eastAsia="SimSun" w:hAnsiTheme="majorBidi" w:cstheme="majorBidi"/>
                <w:color w:val="000000"/>
                <w:sz w:val="24"/>
                <w:szCs w:val="24"/>
              </w:rPr>
              <w:t>0%</w:t>
            </w:r>
          </w:p>
        </w:tc>
      </w:tr>
      <w:tr w:rsidR="00C66C79" w:rsidRPr="00C66C79" w:rsidTr="00C66C79">
        <w:tc>
          <w:tcPr>
            <w:tcW w:w="1657" w:type="dxa"/>
          </w:tcPr>
          <w:p w:rsidR="00C66C79" w:rsidRPr="00C66C79" w:rsidRDefault="00C66C79" w:rsidP="006465B4">
            <w:pPr>
              <w:spacing w:before="120" w:after="120"/>
              <w:ind w:right="120"/>
              <w:rPr>
                <w:rFonts w:asciiTheme="majorBidi" w:eastAsia="SimSun" w:hAnsiTheme="majorBidi" w:cstheme="majorBidi"/>
                <w:color w:val="000000"/>
                <w:sz w:val="24"/>
                <w:szCs w:val="24"/>
              </w:rPr>
            </w:pPr>
            <w:r w:rsidRPr="00C66C79">
              <w:rPr>
                <w:rFonts w:asciiTheme="majorBidi" w:eastAsia="SimSun" w:hAnsiTheme="majorBidi" w:cstheme="majorBidi"/>
                <w:color w:val="000000"/>
                <w:sz w:val="24"/>
                <w:szCs w:val="24"/>
              </w:rPr>
              <w:t>Number of infants to be vaccinated with IPV</w:t>
            </w:r>
          </w:p>
        </w:tc>
        <w:tc>
          <w:tcPr>
            <w:tcW w:w="1590" w:type="dxa"/>
          </w:tcPr>
          <w:p w:rsidR="00C66C79" w:rsidRPr="00C66C79" w:rsidRDefault="00C66C79" w:rsidP="006465B4">
            <w:pPr>
              <w:spacing w:before="120" w:after="120"/>
              <w:ind w:right="120"/>
              <w:rPr>
                <w:rFonts w:asciiTheme="majorBidi" w:eastAsia="SimSun" w:hAnsiTheme="majorBidi" w:cstheme="majorBidi"/>
                <w:color w:val="000000"/>
                <w:sz w:val="24"/>
                <w:szCs w:val="24"/>
              </w:rPr>
            </w:pPr>
            <w:r>
              <w:rPr>
                <w:rFonts w:asciiTheme="majorBidi" w:eastAsia="SimSun" w:hAnsiTheme="majorBidi" w:cstheme="majorBidi"/>
                <w:color w:val="000000"/>
                <w:sz w:val="24"/>
                <w:szCs w:val="24"/>
              </w:rPr>
              <w:t>38,900</w:t>
            </w:r>
          </w:p>
        </w:tc>
        <w:tc>
          <w:tcPr>
            <w:tcW w:w="1369" w:type="dxa"/>
          </w:tcPr>
          <w:p w:rsidR="00C66C79" w:rsidRPr="00C66C79" w:rsidRDefault="00C66C79" w:rsidP="00C66C79">
            <w:pPr>
              <w:spacing w:before="120" w:after="120"/>
              <w:ind w:right="120"/>
              <w:rPr>
                <w:rFonts w:asciiTheme="majorBidi" w:eastAsia="SimSun" w:hAnsiTheme="majorBidi" w:cstheme="majorBidi"/>
                <w:color w:val="000000"/>
                <w:sz w:val="24"/>
                <w:szCs w:val="24"/>
              </w:rPr>
            </w:pPr>
            <w:r w:rsidRPr="00C66C79">
              <w:rPr>
                <w:rFonts w:asciiTheme="majorBidi" w:eastAsia="SimSun" w:hAnsiTheme="majorBidi" w:cstheme="majorBidi"/>
                <w:color w:val="000000"/>
                <w:sz w:val="24"/>
                <w:szCs w:val="24"/>
              </w:rPr>
              <w:t>191012</w:t>
            </w:r>
          </w:p>
        </w:tc>
        <w:tc>
          <w:tcPr>
            <w:tcW w:w="1260" w:type="dxa"/>
          </w:tcPr>
          <w:p w:rsidR="00C66C79" w:rsidRPr="00C66C79" w:rsidRDefault="00C66C79" w:rsidP="00C66C79">
            <w:pPr>
              <w:spacing w:before="120" w:after="120"/>
              <w:ind w:right="120"/>
              <w:rPr>
                <w:rFonts w:asciiTheme="majorBidi" w:eastAsia="SimSun" w:hAnsiTheme="majorBidi" w:cstheme="majorBidi"/>
                <w:color w:val="000000"/>
                <w:sz w:val="24"/>
                <w:szCs w:val="24"/>
              </w:rPr>
            </w:pPr>
            <w:r w:rsidRPr="00C66C79">
              <w:rPr>
                <w:rFonts w:asciiTheme="majorBidi" w:eastAsia="SimSun" w:hAnsiTheme="majorBidi" w:cstheme="majorBidi"/>
                <w:color w:val="000000"/>
                <w:sz w:val="24"/>
                <w:szCs w:val="24"/>
              </w:rPr>
              <w:t>195406</w:t>
            </w:r>
          </w:p>
        </w:tc>
        <w:tc>
          <w:tcPr>
            <w:tcW w:w="1260" w:type="dxa"/>
          </w:tcPr>
          <w:p w:rsidR="00C66C79" w:rsidRPr="00C66C79" w:rsidRDefault="00C66C79" w:rsidP="00C66C79">
            <w:pPr>
              <w:spacing w:before="120" w:after="120"/>
              <w:ind w:right="120"/>
              <w:rPr>
                <w:rFonts w:asciiTheme="majorBidi" w:eastAsia="SimSun" w:hAnsiTheme="majorBidi" w:cstheme="majorBidi"/>
                <w:color w:val="000000"/>
                <w:sz w:val="24"/>
                <w:szCs w:val="24"/>
              </w:rPr>
            </w:pPr>
            <w:r w:rsidRPr="00C66C79">
              <w:rPr>
                <w:rFonts w:asciiTheme="majorBidi" w:eastAsia="SimSun" w:hAnsiTheme="majorBidi" w:cstheme="majorBidi"/>
                <w:color w:val="000000"/>
                <w:sz w:val="24"/>
                <w:szCs w:val="24"/>
              </w:rPr>
              <w:t>199900</w:t>
            </w:r>
          </w:p>
        </w:tc>
        <w:tc>
          <w:tcPr>
            <w:tcW w:w="1260" w:type="dxa"/>
          </w:tcPr>
          <w:p w:rsidR="00C66C79" w:rsidRPr="00C66C79" w:rsidRDefault="00C66C79" w:rsidP="00C66C79">
            <w:pPr>
              <w:spacing w:before="120" w:after="120"/>
              <w:ind w:right="120"/>
              <w:rPr>
                <w:rFonts w:asciiTheme="majorBidi" w:eastAsia="SimSun" w:hAnsiTheme="majorBidi" w:cstheme="majorBidi"/>
                <w:color w:val="000000"/>
                <w:sz w:val="24"/>
                <w:szCs w:val="24"/>
              </w:rPr>
            </w:pPr>
            <w:r w:rsidRPr="00C66C79">
              <w:rPr>
                <w:rFonts w:asciiTheme="majorBidi" w:eastAsia="SimSun" w:hAnsiTheme="majorBidi" w:cstheme="majorBidi"/>
                <w:color w:val="000000"/>
                <w:sz w:val="24"/>
                <w:szCs w:val="24"/>
              </w:rPr>
              <w:t>204498</w:t>
            </w:r>
          </w:p>
        </w:tc>
      </w:tr>
      <w:tr w:rsidR="00C66C79" w:rsidRPr="00C66C79" w:rsidTr="00C66C79">
        <w:tc>
          <w:tcPr>
            <w:tcW w:w="1657" w:type="dxa"/>
          </w:tcPr>
          <w:p w:rsidR="00C66C79" w:rsidRPr="00C66C79" w:rsidRDefault="00C66C79" w:rsidP="006465B4">
            <w:pPr>
              <w:spacing w:before="120" w:after="120"/>
              <w:ind w:right="120"/>
              <w:rPr>
                <w:rFonts w:asciiTheme="majorBidi" w:eastAsia="SimSun" w:hAnsiTheme="majorBidi" w:cstheme="majorBidi"/>
                <w:color w:val="000000"/>
                <w:sz w:val="24"/>
                <w:szCs w:val="24"/>
              </w:rPr>
            </w:pPr>
            <w:r w:rsidRPr="00C66C79">
              <w:rPr>
                <w:rFonts w:asciiTheme="majorBidi" w:eastAsia="SimSun" w:hAnsiTheme="majorBidi" w:cstheme="majorBidi"/>
                <w:color w:val="000000"/>
                <w:sz w:val="24"/>
                <w:szCs w:val="24"/>
              </w:rPr>
              <w:t>Doses required including 30% wastage rates and 25% buffer</w:t>
            </w:r>
          </w:p>
        </w:tc>
        <w:tc>
          <w:tcPr>
            <w:tcW w:w="1590" w:type="dxa"/>
          </w:tcPr>
          <w:p w:rsidR="00C66C79" w:rsidRPr="00C66C79" w:rsidRDefault="00C66C79" w:rsidP="00C66C79">
            <w:pPr>
              <w:spacing w:before="120" w:after="120"/>
              <w:ind w:right="120"/>
              <w:rPr>
                <w:rFonts w:asciiTheme="majorBidi" w:eastAsia="SimSun" w:hAnsiTheme="majorBidi" w:cstheme="majorBidi"/>
                <w:color w:val="000000"/>
                <w:sz w:val="24"/>
                <w:szCs w:val="24"/>
              </w:rPr>
            </w:pPr>
            <w:r w:rsidRPr="00C66C79">
              <w:rPr>
                <w:rFonts w:asciiTheme="majorBidi" w:eastAsia="SimSun" w:hAnsiTheme="majorBidi" w:cstheme="majorBidi"/>
                <w:color w:val="000000"/>
                <w:sz w:val="24"/>
                <w:szCs w:val="24"/>
              </w:rPr>
              <w:t xml:space="preserve"> 55,571 </w:t>
            </w:r>
          </w:p>
        </w:tc>
        <w:tc>
          <w:tcPr>
            <w:tcW w:w="1369" w:type="dxa"/>
          </w:tcPr>
          <w:p w:rsidR="00C66C79" w:rsidRPr="00C66C79" w:rsidRDefault="00C66C79" w:rsidP="00C66C79">
            <w:pPr>
              <w:spacing w:before="120" w:after="120"/>
              <w:ind w:right="120"/>
              <w:rPr>
                <w:rFonts w:asciiTheme="majorBidi" w:eastAsia="SimSun" w:hAnsiTheme="majorBidi" w:cstheme="majorBidi"/>
                <w:color w:val="000000"/>
                <w:sz w:val="24"/>
                <w:szCs w:val="24"/>
              </w:rPr>
            </w:pPr>
            <w:r w:rsidRPr="00C66C79">
              <w:rPr>
                <w:rFonts w:asciiTheme="majorBidi" w:eastAsia="SimSun" w:hAnsiTheme="majorBidi" w:cstheme="majorBidi"/>
                <w:color w:val="000000"/>
                <w:sz w:val="24"/>
                <w:szCs w:val="24"/>
              </w:rPr>
              <w:t xml:space="preserve"> 341,094 </w:t>
            </w:r>
          </w:p>
        </w:tc>
        <w:tc>
          <w:tcPr>
            <w:tcW w:w="1260" w:type="dxa"/>
          </w:tcPr>
          <w:p w:rsidR="00C66C79" w:rsidRPr="00C66C79" w:rsidRDefault="00C66C79" w:rsidP="00C66C79">
            <w:pPr>
              <w:spacing w:before="120" w:after="120"/>
              <w:ind w:right="120"/>
              <w:rPr>
                <w:rFonts w:asciiTheme="majorBidi" w:eastAsia="SimSun" w:hAnsiTheme="majorBidi" w:cstheme="majorBidi"/>
                <w:color w:val="000000"/>
                <w:sz w:val="24"/>
                <w:szCs w:val="24"/>
              </w:rPr>
            </w:pPr>
            <w:r w:rsidRPr="00C66C79">
              <w:rPr>
                <w:rFonts w:asciiTheme="majorBidi" w:eastAsia="SimSun" w:hAnsiTheme="majorBidi" w:cstheme="majorBidi"/>
                <w:color w:val="000000"/>
                <w:sz w:val="24"/>
                <w:szCs w:val="24"/>
              </w:rPr>
              <w:t xml:space="preserve"> 348,939 </w:t>
            </w:r>
          </w:p>
        </w:tc>
        <w:tc>
          <w:tcPr>
            <w:tcW w:w="1260" w:type="dxa"/>
          </w:tcPr>
          <w:p w:rsidR="00C66C79" w:rsidRPr="00C66C79" w:rsidRDefault="00C66C79" w:rsidP="00C66C79">
            <w:pPr>
              <w:spacing w:before="120" w:after="120"/>
              <w:ind w:right="120"/>
              <w:rPr>
                <w:rFonts w:asciiTheme="majorBidi" w:eastAsia="SimSun" w:hAnsiTheme="majorBidi" w:cstheme="majorBidi"/>
                <w:color w:val="000000"/>
                <w:sz w:val="24"/>
                <w:szCs w:val="24"/>
              </w:rPr>
            </w:pPr>
            <w:r w:rsidRPr="00C66C79">
              <w:rPr>
                <w:rFonts w:asciiTheme="majorBidi" w:eastAsia="SimSun" w:hAnsiTheme="majorBidi" w:cstheme="majorBidi"/>
                <w:color w:val="000000"/>
                <w:sz w:val="24"/>
                <w:szCs w:val="24"/>
              </w:rPr>
              <w:t xml:space="preserve"> 356,964 </w:t>
            </w:r>
          </w:p>
        </w:tc>
        <w:tc>
          <w:tcPr>
            <w:tcW w:w="1260" w:type="dxa"/>
          </w:tcPr>
          <w:p w:rsidR="00C66C79" w:rsidRPr="00C66C79" w:rsidRDefault="00C66C79" w:rsidP="00C66C79">
            <w:pPr>
              <w:spacing w:before="120" w:after="120"/>
              <w:ind w:right="120"/>
              <w:rPr>
                <w:rFonts w:asciiTheme="majorBidi" w:eastAsia="SimSun" w:hAnsiTheme="majorBidi" w:cstheme="majorBidi"/>
                <w:color w:val="000000"/>
                <w:sz w:val="24"/>
                <w:szCs w:val="24"/>
              </w:rPr>
            </w:pPr>
            <w:r w:rsidRPr="00C66C79">
              <w:rPr>
                <w:rFonts w:asciiTheme="majorBidi" w:eastAsia="SimSun" w:hAnsiTheme="majorBidi" w:cstheme="majorBidi"/>
                <w:color w:val="000000"/>
                <w:sz w:val="24"/>
                <w:szCs w:val="24"/>
              </w:rPr>
              <w:t xml:space="preserve"> 365,174 </w:t>
            </w:r>
          </w:p>
        </w:tc>
      </w:tr>
    </w:tbl>
    <w:p w:rsidR="00E32B06" w:rsidRPr="00C66C79" w:rsidRDefault="00E32B06" w:rsidP="00C66C79">
      <w:pPr>
        <w:pStyle w:val="Heading1"/>
        <w:numPr>
          <w:ilvl w:val="0"/>
          <w:numId w:val="8"/>
        </w:numPr>
        <w:spacing w:before="120" w:after="120"/>
        <w:rPr>
          <w:rFonts w:asciiTheme="majorBidi" w:hAnsiTheme="majorBidi"/>
          <w:color w:val="002060"/>
          <w:sz w:val="28"/>
          <w:szCs w:val="28"/>
        </w:rPr>
      </w:pPr>
      <w:bookmarkStart w:id="6" w:name="_Toc263661682"/>
      <w:r w:rsidRPr="00C66C79">
        <w:rPr>
          <w:rFonts w:asciiTheme="majorBidi" w:hAnsiTheme="majorBidi"/>
          <w:color w:val="002060"/>
          <w:sz w:val="28"/>
          <w:szCs w:val="28"/>
        </w:rPr>
        <w:lastRenderedPageBreak/>
        <w:t>Introduction and implementation considerations</w:t>
      </w:r>
      <w:bookmarkEnd w:id="6"/>
      <w:r w:rsidRPr="00C66C79">
        <w:rPr>
          <w:rFonts w:asciiTheme="majorBidi" w:hAnsiTheme="majorBidi"/>
          <w:color w:val="002060"/>
          <w:sz w:val="28"/>
          <w:szCs w:val="28"/>
        </w:rPr>
        <w:t xml:space="preserve"> </w:t>
      </w:r>
    </w:p>
    <w:p w:rsidR="00E32B06" w:rsidRPr="006014F7" w:rsidRDefault="004E0CFD" w:rsidP="006014F7">
      <w:pPr>
        <w:pStyle w:val="Heading1"/>
        <w:spacing w:before="120" w:after="120"/>
        <w:ind w:firstLine="720"/>
        <w:rPr>
          <w:rFonts w:asciiTheme="majorBidi" w:hAnsiTheme="majorBidi"/>
          <w:color w:val="002060"/>
          <w:sz w:val="28"/>
          <w:szCs w:val="28"/>
        </w:rPr>
      </w:pPr>
      <w:bookmarkStart w:id="7" w:name="_Toc263661683"/>
      <w:r w:rsidRPr="006014F7">
        <w:rPr>
          <w:rFonts w:asciiTheme="majorBidi" w:hAnsiTheme="majorBidi"/>
          <w:color w:val="002060"/>
          <w:sz w:val="28"/>
          <w:szCs w:val="28"/>
        </w:rPr>
        <w:t>3.1 Policy</w:t>
      </w:r>
      <w:r w:rsidR="00E32B06" w:rsidRPr="006014F7">
        <w:rPr>
          <w:rFonts w:asciiTheme="majorBidi" w:hAnsiTheme="majorBidi"/>
          <w:color w:val="002060"/>
          <w:sz w:val="28"/>
          <w:szCs w:val="28"/>
        </w:rPr>
        <w:t xml:space="preserve"> development</w:t>
      </w:r>
      <w:bookmarkEnd w:id="7"/>
    </w:p>
    <w:p w:rsidR="00E32B06" w:rsidRPr="009F6E49" w:rsidRDefault="00E32B06" w:rsidP="006465B4">
      <w:pPr>
        <w:spacing w:before="120" w:after="120"/>
        <w:ind w:right="115"/>
        <w:jc w:val="both"/>
      </w:pPr>
      <w:r w:rsidRPr="009F6E49">
        <w:t>PNG’s Child Health Policy and Plan indicates that the maintenance of PNG’s polio-free status is a key aim, as well as the introduction of new vaccines against major killer</w:t>
      </w:r>
      <w:r w:rsidR="006014F7">
        <w:t xml:space="preserve"> disease</w:t>
      </w:r>
      <w:r w:rsidRPr="009F6E49">
        <w:t>s of children. This plan is aligned with the National Health Plan 2011-2020</w:t>
      </w:r>
      <w:r w:rsidR="007521BB" w:rsidRPr="009F6E49">
        <w:t>, which forms the basis of all health planning in the country</w:t>
      </w:r>
      <w:r w:rsidRPr="009F6E49">
        <w:t>.</w:t>
      </w:r>
    </w:p>
    <w:p w:rsidR="00E32B06" w:rsidRPr="009F6E49" w:rsidRDefault="00E32B06" w:rsidP="006465B4">
      <w:pPr>
        <w:widowControl w:val="0"/>
        <w:autoSpaceDE w:val="0"/>
        <w:autoSpaceDN w:val="0"/>
        <w:adjustRightInd w:val="0"/>
        <w:spacing w:before="120" w:after="120"/>
        <w:jc w:val="both"/>
      </w:pPr>
      <w:r w:rsidRPr="009F6E49">
        <w:t xml:space="preserve">PNG’s cMYP 2011-2015 </w:t>
      </w:r>
      <w:r w:rsidR="00140DEF" w:rsidRPr="009F6E49">
        <w:t xml:space="preserve">is aligned with </w:t>
      </w:r>
      <w:r w:rsidR="007521BB" w:rsidRPr="009F6E49">
        <w:t xml:space="preserve">Child Health Policy and Plan and </w:t>
      </w:r>
      <w:r w:rsidRPr="009F6E49">
        <w:t>has specific reference to the maintenance of polio-free status and commits to the introduction of new va</w:t>
      </w:r>
      <w:r w:rsidR="00140DEF" w:rsidRPr="009F6E49">
        <w:t>c</w:t>
      </w:r>
      <w:r w:rsidRPr="009F6E49">
        <w:t xml:space="preserve">cines based on available evidences in the country. The introduction of IPV and the eventual switch from </w:t>
      </w:r>
      <w:r w:rsidR="007111EB">
        <w:t>tOPV</w:t>
      </w:r>
      <w:r w:rsidRPr="009F6E49">
        <w:t xml:space="preserve"> to bOPV are not outlined in the </w:t>
      </w:r>
      <w:r w:rsidR="007521BB" w:rsidRPr="009F6E49">
        <w:t xml:space="preserve">current </w:t>
      </w:r>
      <w:r w:rsidRPr="009F6E49">
        <w:t>plan, however will be included as it is updated for the 2016-2020 version.</w:t>
      </w:r>
      <w:r w:rsidR="00140DEF" w:rsidRPr="009F6E49">
        <w:t xml:space="preserve"> The consultative process for this update will begin shortly</w:t>
      </w:r>
      <w:r w:rsidR="006014F7">
        <w:t xml:space="preserve"> (Q3/</w:t>
      </w:r>
      <w:r w:rsidR="009F6E49">
        <w:t>4</w:t>
      </w:r>
      <w:r w:rsidR="00FC5758" w:rsidRPr="009F6E49">
        <w:t xml:space="preserve"> 2014)</w:t>
      </w:r>
      <w:r w:rsidR="00140DEF" w:rsidRPr="009F6E49">
        <w:t>.</w:t>
      </w:r>
    </w:p>
    <w:p w:rsidR="00E32B06" w:rsidRPr="009F6E49" w:rsidRDefault="00E32B06" w:rsidP="006465B4">
      <w:pPr>
        <w:widowControl w:val="0"/>
        <w:autoSpaceDE w:val="0"/>
        <w:autoSpaceDN w:val="0"/>
        <w:adjustRightInd w:val="0"/>
        <w:spacing w:before="120" w:after="120"/>
        <w:jc w:val="both"/>
      </w:pPr>
      <w:r w:rsidRPr="009F6E49">
        <w:t xml:space="preserve">The decision to deliver IPV at the third contact </w:t>
      </w:r>
      <w:r w:rsidR="00A62D90" w:rsidRPr="009F6E49">
        <w:t>at the same time as</w:t>
      </w:r>
      <w:r w:rsidRPr="009F6E49">
        <w:t xml:space="preserve"> the third doses of OPV and DTP-HepB-Hib means that the immunisati</w:t>
      </w:r>
      <w:r w:rsidR="007521BB" w:rsidRPr="009F6E49">
        <w:t>on schedule will not need to be altered</w:t>
      </w:r>
      <w:r w:rsidR="00A62D90" w:rsidRPr="009F6E49">
        <w:t>, other than adding an extra injection at the third contact</w:t>
      </w:r>
      <w:r w:rsidR="007521BB" w:rsidRPr="009F6E49">
        <w:t>. As such, the introduction of IPV is not expected to have a negative effect on the overall EPI.</w:t>
      </w:r>
    </w:p>
    <w:tbl>
      <w:tblPr>
        <w:tblStyle w:val="TableGrid"/>
        <w:tblW w:w="0" w:type="auto"/>
        <w:tblLook w:val="04A0" w:firstRow="1" w:lastRow="0" w:firstColumn="1" w:lastColumn="0" w:noHBand="0" w:noVBand="1"/>
      </w:tblPr>
      <w:tblGrid>
        <w:gridCol w:w="1529"/>
        <w:gridCol w:w="1487"/>
        <w:gridCol w:w="1523"/>
        <w:gridCol w:w="1523"/>
        <w:gridCol w:w="1227"/>
        <w:gridCol w:w="1227"/>
      </w:tblGrid>
      <w:tr w:rsidR="004E0CFD" w:rsidTr="00197C1D">
        <w:tc>
          <w:tcPr>
            <w:tcW w:w="1529" w:type="dxa"/>
            <w:vAlign w:val="center"/>
          </w:tcPr>
          <w:p w:rsidR="004E0CFD" w:rsidRPr="006014F7" w:rsidRDefault="004E0CFD" w:rsidP="006465B4">
            <w:pPr>
              <w:widowControl w:val="0"/>
              <w:autoSpaceDE w:val="0"/>
              <w:autoSpaceDN w:val="0"/>
              <w:adjustRightInd w:val="0"/>
              <w:spacing w:before="120" w:after="120"/>
              <w:jc w:val="center"/>
              <w:rPr>
                <w:rFonts w:asciiTheme="majorBidi" w:hAnsiTheme="majorBidi" w:cstheme="majorBidi"/>
              </w:rPr>
            </w:pPr>
          </w:p>
        </w:tc>
        <w:tc>
          <w:tcPr>
            <w:tcW w:w="6987" w:type="dxa"/>
            <w:gridSpan w:val="5"/>
          </w:tcPr>
          <w:p w:rsidR="004E0CFD" w:rsidRPr="006014F7" w:rsidRDefault="004E0CFD" w:rsidP="006465B4">
            <w:pPr>
              <w:widowControl w:val="0"/>
              <w:autoSpaceDE w:val="0"/>
              <w:autoSpaceDN w:val="0"/>
              <w:adjustRightInd w:val="0"/>
              <w:spacing w:before="120" w:after="120"/>
              <w:rPr>
                <w:rFonts w:asciiTheme="majorBidi" w:hAnsiTheme="majorBidi" w:cstheme="majorBidi"/>
                <w:b/>
              </w:rPr>
            </w:pPr>
            <w:r w:rsidRPr="006014F7">
              <w:rPr>
                <w:rFonts w:asciiTheme="majorBidi" w:hAnsiTheme="majorBidi" w:cstheme="majorBidi"/>
                <w:b/>
              </w:rPr>
              <w:t>Immunization given at:</w:t>
            </w:r>
          </w:p>
        </w:tc>
      </w:tr>
      <w:tr w:rsidR="002911C0" w:rsidTr="002911C0">
        <w:tc>
          <w:tcPr>
            <w:tcW w:w="1529" w:type="dxa"/>
          </w:tcPr>
          <w:p w:rsidR="002911C0" w:rsidRPr="006014F7" w:rsidRDefault="002911C0" w:rsidP="006465B4">
            <w:pPr>
              <w:widowControl w:val="0"/>
              <w:autoSpaceDE w:val="0"/>
              <w:autoSpaceDN w:val="0"/>
              <w:adjustRightInd w:val="0"/>
              <w:spacing w:before="120" w:after="120"/>
              <w:rPr>
                <w:rFonts w:asciiTheme="majorBidi" w:hAnsiTheme="majorBidi" w:cstheme="majorBidi"/>
                <w:b/>
              </w:rPr>
            </w:pPr>
            <w:r w:rsidRPr="006014F7">
              <w:rPr>
                <w:rFonts w:asciiTheme="majorBidi" w:hAnsiTheme="majorBidi" w:cstheme="majorBidi"/>
                <w:b/>
              </w:rPr>
              <w:t>Vaccine</w:t>
            </w:r>
          </w:p>
        </w:tc>
        <w:tc>
          <w:tcPr>
            <w:tcW w:w="1487" w:type="dxa"/>
          </w:tcPr>
          <w:p w:rsidR="002911C0" w:rsidRPr="006014F7" w:rsidRDefault="002911C0" w:rsidP="006465B4">
            <w:pPr>
              <w:widowControl w:val="0"/>
              <w:autoSpaceDE w:val="0"/>
              <w:autoSpaceDN w:val="0"/>
              <w:adjustRightInd w:val="0"/>
              <w:spacing w:before="120" w:after="120"/>
              <w:jc w:val="center"/>
              <w:rPr>
                <w:rFonts w:asciiTheme="majorBidi" w:hAnsiTheme="majorBidi" w:cstheme="majorBidi"/>
              </w:rPr>
            </w:pPr>
            <w:r w:rsidRPr="006014F7">
              <w:rPr>
                <w:rFonts w:asciiTheme="majorBidi" w:hAnsiTheme="majorBidi" w:cstheme="majorBidi"/>
              </w:rPr>
              <w:t>1 Month</w:t>
            </w:r>
          </w:p>
        </w:tc>
        <w:tc>
          <w:tcPr>
            <w:tcW w:w="1523" w:type="dxa"/>
          </w:tcPr>
          <w:p w:rsidR="002911C0" w:rsidRPr="006014F7" w:rsidRDefault="002911C0" w:rsidP="006465B4">
            <w:pPr>
              <w:widowControl w:val="0"/>
              <w:autoSpaceDE w:val="0"/>
              <w:autoSpaceDN w:val="0"/>
              <w:adjustRightInd w:val="0"/>
              <w:spacing w:before="120" w:after="120"/>
              <w:jc w:val="center"/>
              <w:rPr>
                <w:rFonts w:asciiTheme="majorBidi" w:hAnsiTheme="majorBidi" w:cstheme="majorBidi"/>
              </w:rPr>
            </w:pPr>
            <w:r w:rsidRPr="006014F7">
              <w:rPr>
                <w:rFonts w:asciiTheme="majorBidi" w:hAnsiTheme="majorBidi" w:cstheme="majorBidi"/>
              </w:rPr>
              <w:t>2 Months</w:t>
            </w:r>
          </w:p>
        </w:tc>
        <w:tc>
          <w:tcPr>
            <w:tcW w:w="1523" w:type="dxa"/>
          </w:tcPr>
          <w:p w:rsidR="002911C0" w:rsidRPr="006014F7" w:rsidRDefault="002911C0" w:rsidP="006465B4">
            <w:pPr>
              <w:widowControl w:val="0"/>
              <w:autoSpaceDE w:val="0"/>
              <w:autoSpaceDN w:val="0"/>
              <w:adjustRightInd w:val="0"/>
              <w:spacing w:before="120" w:after="120"/>
              <w:jc w:val="center"/>
              <w:rPr>
                <w:rFonts w:asciiTheme="majorBidi" w:hAnsiTheme="majorBidi" w:cstheme="majorBidi"/>
              </w:rPr>
            </w:pPr>
            <w:r w:rsidRPr="006014F7">
              <w:rPr>
                <w:rFonts w:asciiTheme="majorBidi" w:hAnsiTheme="majorBidi" w:cstheme="majorBidi"/>
              </w:rPr>
              <w:t>3 Months</w:t>
            </w:r>
          </w:p>
        </w:tc>
        <w:tc>
          <w:tcPr>
            <w:tcW w:w="1227" w:type="dxa"/>
          </w:tcPr>
          <w:p w:rsidR="002911C0" w:rsidRPr="006014F7" w:rsidRDefault="002911C0" w:rsidP="006465B4">
            <w:pPr>
              <w:widowControl w:val="0"/>
              <w:autoSpaceDE w:val="0"/>
              <w:autoSpaceDN w:val="0"/>
              <w:adjustRightInd w:val="0"/>
              <w:spacing w:before="120" w:after="120"/>
              <w:jc w:val="center"/>
              <w:rPr>
                <w:rFonts w:asciiTheme="majorBidi" w:hAnsiTheme="majorBidi" w:cstheme="majorBidi"/>
              </w:rPr>
            </w:pPr>
            <w:r w:rsidRPr="006014F7">
              <w:rPr>
                <w:rFonts w:asciiTheme="majorBidi" w:hAnsiTheme="majorBidi" w:cstheme="majorBidi"/>
              </w:rPr>
              <w:t>9 Months</w:t>
            </w:r>
          </w:p>
        </w:tc>
        <w:tc>
          <w:tcPr>
            <w:tcW w:w="1227" w:type="dxa"/>
          </w:tcPr>
          <w:p w:rsidR="002911C0" w:rsidRPr="006014F7" w:rsidRDefault="002911C0" w:rsidP="006465B4">
            <w:pPr>
              <w:widowControl w:val="0"/>
              <w:autoSpaceDE w:val="0"/>
              <w:autoSpaceDN w:val="0"/>
              <w:adjustRightInd w:val="0"/>
              <w:spacing w:before="120" w:after="120"/>
              <w:jc w:val="center"/>
              <w:rPr>
                <w:rFonts w:asciiTheme="majorBidi" w:hAnsiTheme="majorBidi" w:cstheme="majorBidi"/>
              </w:rPr>
            </w:pPr>
            <w:r w:rsidRPr="006014F7">
              <w:rPr>
                <w:rFonts w:asciiTheme="majorBidi" w:hAnsiTheme="majorBidi" w:cstheme="majorBidi"/>
              </w:rPr>
              <w:t>18 Months</w:t>
            </w:r>
          </w:p>
        </w:tc>
      </w:tr>
      <w:tr w:rsidR="002911C0" w:rsidTr="002911C0">
        <w:trPr>
          <w:trHeight w:val="431"/>
        </w:trPr>
        <w:tc>
          <w:tcPr>
            <w:tcW w:w="1529" w:type="dxa"/>
          </w:tcPr>
          <w:p w:rsidR="002911C0" w:rsidRPr="006014F7" w:rsidRDefault="002911C0" w:rsidP="006465B4">
            <w:pPr>
              <w:widowControl w:val="0"/>
              <w:autoSpaceDE w:val="0"/>
              <w:autoSpaceDN w:val="0"/>
              <w:adjustRightInd w:val="0"/>
              <w:spacing w:before="120" w:after="120"/>
              <w:rPr>
                <w:rFonts w:asciiTheme="majorBidi" w:hAnsiTheme="majorBidi" w:cstheme="majorBidi"/>
                <w:sz w:val="24"/>
                <w:szCs w:val="24"/>
              </w:rPr>
            </w:pPr>
            <w:r w:rsidRPr="006014F7">
              <w:rPr>
                <w:rFonts w:asciiTheme="majorBidi" w:hAnsiTheme="majorBidi" w:cstheme="majorBidi"/>
                <w:sz w:val="24"/>
                <w:szCs w:val="24"/>
              </w:rPr>
              <w:t>DTP-HepB-Hib</w:t>
            </w:r>
          </w:p>
        </w:tc>
        <w:tc>
          <w:tcPr>
            <w:tcW w:w="1487" w:type="dxa"/>
          </w:tcPr>
          <w:p w:rsidR="002911C0" w:rsidRDefault="002911C0" w:rsidP="006465B4">
            <w:pPr>
              <w:widowControl w:val="0"/>
              <w:autoSpaceDE w:val="0"/>
              <w:autoSpaceDN w:val="0"/>
              <w:adjustRightInd w:val="0"/>
              <w:spacing w:before="120" w:after="120"/>
              <w:jc w:val="center"/>
              <w:rPr>
                <w:rFonts w:ascii="Calibri" w:hAnsi="Calibri"/>
              </w:rPr>
            </w:pPr>
            <w:r w:rsidRPr="00F01738">
              <w:rPr>
                <w:rFonts w:ascii="Wingdings" w:hAnsi="Wingdings"/>
                <w:color w:val="000000"/>
                <w:sz w:val="32"/>
              </w:rPr>
              <w:t></w:t>
            </w:r>
          </w:p>
        </w:tc>
        <w:tc>
          <w:tcPr>
            <w:tcW w:w="1523" w:type="dxa"/>
          </w:tcPr>
          <w:p w:rsidR="002911C0" w:rsidRDefault="002911C0" w:rsidP="006465B4">
            <w:pPr>
              <w:widowControl w:val="0"/>
              <w:autoSpaceDE w:val="0"/>
              <w:autoSpaceDN w:val="0"/>
              <w:adjustRightInd w:val="0"/>
              <w:spacing w:before="120" w:after="120"/>
              <w:jc w:val="center"/>
              <w:rPr>
                <w:rFonts w:ascii="Calibri" w:hAnsi="Calibri"/>
              </w:rPr>
            </w:pPr>
            <w:r w:rsidRPr="00F01738">
              <w:rPr>
                <w:rFonts w:ascii="Wingdings" w:hAnsi="Wingdings"/>
                <w:color w:val="000000"/>
                <w:sz w:val="32"/>
              </w:rPr>
              <w:t></w:t>
            </w:r>
          </w:p>
        </w:tc>
        <w:tc>
          <w:tcPr>
            <w:tcW w:w="1523" w:type="dxa"/>
          </w:tcPr>
          <w:p w:rsidR="002911C0" w:rsidRDefault="002911C0" w:rsidP="006465B4">
            <w:pPr>
              <w:widowControl w:val="0"/>
              <w:autoSpaceDE w:val="0"/>
              <w:autoSpaceDN w:val="0"/>
              <w:adjustRightInd w:val="0"/>
              <w:spacing w:before="120" w:after="120"/>
              <w:jc w:val="center"/>
              <w:rPr>
                <w:rFonts w:ascii="Calibri" w:hAnsi="Calibri"/>
              </w:rPr>
            </w:pPr>
            <w:r w:rsidRPr="00F01738">
              <w:rPr>
                <w:rFonts w:ascii="Wingdings" w:hAnsi="Wingdings"/>
                <w:color w:val="000000"/>
                <w:sz w:val="32"/>
              </w:rPr>
              <w:t></w:t>
            </w:r>
          </w:p>
        </w:tc>
        <w:tc>
          <w:tcPr>
            <w:tcW w:w="1227" w:type="dxa"/>
          </w:tcPr>
          <w:p w:rsidR="002911C0" w:rsidRPr="00F01738" w:rsidRDefault="002911C0" w:rsidP="006465B4">
            <w:pPr>
              <w:widowControl w:val="0"/>
              <w:autoSpaceDE w:val="0"/>
              <w:autoSpaceDN w:val="0"/>
              <w:adjustRightInd w:val="0"/>
              <w:spacing w:before="120" w:after="120"/>
              <w:jc w:val="center"/>
              <w:rPr>
                <w:rFonts w:ascii="Wingdings" w:hAnsi="Wingdings"/>
                <w:color w:val="000000"/>
                <w:sz w:val="32"/>
              </w:rPr>
            </w:pPr>
          </w:p>
        </w:tc>
        <w:tc>
          <w:tcPr>
            <w:tcW w:w="1227" w:type="dxa"/>
          </w:tcPr>
          <w:p w:rsidR="002911C0" w:rsidRPr="00F01738" w:rsidRDefault="002911C0" w:rsidP="006465B4">
            <w:pPr>
              <w:widowControl w:val="0"/>
              <w:autoSpaceDE w:val="0"/>
              <w:autoSpaceDN w:val="0"/>
              <w:adjustRightInd w:val="0"/>
              <w:spacing w:before="120" w:after="120"/>
              <w:jc w:val="center"/>
              <w:rPr>
                <w:rFonts w:ascii="Wingdings" w:hAnsi="Wingdings"/>
                <w:color w:val="000000"/>
                <w:sz w:val="32"/>
              </w:rPr>
            </w:pPr>
          </w:p>
        </w:tc>
      </w:tr>
      <w:tr w:rsidR="002911C0" w:rsidTr="002911C0">
        <w:tc>
          <w:tcPr>
            <w:tcW w:w="1529" w:type="dxa"/>
          </w:tcPr>
          <w:p w:rsidR="002911C0" w:rsidRPr="006014F7" w:rsidRDefault="002911C0" w:rsidP="006465B4">
            <w:pPr>
              <w:widowControl w:val="0"/>
              <w:autoSpaceDE w:val="0"/>
              <w:autoSpaceDN w:val="0"/>
              <w:adjustRightInd w:val="0"/>
              <w:spacing w:before="120" w:after="120"/>
              <w:rPr>
                <w:rFonts w:asciiTheme="majorBidi" w:hAnsiTheme="majorBidi" w:cstheme="majorBidi"/>
                <w:sz w:val="24"/>
                <w:szCs w:val="24"/>
              </w:rPr>
            </w:pPr>
            <w:r w:rsidRPr="006014F7">
              <w:rPr>
                <w:rFonts w:asciiTheme="majorBidi" w:hAnsiTheme="majorBidi" w:cstheme="majorBidi"/>
                <w:sz w:val="24"/>
                <w:szCs w:val="24"/>
              </w:rPr>
              <w:t>OPV</w:t>
            </w:r>
          </w:p>
        </w:tc>
        <w:tc>
          <w:tcPr>
            <w:tcW w:w="1487" w:type="dxa"/>
          </w:tcPr>
          <w:p w:rsidR="002911C0" w:rsidRDefault="002911C0" w:rsidP="006465B4">
            <w:pPr>
              <w:widowControl w:val="0"/>
              <w:autoSpaceDE w:val="0"/>
              <w:autoSpaceDN w:val="0"/>
              <w:adjustRightInd w:val="0"/>
              <w:spacing w:before="120" w:after="120"/>
              <w:jc w:val="center"/>
              <w:rPr>
                <w:rFonts w:ascii="Calibri" w:hAnsi="Calibri"/>
              </w:rPr>
            </w:pPr>
            <w:r w:rsidRPr="00F01738">
              <w:rPr>
                <w:rFonts w:ascii="Wingdings" w:hAnsi="Wingdings"/>
                <w:color w:val="000000"/>
                <w:sz w:val="32"/>
              </w:rPr>
              <w:t></w:t>
            </w:r>
          </w:p>
        </w:tc>
        <w:tc>
          <w:tcPr>
            <w:tcW w:w="1523" w:type="dxa"/>
          </w:tcPr>
          <w:p w:rsidR="002911C0" w:rsidRDefault="002911C0" w:rsidP="006465B4">
            <w:pPr>
              <w:widowControl w:val="0"/>
              <w:autoSpaceDE w:val="0"/>
              <w:autoSpaceDN w:val="0"/>
              <w:adjustRightInd w:val="0"/>
              <w:spacing w:before="120" w:after="120"/>
              <w:jc w:val="center"/>
              <w:rPr>
                <w:rFonts w:ascii="Calibri" w:hAnsi="Calibri"/>
              </w:rPr>
            </w:pPr>
            <w:r w:rsidRPr="00F01738">
              <w:rPr>
                <w:rFonts w:ascii="Wingdings" w:hAnsi="Wingdings"/>
                <w:color w:val="000000"/>
                <w:sz w:val="32"/>
              </w:rPr>
              <w:t></w:t>
            </w:r>
          </w:p>
        </w:tc>
        <w:tc>
          <w:tcPr>
            <w:tcW w:w="1523" w:type="dxa"/>
          </w:tcPr>
          <w:p w:rsidR="002911C0" w:rsidRDefault="002911C0" w:rsidP="006465B4">
            <w:pPr>
              <w:widowControl w:val="0"/>
              <w:autoSpaceDE w:val="0"/>
              <w:autoSpaceDN w:val="0"/>
              <w:adjustRightInd w:val="0"/>
              <w:spacing w:before="120" w:after="120"/>
              <w:jc w:val="center"/>
              <w:rPr>
                <w:rFonts w:ascii="Calibri" w:hAnsi="Calibri"/>
              </w:rPr>
            </w:pPr>
            <w:r w:rsidRPr="00F01738">
              <w:rPr>
                <w:rFonts w:ascii="Wingdings" w:hAnsi="Wingdings"/>
                <w:color w:val="000000"/>
                <w:sz w:val="32"/>
              </w:rPr>
              <w:t></w:t>
            </w:r>
          </w:p>
        </w:tc>
        <w:tc>
          <w:tcPr>
            <w:tcW w:w="1227" w:type="dxa"/>
          </w:tcPr>
          <w:p w:rsidR="002911C0" w:rsidRPr="00F01738" w:rsidRDefault="002911C0" w:rsidP="006465B4">
            <w:pPr>
              <w:widowControl w:val="0"/>
              <w:autoSpaceDE w:val="0"/>
              <w:autoSpaceDN w:val="0"/>
              <w:adjustRightInd w:val="0"/>
              <w:spacing w:before="120" w:after="120"/>
              <w:jc w:val="center"/>
              <w:rPr>
                <w:rFonts w:ascii="Wingdings" w:hAnsi="Wingdings"/>
                <w:color w:val="000000"/>
                <w:sz w:val="32"/>
              </w:rPr>
            </w:pPr>
          </w:p>
        </w:tc>
        <w:tc>
          <w:tcPr>
            <w:tcW w:w="1227" w:type="dxa"/>
          </w:tcPr>
          <w:p w:rsidR="002911C0" w:rsidRPr="00F01738" w:rsidRDefault="002911C0" w:rsidP="006465B4">
            <w:pPr>
              <w:widowControl w:val="0"/>
              <w:autoSpaceDE w:val="0"/>
              <w:autoSpaceDN w:val="0"/>
              <w:adjustRightInd w:val="0"/>
              <w:spacing w:before="120" w:after="120"/>
              <w:jc w:val="center"/>
              <w:rPr>
                <w:rFonts w:ascii="Wingdings" w:hAnsi="Wingdings"/>
                <w:color w:val="000000"/>
                <w:sz w:val="32"/>
              </w:rPr>
            </w:pPr>
          </w:p>
        </w:tc>
      </w:tr>
      <w:tr w:rsidR="002911C0" w:rsidTr="002911C0">
        <w:tc>
          <w:tcPr>
            <w:tcW w:w="1529" w:type="dxa"/>
          </w:tcPr>
          <w:p w:rsidR="002911C0" w:rsidRPr="006014F7" w:rsidRDefault="002911C0" w:rsidP="006465B4">
            <w:pPr>
              <w:widowControl w:val="0"/>
              <w:autoSpaceDE w:val="0"/>
              <w:autoSpaceDN w:val="0"/>
              <w:adjustRightInd w:val="0"/>
              <w:spacing w:before="120" w:after="120"/>
              <w:rPr>
                <w:rFonts w:asciiTheme="majorBidi" w:hAnsiTheme="majorBidi" w:cstheme="majorBidi"/>
                <w:sz w:val="24"/>
                <w:szCs w:val="24"/>
              </w:rPr>
            </w:pPr>
            <w:r w:rsidRPr="006014F7">
              <w:rPr>
                <w:rFonts w:asciiTheme="majorBidi" w:hAnsiTheme="majorBidi" w:cstheme="majorBidi"/>
                <w:sz w:val="24"/>
                <w:szCs w:val="24"/>
              </w:rPr>
              <w:t>IPV</w:t>
            </w:r>
          </w:p>
        </w:tc>
        <w:tc>
          <w:tcPr>
            <w:tcW w:w="1487" w:type="dxa"/>
            <w:vAlign w:val="center"/>
          </w:tcPr>
          <w:p w:rsidR="002911C0" w:rsidRPr="00F01738" w:rsidRDefault="002911C0" w:rsidP="006465B4">
            <w:pPr>
              <w:widowControl w:val="0"/>
              <w:tabs>
                <w:tab w:val="left" w:pos="507"/>
              </w:tabs>
              <w:autoSpaceDE w:val="0"/>
              <w:autoSpaceDN w:val="0"/>
              <w:adjustRightInd w:val="0"/>
              <w:spacing w:before="120" w:after="120"/>
              <w:jc w:val="center"/>
              <w:rPr>
                <w:rFonts w:ascii="Calibri" w:hAnsi="Calibri"/>
                <w:sz w:val="22"/>
              </w:rPr>
            </w:pPr>
          </w:p>
        </w:tc>
        <w:tc>
          <w:tcPr>
            <w:tcW w:w="1523" w:type="dxa"/>
          </w:tcPr>
          <w:p w:rsidR="002911C0" w:rsidRDefault="002911C0" w:rsidP="006465B4">
            <w:pPr>
              <w:widowControl w:val="0"/>
              <w:autoSpaceDE w:val="0"/>
              <w:autoSpaceDN w:val="0"/>
              <w:adjustRightInd w:val="0"/>
              <w:spacing w:before="120" w:after="120"/>
              <w:rPr>
                <w:rFonts w:ascii="Calibri" w:hAnsi="Calibri"/>
              </w:rPr>
            </w:pPr>
          </w:p>
        </w:tc>
        <w:tc>
          <w:tcPr>
            <w:tcW w:w="1523" w:type="dxa"/>
          </w:tcPr>
          <w:p w:rsidR="002911C0" w:rsidRDefault="002911C0" w:rsidP="006465B4">
            <w:pPr>
              <w:widowControl w:val="0"/>
              <w:autoSpaceDE w:val="0"/>
              <w:autoSpaceDN w:val="0"/>
              <w:adjustRightInd w:val="0"/>
              <w:spacing w:before="120" w:after="120"/>
              <w:jc w:val="center"/>
              <w:rPr>
                <w:rFonts w:ascii="Calibri" w:hAnsi="Calibri"/>
                <w:noProof/>
                <w:lang w:val="en-US" w:eastAsia="en-US"/>
              </w:rPr>
            </w:pPr>
            <w:r w:rsidRPr="00F01738">
              <w:rPr>
                <w:rFonts w:ascii="Wingdings" w:hAnsi="Wingdings"/>
                <w:color w:val="000000"/>
                <w:sz w:val="32"/>
              </w:rPr>
              <w:t></w:t>
            </w:r>
          </w:p>
        </w:tc>
        <w:tc>
          <w:tcPr>
            <w:tcW w:w="1227" w:type="dxa"/>
          </w:tcPr>
          <w:p w:rsidR="002911C0" w:rsidRPr="00F01738" w:rsidRDefault="002911C0" w:rsidP="006465B4">
            <w:pPr>
              <w:widowControl w:val="0"/>
              <w:autoSpaceDE w:val="0"/>
              <w:autoSpaceDN w:val="0"/>
              <w:adjustRightInd w:val="0"/>
              <w:spacing w:before="120" w:after="120"/>
              <w:jc w:val="center"/>
              <w:rPr>
                <w:rFonts w:ascii="Wingdings" w:hAnsi="Wingdings"/>
                <w:color w:val="000000"/>
                <w:sz w:val="32"/>
              </w:rPr>
            </w:pPr>
          </w:p>
        </w:tc>
        <w:tc>
          <w:tcPr>
            <w:tcW w:w="1227" w:type="dxa"/>
          </w:tcPr>
          <w:p w:rsidR="002911C0" w:rsidRPr="00F01738" w:rsidRDefault="002911C0" w:rsidP="006465B4">
            <w:pPr>
              <w:widowControl w:val="0"/>
              <w:autoSpaceDE w:val="0"/>
              <w:autoSpaceDN w:val="0"/>
              <w:adjustRightInd w:val="0"/>
              <w:spacing w:before="120" w:after="120"/>
              <w:jc w:val="center"/>
              <w:rPr>
                <w:rFonts w:ascii="Wingdings" w:hAnsi="Wingdings"/>
                <w:color w:val="000000"/>
                <w:sz w:val="32"/>
              </w:rPr>
            </w:pPr>
          </w:p>
        </w:tc>
      </w:tr>
      <w:tr w:rsidR="002911C0" w:rsidTr="002911C0">
        <w:trPr>
          <w:trHeight w:val="329"/>
        </w:trPr>
        <w:tc>
          <w:tcPr>
            <w:tcW w:w="1529" w:type="dxa"/>
          </w:tcPr>
          <w:p w:rsidR="002911C0" w:rsidRPr="006014F7" w:rsidRDefault="002911C0" w:rsidP="006465B4">
            <w:pPr>
              <w:widowControl w:val="0"/>
              <w:autoSpaceDE w:val="0"/>
              <w:autoSpaceDN w:val="0"/>
              <w:adjustRightInd w:val="0"/>
              <w:spacing w:before="120" w:after="120"/>
              <w:rPr>
                <w:rFonts w:asciiTheme="majorBidi" w:hAnsiTheme="majorBidi" w:cstheme="majorBidi"/>
                <w:sz w:val="24"/>
                <w:szCs w:val="24"/>
              </w:rPr>
            </w:pPr>
            <w:r w:rsidRPr="006014F7">
              <w:rPr>
                <w:rFonts w:asciiTheme="majorBidi" w:hAnsiTheme="majorBidi" w:cstheme="majorBidi"/>
                <w:sz w:val="24"/>
                <w:szCs w:val="24"/>
              </w:rPr>
              <w:t>PCV</w:t>
            </w:r>
          </w:p>
        </w:tc>
        <w:tc>
          <w:tcPr>
            <w:tcW w:w="1487" w:type="dxa"/>
          </w:tcPr>
          <w:p w:rsidR="002911C0" w:rsidRDefault="002911C0" w:rsidP="006465B4">
            <w:pPr>
              <w:widowControl w:val="0"/>
              <w:autoSpaceDE w:val="0"/>
              <w:autoSpaceDN w:val="0"/>
              <w:adjustRightInd w:val="0"/>
              <w:spacing w:before="120" w:after="120"/>
              <w:jc w:val="center"/>
              <w:rPr>
                <w:rFonts w:ascii="Calibri" w:hAnsi="Calibri"/>
              </w:rPr>
            </w:pPr>
            <w:r w:rsidRPr="00F01738">
              <w:rPr>
                <w:rFonts w:ascii="Wingdings" w:hAnsi="Wingdings"/>
                <w:color w:val="000000"/>
                <w:sz w:val="32"/>
              </w:rPr>
              <w:t></w:t>
            </w:r>
          </w:p>
        </w:tc>
        <w:tc>
          <w:tcPr>
            <w:tcW w:w="1523" w:type="dxa"/>
          </w:tcPr>
          <w:p w:rsidR="002911C0" w:rsidRDefault="002911C0" w:rsidP="006465B4">
            <w:pPr>
              <w:widowControl w:val="0"/>
              <w:autoSpaceDE w:val="0"/>
              <w:autoSpaceDN w:val="0"/>
              <w:adjustRightInd w:val="0"/>
              <w:spacing w:before="120" w:after="120"/>
              <w:jc w:val="center"/>
              <w:rPr>
                <w:rFonts w:ascii="Calibri" w:hAnsi="Calibri"/>
              </w:rPr>
            </w:pPr>
            <w:r w:rsidRPr="00F01738">
              <w:rPr>
                <w:rFonts w:ascii="Wingdings" w:hAnsi="Wingdings"/>
                <w:color w:val="000000"/>
                <w:sz w:val="32"/>
              </w:rPr>
              <w:t></w:t>
            </w:r>
          </w:p>
        </w:tc>
        <w:tc>
          <w:tcPr>
            <w:tcW w:w="1523" w:type="dxa"/>
          </w:tcPr>
          <w:p w:rsidR="002911C0" w:rsidRDefault="002911C0" w:rsidP="006465B4">
            <w:pPr>
              <w:widowControl w:val="0"/>
              <w:autoSpaceDE w:val="0"/>
              <w:autoSpaceDN w:val="0"/>
              <w:adjustRightInd w:val="0"/>
              <w:spacing w:before="120" w:after="120"/>
              <w:jc w:val="center"/>
              <w:rPr>
                <w:rFonts w:ascii="Calibri" w:hAnsi="Calibri"/>
                <w:noProof/>
                <w:lang w:val="en-US" w:eastAsia="en-US"/>
              </w:rPr>
            </w:pPr>
            <w:r w:rsidRPr="00F01738">
              <w:rPr>
                <w:rFonts w:ascii="Wingdings" w:hAnsi="Wingdings"/>
                <w:color w:val="000000"/>
                <w:sz w:val="32"/>
              </w:rPr>
              <w:t></w:t>
            </w:r>
          </w:p>
        </w:tc>
        <w:tc>
          <w:tcPr>
            <w:tcW w:w="1227" w:type="dxa"/>
          </w:tcPr>
          <w:p w:rsidR="002911C0" w:rsidRPr="00F01738" w:rsidRDefault="002911C0" w:rsidP="006465B4">
            <w:pPr>
              <w:widowControl w:val="0"/>
              <w:autoSpaceDE w:val="0"/>
              <w:autoSpaceDN w:val="0"/>
              <w:adjustRightInd w:val="0"/>
              <w:spacing w:before="120" w:after="120"/>
              <w:jc w:val="center"/>
              <w:rPr>
                <w:rFonts w:ascii="Wingdings" w:hAnsi="Wingdings"/>
                <w:color w:val="000000"/>
                <w:sz w:val="32"/>
              </w:rPr>
            </w:pPr>
          </w:p>
        </w:tc>
        <w:tc>
          <w:tcPr>
            <w:tcW w:w="1227" w:type="dxa"/>
          </w:tcPr>
          <w:p w:rsidR="002911C0" w:rsidRPr="00F01738" w:rsidRDefault="002911C0" w:rsidP="006465B4">
            <w:pPr>
              <w:widowControl w:val="0"/>
              <w:autoSpaceDE w:val="0"/>
              <w:autoSpaceDN w:val="0"/>
              <w:adjustRightInd w:val="0"/>
              <w:spacing w:before="120" w:after="120"/>
              <w:jc w:val="center"/>
              <w:rPr>
                <w:rFonts w:ascii="Wingdings" w:hAnsi="Wingdings"/>
                <w:color w:val="000000"/>
                <w:sz w:val="32"/>
              </w:rPr>
            </w:pPr>
          </w:p>
        </w:tc>
      </w:tr>
      <w:tr w:rsidR="002911C0" w:rsidTr="002911C0">
        <w:trPr>
          <w:trHeight w:val="329"/>
        </w:trPr>
        <w:tc>
          <w:tcPr>
            <w:tcW w:w="1529" w:type="dxa"/>
          </w:tcPr>
          <w:p w:rsidR="002911C0" w:rsidRPr="006014F7" w:rsidRDefault="002911C0" w:rsidP="006465B4">
            <w:pPr>
              <w:widowControl w:val="0"/>
              <w:autoSpaceDE w:val="0"/>
              <w:autoSpaceDN w:val="0"/>
              <w:adjustRightInd w:val="0"/>
              <w:spacing w:before="120" w:after="120"/>
              <w:rPr>
                <w:rFonts w:asciiTheme="majorBidi" w:hAnsiTheme="majorBidi" w:cstheme="majorBidi"/>
                <w:sz w:val="24"/>
                <w:szCs w:val="24"/>
              </w:rPr>
            </w:pPr>
            <w:r w:rsidRPr="006014F7">
              <w:rPr>
                <w:rFonts w:asciiTheme="majorBidi" w:hAnsiTheme="majorBidi" w:cstheme="majorBidi"/>
                <w:sz w:val="24"/>
                <w:szCs w:val="24"/>
              </w:rPr>
              <w:t>MR</w:t>
            </w:r>
          </w:p>
        </w:tc>
        <w:tc>
          <w:tcPr>
            <w:tcW w:w="1487" w:type="dxa"/>
          </w:tcPr>
          <w:p w:rsidR="002911C0" w:rsidRPr="00F01738" w:rsidRDefault="002911C0" w:rsidP="006465B4">
            <w:pPr>
              <w:widowControl w:val="0"/>
              <w:autoSpaceDE w:val="0"/>
              <w:autoSpaceDN w:val="0"/>
              <w:adjustRightInd w:val="0"/>
              <w:spacing w:before="120" w:after="120"/>
              <w:jc w:val="center"/>
              <w:rPr>
                <w:rFonts w:ascii="Wingdings" w:hAnsi="Wingdings"/>
                <w:color w:val="000000"/>
                <w:sz w:val="32"/>
              </w:rPr>
            </w:pPr>
          </w:p>
        </w:tc>
        <w:tc>
          <w:tcPr>
            <w:tcW w:w="1523" w:type="dxa"/>
          </w:tcPr>
          <w:p w:rsidR="002911C0" w:rsidRPr="00F01738" w:rsidRDefault="002911C0" w:rsidP="006465B4">
            <w:pPr>
              <w:widowControl w:val="0"/>
              <w:autoSpaceDE w:val="0"/>
              <w:autoSpaceDN w:val="0"/>
              <w:adjustRightInd w:val="0"/>
              <w:spacing w:before="120" w:after="120"/>
              <w:jc w:val="center"/>
              <w:rPr>
                <w:rFonts w:ascii="Wingdings" w:hAnsi="Wingdings"/>
                <w:color w:val="000000"/>
                <w:sz w:val="32"/>
              </w:rPr>
            </w:pPr>
          </w:p>
        </w:tc>
        <w:tc>
          <w:tcPr>
            <w:tcW w:w="1523" w:type="dxa"/>
          </w:tcPr>
          <w:p w:rsidR="002911C0" w:rsidRPr="00F01738" w:rsidRDefault="002911C0" w:rsidP="006465B4">
            <w:pPr>
              <w:widowControl w:val="0"/>
              <w:autoSpaceDE w:val="0"/>
              <w:autoSpaceDN w:val="0"/>
              <w:adjustRightInd w:val="0"/>
              <w:spacing w:before="120" w:after="120"/>
              <w:jc w:val="center"/>
              <w:rPr>
                <w:rFonts w:ascii="Wingdings" w:hAnsi="Wingdings"/>
                <w:color w:val="000000"/>
                <w:sz w:val="32"/>
              </w:rPr>
            </w:pPr>
          </w:p>
        </w:tc>
        <w:tc>
          <w:tcPr>
            <w:tcW w:w="1227" w:type="dxa"/>
          </w:tcPr>
          <w:p w:rsidR="002911C0" w:rsidRPr="00F01738" w:rsidRDefault="002911C0" w:rsidP="006465B4">
            <w:pPr>
              <w:widowControl w:val="0"/>
              <w:autoSpaceDE w:val="0"/>
              <w:autoSpaceDN w:val="0"/>
              <w:adjustRightInd w:val="0"/>
              <w:spacing w:before="120" w:after="120"/>
              <w:jc w:val="center"/>
              <w:rPr>
                <w:rFonts w:ascii="Wingdings" w:hAnsi="Wingdings"/>
                <w:color w:val="000000"/>
                <w:sz w:val="32"/>
              </w:rPr>
            </w:pPr>
            <w:r w:rsidRPr="00F01738">
              <w:rPr>
                <w:rFonts w:ascii="Wingdings" w:hAnsi="Wingdings"/>
                <w:color w:val="000000"/>
                <w:sz w:val="32"/>
              </w:rPr>
              <w:t></w:t>
            </w:r>
          </w:p>
        </w:tc>
        <w:tc>
          <w:tcPr>
            <w:tcW w:w="1227" w:type="dxa"/>
          </w:tcPr>
          <w:p w:rsidR="002911C0" w:rsidRPr="00F01738" w:rsidRDefault="002911C0" w:rsidP="006465B4">
            <w:pPr>
              <w:widowControl w:val="0"/>
              <w:autoSpaceDE w:val="0"/>
              <w:autoSpaceDN w:val="0"/>
              <w:adjustRightInd w:val="0"/>
              <w:spacing w:before="120" w:after="120"/>
              <w:jc w:val="center"/>
              <w:rPr>
                <w:rFonts w:ascii="Wingdings" w:hAnsi="Wingdings"/>
                <w:color w:val="000000"/>
                <w:sz w:val="32"/>
              </w:rPr>
            </w:pPr>
            <w:r w:rsidRPr="00F01738">
              <w:rPr>
                <w:rFonts w:ascii="Wingdings" w:hAnsi="Wingdings"/>
                <w:color w:val="000000"/>
                <w:sz w:val="32"/>
              </w:rPr>
              <w:t></w:t>
            </w:r>
          </w:p>
        </w:tc>
      </w:tr>
    </w:tbl>
    <w:p w:rsidR="00A62D90" w:rsidRPr="009F6E49" w:rsidRDefault="00A62D90" w:rsidP="006465B4">
      <w:pPr>
        <w:spacing w:before="120" w:after="120"/>
        <w:jc w:val="both"/>
      </w:pPr>
      <w:r w:rsidRPr="009F6E49">
        <w:t xml:space="preserve">IPV will be administered by intramuscular injection on the right thigh. Once PCV is introduced the two injections will be given on the same (right) thigh, two centimetres apart. DTP-HepB-Hib will be given on the left thigh due to the fact that it is more reactogenic than the other two vaccines. </w:t>
      </w:r>
      <w:r w:rsidR="00FC5758" w:rsidRPr="009F6E49">
        <w:t xml:space="preserve">The standard practice (as outlined in the EPI manual) of monitoring the patient for 30 minutes following the injections will be applied. </w:t>
      </w:r>
    </w:p>
    <w:p w:rsidR="00993004" w:rsidRPr="004E0CFD" w:rsidRDefault="004E0CFD" w:rsidP="004E0CFD">
      <w:pPr>
        <w:pStyle w:val="Heading1"/>
        <w:spacing w:before="120" w:after="120"/>
        <w:ind w:firstLine="720"/>
        <w:rPr>
          <w:rFonts w:asciiTheme="majorBidi" w:hAnsiTheme="majorBidi"/>
          <w:color w:val="002060"/>
          <w:sz w:val="28"/>
          <w:szCs w:val="28"/>
        </w:rPr>
      </w:pPr>
      <w:bookmarkStart w:id="8" w:name="_Toc263661684"/>
      <w:r w:rsidRPr="004E0CFD">
        <w:rPr>
          <w:rFonts w:asciiTheme="majorBidi" w:hAnsiTheme="majorBidi"/>
          <w:color w:val="002060"/>
          <w:sz w:val="28"/>
          <w:szCs w:val="28"/>
        </w:rPr>
        <w:t>3.2 National</w:t>
      </w:r>
      <w:r w:rsidR="00993004" w:rsidRPr="004E0CFD">
        <w:rPr>
          <w:rFonts w:asciiTheme="majorBidi" w:hAnsiTheme="majorBidi"/>
          <w:color w:val="002060"/>
          <w:sz w:val="28"/>
          <w:szCs w:val="28"/>
        </w:rPr>
        <w:t xml:space="preserve"> coordination mechanism to ensure the successful introduction</w:t>
      </w:r>
      <w:bookmarkEnd w:id="8"/>
    </w:p>
    <w:p w:rsidR="00CB572A" w:rsidRDefault="00745282" w:rsidP="004E0CFD">
      <w:pPr>
        <w:spacing w:before="120" w:after="120"/>
        <w:jc w:val="both"/>
      </w:pPr>
      <w:r w:rsidRPr="00CB572A">
        <w:t xml:space="preserve">Initial preparations have already begun for the introduction of IPV, beginning with the stakeholder engagement and approval of the PNG Polio Endgame Strategic Plan. Throughout the implementation phase of the introduction more stakeholders will be engaged. </w:t>
      </w:r>
      <w:r w:rsidR="00CB572A" w:rsidRPr="00CB572A">
        <w:t>Throughout the introduction of IPV</w:t>
      </w:r>
      <w:r w:rsidR="004E0CFD">
        <w:t>,</w:t>
      </w:r>
      <w:r w:rsidR="00CB572A" w:rsidRPr="00CB572A">
        <w:t xml:space="preserve"> the N</w:t>
      </w:r>
      <w:r w:rsidR="004E0CFD">
        <w:t xml:space="preserve">ational </w:t>
      </w:r>
      <w:r w:rsidR="00CB572A" w:rsidRPr="00CB572A">
        <w:t>C</w:t>
      </w:r>
      <w:r w:rsidR="004E0CFD">
        <w:t xml:space="preserve">ertification </w:t>
      </w:r>
      <w:r w:rsidR="00CB572A" w:rsidRPr="00CB572A">
        <w:t>C</w:t>
      </w:r>
      <w:r w:rsidR="004E0CFD">
        <w:t>ommittee for Polio Eradication</w:t>
      </w:r>
      <w:r w:rsidR="00CB572A" w:rsidRPr="00CB572A">
        <w:t>, I</w:t>
      </w:r>
      <w:r w:rsidR="004E0CFD">
        <w:t xml:space="preserve">nter agency </w:t>
      </w:r>
      <w:r w:rsidR="00CB572A" w:rsidRPr="00CB572A">
        <w:t>C</w:t>
      </w:r>
      <w:r w:rsidR="004E0CFD">
        <w:t xml:space="preserve">oordination </w:t>
      </w:r>
      <w:r w:rsidR="00CB572A" w:rsidRPr="00CB572A">
        <w:t>C</w:t>
      </w:r>
      <w:r w:rsidR="004E0CFD">
        <w:t xml:space="preserve">ommittee and the Child Health Advisory Committee </w:t>
      </w:r>
      <w:r w:rsidR="00CB572A" w:rsidRPr="00CB572A">
        <w:t>will continue to monitor and provide technical advice.</w:t>
      </w:r>
    </w:p>
    <w:p w:rsidR="004E0CFD" w:rsidRDefault="004E0CFD" w:rsidP="004E0CFD">
      <w:pPr>
        <w:spacing w:before="120" w:after="120"/>
        <w:jc w:val="both"/>
      </w:pPr>
      <w:r>
        <w:lastRenderedPageBreak/>
        <w:t>The Paediatric Society of Papua New Guinea will provide the required technical support along with WHO and UNICEF who will continue to extend the required technical and other support towards the introduction. Other donor partners at the national level as DFAT Australian Government and others at the provincial and districts level will provide the required support as need be; upon the consultation by the ICC members. The Provincial Family Health Coordinators through the involvement with the Provincial Governors and the Provincial Administrators will provide the ground for introduction of the vaccine in their respective provinces.</w:t>
      </w:r>
    </w:p>
    <w:p w:rsidR="00745282" w:rsidRPr="004E0CFD" w:rsidRDefault="00CB572A" w:rsidP="004E0CFD">
      <w:pPr>
        <w:spacing w:before="120" w:after="120"/>
        <w:jc w:val="both"/>
      </w:pPr>
      <w:r w:rsidRPr="00CB572A">
        <w:t>It is expected that if approved, the funding for the Vaccine Introduction Grant will be avai</w:t>
      </w:r>
      <w:r w:rsidR="004E0CFD">
        <w:t xml:space="preserve">lable to PNG by November 2014. </w:t>
      </w:r>
    </w:p>
    <w:p w:rsidR="0013604E" w:rsidRPr="004E0CFD" w:rsidRDefault="004E0CFD" w:rsidP="004E0CFD">
      <w:pPr>
        <w:pStyle w:val="Heading1"/>
        <w:spacing w:before="120" w:after="120"/>
        <w:ind w:firstLine="720"/>
        <w:rPr>
          <w:rFonts w:asciiTheme="majorBidi" w:hAnsiTheme="majorBidi"/>
          <w:color w:val="002060"/>
          <w:sz w:val="28"/>
          <w:szCs w:val="28"/>
        </w:rPr>
      </w:pPr>
      <w:bookmarkStart w:id="9" w:name="_Toc263661685"/>
      <w:r w:rsidRPr="004E0CFD">
        <w:rPr>
          <w:rFonts w:asciiTheme="majorBidi" w:hAnsiTheme="majorBidi"/>
          <w:color w:val="002060"/>
          <w:sz w:val="28"/>
          <w:szCs w:val="28"/>
        </w:rPr>
        <w:t>3.3 Affordability</w:t>
      </w:r>
      <w:r w:rsidR="0013604E" w:rsidRPr="004E0CFD">
        <w:rPr>
          <w:rFonts w:asciiTheme="majorBidi" w:hAnsiTheme="majorBidi"/>
          <w:color w:val="002060"/>
          <w:sz w:val="28"/>
          <w:szCs w:val="28"/>
        </w:rPr>
        <w:t xml:space="preserve"> and financial sustainability</w:t>
      </w:r>
      <w:bookmarkEnd w:id="9"/>
    </w:p>
    <w:p w:rsidR="0013604E" w:rsidRDefault="0013604E" w:rsidP="006465B4">
      <w:pPr>
        <w:spacing w:before="120" w:after="120"/>
        <w:jc w:val="both"/>
      </w:pPr>
      <w:r w:rsidRPr="009F6E49">
        <w:t>Considering</w:t>
      </w:r>
      <w:r w:rsidR="00F160F9" w:rsidRPr="009F6E49">
        <w:t xml:space="preserve"> </w:t>
      </w:r>
      <w:r w:rsidRPr="009F6E49">
        <w:t xml:space="preserve">the fact that PNG already </w:t>
      </w:r>
      <w:r w:rsidR="00140DEF" w:rsidRPr="009F6E49">
        <w:t>procures 100% of its traditional vaccines</w:t>
      </w:r>
      <w:r w:rsidRPr="009F6E49">
        <w:t>,</w:t>
      </w:r>
      <w:r w:rsidR="00F160F9" w:rsidRPr="009F6E49">
        <w:t xml:space="preserve"> and</w:t>
      </w:r>
      <w:r w:rsidRPr="009F6E49">
        <w:t xml:space="preserve"> </w:t>
      </w:r>
      <w:r w:rsidR="00140DEF" w:rsidRPr="009F6E49">
        <w:t xml:space="preserve">exceeds </w:t>
      </w:r>
      <w:r w:rsidR="009F6E49">
        <w:t xml:space="preserve">the minimum </w:t>
      </w:r>
      <w:r w:rsidR="00140DEF" w:rsidRPr="009F6E49">
        <w:t>contribution</w:t>
      </w:r>
      <w:r w:rsidR="00F160F9" w:rsidRPr="009F6E49">
        <w:t xml:space="preserve"> </w:t>
      </w:r>
      <w:r w:rsidR="00140DEF" w:rsidRPr="009F6E49">
        <w:t xml:space="preserve">for Pentavalent </w:t>
      </w:r>
      <w:r w:rsidR="009F6E49">
        <w:t xml:space="preserve">and pneumococcal </w:t>
      </w:r>
      <w:r w:rsidR="00140DEF" w:rsidRPr="009F6E49">
        <w:t>co-financing to GAVI</w:t>
      </w:r>
      <w:r w:rsidR="00F160F9" w:rsidRPr="009F6E49">
        <w:t xml:space="preserve">, </w:t>
      </w:r>
      <w:r w:rsidR="009D7FCA">
        <w:t>the GoPNG</w:t>
      </w:r>
      <w:r w:rsidR="00F160F9" w:rsidRPr="009F6E49">
        <w:t xml:space="preserve"> </w:t>
      </w:r>
      <w:r w:rsidR="008D0E73" w:rsidRPr="009F6E49">
        <w:t xml:space="preserve">is in this case </w:t>
      </w:r>
      <w:r w:rsidR="009D7FCA">
        <w:t xml:space="preserve">is </w:t>
      </w:r>
      <w:r w:rsidR="008D0E73" w:rsidRPr="009F6E49">
        <w:t>requesting full support from GAV</w:t>
      </w:r>
      <w:r w:rsidR="009D7FCA">
        <w:t>I for the introduction of IPV and upon completion of the support from GAVI, the vaccine will be supported completely by the GoPNG</w:t>
      </w:r>
      <w:r w:rsidR="004B4E97">
        <w:t xml:space="preserve"> funds.</w:t>
      </w:r>
    </w:p>
    <w:p w:rsidR="00B16A14" w:rsidRDefault="00B16A14" w:rsidP="006465B4">
      <w:pPr>
        <w:spacing w:before="120" w:after="120"/>
        <w:ind w:right="115"/>
        <w:contextualSpacing/>
        <w:jc w:val="both"/>
      </w:pPr>
    </w:p>
    <w:p w:rsidR="004B4E97" w:rsidRPr="009F6E49" w:rsidRDefault="004B4E97" w:rsidP="004B4E97">
      <w:pPr>
        <w:spacing w:before="120" w:after="120"/>
        <w:jc w:val="both"/>
        <w:rPr>
          <w:rFonts w:eastAsia="SimSun" w:cs="Calibri"/>
          <w:color w:val="000000"/>
          <w:szCs w:val="22"/>
        </w:rPr>
      </w:pPr>
      <w:r>
        <w:rPr>
          <w:rFonts w:eastAsia="SimSun" w:cs="Calibri"/>
          <w:color w:val="000000"/>
          <w:szCs w:val="22"/>
        </w:rPr>
        <w:t>As t</w:t>
      </w:r>
      <w:r w:rsidRPr="009F6E49">
        <w:rPr>
          <w:rFonts w:eastAsia="SimSun" w:cs="Calibri"/>
          <w:color w:val="000000"/>
          <w:szCs w:val="22"/>
        </w:rPr>
        <w:t>he first year of introduction</w:t>
      </w:r>
      <w:r>
        <w:rPr>
          <w:rFonts w:eastAsia="SimSun" w:cs="Calibri"/>
          <w:color w:val="000000"/>
          <w:szCs w:val="22"/>
        </w:rPr>
        <w:t xml:space="preserve"> of IPV would involve introduction of the vaccine in November 2015</w:t>
      </w:r>
      <w:r w:rsidRPr="009F6E49">
        <w:rPr>
          <w:rFonts w:eastAsia="SimSun" w:cs="Calibri"/>
          <w:color w:val="000000"/>
          <w:szCs w:val="22"/>
        </w:rPr>
        <w:t xml:space="preserve">, </w:t>
      </w:r>
      <w:r>
        <w:rPr>
          <w:rFonts w:eastAsia="SimSun" w:cs="Calibri"/>
          <w:color w:val="000000"/>
          <w:szCs w:val="22"/>
        </w:rPr>
        <w:t xml:space="preserve">it would aim to </w:t>
      </w:r>
      <w:r w:rsidRPr="009F6E49">
        <w:rPr>
          <w:rFonts w:eastAsia="SimSun" w:cs="Calibri"/>
          <w:color w:val="000000"/>
          <w:szCs w:val="22"/>
        </w:rPr>
        <w:t xml:space="preserve">target </w:t>
      </w:r>
      <w:r>
        <w:rPr>
          <w:rFonts w:eastAsia="SimSun" w:cs="Calibri"/>
          <w:color w:val="000000"/>
          <w:szCs w:val="22"/>
        </w:rPr>
        <w:t xml:space="preserve">38,900 </w:t>
      </w:r>
      <w:r w:rsidRPr="009F6E49">
        <w:rPr>
          <w:rFonts w:eastAsia="SimSun" w:cs="Calibri"/>
          <w:color w:val="000000"/>
          <w:szCs w:val="22"/>
        </w:rPr>
        <w:t>children</w:t>
      </w:r>
      <w:r>
        <w:rPr>
          <w:rFonts w:eastAsia="SimSun" w:cs="Calibri"/>
          <w:color w:val="000000"/>
          <w:szCs w:val="22"/>
        </w:rPr>
        <w:t xml:space="preserve"> (Adjusted to the month of the introduction)</w:t>
      </w:r>
      <w:r w:rsidRPr="009F6E49">
        <w:rPr>
          <w:rFonts w:eastAsia="SimSun" w:cs="Calibri"/>
          <w:color w:val="000000"/>
          <w:szCs w:val="22"/>
        </w:rPr>
        <w:t xml:space="preserve">, will require </w:t>
      </w:r>
      <w:r>
        <w:rPr>
          <w:rFonts w:eastAsia="SimSun" w:cs="Calibri"/>
          <w:color w:val="000000"/>
          <w:szCs w:val="22"/>
        </w:rPr>
        <w:t>55,571</w:t>
      </w:r>
      <w:r w:rsidRPr="009F6E49">
        <w:rPr>
          <w:rFonts w:eastAsia="SimSun" w:cs="Calibri"/>
          <w:color w:val="000000"/>
          <w:szCs w:val="22"/>
        </w:rPr>
        <w:t xml:space="preserve"> doses of IPV, after considering a target coverage rate of 80%, an estimated 30% wastage and a 25% buffer. At an estimated cost of $1 per dose, and an additional 10% for freight costs, this res</w:t>
      </w:r>
      <w:r>
        <w:rPr>
          <w:rFonts w:eastAsia="SimSun" w:cs="Calibri"/>
          <w:color w:val="000000"/>
          <w:szCs w:val="22"/>
        </w:rPr>
        <w:t>ults in a request of USD 61,128</w:t>
      </w:r>
      <w:r w:rsidRPr="009F6E49">
        <w:rPr>
          <w:rFonts w:eastAsia="SimSun" w:cs="Calibri"/>
          <w:color w:val="000000"/>
          <w:szCs w:val="22"/>
        </w:rPr>
        <w:t xml:space="preserve">. In addition to this, GoPNG </w:t>
      </w:r>
      <w:r>
        <w:rPr>
          <w:rFonts w:eastAsia="SimSun" w:cs="Calibri"/>
          <w:color w:val="000000"/>
          <w:szCs w:val="22"/>
        </w:rPr>
        <w:t xml:space="preserve">for the first year </w:t>
      </w:r>
      <w:r w:rsidRPr="009F6E49">
        <w:rPr>
          <w:rFonts w:eastAsia="SimSun" w:cs="Calibri"/>
          <w:color w:val="000000"/>
          <w:szCs w:val="22"/>
        </w:rPr>
        <w:t xml:space="preserve">is requesting assistance through the provision of auto-disable syringes and safety boxes to be used in the introduction of IPV. The required </w:t>
      </w:r>
      <w:r>
        <w:rPr>
          <w:rFonts w:eastAsia="SimSun" w:cs="Calibri"/>
          <w:color w:val="000000"/>
          <w:szCs w:val="22"/>
        </w:rPr>
        <w:t>61,128</w:t>
      </w:r>
      <w:r w:rsidRPr="009F6E49">
        <w:rPr>
          <w:rFonts w:eastAsia="SimSun" w:cs="Calibri"/>
          <w:color w:val="000000"/>
          <w:szCs w:val="22"/>
        </w:rPr>
        <w:t xml:space="preserve"> AD syringes (using an estimated 1.1 wastage factor) at USD 0.55 each, and </w:t>
      </w:r>
      <w:r>
        <w:rPr>
          <w:rFonts w:eastAsia="SimSun" w:cs="Calibri"/>
          <w:color w:val="000000"/>
          <w:szCs w:val="22"/>
        </w:rPr>
        <w:t>672</w:t>
      </w:r>
      <w:r w:rsidRPr="009F6E49">
        <w:rPr>
          <w:rFonts w:eastAsia="SimSun" w:cs="Calibri"/>
          <w:color w:val="000000"/>
          <w:szCs w:val="22"/>
        </w:rPr>
        <w:t xml:space="preserve"> safety boxes at USD 0.72 total to a cost of USD </w:t>
      </w:r>
      <w:r>
        <w:rPr>
          <w:rFonts w:eastAsia="SimSun" w:cs="Calibri"/>
          <w:color w:val="000000"/>
          <w:szCs w:val="22"/>
        </w:rPr>
        <w:t>35,128</w:t>
      </w:r>
      <w:r w:rsidRPr="009F6E49">
        <w:rPr>
          <w:rFonts w:eastAsia="SimSun" w:cs="Calibri"/>
          <w:color w:val="000000"/>
          <w:szCs w:val="22"/>
        </w:rPr>
        <w:t xml:space="preserve"> for injection supplies.</w:t>
      </w:r>
      <w:r>
        <w:rPr>
          <w:rFonts w:eastAsia="SimSun" w:cs="Calibri"/>
          <w:color w:val="000000"/>
          <w:szCs w:val="22"/>
        </w:rPr>
        <w:t xml:space="preserve"> </w:t>
      </w:r>
      <w:r w:rsidRPr="009F6E49">
        <w:rPr>
          <w:rFonts w:eastAsia="SimSun" w:cs="Calibri"/>
          <w:color w:val="000000"/>
          <w:szCs w:val="22"/>
        </w:rPr>
        <w:t xml:space="preserve">Finally, GoPNG is also requesting GAVI’s assistance through the Vaccine Introduction Grant (VIG) of USD 0.80 per child for a total of USD </w:t>
      </w:r>
      <w:r w:rsidRPr="002D4C61">
        <w:rPr>
          <w:rFonts w:eastAsia="SimSun" w:cs="Calibri"/>
          <w:color w:val="000000"/>
          <w:szCs w:val="22"/>
        </w:rPr>
        <w:t>186,717.87</w:t>
      </w:r>
      <w:r w:rsidRPr="009F6E49">
        <w:rPr>
          <w:rFonts w:eastAsia="SimSun" w:cs="Calibri"/>
          <w:color w:val="000000"/>
          <w:szCs w:val="22"/>
        </w:rPr>
        <w:t>. This grant will be used to assist with the training of health care workers, the reproduction of print materials and other essential activities that will ensure that IPV is successfully introduced by 2015.</w:t>
      </w:r>
      <w:r>
        <w:rPr>
          <w:rFonts w:eastAsia="SimSun" w:cs="Calibri"/>
          <w:color w:val="000000"/>
          <w:szCs w:val="22"/>
        </w:rPr>
        <w:t xml:space="preserve"> </w:t>
      </w:r>
      <w:r w:rsidRPr="009F6E49">
        <w:rPr>
          <w:rFonts w:eastAsia="SimSun" w:cs="Calibri"/>
          <w:color w:val="000000"/>
          <w:szCs w:val="22"/>
        </w:rPr>
        <w:t xml:space="preserve">The total ask to GAVI for IPV introduction, including vaccines, injection supplies and the VIG is USD </w:t>
      </w:r>
      <w:r>
        <w:rPr>
          <w:rFonts w:eastAsia="SimSun" w:cs="Calibri"/>
          <w:color w:val="000000"/>
          <w:szCs w:val="22"/>
        </w:rPr>
        <w:t xml:space="preserve">282,973 </w:t>
      </w:r>
      <w:r w:rsidRPr="009F6E49">
        <w:rPr>
          <w:rFonts w:eastAsia="SimSun" w:cs="Calibri"/>
          <w:color w:val="000000"/>
          <w:szCs w:val="22"/>
        </w:rPr>
        <w:t xml:space="preserve">in the first year, and approximately </w:t>
      </w:r>
      <w:r w:rsidRPr="00B50A4E">
        <w:rPr>
          <w:rFonts w:eastAsia="SimSun" w:cs="Calibri"/>
          <w:color w:val="000000"/>
          <w:szCs w:val="22"/>
        </w:rPr>
        <w:t>USD 600,000</w:t>
      </w:r>
      <w:r>
        <w:rPr>
          <w:rFonts w:eastAsia="SimSun" w:cs="Calibri"/>
          <w:color w:val="000000"/>
          <w:szCs w:val="22"/>
        </w:rPr>
        <w:t xml:space="preserve"> </w:t>
      </w:r>
      <w:r w:rsidRPr="009F6E49">
        <w:rPr>
          <w:rFonts w:eastAsia="SimSun" w:cs="Calibri"/>
          <w:color w:val="000000"/>
          <w:szCs w:val="22"/>
        </w:rPr>
        <w:t>each subsequent year.</w:t>
      </w:r>
    </w:p>
    <w:p w:rsidR="00637544" w:rsidRDefault="00637544" w:rsidP="00ED4115">
      <w:pPr>
        <w:spacing w:before="120" w:after="120"/>
        <w:jc w:val="both"/>
        <w:rPr>
          <w:rFonts w:eastAsia="SimSun" w:cs="Calibri"/>
          <w:color w:val="000000"/>
          <w:szCs w:val="22"/>
        </w:rPr>
        <w:sectPr w:rsidR="00637544" w:rsidSect="00EF1ABC">
          <w:footerReference w:type="default" r:id="rId9"/>
          <w:pgSz w:w="11900" w:h="16840"/>
          <w:pgMar w:top="1440" w:right="1800" w:bottom="1440" w:left="1800" w:header="708" w:footer="708" w:gutter="0"/>
          <w:cols w:space="708"/>
          <w:docGrid w:linePitch="360"/>
        </w:sectPr>
      </w:pPr>
      <w:r w:rsidRPr="009F6E49">
        <w:rPr>
          <w:rFonts w:eastAsia="SimSun" w:cs="Calibri"/>
          <w:color w:val="000000"/>
          <w:szCs w:val="22"/>
        </w:rPr>
        <w:t xml:space="preserve">Historically the GoPNG has shown a strong commitment to its immunisation program and will continue to do so. NDoH is currently working on strengthening routine immunisation through ongoing training, supportive supervision, the re-establishment of outreach and the introduction of defaulter tracking. These costs are being borne principally by GoPNG and if required by its development partners. This environment will ensure that IPV will be effectively sustained as a routine immunisation. In addition to this, the introduction of other new vaccines including MR and PCV will enable the program to benefit from </w:t>
      </w:r>
      <w:r w:rsidR="00E953CE">
        <w:rPr>
          <w:rFonts w:eastAsia="SimSun" w:cs="Calibri"/>
          <w:color w:val="000000"/>
          <w:szCs w:val="22"/>
        </w:rPr>
        <w:t xml:space="preserve">vaccine </w:t>
      </w:r>
      <w:r w:rsidRPr="009F6E49">
        <w:rPr>
          <w:rFonts w:eastAsia="SimSun" w:cs="Calibri"/>
          <w:color w:val="000000"/>
          <w:szCs w:val="22"/>
        </w:rPr>
        <w:t xml:space="preserve">multiple introduction through the reduction of upfront costs. </w:t>
      </w:r>
      <w:r w:rsidR="00ED4115">
        <w:rPr>
          <w:rFonts w:eastAsia="SimSun" w:cs="Calibri"/>
          <w:color w:val="000000"/>
          <w:szCs w:val="22"/>
        </w:rPr>
        <w:t>T</w:t>
      </w:r>
      <w:r w:rsidRPr="009F6E49">
        <w:rPr>
          <w:rFonts w:eastAsia="SimSun" w:cs="Calibri"/>
          <w:color w:val="000000"/>
          <w:szCs w:val="22"/>
        </w:rPr>
        <w:t>raining of health care workers at di</w:t>
      </w:r>
      <w:r w:rsidR="00E953CE">
        <w:rPr>
          <w:rFonts w:eastAsia="SimSun" w:cs="Calibri"/>
          <w:color w:val="000000"/>
          <w:szCs w:val="22"/>
        </w:rPr>
        <w:t xml:space="preserve">strict level </w:t>
      </w:r>
      <w:r w:rsidR="00ED4115">
        <w:rPr>
          <w:rFonts w:eastAsia="SimSun" w:cs="Calibri"/>
          <w:color w:val="000000"/>
          <w:szCs w:val="22"/>
        </w:rPr>
        <w:t>is being planned.</w:t>
      </w:r>
    </w:p>
    <w:p w:rsidR="00637544" w:rsidRDefault="00637544" w:rsidP="00ED08E6">
      <w:pPr>
        <w:pStyle w:val="Caption"/>
        <w:keepNext/>
        <w:spacing w:before="120" w:after="120"/>
      </w:pPr>
      <w:r>
        <w:lastRenderedPageBreak/>
        <w:t xml:space="preserve">Table </w:t>
      </w:r>
      <w:r w:rsidR="00112F1A">
        <w:t>2</w:t>
      </w:r>
      <w:r w:rsidR="00ED08E6">
        <w:t>:</w:t>
      </w:r>
      <w:r>
        <w:t xml:space="preserve"> Vaccine Cost</w:t>
      </w:r>
    </w:p>
    <w:tbl>
      <w:tblPr>
        <w:tblW w:w="13500" w:type="dxa"/>
        <w:tblInd w:w="93" w:type="dxa"/>
        <w:tblLook w:val="04A0" w:firstRow="1" w:lastRow="0" w:firstColumn="1" w:lastColumn="0" w:noHBand="0" w:noVBand="1"/>
      </w:tblPr>
      <w:tblGrid>
        <w:gridCol w:w="4580"/>
        <w:gridCol w:w="1260"/>
        <w:gridCol w:w="1260"/>
        <w:gridCol w:w="1260"/>
        <w:gridCol w:w="1260"/>
        <w:gridCol w:w="1260"/>
        <w:gridCol w:w="1260"/>
        <w:gridCol w:w="1360"/>
      </w:tblGrid>
      <w:tr w:rsidR="00A73A2D" w:rsidRPr="00A73A2D" w:rsidTr="0081327E">
        <w:trPr>
          <w:trHeight w:val="280"/>
        </w:trPr>
        <w:tc>
          <w:tcPr>
            <w:tcW w:w="4580" w:type="dxa"/>
            <w:tcBorders>
              <w:top w:val="single" w:sz="8" w:space="0" w:color="auto"/>
              <w:left w:val="nil"/>
              <w:bottom w:val="nil"/>
              <w:right w:val="nil"/>
            </w:tcBorders>
            <w:shd w:val="clear" w:color="000000" w:fill="CC99FF"/>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IPV</w:t>
            </w:r>
          </w:p>
        </w:tc>
        <w:tc>
          <w:tcPr>
            <w:tcW w:w="1260" w:type="dxa"/>
            <w:tcBorders>
              <w:top w:val="single" w:sz="8" w:space="0" w:color="auto"/>
              <w:left w:val="nil"/>
              <w:bottom w:val="nil"/>
              <w:right w:val="nil"/>
            </w:tcBorders>
            <w:shd w:val="clear" w:color="000000" w:fill="CC99FF"/>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2014</w:t>
            </w:r>
          </w:p>
        </w:tc>
        <w:tc>
          <w:tcPr>
            <w:tcW w:w="1260" w:type="dxa"/>
            <w:tcBorders>
              <w:top w:val="single" w:sz="8" w:space="0" w:color="auto"/>
              <w:left w:val="nil"/>
              <w:bottom w:val="nil"/>
              <w:right w:val="nil"/>
            </w:tcBorders>
            <w:shd w:val="clear" w:color="000000" w:fill="CC99FF"/>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2015</w:t>
            </w:r>
          </w:p>
        </w:tc>
        <w:tc>
          <w:tcPr>
            <w:tcW w:w="1260" w:type="dxa"/>
            <w:tcBorders>
              <w:top w:val="single" w:sz="8" w:space="0" w:color="auto"/>
              <w:left w:val="nil"/>
              <w:bottom w:val="nil"/>
              <w:right w:val="nil"/>
            </w:tcBorders>
            <w:shd w:val="clear" w:color="000000" w:fill="CC99FF"/>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2016</w:t>
            </w:r>
          </w:p>
        </w:tc>
        <w:tc>
          <w:tcPr>
            <w:tcW w:w="1260" w:type="dxa"/>
            <w:tcBorders>
              <w:top w:val="single" w:sz="8" w:space="0" w:color="auto"/>
              <w:left w:val="nil"/>
              <w:bottom w:val="nil"/>
              <w:right w:val="nil"/>
            </w:tcBorders>
            <w:shd w:val="clear" w:color="000000" w:fill="CC99FF"/>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2017</w:t>
            </w:r>
          </w:p>
        </w:tc>
        <w:tc>
          <w:tcPr>
            <w:tcW w:w="1260" w:type="dxa"/>
            <w:tcBorders>
              <w:top w:val="single" w:sz="8" w:space="0" w:color="auto"/>
              <w:left w:val="nil"/>
              <w:bottom w:val="nil"/>
              <w:right w:val="nil"/>
            </w:tcBorders>
            <w:shd w:val="clear" w:color="000000" w:fill="CC99FF"/>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2018</w:t>
            </w:r>
          </w:p>
        </w:tc>
        <w:tc>
          <w:tcPr>
            <w:tcW w:w="1260" w:type="dxa"/>
            <w:tcBorders>
              <w:top w:val="single" w:sz="8" w:space="0" w:color="auto"/>
              <w:left w:val="nil"/>
              <w:bottom w:val="nil"/>
              <w:right w:val="nil"/>
            </w:tcBorders>
            <w:shd w:val="clear" w:color="000000" w:fill="CC99FF"/>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2019</w:t>
            </w:r>
          </w:p>
        </w:tc>
        <w:tc>
          <w:tcPr>
            <w:tcW w:w="1360" w:type="dxa"/>
            <w:tcBorders>
              <w:top w:val="single" w:sz="8" w:space="0" w:color="auto"/>
              <w:left w:val="nil"/>
              <w:bottom w:val="nil"/>
              <w:right w:val="nil"/>
            </w:tcBorders>
            <w:shd w:val="clear" w:color="000000" w:fill="CC99FF"/>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2020</w:t>
            </w:r>
          </w:p>
        </w:tc>
      </w:tr>
      <w:tr w:rsidR="00A73A2D" w:rsidRPr="00A73A2D" w:rsidTr="0081327E">
        <w:trPr>
          <w:trHeight w:val="280"/>
        </w:trPr>
        <w:tc>
          <w:tcPr>
            <w:tcW w:w="4580" w:type="dxa"/>
            <w:tcBorders>
              <w:top w:val="single" w:sz="4" w:space="0" w:color="auto"/>
              <w:left w:val="single" w:sz="4" w:space="0" w:color="auto"/>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Estimated # Surviving Chidren</w:t>
            </w:r>
          </w:p>
        </w:tc>
        <w:tc>
          <w:tcPr>
            <w:tcW w:w="1260" w:type="dxa"/>
            <w:tcBorders>
              <w:top w:val="single" w:sz="4" w:space="0" w:color="auto"/>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p>
        </w:tc>
        <w:tc>
          <w:tcPr>
            <w:tcW w:w="1260" w:type="dxa"/>
            <w:tcBorders>
              <w:top w:val="single" w:sz="4" w:space="0" w:color="auto"/>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233,397</w:t>
            </w:r>
          </w:p>
        </w:tc>
        <w:tc>
          <w:tcPr>
            <w:tcW w:w="1260" w:type="dxa"/>
            <w:tcBorders>
              <w:top w:val="single" w:sz="4" w:space="0" w:color="auto"/>
              <w:left w:val="nil"/>
              <w:bottom w:val="single" w:sz="4" w:space="0" w:color="auto"/>
              <w:right w:val="single" w:sz="4" w:space="0" w:color="auto"/>
            </w:tcBorders>
            <w:shd w:val="clear" w:color="000000" w:fill="FFFF00"/>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238,765</w:t>
            </w:r>
          </w:p>
        </w:tc>
        <w:tc>
          <w:tcPr>
            <w:tcW w:w="1260" w:type="dxa"/>
            <w:tcBorders>
              <w:top w:val="single" w:sz="4" w:space="0" w:color="auto"/>
              <w:left w:val="nil"/>
              <w:bottom w:val="single" w:sz="4" w:space="0" w:color="auto"/>
              <w:right w:val="single" w:sz="4" w:space="0" w:color="auto"/>
            </w:tcBorders>
            <w:shd w:val="clear" w:color="000000" w:fill="FFFF00"/>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244,257</w:t>
            </w:r>
          </w:p>
        </w:tc>
        <w:tc>
          <w:tcPr>
            <w:tcW w:w="1260" w:type="dxa"/>
            <w:tcBorders>
              <w:top w:val="single" w:sz="4" w:space="0" w:color="auto"/>
              <w:left w:val="nil"/>
              <w:bottom w:val="single" w:sz="4" w:space="0" w:color="auto"/>
              <w:right w:val="single" w:sz="4" w:space="0" w:color="auto"/>
            </w:tcBorders>
            <w:shd w:val="clear" w:color="000000" w:fill="FFFF00"/>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249,875</w:t>
            </w:r>
          </w:p>
        </w:tc>
        <w:tc>
          <w:tcPr>
            <w:tcW w:w="1260" w:type="dxa"/>
            <w:tcBorders>
              <w:top w:val="single" w:sz="4" w:space="0" w:color="auto"/>
              <w:left w:val="nil"/>
              <w:bottom w:val="single" w:sz="4" w:space="0" w:color="auto"/>
              <w:right w:val="single" w:sz="4" w:space="0" w:color="auto"/>
            </w:tcBorders>
            <w:shd w:val="clear" w:color="000000" w:fill="FFFF00"/>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255,622</w:t>
            </w:r>
          </w:p>
        </w:tc>
        <w:tc>
          <w:tcPr>
            <w:tcW w:w="1360" w:type="dxa"/>
            <w:tcBorders>
              <w:top w:val="single" w:sz="4" w:space="0" w:color="auto"/>
              <w:left w:val="nil"/>
              <w:bottom w:val="single" w:sz="4" w:space="0" w:color="auto"/>
              <w:right w:val="single" w:sz="4" w:space="0" w:color="auto"/>
            </w:tcBorders>
            <w:shd w:val="clear" w:color="000000" w:fill="FFFF00"/>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261,501</w:t>
            </w:r>
          </w:p>
        </w:tc>
      </w:tr>
      <w:tr w:rsidR="00A73A2D" w:rsidRPr="00A73A2D" w:rsidTr="0081327E">
        <w:trPr>
          <w:trHeight w:val="280"/>
        </w:trPr>
        <w:tc>
          <w:tcPr>
            <w:tcW w:w="4580" w:type="dxa"/>
            <w:tcBorders>
              <w:top w:val="nil"/>
              <w:left w:val="single" w:sz="4" w:space="0" w:color="auto"/>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Adjusted for November 2015 start date</w:t>
            </w: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38,900</w:t>
            </w: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p>
        </w:tc>
        <w:tc>
          <w:tcPr>
            <w:tcW w:w="13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p>
        </w:tc>
      </w:tr>
      <w:tr w:rsidR="00A73A2D" w:rsidRPr="00A73A2D" w:rsidTr="0081327E">
        <w:trPr>
          <w:trHeight w:val="280"/>
        </w:trPr>
        <w:tc>
          <w:tcPr>
            <w:tcW w:w="4580" w:type="dxa"/>
            <w:tcBorders>
              <w:top w:val="nil"/>
              <w:left w:val="single" w:sz="4" w:space="0" w:color="auto"/>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Coverage estimates (for IPV)</w:t>
            </w: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80%</w:t>
            </w: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80%</w:t>
            </w: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80%</w:t>
            </w: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80%</w:t>
            </w: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80%</w:t>
            </w:r>
          </w:p>
        </w:tc>
        <w:tc>
          <w:tcPr>
            <w:tcW w:w="13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80%</w:t>
            </w:r>
          </w:p>
        </w:tc>
      </w:tr>
      <w:tr w:rsidR="00A73A2D" w:rsidRPr="00A73A2D" w:rsidTr="0081327E">
        <w:trPr>
          <w:trHeight w:val="280"/>
        </w:trPr>
        <w:tc>
          <w:tcPr>
            <w:tcW w:w="4580" w:type="dxa"/>
            <w:tcBorders>
              <w:top w:val="nil"/>
              <w:left w:val="single" w:sz="4" w:space="0" w:color="auto"/>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Doses in schedule</w:t>
            </w: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 xml:space="preserve"> 1 </w:t>
            </w: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1</w:t>
            </w: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1</w:t>
            </w: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1</w:t>
            </w: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1</w:t>
            </w:r>
          </w:p>
        </w:tc>
        <w:tc>
          <w:tcPr>
            <w:tcW w:w="13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3</w:t>
            </w:r>
          </w:p>
        </w:tc>
      </w:tr>
      <w:tr w:rsidR="00A73A2D" w:rsidRPr="00A73A2D" w:rsidTr="0081327E">
        <w:trPr>
          <w:trHeight w:val="280"/>
        </w:trPr>
        <w:tc>
          <w:tcPr>
            <w:tcW w:w="4580" w:type="dxa"/>
            <w:tcBorders>
              <w:top w:val="nil"/>
              <w:left w:val="single" w:sz="4" w:space="0" w:color="auto"/>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Total # of doses needed (excluding wastage)</w:t>
            </w: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31,120</w:t>
            </w: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191,012</w:t>
            </w: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195,406</w:t>
            </w: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199,900</w:t>
            </w: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204,498</w:t>
            </w:r>
          </w:p>
        </w:tc>
        <w:tc>
          <w:tcPr>
            <w:tcW w:w="13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627,603</w:t>
            </w:r>
          </w:p>
        </w:tc>
      </w:tr>
      <w:tr w:rsidR="00A73A2D" w:rsidRPr="00A73A2D" w:rsidTr="0081327E">
        <w:trPr>
          <w:trHeight w:val="280"/>
        </w:trPr>
        <w:tc>
          <w:tcPr>
            <w:tcW w:w="4580" w:type="dxa"/>
            <w:tcBorders>
              <w:top w:val="nil"/>
              <w:left w:val="single" w:sz="4" w:space="0" w:color="auto"/>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Wastage estimates</w:t>
            </w: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30%</w:t>
            </w: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30%</w:t>
            </w: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30%</w:t>
            </w: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30%</w:t>
            </w: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30%</w:t>
            </w:r>
          </w:p>
        </w:tc>
        <w:tc>
          <w:tcPr>
            <w:tcW w:w="13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30%</w:t>
            </w:r>
          </w:p>
        </w:tc>
      </w:tr>
      <w:tr w:rsidR="00A73A2D" w:rsidRPr="00A73A2D" w:rsidTr="0081327E">
        <w:trPr>
          <w:trHeight w:val="280"/>
        </w:trPr>
        <w:tc>
          <w:tcPr>
            <w:tcW w:w="4580" w:type="dxa"/>
            <w:tcBorders>
              <w:top w:val="nil"/>
              <w:left w:val="single" w:sz="4" w:space="0" w:color="auto"/>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Pr>
                <w:rFonts w:asciiTheme="minorBidi" w:hAnsiTheme="minorBidi" w:cstheme="minorBidi"/>
                <w:sz w:val="16"/>
                <w:szCs w:val="16"/>
              </w:rPr>
              <w:t>W</w:t>
            </w:r>
            <w:r w:rsidRPr="00A73A2D">
              <w:rPr>
                <w:rFonts w:asciiTheme="minorBidi" w:hAnsiTheme="minorBidi" w:cstheme="minorBidi"/>
                <w:sz w:val="16"/>
                <w:szCs w:val="16"/>
              </w:rPr>
              <w:t>astage factor</w:t>
            </w: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p>
        </w:tc>
        <w:tc>
          <w:tcPr>
            <w:tcW w:w="1260" w:type="dxa"/>
            <w:tcBorders>
              <w:top w:val="nil"/>
              <w:left w:val="nil"/>
              <w:bottom w:val="single" w:sz="4" w:space="0" w:color="auto"/>
              <w:right w:val="single" w:sz="4" w:space="0" w:color="auto"/>
            </w:tcBorders>
            <w:shd w:val="clear" w:color="000000" w:fill="FFFF00"/>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1.43</w:t>
            </w:r>
          </w:p>
        </w:tc>
        <w:tc>
          <w:tcPr>
            <w:tcW w:w="1260" w:type="dxa"/>
            <w:tcBorders>
              <w:top w:val="nil"/>
              <w:left w:val="nil"/>
              <w:bottom w:val="single" w:sz="4" w:space="0" w:color="auto"/>
              <w:right w:val="single" w:sz="4" w:space="0" w:color="auto"/>
            </w:tcBorders>
            <w:shd w:val="clear" w:color="000000" w:fill="FFFF00"/>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1.43</w:t>
            </w:r>
          </w:p>
        </w:tc>
        <w:tc>
          <w:tcPr>
            <w:tcW w:w="1260" w:type="dxa"/>
            <w:tcBorders>
              <w:top w:val="nil"/>
              <w:left w:val="nil"/>
              <w:bottom w:val="single" w:sz="4" w:space="0" w:color="auto"/>
              <w:right w:val="single" w:sz="4" w:space="0" w:color="auto"/>
            </w:tcBorders>
            <w:shd w:val="clear" w:color="000000" w:fill="FFFF00"/>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1.43</w:t>
            </w:r>
          </w:p>
        </w:tc>
        <w:tc>
          <w:tcPr>
            <w:tcW w:w="1260" w:type="dxa"/>
            <w:tcBorders>
              <w:top w:val="nil"/>
              <w:left w:val="nil"/>
              <w:bottom w:val="single" w:sz="4" w:space="0" w:color="auto"/>
              <w:right w:val="single" w:sz="4" w:space="0" w:color="auto"/>
            </w:tcBorders>
            <w:shd w:val="clear" w:color="000000" w:fill="FFFF00"/>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1.43</w:t>
            </w:r>
          </w:p>
        </w:tc>
        <w:tc>
          <w:tcPr>
            <w:tcW w:w="1260" w:type="dxa"/>
            <w:tcBorders>
              <w:top w:val="nil"/>
              <w:left w:val="nil"/>
              <w:bottom w:val="single" w:sz="4" w:space="0" w:color="auto"/>
              <w:right w:val="single" w:sz="4" w:space="0" w:color="auto"/>
            </w:tcBorders>
            <w:shd w:val="clear" w:color="000000" w:fill="FFFF00"/>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1.43</w:t>
            </w:r>
          </w:p>
        </w:tc>
        <w:tc>
          <w:tcPr>
            <w:tcW w:w="1360" w:type="dxa"/>
            <w:tcBorders>
              <w:top w:val="nil"/>
              <w:left w:val="nil"/>
              <w:bottom w:val="single" w:sz="4" w:space="0" w:color="auto"/>
              <w:right w:val="single" w:sz="4" w:space="0" w:color="auto"/>
            </w:tcBorders>
            <w:shd w:val="clear" w:color="000000" w:fill="FFFF00"/>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1.43</w:t>
            </w:r>
          </w:p>
        </w:tc>
      </w:tr>
      <w:tr w:rsidR="00A73A2D" w:rsidRPr="00A73A2D" w:rsidTr="0081327E">
        <w:trPr>
          <w:trHeight w:val="280"/>
        </w:trPr>
        <w:tc>
          <w:tcPr>
            <w:tcW w:w="4580" w:type="dxa"/>
            <w:tcBorders>
              <w:top w:val="nil"/>
              <w:left w:val="single" w:sz="4" w:space="0" w:color="auto"/>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Total # of doses needed (including wastage)</w:t>
            </w: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 xml:space="preserve"> 44,457 </w:t>
            </w: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 xml:space="preserve"> 272,875 </w:t>
            </w: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 xml:space="preserve"> 279,151 </w:t>
            </w: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 xml:space="preserve"> 285,571 </w:t>
            </w: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 xml:space="preserve"> 292,140 </w:t>
            </w:r>
          </w:p>
        </w:tc>
        <w:tc>
          <w:tcPr>
            <w:tcW w:w="13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 xml:space="preserve"> 896,576 </w:t>
            </w:r>
          </w:p>
        </w:tc>
      </w:tr>
      <w:tr w:rsidR="00A73A2D" w:rsidRPr="00A73A2D" w:rsidTr="0081327E">
        <w:trPr>
          <w:trHeight w:val="280"/>
        </w:trPr>
        <w:tc>
          <w:tcPr>
            <w:tcW w:w="4580" w:type="dxa"/>
            <w:tcBorders>
              <w:top w:val="nil"/>
              <w:left w:val="single" w:sz="4" w:space="0" w:color="auto"/>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Buffer stock needed (additional per year)</w:t>
            </w: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 xml:space="preserve"> 11,114 </w:t>
            </w: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 xml:space="preserve"> 68,219 </w:t>
            </w: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 xml:space="preserve"> 69,788 </w:t>
            </w: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 xml:space="preserve"> 71,393 </w:t>
            </w: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 xml:space="preserve"> 73,035 </w:t>
            </w:r>
          </w:p>
        </w:tc>
        <w:tc>
          <w:tcPr>
            <w:tcW w:w="13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 xml:space="preserve"> 224,144 </w:t>
            </w:r>
          </w:p>
        </w:tc>
      </w:tr>
      <w:tr w:rsidR="00A73A2D" w:rsidRPr="00A73A2D" w:rsidTr="0081327E">
        <w:trPr>
          <w:trHeight w:val="280"/>
        </w:trPr>
        <w:tc>
          <w:tcPr>
            <w:tcW w:w="4580" w:type="dxa"/>
            <w:tcBorders>
              <w:top w:val="nil"/>
              <w:left w:val="single" w:sz="4" w:space="0" w:color="auto"/>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Total vaccine to be procured incl wastage and buffer</w:t>
            </w: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p>
        </w:tc>
        <w:tc>
          <w:tcPr>
            <w:tcW w:w="1260" w:type="dxa"/>
            <w:tcBorders>
              <w:top w:val="nil"/>
              <w:left w:val="nil"/>
              <w:bottom w:val="nil"/>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 xml:space="preserve"> 55,571 </w:t>
            </w:r>
          </w:p>
        </w:tc>
        <w:tc>
          <w:tcPr>
            <w:tcW w:w="1260" w:type="dxa"/>
            <w:tcBorders>
              <w:top w:val="nil"/>
              <w:left w:val="nil"/>
              <w:bottom w:val="nil"/>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 xml:space="preserve"> 341,094 </w:t>
            </w:r>
          </w:p>
        </w:tc>
        <w:tc>
          <w:tcPr>
            <w:tcW w:w="1260" w:type="dxa"/>
            <w:tcBorders>
              <w:top w:val="nil"/>
              <w:left w:val="nil"/>
              <w:bottom w:val="nil"/>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 xml:space="preserve"> 348,939 </w:t>
            </w:r>
          </w:p>
        </w:tc>
        <w:tc>
          <w:tcPr>
            <w:tcW w:w="1260" w:type="dxa"/>
            <w:tcBorders>
              <w:top w:val="nil"/>
              <w:left w:val="nil"/>
              <w:bottom w:val="nil"/>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 xml:space="preserve"> 356,964 </w:t>
            </w:r>
          </w:p>
        </w:tc>
        <w:tc>
          <w:tcPr>
            <w:tcW w:w="1260" w:type="dxa"/>
            <w:tcBorders>
              <w:top w:val="nil"/>
              <w:left w:val="nil"/>
              <w:bottom w:val="nil"/>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 xml:space="preserve"> 365,174 </w:t>
            </w:r>
          </w:p>
        </w:tc>
        <w:tc>
          <w:tcPr>
            <w:tcW w:w="1360" w:type="dxa"/>
            <w:tcBorders>
              <w:top w:val="nil"/>
              <w:left w:val="nil"/>
              <w:bottom w:val="nil"/>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 xml:space="preserve"> 1,120,720 </w:t>
            </w:r>
          </w:p>
        </w:tc>
      </w:tr>
      <w:tr w:rsidR="00A73A2D" w:rsidRPr="00A73A2D" w:rsidTr="0081327E">
        <w:trPr>
          <w:trHeight w:val="280"/>
        </w:trPr>
        <w:tc>
          <w:tcPr>
            <w:tcW w:w="4580" w:type="dxa"/>
            <w:tcBorders>
              <w:top w:val="nil"/>
              <w:left w:val="single" w:sz="4" w:space="0" w:color="auto"/>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Price of vaccine/dose</w:t>
            </w: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p>
        </w:tc>
        <w:tc>
          <w:tcPr>
            <w:tcW w:w="1260" w:type="dxa"/>
            <w:tcBorders>
              <w:top w:val="single" w:sz="4" w:space="0" w:color="auto"/>
              <w:left w:val="nil"/>
              <w:bottom w:val="single" w:sz="4" w:space="0" w:color="auto"/>
              <w:right w:val="single" w:sz="4" w:space="0" w:color="auto"/>
            </w:tcBorders>
            <w:shd w:val="clear" w:color="000000" w:fill="CC99FF"/>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 xml:space="preserve"> $1.00 </w:t>
            </w:r>
          </w:p>
        </w:tc>
        <w:tc>
          <w:tcPr>
            <w:tcW w:w="1260" w:type="dxa"/>
            <w:tcBorders>
              <w:top w:val="single" w:sz="4" w:space="0" w:color="auto"/>
              <w:left w:val="nil"/>
              <w:bottom w:val="single" w:sz="4" w:space="0" w:color="auto"/>
              <w:right w:val="single" w:sz="4" w:space="0" w:color="auto"/>
            </w:tcBorders>
            <w:shd w:val="clear" w:color="000000" w:fill="CC99FF"/>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 xml:space="preserve"> $1.00 </w:t>
            </w:r>
          </w:p>
        </w:tc>
        <w:tc>
          <w:tcPr>
            <w:tcW w:w="1260" w:type="dxa"/>
            <w:tcBorders>
              <w:top w:val="single" w:sz="4" w:space="0" w:color="auto"/>
              <w:left w:val="nil"/>
              <w:bottom w:val="single" w:sz="4" w:space="0" w:color="auto"/>
              <w:right w:val="single" w:sz="4" w:space="0" w:color="auto"/>
            </w:tcBorders>
            <w:shd w:val="clear" w:color="000000" w:fill="CC99FF"/>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 xml:space="preserve"> $1.00 </w:t>
            </w:r>
          </w:p>
        </w:tc>
        <w:tc>
          <w:tcPr>
            <w:tcW w:w="1260" w:type="dxa"/>
            <w:tcBorders>
              <w:top w:val="single" w:sz="4" w:space="0" w:color="auto"/>
              <w:left w:val="nil"/>
              <w:bottom w:val="single" w:sz="4" w:space="0" w:color="auto"/>
              <w:right w:val="single" w:sz="4" w:space="0" w:color="auto"/>
            </w:tcBorders>
            <w:shd w:val="clear" w:color="000000" w:fill="CC99FF"/>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 xml:space="preserve"> $1.00 </w:t>
            </w:r>
          </w:p>
        </w:tc>
        <w:tc>
          <w:tcPr>
            <w:tcW w:w="1260" w:type="dxa"/>
            <w:tcBorders>
              <w:top w:val="single" w:sz="4" w:space="0" w:color="auto"/>
              <w:left w:val="nil"/>
              <w:bottom w:val="single" w:sz="4" w:space="0" w:color="auto"/>
              <w:right w:val="single" w:sz="4" w:space="0" w:color="auto"/>
            </w:tcBorders>
            <w:shd w:val="clear" w:color="000000" w:fill="CC99FF"/>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 xml:space="preserve"> $1.00 </w:t>
            </w:r>
          </w:p>
        </w:tc>
        <w:tc>
          <w:tcPr>
            <w:tcW w:w="1360" w:type="dxa"/>
            <w:tcBorders>
              <w:top w:val="single" w:sz="4" w:space="0" w:color="auto"/>
              <w:left w:val="nil"/>
              <w:bottom w:val="single" w:sz="4" w:space="0" w:color="auto"/>
              <w:right w:val="single" w:sz="4" w:space="0" w:color="auto"/>
            </w:tcBorders>
            <w:shd w:val="clear" w:color="000000" w:fill="CC99FF"/>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 xml:space="preserve"> $1.00 </w:t>
            </w:r>
          </w:p>
        </w:tc>
      </w:tr>
      <w:tr w:rsidR="00A73A2D" w:rsidRPr="00A73A2D" w:rsidTr="0081327E">
        <w:trPr>
          <w:trHeight w:val="280"/>
        </w:trPr>
        <w:tc>
          <w:tcPr>
            <w:tcW w:w="4580" w:type="dxa"/>
            <w:tcBorders>
              <w:top w:val="nil"/>
              <w:left w:val="single" w:sz="4" w:space="0" w:color="auto"/>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Freight cost</w:t>
            </w:r>
          </w:p>
        </w:tc>
        <w:tc>
          <w:tcPr>
            <w:tcW w:w="1260" w:type="dxa"/>
            <w:tcBorders>
              <w:top w:val="nil"/>
              <w:left w:val="nil"/>
              <w:bottom w:val="single" w:sz="4" w:space="0" w:color="auto"/>
              <w:right w:val="single" w:sz="4" w:space="0" w:color="auto"/>
            </w:tcBorders>
            <w:shd w:val="clear" w:color="auto" w:fill="auto"/>
            <w:noWrap/>
          </w:tcPr>
          <w:p w:rsidR="00A73A2D" w:rsidRPr="00A73A2D" w:rsidRDefault="00A73A2D" w:rsidP="00033258">
            <w:pPr>
              <w:rPr>
                <w:rFonts w:asciiTheme="minorBidi" w:hAnsiTheme="minorBidi" w:cstheme="minorBidi"/>
                <w:sz w:val="16"/>
                <w:szCs w:val="16"/>
              </w:rPr>
            </w:pPr>
          </w:p>
        </w:tc>
        <w:tc>
          <w:tcPr>
            <w:tcW w:w="1260" w:type="dxa"/>
            <w:tcBorders>
              <w:top w:val="nil"/>
              <w:left w:val="nil"/>
              <w:bottom w:val="single" w:sz="4" w:space="0" w:color="auto"/>
              <w:right w:val="single" w:sz="4" w:space="0" w:color="auto"/>
            </w:tcBorders>
            <w:shd w:val="clear" w:color="000000" w:fill="FFFF00"/>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10%</w:t>
            </w:r>
          </w:p>
        </w:tc>
        <w:tc>
          <w:tcPr>
            <w:tcW w:w="1260" w:type="dxa"/>
            <w:tcBorders>
              <w:top w:val="nil"/>
              <w:left w:val="nil"/>
              <w:bottom w:val="single" w:sz="4" w:space="0" w:color="auto"/>
              <w:right w:val="single" w:sz="4" w:space="0" w:color="auto"/>
            </w:tcBorders>
            <w:shd w:val="clear" w:color="000000" w:fill="FFFF00"/>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10%</w:t>
            </w:r>
          </w:p>
        </w:tc>
        <w:tc>
          <w:tcPr>
            <w:tcW w:w="1260" w:type="dxa"/>
            <w:tcBorders>
              <w:top w:val="nil"/>
              <w:left w:val="nil"/>
              <w:bottom w:val="single" w:sz="4" w:space="0" w:color="auto"/>
              <w:right w:val="single" w:sz="4" w:space="0" w:color="auto"/>
            </w:tcBorders>
            <w:shd w:val="clear" w:color="000000" w:fill="FFFF00"/>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10%</w:t>
            </w:r>
          </w:p>
        </w:tc>
        <w:tc>
          <w:tcPr>
            <w:tcW w:w="1260" w:type="dxa"/>
            <w:tcBorders>
              <w:top w:val="nil"/>
              <w:left w:val="nil"/>
              <w:bottom w:val="single" w:sz="4" w:space="0" w:color="auto"/>
              <w:right w:val="single" w:sz="4" w:space="0" w:color="auto"/>
            </w:tcBorders>
            <w:shd w:val="clear" w:color="000000" w:fill="FFFF00"/>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10%</w:t>
            </w:r>
          </w:p>
        </w:tc>
        <w:tc>
          <w:tcPr>
            <w:tcW w:w="1260" w:type="dxa"/>
            <w:tcBorders>
              <w:top w:val="nil"/>
              <w:left w:val="nil"/>
              <w:bottom w:val="single" w:sz="4" w:space="0" w:color="auto"/>
              <w:right w:val="single" w:sz="4" w:space="0" w:color="auto"/>
            </w:tcBorders>
            <w:shd w:val="clear" w:color="000000" w:fill="FFFF00"/>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10%</w:t>
            </w:r>
          </w:p>
        </w:tc>
        <w:tc>
          <w:tcPr>
            <w:tcW w:w="1360" w:type="dxa"/>
            <w:tcBorders>
              <w:top w:val="nil"/>
              <w:left w:val="nil"/>
              <w:bottom w:val="single" w:sz="4" w:space="0" w:color="auto"/>
              <w:right w:val="single" w:sz="4" w:space="0" w:color="auto"/>
            </w:tcBorders>
            <w:shd w:val="clear" w:color="000000" w:fill="FFFF00"/>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10%</w:t>
            </w:r>
          </w:p>
        </w:tc>
      </w:tr>
      <w:tr w:rsidR="00A73A2D" w:rsidRPr="00A73A2D" w:rsidTr="0081327E">
        <w:trPr>
          <w:trHeight w:val="280"/>
        </w:trPr>
        <w:tc>
          <w:tcPr>
            <w:tcW w:w="4580" w:type="dxa"/>
            <w:tcBorders>
              <w:top w:val="nil"/>
              <w:left w:val="single" w:sz="4" w:space="0" w:color="auto"/>
              <w:bottom w:val="single" w:sz="4" w:space="0" w:color="auto"/>
              <w:right w:val="single" w:sz="4" w:space="0" w:color="auto"/>
            </w:tcBorders>
            <w:shd w:val="clear" w:color="000000" w:fill="D9D9D9"/>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IPV cost</w:t>
            </w:r>
          </w:p>
        </w:tc>
        <w:tc>
          <w:tcPr>
            <w:tcW w:w="1260" w:type="dxa"/>
            <w:tcBorders>
              <w:top w:val="nil"/>
              <w:left w:val="nil"/>
              <w:bottom w:val="single" w:sz="4" w:space="0" w:color="auto"/>
              <w:right w:val="single" w:sz="4" w:space="0" w:color="auto"/>
            </w:tcBorders>
            <w:shd w:val="clear" w:color="000000" w:fill="D9D9D9"/>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0</w:t>
            </w:r>
          </w:p>
        </w:tc>
        <w:tc>
          <w:tcPr>
            <w:tcW w:w="1260" w:type="dxa"/>
            <w:tcBorders>
              <w:top w:val="nil"/>
              <w:left w:val="nil"/>
              <w:bottom w:val="single" w:sz="4" w:space="0" w:color="auto"/>
              <w:right w:val="single" w:sz="4" w:space="0" w:color="auto"/>
            </w:tcBorders>
            <w:shd w:val="clear" w:color="000000" w:fill="D9D9D9"/>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 xml:space="preserve"> $61,128 </w:t>
            </w:r>
          </w:p>
        </w:tc>
        <w:tc>
          <w:tcPr>
            <w:tcW w:w="1260" w:type="dxa"/>
            <w:tcBorders>
              <w:top w:val="nil"/>
              <w:left w:val="nil"/>
              <w:bottom w:val="single" w:sz="4" w:space="0" w:color="auto"/>
              <w:right w:val="single" w:sz="4" w:space="0" w:color="auto"/>
            </w:tcBorders>
            <w:shd w:val="clear" w:color="000000" w:fill="D9D9D9"/>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 xml:space="preserve"> $375,203 </w:t>
            </w:r>
          </w:p>
        </w:tc>
        <w:tc>
          <w:tcPr>
            <w:tcW w:w="1260" w:type="dxa"/>
            <w:tcBorders>
              <w:top w:val="nil"/>
              <w:left w:val="nil"/>
              <w:bottom w:val="single" w:sz="4" w:space="0" w:color="auto"/>
              <w:right w:val="single" w:sz="4" w:space="0" w:color="auto"/>
            </w:tcBorders>
            <w:shd w:val="clear" w:color="000000" w:fill="D9D9D9"/>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 xml:space="preserve"> $383,833 </w:t>
            </w:r>
          </w:p>
        </w:tc>
        <w:tc>
          <w:tcPr>
            <w:tcW w:w="1260" w:type="dxa"/>
            <w:tcBorders>
              <w:top w:val="nil"/>
              <w:left w:val="nil"/>
              <w:bottom w:val="single" w:sz="4" w:space="0" w:color="auto"/>
              <w:right w:val="single" w:sz="4" w:space="0" w:color="auto"/>
            </w:tcBorders>
            <w:shd w:val="clear" w:color="000000" w:fill="D9D9D9"/>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 xml:space="preserve"> $392,661 </w:t>
            </w:r>
          </w:p>
        </w:tc>
        <w:tc>
          <w:tcPr>
            <w:tcW w:w="1260" w:type="dxa"/>
            <w:tcBorders>
              <w:top w:val="nil"/>
              <w:left w:val="nil"/>
              <w:bottom w:val="single" w:sz="4" w:space="0" w:color="auto"/>
              <w:right w:val="single" w:sz="4" w:space="0" w:color="auto"/>
            </w:tcBorders>
            <w:shd w:val="clear" w:color="000000" w:fill="D9D9D9"/>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 xml:space="preserve"> $401,692 </w:t>
            </w:r>
          </w:p>
        </w:tc>
        <w:tc>
          <w:tcPr>
            <w:tcW w:w="1360" w:type="dxa"/>
            <w:tcBorders>
              <w:top w:val="nil"/>
              <w:left w:val="nil"/>
              <w:bottom w:val="single" w:sz="4" w:space="0" w:color="auto"/>
              <w:right w:val="single" w:sz="4" w:space="0" w:color="auto"/>
            </w:tcBorders>
            <w:shd w:val="clear" w:color="000000" w:fill="D9D9D9"/>
            <w:noWrap/>
          </w:tcPr>
          <w:p w:rsidR="00A73A2D" w:rsidRPr="00A73A2D" w:rsidRDefault="00A73A2D" w:rsidP="00033258">
            <w:pPr>
              <w:rPr>
                <w:rFonts w:asciiTheme="minorBidi" w:hAnsiTheme="minorBidi" w:cstheme="minorBidi"/>
                <w:sz w:val="16"/>
                <w:szCs w:val="16"/>
              </w:rPr>
            </w:pPr>
            <w:r w:rsidRPr="00A73A2D">
              <w:rPr>
                <w:rFonts w:asciiTheme="minorBidi" w:hAnsiTheme="minorBidi" w:cstheme="minorBidi"/>
                <w:sz w:val="16"/>
                <w:szCs w:val="16"/>
              </w:rPr>
              <w:t xml:space="preserve"> $1,232,792 </w:t>
            </w:r>
          </w:p>
        </w:tc>
      </w:tr>
    </w:tbl>
    <w:p w:rsidR="00637544" w:rsidRDefault="00637544" w:rsidP="00ED4115">
      <w:pPr>
        <w:pStyle w:val="Caption"/>
        <w:keepNext/>
        <w:spacing w:before="120" w:after="120"/>
      </w:pPr>
      <w:r>
        <w:t xml:space="preserve">Table </w:t>
      </w:r>
      <w:r w:rsidR="00112F1A">
        <w:t>3</w:t>
      </w:r>
      <w:r w:rsidR="00ED4115">
        <w:t>:</w:t>
      </w:r>
      <w:r>
        <w:t xml:space="preserve"> Injection Supply Costs</w:t>
      </w:r>
    </w:p>
    <w:tbl>
      <w:tblPr>
        <w:tblW w:w="13500" w:type="dxa"/>
        <w:tblInd w:w="93" w:type="dxa"/>
        <w:tblLook w:val="04A0" w:firstRow="1" w:lastRow="0" w:firstColumn="1" w:lastColumn="0" w:noHBand="0" w:noVBand="1"/>
      </w:tblPr>
      <w:tblGrid>
        <w:gridCol w:w="5480"/>
        <w:gridCol w:w="1060"/>
        <w:gridCol w:w="1160"/>
        <w:gridCol w:w="1160"/>
        <w:gridCol w:w="1160"/>
        <w:gridCol w:w="1160"/>
        <w:gridCol w:w="1160"/>
        <w:gridCol w:w="1160"/>
      </w:tblGrid>
      <w:tr w:rsidR="00A73A2D" w:rsidRPr="00ED4115" w:rsidTr="00F22417">
        <w:trPr>
          <w:trHeight w:val="280"/>
        </w:trPr>
        <w:tc>
          <w:tcPr>
            <w:tcW w:w="5480" w:type="dxa"/>
            <w:tcBorders>
              <w:top w:val="single" w:sz="4" w:space="0" w:color="auto"/>
              <w:left w:val="single" w:sz="4" w:space="0" w:color="auto"/>
              <w:bottom w:val="single" w:sz="4" w:space="0" w:color="auto"/>
              <w:right w:val="nil"/>
            </w:tcBorders>
            <w:shd w:val="clear" w:color="000000" w:fill="CC99FF"/>
            <w:noWrap/>
          </w:tcPr>
          <w:p w:rsidR="00A73A2D" w:rsidRPr="00ED4115" w:rsidRDefault="00A73A2D" w:rsidP="009342DE">
            <w:pPr>
              <w:rPr>
                <w:rFonts w:asciiTheme="minorBidi" w:hAnsiTheme="minorBidi" w:cstheme="minorBidi"/>
                <w:sz w:val="16"/>
                <w:szCs w:val="16"/>
              </w:rPr>
            </w:pPr>
          </w:p>
        </w:tc>
        <w:tc>
          <w:tcPr>
            <w:tcW w:w="1060" w:type="dxa"/>
            <w:tcBorders>
              <w:top w:val="single" w:sz="4" w:space="0" w:color="auto"/>
              <w:left w:val="single" w:sz="4" w:space="0" w:color="auto"/>
              <w:bottom w:val="single" w:sz="4" w:space="0" w:color="auto"/>
              <w:right w:val="single" w:sz="4" w:space="0" w:color="auto"/>
            </w:tcBorders>
            <w:shd w:val="clear" w:color="000000" w:fill="CC99FF"/>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2014</w:t>
            </w:r>
          </w:p>
        </w:tc>
        <w:tc>
          <w:tcPr>
            <w:tcW w:w="1160" w:type="dxa"/>
            <w:tcBorders>
              <w:top w:val="single" w:sz="4" w:space="0" w:color="auto"/>
              <w:left w:val="nil"/>
              <w:bottom w:val="single" w:sz="4" w:space="0" w:color="auto"/>
              <w:right w:val="single" w:sz="4" w:space="0" w:color="auto"/>
            </w:tcBorders>
            <w:shd w:val="clear" w:color="000000" w:fill="CC99FF"/>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2015</w:t>
            </w:r>
          </w:p>
        </w:tc>
        <w:tc>
          <w:tcPr>
            <w:tcW w:w="1160" w:type="dxa"/>
            <w:tcBorders>
              <w:top w:val="single" w:sz="4" w:space="0" w:color="auto"/>
              <w:left w:val="nil"/>
              <w:bottom w:val="single" w:sz="4" w:space="0" w:color="auto"/>
              <w:right w:val="single" w:sz="4" w:space="0" w:color="auto"/>
            </w:tcBorders>
            <w:shd w:val="clear" w:color="000000" w:fill="CC99FF"/>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2016</w:t>
            </w:r>
          </w:p>
        </w:tc>
        <w:tc>
          <w:tcPr>
            <w:tcW w:w="1160" w:type="dxa"/>
            <w:tcBorders>
              <w:top w:val="single" w:sz="4" w:space="0" w:color="auto"/>
              <w:left w:val="nil"/>
              <w:bottom w:val="single" w:sz="4" w:space="0" w:color="auto"/>
              <w:right w:val="single" w:sz="4" w:space="0" w:color="auto"/>
            </w:tcBorders>
            <w:shd w:val="clear" w:color="000000" w:fill="CC99FF"/>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2017</w:t>
            </w:r>
          </w:p>
        </w:tc>
        <w:tc>
          <w:tcPr>
            <w:tcW w:w="1160" w:type="dxa"/>
            <w:tcBorders>
              <w:top w:val="single" w:sz="4" w:space="0" w:color="auto"/>
              <w:left w:val="nil"/>
              <w:bottom w:val="single" w:sz="4" w:space="0" w:color="auto"/>
              <w:right w:val="single" w:sz="4" w:space="0" w:color="auto"/>
            </w:tcBorders>
            <w:shd w:val="clear" w:color="000000" w:fill="CC99FF"/>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2018</w:t>
            </w:r>
          </w:p>
        </w:tc>
        <w:tc>
          <w:tcPr>
            <w:tcW w:w="1160" w:type="dxa"/>
            <w:tcBorders>
              <w:top w:val="single" w:sz="4" w:space="0" w:color="auto"/>
              <w:left w:val="nil"/>
              <w:bottom w:val="single" w:sz="4" w:space="0" w:color="auto"/>
              <w:right w:val="single" w:sz="4" w:space="0" w:color="auto"/>
            </w:tcBorders>
            <w:shd w:val="clear" w:color="000000" w:fill="CC99FF"/>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2019</w:t>
            </w:r>
          </w:p>
        </w:tc>
        <w:tc>
          <w:tcPr>
            <w:tcW w:w="1160" w:type="dxa"/>
            <w:tcBorders>
              <w:top w:val="single" w:sz="4" w:space="0" w:color="auto"/>
              <w:left w:val="nil"/>
              <w:bottom w:val="single" w:sz="4" w:space="0" w:color="auto"/>
              <w:right w:val="single" w:sz="4" w:space="0" w:color="auto"/>
            </w:tcBorders>
            <w:shd w:val="clear" w:color="000000" w:fill="CC99FF"/>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2020</w:t>
            </w:r>
          </w:p>
        </w:tc>
      </w:tr>
      <w:tr w:rsidR="00A73A2D" w:rsidRPr="00ED4115" w:rsidTr="00F22417">
        <w:trPr>
          <w:trHeight w:val="280"/>
        </w:trPr>
        <w:tc>
          <w:tcPr>
            <w:tcW w:w="5480" w:type="dxa"/>
            <w:tcBorders>
              <w:top w:val="single" w:sz="4" w:space="0" w:color="auto"/>
              <w:left w:val="single" w:sz="4" w:space="0" w:color="auto"/>
              <w:bottom w:val="single" w:sz="4" w:space="0" w:color="auto"/>
              <w:right w:val="nil"/>
            </w:tcBorders>
            <w:shd w:val="clear" w:color="000000" w:fill="FFCC00"/>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Total # of doses needed (excluding wastage)</w:t>
            </w:r>
          </w:p>
        </w:tc>
        <w:tc>
          <w:tcPr>
            <w:tcW w:w="1060" w:type="dxa"/>
            <w:tcBorders>
              <w:top w:val="nil"/>
              <w:left w:val="single" w:sz="4" w:space="0" w:color="auto"/>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31,120</w:t>
            </w:r>
          </w:p>
        </w:tc>
        <w:tc>
          <w:tcPr>
            <w:tcW w:w="1160" w:type="dxa"/>
            <w:tcBorders>
              <w:top w:val="nil"/>
              <w:left w:val="nil"/>
              <w:bottom w:val="single" w:sz="4" w:space="0" w:color="auto"/>
              <w:right w:val="single" w:sz="4" w:space="0" w:color="auto"/>
            </w:tcBorders>
            <w:shd w:val="clear" w:color="000000" w:fill="FFFF00"/>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191,012</w:t>
            </w:r>
          </w:p>
        </w:tc>
        <w:tc>
          <w:tcPr>
            <w:tcW w:w="1160" w:type="dxa"/>
            <w:tcBorders>
              <w:top w:val="nil"/>
              <w:left w:val="nil"/>
              <w:bottom w:val="single" w:sz="4" w:space="0" w:color="auto"/>
              <w:right w:val="single" w:sz="4" w:space="0" w:color="auto"/>
            </w:tcBorders>
            <w:shd w:val="clear" w:color="000000" w:fill="FFFF00"/>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195,406</w:t>
            </w:r>
          </w:p>
        </w:tc>
        <w:tc>
          <w:tcPr>
            <w:tcW w:w="1160" w:type="dxa"/>
            <w:tcBorders>
              <w:top w:val="nil"/>
              <w:left w:val="nil"/>
              <w:bottom w:val="single" w:sz="4" w:space="0" w:color="auto"/>
              <w:right w:val="single" w:sz="4" w:space="0" w:color="auto"/>
            </w:tcBorders>
            <w:shd w:val="clear" w:color="000000" w:fill="FFFF00"/>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199,900</w:t>
            </w:r>
          </w:p>
        </w:tc>
        <w:tc>
          <w:tcPr>
            <w:tcW w:w="1160" w:type="dxa"/>
            <w:tcBorders>
              <w:top w:val="nil"/>
              <w:left w:val="nil"/>
              <w:bottom w:val="single" w:sz="4" w:space="0" w:color="auto"/>
              <w:right w:val="single" w:sz="4" w:space="0" w:color="auto"/>
            </w:tcBorders>
            <w:shd w:val="clear" w:color="000000" w:fill="FFFF00"/>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204,498</w:t>
            </w:r>
          </w:p>
        </w:tc>
        <w:tc>
          <w:tcPr>
            <w:tcW w:w="1160" w:type="dxa"/>
            <w:tcBorders>
              <w:top w:val="nil"/>
              <w:left w:val="nil"/>
              <w:bottom w:val="single" w:sz="4" w:space="0" w:color="auto"/>
              <w:right w:val="single" w:sz="4" w:space="0" w:color="auto"/>
            </w:tcBorders>
            <w:shd w:val="clear" w:color="000000" w:fill="FFFF00"/>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627,603</w:t>
            </w:r>
          </w:p>
        </w:tc>
      </w:tr>
      <w:tr w:rsidR="00A73A2D" w:rsidRPr="00ED4115" w:rsidTr="00F22417">
        <w:trPr>
          <w:trHeight w:val="280"/>
        </w:trPr>
        <w:tc>
          <w:tcPr>
            <w:tcW w:w="5480" w:type="dxa"/>
            <w:tcBorders>
              <w:top w:val="single" w:sz="4" w:space="0" w:color="auto"/>
              <w:left w:val="single" w:sz="4" w:space="0" w:color="auto"/>
              <w:bottom w:val="single" w:sz="4" w:space="0" w:color="auto"/>
              <w:right w:val="nil"/>
            </w:tcBorders>
            <w:shd w:val="clear" w:color="000000" w:fill="FF99CC"/>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Total # of doses needed (including wastage) + 25% buffer stock</w:t>
            </w:r>
          </w:p>
        </w:tc>
        <w:tc>
          <w:tcPr>
            <w:tcW w:w="1060" w:type="dxa"/>
            <w:tcBorders>
              <w:top w:val="nil"/>
              <w:left w:val="single" w:sz="4" w:space="0" w:color="auto"/>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55571</w:t>
            </w: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341094</w:t>
            </w: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348939</w:t>
            </w: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356964</w:t>
            </w: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365174</w:t>
            </w: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1120720</w:t>
            </w:r>
          </w:p>
        </w:tc>
      </w:tr>
      <w:tr w:rsidR="00A73A2D" w:rsidRPr="00ED4115" w:rsidTr="00F22417">
        <w:trPr>
          <w:trHeight w:val="280"/>
        </w:trPr>
        <w:tc>
          <w:tcPr>
            <w:tcW w:w="5480" w:type="dxa"/>
            <w:tcBorders>
              <w:top w:val="single" w:sz="4" w:space="0" w:color="auto"/>
              <w:left w:val="single" w:sz="4" w:space="0" w:color="auto"/>
              <w:bottom w:val="single" w:sz="4" w:space="0" w:color="auto"/>
              <w:right w:val="nil"/>
            </w:tcBorders>
            <w:shd w:val="clear" w:color="000000" w:fill="FF99CC"/>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AD syringes needed (estimated wastage factor 1.1)</w:t>
            </w:r>
          </w:p>
        </w:tc>
        <w:tc>
          <w:tcPr>
            <w:tcW w:w="1060" w:type="dxa"/>
            <w:tcBorders>
              <w:top w:val="nil"/>
              <w:left w:val="single" w:sz="4" w:space="0" w:color="auto"/>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 xml:space="preserve"> 61,128 </w:t>
            </w: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 xml:space="preserve"> 375,203 </w:t>
            </w: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 xml:space="preserve"> 383,833 </w:t>
            </w: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 xml:space="preserve"> 392,661 </w:t>
            </w: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 xml:space="preserve"> 401,692 </w:t>
            </w: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 xml:space="preserve"> 1,232,792 </w:t>
            </w:r>
          </w:p>
        </w:tc>
      </w:tr>
      <w:tr w:rsidR="00A73A2D" w:rsidRPr="00ED4115" w:rsidTr="00F22417">
        <w:trPr>
          <w:trHeight w:val="280"/>
        </w:trPr>
        <w:tc>
          <w:tcPr>
            <w:tcW w:w="5480" w:type="dxa"/>
            <w:tcBorders>
              <w:top w:val="single" w:sz="4" w:space="0" w:color="auto"/>
              <w:left w:val="single" w:sz="4" w:space="0" w:color="auto"/>
              <w:bottom w:val="single" w:sz="4" w:space="0" w:color="auto"/>
              <w:right w:val="nil"/>
            </w:tcBorders>
            <w:shd w:val="clear" w:color="000000" w:fill="339966"/>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Total number of safety boxes needed</w:t>
            </w:r>
          </w:p>
        </w:tc>
        <w:tc>
          <w:tcPr>
            <w:tcW w:w="1060" w:type="dxa"/>
            <w:tcBorders>
              <w:top w:val="nil"/>
              <w:left w:val="single" w:sz="4" w:space="0" w:color="auto"/>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672</w:t>
            </w: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4127</w:t>
            </w: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4222</w:t>
            </w: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4319</w:t>
            </w: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4419</w:t>
            </w: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13561</w:t>
            </w:r>
          </w:p>
        </w:tc>
      </w:tr>
      <w:tr w:rsidR="00A73A2D" w:rsidRPr="00ED4115" w:rsidTr="00F22417">
        <w:trPr>
          <w:trHeight w:val="280"/>
        </w:trPr>
        <w:tc>
          <w:tcPr>
            <w:tcW w:w="5480" w:type="dxa"/>
            <w:tcBorders>
              <w:top w:val="single" w:sz="4" w:space="0" w:color="auto"/>
              <w:left w:val="single" w:sz="4" w:space="0" w:color="auto"/>
              <w:bottom w:val="single" w:sz="4" w:space="0" w:color="auto"/>
              <w:right w:val="nil"/>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Price of AD syinge1</w:t>
            </w:r>
          </w:p>
        </w:tc>
        <w:tc>
          <w:tcPr>
            <w:tcW w:w="1060" w:type="dxa"/>
            <w:tcBorders>
              <w:top w:val="nil"/>
              <w:left w:val="single" w:sz="4" w:space="0" w:color="auto"/>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 xml:space="preserve"> $0.55 </w:t>
            </w: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 xml:space="preserve"> $0.55 </w:t>
            </w: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 xml:space="preserve"> $0.55 </w:t>
            </w: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 xml:space="preserve"> $0.55 </w:t>
            </w: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 xml:space="preserve"> $0.55 </w:t>
            </w: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 xml:space="preserve"> $0.55 </w:t>
            </w:r>
          </w:p>
        </w:tc>
      </w:tr>
      <w:tr w:rsidR="00A73A2D" w:rsidRPr="00ED4115" w:rsidTr="00F22417">
        <w:trPr>
          <w:trHeight w:val="280"/>
        </w:trPr>
        <w:tc>
          <w:tcPr>
            <w:tcW w:w="5480" w:type="dxa"/>
            <w:tcBorders>
              <w:top w:val="single" w:sz="4" w:space="0" w:color="auto"/>
              <w:left w:val="single" w:sz="4" w:space="0" w:color="auto"/>
              <w:bottom w:val="single" w:sz="4" w:space="0" w:color="auto"/>
              <w:right w:val="nil"/>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Price of Safety box</w:t>
            </w:r>
          </w:p>
        </w:tc>
        <w:tc>
          <w:tcPr>
            <w:tcW w:w="1060" w:type="dxa"/>
            <w:tcBorders>
              <w:top w:val="nil"/>
              <w:left w:val="single" w:sz="4" w:space="0" w:color="auto"/>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 xml:space="preserve"> $0.72 </w:t>
            </w: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 xml:space="preserve"> $0.72 </w:t>
            </w: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 xml:space="preserve"> $0.72 </w:t>
            </w: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 xml:space="preserve"> $0.72 </w:t>
            </w: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 xml:space="preserve"> $0.72 </w:t>
            </w: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 xml:space="preserve"> $0.72 </w:t>
            </w:r>
          </w:p>
        </w:tc>
      </w:tr>
      <w:tr w:rsidR="00A73A2D" w:rsidRPr="00ED4115" w:rsidTr="00ED4115">
        <w:trPr>
          <w:trHeight w:val="280"/>
        </w:trPr>
        <w:tc>
          <w:tcPr>
            <w:tcW w:w="5480" w:type="dxa"/>
            <w:tcBorders>
              <w:top w:val="single" w:sz="4" w:space="0" w:color="auto"/>
              <w:left w:val="single" w:sz="4" w:space="0" w:color="auto"/>
              <w:bottom w:val="single" w:sz="4" w:space="0" w:color="auto"/>
              <w:right w:val="nil"/>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Total AD syringe cost (including freight cost)</w:t>
            </w:r>
          </w:p>
        </w:tc>
        <w:tc>
          <w:tcPr>
            <w:tcW w:w="1060" w:type="dxa"/>
            <w:tcBorders>
              <w:top w:val="nil"/>
              <w:left w:val="single" w:sz="4" w:space="0" w:color="auto"/>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 xml:space="preserve"> $34,629 </w:t>
            </w: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 xml:space="preserve"> $212,552 </w:t>
            </w: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 xml:space="preserve"> $217,441 </w:t>
            </w: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 xml:space="preserve"> $222,442 </w:t>
            </w: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 xml:space="preserve"> $227,558 </w:t>
            </w: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 xml:space="preserve"> $698,377 </w:t>
            </w:r>
          </w:p>
        </w:tc>
      </w:tr>
      <w:tr w:rsidR="00A73A2D" w:rsidRPr="00ED4115" w:rsidTr="00ED4115">
        <w:trPr>
          <w:trHeight w:val="300"/>
        </w:trPr>
        <w:tc>
          <w:tcPr>
            <w:tcW w:w="5480" w:type="dxa"/>
            <w:tcBorders>
              <w:top w:val="single" w:sz="4" w:space="0" w:color="auto"/>
              <w:left w:val="single" w:sz="4" w:space="0" w:color="auto"/>
              <w:bottom w:val="single" w:sz="8" w:space="0" w:color="auto"/>
              <w:right w:val="nil"/>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Safety box (including freight cost)</w:t>
            </w:r>
          </w:p>
        </w:tc>
        <w:tc>
          <w:tcPr>
            <w:tcW w:w="1060" w:type="dxa"/>
            <w:tcBorders>
              <w:top w:val="nil"/>
              <w:left w:val="single" w:sz="4" w:space="0" w:color="auto"/>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 xml:space="preserve"> $499 </w:t>
            </w: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 xml:space="preserve"> $3,061 </w:t>
            </w: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 xml:space="preserve"> $3,131 </w:t>
            </w: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 xml:space="preserve"> $3,203 </w:t>
            </w: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 xml:space="preserve"> $3,277 </w:t>
            </w: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 xml:space="preserve"> $10,057 </w:t>
            </w:r>
          </w:p>
        </w:tc>
      </w:tr>
      <w:tr w:rsidR="00A73A2D" w:rsidRPr="00ED4115" w:rsidTr="00ED4115">
        <w:trPr>
          <w:trHeight w:val="300"/>
        </w:trPr>
        <w:tc>
          <w:tcPr>
            <w:tcW w:w="5480" w:type="dxa"/>
            <w:tcBorders>
              <w:top w:val="single" w:sz="8" w:space="0" w:color="auto"/>
              <w:left w:val="single" w:sz="4" w:space="0" w:color="auto"/>
              <w:bottom w:val="single" w:sz="8" w:space="0" w:color="auto"/>
              <w:right w:val="nil"/>
            </w:tcBorders>
            <w:shd w:val="clear" w:color="000000" w:fill="C0C0C0"/>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Total injection supplies</w:t>
            </w:r>
          </w:p>
        </w:tc>
        <w:tc>
          <w:tcPr>
            <w:tcW w:w="1060" w:type="dxa"/>
            <w:tcBorders>
              <w:top w:val="nil"/>
              <w:left w:val="single" w:sz="4" w:space="0" w:color="auto"/>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 xml:space="preserve"> $35,128 </w:t>
            </w: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 xml:space="preserve"> $215,613 </w:t>
            </w: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 xml:space="preserve"> $220,572 </w:t>
            </w: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 xml:space="preserve"> $225,645 </w:t>
            </w: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 xml:space="preserve"> $230,835 </w:t>
            </w:r>
          </w:p>
        </w:tc>
        <w:tc>
          <w:tcPr>
            <w:tcW w:w="1160" w:type="dxa"/>
            <w:tcBorders>
              <w:top w:val="nil"/>
              <w:left w:val="nil"/>
              <w:bottom w:val="single" w:sz="4" w:space="0" w:color="auto"/>
              <w:right w:val="single" w:sz="4" w:space="0" w:color="auto"/>
            </w:tcBorders>
            <w:shd w:val="clear" w:color="auto" w:fill="auto"/>
            <w:noWrap/>
          </w:tcPr>
          <w:p w:rsidR="00A73A2D" w:rsidRPr="00ED4115" w:rsidRDefault="00A73A2D" w:rsidP="009342DE">
            <w:pPr>
              <w:rPr>
                <w:rFonts w:asciiTheme="minorBidi" w:hAnsiTheme="minorBidi" w:cstheme="minorBidi"/>
                <w:sz w:val="16"/>
                <w:szCs w:val="16"/>
              </w:rPr>
            </w:pPr>
            <w:r w:rsidRPr="00ED4115">
              <w:rPr>
                <w:rFonts w:asciiTheme="minorBidi" w:hAnsiTheme="minorBidi" w:cstheme="minorBidi"/>
                <w:sz w:val="16"/>
                <w:szCs w:val="16"/>
              </w:rPr>
              <w:t xml:space="preserve"> $708,434 </w:t>
            </w:r>
          </w:p>
        </w:tc>
      </w:tr>
    </w:tbl>
    <w:p w:rsidR="00637544" w:rsidRDefault="00637544" w:rsidP="006465B4">
      <w:pPr>
        <w:spacing w:before="120" w:after="120"/>
        <w:jc w:val="both"/>
        <w:sectPr w:rsidR="00637544" w:rsidSect="00637544">
          <w:pgSz w:w="16840" w:h="11900" w:orient="landscape"/>
          <w:pgMar w:top="1800" w:right="1440" w:bottom="1800" w:left="1440" w:header="708" w:footer="708" w:gutter="0"/>
          <w:cols w:space="708"/>
          <w:docGrid w:linePitch="360"/>
        </w:sectPr>
      </w:pPr>
    </w:p>
    <w:p w:rsidR="00D311FB" w:rsidRPr="00ED4115" w:rsidRDefault="00ED4115" w:rsidP="00ED4115">
      <w:pPr>
        <w:pStyle w:val="Heading1"/>
        <w:spacing w:before="120" w:after="120"/>
        <w:ind w:firstLine="720"/>
        <w:rPr>
          <w:rFonts w:asciiTheme="majorBidi" w:hAnsiTheme="majorBidi"/>
          <w:color w:val="002060"/>
          <w:sz w:val="28"/>
          <w:szCs w:val="28"/>
        </w:rPr>
      </w:pPr>
      <w:bookmarkStart w:id="10" w:name="_Toc263661686"/>
      <w:r w:rsidRPr="00ED4115">
        <w:rPr>
          <w:rFonts w:asciiTheme="majorBidi" w:hAnsiTheme="majorBidi"/>
          <w:color w:val="002060"/>
          <w:sz w:val="28"/>
          <w:szCs w:val="28"/>
        </w:rPr>
        <w:lastRenderedPageBreak/>
        <w:t>3.4 Overview</w:t>
      </w:r>
      <w:r w:rsidR="00D311FB" w:rsidRPr="00ED4115">
        <w:rPr>
          <w:rFonts w:asciiTheme="majorBidi" w:hAnsiTheme="majorBidi"/>
          <w:color w:val="002060"/>
          <w:sz w:val="28"/>
          <w:szCs w:val="28"/>
        </w:rPr>
        <w:t xml:space="preserve"> of cold chain capacity at district, regional and central levels</w:t>
      </w:r>
      <w:bookmarkEnd w:id="10"/>
    </w:p>
    <w:p w:rsidR="00720EE8" w:rsidRPr="00A863A0" w:rsidRDefault="00720EE8" w:rsidP="006465B4">
      <w:pPr>
        <w:spacing w:before="120" w:after="120"/>
        <w:jc w:val="both"/>
      </w:pPr>
      <w:r w:rsidRPr="00A863A0">
        <w:t xml:space="preserve">The recent 2013 EPI Review found that cold chain capacity </w:t>
      </w:r>
      <w:r w:rsidR="00F74EBE" w:rsidRPr="00A863A0">
        <w:t>varied between provinces</w:t>
      </w:r>
      <w:r w:rsidR="00B24752" w:rsidRPr="00A863A0">
        <w:t>, districts and facilities. The</w:t>
      </w:r>
      <w:r w:rsidR="00F74EBE" w:rsidRPr="00A863A0">
        <w:t xml:space="preserve"> availability of equipment was found to be high, however significant challenges</w:t>
      </w:r>
      <w:r w:rsidR="00ED4115">
        <w:t xml:space="preserve"> were found with maintenance including</w:t>
      </w:r>
      <w:r w:rsidR="00F74EBE" w:rsidRPr="00A863A0">
        <w:t xml:space="preserve"> ageing of equipment. A lack of skilled mechanics was noted, however some provinces have taken the </w:t>
      </w:r>
      <w:r w:rsidR="0071095D" w:rsidRPr="00A863A0">
        <w:t>initiative</w:t>
      </w:r>
      <w:r w:rsidR="00F74EBE" w:rsidRPr="00A863A0">
        <w:t xml:space="preserve"> to train people in the required skills specific for cold chain maintenance. </w:t>
      </w:r>
    </w:p>
    <w:p w:rsidR="000C33FB" w:rsidRPr="00A863A0" w:rsidRDefault="0071095D" w:rsidP="006465B4">
      <w:pPr>
        <w:spacing w:before="120" w:after="120"/>
        <w:jc w:val="both"/>
        <w:rPr>
          <w:rFonts w:eastAsia="SimSun" w:cs="Calibri"/>
          <w:color w:val="000000"/>
          <w:szCs w:val="22"/>
          <w:lang w:val="en-US"/>
        </w:rPr>
      </w:pPr>
      <w:r w:rsidRPr="00A863A0">
        <w:t>The introduction of IPV will require additional cold chain space and assurance of quality control and continued maintenance. Considering the 5 dose vial has a volume of 4.44 cm</w:t>
      </w:r>
      <w:r w:rsidRPr="00A863A0">
        <w:rPr>
          <w:vertAlign w:val="superscript"/>
        </w:rPr>
        <w:t>3</w:t>
      </w:r>
      <w:r w:rsidRPr="00A863A0">
        <w:t xml:space="preserve">, an additional </w:t>
      </w:r>
      <w:r w:rsidR="00B24752" w:rsidRPr="00A863A0">
        <w:rPr>
          <w:rFonts w:eastAsia="SimSun" w:cs="Calibri"/>
          <w:color w:val="000000"/>
          <w:szCs w:val="22"/>
        </w:rPr>
        <w:t>1,480,405.97</w:t>
      </w:r>
      <w:r w:rsidRPr="00A863A0">
        <w:rPr>
          <w:rFonts w:eastAsia="SimSun" w:cs="Calibri"/>
          <w:color w:val="000000"/>
          <w:szCs w:val="22"/>
        </w:rPr>
        <w:t xml:space="preserve"> </w:t>
      </w:r>
      <w:r w:rsidRPr="00A863A0">
        <w:rPr>
          <w:rFonts w:eastAsia="SimSun" w:cs="Calibri"/>
          <w:color w:val="000000"/>
          <w:szCs w:val="22"/>
          <w:lang w:val="en-US"/>
        </w:rPr>
        <w:t>cm</w:t>
      </w:r>
      <w:r w:rsidRPr="00A863A0">
        <w:rPr>
          <w:rFonts w:eastAsia="SimSun" w:cs="Calibri"/>
          <w:color w:val="000000"/>
          <w:szCs w:val="22"/>
          <w:vertAlign w:val="superscript"/>
          <w:lang w:val="en-US"/>
        </w:rPr>
        <w:t xml:space="preserve">3 </w:t>
      </w:r>
      <w:r w:rsidRPr="00A863A0">
        <w:rPr>
          <w:rFonts w:eastAsia="SimSun" w:cs="Calibri"/>
          <w:color w:val="000000"/>
          <w:szCs w:val="22"/>
          <w:lang w:val="en-US"/>
        </w:rPr>
        <w:t xml:space="preserve">of cold chain volume will be required, which is believed to be currently available. However, in order to guarantee preparedness not only for IPV introduction but also for other new vaccines, a cold chain capacity assessment will be carried out in the </w:t>
      </w:r>
      <w:r w:rsidR="00144364">
        <w:rPr>
          <w:rFonts w:eastAsia="SimSun" w:cs="Calibri"/>
          <w:color w:val="000000"/>
          <w:szCs w:val="22"/>
          <w:lang w:val="en-US"/>
        </w:rPr>
        <w:t>4th</w:t>
      </w:r>
      <w:r w:rsidRPr="00A863A0">
        <w:rPr>
          <w:rFonts w:eastAsia="SimSun" w:cs="Calibri"/>
          <w:color w:val="000000"/>
          <w:szCs w:val="22"/>
          <w:lang w:val="en-US"/>
        </w:rPr>
        <w:t xml:space="preserve"> quarter of 2014. Following this assessment improvements and </w:t>
      </w:r>
      <w:r w:rsidR="00B24752" w:rsidRPr="00A863A0">
        <w:rPr>
          <w:rFonts w:eastAsia="SimSun" w:cs="Calibri"/>
          <w:color w:val="000000"/>
          <w:szCs w:val="22"/>
          <w:lang w:val="en-US"/>
        </w:rPr>
        <w:t>modifications</w:t>
      </w:r>
      <w:r w:rsidRPr="00A863A0">
        <w:rPr>
          <w:rFonts w:eastAsia="SimSun" w:cs="Calibri"/>
          <w:color w:val="000000"/>
          <w:szCs w:val="22"/>
          <w:lang w:val="en-US"/>
        </w:rPr>
        <w:t xml:space="preserve"> will be made</w:t>
      </w:r>
      <w:r w:rsidR="00B24752" w:rsidRPr="00A863A0">
        <w:rPr>
          <w:rFonts w:eastAsia="SimSun" w:cs="Calibri"/>
          <w:color w:val="000000"/>
          <w:szCs w:val="22"/>
          <w:lang w:val="en-US"/>
        </w:rPr>
        <w:t xml:space="preserve"> as required</w:t>
      </w:r>
      <w:r w:rsidRPr="00A863A0">
        <w:rPr>
          <w:rFonts w:eastAsia="SimSun" w:cs="Calibri"/>
          <w:color w:val="000000"/>
          <w:szCs w:val="22"/>
          <w:lang w:val="en-US"/>
        </w:rPr>
        <w:t>. These c</w:t>
      </w:r>
      <w:r w:rsidR="000C33FB" w:rsidRPr="00A863A0">
        <w:rPr>
          <w:rFonts w:eastAsia="SimSun" w:cs="Calibri"/>
          <w:color w:val="000000"/>
          <w:szCs w:val="22"/>
          <w:lang w:val="en-US"/>
        </w:rPr>
        <w:t xml:space="preserve">osts will be borne by GoPNG and, if required, </w:t>
      </w:r>
      <w:r w:rsidRPr="00A863A0">
        <w:rPr>
          <w:rFonts w:eastAsia="SimSun" w:cs="Calibri"/>
          <w:color w:val="000000"/>
          <w:szCs w:val="22"/>
          <w:lang w:val="en-US"/>
        </w:rPr>
        <w:t xml:space="preserve">its partners. The GoPNG sees this as a valuable opportunity to improve cold chain capacity for the entire immunization program. </w:t>
      </w:r>
    </w:p>
    <w:p w:rsidR="0071095D" w:rsidRPr="00ED4115" w:rsidRDefault="00ED4115" w:rsidP="00ED4115">
      <w:pPr>
        <w:pStyle w:val="Heading1"/>
        <w:spacing w:before="120" w:after="120"/>
        <w:ind w:firstLine="720"/>
        <w:rPr>
          <w:rFonts w:asciiTheme="majorBidi" w:hAnsiTheme="majorBidi"/>
          <w:color w:val="002060"/>
          <w:sz w:val="28"/>
          <w:szCs w:val="28"/>
        </w:rPr>
      </w:pPr>
      <w:bookmarkStart w:id="11" w:name="_Toc263661687"/>
      <w:r w:rsidRPr="00ED4115">
        <w:rPr>
          <w:rFonts w:asciiTheme="majorBidi" w:hAnsiTheme="majorBidi"/>
          <w:color w:val="002060"/>
          <w:sz w:val="28"/>
          <w:szCs w:val="28"/>
        </w:rPr>
        <w:t>3.5 Waste</w:t>
      </w:r>
      <w:r w:rsidR="0071095D" w:rsidRPr="00ED4115">
        <w:rPr>
          <w:rFonts w:asciiTheme="majorBidi" w:hAnsiTheme="majorBidi"/>
          <w:color w:val="002060"/>
          <w:sz w:val="28"/>
          <w:szCs w:val="28"/>
        </w:rPr>
        <w:t xml:space="preserve"> management and injection safety</w:t>
      </w:r>
      <w:bookmarkEnd w:id="11"/>
      <w:r w:rsidR="0071095D" w:rsidRPr="00ED4115">
        <w:rPr>
          <w:rFonts w:asciiTheme="majorBidi" w:hAnsiTheme="majorBidi"/>
          <w:color w:val="002060"/>
          <w:sz w:val="28"/>
          <w:szCs w:val="28"/>
        </w:rPr>
        <w:t xml:space="preserve"> </w:t>
      </w:r>
    </w:p>
    <w:p w:rsidR="009031A7" w:rsidRPr="00144364" w:rsidRDefault="0071095D" w:rsidP="00ED4115">
      <w:pPr>
        <w:spacing w:before="120" w:after="120"/>
        <w:jc w:val="both"/>
      </w:pPr>
      <w:r w:rsidRPr="00144364">
        <w:t xml:space="preserve">Current waste management practice in PNG </w:t>
      </w:r>
      <w:r w:rsidR="000352A4" w:rsidRPr="00144364">
        <w:t xml:space="preserve">sees that </w:t>
      </w:r>
      <w:r w:rsidR="00420532" w:rsidRPr="00144364">
        <w:t xml:space="preserve">incinerators are used for waste disposal when available. Where there is no availability, sharps and waste are </w:t>
      </w:r>
      <w:r w:rsidR="00ED4115">
        <w:t xml:space="preserve">burnt and </w:t>
      </w:r>
      <w:r w:rsidR="00420532" w:rsidRPr="00144364">
        <w:t xml:space="preserve">buried. </w:t>
      </w:r>
      <w:r w:rsidR="004407AB" w:rsidRPr="00144364">
        <w:t>This procedure is outline in the EPI manual and is followed nationwide.</w:t>
      </w:r>
    </w:p>
    <w:p w:rsidR="00B24752" w:rsidRPr="00144364" w:rsidRDefault="00B24752" w:rsidP="006465B4">
      <w:pPr>
        <w:spacing w:before="120" w:after="120"/>
        <w:jc w:val="both"/>
      </w:pPr>
      <w:r w:rsidRPr="00144364">
        <w:t>In regards to injection safety, a policy is currently being drafted and is expected to be completed shortly. Currently AD syringes are used program wide, and this practice will continue with the introduction of IPV.</w:t>
      </w:r>
    </w:p>
    <w:p w:rsidR="00420532" w:rsidRPr="00ED4115" w:rsidRDefault="00ED4115" w:rsidP="00ED4115">
      <w:pPr>
        <w:pStyle w:val="Heading1"/>
        <w:spacing w:before="120" w:after="120"/>
        <w:ind w:firstLine="720"/>
        <w:rPr>
          <w:rFonts w:asciiTheme="majorBidi" w:hAnsiTheme="majorBidi"/>
          <w:color w:val="002060"/>
          <w:sz w:val="28"/>
          <w:szCs w:val="28"/>
        </w:rPr>
      </w:pPr>
      <w:bookmarkStart w:id="12" w:name="_Toc263661688"/>
      <w:r w:rsidRPr="00ED4115">
        <w:rPr>
          <w:rFonts w:asciiTheme="majorBidi" w:hAnsiTheme="majorBidi"/>
          <w:color w:val="002060"/>
          <w:sz w:val="28"/>
          <w:szCs w:val="28"/>
        </w:rPr>
        <w:t>3.6 Health</w:t>
      </w:r>
      <w:r w:rsidR="00420532" w:rsidRPr="00ED4115">
        <w:rPr>
          <w:rFonts w:asciiTheme="majorBidi" w:hAnsiTheme="majorBidi"/>
          <w:color w:val="002060"/>
          <w:sz w:val="28"/>
          <w:szCs w:val="28"/>
        </w:rPr>
        <w:t xml:space="preserve"> worker training and supervision</w:t>
      </w:r>
      <w:bookmarkEnd w:id="12"/>
    </w:p>
    <w:p w:rsidR="004407AB" w:rsidRPr="0001499C" w:rsidRDefault="00420532" w:rsidP="006465B4">
      <w:pPr>
        <w:spacing w:before="120" w:after="120"/>
        <w:jc w:val="both"/>
      </w:pPr>
      <w:r w:rsidRPr="0001499C">
        <w:t xml:space="preserve">Currently, the national EPI program is working to train immunisation providers nationwide. It is planned that new vaccine introduction training will be a part of this comprehensive program. Again, the opportunity will be taken to benefit from </w:t>
      </w:r>
      <w:r w:rsidR="00ED4115">
        <w:t xml:space="preserve">vaccine </w:t>
      </w:r>
      <w:r w:rsidR="004407AB" w:rsidRPr="0001499C">
        <w:t>multiple</w:t>
      </w:r>
      <w:r w:rsidRPr="0001499C">
        <w:t xml:space="preserve"> introduction by delivering this training concurrently and thereby reducing costs.</w:t>
      </w:r>
      <w:r w:rsidR="004407AB" w:rsidRPr="0001499C">
        <w:t xml:space="preserve"> </w:t>
      </w:r>
    </w:p>
    <w:p w:rsidR="00420532" w:rsidRDefault="004407AB" w:rsidP="00A11215">
      <w:pPr>
        <w:spacing w:before="120" w:after="120"/>
        <w:jc w:val="both"/>
      </w:pPr>
      <w:r w:rsidRPr="0001499C">
        <w:t xml:space="preserve">Historically, the EPI program has found that cascade training, or training of the trainers, is not beneficial in PNG, and that rather a concentrated, </w:t>
      </w:r>
      <w:r w:rsidR="004949AB">
        <w:t xml:space="preserve">health centre targeted </w:t>
      </w:r>
      <w:r w:rsidRPr="0001499C">
        <w:t>personal approach is more effective. As such, the training is provided at district level and will continu</w:t>
      </w:r>
      <w:r w:rsidR="004949AB">
        <w:t xml:space="preserve">e to be done in such a manner. </w:t>
      </w:r>
      <w:r w:rsidR="00420532" w:rsidRPr="0001499C">
        <w:t>As an integral part of this training program, all sites will be followed up with supportive supervision.</w:t>
      </w:r>
      <w:r w:rsidRPr="0001499C">
        <w:t xml:space="preserve"> In addition to this, training is designed to be integrated with other programs such as maternal and child health.</w:t>
      </w:r>
      <w:r w:rsidR="00A11215">
        <w:t xml:space="preserve"> The training material consists of basic understanding of the principles of routine immunization and involves dealing with hands-on training of health centre staff. The technical and other logistical support is being provided by both WHO and UNICEF on this.</w:t>
      </w:r>
    </w:p>
    <w:p w:rsidR="009E2376" w:rsidRPr="00A11215" w:rsidRDefault="009E2376" w:rsidP="009E2376">
      <w:pPr>
        <w:spacing w:before="120" w:after="120"/>
        <w:jc w:val="both"/>
      </w:pPr>
      <w:r>
        <w:t xml:space="preserve">The National EPI programme of </w:t>
      </w:r>
      <w:r w:rsidRPr="009E2376">
        <w:t xml:space="preserve">PNG will </w:t>
      </w:r>
      <w:r>
        <w:t xml:space="preserve">also develop a guide book for health workers on use of </w:t>
      </w:r>
      <w:r w:rsidRPr="009E2376">
        <w:t xml:space="preserve">IPV </w:t>
      </w:r>
      <w:r>
        <w:t>and will be incorporated with t</w:t>
      </w:r>
      <w:r w:rsidRPr="009E2376">
        <w:t>he health facility level, competency-based training including basics of EPI, cold chain, vaccine stock management and microplanning</w:t>
      </w:r>
      <w:r>
        <w:t>. The communication and social mobilization material production, technical support will be sought from UNICEF and WHO in consultation with the Health promotion unit of National Department of Health.</w:t>
      </w:r>
    </w:p>
    <w:p w:rsidR="00420532" w:rsidRPr="008F165D" w:rsidRDefault="008F165D" w:rsidP="008F165D">
      <w:pPr>
        <w:pStyle w:val="Heading1"/>
        <w:spacing w:before="120" w:after="120"/>
        <w:ind w:firstLine="720"/>
        <w:rPr>
          <w:rFonts w:asciiTheme="majorBidi" w:hAnsiTheme="majorBidi"/>
          <w:color w:val="002060"/>
          <w:sz w:val="28"/>
          <w:szCs w:val="28"/>
        </w:rPr>
      </w:pPr>
      <w:bookmarkStart w:id="13" w:name="_Toc263661689"/>
      <w:r w:rsidRPr="008F165D">
        <w:rPr>
          <w:rFonts w:asciiTheme="majorBidi" w:hAnsiTheme="majorBidi"/>
          <w:color w:val="002060"/>
          <w:sz w:val="28"/>
          <w:szCs w:val="28"/>
        </w:rPr>
        <w:lastRenderedPageBreak/>
        <w:t>3.7 Risks</w:t>
      </w:r>
      <w:r w:rsidR="00420532" w:rsidRPr="008F165D">
        <w:rPr>
          <w:rFonts w:asciiTheme="majorBidi" w:hAnsiTheme="majorBidi"/>
          <w:color w:val="002060"/>
          <w:sz w:val="28"/>
          <w:szCs w:val="28"/>
        </w:rPr>
        <w:t xml:space="preserve"> and challenges</w:t>
      </w:r>
      <w:bookmarkEnd w:id="13"/>
    </w:p>
    <w:p w:rsidR="004407AB" w:rsidRPr="00144364" w:rsidRDefault="00420532" w:rsidP="008F165D">
      <w:pPr>
        <w:spacing w:before="120" w:after="120"/>
        <w:jc w:val="both"/>
      </w:pPr>
      <w:r w:rsidRPr="00144364">
        <w:rPr>
          <w:b/>
        </w:rPr>
        <w:t>Low coverage rates and the heavy reliance on (currently weak) outreach:</w:t>
      </w:r>
      <w:r w:rsidR="004407AB" w:rsidRPr="00144364">
        <w:rPr>
          <w:b/>
        </w:rPr>
        <w:t xml:space="preserve"> </w:t>
      </w:r>
      <w:r w:rsidR="004407AB" w:rsidRPr="00144364">
        <w:t xml:space="preserve">PNG continues to suffer from coverage rates that are lower than the country’s targets. This is </w:t>
      </w:r>
      <w:r w:rsidR="00144364">
        <w:t xml:space="preserve">partly </w:t>
      </w:r>
      <w:r w:rsidR="004407AB" w:rsidRPr="00144364">
        <w:t>attributed to a poor health system, but mainly to the harsh geographical terrain of PNG and the difficulty found in reaching health facilities. A lack of paved roads or means of transport mean that many mothers are unable to bring their children for vaccination. As such, routine outreach is extremely important in the country. However, reviews of the program have shown that outreach services have considerably declined over the last decades. This poses a risk to the introduction of IPV through the possibility that children will remain unreached.</w:t>
      </w:r>
    </w:p>
    <w:p w:rsidR="004407AB" w:rsidRPr="00144364" w:rsidRDefault="004407AB" w:rsidP="006465B4">
      <w:pPr>
        <w:spacing w:before="120" w:after="120"/>
        <w:jc w:val="both"/>
      </w:pPr>
      <w:r w:rsidRPr="00144364">
        <w:t>In order to address this the National EPI team is currently working on several initiatives as part of its overall strengthening of routine immunisation. This includes the re-introduction of the child health register, the p</w:t>
      </w:r>
      <w:r w:rsidR="00144364">
        <w:t xml:space="preserve">romotion of defaulter tracking </w:t>
      </w:r>
      <w:r w:rsidRPr="00144364">
        <w:t xml:space="preserve">and improved microplanning through the RED-REC (reaching every district to reach every child) strategy. In addition to this, the GoPNG believes that the increased efforts on EPI as a result of the introduction of multiple vaccines in </w:t>
      </w:r>
      <w:r w:rsidR="00A57474" w:rsidRPr="00144364">
        <w:t xml:space="preserve">2015 will bolster the motivation and ability of staff to reach the unreached. </w:t>
      </w:r>
    </w:p>
    <w:p w:rsidR="001360A0" w:rsidRPr="00144364" w:rsidRDefault="0003288E" w:rsidP="008F165D">
      <w:pPr>
        <w:spacing w:before="120" w:after="120"/>
        <w:jc w:val="both"/>
      </w:pPr>
      <w:r w:rsidRPr="00144364">
        <w:rPr>
          <w:b/>
        </w:rPr>
        <w:t>Weak surveillance:</w:t>
      </w:r>
      <w:r w:rsidR="008F165D">
        <w:rPr>
          <w:b/>
        </w:rPr>
        <w:t xml:space="preserve"> </w:t>
      </w:r>
      <w:r w:rsidR="001360A0" w:rsidRPr="00144364">
        <w:t xml:space="preserve">In addition to low coverage, PNG also faces weak AFP surveillance and has not attained the goal of at least one non-polio AFP rate per year with adequate stool samples. </w:t>
      </w:r>
      <w:r w:rsidR="00B85093" w:rsidRPr="00144364">
        <w:t xml:space="preserve">A </w:t>
      </w:r>
      <w:r w:rsidR="001360A0" w:rsidRPr="00144364">
        <w:t xml:space="preserve">Provincial Surveillance review conducted by the Polio NCC of PNG </w:t>
      </w:r>
      <w:r w:rsidR="00B85093" w:rsidRPr="00144364">
        <w:t>and WHO in PNG in 2011 and 2013</w:t>
      </w:r>
      <w:r w:rsidR="001360A0" w:rsidRPr="00144364">
        <w:t xml:space="preserve"> detected significant gaps in the performance of surveillance in the country.</w:t>
      </w:r>
      <w:r w:rsidR="008F165D">
        <w:t xml:space="preserve"> </w:t>
      </w:r>
      <w:r w:rsidR="001360A0" w:rsidRPr="00144364">
        <w:t>The GoPNG is already working to address this and has introduced a new staff position in the National Surveillance designated specifically for vaccine preventable diseases, including AFP. In 2012 the National EPI team also appointed a surveillance officer with additional resp</w:t>
      </w:r>
      <w:r w:rsidR="008F165D">
        <w:t xml:space="preserve">onsibility for data management. </w:t>
      </w:r>
      <w:r w:rsidR="001360A0" w:rsidRPr="00144364">
        <w:t>In addition to these new human resources, an SMS reminder project has been established to notify paediatricians each month report any cases of AFP. Initial analysis of this project has shown an increase in the non-polio AFP rate, from an annualized non-polio rate of 0.21 (5 AFP cases) per 100,000 children under 15 years of age in October 2012, compared to a rate of 0.79 (18 cases) in September 2013</w:t>
      </w:r>
      <w:r w:rsidR="00B85093" w:rsidRPr="00144364">
        <w:t xml:space="preserve"> </w:t>
      </w:r>
      <w:r w:rsidR="001360A0" w:rsidRPr="00144364">
        <w:t xml:space="preserve">and the project is being continued as part of the PNG Polio Endgame Strategic Plan. </w:t>
      </w:r>
    </w:p>
    <w:p w:rsidR="00B85093" w:rsidRPr="00144364" w:rsidRDefault="004E5479" w:rsidP="008F165D">
      <w:pPr>
        <w:spacing w:before="120" w:after="120"/>
        <w:jc w:val="both"/>
      </w:pPr>
      <w:r w:rsidRPr="00144364">
        <w:rPr>
          <w:b/>
        </w:rPr>
        <w:t>Health systems risks:</w:t>
      </w:r>
      <w:r w:rsidR="008F165D">
        <w:rPr>
          <w:b/>
        </w:rPr>
        <w:t xml:space="preserve"> </w:t>
      </w:r>
      <w:r w:rsidR="00B85093" w:rsidRPr="00144364">
        <w:t xml:space="preserve">The success of health initiatives in PNG are directly related to the performance </w:t>
      </w:r>
      <w:r w:rsidR="00123278" w:rsidRPr="00144364">
        <w:t>of the health systems, which have</w:t>
      </w:r>
      <w:r w:rsidR="00B85093" w:rsidRPr="00144364">
        <w:t xml:space="preserve"> shown to be </w:t>
      </w:r>
      <w:r w:rsidR="00123278" w:rsidRPr="00144364">
        <w:t xml:space="preserve">of </w:t>
      </w:r>
      <w:r w:rsidR="00B85093" w:rsidRPr="00144364">
        <w:t>poor</w:t>
      </w:r>
      <w:r w:rsidR="00123278" w:rsidRPr="00144364">
        <w:t xml:space="preserve"> quality</w:t>
      </w:r>
      <w:r w:rsidR="00B85093" w:rsidRPr="00144364">
        <w:t>.</w:t>
      </w:r>
      <w:r w:rsidR="00123278" w:rsidRPr="00144364">
        <w:t xml:space="preserve"> The 2013 EPI Review found this to be a significant challenge to the immunisation program with high rates of health facility closure, an ageing workforce and reoccurring delays with fund distribution. However, these sector</w:t>
      </w:r>
      <w:r w:rsidR="00667995" w:rsidRPr="00144364">
        <w:t>-</w:t>
      </w:r>
      <w:r w:rsidR="00123278" w:rsidRPr="00144364">
        <w:t xml:space="preserve">wide issues are being addressed by GoPNG, with a National Human Resource for Health Crisis strategy underway, and innovative funding solutions being implemented such as Direct Health Facility Funding (DHFF). </w:t>
      </w:r>
    </w:p>
    <w:p w:rsidR="004957EE" w:rsidRPr="00144364" w:rsidRDefault="00420532" w:rsidP="008F165D">
      <w:pPr>
        <w:spacing w:before="120" w:after="120"/>
        <w:jc w:val="both"/>
      </w:pPr>
      <w:r w:rsidRPr="00144364">
        <w:rPr>
          <w:b/>
        </w:rPr>
        <w:t>Multiple Injections and vaccine rumours:</w:t>
      </w:r>
      <w:r w:rsidR="0003288E" w:rsidRPr="00144364">
        <w:rPr>
          <w:b/>
        </w:rPr>
        <w:t xml:space="preserve"> </w:t>
      </w:r>
      <w:r w:rsidR="00B93B2C" w:rsidRPr="00144364">
        <w:t xml:space="preserve">The introduction of IPV will require a third injection at the third </w:t>
      </w:r>
      <w:r w:rsidR="002668F9" w:rsidRPr="00144364">
        <w:t>contact</w:t>
      </w:r>
      <w:r w:rsidR="00B93B2C" w:rsidRPr="00144364">
        <w:t xml:space="preserve"> and </w:t>
      </w:r>
      <w:r w:rsidR="00EF68D2" w:rsidRPr="00144364">
        <w:t>poses</w:t>
      </w:r>
      <w:r w:rsidR="00B93B2C" w:rsidRPr="00144364">
        <w:t xml:space="preserve"> a risk that carers and health care workers may find this too stressful for the child.</w:t>
      </w:r>
      <w:r w:rsidR="00014591" w:rsidRPr="00144364">
        <w:t xml:space="preserve"> However, experience in PNG has shown that this is generally not a major concern.</w:t>
      </w:r>
      <w:r w:rsidR="00B93B2C" w:rsidRPr="00144364">
        <w:t xml:space="preserve"> </w:t>
      </w:r>
      <w:r w:rsidR="00EF68D2" w:rsidRPr="00144364">
        <w:t xml:space="preserve">In order to prevent this </w:t>
      </w:r>
      <w:r w:rsidR="00014591" w:rsidRPr="00144364">
        <w:t xml:space="preserve">risk though, </w:t>
      </w:r>
      <w:r w:rsidR="00EF68D2" w:rsidRPr="00144364">
        <w:t xml:space="preserve">extra efforts will be made in the communication strategy to reduce this. </w:t>
      </w:r>
      <w:r w:rsidR="00014591" w:rsidRPr="00144364">
        <w:t xml:space="preserve">Overall, </w:t>
      </w:r>
      <w:r w:rsidR="00EF68D2" w:rsidRPr="00144364">
        <w:t xml:space="preserve">the risk of this concern is by far outweighed by the risk of loss to follow up and additional resources that would be required if IPV as given at a different contact. </w:t>
      </w:r>
      <w:r w:rsidR="003F7D51" w:rsidRPr="00144364">
        <w:t>In addition to this, recent experience with the 2013 Tetanus Toxoid campai</w:t>
      </w:r>
      <w:r w:rsidR="00EF68D2" w:rsidRPr="00144364">
        <w:t>gn showed that negative rumours ar</w:t>
      </w:r>
      <w:r w:rsidR="003C6F60" w:rsidRPr="00144364">
        <w:t xml:space="preserve">ound vaccines are a risk to PNG’s immunisation </w:t>
      </w:r>
      <w:r w:rsidR="00EF68D2" w:rsidRPr="00144364">
        <w:t xml:space="preserve">program. </w:t>
      </w:r>
      <w:r w:rsidR="003C6F60" w:rsidRPr="00144364">
        <w:t xml:space="preserve">Again, the combined </w:t>
      </w:r>
      <w:r w:rsidR="003C6F60" w:rsidRPr="00144364">
        <w:lastRenderedPageBreak/>
        <w:t>advocacy and social mobilisation activities that are planned to address routine immunisation and the multiple introductions will address this, and media (both traditional and social) will be monitored throughout the introduction</w:t>
      </w:r>
      <w:r w:rsidR="00144364">
        <w:t xml:space="preserve"> and roll out</w:t>
      </w:r>
      <w:r w:rsidR="003C6F60" w:rsidRPr="00144364">
        <w:t>.</w:t>
      </w:r>
    </w:p>
    <w:p w:rsidR="003C6F60" w:rsidRPr="00144364" w:rsidRDefault="00B43052" w:rsidP="008F165D">
      <w:pPr>
        <w:spacing w:before="120" w:after="120"/>
        <w:jc w:val="both"/>
      </w:pPr>
      <w:r w:rsidRPr="00144364">
        <w:rPr>
          <w:b/>
        </w:rPr>
        <w:t>Challenge of frequent and complex</w:t>
      </w:r>
      <w:r w:rsidR="00EF68D2" w:rsidRPr="00144364">
        <w:rPr>
          <w:b/>
        </w:rPr>
        <w:t xml:space="preserve"> changes to the immunisation schedules: </w:t>
      </w:r>
      <w:r w:rsidR="003C6F60" w:rsidRPr="00144364">
        <w:t>Experience has shown that making many changes to health programs creates an environment of risk in PNG. The weak linkages between national policy and provincial and health facility implementation mean that it can take considerable time for changes to be implemented, and that these changes are at times implemented poorly. It can also lead to dissatisfaction amongst health care workers who are taken out of their daily work too frequently.</w:t>
      </w:r>
      <w:r w:rsidR="008F165D">
        <w:t xml:space="preserve"> </w:t>
      </w:r>
      <w:r w:rsidRPr="00144364">
        <w:t>In particular, the introduction of IPV and the f</w:t>
      </w:r>
      <w:r w:rsidR="009E2376">
        <w:t>oreseeable switch from tOPV to b</w:t>
      </w:r>
      <w:r w:rsidRPr="00144364">
        <w:t xml:space="preserve">OPV is a complex move that will require thorough understanding. Decision makers, health care workers and carers may not understand the reasoning behind such changes. There is also the challenge of the </w:t>
      </w:r>
      <w:r w:rsidR="00144364">
        <w:t>complexity of the vaccine type. C</w:t>
      </w:r>
      <w:r w:rsidRPr="00144364">
        <w:t>onsidering that health care workers are used to freezing OPV they may do the same with IPV which would make it ineffective.</w:t>
      </w:r>
      <w:r w:rsidR="008F165D">
        <w:t xml:space="preserve"> </w:t>
      </w:r>
      <w:r w:rsidR="003C6F60" w:rsidRPr="00144364">
        <w:t>The decision for multiple concurrent introduction of IPV, MR and PCV is hope</w:t>
      </w:r>
      <w:r w:rsidR="00623101" w:rsidRPr="00144364">
        <w:t xml:space="preserve">d to help to reduce </w:t>
      </w:r>
      <w:r w:rsidRPr="00144364">
        <w:t>some of these</w:t>
      </w:r>
      <w:r w:rsidR="00623101" w:rsidRPr="00144364">
        <w:t xml:space="preserve"> burden</w:t>
      </w:r>
      <w:r w:rsidRPr="00144364">
        <w:t>s through the reduction of operational costs</w:t>
      </w:r>
      <w:r w:rsidR="00623101" w:rsidRPr="00144364">
        <w:t>.</w:t>
      </w:r>
      <w:r w:rsidRPr="00144364">
        <w:t xml:space="preserve"> But more so, the training around these introductions is being planned to form a part of a larger product of overall routine immunisation strengthening that focuses on district level training. It is hoped that these concentrated efforts will reduce the associated risks, and will reduce the amount of time health care workers are outside of their normal duties.</w:t>
      </w:r>
      <w:r w:rsidR="00144364">
        <w:t xml:space="preserve"> In addition, renewed efforts to implement supportive supervision programs will help to reduce risks.</w:t>
      </w:r>
    </w:p>
    <w:p w:rsidR="004E5479" w:rsidRPr="008F165D" w:rsidRDefault="004E5479" w:rsidP="008F165D">
      <w:pPr>
        <w:pStyle w:val="Heading1"/>
        <w:numPr>
          <w:ilvl w:val="0"/>
          <w:numId w:val="8"/>
        </w:numPr>
        <w:spacing w:before="120" w:after="120"/>
        <w:rPr>
          <w:rFonts w:asciiTheme="majorBidi" w:hAnsiTheme="majorBidi"/>
          <w:color w:val="002060"/>
          <w:sz w:val="28"/>
          <w:szCs w:val="28"/>
        </w:rPr>
      </w:pPr>
      <w:bookmarkStart w:id="14" w:name="_Toc263661690"/>
      <w:r w:rsidRPr="008F165D">
        <w:rPr>
          <w:rFonts w:asciiTheme="majorBidi" w:hAnsiTheme="majorBidi"/>
          <w:color w:val="002060"/>
          <w:sz w:val="28"/>
          <w:szCs w:val="28"/>
        </w:rPr>
        <w:t>Situational analysis of the immunisation programme</w:t>
      </w:r>
      <w:bookmarkEnd w:id="14"/>
    </w:p>
    <w:p w:rsidR="004E5479" w:rsidRPr="008F165D" w:rsidRDefault="008F165D" w:rsidP="008F165D">
      <w:pPr>
        <w:pStyle w:val="Heading1"/>
        <w:spacing w:before="120" w:after="120"/>
        <w:ind w:firstLine="720"/>
        <w:rPr>
          <w:rFonts w:asciiTheme="majorBidi" w:hAnsiTheme="majorBidi"/>
          <w:color w:val="002060"/>
          <w:sz w:val="28"/>
          <w:szCs w:val="28"/>
        </w:rPr>
      </w:pPr>
      <w:bookmarkStart w:id="15" w:name="_Toc263661691"/>
      <w:r w:rsidRPr="008F165D">
        <w:rPr>
          <w:rFonts w:asciiTheme="majorBidi" w:hAnsiTheme="majorBidi"/>
          <w:color w:val="002060"/>
          <w:sz w:val="28"/>
          <w:szCs w:val="28"/>
        </w:rPr>
        <w:t>4.1 General</w:t>
      </w:r>
      <w:r w:rsidR="004E5479" w:rsidRPr="008F165D">
        <w:rPr>
          <w:rFonts w:asciiTheme="majorBidi" w:hAnsiTheme="majorBidi"/>
          <w:color w:val="002060"/>
          <w:sz w:val="28"/>
          <w:szCs w:val="28"/>
        </w:rPr>
        <w:t xml:space="preserve"> context of the country</w:t>
      </w:r>
      <w:bookmarkEnd w:id="15"/>
    </w:p>
    <w:p w:rsidR="00C72567" w:rsidRPr="00144364" w:rsidRDefault="00C72567" w:rsidP="006465B4">
      <w:pPr>
        <w:widowControl w:val="0"/>
        <w:autoSpaceDE w:val="0"/>
        <w:autoSpaceDN w:val="0"/>
        <w:adjustRightInd w:val="0"/>
        <w:spacing w:before="120" w:after="120"/>
        <w:jc w:val="both"/>
      </w:pPr>
      <w:r w:rsidRPr="00144364">
        <w:t>Papua New Guinea is the most populous country in the South Pacific, with a population of approximately 7.1 million (2011 census) distributed throughout four administrative regions (Southern Coastal, Northern Coastal, Highlands, and New Guinea Islands). A culturally diverse nation, approximately 800 languages are spoken with over 100 dialects and a vast number of distinct ethnic groups exist. Large disparities exist in health and development indicators between provinces and districts.</w:t>
      </w:r>
    </w:p>
    <w:p w:rsidR="00C72567" w:rsidRPr="00144364" w:rsidRDefault="00C72567" w:rsidP="006465B4">
      <w:pPr>
        <w:widowControl w:val="0"/>
        <w:autoSpaceDE w:val="0"/>
        <w:autoSpaceDN w:val="0"/>
        <w:adjustRightInd w:val="0"/>
        <w:spacing w:before="120" w:after="120"/>
        <w:jc w:val="both"/>
      </w:pPr>
      <w:r w:rsidRPr="00144364">
        <w:t>The geographical terrain of PNG is diverse and consists of extensive mountain ranges, dense rainforests, complex river systems and over 600 islands. The majority of the population (86%) liv</w:t>
      </w:r>
      <w:r w:rsidR="009A2C29" w:rsidRPr="00144364">
        <w:t xml:space="preserve">es in remote, rural communities </w:t>
      </w:r>
      <w:r w:rsidRPr="00144364">
        <w:t>which can make accessing health services extremely difficult. It is estimated that only 3% of roads in the country are paved; many villages can only be reached by foot or canoe. In addition to this, there is a growing challenge associated with migration to urban areas with low employment, frequently leading to settlement living and an increasing pressure on limited health services.</w:t>
      </w:r>
    </w:p>
    <w:p w:rsidR="00C72567" w:rsidRPr="00144364" w:rsidRDefault="00C72567" w:rsidP="006465B4">
      <w:pPr>
        <w:widowControl w:val="0"/>
        <w:autoSpaceDE w:val="0"/>
        <w:autoSpaceDN w:val="0"/>
        <w:adjustRightInd w:val="0"/>
        <w:spacing w:before="120" w:after="120"/>
        <w:jc w:val="both"/>
      </w:pPr>
      <w:r w:rsidRPr="00144364">
        <w:t xml:space="preserve">PNG has significant natural resources which have led in recent years to an economic boom, particularly due to Exxon Mobile’s $15 billion liquefied natural gas project. While this has led to an increase in gross national income (World Bank GNI per capita 2012 (US$): 1,790), it has also led to rapid inflation and the rise in cost of living which has not been met by an equal rise in salaries, leading to decreased standards of living. Particular challenges exist in law and order difficulties in PNG. </w:t>
      </w:r>
    </w:p>
    <w:p w:rsidR="003F3825" w:rsidRPr="00144364" w:rsidRDefault="00C72567" w:rsidP="006465B4">
      <w:pPr>
        <w:widowControl w:val="0"/>
        <w:autoSpaceDE w:val="0"/>
        <w:autoSpaceDN w:val="0"/>
        <w:adjustRightInd w:val="0"/>
        <w:spacing w:before="120" w:after="120"/>
        <w:jc w:val="both"/>
      </w:pPr>
      <w:r w:rsidRPr="00144364">
        <w:t xml:space="preserve">The majority of health services in PNG are provided jointly by the Government and church health services, both of which are primarily publicly funded. A small private </w:t>
      </w:r>
      <w:r w:rsidRPr="00144364">
        <w:lastRenderedPageBreak/>
        <w:t>sector also exists, in addition to enterprise based services and traditional healers. Churches play a particularly important role in rural areas where they provide approximately 80% of rural health services. PNG’s health system has undergone several transformations since the country’s independence. The Organic Law on Provincial Governments and Local Level Governments (1977) delegated much of the management</w:t>
      </w:r>
      <w:r w:rsidR="003F3825" w:rsidRPr="00144364">
        <w:t xml:space="preserve"> functions of health service delivery to the provincial and local level governments, while the New Organic Law (1995) further devolved financial power to them, leaving NDoH with mainly an advisory role and responsibility for major hospitals.</w:t>
      </w:r>
    </w:p>
    <w:p w:rsidR="00C367C7" w:rsidRPr="00144364" w:rsidRDefault="00C367C7" w:rsidP="006465B4">
      <w:pPr>
        <w:widowControl w:val="0"/>
        <w:autoSpaceDE w:val="0"/>
        <w:autoSpaceDN w:val="0"/>
        <w:adjustRightInd w:val="0"/>
        <w:spacing w:before="120" w:after="120"/>
        <w:jc w:val="both"/>
      </w:pPr>
      <w:r w:rsidRPr="00144364">
        <w:t>The Expanded Program on Immunization (EPI) has been a key program of the National Department of Health (NDoH) since 1977, and polio was one of the first 6 vaccine preventable diseases targeted by the program. The National Health Plan 2011-20 identifies improvement in vaccination of children and women as priority programs in Key Result Area (KRA) 4 (Improve Child Survival) and KRA 5 (Improve Maternal Health). A country Multi Year Plan (cMYP) has been developed for 2011-2015 which has been fully costed and outlines activities for coming years. The GoPNG continues to consider EPI as an important, cost effective intervention for reducing the morbidity and mortality of children from communicable diseases.</w:t>
      </w:r>
    </w:p>
    <w:p w:rsidR="00C72567" w:rsidRPr="00144364" w:rsidRDefault="00C367C7" w:rsidP="006465B4">
      <w:pPr>
        <w:widowControl w:val="0"/>
        <w:autoSpaceDE w:val="0"/>
        <w:autoSpaceDN w:val="0"/>
        <w:adjustRightInd w:val="0"/>
        <w:spacing w:before="120" w:after="120"/>
        <w:jc w:val="both"/>
      </w:pPr>
      <w:r w:rsidRPr="00144364">
        <w:t>The majority of routine immunization services are provided by government and church fun facilities</w:t>
      </w:r>
      <w:r w:rsidR="00DF27E9">
        <w:t>,</w:t>
      </w:r>
      <w:r w:rsidRPr="00144364">
        <w:t xml:space="preserve"> which are primarily publicly funded, although a small number of private sector and non- governmental organization (NGO) providers exist as well. The GoPNG provides the majority of all traditional routine vaccinations, while GAVI assists with the procurement of Pentavalent and Pneumococcal Conjugate vaccine.</w:t>
      </w:r>
    </w:p>
    <w:p w:rsidR="004E5479" w:rsidRPr="00112F1A" w:rsidRDefault="00DF27E9" w:rsidP="00112F1A">
      <w:pPr>
        <w:pStyle w:val="Heading1"/>
        <w:spacing w:before="120" w:after="120"/>
        <w:ind w:firstLine="720"/>
        <w:rPr>
          <w:rFonts w:asciiTheme="majorBidi" w:hAnsiTheme="majorBidi"/>
          <w:color w:val="002060"/>
          <w:sz w:val="28"/>
          <w:szCs w:val="28"/>
        </w:rPr>
      </w:pPr>
      <w:bookmarkStart w:id="16" w:name="_Toc263661692"/>
      <w:r w:rsidRPr="00112F1A">
        <w:rPr>
          <w:rFonts w:asciiTheme="majorBidi" w:hAnsiTheme="majorBidi"/>
          <w:color w:val="002060"/>
          <w:sz w:val="28"/>
          <w:szCs w:val="28"/>
        </w:rPr>
        <w:t>4.2</w:t>
      </w:r>
      <w:r w:rsidR="004E5479" w:rsidRPr="00112F1A">
        <w:rPr>
          <w:rFonts w:asciiTheme="majorBidi" w:hAnsiTheme="majorBidi"/>
          <w:color w:val="002060"/>
          <w:sz w:val="28"/>
          <w:szCs w:val="28"/>
        </w:rPr>
        <w:t xml:space="preserve"> Geographical, economic, policy, cultural, gender and social barriers to immunization</w:t>
      </w:r>
      <w:bookmarkEnd w:id="16"/>
    </w:p>
    <w:p w:rsidR="00C367C7" w:rsidRPr="00DF27E9" w:rsidRDefault="00C367C7" w:rsidP="006465B4">
      <w:pPr>
        <w:widowControl w:val="0"/>
        <w:autoSpaceDE w:val="0"/>
        <w:autoSpaceDN w:val="0"/>
        <w:adjustRightInd w:val="0"/>
        <w:spacing w:before="120" w:after="120"/>
        <w:jc w:val="both"/>
      </w:pPr>
      <w:r w:rsidRPr="00DF27E9">
        <w:t>The geographical complexity of the country mean</w:t>
      </w:r>
      <w:r w:rsidR="00DF27E9">
        <w:t>s</w:t>
      </w:r>
      <w:r w:rsidRPr="00DF27E9">
        <w:t xml:space="preserve"> that outreach activities play an extremely important role in the program due to the remote location of the majority population and ongoing issues with transport and access to services. It is estimated that 30% of children access immunization through outreach (cMYP 2011-2015). Supplementary immunization activities (SIAs) continue to play an important part in addressing specific disease needs and assisting in reaching the hard to reach. SIAs were first used to assist with polio eradication in 1996, and measles SIAs have been conducted since 2003. More recently tetanus toxoid SIAs have also been implemented and were used to integrate other services, including OPV.</w:t>
      </w:r>
    </w:p>
    <w:p w:rsidR="003F057C" w:rsidRPr="00DF27E9" w:rsidRDefault="003F057C" w:rsidP="006465B4">
      <w:pPr>
        <w:widowControl w:val="0"/>
        <w:autoSpaceDE w:val="0"/>
        <w:autoSpaceDN w:val="0"/>
        <w:adjustRightInd w:val="0"/>
        <w:spacing w:before="120" w:after="120"/>
        <w:jc w:val="both"/>
      </w:pPr>
      <w:r w:rsidRPr="00DF27E9">
        <w:t xml:space="preserve">Clashes between </w:t>
      </w:r>
      <w:r w:rsidR="00C367C7" w:rsidRPr="00DF27E9">
        <w:t xml:space="preserve">tribes often result in violence, </w:t>
      </w:r>
      <w:r w:rsidRPr="00DF27E9">
        <w:t>which has the ability to prevent access to services. Gender based violence is also</w:t>
      </w:r>
      <w:r w:rsidR="00C367C7" w:rsidRPr="00DF27E9">
        <w:t xml:space="preserve"> largely</w:t>
      </w:r>
      <w:r w:rsidRPr="00DF27E9">
        <w:t xml:space="preserve"> prominent and can prevent equitable access to health.</w:t>
      </w:r>
      <w:r w:rsidR="00B13E47" w:rsidRPr="00DF27E9">
        <w:t xml:space="preserve"> However, the available data in the country does not signify any gender-related barriers in accessing and delivering of the immunization services.</w:t>
      </w:r>
    </w:p>
    <w:p w:rsidR="00970690" w:rsidRPr="006C55E0" w:rsidRDefault="00112F1A" w:rsidP="006465B4">
      <w:pPr>
        <w:autoSpaceDE w:val="0"/>
        <w:autoSpaceDN w:val="0"/>
        <w:adjustRightInd w:val="0"/>
        <w:spacing w:before="120" w:after="120"/>
        <w:jc w:val="both"/>
        <w:rPr>
          <w:rFonts w:asciiTheme="majorBidi" w:eastAsia="SimSun" w:hAnsiTheme="majorBidi" w:cstheme="majorBidi"/>
          <w:b/>
          <w:color w:val="000000"/>
        </w:rPr>
      </w:pPr>
      <w:r w:rsidRPr="006C55E0">
        <w:rPr>
          <w:rFonts w:asciiTheme="majorBidi" w:eastAsia="SimSun" w:hAnsiTheme="majorBidi" w:cstheme="majorBidi"/>
          <w:b/>
          <w:color w:val="000000"/>
        </w:rPr>
        <w:t>Table 4</w:t>
      </w:r>
      <w:r w:rsidR="00970690" w:rsidRPr="006C55E0">
        <w:rPr>
          <w:rFonts w:asciiTheme="majorBidi" w:eastAsia="SimSun" w:hAnsiTheme="majorBidi" w:cstheme="majorBidi"/>
          <w:b/>
          <w:color w:val="000000"/>
        </w:rPr>
        <w:t>. Trends in national vaccine coverage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1669"/>
        <w:gridCol w:w="2646"/>
        <w:gridCol w:w="1273"/>
        <w:gridCol w:w="1264"/>
      </w:tblGrid>
      <w:tr w:rsidR="00970690" w:rsidRPr="006C55E0" w:rsidTr="00DF5128">
        <w:trPr>
          <w:trHeight w:val="377"/>
        </w:trPr>
        <w:tc>
          <w:tcPr>
            <w:tcW w:w="8516" w:type="dxa"/>
            <w:gridSpan w:val="5"/>
            <w:shd w:val="clear" w:color="auto" w:fill="auto"/>
            <w:vAlign w:val="center"/>
          </w:tcPr>
          <w:p w:rsidR="00970690" w:rsidRPr="006C55E0" w:rsidRDefault="00970690" w:rsidP="006465B4">
            <w:pPr>
              <w:spacing w:before="120" w:after="120"/>
              <w:ind w:right="120"/>
              <w:jc w:val="center"/>
              <w:rPr>
                <w:rFonts w:asciiTheme="majorBidi" w:hAnsiTheme="majorBidi" w:cstheme="majorBidi"/>
                <w:b/>
                <w:color w:val="000000"/>
              </w:rPr>
            </w:pPr>
            <w:r w:rsidRPr="006C55E0">
              <w:rPr>
                <w:rFonts w:asciiTheme="majorBidi" w:hAnsiTheme="majorBidi" w:cstheme="majorBidi"/>
                <w:b/>
                <w:color w:val="000000"/>
              </w:rPr>
              <w:t>Trends of national vaccine coverage (percentage)</w:t>
            </w:r>
            <w:r w:rsidR="0059247B" w:rsidRPr="006C55E0">
              <w:rPr>
                <w:rFonts w:asciiTheme="majorBidi" w:hAnsiTheme="majorBidi" w:cstheme="majorBidi"/>
                <w:b/>
                <w:color w:val="000000"/>
              </w:rPr>
              <w:t xml:space="preserve"> (admin)</w:t>
            </w:r>
          </w:p>
        </w:tc>
      </w:tr>
      <w:tr w:rsidR="00970690" w:rsidRPr="006C55E0" w:rsidTr="00DF5128">
        <w:trPr>
          <w:trHeight w:val="404"/>
        </w:trPr>
        <w:tc>
          <w:tcPr>
            <w:tcW w:w="1664" w:type="dxa"/>
            <w:vMerge w:val="restart"/>
            <w:shd w:val="clear" w:color="auto" w:fill="auto"/>
            <w:vAlign w:val="center"/>
          </w:tcPr>
          <w:p w:rsidR="00970690" w:rsidRPr="006C55E0" w:rsidRDefault="00970690" w:rsidP="006465B4">
            <w:pPr>
              <w:spacing w:before="120" w:after="120"/>
              <w:ind w:right="120"/>
              <w:jc w:val="center"/>
              <w:rPr>
                <w:rFonts w:asciiTheme="majorBidi" w:hAnsiTheme="majorBidi" w:cstheme="majorBidi"/>
                <w:b/>
                <w:color w:val="000000"/>
              </w:rPr>
            </w:pPr>
            <w:r w:rsidRPr="006C55E0">
              <w:rPr>
                <w:rFonts w:asciiTheme="majorBidi" w:hAnsiTheme="majorBidi" w:cstheme="majorBidi"/>
                <w:b/>
                <w:color w:val="000000"/>
              </w:rPr>
              <w:t>Vaccine</w:t>
            </w:r>
          </w:p>
        </w:tc>
        <w:tc>
          <w:tcPr>
            <w:tcW w:w="1669" w:type="dxa"/>
            <w:vMerge w:val="restart"/>
            <w:shd w:val="clear" w:color="auto" w:fill="auto"/>
            <w:vAlign w:val="center"/>
          </w:tcPr>
          <w:p w:rsidR="00970690" w:rsidRPr="006C55E0" w:rsidRDefault="00970690" w:rsidP="006465B4">
            <w:pPr>
              <w:spacing w:before="120" w:after="120"/>
              <w:ind w:right="120"/>
              <w:jc w:val="center"/>
              <w:rPr>
                <w:rFonts w:asciiTheme="majorBidi" w:hAnsiTheme="majorBidi" w:cstheme="majorBidi"/>
                <w:b/>
                <w:color w:val="000000"/>
              </w:rPr>
            </w:pPr>
            <w:r w:rsidRPr="006C55E0">
              <w:rPr>
                <w:rFonts w:asciiTheme="majorBidi" w:hAnsiTheme="majorBidi" w:cstheme="majorBidi"/>
                <w:b/>
                <w:color w:val="000000"/>
              </w:rPr>
              <w:t>Vaccine Used</w:t>
            </w:r>
          </w:p>
        </w:tc>
        <w:tc>
          <w:tcPr>
            <w:tcW w:w="2646" w:type="dxa"/>
            <w:vMerge w:val="restart"/>
            <w:shd w:val="clear" w:color="auto" w:fill="auto"/>
            <w:vAlign w:val="center"/>
          </w:tcPr>
          <w:p w:rsidR="00970690" w:rsidRPr="006C55E0" w:rsidRDefault="00970690" w:rsidP="006465B4">
            <w:pPr>
              <w:spacing w:before="120" w:after="120"/>
              <w:ind w:right="120"/>
              <w:jc w:val="center"/>
              <w:rPr>
                <w:rFonts w:asciiTheme="majorBidi" w:hAnsiTheme="majorBidi" w:cstheme="majorBidi"/>
                <w:b/>
                <w:color w:val="000000"/>
              </w:rPr>
            </w:pPr>
            <w:r w:rsidRPr="006C55E0">
              <w:rPr>
                <w:rFonts w:asciiTheme="majorBidi" w:hAnsiTheme="majorBidi" w:cstheme="majorBidi"/>
                <w:b/>
                <w:color w:val="000000"/>
              </w:rPr>
              <w:t>Target population</w:t>
            </w:r>
          </w:p>
          <w:p w:rsidR="00970690" w:rsidRPr="006C55E0" w:rsidRDefault="00970690" w:rsidP="006465B4">
            <w:pPr>
              <w:spacing w:before="120" w:after="120"/>
              <w:ind w:right="120"/>
              <w:jc w:val="center"/>
              <w:rPr>
                <w:rFonts w:asciiTheme="majorBidi" w:hAnsiTheme="majorBidi" w:cstheme="majorBidi"/>
                <w:b/>
                <w:color w:val="000000"/>
              </w:rPr>
            </w:pPr>
            <w:r w:rsidRPr="006C55E0">
              <w:rPr>
                <w:rFonts w:asciiTheme="majorBidi" w:hAnsiTheme="majorBidi" w:cstheme="majorBidi"/>
                <w:b/>
                <w:color w:val="000000"/>
              </w:rPr>
              <w:t>(number by age and sex,</w:t>
            </w:r>
          </w:p>
          <w:p w:rsidR="00970690" w:rsidRPr="006C55E0" w:rsidRDefault="00970690" w:rsidP="006465B4">
            <w:pPr>
              <w:spacing w:before="120" w:after="120"/>
              <w:ind w:right="120"/>
              <w:jc w:val="center"/>
              <w:rPr>
                <w:rFonts w:asciiTheme="majorBidi" w:hAnsiTheme="majorBidi" w:cstheme="majorBidi"/>
                <w:b/>
                <w:color w:val="000000"/>
              </w:rPr>
            </w:pPr>
            <w:r w:rsidRPr="006C55E0">
              <w:rPr>
                <w:rFonts w:asciiTheme="majorBidi" w:hAnsiTheme="majorBidi" w:cstheme="majorBidi"/>
                <w:b/>
                <w:color w:val="000000"/>
              </w:rPr>
              <w:t xml:space="preserve">if </w:t>
            </w:r>
            <w:r w:rsidR="008C54E9" w:rsidRPr="006C55E0">
              <w:rPr>
                <w:rFonts w:asciiTheme="majorBidi" w:hAnsiTheme="majorBidi" w:cstheme="majorBidi"/>
                <w:b/>
                <w:color w:val="000000"/>
              </w:rPr>
              <w:t>available</w:t>
            </w:r>
            <w:r w:rsidRPr="006C55E0">
              <w:rPr>
                <w:rFonts w:asciiTheme="majorBidi" w:hAnsiTheme="majorBidi" w:cstheme="majorBidi"/>
                <w:b/>
                <w:color w:val="000000"/>
              </w:rPr>
              <w:t>)</w:t>
            </w:r>
          </w:p>
        </w:tc>
        <w:tc>
          <w:tcPr>
            <w:tcW w:w="2537" w:type="dxa"/>
            <w:gridSpan w:val="2"/>
            <w:shd w:val="clear" w:color="auto" w:fill="auto"/>
            <w:vAlign w:val="center"/>
          </w:tcPr>
          <w:p w:rsidR="00970690" w:rsidRPr="006C55E0" w:rsidRDefault="00970690" w:rsidP="006465B4">
            <w:pPr>
              <w:spacing w:before="120" w:after="120"/>
              <w:ind w:right="120"/>
              <w:jc w:val="center"/>
              <w:rPr>
                <w:rFonts w:asciiTheme="majorBidi" w:hAnsiTheme="majorBidi" w:cstheme="majorBidi"/>
                <w:b/>
                <w:color w:val="000000"/>
              </w:rPr>
            </w:pPr>
            <w:r w:rsidRPr="006C55E0">
              <w:rPr>
                <w:rFonts w:asciiTheme="majorBidi" w:hAnsiTheme="majorBidi" w:cstheme="majorBidi"/>
                <w:b/>
                <w:color w:val="000000"/>
              </w:rPr>
              <w:t>Coverage reported (JRF)</w:t>
            </w:r>
          </w:p>
        </w:tc>
      </w:tr>
      <w:tr w:rsidR="00970690" w:rsidRPr="006C55E0" w:rsidTr="00DF5128">
        <w:trPr>
          <w:trHeight w:val="404"/>
        </w:trPr>
        <w:tc>
          <w:tcPr>
            <w:tcW w:w="1664" w:type="dxa"/>
            <w:vMerge/>
            <w:shd w:val="clear" w:color="auto" w:fill="auto"/>
            <w:vAlign w:val="center"/>
          </w:tcPr>
          <w:p w:rsidR="00970690" w:rsidRPr="006C55E0" w:rsidRDefault="00970690" w:rsidP="006465B4">
            <w:pPr>
              <w:spacing w:before="120" w:after="120"/>
              <w:ind w:right="120"/>
              <w:jc w:val="center"/>
              <w:rPr>
                <w:rFonts w:asciiTheme="majorBidi" w:hAnsiTheme="majorBidi" w:cstheme="majorBidi"/>
                <w:b/>
                <w:color w:val="000000"/>
              </w:rPr>
            </w:pPr>
          </w:p>
        </w:tc>
        <w:tc>
          <w:tcPr>
            <w:tcW w:w="1669" w:type="dxa"/>
            <w:vMerge/>
            <w:shd w:val="clear" w:color="auto" w:fill="auto"/>
            <w:vAlign w:val="center"/>
          </w:tcPr>
          <w:p w:rsidR="00970690" w:rsidRPr="006C55E0" w:rsidRDefault="00970690" w:rsidP="006465B4">
            <w:pPr>
              <w:spacing w:before="120" w:after="120"/>
              <w:ind w:right="120"/>
              <w:jc w:val="center"/>
              <w:rPr>
                <w:rFonts w:asciiTheme="majorBidi" w:hAnsiTheme="majorBidi" w:cstheme="majorBidi"/>
                <w:b/>
                <w:color w:val="000000"/>
              </w:rPr>
            </w:pPr>
          </w:p>
        </w:tc>
        <w:tc>
          <w:tcPr>
            <w:tcW w:w="2646" w:type="dxa"/>
            <w:vMerge/>
            <w:shd w:val="clear" w:color="auto" w:fill="auto"/>
            <w:vAlign w:val="center"/>
          </w:tcPr>
          <w:p w:rsidR="00970690" w:rsidRPr="006C55E0" w:rsidRDefault="00970690" w:rsidP="006465B4">
            <w:pPr>
              <w:spacing w:before="120" w:after="120"/>
              <w:ind w:right="120"/>
              <w:jc w:val="center"/>
              <w:rPr>
                <w:rFonts w:asciiTheme="majorBidi" w:hAnsiTheme="majorBidi" w:cstheme="majorBidi"/>
                <w:b/>
                <w:color w:val="000000"/>
              </w:rPr>
            </w:pPr>
          </w:p>
        </w:tc>
        <w:tc>
          <w:tcPr>
            <w:tcW w:w="1273" w:type="dxa"/>
            <w:shd w:val="clear" w:color="auto" w:fill="auto"/>
            <w:vAlign w:val="center"/>
          </w:tcPr>
          <w:p w:rsidR="00970690" w:rsidRPr="006C55E0" w:rsidRDefault="00970690" w:rsidP="006465B4">
            <w:pPr>
              <w:spacing w:before="120" w:after="120"/>
              <w:ind w:right="120"/>
              <w:jc w:val="center"/>
              <w:rPr>
                <w:rFonts w:asciiTheme="majorBidi" w:hAnsiTheme="majorBidi" w:cstheme="majorBidi"/>
                <w:b/>
                <w:color w:val="000000"/>
              </w:rPr>
            </w:pPr>
            <w:r w:rsidRPr="006C55E0">
              <w:rPr>
                <w:rFonts w:asciiTheme="majorBidi" w:hAnsiTheme="majorBidi" w:cstheme="majorBidi"/>
                <w:b/>
                <w:color w:val="000000"/>
              </w:rPr>
              <w:t xml:space="preserve">Most recent </w:t>
            </w:r>
            <w:r w:rsidRPr="006C55E0">
              <w:rPr>
                <w:rFonts w:asciiTheme="majorBidi" w:hAnsiTheme="majorBidi" w:cstheme="majorBidi"/>
                <w:b/>
                <w:color w:val="000000"/>
              </w:rPr>
              <w:lastRenderedPageBreak/>
              <w:t>year</w:t>
            </w:r>
          </w:p>
        </w:tc>
        <w:tc>
          <w:tcPr>
            <w:tcW w:w="1264" w:type="dxa"/>
            <w:shd w:val="clear" w:color="auto" w:fill="auto"/>
            <w:vAlign w:val="center"/>
          </w:tcPr>
          <w:p w:rsidR="00970690" w:rsidRPr="006C55E0" w:rsidRDefault="00970690" w:rsidP="006465B4">
            <w:pPr>
              <w:spacing w:before="120" w:after="120"/>
              <w:ind w:right="120"/>
              <w:jc w:val="center"/>
              <w:rPr>
                <w:rFonts w:asciiTheme="majorBidi" w:hAnsiTheme="majorBidi" w:cstheme="majorBidi"/>
                <w:b/>
                <w:color w:val="000000"/>
              </w:rPr>
            </w:pPr>
            <w:r w:rsidRPr="006C55E0">
              <w:rPr>
                <w:rFonts w:asciiTheme="majorBidi" w:hAnsiTheme="majorBidi" w:cstheme="majorBidi"/>
                <w:b/>
                <w:color w:val="000000"/>
              </w:rPr>
              <w:lastRenderedPageBreak/>
              <w:t>Previous year</w:t>
            </w:r>
          </w:p>
        </w:tc>
      </w:tr>
      <w:tr w:rsidR="00970690" w:rsidRPr="006C55E0" w:rsidTr="00DF5128">
        <w:tc>
          <w:tcPr>
            <w:tcW w:w="1664" w:type="dxa"/>
            <w:shd w:val="clear" w:color="auto" w:fill="auto"/>
          </w:tcPr>
          <w:p w:rsidR="00970690" w:rsidRPr="006C55E0" w:rsidRDefault="00970690" w:rsidP="006465B4">
            <w:pPr>
              <w:spacing w:before="120" w:after="120"/>
              <w:ind w:right="120"/>
              <w:rPr>
                <w:rFonts w:asciiTheme="majorBidi" w:hAnsiTheme="majorBidi" w:cstheme="majorBidi"/>
                <w:color w:val="000000"/>
              </w:rPr>
            </w:pPr>
            <w:r w:rsidRPr="006C55E0">
              <w:rPr>
                <w:rFonts w:asciiTheme="majorBidi" w:hAnsiTheme="majorBidi" w:cstheme="majorBidi"/>
                <w:color w:val="000000"/>
              </w:rPr>
              <w:lastRenderedPageBreak/>
              <w:t>BCG</w:t>
            </w:r>
          </w:p>
        </w:tc>
        <w:tc>
          <w:tcPr>
            <w:tcW w:w="1669" w:type="dxa"/>
            <w:shd w:val="clear" w:color="auto" w:fill="auto"/>
          </w:tcPr>
          <w:p w:rsidR="00970690" w:rsidRPr="006C55E0" w:rsidRDefault="00376164" w:rsidP="006465B4">
            <w:pPr>
              <w:spacing w:before="120" w:after="120"/>
              <w:rPr>
                <w:rFonts w:asciiTheme="majorBidi" w:hAnsiTheme="majorBidi" w:cstheme="majorBidi"/>
              </w:rPr>
            </w:pPr>
            <w:r w:rsidRPr="006C55E0">
              <w:rPr>
                <w:rFonts w:asciiTheme="majorBidi" w:hAnsiTheme="majorBidi" w:cstheme="majorBidi"/>
              </w:rPr>
              <w:t>Serum Institute of India</w:t>
            </w:r>
          </w:p>
        </w:tc>
        <w:tc>
          <w:tcPr>
            <w:tcW w:w="2646" w:type="dxa"/>
            <w:shd w:val="clear" w:color="auto" w:fill="auto"/>
          </w:tcPr>
          <w:p w:rsidR="00970690" w:rsidRPr="006C55E0" w:rsidRDefault="00DF5128" w:rsidP="006465B4">
            <w:pPr>
              <w:spacing w:before="120" w:after="120"/>
              <w:rPr>
                <w:rFonts w:asciiTheme="majorBidi" w:hAnsiTheme="majorBidi" w:cstheme="majorBidi"/>
              </w:rPr>
            </w:pPr>
            <w:r w:rsidRPr="006C55E0">
              <w:rPr>
                <w:rFonts w:asciiTheme="majorBidi" w:hAnsiTheme="majorBidi" w:cstheme="majorBidi"/>
              </w:rPr>
              <w:t>Live births 215,543</w:t>
            </w:r>
          </w:p>
        </w:tc>
        <w:tc>
          <w:tcPr>
            <w:tcW w:w="1273" w:type="dxa"/>
            <w:shd w:val="clear" w:color="auto" w:fill="auto"/>
          </w:tcPr>
          <w:p w:rsidR="00DF5128" w:rsidRPr="006C55E0" w:rsidRDefault="00DF5128" w:rsidP="006465B4">
            <w:pPr>
              <w:spacing w:before="120" w:after="120"/>
              <w:rPr>
                <w:rFonts w:asciiTheme="majorBidi" w:hAnsiTheme="majorBidi" w:cstheme="majorBidi"/>
              </w:rPr>
            </w:pPr>
            <w:r w:rsidRPr="006C55E0">
              <w:rPr>
                <w:rFonts w:asciiTheme="majorBidi" w:hAnsiTheme="majorBidi" w:cstheme="majorBidi"/>
              </w:rPr>
              <w:t>80%</w:t>
            </w:r>
          </w:p>
        </w:tc>
        <w:tc>
          <w:tcPr>
            <w:tcW w:w="1264" w:type="dxa"/>
            <w:shd w:val="clear" w:color="auto" w:fill="auto"/>
          </w:tcPr>
          <w:p w:rsidR="00970690" w:rsidRPr="006C55E0" w:rsidRDefault="00376164" w:rsidP="006465B4">
            <w:pPr>
              <w:spacing w:before="120" w:after="120"/>
              <w:rPr>
                <w:rFonts w:asciiTheme="majorBidi" w:hAnsiTheme="majorBidi" w:cstheme="majorBidi"/>
              </w:rPr>
            </w:pPr>
            <w:r w:rsidRPr="006C55E0">
              <w:rPr>
                <w:rFonts w:asciiTheme="majorBidi" w:hAnsiTheme="majorBidi" w:cstheme="majorBidi"/>
              </w:rPr>
              <w:t>80%</w:t>
            </w:r>
          </w:p>
        </w:tc>
      </w:tr>
      <w:tr w:rsidR="00970690" w:rsidRPr="006C55E0" w:rsidTr="00DF5128">
        <w:tc>
          <w:tcPr>
            <w:tcW w:w="1664" w:type="dxa"/>
            <w:tcBorders>
              <w:top w:val="single" w:sz="4" w:space="0" w:color="auto"/>
              <w:left w:val="single" w:sz="4" w:space="0" w:color="auto"/>
              <w:bottom w:val="single" w:sz="4" w:space="0" w:color="auto"/>
              <w:right w:val="single" w:sz="4" w:space="0" w:color="auto"/>
            </w:tcBorders>
            <w:shd w:val="clear" w:color="auto" w:fill="auto"/>
          </w:tcPr>
          <w:p w:rsidR="00970690" w:rsidRPr="006C55E0" w:rsidRDefault="00970690" w:rsidP="006465B4">
            <w:pPr>
              <w:spacing w:before="120" w:after="120"/>
              <w:ind w:right="120"/>
              <w:rPr>
                <w:rFonts w:asciiTheme="majorBidi" w:hAnsiTheme="majorBidi" w:cstheme="majorBidi"/>
                <w:color w:val="000000"/>
              </w:rPr>
            </w:pPr>
            <w:r w:rsidRPr="006C55E0">
              <w:rPr>
                <w:rFonts w:asciiTheme="majorBidi" w:hAnsiTheme="majorBidi" w:cstheme="majorBidi"/>
                <w:color w:val="000000"/>
              </w:rPr>
              <w:t>OPV 3</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970690" w:rsidRPr="006C55E0" w:rsidRDefault="00376164" w:rsidP="006465B4">
            <w:pPr>
              <w:spacing w:before="120" w:after="120"/>
              <w:rPr>
                <w:rFonts w:asciiTheme="majorBidi" w:hAnsiTheme="majorBidi" w:cstheme="majorBidi"/>
              </w:rPr>
            </w:pPr>
            <w:r w:rsidRPr="006C55E0">
              <w:rPr>
                <w:rFonts w:asciiTheme="majorBidi" w:hAnsiTheme="majorBidi" w:cstheme="majorBidi"/>
              </w:rPr>
              <w:t>Biopharma</w:t>
            </w: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970690" w:rsidRPr="006C55E0" w:rsidRDefault="00DF5128" w:rsidP="006465B4">
            <w:pPr>
              <w:spacing w:before="120" w:after="120"/>
              <w:rPr>
                <w:rFonts w:asciiTheme="majorBidi" w:hAnsiTheme="majorBidi" w:cstheme="majorBidi"/>
              </w:rPr>
            </w:pPr>
            <w:r w:rsidRPr="006C55E0">
              <w:rPr>
                <w:rFonts w:asciiTheme="majorBidi" w:hAnsiTheme="majorBidi" w:cstheme="majorBidi"/>
              </w:rPr>
              <w:t>Surviving infants 205,886</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970690" w:rsidRPr="006C55E0" w:rsidRDefault="00DF5128" w:rsidP="006465B4">
            <w:pPr>
              <w:spacing w:before="120" w:after="120"/>
              <w:rPr>
                <w:rFonts w:asciiTheme="majorBidi" w:hAnsiTheme="majorBidi" w:cstheme="majorBidi"/>
              </w:rPr>
            </w:pPr>
            <w:r w:rsidRPr="006C55E0">
              <w:rPr>
                <w:rFonts w:asciiTheme="majorBidi" w:hAnsiTheme="majorBidi" w:cstheme="majorBidi"/>
              </w:rPr>
              <w:t>69%</w:t>
            </w:r>
          </w:p>
          <w:p w:rsidR="00DF5128" w:rsidRPr="006C55E0" w:rsidRDefault="00DF5128" w:rsidP="006465B4">
            <w:pPr>
              <w:spacing w:before="120" w:after="120"/>
              <w:rPr>
                <w:rFonts w:asciiTheme="majorBidi" w:hAnsiTheme="majorBidi" w:cstheme="majorBidi"/>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970690" w:rsidRPr="006C55E0" w:rsidRDefault="00376164" w:rsidP="006465B4">
            <w:pPr>
              <w:spacing w:before="120" w:after="120"/>
              <w:rPr>
                <w:rFonts w:asciiTheme="majorBidi" w:hAnsiTheme="majorBidi" w:cstheme="majorBidi"/>
              </w:rPr>
            </w:pPr>
            <w:r w:rsidRPr="006C55E0">
              <w:rPr>
                <w:rFonts w:asciiTheme="majorBidi" w:hAnsiTheme="majorBidi" w:cstheme="majorBidi"/>
              </w:rPr>
              <w:t>55%</w:t>
            </w:r>
          </w:p>
        </w:tc>
      </w:tr>
      <w:tr w:rsidR="00970690" w:rsidRPr="006C55E0" w:rsidTr="00DF5128">
        <w:tc>
          <w:tcPr>
            <w:tcW w:w="1664" w:type="dxa"/>
            <w:tcBorders>
              <w:top w:val="single" w:sz="4" w:space="0" w:color="auto"/>
              <w:left w:val="single" w:sz="4" w:space="0" w:color="auto"/>
              <w:bottom w:val="single" w:sz="4" w:space="0" w:color="auto"/>
              <w:right w:val="single" w:sz="4" w:space="0" w:color="auto"/>
            </w:tcBorders>
            <w:shd w:val="clear" w:color="auto" w:fill="auto"/>
          </w:tcPr>
          <w:p w:rsidR="00970690" w:rsidRPr="006C55E0" w:rsidRDefault="00970690" w:rsidP="006465B4">
            <w:pPr>
              <w:spacing w:before="120" w:after="120"/>
              <w:ind w:right="120"/>
              <w:rPr>
                <w:rFonts w:asciiTheme="majorBidi" w:hAnsiTheme="majorBidi" w:cstheme="majorBidi"/>
                <w:color w:val="000000"/>
              </w:rPr>
            </w:pPr>
            <w:r w:rsidRPr="006C55E0">
              <w:rPr>
                <w:rFonts w:asciiTheme="majorBidi" w:hAnsiTheme="majorBidi" w:cstheme="majorBidi"/>
                <w:color w:val="000000"/>
              </w:rPr>
              <w:t>DTP 1 / Penta 1</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970690" w:rsidRPr="006C55E0" w:rsidRDefault="00376164" w:rsidP="006465B4">
            <w:pPr>
              <w:spacing w:before="120" w:after="120"/>
              <w:rPr>
                <w:rFonts w:asciiTheme="majorBidi" w:hAnsiTheme="majorBidi" w:cstheme="majorBidi"/>
              </w:rPr>
            </w:pPr>
            <w:r w:rsidRPr="006C55E0">
              <w:rPr>
                <w:rFonts w:asciiTheme="majorBidi" w:hAnsiTheme="majorBidi" w:cstheme="majorBidi"/>
              </w:rPr>
              <w:t>Berna Biotech Korea Corp.</w:t>
            </w: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970690" w:rsidRPr="006C55E0" w:rsidRDefault="00DF5128" w:rsidP="006465B4">
            <w:pPr>
              <w:spacing w:before="120" w:after="120"/>
              <w:rPr>
                <w:rFonts w:asciiTheme="majorBidi" w:hAnsiTheme="majorBidi" w:cstheme="majorBidi"/>
              </w:rPr>
            </w:pPr>
            <w:r w:rsidRPr="006C55E0">
              <w:rPr>
                <w:rFonts w:asciiTheme="majorBidi" w:hAnsiTheme="majorBidi" w:cstheme="majorBidi"/>
              </w:rPr>
              <w:t>Surviving infants 205,886</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970690" w:rsidRPr="006C55E0" w:rsidRDefault="00DF5128" w:rsidP="006465B4">
            <w:pPr>
              <w:spacing w:before="120" w:after="120"/>
              <w:rPr>
                <w:rFonts w:asciiTheme="majorBidi" w:hAnsiTheme="majorBidi" w:cstheme="majorBidi"/>
              </w:rPr>
            </w:pPr>
            <w:r w:rsidRPr="006C55E0">
              <w:rPr>
                <w:rFonts w:asciiTheme="majorBidi" w:hAnsiTheme="majorBidi" w:cstheme="majorBidi"/>
              </w:rPr>
              <w:t>82%</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970690" w:rsidRPr="006C55E0" w:rsidRDefault="00376164" w:rsidP="006465B4">
            <w:pPr>
              <w:spacing w:before="120" w:after="120"/>
              <w:rPr>
                <w:rFonts w:asciiTheme="majorBidi" w:hAnsiTheme="majorBidi" w:cstheme="majorBidi"/>
              </w:rPr>
            </w:pPr>
            <w:r w:rsidRPr="006C55E0">
              <w:rPr>
                <w:rFonts w:asciiTheme="majorBidi" w:hAnsiTheme="majorBidi" w:cstheme="majorBidi"/>
              </w:rPr>
              <w:t>80%</w:t>
            </w:r>
          </w:p>
        </w:tc>
      </w:tr>
      <w:tr w:rsidR="00970690" w:rsidRPr="006C55E0" w:rsidTr="00DF5128">
        <w:tc>
          <w:tcPr>
            <w:tcW w:w="1664" w:type="dxa"/>
            <w:tcBorders>
              <w:top w:val="single" w:sz="4" w:space="0" w:color="auto"/>
              <w:left w:val="single" w:sz="4" w:space="0" w:color="auto"/>
              <w:bottom w:val="single" w:sz="4" w:space="0" w:color="auto"/>
              <w:right w:val="single" w:sz="4" w:space="0" w:color="auto"/>
            </w:tcBorders>
            <w:shd w:val="clear" w:color="auto" w:fill="auto"/>
          </w:tcPr>
          <w:p w:rsidR="00970690" w:rsidRPr="006C55E0" w:rsidRDefault="00970690" w:rsidP="006465B4">
            <w:pPr>
              <w:spacing w:before="120" w:after="120"/>
              <w:ind w:right="120"/>
              <w:rPr>
                <w:rFonts w:asciiTheme="majorBidi" w:hAnsiTheme="majorBidi" w:cstheme="majorBidi"/>
                <w:color w:val="000000"/>
              </w:rPr>
            </w:pPr>
            <w:r w:rsidRPr="006C55E0">
              <w:rPr>
                <w:rFonts w:asciiTheme="majorBidi" w:hAnsiTheme="majorBidi" w:cstheme="majorBidi"/>
                <w:color w:val="000000"/>
              </w:rPr>
              <w:t>DTP 3 / Penta 3</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970690" w:rsidRPr="006C55E0" w:rsidRDefault="00762DFD" w:rsidP="006465B4">
            <w:pPr>
              <w:spacing w:before="120" w:after="120"/>
              <w:rPr>
                <w:rFonts w:asciiTheme="majorBidi" w:hAnsiTheme="majorBidi" w:cstheme="majorBidi"/>
              </w:rPr>
            </w:pPr>
            <w:r w:rsidRPr="006C55E0">
              <w:rPr>
                <w:rFonts w:asciiTheme="majorBidi" w:hAnsiTheme="majorBidi" w:cstheme="majorBidi"/>
              </w:rPr>
              <w:t>Berna Biotech Korea Corp.</w:t>
            </w: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970690" w:rsidRPr="006C55E0" w:rsidRDefault="00DF5128" w:rsidP="006465B4">
            <w:pPr>
              <w:spacing w:before="120" w:after="120"/>
              <w:rPr>
                <w:rFonts w:asciiTheme="majorBidi" w:hAnsiTheme="majorBidi" w:cstheme="majorBidi"/>
              </w:rPr>
            </w:pPr>
            <w:r w:rsidRPr="006C55E0">
              <w:rPr>
                <w:rFonts w:asciiTheme="majorBidi" w:hAnsiTheme="majorBidi" w:cstheme="majorBidi"/>
              </w:rPr>
              <w:t>Surviving infants 205,886</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970690" w:rsidRPr="006C55E0" w:rsidRDefault="00DF5128" w:rsidP="006465B4">
            <w:pPr>
              <w:spacing w:before="120" w:after="120"/>
              <w:rPr>
                <w:rFonts w:asciiTheme="majorBidi" w:hAnsiTheme="majorBidi" w:cstheme="majorBidi"/>
              </w:rPr>
            </w:pPr>
            <w:r w:rsidRPr="006C55E0">
              <w:rPr>
                <w:rFonts w:asciiTheme="majorBidi" w:hAnsiTheme="majorBidi" w:cstheme="majorBidi"/>
              </w:rPr>
              <w:t>59%</w:t>
            </w:r>
          </w:p>
          <w:p w:rsidR="00DF5128" w:rsidRPr="006C55E0" w:rsidRDefault="00DF5128" w:rsidP="006465B4">
            <w:pPr>
              <w:spacing w:before="120" w:after="120"/>
              <w:rPr>
                <w:rFonts w:asciiTheme="majorBidi" w:hAnsiTheme="majorBidi" w:cstheme="majorBidi"/>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970690" w:rsidRPr="006C55E0" w:rsidRDefault="00376164" w:rsidP="006465B4">
            <w:pPr>
              <w:spacing w:before="120" w:after="120"/>
              <w:rPr>
                <w:rFonts w:asciiTheme="majorBidi" w:hAnsiTheme="majorBidi" w:cstheme="majorBidi"/>
              </w:rPr>
            </w:pPr>
            <w:r w:rsidRPr="006C55E0">
              <w:rPr>
                <w:rFonts w:asciiTheme="majorBidi" w:hAnsiTheme="majorBidi" w:cstheme="majorBidi"/>
              </w:rPr>
              <w:t>57%</w:t>
            </w:r>
          </w:p>
        </w:tc>
      </w:tr>
      <w:tr w:rsidR="00DF5128" w:rsidRPr="006C55E0" w:rsidTr="00DF5128">
        <w:tc>
          <w:tcPr>
            <w:tcW w:w="1664" w:type="dxa"/>
            <w:tcBorders>
              <w:top w:val="single" w:sz="4" w:space="0" w:color="auto"/>
              <w:left w:val="single" w:sz="4" w:space="0" w:color="auto"/>
              <w:bottom w:val="single" w:sz="4" w:space="0" w:color="auto"/>
              <w:right w:val="single" w:sz="4" w:space="0" w:color="auto"/>
            </w:tcBorders>
            <w:shd w:val="clear" w:color="auto" w:fill="auto"/>
          </w:tcPr>
          <w:p w:rsidR="00DF5128" w:rsidRPr="006C55E0" w:rsidRDefault="00DF5128" w:rsidP="006465B4">
            <w:pPr>
              <w:spacing w:before="120" w:after="120"/>
              <w:ind w:right="120"/>
              <w:rPr>
                <w:rFonts w:asciiTheme="majorBidi" w:hAnsiTheme="majorBidi" w:cstheme="majorBidi"/>
                <w:color w:val="000000"/>
              </w:rPr>
            </w:pPr>
            <w:r w:rsidRPr="006C55E0">
              <w:rPr>
                <w:rFonts w:asciiTheme="majorBidi" w:hAnsiTheme="majorBidi" w:cstheme="majorBidi"/>
                <w:color w:val="000000"/>
              </w:rPr>
              <w:t>Measles 1</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DF5128" w:rsidRPr="006C55E0" w:rsidRDefault="00376164" w:rsidP="006465B4">
            <w:pPr>
              <w:spacing w:before="120" w:after="120"/>
              <w:rPr>
                <w:rFonts w:asciiTheme="majorBidi" w:hAnsiTheme="majorBidi" w:cstheme="majorBidi"/>
              </w:rPr>
            </w:pPr>
            <w:r w:rsidRPr="006C55E0">
              <w:rPr>
                <w:rFonts w:asciiTheme="majorBidi" w:hAnsiTheme="majorBidi" w:cstheme="majorBidi"/>
              </w:rPr>
              <w:t>Serum Institute of India</w:t>
            </w: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DF5128" w:rsidRPr="006C55E0" w:rsidRDefault="00DF5128" w:rsidP="006465B4">
            <w:pPr>
              <w:spacing w:before="120" w:after="120"/>
              <w:rPr>
                <w:rFonts w:asciiTheme="majorBidi" w:hAnsiTheme="majorBidi" w:cstheme="majorBidi"/>
              </w:rPr>
            </w:pPr>
            <w:r w:rsidRPr="006C55E0">
              <w:rPr>
                <w:rFonts w:asciiTheme="majorBidi" w:hAnsiTheme="majorBidi" w:cstheme="majorBidi"/>
              </w:rPr>
              <w:t xml:space="preserve">Surviving infants 205,886 (only 9 month dose coverage figure provided) </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DF5128" w:rsidRPr="006C55E0" w:rsidRDefault="00DF5128" w:rsidP="006465B4">
            <w:pPr>
              <w:spacing w:before="120" w:after="120"/>
              <w:rPr>
                <w:rFonts w:asciiTheme="majorBidi" w:hAnsiTheme="majorBidi" w:cstheme="majorBidi"/>
              </w:rPr>
            </w:pPr>
            <w:r w:rsidRPr="006C55E0">
              <w:rPr>
                <w:rFonts w:asciiTheme="majorBidi" w:hAnsiTheme="majorBidi" w:cstheme="majorBidi"/>
              </w:rPr>
              <w:t>64%</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F5128" w:rsidRPr="006C55E0" w:rsidRDefault="00376164" w:rsidP="006465B4">
            <w:pPr>
              <w:spacing w:before="120" w:after="120"/>
              <w:rPr>
                <w:rFonts w:asciiTheme="majorBidi" w:hAnsiTheme="majorBidi" w:cstheme="majorBidi"/>
              </w:rPr>
            </w:pPr>
            <w:r w:rsidRPr="006C55E0">
              <w:rPr>
                <w:rFonts w:asciiTheme="majorBidi" w:hAnsiTheme="majorBidi" w:cstheme="majorBidi"/>
              </w:rPr>
              <w:t>56%</w:t>
            </w:r>
          </w:p>
        </w:tc>
      </w:tr>
    </w:tbl>
    <w:p w:rsidR="00970690" w:rsidRPr="006C55E0" w:rsidRDefault="006C55E0" w:rsidP="006C55E0">
      <w:pPr>
        <w:pStyle w:val="Heading1"/>
        <w:spacing w:before="120" w:after="120"/>
        <w:ind w:firstLine="720"/>
        <w:rPr>
          <w:rFonts w:asciiTheme="majorBidi" w:hAnsiTheme="majorBidi"/>
          <w:color w:val="002060"/>
          <w:sz w:val="28"/>
          <w:szCs w:val="28"/>
        </w:rPr>
      </w:pPr>
      <w:bookmarkStart w:id="17" w:name="_Toc263661693"/>
      <w:r w:rsidRPr="006C55E0">
        <w:rPr>
          <w:rFonts w:asciiTheme="majorBidi" w:hAnsiTheme="majorBidi"/>
          <w:color w:val="002060"/>
          <w:sz w:val="28"/>
          <w:szCs w:val="28"/>
        </w:rPr>
        <w:t>4.3 Findings</w:t>
      </w:r>
      <w:r w:rsidR="00970690" w:rsidRPr="006C55E0">
        <w:rPr>
          <w:rFonts w:asciiTheme="majorBidi" w:hAnsiTheme="majorBidi"/>
          <w:color w:val="002060"/>
          <w:sz w:val="28"/>
          <w:szCs w:val="28"/>
        </w:rPr>
        <w:t xml:space="preserve"> from recent programme reviews</w:t>
      </w:r>
      <w:bookmarkEnd w:id="17"/>
    </w:p>
    <w:p w:rsidR="00970690" w:rsidRPr="00DF27E9" w:rsidRDefault="00762DFD" w:rsidP="006465B4">
      <w:pPr>
        <w:spacing w:before="120" w:after="120"/>
        <w:jc w:val="both"/>
      </w:pPr>
      <w:r w:rsidRPr="00DF27E9">
        <w:t xml:space="preserve">The 2013 EPI Review </w:t>
      </w:r>
      <w:r w:rsidR="00FE3013" w:rsidRPr="00DF27E9">
        <w:t>revealed</w:t>
      </w:r>
      <w:r w:rsidRPr="00DF27E9">
        <w:t xml:space="preserve"> that despite a slow increase in immunisation coverage the immunisation program is still facing challenges that prevent it from reaching its targets. </w:t>
      </w:r>
    </w:p>
    <w:p w:rsidR="00BD22A2" w:rsidRPr="00DF27E9" w:rsidRDefault="00B33533" w:rsidP="006C55E0">
      <w:pPr>
        <w:spacing w:before="120" w:after="120"/>
        <w:jc w:val="both"/>
      </w:pPr>
      <w:r w:rsidRPr="00DF27E9">
        <w:t xml:space="preserve">The review </w:t>
      </w:r>
      <w:r w:rsidR="00FE3013" w:rsidRPr="00DF27E9">
        <w:t>found</w:t>
      </w:r>
      <w:r w:rsidRPr="00DF27E9">
        <w:t xml:space="preserve"> that the GoPNG is highly committed to its immunization program and MDG 4, which is demonstrated through its emphasis on the program in the National Health Plan 2011-20 and other key policies, as well as the 100% procurement of traditional vaccines. However, </w:t>
      </w:r>
      <w:r w:rsidR="001502D5" w:rsidRPr="00DF27E9">
        <w:t xml:space="preserve">challenges arise in securing commitment at the sub-national level, where effective leaders </w:t>
      </w:r>
      <w:r w:rsidR="003971D5" w:rsidRPr="00DF27E9">
        <w:t>are shown to make a pivotal difference in programmatic outcomes. It was also found that national planning does not always translate in to implementation at the provincial and health facility levels.</w:t>
      </w:r>
      <w:r w:rsidR="006C55E0">
        <w:t xml:space="preserve"> </w:t>
      </w:r>
      <w:r w:rsidR="00044CD3" w:rsidRPr="00DF27E9">
        <w:t xml:space="preserve">The review found that low immunisation coverage is related to a lack of access to services by the rural majority and </w:t>
      </w:r>
      <w:r w:rsidR="003A53CF" w:rsidRPr="00DF27E9">
        <w:t xml:space="preserve">urban disadvantaged communities. </w:t>
      </w:r>
      <w:r w:rsidR="00BC3F09" w:rsidRPr="00DF27E9">
        <w:t>There was also found to be challenges arising over</w:t>
      </w:r>
      <w:r w:rsidR="005514E7" w:rsidRPr="00DF27E9">
        <w:t xml:space="preserve"> denominator uncertainty and an absence</w:t>
      </w:r>
      <w:r w:rsidR="00BC3F09" w:rsidRPr="00DF27E9">
        <w:t xml:space="preserve"> of defaulter tracking. </w:t>
      </w:r>
      <w:r w:rsidR="00BD22A2" w:rsidRPr="00DF27E9">
        <w:t>Issues with closure of health facilities and an ageing workforce were also revealed. Cold chain capacity and vaccine management varied between province and facilities, with concerns over maintenance of equipment and a lack of understanding of temperature monitoring procedures.</w:t>
      </w:r>
    </w:p>
    <w:p w:rsidR="00E133C1" w:rsidRPr="00DF27E9" w:rsidRDefault="00880F6E" w:rsidP="006465B4">
      <w:pPr>
        <w:spacing w:before="120" w:after="120"/>
        <w:jc w:val="both"/>
      </w:pPr>
      <w:r w:rsidRPr="00DF27E9">
        <w:t xml:space="preserve">The EPI team is already working towards progressing many of </w:t>
      </w:r>
      <w:r w:rsidR="00BD22A2" w:rsidRPr="00DF27E9">
        <w:t xml:space="preserve">the recommendations that were made as a result of the review. </w:t>
      </w:r>
      <w:r w:rsidR="001A2212" w:rsidRPr="00DF27E9">
        <w:t xml:space="preserve">These included: drafting of immunisation performance standards and the further definition of roles. Routine immunisation was recommended to be strengthened through the re-establishment and intensification of outreach, using the RED-REC strategy to plan activities and track defaulters, and through the use of supplementary immunisation activities (SIAs) to when required to address specific program needs. The final recommendation was to establish health facility level, competency-based training </w:t>
      </w:r>
      <w:r w:rsidR="00E133C1" w:rsidRPr="00DF27E9">
        <w:t>including basics of EPI, cold chain, vaccine stock management and microplanning.</w:t>
      </w:r>
    </w:p>
    <w:p w:rsidR="00970690" w:rsidRPr="00100C53" w:rsidRDefault="00100C53" w:rsidP="008C54E9">
      <w:pPr>
        <w:widowControl w:val="0"/>
        <w:autoSpaceDE w:val="0"/>
        <w:autoSpaceDN w:val="0"/>
        <w:adjustRightInd w:val="0"/>
        <w:spacing w:before="120" w:after="120"/>
        <w:jc w:val="both"/>
        <w:rPr>
          <w:rFonts w:cs="Times"/>
        </w:rPr>
      </w:pPr>
      <w:r>
        <w:rPr>
          <w:rFonts w:cs="Times"/>
        </w:rPr>
        <w:t xml:space="preserve">An </w:t>
      </w:r>
      <w:r w:rsidRPr="00100C53">
        <w:rPr>
          <w:rFonts w:cs="Times"/>
        </w:rPr>
        <w:t xml:space="preserve">Effective Vaccine Management assessment </w:t>
      </w:r>
      <w:r>
        <w:rPr>
          <w:rFonts w:cs="Times"/>
        </w:rPr>
        <w:t xml:space="preserve">was conducted </w:t>
      </w:r>
      <w:r w:rsidRPr="00100C53">
        <w:rPr>
          <w:rFonts w:cs="Times"/>
        </w:rPr>
        <w:t xml:space="preserve">in May </w:t>
      </w:r>
      <w:r>
        <w:rPr>
          <w:rFonts w:cs="Times"/>
        </w:rPr>
        <w:t xml:space="preserve">2011 which </w:t>
      </w:r>
      <w:r>
        <w:rPr>
          <w:rFonts w:cs="Times"/>
        </w:rPr>
        <w:lastRenderedPageBreak/>
        <w:t xml:space="preserve">revealed that there were various quality and logistics challenges. However, work has since been done to improve vaccine management. </w:t>
      </w:r>
      <w:r w:rsidRPr="00100C53">
        <w:rPr>
          <w:rFonts w:cs="Times"/>
        </w:rPr>
        <w:t xml:space="preserve">A cold chain </w:t>
      </w:r>
      <w:r w:rsidR="008C54E9">
        <w:rPr>
          <w:rFonts w:cs="Times"/>
        </w:rPr>
        <w:t xml:space="preserve">assessment along with revising the cold chain </w:t>
      </w:r>
      <w:r w:rsidRPr="00100C53">
        <w:rPr>
          <w:rFonts w:cs="Times"/>
        </w:rPr>
        <w:t xml:space="preserve">training manual </w:t>
      </w:r>
      <w:r w:rsidR="008C54E9">
        <w:rPr>
          <w:rFonts w:cs="Times"/>
        </w:rPr>
        <w:t xml:space="preserve">will be conducted along with </w:t>
      </w:r>
      <w:r w:rsidRPr="00100C53">
        <w:rPr>
          <w:rFonts w:cs="Times"/>
        </w:rPr>
        <w:t>training on cold chain management has been incorporated in the district-level EPI training which is being carried out in the country.</w:t>
      </w:r>
    </w:p>
    <w:p w:rsidR="00970690" w:rsidRDefault="006C55E0" w:rsidP="006C55E0">
      <w:pPr>
        <w:pStyle w:val="Heading1"/>
        <w:spacing w:before="120" w:after="120"/>
        <w:ind w:firstLine="720"/>
        <w:rPr>
          <w:rFonts w:asciiTheme="majorBidi" w:hAnsiTheme="majorBidi"/>
          <w:color w:val="002060"/>
          <w:sz w:val="28"/>
          <w:szCs w:val="28"/>
        </w:rPr>
      </w:pPr>
      <w:r w:rsidRPr="006C55E0">
        <w:rPr>
          <w:rFonts w:asciiTheme="majorBidi" w:hAnsiTheme="majorBidi"/>
          <w:color w:val="002060"/>
          <w:sz w:val="28"/>
          <w:szCs w:val="28"/>
        </w:rPr>
        <w:t>4.4 Stock</w:t>
      </w:r>
      <w:r w:rsidR="008B0CDC">
        <w:rPr>
          <w:rFonts w:asciiTheme="majorBidi" w:hAnsiTheme="majorBidi"/>
          <w:color w:val="002060"/>
          <w:sz w:val="28"/>
          <w:szCs w:val="28"/>
        </w:rPr>
        <w:t xml:space="preserve"> management</w:t>
      </w:r>
    </w:p>
    <w:p w:rsidR="008B0CDC" w:rsidRDefault="008B0CDC" w:rsidP="008B0CDC">
      <w:pPr>
        <w:jc w:val="both"/>
      </w:pPr>
      <w:r>
        <w:t>The stock management system in Papua New Guinea at all levels (national, provincial and district including that in the health centre) is a dual system with computerised at the national level and other system is a manual system. The National Cold Chain and Vaccine Manager maintains the stock levels in a computerised system which is shared with the National EPI manager and the development partners at a monthly basis. IPV when introduced, this stock update management at all levels will be subsequently embedded into the current stock management system.</w:t>
      </w:r>
    </w:p>
    <w:p w:rsidR="008B0CDC" w:rsidRDefault="008B0CDC" w:rsidP="008B0CDC">
      <w:pPr>
        <w:jc w:val="both"/>
      </w:pPr>
    </w:p>
    <w:p w:rsidR="00970690" w:rsidRPr="00702943" w:rsidRDefault="00702943" w:rsidP="00702943">
      <w:pPr>
        <w:jc w:val="both"/>
      </w:pPr>
      <w:r>
        <w:t>The provinces send a vaccine indent request to the National Vaccine store and National EPI office based on the stock level. The vaccine is transported to the provincial vaccine store using mostly airline services. The provinces distribute the vaccine to the districts and health centre using local transport system. The IPV vaccine will be accommodated using the same system. As GoPNG bears all the cost of the vaccine transportation of the vaccine; this will also be borne when IPV is introduced. Any additional cost for the transportation will be borne by the GoPNG, if need be.</w:t>
      </w:r>
      <w:r w:rsidR="00570B63">
        <w:fldChar w:fldCharType="begin"/>
      </w:r>
      <w:r w:rsidR="00570B63">
        <w:rPr>
          <w:rFonts w:eastAsia="SimSun"/>
          <w:lang w:eastAsia="zh-CN"/>
        </w:rPr>
        <w:instrText xml:space="preserve"> </w:instrText>
      </w:r>
      <w:r w:rsidR="00570B63">
        <w:rPr>
          <w:rFonts w:eastAsia="SimSun" w:hint="eastAsia"/>
          <w:lang w:eastAsia="zh-CN"/>
        </w:rPr>
        <w:instrText>= 1 \* Arabic</w:instrText>
      </w:r>
      <w:r w:rsidR="00570B63">
        <w:rPr>
          <w:rFonts w:eastAsia="SimSun"/>
          <w:lang w:eastAsia="zh-CN"/>
        </w:rPr>
        <w:instrText xml:space="preserve"> </w:instrText>
      </w:r>
      <w:r w:rsidR="00570B63">
        <w:fldChar w:fldCharType="separate"/>
      </w:r>
      <w:r w:rsidR="00570B63">
        <w:rPr>
          <w:rFonts w:eastAsia="SimSun"/>
          <w:noProof/>
          <w:lang w:eastAsia="zh-CN"/>
        </w:rPr>
        <w:t>1</w:t>
      </w:r>
      <w:r w:rsidR="00570B63">
        <w:fldChar w:fldCharType="end"/>
      </w:r>
    </w:p>
    <w:p w:rsidR="00970690" w:rsidRPr="007B1C6A" w:rsidRDefault="00970690" w:rsidP="007B1C6A">
      <w:pPr>
        <w:pStyle w:val="Heading1"/>
        <w:numPr>
          <w:ilvl w:val="0"/>
          <w:numId w:val="8"/>
        </w:numPr>
        <w:spacing w:before="120" w:after="120"/>
        <w:rPr>
          <w:rFonts w:asciiTheme="majorBidi" w:hAnsiTheme="majorBidi"/>
          <w:color w:val="002060"/>
          <w:sz w:val="28"/>
          <w:szCs w:val="28"/>
        </w:rPr>
      </w:pPr>
      <w:bookmarkStart w:id="18" w:name="_Toc263661694"/>
      <w:r w:rsidRPr="007B1C6A">
        <w:rPr>
          <w:rFonts w:asciiTheme="majorBidi" w:hAnsiTheme="majorBidi"/>
          <w:color w:val="002060"/>
          <w:sz w:val="28"/>
          <w:szCs w:val="28"/>
        </w:rPr>
        <w:t>Monitoring and evaluation</w:t>
      </w:r>
      <w:bookmarkEnd w:id="18"/>
    </w:p>
    <w:p w:rsidR="00970690" w:rsidRPr="00651FEA" w:rsidRDefault="00651FEA" w:rsidP="00651FEA">
      <w:pPr>
        <w:pStyle w:val="Heading1"/>
        <w:spacing w:before="120" w:after="120"/>
        <w:ind w:firstLine="720"/>
        <w:rPr>
          <w:rFonts w:asciiTheme="majorBidi" w:hAnsiTheme="majorBidi"/>
          <w:color w:val="002060"/>
          <w:sz w:val="28"/>
          <w:szCs w:val="28"/>
        </w:rPr>
      </w:pPr>
      <w:bookmarkStart w:id="19" w:name="_Toc263661695"/>
      <w:r w:rsidRPr="00651FEA">
        <w:rPr>
          <w:rFonts w:asciiTheme="majorBidi" w:hAnsiTheme="majorBidi"/>
          <w:color w:val="002060"/>
          <w:sz w:val="28"/>
          <w:szCs w:val="28"/>
        </w:rPr>
        <w:t>5.1 Updating</w:t>
      </w:r>
      <w:r w:rsidR="00970690" w:rsidRPr="00651FEA">
        <w:rPr>
          <w:rFonts w:asciiTheme="majorBidi" w:hAnsiTheme="majorBidi"/>
          <w:color w:val="002060"/>
          <w:sz w:val="28"/>
          <w:szCs w:val="28"/>
        </w:rPr>
        <w:t xml:space="preserve"> of monitoring tools</w:t>
      </w:r>
      <w:bookmarkEnd w:id="19"/>
    </w:p>
    <w:p w:rsidR="00FF1C01" w:rsidRDefault="00FF1C01" w:rsidP="006465B4">
      <w:pPr>
        <w:spacing w:before="120" w:after="120"/>
        <w:jc w:val="both"/>
        <w:rPr>
          <w:rFonts w:eastAsia="SimSun" w:cs="Calibri"/>
          <w:color w:val="000000"/>
          <w:szCs w:val="22"/>
        </w:rPr>
      </w:pPr>
      <w:r w:rsidRPr="00FF1C01">
        <w:rPr>
          <w:rFonts w:cs="Times"/>
        </w:rPr>
        <w:t xml:space="preserve">The coverage of this new vaccine will be monitored and reported using the established monthly routine immunization report to the National Health Information System. The reporting of the coverage will be done by each district. </w:t>
      </w:r>
      <w:r w:rsidR="00E31BF9">
        <w:rPr>
          <w:rFonts w:cs="Times"/>
        </w:rPr>
        <w:t xml:space="preserve">Although the reporting formats will have to be updated, </w:t>
      </w:r>
      <w:r w:rsidR="00E31BF9">
        <w:rPr>
          <w:rFonts w:eastAsia="SimSun" w:cs="Calibri"/>
          <w:color w:val="000000"/>
          <w:szCs w:val="22"/>
        </w:rPr>
        <w:t>t</w:t>
      </w:r>
      <w:r w:rsidR="00E31BF9" w:rsidRPr="009F6E49">
        <w:rPr>
          <w:rFonts w:eastAsia="SimSun" w:cs="Calibri"/>
          <w:color w:val="000000"/>
          <w:szCs w:val="22"/>
        </w:rPr>
        <w:t>he introduction of other new vaccines including MR and PCV will enable the program to benefit from multiple introduction through the reduction of upfront costs. Tally sheets are already being printed and training of health care workers at district level has already begun.</w:t>
      </w:r>
    </w:p>
    <w:p w:rsidR="00252C75" w:rsidRPr="003F64EF" w:rsidRDefault="00A2082E" w:rsidP="006465B4">
      <w:pPr>
        <w:widowControl w:val="0"/>
        <w:autoSpaceDE w:val="0"/>
        <w:autoSpaceDN w:val="0"/>
        <w:adjustRightInd w:val="0"/>
        <w:spacing w:before="120" w:after="120"/>
        <w:jc w:val="both"/>
      </w:pPr>
      <w:r w:rsidRPr="003F64EF">
        <w:t>The routine immunization coverage data in its present form does not collect sex- disaggregated data. However, the National Health Information System in consultation with all development partners and with technical advice from the Child Health Advisory Committee has started the process to incorporate the reporting of routine vaccine doses by sex of the child. The data when made available by the National Health Information System will be analyzed by the National EPI unit and steps will be taken to address any disparity if any.</w:t>
      </w:r>
    </w:p>
    <w:p w:rsidR="00970690" w:rsidRPr="00651FEA" w:rsidRDefault="00651FEA" w:rsidP="00651FEA">
      <w:pPr>
        <w:pStyle w:val="Heading1"/>
        <w:spacing w:before="120" w:after="120"/>
        <w:ind w:firstLine="720"/>
        <w:rPr>
          <w:rFonts w:asciiTheme="majorBidi" w:hAnsiTheme="majorBidi"/>
          <w:color w:val="002060"/>
          <w:sz w:val="28"/>
          <w:szCs w:val="28"/>
        </w:rPr>
      </w:pPr>
      <w:bookmarkStart w:id="20" w:name="_Toc263661696"/>
      <w:r w:rsidRPr="00651FEA">
        <w:rPr>
          <w:rFonts w:asciiTheme="majorBidi" w:hAnsiTheme="majorBidi"/>
          <w:color w:val="002060"/>
          <w:sz w:val="28"/>
          <w:szCs w:val="28"/>
        </w:rPr>
        <w:t>5.2 Adverse</w:t>
      </w:r>
      <w:r w:rsidR="00970690" w:rsidRPr="00651FEA">
        <w:rPr>
          <w:rFonts w:asciiTheme="majorBidi" w:hAnsiTheme="majorBidi"/>
          <w:color w:val="002060"/>
          <w:sz w:val="28"/>
          <w:szCs w:val="28"/>
        </w:rPr>
        <w:t xml:space="preserve"> Event Following Immunisation (AEFI) monitoring and reporting</w:t>
      </w:r>
      <w:bookmarkEnd w:id="20"/>
    </w:p>
    <w:p w:rsidR="00970690" w:rsidRPr="00911834" w:rsidRDefault="00E31BF9" w:rsidP="006465B4">
      <w:pPr>
        <w:widowControl w:val="0"/>
        <w:autoSpaceDE w:val="0"/>
        <w:autoSpaceDN w:val="0"/>
        <w:adjustRightInd w:val="0"/>
        <w:spacing w:before="120" w:after="120"/>
        <w:jc w:val="both"/>
        <w:rPr>
          <w:rFonts w:eastAsiaTheme="minorEastAsia"/>
          <w:lang w:val="en-US" w:eastAsia="en-US"/>
        </w:rPr>
      </w:pPr>
      <w:r>
        <w:rPr>
          <w:rFonts w:eastAsiaTheme="minorEastAsia"/>
          <w:lang w:val="en-US" w:eastAsia="en-US"/>
        </w:rPr>
        <w:t>NDoH is currently working to</w:t>
      </w:r>
      <w:r w:rsidRPr="00E31BF9">
        <w:rPr>
          <w:rFonts w:eastAsiaTheme="minorEastAsia"/>
          <w:lang w:val="en-US" w:eastAsia="en-US"/>
        </w:rPr>
        <w:t xml:space="preserve"> </w:t>
      </w:r>
      <w:r>
        <w:rPr>
          <w:rFonts w:eastAsiaTheme="minorEastAsia"/>
          <w:lang w:val="en-US" w:eastAsia="en-US"/>
        </w:rPr>
        <w:t>develop</w:t>
      </w:r>
      <w:r w:rsidRPr="00E31BF9">
        <w:rPr>
          <w:rFonts w:eastAsiaTheme="minorEastAsia"/>
          <w:lang w:val="en-US" w:eastAsia="en-US"/>
        </w:rPr>
        <w:t xml:space="preserve"> the national AEFI policy, covering areas </w:t>
      </w:r>
      <w:r>
        <w:rPr>
          <w:rFonts w:eastAsiaTheme="minorEastAsia"/>
          <w:lang w:val="en-US" w:eastAsia="en-US"/>
        </w:rPr>
        <w:t>including</w:t>
      </w:r>
      <w:r w:rsidRPr="00E31BF9">
        <w:rPr>
          <w:rFonts w:eastAsiaTheme="minorEastAsia"/>
          <w:lang w:val="en-US" w:eastAsia="en-US"/>
        </w:rPr>
        <w:t xml:space="preserve"> implement pharmacovigilance, AEFI investigation and response to AEFIs, to address relevant rumors and potential allegations. The country will develop methods</w:t>
      </w:r>
      <w:r>
        <w:rPr>
          <w:rFonts w:eastAsiaTheme="minorEastAsia"/>
          <w:lang w:val="en-US" w:eastAsia="en-US"/>
        </w:rPr>
        <w:t xml:space="preserve"> </w:t>
      </w:r>
      <w:r w:rsidRPr="00E31BF9">
        <w:rPr>
          <w:rFonts w:eastAsiaTheme="minorEastAsia"/>
          <w:lang w:val="en-US" w:eastAsia="en-US"/>
        </w:rPr>
        <w:t>on establishing causality assessments of AEFIs including monitoring of adverse events following IPV introduction at local, district, region/provincial and national levels.</w:t>
      </w:r>
    </w:p>
    <w:p w:rsidR="00970690" w:rsidRPr="00651FEA" w:rsidRDefault="00970690" w:rsidP="00651FEA">
      <w:pPr>
        <w:pStyle w:val="Heading1"/>
        <w:numPr>
          <w:ilvl w:val="0"/>
          <w:numId w:val="8"/>
        </w:numPr>
        <w:spacing w:before="120" w:after="120"/>
        <w:rPr>
          <w:rFonts w:asciiTheme="majorBidi" w:hAnsiTheme="majorBidi"/>
          <w:color w:val="002060"/>
          <w:sz w:val="28"/>
          <w:szCs w:val="28"/>
        </w:rPr>
      </w:pPr>
      <w:bookmarkStart w:id="21" w:name="_Toc263661697"/>
      <w:r w:rsidRPr="00651FEA">
        <w:rPr>
          <w:rFonts w:asciiTheme="majorBidi" w:hAnsiTheme="majorBidi"/>
          <w:color w:val="002060"/>
          <w:sz w:val="28"/>
          <w:szCs w:val="28"/>
        </w:rPr>
        <w:lastRenderedPageBreak/>
        <w:t>Advocacy, communication, and social mobilisation</w:t>
      </w:r>
      <w:bookmarkEnd w:id="21"/>
    </w:p>
    <w:p w:rsidR="00720402" w:rsidRDefault="00E31BF9" w:rsidP="006465B4">
      <w:pPr>
        <w:widowControl w:val="0"/>
        <w:autoSpaceDE w:val="0"/>
        <w:autoSpaceDN w:val="0"/>
        <w:adjustRightInd w:val="0"/>
        <w:spacing w:before="120" w:after="120"/>
        <w:jc w:val="both"/>
        <w:rPr>
          <w:rFonts w:eastAsiaTheme="minorEastAsia"/>
          <w:lang w:val="en-US" w:eastAsia="en-US"/>
        </w:rPr>
      </w:pPr>
      <w:r>
        <w:rPr>
          <w:rFonts w:eastAsiaTheme="minorEastAsia"/>
          <w:lang w:val="en-US" w:eastAsia="en-US"/>
        </w:rPr>
        <w:t xml:space="preserve">As part of the </w:t>
      </w:r>
      <w:r w:rsidR="00720402">
        <w:rPr>
          <w:rFonts w:eastAsiaTheme="minorEastAsia"/>
          <w:lang w:val="en-US" w:eastAsia="en-US"/>
        </w:rPr>
        <w:t>new</w:t>
      </w:r>
      <w:r>
        <w:rPr>
          <w:rFonts w:eastAsiaTheme="minorEastAsia"/>
          <w:lang w:val="en-US" w:eastAsia="en-US"/>
        </w:rPr>
        <w:t xml:space="preserve"> </w:t>
      </w:r>
      <w:r w:rsidR="00720402">
        <w:rPr>
          <w:rFonts w:eastAsiaTheme="minorEastAsia"/>
          <w:lang w:val="en-US" w:eastAsia="en-US"/>
        </w:rPr>
        <w:t>vaccine introduction</w:t>
      </w:r>
      <w:r>
        <w:rPr>
          <w:rFonts w:eastAsiaTheme="minorEastAsia"/>
          <w:lang w:val="en-US" w:eastAsia="en-US"/>
        </w:rPr>
        <w:t xml:space="preserve"> </w:t>
      </w:r>
      <w:r w:rsidR="00720402">
        <w:rPr>
          <w:rFonts w:eastAsiaTheme="minorEastAsia"/>
          <w:lang w:val="en-US" w:eastAsia="en-US"/>
        </w:rPr>
        <w:t>schedule and greater immunization programme</w:t>
      </w:r>
      <w:r>
        <w:rPr>
          <w:rFonts w:eastAsiaTheme="minorEastAsia"/>
          <w:lang w:val="en-US" w:eastAsia="en-US"/>
        </w:rPr>
        <w:t xml:space="preserve">, </w:t>
      </w:r>
      <w:r w:rsidRPr="00E31BF9">
        <w:rPr>
          <w:rFonts w:eastAsiaTheme="minorEastAsia"/>
          <w:lang w:val="en-US" w:eastAsia="en-US"/>
        </w:rPr>
        <w:t xml:space="preserve">NDoH </w:t>
      </w:r>
      <w:r>
        <w:rPr>
          <w:rFonts w:eastAsiaTheme="minorEastAsia"/>
          <w:lang w:val="en-US" w:eastAsia="en-US"/>
        </w:rPr>
        <w:t>is</w:t>
      </w:r>
      <w:r w:rsidRPr="00E31BF9">
        <w:rPr>
          <w:rFonts w:eastAsiaTheme="minorEastAsia"/>
          <w:lang w:val="en-US" w:eastAsia="en-US"/>
        </w:rPr>
        <w:t xml:space="preserve"> develop</w:t>
      </w:r>
      <w:r>
        <w:rPr>
          <w:rFonts w:eastAsiaTheme="minorEastAsia"/>
          <w:lang w:val="en-US" w:eastAsia="en-US"/>
        </w:rPr>
        <w:t>ing</w:t>
      </w:r>
      <w:r w:rsidR="00720402">
        <w:rPr>
          <w:rFonts w:eastAsiaTheme="minorEastAsia"/>
          <w:lang w:val="en-US" w:eastAsia="en-US"/>
        </w:rPr>
        <w:t xml:space="preserve"> a comprehensive advocacy, communication and social mobilization aimed at politicians and decision makers</w:t>
      </w:r>
      <w:r w:rsidR="0017581F">
        <w:rPr>
          <w:rFonts w:eastAsiaTheme="minorEastAsia"/>
          <w:lang w:val="en-US" w:eastAsia="en-US"/>
        </w:rPr>
        <w:t>, religious leaders</w:t>
      </w:r>
      <w:bookmarkStart w:id="22" w:name="_GoBack"/>
      <w:bookmarkEnd w:id="22"/>
      <w:r w:rsidR="00720402">
        <w:rPr>
          <w:rFonts w:eastAsiaTheme="minorEastAsia"/>
          <w:lang w:val="en-US" w:eastAsia="en-US"/>
        </w:rPr>
        <w:t xml:space="preserve">, health care professionals and village health volunteers, as well as families and communities. </w:t>
      </w:r>
    </w:p>
    <w:p w:rsidR="00E31BF9" w:rsidRPr="00E31BF9" w:rsidRDefault="00E31BF9" w:rsidP="00651FEA">
      <w:pPr>
        <w:widowControl w:val="0"/>
        <w:autoSpaceDE w:val="0"/>
        <w:autoSpaceDN w:val="0"/>
        <w:adjustRightInd w:val="0"/>
        <w:spacing w:before="120" w:after="120"/>
        <w:jc w:val="both"/>
        <w:rPr>
          <w:rFonts w:eastAsiaTheme="minorEastAsia"/>
          <w:lang w:val="en-US" w:eastAsia="en-US"/>
        </w:rPr>
      </w:pPr>
      <w:r w:rsidRPr="00E31BF9">
        <w:rPr>
          <w:rFonts w:eastAsiaTheme="minorEastAsia"/>
          <w:lang w:val="en-US" w:eastAsia="en-US"/>
        </w:rPr>
        <w:t xml:space="preserve">The communication package for any of these beneficiaries </w:t>
      </w:r>
      <w:r w:rsidR="00720402">
        <w:rPr>
          <w:rFonts w:eastAsiaTheme="minorEastAsia"/>
          <w:lang w:val="en-US" w:eastAsia="en-US"/>
        </w:rPr>
        <w:t>will</w:t>
      </w:r>
      <w:r w:rsidRPr="00E31BF9">
        <w:rPr>
          <w:rFonts w:eastAsiaTheme="minorEastAsia"/>
          <w:lang w:val="en-US" w:eastAsia="en-US"/>
        </w:rPr>
        <w:t xml:space="preserve"> highlight the rationale for OPV and IPV administration, the relevance of the planned switch and acceleration of the existing polio program. This planned activity </w:t>
      </w:r>
      <w:r w:rsidR="00720402">
        <w:rPr>
          <w:rFonts w:eastAsiaTheme="minorEastAsia"/>
          <w:lang w:val="en-US" w:eastAsia="en-US"/>
        </w:rPr>
        <w:t>will ensure that messaging is</w:t>
      </w:r>
      <w:r w:rsidRPr="00E31BF9">
        <w:rPr>
          <w:rFonts w:eastAsiaTheme="minorEastAsia"/>
          <w:lang w:val="en-US" w:eastAsia="en-US"/>
        </w:rPr>
        <w:t xml:space="preserve"> not </w:t>
      </w:r>
      <w:r w:rsidR="00651FEA" w:rsidRPr="00E31BF9">
        <w:rPr>
          <w:rFonts w:eastAsiaTheme="minorEastAsia"/>
          <w:lang w:val="en-US" w:eastAsia="en-US"/>
        </w:rPr>
        <w:t>being</w:t>
      </w:r>
      <w:r w:rsidRPr="00E31BF9">
        <w:rPr>
          <w:rFonts w:eastAsiaTheme="minorEastAsia"/>
          <w:lang w:val="en-US" w:eastAsia="en-US"/>
        </w:rPr>
        <w:t xml:space="preserve"> seen as a move to resolve any type of vaccine failure.</w:t>
      </w:r>
      <w:r w:rsidR="00651FEA">
        <w:rPr>
          <w:rFonts w:eastAsiaTheme="minorEastAsia"/>
          <w:lang w:val="en-US" w:eastAsia="en-US"/>
        </w:rPr>
        <w:t xml:space="preserve"> </w:t>
      </w:r>
      <w:r w:rsidRPr="00E31BF9">
        <w:rPr>
          <w:rFonts w:eastAsiaTheme="minorEastAsia"/>
          <w:lang w:val="en-US" w:eastAsia="en-US"/>
        </w:rPr>
        <w:t>The lessons learnt from the recent controversies involving the tetanus toxoid campaigns will be used for developing the communication strategy for IPV introduction at the community level using different communication channels as radio, television and print media for greatest impact. The communication messages will be distributed using the channels of non-government organizations and village health volunteers. The introduction of this vaccine will include plan for national launch, sub-national ceremonies, to highlight the need of the introduction to the community and use this opportunity to promote immunization in general.</w:t>
      </w:r>
    </w:p>
    <w:p w:rsidR="004E5479" w:rsidRPr="00AE1953" w:rsidRDefault="004E5479" w:rsidP="006465B4">
      <w:pPr>
        <w:spacing w:before="120" w:after="120"/>
        <w:jc w:val="both"/>
        <w:rPr>
          <w:rFonts w:ascii="Calibri" w:hAnsi="Calibri"/>
        </w:rPr>
      </w:pPr>
    </w:p>
    <w:sectPr w:rsidR="004E5479" w:rsidRPr="00AE1953" w:rsidSect="00570B63">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A90" w:rsidRDefault="00F54A90" w:rsidP="00570B63">
      <w:r>
        <w:separator/>
      </w:r>
    </w:p>
  </w:endnote>
  <w:endnote w:type="continuationSeparator" w:id="0">
    <w:p w:rsidR="00F54A90" w:rsidRDefault="00F54A90" w:rsidP="0057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171354"/>
      <w:docPartObj>
        <w:docPartGallery w:val="Page Numbers (Bottom of Page)"/>
        <w:docPartUnique/>
      </w:docPartObj>
    </w:sdtPr>
    <w:sdtEndPr>
      <w:rPr>
        <w:noProof/>
      </w:rPr>
    </w:sdtEndPr>
    <w:sdtContent>
      <w:p w:rsidR="00570B63" w:rsidRDefault="00570B63">
        <w:pPr>
          <w:pStyle w:val="Footer"/>
          <w:jc w:val="right"/>
        </w:pPr>
        <w:r>
          <w:fldChar w:fldCharType="begin"/>
        </w:r>
        <w:r>
          <w:instrText xml:space="preserve"> PAGE   \* MERGEFORMAT </w:instrText>
        </w:r>
        <w:r>
          <w:fldChar w:fldCharType="separate"/>
        </w:r>
        <w:r w:rsidR="0017581F">
          <w:rPr>
            <w:noProof/>
          </w:rPr>
          <w:t>16</w:t>
        </w:r>
        <w:r>
          <w:rPr>
            <w:noProof/>
          </w:rPr>
          <w:fldChar w:fldCharType="end"/>
        </w:r>
      </w:p>
    </w:sdtContent>
  </w:sdt>
  <w:p w:rsidR="00570B63" w:rsidRDefault="00570B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A90" w:rsidRDefault="00F54A90" w:rsidP="00570B63">
      <w:r>
        <w:separator/>
      </w:r>
    </w:p>
  </w:footnote>
  <w:footnote w:type="continuationSeparator" w:id="0">
    <w:p w:rsidR="00F54A90" w:rsidRDefault="00F54A90" w:rsidP="00570B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F980"/>
      </v:shape>
    </w:pict>
  </w:numPicBullet>
  <w:abstractNum w:abstractNumId="0">
    <w:nsid w:val="00000001"/>
    <w:multiLevelType w:val="hybridMultilevel"/>
    <w:tmpl w:val="00000001"/>
    <w:lvl w:ilvl="0" w:tplc="00000001">
      <w:start w:val="1"/>
      <w:numFmt w:val="decimal"/>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3105D"/>
    <w:multiLevelType w:val="hybridMultilevel"/>
    <w:tmpl w:val="D9D2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584CCF"/>
    <w:multiLevelType w:val="hybridMultilevel"/>
    <w:tmpl w:val="AE4C47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3133B6"/>
    <w:multiLevelType w:val="hybridMultilevel"/>
    <w:tmpl w:val="FF9475B2"/>
    <w:lvl w:ilvl="0" w:tplc="95B4B1EE">
      <w:start w:val="1"/>
      <w:numFmt w:val="bullet"/>
      <w:lvlText w:val="•"/>
      <w:lvlJc w:val="left"/>
      <w:pPr>
        <w:tabs>
          <w:tab w:val="num" w:pos="720"/>
        </w:tabs>
        <w:ind w:left="720" w:hanging="360"/>
      </w:pPr>
      <w:rPr>
        <w:rFonts w:ascii="Arial" w:hAnsi="Arial" w:hint="default"/>
      </w:rPr>
    </w:lvl>
    <w:lvl w:ilvl="1" w:tplc="82A0B3EC">
      <w:start w:val="1"/>
      <w:numFmt w:val="bullet"/>
      <w:lvlText w:val="•"/>
      <w:lvlJc w:val="left"/>
      <w:pPr>
        <w:tabs>
          <w:tab w:val="num" w:pos="1440"/>
        </w:tabs>
        <w:ind w:left="1440" w:hanging="360"/>
      </w:pPr>
      <w:rPr>
        <w:rFonts w:ascii="Arial" w:hAnsi="Arial" w:hint="default"/>
      </w:rPr>
    </w:lvl>
    <w:lvl w:ilvl="2" w:tplc="FFF04ED8" w:tentative="1">
      <w:start w:val="1"/>
      <w:numFmt w:val="bullet"/>
      <w:lvlText w:val="•"/>
      <w:lvlJc w:val="left"/>
      <w:pPr>
        <w:tabs>
          <w:tab w:val="num" w:pos="2160"/>
        </w:tabs>
        <w:ind w:left="2160" w:hanging="360"/>
      </w:pPr>
      <w:rPr>
        <w:rFonts w:ascii="Arial" w:hAnsi="Arial" w:hint="default"/>
      </w:rPr>
    </w:lvl>
    <w:lvl w:ilvl="3" w:tplc="0A108184" w:tentative="1">
      <w:start w:val="1"/>
      <w:numFmt w:val="bullet"/>
      <w:lvlText w:val="•"/>
      <w:lvlJc w:val="left"/>
      <w:pPr>
        <w:tabs>
          <w:tab w:val="num" w:pos="2880"/>
        </w:tabs>
        <w:ind w:left="2880" w:hanging="360"/>
      </w:pPr>
      <w:rPr>
        <w:rFonts w:ascii="Arial" w:hAnsi="Arial" w:hint="default"/>
      </w:rPr>
    </w:lvl>
    <w:lvl w:ilvl="4" w:tplc="2FD2FE42" w:tentative="1">
      <w:start w:val="1"/>
      <w:numFmt w:val="bullet"/>
      <w:lvlText w:val="•"/>
      <w:lvlJc w:val="left"/>
      <w:pPr>
        <w:tabs>
          <w:tab w:val="num" w:pos="3600"/>
        </w:tabs>
        <w:ind w:left="3600" w:hanging="360"/>
      </w:pPr>
      <w:rPr>
        <w:rFonts w:ascii="Arial" w:hAnsi="Arial" w:hint="default"/>
      </w:rPr>
    </w:lvl>
    <w:lvl w:ilvl="5" w:tplc="CEE024F2" w:tentative="1">
      <w:start w:val="1"/>
      <w:numFmt w:val="bullet"/>
      <w:lvlText w:val="•"/>
      <w:lvlJc w:val="left"/>
      <w:pPr>
        <w:tabs>
          <w:tab w:val="num" w:pos="4320"/>
        </w:tabs>
        <w:ind w:left="4320" w:hanging="360"/>
      </w:pPr>
      <w:rPr>
        <w:rFonts w:ascii="Arial" w:hAnsi="Arial" w:hint="default"/>
      </w:rPr>
    </w:lvl>
    <w:lvl w:ilvl="6" w:tplc="B4606F5E" w:tentative="1">
      <w:start w:val="1"/>
      <w:numFmt w:val="bullet"/>
      <w:lvlText w:val="•"/>
      <w:lvlJc w:val="left"/>
      <w:pPr>
        <w:tabs>
          <w:tab w:val="num" w:pos="5040"/>
        </w:tabs>
        <w:ind w:left="5040" w:hanging="360"/>
      </w:pPr>
      <w:rPr>
        <w:rFonts w:ascii="Arial" w:hAnsi="Arial" w:hint="default"/>
      </w:rPr>
    </w:lvl>
    <w:lvl w:ilvl="7" w:tplc="C7B85B36" w:tentative="1">
      <w:start w:val="1"/>
      <w:numFmt w:val="bullet"/>
      <w:lvlText w:val="•"/>
      <w:lvlJc w:val="left"/>
      <w:pPr>
        <w:tabs>
          <w:tab w:val="num" w:pos="5760"/>
        </w:tabs>
        <w:ind w:left="5760" w:hanging="360"/>
      </w:pPr>
      <w:rPr>
        <w:rFonts w:ascii="Arial" w:hAnsi="Arial" w:hint="default"/>
      </w:rPr>
    </w:lvl>
    <w:lvl w:ilvl="8" w:tplc="BAFE223C" w:tentative="1">
      <w:start w:val="1"/>
      <w:numFmt w:val="bullet"/>
      <w:lvlText w:val="•"/>
      <w:lvlJc w:val="left"/>
      <w:pPr>
        <w:tabs>
          <w:tab w:val="num" w:pos="6480"/>
        </w:tabs>
        <w:ind w:left="6480" w:hanging="360"/>
      </w:pPr>
      <w:rPr>
        <w:rFonts w:ascii="Arial" w:hAnsi="Arial" w:hint="default"/>
      </w:rPr>
    </w:lvl>
  </w:abstractNum>
  <w:abstractNum w:abstractNumId="4">
    <w:nsid w:val="22B415D6"/>
    <w:multiLevelType w:val="hybridMultilevel"/>
    <w:tmpl w:val="429E0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34012B"/>
    <w:multiLevelType w:val="hybridMultilevel"/>
    <w:tmpl w:val="E7E0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C835B5"/>
    <w:multiLevelType w:val="multilevel"/>
    <w:tmpl w:val="390C0F10"/>
    <w:lvl w:ilvl="0">
      <w:start w:val="2"/>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
    <w:nsid w:val="660F0B5A"/>
    <w:multiLevelType w:val="hybridMultilevel"/>
    <w:tmpl w:val="63FAF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F100FA"/>
    <w:multiLevelType w:val="hybridMultilevel"/>
    <w:tmpl w:val="0282A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8710B1"/>
    <w:multiLevelType w:val="hybridMultilevel"/>
    <w:tmpl w:val="0CB84244"/>
    <w:lvl w:ilvl="0" w:tplc="04090001">
      <w:start w:val="1"/>
      <w:numFmt w:val="bullet"/>
      <w:lvlText w:val=""/>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A0431C"/>
    <w:multiLevelType w:val="hybridMultilevel"/>
    <w:tmpl w:val="00000001"/>
    <w:lvl w:ilvl="0" w:tplc="00000001">
      <w:start w:val="1"/>
      <w:numFmt w:val="decimal"/>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7"/>
  </w:num>
  <w:num w:numId="3">
    <w:abstractNumId w:val="3"/>
  </w:num>
  <w:num w:numId="4">
    <w:abstractNumId w:val="4"/>
  </w:num>
  <w:num w:numId="5">
    <w:abstractNumId w:val="9"/>
  </w:num>
  <w:num w:numId="6">
    <w:abstractNumId w:val="5"/>
  </w:num>
  <w:num w:numId="7">
    <w:abstractNumId w:val="8"/>
  </w:num>
  <w:num w:numId="8">
    <w:abstractNumId w:val="2"/>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C0D"/>
    <w:rsid w:val="00000C2D"/>
    <w:rsid w:val="00014591"/>
    <w:rsid w:val="0001499C"/>
    <w:rsid w:val="00027E24"/>
    <w:rsid w:val="0003288E"/>
    <w:rsid w:val="000352A4"/>
    <w:rsid w:val="00037AFE"/>
    <w:rsid w:val="00042696"/>
    <w:rsid w:val="00044CD3"/>
    <w:rsid w:val="00083150"/>
    <w:rsid w:val="00097FCD"/>
    <w:rsid w:val="000A4C08"/>
    <w:rsid w:val="000C33FB"/>
    <w:rsid w:val="000E1BFB"/>
    <w:rsid w:val="000F17AA"/>
    <w:rsid w:val="00100C53"/>
    <w:rsid w:val="00112F1A"/>
    <w:rsid w:val="00123278"/>
    <w:rsid w:val="00127C0D"/>
    <w:rsid w:val="001312FB"/>
    <w:rsid w:val="00133A15"/>
    <w:rsid w:val="0013604E"/>
    <w:rsid w:val="001360A0"/>
    <w:rsid w:val="00140DEF"/>
    <w:rsid w:val="00144364"/>
    <w:rsid w:val="001502D5"/>
    <w:rsid w:val="0016753D"/>
    <w:rsid w:val="0017581F"/>
    <w:rsid w:val="00191530"/>
    <w:rsid w:val="00193E54"/>
    <w:rsid w:val="001A2212"/>
    <w:rsid w:val="00252C75"/>
    <w:rsid w:val="00265C3A"/>
    <w:rsid w:val="002668F9"/>
    <w:rsid w:val="002911C0"/>
    <w:rsid w:val="0029728C"/>
    <w:rsid w:val="002D4C61"/>
    <w:rsid w:val="00371FAC"/>
    <w:rsid w:val="00376164"/>
    <w:rsid w:val="003971D5"/>
    <w:rsid w:val="003A53CF"/>
    <w:rsid w:val="003C6F60"/>
    <w:rsid w:val="003F057C"/>
    <w:rsid w:val="003F3825"/>
    <w:rsid w:val="003F64EF"/>
    <w:rsid w:val="003F7D51"/>
    <w:rsid w:val="00420532"/>
    <w:rsid w:val="004407AB"/>
    <w:rsid w:val="0044339C"/>
    <w:rsid w:val="00480B69"/>
    <w:rsid w:val="004949AB"/>
    <w:rsid w:val="004957EE"/>
    <w:rsid w:val="004B4E97"/>
    <w:rsid w:val="004B64F1"/>
    <w:rsid w:val="004E0CFD"/>
    <w:rsid w:val="004E5479"/>
    <w:rsid w:val="0051184D"/>
    <w:rsid w:val="005514E7"/>
    <w:rsid w:val="00552187"/>
    <w:rsid w:val="005603B2"/>
    <w:rsid w:val="00570B63"/>
    <w:rsid w:val="0059247B"/>
    <w:rsid w:val="005A1B6C"/>
    <w:rsid w:val="00600CFE"/>
    <w:rsid w:val="006014F7"/>
    <w:rsid w:val="006146F5"/>
    <w:rsid w:val="0062193B"/>
    <w:rsid w:val="00623101"/>
    <w:rsid w:val="00634C4E"/>
    <w:rsid w:val="00637544"/>
    <w:rsid w:val="006465B4"/>
    <w:rsid w:val="00651FEA"/>
    <w:rsid w:val="00667995"/>
    <w:rsid w:val="006C3849"/>
    <w:rsid w:val="006C55E0"/>
    <w:rsid w:val="006F1311"/>
    <w:rsid w:val="00702943"/>
    <w:rsid w:val="0071095D"/>
    <w:rsid w:val="007111EB"/>
    <w:rsid w:val="00720402"/>
    <w:rsid w:val="00720EE8"/>
    <w:rsid w:val="00745282"/>
    <w:rsid w:val="007521BB"/>
    <w:rsid w:val="00762DFD"/>
    <w:rsid w:val="007803D5"/>
    <w:rsid w:val="007A7295"/>
    <w:rsid w:val="007B1C6A"/>
    <w:rsid w:val="00805FD9"/>
    <w:rsid w:val="00830BD7"/>
    <w:rsid w:val="00847436"/>
    <w:rsid w:val="00857F51"/>
    <w:rsid w:val="00867E30"/>
    <w:rsid w:val="0087111B"/>
    <w:rsid w:val="00880F6E"/>
    <w:rsid w:val="008901AF"/>
    <w:rsid w:val="008953E5"/>
    <w:rsid w:val="008B0CDC"/>
    <w:rsid w:val="008B3F50"/>
    <w:rsid w:val="008C54E9"/>
    <w:rsid w:val="008D0E73"/>
    <w:rsid w:val="008F165D"/>
    <w:rsid w:val="009031A7"/>
    <w:rsid w:val="009100A4"/>
    <w:rsid w:val="00911834"/>
    <w:rsid w:val="009210F4"/>
    <w:rsid w:val="0094572E"/>
    <w:rsid w:val="00970690"/>
    <w:rsid w:val="00993004"/>
    <w:rsid w:val="009A2C29"/>
    <w:rsid w:val="009D7FCA"/>
    <w:rsid w:val="009E2376"/>
    <w:rsid w:val="009F6E49"/>
    <w:rsid w:val="00A063ED"/>
    <w:rsid w:val="00A11215"/>
    <w:rsid w:val="00A2082E"/>
    <w:rsid w:val="00A57474"/>
    <w:rsid w:val="00A62D90"/>
    <w:rsid w:val="00A73A2D"/>
    <w:rsid w:val="00A82EB7"/>
    <w:rsid w:val="00A863A0"/>
    <w:rsid w:val="00AE1953"/>
    <w:rsid w:val="00AE665A"/>
    <w:rsid w:val="00B13E47"/>
    <w:rsid w:val="00B16A14"/>
    <w:rsid w:val="00B203C4"/>
    <w:rsid w:val="00B22BFF"/>
    <w:rsid w:val="00B24752"/>
    <w:rsid w:val="00B33533"/>
    <w:rsid w:val="00B43052"/>
    <w:rsid w:val="00B50A4E"/>
    <w:rsid w:val="00B85093"/>
    <w:rsid w:val="00B874FD"/>
    <w:rsid w:val="00B92C3F"/>
    <w:rsid w:val="00B93B2C"/>
    <w:rsid w:val="00BC3F09"/>
    <w:rsid w:val="00BC413E"/>
    <w:rsid w:val="00BD22A2"/>
    <w:rsid w:val="00BD66D5"/>
    <w:rsid w:val="00C367C7"/>
    <w:rsid w:val="00C66C79"/>
    <w:rsid w:val="00C72567"/>
    <w:rsid w:val="00CB572A"/>
    <w:rsid w:val="00CC3E43"/>
    <w:rsid w:val="00CD721B"/>
    <w:rsid w:val="00D311FB"/>
    <w:rsid w:val="00D53F8E"/>
    <w:rsid w:val="00DF27E9"/>
    <w:rsid w:val="00DF5128"/>
    <w:rsid w:val="00E133C1"/>
    <w:rsid w:val="00E26DF5"/>
    <w:rsid w:val="00E31BF9"/>
    <w:rsid w:val="00E32B06"/>
    <w:rsid w:val="00E36797"/>
    <w:rsid w:val="00E7142E"/>
    <w:rsid w:val="00E953CE"/>
    <w:rsid w:val="00EC1DCD"/>
    <w:rsid w:val="00ED08E6"/>
    <w:rsid w:val="00ED4115"/>
    <w:rsid w:val="00EF1ABC"/>
    <w:rsid w:val="00EF32DA"/>
    <w:rsid w:val="00EF68D2"/>
    <w:rsid w:val="00F01738"/>
    <w:rsid w:val="00F160F9"/>
    <w:rsid w:val="00F27127"/>
    <w:rsid w:val="00F31A2A"/>
    <w:rsid w:val="00F54A90"/>
    <w:rsid w:val="00F74EBE"/>
    <w:rsid w:val="00FB6D31"/>
    <w:rsid w:val="00FB6EB0"/>
    <w:rsid w:val="00FC5758"/>
    <w:rsid w:val="00FE3013"/>
    <w:rsid w:val="00FF1C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C0A7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C0D"/>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91183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1183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fulList-Accent1Char">
    <w:name w:val="Colorful List - Accent 1 Char"/>
    <w:link w:val="ColorfulList-Accent1"/>
    <w:uiPriority w:val="34"/>
    <w:rsid w:val="00127C0D"/>
    <w:rPr>
      <w:rFonts w:ascii="Calibri" w:eastAsia="Calibri" w:hAnsi="Calibri" w:cs="Arial"/>
      <w:sz w:val="22"/>
      <w:szCs w:val="22"/>
      <w:lang w:eastAsia="en-US"/>
    </w:rPr>
  </w:style>
  <w:style w:type="table" w:styleId="ColorfulList-Accent1">
    <w:name w:val="Colorful List Accent 1"/>
    <w:basedOn w:val="TableNormal"/>
    <w:link w:val="ColorfulList-Accent1Char"/>
    <w:uiPriority w:val="34"/>
    <w:rsid w:val="00127C0D"/>
    <w:rPr>
      <w:rFonts w:ascii="Calibri" w:eastAsia="Calibri" w:hAnsi="Calibri" w:cs="Arial"/>
      <w:sz w:val="22"/>
      <w:szCs w:val="22"/>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CommentReference">
    <w:name w:val="annotation reference"/>
    <w:uiPriority w:val="99"/>
    <w:rsid w:val="00857F51"/>
    <w:rPr>
      <w:sz w:val="16"/>
      <w:szCs w:val="16"/>
    </w:rPr>
  </w:style>
  <w:style w:type="paragraph" w:styleId="CommentText">
    <w:name w:val="annotation text"/>
    <w:basedOn w:val="Normal"/>
    <w:link w:val="CommentTextChar"/>
    <w:uiPriority w:val="99"/>
    <w:rsid w:val="00857F51"/>
    <w:rPr>
      <w:sz w:val="20"/>
      <w:szCs w:val="20"/>
    </w:rPr>
  </w:style>
  <w:style w:type="character" w:customStyle="1" w:styleId="CommentTextChar">
    <w:name w:val="Comment Text Char"/>
    <w:basedOn w:val="DefaultParagraphFont"/>
    <w:link w:val="CommentText"/>
    <w:uiPriority w:val="99"/>
    <w:rsid w:val="00857F51"/>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857F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7F51"/>
    <w:rPr>
      <w:rFonts w:ascii="Lucida Grande" w:eastAsia="Times New Roman" w:hAnsi="Lucida Grande" w:cs="Lucida Grande"/>
      <w:sz w:val="18"/>
      <w:szCs w:val="18"/>
      <w:lang w:val="en-GB" w:eastAsia="en-GB"/>
    </w:rPr>
  </w:style>
  <w:style w:type="paragraph" w:styleId="CommentSubject">
    <w:name w:val="annotation subject"/>
    <w:basedOn w:val="CommentText"/>
    <w:next w:val="CommentText"/>
    <w:link w:val="CommentSubjectChar"/>
    <w:uiPriority w:val="99"/>
    <w:semiHidden/>
    <w:unhideWhenUsed/>
    <w:rsid w:val="00857F51"/>
    <w:rPr>
      <w:b/>
      <w:bCs/>
    </w:rPr>
  </w:style>
  <w:style w:type="character" w:customStyle="1" w:styleId="CommentSubjectChar">
    <w:name w:val="Comment Subject Char"/>
    <w:basedOn w:val="CommentTextChar"/>
    <w:link w:val="CommentSubject"/>
    <w:uiPriority w:val="99"/>
    <w:semiHidden/>
    <w:rsid w:val="00857F51"/>
    <w:rPr>
      <w:rFonts w:ascii="Times New Roman" w:eastAsia="Times New Roman" w:hAnsi="Times New Roman" w:cs="Times New Roman"/>
      <w:b/>
      <w:bCs/>
      <w:sz w:val="20"/>
      <w:szCs w:val="20"/>
      <w:lang w:val="en-GB" w:eastAsia="en-GB"/>
    </w:rPr>
  </w:style>
  <w:style w:type="table" w:styleId="TableGrid">
    <w:name w:val="Table Grid"/>
    <w:basedOn w:val="TableNormal"/>
    <w:uiPriority w:val="59"/>
    <w:rsid w:val="00857F51"/>
    <w:rPr>
      <w:rFonts w:ascii="Times New Roman" w:eastAsia="Times New Roman" w:hAnsi="Times New Roman" w:cs="Times New Roman"/>
      <w:sz w:val="20"/>
      <w:szCs w:val="20"/>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qFormat/>
    <w:rsid w:val="00E133C1"/>
    <w:pPr>
      <w:spacing w:after="200" w:line="276" w:lineRule="auto"/>
      <w:ind w:left="720"/>
      <w:jc w:val="both"/>
    </w:pPr>
    <w:rPr>
      <w:rFonts w:ascii="Lucida Grande" w:eastAsia="ヒラギノ角ゴ Pro W3" w:hAnsi="Lucida Grande" w:cs="Times New Roman"/>
      <w:color w:val="000000"/>
      <w:sz w:val="20"/>
      <w:szCs w:val="20"/>
      <w:lang w:val="en-GB" w:eastAsia="zh-CN"/>
    </w:rPr>
  </w:style>
  <w:style w:type="character" w:customStyle="1" w:styleId="Heading1Char">
    <w:name w:val="Heading 1 Char"/>
    <w:basedOn w:val="DefaultParagraphFont"/>
    <w:link w:val="Heading1"/>
    <w:uiPriority w:val="9"/>
    <w:rsid w:val="00911834"/>
    <w:rPr>
      <w:rFonts w:asciiTheme="majorHAnsi" w:eastAsiaTheme="majorEastAsia" w:hAnsiTheme="majorHAnsi" w:cstheme="majorBidi"/>
      <w:b/>
      <w:bCs/>
      <w:color w:val="345A8A" w:themeColor="accent1" w:themeShade="B5"/>
      <w:sz w:val="32"/>
      <w:szCs w:val="32"/>
      <w:lang w:val="en-GB" w:eastAsia="en-GB"/>
    </w:rPr>
  </w:style>
  <w:style w:type="paragraph" w:styleId="TOCHeading">
    <w:name w:val="TOC Heading"/>
    <w:basedOn w:val="Heading1"/>
    <w:next w:val="Normal"/>
    <w:uiPriority w:val="39"/>
    <w:unhideWhenUsed/>
    <w:qFormat/>
    <w:rsid w:val="00911834"/>
    <w:pPr>
      <w:spacing w:line="276" w:lineRule="auto"/>
      <w:outlineLvl w:val="9"/>
    </w:pPr>
    <w:rPr>
      <w:color w:val="365F91" w:themeColor="accent1" w:themeShade="BF"/>
      <w:sz w:val="28"/>
      <w:szCs w:val="28"/>
      <w:lang w:val="en-US" w:eastAsia="en-US"/>
    </w:rPr>
  </w:style>
  <w:style w:type="paragraph" w:styleId="TOC1">
    <w:name w:val="toc 1"/>
    <w:basedOn w:val="Normal"/>
    <w:next w:val="Normal"/>
    <w:autoRedefine/>
    <w:uiPriority w:val="39"/>
    <w:unhideWhenUsed/>
    <w:rsid w:val="00911834"/>
    <w:pPr>
      <w:spacing w:before="120"/>
    </w:pPr>
    <w:rPr>
      <w:rFonts w:asciiTheme="minorHAnsi" w:hAnsiTheme="minorHAnsi"/>
      <w:b/>
    </w:rPr>
  </w:style>
  <w:style w:type="paragraph" w:styleId="TOC2">
    <w:name w:val="toc 2"/>
    <w:basedOn w:val="Normal"/>
    <w:next w:val="Normal"/>
    <w:autoRedefine/>
    <w:uiPriority w:val="39"/>
    <w:unhideWhenUsed/>
    <w:rsid w:val="00911834"/>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911834"/>
    <w:pPr>
      <w:ind w:left="480"/>
    </w:pPr>
    <w:rPr>
      <w:rFonts w:asciiTheme="minorHAnsi" w:hAnsiTheme="minorHAnsi"/>
      <w:sz w:val="22"/>
      <w:szCs w:val="22"/>
    </w:rPr>
  </w:style>
  <w:style w:type="paragraph" w:styleId="TOC4">
    <w:name w:val="toc 4"/>
    <w:basedOn w:val="Normal"/>
    <w:next w:val="Normal"/>
    <w:autoRedefine/>
    <w:uiPriority w:val="39"/>
    <w:semiHidden/>
    <w:unhideWhenUsed/>
    <w:rsid w:val="00911834"/>
    <w:pPr>
      <w:ind w:left="720"/>
    </w:pPr>
    <w:rPr>
      <w:rFonts w:asciiTheme="minorHAnsi" w:hAnsiTheme="minorHAnsi"/>
      <w:sz w:val="20"/>
      <w:szCs w:val="20"/>
    </w:rPr>
  </w:style>
  <w:style w:type="paragraph" w:styleId="TOC5">
    <w:name w:val="toc 5"/>
    <w:basedOn w:val="Normal"/>
    <w:next w:val="Normal"/>
    <w:autoRedefine/>
    <w:uiPriority w:val="39"/>
    <w:semiHidden/>
    <w:unhideWhenUsed/>
    <w:rsid w:val="00911834"/>
    <w:pPr>
      <w:ind w:left="960"/>
    </w:pPr>
    <w:rPr>
      <w:rFonts w:asciiTheme="minorHAnsi" w:hAnsiTheme="minorHAnsi"/>
      <w:sz w:val="20"/>
      <w:szCs w:val="20"/>
    </w:rPr>
  </w:style>
  <w:style w:type="paragraph" w:styleId="TOC6">
    <w:name w:val="toc 6"/>
    <w:basedOn w:val="Normal"/>
    <w:next w:val="Normal"/>
    <w:autoRedefine/>
    <w:uiPriority w:val="39"/>
    <w:semiHidden/>
    <w:unhideWhenUsed/>
    <w:rsid w:val="00911834"/>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911834"/>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911834"/>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911834"/>
    <w:pPr>
      <w:ind w:left="1920"/>
    </w:pPr>
    <w:rPr>
      <w:rFonts w:asciiTheme="minorHAnsi" w:hAnsiTheme="minorHAnsi"/>
      <w:sz w:val="20"/>
      <w:szCs w:val="20"/>
    </w:rPr>
  </w:style>
  <w:style w:type="paragraph" w:styleId="Title">
    <w:name w:val="Title"/>
    <w:basedOn w:val="Normal"/>
    <w:next w:val="Normal"/>
    <w:link w:val="TitleChar"/>
    <w:uiPriority w:val="10"/>
    <w:qFormat/>
    <w:rsid w:val="009118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1834"/>
    <w:rPr>
      <w:rFonts w:asciiTheme="majorHAnsi" w:eastAsiaTheme="majorEastAsia" w:hAnsiTheme="majorHAnsi" w:cstheme="majorBidi"/>
      <w:color w:val="17365D" w:themeColor="text2" w:themeShade="BF"/>
      <w:spacing w:val="5"/>
      <w:kern w:val="28"/>
      <w:sz w:val="52"/>
      <w:szCs w:val="52"/>
      <w:lang w:val="en-GB" w:eastAsia="en-GB"/>
    </w:rPr>
  </w:style>
  <w:style w:type="character" w:customStyle="1" w:styleId="Heading2Char">
    <w:name w:val="Heading 2 Char"/>
    <w:basedOn w:val="DefaultParagraphFont"/>
    <w:link w:val="Heading2"/>
    <w:uiPriority w:val="9"/>
    <w:rsid w:val="00911834"/>
    <w:rPr>
      <w:rFonts w:asciiTheme="majorHAnsi" w:eastAsiaTheme="majorEastAsia" w:hAnsiTheme="majorHAnsi" w:cstheme="majorBidi"/>
      <w:b/>
      <w:bCs/>
      <w:color w:val="4F81BD" w:themeColor="accent1"/>
      <w:sz w:val="26"/>
      <w:szCs w:val="26"/>
      <w:lang w:val="en-GB" w:eastAsia="en-GB"/>
    </w:rPr>
  </w:style>
  <w:style w:type="paragraph" w:styleId="Caption">
    <w:name w:val="caption"/>
    <w:basedOn w:val="Normal"/>
    <w:next w:val="Normal"/>
    <w:uiPriority w:val="35"/>
    <w:unhideWhenUsed/>
    <w:qFormat/>
    <w:rsid w:val="00637544"/>
    <w:pPr>
      <w:spacing w:after="200"/>
    </w:pPr>
    <w:rPr>
      <w:b/>
      <w:bCs/>
      <w:color w:val="4F81BD" w:themeColor="accent1"/>
      <w:sz w:val="18"/>
      <w:szCs w:val="18"/>
    </w:rPr>
  </w:style>
  <w:style w:type="paragraph" w:styleId="Header">
    <w:name w:val="header"/>
    <w:basedOn w:val="Normal"/>
    <w:link w:val="HeaderChar"/>
    <w:uiPriority w:val="99"/>
    <w:unhideWhenUsed/>
    <w:rsid w:val="00570B63"/>
    <w:pPr>
      <w:tabs>
        <w:tab w:val="center" w:pos="4513"/>
        <w:tab w:val="right" w:pos="9026"/>
      </w:tabs>
    </w:pPr>
  </w:style>
  <w:style w:type="character" w:customStyle="1" w:styleId="HeaderChar">
    <w:name w:val="Header Char"/>
    <w:basedOn w:val="DefaultParagraphFont"/>
    <w:link w:val="Header"/>
    <w:uiPriority w:val="99"/>
    <w:rsid w:val="00570B63"/>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570B63"/>
    <w:pPr>
      <w:tabs>
        <w:tab w:val="center" w:pos="4513"/>
        <w:tab w:val="right" w:pos="9026"/>
      </w:tabs>
    </w:pPr>
  </w:style>
  <w:style w:type="character" w:customStyle="1" w:styleId="FooterChar">
    <w:name w:val="Footer Char"/>
    <w:basedOn w:val="DefaultParagraphFont"/>
    <w:link w:val="Footer"/>
    <w:uiPriority w:val="99"/>
    <w:rsid w:val="00570B63"/>
    <w:rPr>
      <w:rFonts w:ascii="Times New Roman" w:eastAsia="Times New Roman" w:hAnsi="Times New Roman" w:cs="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C0D"/>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91183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1183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fulList-Accent1Char">
    <w:name w:val="Colorful List - Accent 1 Char"/>
    <w:link w:val="ColorfulList-Accent1"/>
    <w:uiPriority w:val="34"/>
    <w:rsid w:val="00127C0D"/>
    <w:rPr>
      <w:rFonts w:ascii="Calibri" w:eastAsia="Calibri" w:hAnsi="Calibri" w:cs="Arial"/>
      <w:sz w:val="22"/>
      <w:szCs w:val="22"/>
      <w:lang w:eastAsia="en-US"/>
    </w:rPr>
  </w:style>
  <w:style w:type="table" w:styleId="ColorfulList-Accent1">
    <w:name w:val="Colorful List Accent 1"/>
    <w:basedOn w:val="TableNormal"/>
    <w:link w:val="ColorfulList-Accent1Char"/>
    <w:uiPriority w:val="34"/>
    <w:rsid w:val="00127C0D"/>
    <w:rPr>
      <w:rFonts w:ascii="Calibri" w:eastAsia="Calibri" w:hAnsi="Calibri" w:cs="Arial"/>
      <w:sz w:val="22"/>
      <w:szCs w:val="22"/>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CommentReference">
    <w:name w:val="annotation reference"/>
    <w:uiPriority w:val="99"/>
    <w:rsid w:val="00857F51"/>
    <w:rPr>
      <w:sz w:val="16"/>
      <w:szCs w:val="16"/>
    </w:rPr>
  </w:style>
  <w:style w:type="paragraph" w:styleId="CommentText">
    <w:name w:val="annotation text"/>
    <w:basedOn w:val="Normal"/>
    <w:link w:val="CommentTextChar"/>
    <w:uiPriority w:val="99"/>
    <w:rsid w:val="00857F51"/>
    <w:rPr>
      <w:sz w:val="20"/>
      <w:szCs w:val="20"/>
    </w:rPr>
  </w:style>
  <w:style w:type="character" w:customStyle="1" w:styleId="CommentTextChar">
    <w:name w:val="Comment Text Char"/>
    <w:basedOn w:val="DefaultParagraphFont"/>
    <w:link w:val="CommentText"/>
    <w:uiPriority w:val="99"/>
    <w:rsid w:val="00857F51"/>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857F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7F51"/>
    <w:rPr>
      <w:rFonts w:ascii="Lucida Grande" w:eastAsia="Times New Roman" w:hAnsi="Lucida Grande" w:cs="Lucida Grande"/>
      <w:sz w:val="18"/>
      <w:szCs w:val="18"/>
      <w:lang w:val="en-GB" w:eastAsia="en-GB"/>
    </w:rPr>
  </w:style>
  <w:style w:type="paragraph" w:styleId="CommentSubject">
    <w:name w:val="annotation subject"/>
    <w:basedOn w:val="CommentText"/>
    <w:next w:val="CommentText"/>
    <w:link w:val="CommentSubjectChar"/>
    <w:uiPriority w:val="99"/>
    <w:semiHidden/>
    <w:unhideWhenUsed/>
    <w:rsid w:val="00857F51"/>
    <w:rPr>
      <w:b/>
      <w:bCs/>
    </w:rPr>
  </w:style>
  <w:style w:type="character" w:customStyle="1" w:styleId="CommentSubjectChar">
    <w:name w:val="Comment Subject Char"/>
    <w:basedOn w:val="CommentTextChar"/>
    <w:link w:val="CommentSubject"/>
    <w:uiPriority w:val="99"/>
    <w:semiHidden/>
    <w:rsid w:val="00857F51"/>
    <w:rPr>
      <w:rFonts w:ascii="Times New Roman" w:eastAsia="Times New Roman" w:hAnsi="Times New Roman" w:cs="Times New Roman"/>
      <w:b/>
      <w:bCs/>
      <w:sz w:val="20"/>
      <w:szCs w:val="20"/>
      <w:lang w:val="en-GB" w:eastAsia="en-GB"/>
    </w:rPr>
  </w:style>
  <w:style w:type="table" w:styleId="TableGrid">
    <w:name w:val="Table Grid"/>
    <w:basedOn w:val="TableNormal"/>
    <w:uiPriority w:val="59"/>
    <w:rsid w:val="00857F51"/>
    <w:rPr>
      <w:rFonts w:ascii="Times New Roman" w:eastAsia="Times New Roman" w:hAnsi="Times New Roman" w:cs="Times New Roman"/>
      <w:sz w:val="20"/>
      <w:szCs w:val="20"/>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qFormat/>
    <w:rsid w:val="00E133C1"/>
    <w:pPr>
      <w:spacing w:after="200" w:line="276" w:lineRule="auto"/>
      <w:ind w:left="720"/>
      <w:jc w:val="both"/>
    </w:pPr>
    <w:rPr>
      <w:rFonts w:ascii="Lucida Grande" w:eastAsia="ヒラギノ角ゴ Pro W3" w:hAnsi="Lucida Grande" w:cs="Times New Roman"/>
      <w:color w:val="000000"/>
      <w:sz w:val="20"/>
      <w:szCs w:val="20"/>
      <w:lang w:val="en-GB" w:eastAsia="zh-CN"/>
    </w:rPr>
  </w:style>
  <w:style w:type="character" w:customStyle="1" w:styleId="Heading1Char">
    <w:name w:val="Heading 1 Char"/>
    <w:basedOn w:val="DefaultParagraphFont"/>
    <w:link w:val="Heading1"/>
    <w:uiPriority w:val="9"/>
    <w:rsid w:val="00911834"/>
    <w:rPr>
      <w:rFonts w:asciiTheme="majorHAnsi" w:eastAsiaTheme="majorEastAsia" w:hAnsiTheme="majorHAnsi" w:cstheme="majorBidi"/>
      <w:b/>
      <w:bCs/>
      <w:color w:val="345A8A" w:themeColor="accent1" w:themeShade="B5"/>
      <w:sz w:val="32"/>
      <w:szCs w:val="32"/>
      <w:lang w:val="en-GB" w:eastAsia="en-GB"/>
    </w:rPr>
  </w:style>
  <w:style w:type="paragraph" w:styleId="TOCHeading">
    <w:name w:val="TOC Heading"/>
    <w:basedOn w:val="Heading1"/>
    <w:next w:val="Normal"/>
    <w:uiPriority w:val="39"/>
    <w:unhideWhenUsed/>
    <w:qFormat/>
    <w:rsid w:val="00911834"/>
    <w:pPr>
      <w:spacing w:line="276" w:lineRule="auto"/>
      <w:outlineLvl w:val="9"/>
    </w:pPr>
    <w:rPr>
      <w:color w:val="365F91" w:themeColor="accent1" w:themeShade="BF"/>
      <w:sz w:val="28"/>
      <w:szCs w:val="28"/>
      <w:lang w:val="en-US" w:eastAsia="en-US"/>
    </w:rPr>
  </w:style>
  <w:style w:type="paragraph" w:styleId="TOC1">
    <w:name w:val="toc 1"/>
    <w:basedOn w:val="Normal"/>
    <w:next w:val="Normal"/>
    <w:autoRedefine/>
    <w:uiPriority w:val="39"/>
    <w:unhideWhenUsed/>
    <w:rsid w:val="00911834"/>
    <w:pPr>
      <w:spacing w:before="120"/>
    </w:pPr>
    <w:rPr>
      <w:rFonts w:asciiTheme="minorHAnsi" w:hAnsiTheme="minorHAnsi"/>
      <w:b/>
    </w:rPr>
  </w:style>
  <w:style w:type="paragraph" w:styleId="TOC2">
    <w:name w:val="toc 2"/>
    <w:basedOn w:val="Normal"/>
    <w:next w:val="Normal"/>
    <w:autoRedefine/>
    <w:uiPriority w:val="39"/>
    <w:unhideWhenUsed/>
    <w:rsid w:val="00911834"/>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911834"/>
    <w:pPr>
      <w:ind w:left="480"/>
    </w:pPr>
    <w:rPr>
      <w:rFonts w:asciiTheme="minorHAnsi" w:hAnsiTheme="minorHAnsi"/>
      <w:sz w:val="22"/>
      <w:szCs w:val="22"/>
    </w:rPr>
  </w:style>
  <w:style w:type="paragraph" w:styleId="TOC4">
    <w:name w:val="toc 4"/>
    <w:basedOn w:val="Normal"/>
    <w:next w:val="Normal"/>
    <w:autoRedefine/>
    <w:uiPriority w:val="39"/>
    <w:semiHidden/>
    <w:unhideWhenUsed/>
    <w:rsid w:val="00911834"/>
    <w:pPr>
      <w:ind w:left="720"/>
    </w:pPr>
    <w:rPr>
      <w:rFonts w:asciiTheme="minorHAnsi" w:hAnsiTheme="minorHAnsi"/>
      <w:sz w:val="20"/>
      <w:szCs w:val="20"/>
    </w:rPr>
  </w:style>
  <w:style w:type="paragraph" w:styleId="TOC5">
    <w:name w:val="toc 5"/>
    <w:basedOn w:val="Normal"/>
    <w:next w:val="Normal"/>
    <w:autoRedefine/>
    <w:uiPriority w:val="39"/>
    <w:semiHidden/>
    <w:unhideWhenUsed/>
    <w:rsid w:val="00911834"/>
    <w:pPr>
      <w:ind w:left="960"/>
    </w:pPr>
    <w:rPr>
      <w:rFonts w:asciiTheme="minorHAnsi" w:hAnsiTheme="minorHAnsi"/>
      <w:sz w:val="20"/>
      <w:szCs w:val="20"/>
    </w:rPr>
  </w:style>
  <w:style w:type="paragraph" w:styleId="TOC6">
    <w:name w:val="toc 6"/>
    <w:basedOn w:val="Normal"/>
    <w:next w:val="Normal"/>
    <w:autoRedefine/>
    <w:uiPriority w:val="39"/>
    <w:semiHidden/>
    <w:unhideWhenUsed/>
    <w:rsid w:val="00911834"/>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911834"/>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911834"/>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911834"/>
    <w:pPr>
      <w:ind w:left="1920"/>
    </w:pPr>
    <w:rPr>
      <w:rFonts w:asciiTheme="minorHAnsi" w:hAnsiTheme="minorHAnsi"/>
      <w:sz w:val="20"/>
      <w:szCs w:val="20"/>
    </w:rPr>
  </w:style>
  <w:style w:type="paragraph" w:styleId="Title">
    <w:name w:val="Title"/>
    <w:basedOn w:val="Normal"/>
    <w:next w:val="Normal"/>
    <w:link w:val="TitleChar"/>
    <w:uiPriority w:val="10"/>
    <w:qFormat/>
    <w:rsid w:val="009118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1834"/>
    <w:rPr>
      <w:rFonts w:asciiTheme="majorHAnsi" w:eastAsiaTheme="majorEastAsia" w:hAnsiTheme="majorHAnsi" w:cstheme="majorBidi"/>
      <w:color w:val="17365D" w:themeColor="text2" w:themeShade="BF"/>
      <w:spacing w:val="5"/>
      <w:kern w:val="28"/>
      <w:sz w:val="52"/>
      <w:szCs w:val="52"/>
      <w:lang w:val="en-GB" w:eastAsia="en-GB"/>
    </w:rPr>
  </w:style>
  <w:style w:type="character" w:customStyle="1" w:styleId="Heading2Char">
    <w:name w:val="Heading 2 Char"/>
    <w:basedOn w:val="DefaultParagraphFont"/>
    <w:link w:val="Heading2"/>
    <w:uiPriority w:val="9"/>
    <w:rsid w:val="00911834"/>
    <w:rPr>
      <w:rFonts w:asciiTheme="majorHAnsi" w:eastAsiaTheme="majorEastAsia" w:hAnsiTheme="majorHAnsi" w:cstheme="majorBidi"/>
      <w:b/>
      <w:bCs/>
      <w:color w:val="4F81BD" w:themeColor="accent1"/>
      <w:sz w:val="26"/>
      <w:szCs w:val="26"/>
      <w:lang w:val="en-GB" w:eastAsia="en-GB"/>
    </w:rPr>
  </w:style>
  <w:style w:type="paragraph" w:styleId="Caption">
    <w:name w:val="caption"/>
    <w:basedOn w:val="Normal"/>
    <w:next w:val="Normal"/>
    <w:uiPriority w:val="35"/>
    <w:unhideWhenUsed/>
    <w:qFormat/>
    <w:rsid w:val="00637544"/>
    <w:pPr>
      <w:spacing w:after="200"/>
    </w:pPr>
    <w:rPr>
      <w:b/>
      <w:bCs/>
      <w:color w:val="4F81BD" w:themeColor="accent1"/>
      <w:sz w:val="18"/>
      <w:szCs w:val="18"/>
    </w:rPr>
  </w:style>
  <w:style w:type="paragraph" w:styleId="Header">
    <w:name w:val="header"/>
    <w:basedOn w:val="Normal"/>
    <w:link w:val="HeaderChar"/>
    <w:uiPriority w:val="99"/>
    <w:unhideWhenUsed/>
    <w:rsid w:val="00570B63"/>
    <w:pPr>
      <w:tabs>
        <w:tab w:val="center" w:pos="4513"/>
        <w:tab w:val="right" w:pos="9026"/>
      </w:tabs>
    </w:pPr>
  </w:style>
  <w:style w:type="character" w:customStyle="1" w:styleId="HeaderChar">
    <w:name w:val="Header Char"/>
    <w:basedOn w:val="DefaultParagraphFont"/>
    <w:link w:val="Header"/>
    <w:uiPriority w:val="99"/>
    <w:rsid w:val="00570B63"/>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570B63"/>
    <w:pPr>
      <w:tabs>
        <w:tab w:val="center" w:pos="4513"/>
        <w:tab w:val="right" w:pos="9026"/>
      </w:tabs>
    </w:pPr>
  </w:style>
  <w:style w:type="character" w:customStyle="1" w:styleId="FooterChar">
    <w:name w:val="Footer Char"/>
    <w:basedOn w:val="DefaultParagraphFont"/>
    <w:link w:val="Footer"/>
    <w:uiPriority w:val="99"/>
    <w:rsid w:val="00570B63"/>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84543">
      <w:bodyDiv w:val="1"/>
      <w:marLeft w:val="0"/>
      <w:marRight w:val="0"/>
      <w:marTop w:val="0"/>
      <w:marBottom w:val="0"/>
      <w:divBdr>
        <w:top w:val="none" w:sz="0" w:space="0" w:color="auto"/>
        <w:left w:val="none" w:sz="0" w:space="0" w:color="auto"/>
        <w:bottom w:val="none" w:sz="0" w:space="0" w:color="auto"/>
        <w:right w:val="none" w:sz="0" w:space="0" w:color="auto"/>
      </w:divBdr>
    </w:div>
    <w:div w:id="199898450">
      <w:bodyDiv w:val="1"/>
      <w:marLeft w:val="0"/>
      <w:marRight w:val="0"/>
      <w:marTop w:val="0"/>
      <w:marBottom w:val="0"/>
      <w:divBdr>
        <w:top w:val="none" w:sz="0" w:space="0" w:color="auto"/>
        <w:left w:val="none" w:sz="0" w:space="0" w:color="auto"/>
        <w:bottom w:val="none" w:sz="0" w:space="0" w:color="auto"/>
        <w:right w:val="none" w:sz="0" w:space="0" w:color="auto"/>
      </w:divBdr>
    </w:div>
    <w:div w:id="909460868">
      <w:bodyDiv w:val="1"/>
      <w:marLeft w:val="0"/>
      <w:marRight w:val="0"/>
      <w:marTop w:val="0"/>
      <w:marBottom w:val="0"/>
      <w:divBdr>
        <w:top w:val="none" w:sz="0" w:space="0" w:color="auto"/>
        <w:left w:val="none" w:sz="0" w:space="0" w:color="auto"/>
        <w:bottom w:val="none" w:sz="0" w:space="0" w:color="auto"/>
        <w:right w:val="none" w:sz="0" w:space="0" w:color="auto"/>
      </w:divBdr>
    </w:div>
    <w:div w:id="1246258544">
      <w:bodyDiv w:val="1"/>
      <w:marLeft w:val="0"/>
      <w:marRight w:val="0"/>
      <w:marTop w:val="0"/>
      <w:marBottom w:val="0"/>
      <w:divBdr>
        <w:top w:val="none" w:sz="0" w:space="0" w:color="auto"/>
        <w:left w:val="none" w:sz="0" w:space="0" w:color="auto"/>
        <w:bottom w:val="none" w:sz="0" w:space="0" w:color="auto"/>
        <w:right w:val="none" w:sz="0" w:space="0" w:color="auto"/>
      </w:divBdr>
    </w:div>
    <w:div w:id="1573544457">
      <w:bodyDiv w:val="1"/>
      <w:marLeft w:val="0"/>
      <w:marRight w:val="0"/>
      <w:marTop w:val="0"/>
      <w:marBottom w:val="0"/>
      <w:divBdr>
        <w:top w:val="none" w:sz="0" w:space="0" w:color="auto"/>
        <w:left w:val="none" w:sz="0" w:space="0" w:color="auto"/>
        <w:bottom w:val="none" w:sz="0" w:space="0" w:color="auto"/>
        <w:right w:val="none" w:sz="0" w:space="0" w:color="auto"/>
      </w:divBdr>
    </w:div>
    <w:div w:id="18522537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FFE3F-F7B7-4B17-B748-83DA34873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16</Pages>
  <Words>6614</Words>
  <Characters>37705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LD</Company>
  <LinksUpToDate>false</LinksUpToDate>
  <CharactersWithSpaces>44231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Davison</dc:creator>
  <cp:keywords/>
  <dc:description/>
  <cp:lastModifiedBy>ADMINISTRATOR</cp:lastModifiedBy>
  <cp:revision>43</cp:revision>
  <dcterms:created xsi:type="dcterms:W3CDTF">2014-06-05T04:54:00Z</dcterms:created>
  <dcterms:modified xsi:type="dcterms:W3CDTF">2014-08-16T16:54:00Z</dcterms:modified>
</cp:coreProperties>
</file>